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86C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E777EF3" w14:textId="38E77E81" w:rsidR="00704BDF" w:rsidRPr="00DE0019" w:rsidRDefault="00DE71C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HazOp </w:t>
      </w:r>
      <w:r w:rsidR="00D85EE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Analysis: </w:t>
      </w:r>
      <w:r w:rsidR="0098012F">
        <w:rPr>
          <w:rFonts w:asciiTheme="minorHAnsi" w:eastAsia="MS PGothic" w:hAnsiTheme="minorHAnsi"/>
          <w:b/>
          <w:bCs/>
          <w:sz w:val="28"/>
          <w:szCs w:val="28"/>
          <w:lang w:val="en-US"/>
        </w:rPr>
        <w:t>going</w:t>
      </w:r>
      <w:r w:rsidR="00D85EE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beyond traditional goals</w:t>
      </w:r>
    </w:p>
    <w:p w14:paraId="12C03B85" w14:textId="63D39915" w:rsidR="006916E9" w:rsidRPr="00CA0F65" w:rsidRDefault="000D0C09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</w:pPr>
      <w:r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Stefano Milanese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Andrea Casalli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Emanuele Salvador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CA0F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  <w:r w:rsidRPr="00CA0F6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Michele Piola</w:t>
      </w:r>
      <w:r w:rsidR="00CA0F65" w:rsidRPr="00CA0F6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</w:p>
    <w:p w14:paraId="4595C83A" w14:textId="47A4AD1F" w:rsidR="00704BDF" w:rsidRPr="00CA0F65" w:rsidRDefault="00CA0F65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CA0F6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it-IT"/>
        </w:rPr>
        <w:t>1</w:t>
      </w:r>
      <w:r w:rsidR="007D4CFA" w:rsidRPr="00CA0F6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Arthur D. Little S.p.A., Corso Monforte 54, 20122 Milan (Italy)</w:t>
      </w:r>
    </w:p>
    <w:p w14:paraId="7051F7C4" w14:textId="139246B8" w:rsidR="00CA0F65" w:rsidRPr="00CA0F65" w:rsidRDefault="00CA0F65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CA0F65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it-IT"/>
        </w:rPr>
        <w:t>2</w:t>
      </w:r>
      <w:r w:rsidRPr="00CA0F6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Eni SpA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</w:t>
      </w:r>
      <w:r w:rsidRPr="00CA0F6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Piazzale Enrico Mattei 1, 00144</w:t>
      </w:r>
      <w:r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Pr="00CA0F65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Rome (Italy)</w:t>
      </w:r>
    </w:p>
    <w:p w14:paraId="1E2F3084" w14:textId="77B80121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0D0C0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0D0C0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0D0C0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D0C09" w:rsidRPr="000D0C09">
        <w:rPr>
          <w:rFonts w:asciiTheme="minorHAnsi" w:eastAsia="MS PGothic" w:hAnsiTheme="minorHAnsi"/>
          <w:bCs/>
          <w:i/>
          <w:iCs/>
          <w:sz w:val="20"/>
          <w:lang w:val="en-US"/>
        </w:rPr>
        <w:t>salvador.emanuele@adlittle.com</w:t>
      </w:r>
    </w:p>
    <w:p w14:paraId="1364EA7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1834E51" w14:textId="4ECC3084" w:rsidR="00D22BE4" w:rsidRDefault="00D22BE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Arthur D. Little supported a major refinery in the EPC</w:t>
      </w:r>
      <w:r w:rsidR="00D00567">
        <w:rPr>
          <w:rStyle w:val="FootnoteReference"/>
          <w:rFonts w:asciiTheme="minorHAnsi" w:hAnsiTheme="minorHAnsi"/>
        </w:rPr>
        <w:footnoteReference w:id="1"/>
      </w:r>
      <w:r>
        <w:rPr>
          <w:rFonts w:asciiTheme="minorHAnsi" w:hAnsiTheme="minorHAnsi"/>
        </w:rPr>
        <w:t xml:space="preserve"> phase </w:t>
      </w:r>
      <w:r w:rsidR="00DE71C2">
        <w:rPr>
          <w:rFonts w:asciiTheme="minorHAnsi" w:hAnsiTheme="minorHAnsi"/>
        </w:rPr>
        <w:t>HazOp</w:t>
      </w:r>
      <w:r w:rsidR="00D00567">
        <w:rPr>
          <w:rStyle w:val="FootnoteReference"/>
          <w:rFonts w:asciiTheme="minorHAnsi" w:hAnsiTheme="minorHAnsi"/>
        </w:rPr>
        <w:footnoteReference w:id="2"/>
      </w:r>
      <w:r w:rsidR="00DE71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 a plant</w:t>
      </w:r>
    </w:p>
    <w:p w14:paraId="45603BAA" w14:textId="257ACCB0" w:rsidR="00D22BE4" w:rsidRDefault="00D22BE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A21763">
        <w:rPr>
          <w:rFonts w:asciiTheme="minorHAnsi" w:hAnsiTheme="minorHAnsi"/>
        </w:rPr>
        <w:t>review</w:t>
      </w:r>
      <w:r>
        <w:rPr>
          <w:rFonts w:asciiTheme="minorHAnsi" w:hAnsiTheme="minorHAnsi"/>
        </w:rPr>
        <w:t xml:space="preserve"> integrated several aspects (asset integrity operations, operating manual, safety report development</w:t>
      </w:r>
      <w:r w:rsidR="00255609">
        <w:rPr>
          <w:rFonts w:asciiTheme="minorHAnsi" w:hAnsiTheme="minorHAnsi"/>
        </w:rPr>
        <w:t>, etc.</w:t>
      </w:r>
      <w:r>
        <w:rPr>
          <w:rFonts w:asciiTheme="minorHAnsi" w:hAnsiTheme="minorHAnsi"/>
        </w:rPr>
        <w:t>) not typically included in such an assessment</w:t>
      </w:r>
    </w:p>
    <w:p w14:paraId="17DDB21E" w14:textId="14008F50" w:rsidR="00704BDF" w:rsidRPr="00A21763" w:rsidRDefault="00D22BE4" w:rsidP="00A2176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E73A7D">
        <w:rPr>
          <w:rFonts w:asciiTheme="minorHAnsi" w:hAnsiTheme="minorHAnsi"/>
        </w:rPr>
        <w:t xml:space="preserve">integrated </w:t>
      </w:r>
      <w:r w:rsidR="00A21763">
        <w:rPr>
          <w:rFonts w:asciiTheme="minorHAnsi" w:hAnsiTheme="minorHAnsi"/>
        </w:rPr>
        <w:t>approach supported the client in</w:t>
      </w:r>
      <w:r>
        <w:rPr>
          <w:rFonts w:asciiTheme="minorHAnsi" w:hAnsiTheme="minorHAnsi"/>
        </w:rPr>
        <w:t xml:space="preserve"> managing the multiple activities required for the construction and startup phase</w:t>
      </w:r>
      <w:r w:rsidR="00A21763">
        <w:rPr>
          <w:rFonts w:asciiTheme="minorHAnsi" w:hAnsiTheme="minorHAnsi"/>
        </w:rPr>
        <w:t>, making up for some EPC delays</w:t>
      </w:r>
      <w:r>
        <w:rPr>
          <w:rFonts w:asciiTheme="minorHAnsi" w:hAnsiTheme="minorHAnsi"/>
        </w:rPr>
        <w:t>.</w:t>
      </w:r>
    </w:p>
    <w:p w14:paraId="2F06D5B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4414C0F" w14:textId="538AF45F" w:rsidR="004B5E7D" w:rsidRDefault="00D22BE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2018, risk management consu</w:t>
      </w:r>
      <w:r w:rsidR="000562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lting firm Arthur D. Little was </w:t>
      </w:r>
      <w:r w:rsidR="00A2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tasked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carry out a 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HazOp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assessment</w:t>
      </w:r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EPC design of a plant in a major </w:t>
      </w:r>
      <w:r w:rsidR="00E73A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Italian </w:t>
      </w:r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refinery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plant, built according to an innovative hydrocracking process, underwent major modifications</w:t>
      </w:r>
      <w:r w:rsidR="00C174CF">
        <w:rPr>
          <w:rStyle w:val="CommentReference"/>
        </w:rPr>
        <w:t>: t</w:t>
      </w:r>
      <w:r w:rsidR="00A2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 was considerable interest at site, Business Unit and HQ levels to ensure a thorough HAZOP review.</w:t>
      </w:r>
    </w:p>
    <w:p w14:paraId="480FA3FB" w14:textId="0B5E3BB7" w:rsidR="00D22BE4" w:rsidRDefault="000A0818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accordance</w:t>
      </w:r>
      <w:r w:rsidR="00D22B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client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A2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Arthur D. Little’s 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ramework include</w:t>
      </w:r>
      <w:r w:rsidR="00A21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discussions and analysis, allowing an early start on future activities such as asset integrity checks</w:t>
      </w:r>
      <w:r w:rsidR="00E73A7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alarm management, layers of protection improvement</w:t>
      </w:r>
      <w:r w:rsidR="0005624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B12A76E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5ADF93C" w14:textId="3669BE3A" w:rsidR="00A32C98" w:rsidRDefault="00D22BE4" w:rsidP="000562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HAZOP was carried out according to internationa</w:t>
      </w:r>
      <w:r w:rsid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 standards ([1] and [2]). </w:t>
      </w:r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analysis was «full recording», noting all discussions even when no credible scenarios would emerge</w:t>
      </w:r>
      <w:r w:rsid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consequences o</w:t>
      </w:r>
      <w:bookmarkStart w:id="0" w:name="_GoBack"/>
      <w:bookmarkEnd w:id="0"/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occupational and process </w:t>
      </w:r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safety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asset integrity</w:t>
      </w:r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on operability have been taken into</w:t>
      </w:r>
      <w:r w:rsid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2C98" w:rsidRP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consideration</w:t>
      </w:r>
      <w:r w:rsidR="00A32C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a comprehensive assessment was carried out not only on Top-Events, but 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on other scenarios </w:t>
      </w:r>
      <w:r w:rsidR="00C174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typically not assessed during a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HazOp due to time </w:t>
      </w:r>
      <w:r w:rsidR="001F6C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resources </w:t>
      </w:r>
      <w:r w:rsidR="00DE71C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constraints</w:t>
      </w:r>
      <w:r w:rsidR="001F6C2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E3F3734" w14:textId="77777777" w:rsidR="005C1C4C" w:rsidRDefault="00A32C98" w:rsidP="005C1C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comprehensive set of </w:t>
      </w:r>
      <w:r w:rsidR="00D9744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recomm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endations was</w:t>
      </w:r>
      <w:r w:rsidR="005C1C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issued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regarding design and instrumentation modification to be implemented prior to s</w:t>
      </w:r>
      <w:r w:rsidR="005C1C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tart-up. Furthermore, suggested improvement actions gave relevant contribution on the following aspects:</w:t>
      </w:r>
    </w:p>
    <w:p w14:paraId="0793DCEA" w14:textId="517B83D0" w:rsidR="0098012F" w:rsidRDefault="0098012F" w:rsidP="0098012F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Asset integrity</w:t>
      </w:r>
      <w:r w:rsidRPr="00D974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Whenever a scenario was at risk of going beyond design conditions, the equipment and lines were included as “Safety Critical Elements” and/or “Operational Critical Elements” (SCE/OCE) to be subject to dedicated</w:t>
      </w:r>
      <w:r w:rsidR="00C174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monitoring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Arthur D. Little also recommended additional verifications on the asset integrity whenever such alarms were activated (e.g. registration and analysis of integrity operating windows)</w:t>
      </w:r>
    </w:p>
    <w:p w14:paraId="791F39D9" w14:textId="5996D281" w:rsidR="0098012F" w:rsidRDefault="0098012F" w:rsidP="0098012F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lastRenderedPageBreak/>
        <w:t>Transient states</w:t>
      </w:r>
      <w:r w:rsidRPr="00D974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Startup/shutdown procedures, as well as safety operations such as slow and fast depressurization, were included in the study. These operations typically involve less than 10% of the operating time, but account for more than 50% of incidents ([3]). Through the assessment of these procedures, some deficiencies were noticed and countermeasures were considered and included in the operating manuals</w:t>
      </w:r>
    </w:p>
    <w:p w14:paraId="0A35BFE1" w14:textId="2F536EAE" w:rsidR="00C77840" w:rsidRPr="005C1C4C" w:rsidRDefault="00D9744C" w:rsidP="005C1C4C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C1C4C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Operating manuals</w:t>
      </w:r>
      <w:r w:rsidRPr="005C1C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They </w:t>
      </w:r>
      <w:r w:rsidR="005C1C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had been issued in preliminary versions: the </w:t>
      </w:r>
      <w:r w:rsidRPr="005C1C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inclusion in the HAZOP highlighted </w:t>
      </w:r>
      <w:r w:rsidR="007869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need of further integrations </w:t>
      </w:r>
    </w:p>
    <w:p w14:paraId="6006D93D" w14:textId="628F3DEF" w:rsidR="00D9744C" w:rsidRDefault="00D9744C" w:rsidP="00A32C98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Trainin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g. </w:t>
      </w:r>
      <w:r w:rsidR="000538C7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specific list of recommendations was drafted to ensure that future training programs included special operations following the activation of</w:t>
      </w:r>
      <w:r w:rsidR="00A57A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alarms or emergency procedures</w:t>
      </w:r>
      <w:r w:rsidR="00820D4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1C8DCAB" w14:textId="155C8E8F" w:rsidR="00C77840" w:rsidRPr="00A049BD" w:rsidRDefault="000538C7" w:rsidP="00A32C98">
      <w:pPr>
        <w:pStyle w:val="ListParagraph"/>
        <w:numPr>
          <w:ilvl w:val="0"/>
          <w:numId w:val="19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049BD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Safety Report</w:t>
      </w:r>
      <w:r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0D2F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HazOp</w:t>
      </w:r>
      <w:r w:rsidR="000D2FA9"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assessment was included in the Safety Report, as defined by European legislation </w:t>
      </w:r>
      <w:r w:rsidR="00F65CEF"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Seveso-III-Directive</w:t>
      </w:r>
      <w:r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[4]. From it, quantitative risk assessments were carried out on the key scenarios, using the Fault Tree </w:t>
      </w:r>
      <w:r w:rsidR="00F65CEF"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 methodology</w:t>
      </w:r>
      <w:r w:rsidRPr="00A049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1C647F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EC493C5" w14:textId="7D7076E0" w:rsidR="004B5E7D" w:rsidRDefault="004B5E7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HAZOP team divided </w:t>
      </w:r>
      <w:r w:rsidR="009801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recommendations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10 categories an</w:t>
      </w:r>
      <w:r w:rsidR="00AB4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d additional 35 sub-categories and conducted the complete follow-up activities.</w:t>
      </w:r>
    </w:p>
    <w:p w14:paraId="5665DBC2" w14:textId="1ED01605" w:rsidR="004B5E7D" w:rsidRPr="004B5E7D" w:rsidRDefault="004B5E7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assessment was </w:t>
      </w:r>
      <w:r w:rsidR="000D2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AB4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fundamental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AB4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strengthen the interaction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the process design team (a mixed team with internal and external resources) and the production internal team.</w:t>
      </w:r>
    </w:p>
    <w:p w14:paraId="1CAC909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333FF5F" w14:textId="0A169148" w:rsidR="00C77840" w:rsidRDefault="00C7784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Throughout this project, the fruitful collaboration between Arthur D. Little and client representatives </w:t>
      </w:r>
      <w:r w:rsidR="00D974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allowed the </w:t>
      </w:r>
      <w:r w:rsidR="000D2F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HazOp </w:t>
      </w:r>
      <w:r w:rsidR="00D974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assessment to go beyond its original goals.</w:t>
      </w:r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can be used as a tool to highlight the “typical” deviations </w:t>
      </w:r>
      <w:proofErr w:type="gramStart"/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also</w:t>
      </w:r>
      <w:proofErr w:type="gramEnd"/>
      <w:r w:rsidR="004B5E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assess and integrate in safety management several other aspects that are not typically considered in the traditional approach.</w:t>
      </w:r>
    </w:p>
    <w:p w14:paraId="1CD8A56C" w14:textId="77777777" w:rsidR="004B5E7D" w:rsidRDefault="004B5E7D" w:rsidP="00D9744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way, the client got a head start on follow-up activities, allowing to recover the delay in the EPC process and to start construction activities as planned.</w:t>
      </w:r>
    </w:p>
    <w:p w14:paraId="3E4EE5C5" w14:textId="77777777" w:rsidR="00704BDF" w:rsidRPr="008D0BEB" w:rsidRDefault="004B5E7D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3D17F9E" w14:textId="77777777" w:rsidR="00704BDF" w:rsidRDefault="00D22BE4" w:rsidP="00D22BE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D22BE4">
        <w:rPr>
          <w:rFonts w:asciiTheme="minorHAnsi" w:hAnsiTheme="minorHAnsi"/>
          <w:color w:val="000000"/>
        </w:rPr>
        <w:t>IEC 61882 (all parts), 2016, Hazard and operability studies (HAZOP studies) –</w:t>
      </w:r>
      <w:r>
        <w:rPr>
          <w:rFonts w:asciiTheme="minorHAnsi" w:hAnsiTheme="minorHAnsi"/>
          <w:color w:val="000000"/>
        </w:rPr>
        <w:t xml:space="preserve"> </w:t>
      </w:r>
      <w:r w:rsidRPr="00D22BE4">
        <w:rPr>
          <w:rFonts w:asciiTheme="minorHAnsi" w:hAnsiTheme="minorHAnsi"/>
          <w:color w:val="000000"/>
        </w:rPr>
        <w:t>Application guide</w:t>
      </w:r>
    </w:p>
    <w:p w14:paraId="4719D46C" w14:textId="77777777" w:rsidR="00D22BE4" w:rsidRDefault="00D22BE4" w:rsidP="00D22BE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D22BE4">
        <w:rPr>
          <w:rFonts w:asciiTheme="minorHAnsi" w:hAnsiTheme="minorHAnsi"/>
          <w:color w:val="000000"/>
        </w:rPr>
        <w:t xml:space="preserve">IEC </w:t>
      </w:r>
      <w:r>
        <w:rPr>
          <w:rFonts w:asciiTheme="minorHAnsi" w:hAnsiTheme="minorHAnsi"/>
          <w:color w:val="000000"/>
        </w:rPr>
        <w:t>31010</w:t>
      </w:r>
      <w:r w:rsidRPr="00D22BE4">
        <w:rPr>
          <w:rFonts w:asciiTheme="minorHAnsi" w:hAnsiTheme="minorHAnsi"/>
          <w:color w:val="000000"/>
        </w:rPr>
        <w:t>, 20</w:t>
      </w:r>
      <w:r>
        <w:rPr>
          <w:rFonts w:asciiTheme="minorHAnsi" w:hAnsiTheme="minorHAnsi"/>
          <w:color w:val="000000"/>
        </w:rPr>
        <w:t>09</w:t>
      </w:r>
      <w:r w:rsidRPr="00D22BE4">
        <w:rPr>
          <w:rFonts w:asciiTheme="minorHAnsi" w:hAnsiTheme="minorHAnsi"/>
          <w:color w:val="000000"/>
        </w:rPr>
        <w:t>, Risk management — Risk assessment techniques</w:t>
      </w:r>
    </w:p>
    <w:p w14:paraId="44F70F2C" w14:textId="77777777" w:rsidR="00D22BE4" w:rsidRDefault="00D9744C" w:rsidP="000538C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D9744C">
        <w:rPr>
          <w:rFonts w:asciiTheme="minorHAnsi" w:hAnsiTheme="minorHAnsi"/>
          <w:color w:val="000000"/>
        </w:rPr>
        <w:t xml:space="preserve">Ostrowski S.W., </w:t>
      </w:r>
      <w:proofErr w:type="spellStart"/>
      <w:r w:rsidRPr="00D9744C">
        <w:rPr>
          <w:rFonts w:asciiTheme="minorHAnsi" w:hAnsiTheme="minorHAnsi"/>
          <w:color w:val="000000"/>
        </w:rPr>
        <w:t>Keim</w:t>
      </w:r>
      <w:proofErr w:type="spellEnd"/>
      <w:r w:rsidRPr="00D9744C">
        <w:rPr>
          <w:rFonts w:asciiTheme="minorHAnsi" w:hAnsiTheme="minorHAnsi"/>
          <w:color w:val="000000"/>
        </w:rPr>
        <w:t xml:space="preserve"> K.K., </w:t>
      </w:r>
      <w:r w:rsidRPr="000538C7">
        <w:rPr>
          <w:rFonts w:asciiTheme="minorHAnsi" w:hAnsiTheme="minorHAnsi"/>
          <w:i/>
          <w:color w:val="000000"/>
        </w:rPr>
        <w:t>Tame Your Transient Operations – Use a special method to identif</w:t>
      </w:r>
      <w:r w:rsidR="000538C7" w:rsidRPr="000538C7">
        <w:rPr>
          <w:rFonts w:asciiTheme="minorHAnsi" w:hAnsiTheme="minorHAnsi"/>
          <w:i/>
          <w:color w:val="000000"/>
        </w:rPr>
        <w:t>y and address potential hazards</w:t>
      </w:r>
      <w:r w:rsidR="000538C7">
        <w:rPr>
          <w:rFonts w:asciiTheme="minorHAnsi" w:hAnsiTheme="minorHAnsi"/>
          <w:color w:val="000000"/>
        </w:rPr>
        <w:t xml:space="preserve">, </w:t>
      </w:r>
      <w:r w:rsidRPr="000538C7">
        <w:rPr>
          <w:rFonts w:asciiTheme="minorHAnsi" w:hAnsiTheme="minorHAnsi"/>
          <w:color w:val="000000"/>
        </w:rPr>
        <w:t>ExxonMobil Chemical Company</w:t>
      </w:r>
      <w:r w:rsidR="000538C7">
        <w:rPr>
          <w:rFonts w:asciiTheme="minorHAnsi" w:hAnsiTheme="minorHAnsi"/>
          <w:color w:val="000000"/>
        </w:rPr>
        <w:t xml:space="preserve">, </w:t>
      </w:r>
      <w:r w:rsidRPr="000538C7">
        <w:rPr>
          <w:rFonts w:asciiTheme="minorHAnsi" w:hAnsiTheme="minorHAnsi"/>
          <w:color w:val="000000"/>
        </w:rPr>
        <w:t>2010</w:t>
      </w:r>
    </w:p>
    <w:p w14:paraId="550DDFF4" w14:textId="7CEB585C" w:rsidR="00704BDF" w:rsidRDefault="000538C7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0538C7">
        <w:rPr>
          <w:rFonts w:asciiTheme="minorHAnsi" w:hAnsiTheme="minorHAnsi"/>
          <w:color w:val="000000"/>
        </w:rPr>
        <w:t>European Commission, 2012, Directive 2012/18/EU of the European Parliament and of the Council of 4 July 2012 on the control of major-accident hazards involving dangerous substances, amending and subsequently repealing Council Directive 96/82/EC Text with EEA relevance, 2012/18/EU</w:t>
      </w:r>
    </w:p>
    <w:p w14:paraId="6BA9C944" w14:textId="04740357" w:rsidR="003B1FA4" w:rsidRDefault="003B1FA4" w:rsidP="003B1FA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3B1FA4">
        <w:rPr>
          <w:rFonts w:asciiTheme="minorHAnsi" w:hAnsiTheme="minorHAnsi"/>
          <w:color w:val="000000"/>
        </w:rPr>
        <w:t>ISO, Asset Management, 55000:2014 series, 1st ed., International Organization for Sta</w:t>
      </w:r>
      <w:r>
        <w:rPr>
          <w:rFonts w:asciiTheme="minorHAnsi" w:hAnsiTheme="minorHAnsi"/>
          <w:color w:val="000000"/>
        </w:rPr>
        <w:t>ndardization, Geneva, SUI, 2014</w:t>
      </w:r>
    </w:p>
    <w:p w14:paraId="08CD5183" w14:textId="6CA9E9F2" w:rsidR="003B1FA4" w:rsidRDefault="003B1FA4" w:rsidP="003B1FA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3B1FA4">
        <w:rPr>
          <w:rFonts w:asciiTheme="minorHAnsi" w:hAnsiTheme="minorHAnsi"/>
          <w:color w:val="000000"/>
        </w:rPr>
        <w:t xml:space="preserve">CCPS, </w:t>
      </w:r>
      <w:r w:rsidRPr="00124211">
        <w:rPr>
          <w:rFonts w:asciiTheme="minorHAnsi" w:hAnsiTheme="minorHAnsi"/>
          <w:i/>
          <w:color w:val="000000"/>
        </w:rPr>
        <w:t>Guidelines for Mechanical Integrity Systems</w:t>
      </w:r>
      <w:r w:rsidR="00124211">
        <w:rPr>
          <w:rFonts w:asciiTheme="minorHAnsi" w:hAnsiTheme="minorHAnsi"/>
          <w:color w:val="000000"/>
        </w:rPr>
        <w:t>,</w:t>
      </w:r>
      <w:r w:rsidRPr="003B1FA4">
        <w:rPr>
          <w:rFonts w:asciiTheme="minorHAnsi" w:hAnsiTheme="minorHAnsi"/>
          <w:color w:val="000000"/>
        </w:rPr>
        <w:t xml:space="preserve"> 1st ed., Center for Chemical Proc</w:t>
      </w:r>
      <w:r>
        <w:rPr>
          <w:rFonts w:asciiTheme="minorHAnsi" w:hAnsiTheme="minorHAnsi"/>
          <w:color w:val="000000"/>
        </w:rPr>
        <w:t>ess Safety, New York, USA, 2006</w:t>
      </w:r>
    </w:p>
    <w:p w14:paraId="4D80D2A3" w14:textId="3207FF1A" w:rsidR="00A37CA6" w:rsidRDefault="00A37CA6" w:rsidP="00A37CA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A37CA6">
        <w:rPr>
          <w:rFonts w:asciiTheme="minorHAnsi" w:hAnsiTheme="minorHAnsi"/>
          <w:color w:val="000000"/>
        </w:rPr>
        <w:t xml:space="preserve">CCPS, </w:t>
      </w:r>
      <w:r>
        <w:rPr>
          <w:rFonts w:asciiTheme="minorHAnsi" w:hAnsiTheme="minorHAnsi"/>
          <w:color w:val="000000"/>
        </w:rPr>
        <w:t>Guidelines for Risk Based Process Safety,</w:t>
      </w:r>
      <w:r w:rsidRPr="00A37CA6">
        <w:rPr>
          <w:rFonts w:asciiTheme="minorHAnsi" w:hAnsiTheme="minorHAnsi"/>
          <w:color w:val="000000"/>
        </w:rPr>
        <w:t xml:space="preserve"> </w:t>
      </w:r>
      <w:r w:rsidRPr="003B1FA4">
        <w:rPr>
          <w:rFonts w:asciiTheme="minorHAnsi" w:hAnsiTheme="minorHAnsi"/>
          <w:color w:val="000000"/>
        </w:rPr>
        <w:t>1st ed.</w:t>
      </w:r>
      <w:r>
        <w:rPr>
          <w:rFonts w:asciiTheme="minorHAnsi" w:hAnsiTheme="minorHAnsi"/>
          <w:color w:val="000000"/>
        </w:rPr>
        <w:t xml:space="preserve">, </w:t>
      </w:r>
      <w:r w:rsidRPr="00A37CA6">
        <w:rPr>
          <w:rFonts w:asciiTheme="minorHAnsi" w:hAnsiTheme="minorHAnsi"/>
          <w:color w:val="000000"/>
        </w:rPr>
        <w:t>Center for Chemical Process Safety, New York, USA, 200</w:t>
      </w:r>
      <w:r>
        <w:rPr>
          <w:rFonts w:asciiTheme="minorHAnsi" w:hAnsiTheme="minorHAnsi"/>
          <w:color w:val="000000"/>
        </w:rPr>
        <w:t>7</w:t>
      </w:r>
      <w:r w:rsidRPr="00A37CA6">
        <w:rPr>
          <w:rFonts w:asciiTheme="minorHAnsi" w:hAnsiTheme="minorHAnsi"/>
          <w:color w:val="000000"/>
        </w:rPr>
        <w:t>.</w:t>
      </w:r>
    </w:p>
    <w:p w14:paraId="64BD8583" w14:textId="665C1F81" w:rsidR="00D32915" w:rsidRPr="00A37CA6" w:rsidRDefault="00124211" w:rsidP="00A37CA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124211">
        <w:rPr>
          <w:rFonts w:asciiTheme="minorHAnsi" w:hAnsiTheme="minorHAnsi"/>
          <w:color w:val="000000"/>
        </w:rPr>
        <w:t>Hollifield</w:t>
      </w:r>
      <w:r>
        <w:rPr>
          <w:rFonts w:asciiTheme="minorHAnsi" w:hAnsiTheme="minorHAnsi"/>
          <w:color w:val="000000"/>
        </w:rPr>
        <w:t xml:space="preserve"> B., </w:t>
      </w:r>
      <w:r w:rsidRPr="00124211">
        <w:rPr>
          <w:rFonts w:asciiTheme="minorHAnsi" w:hAnsiTheme="minorHAnsi"/>
          <w:i/>
          <w:color w:val="000000"/>
        </w:rPr>
        <w:t>Understanding and Applying the ANSI/ISA 18.2 Alarm Management Standard</w:t>
      </w:r>
      <w:r>
        <w:rPr>
          <w:rFonts w:asciiTheme="minorHAnsi" w:hAnsiTheme="minorHAnsi"/>
          <w:color w:val="000000"/>
        </w:rPr>
        <w:t>, PAS, 2010</w:t>
      </w:r>
    </w:p>
    <w:sectPr w:rsidR="00D32915" w:rsidRPr="00A37CA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F49C" w14:textId="77777777" w:rsidR="00CF72B2" w:rsidRDefault="00CF72B2" w:rsidP="004F5E36">
      <w:r>
        <w:separator/>
      </w:r>
    </w:p>
  </w:endnote>
  <w:endnote w:type="continuationSeparator" w:id="0">
    <w:p w14:paraId="11266C42" w14:textId="77777777" w:rsidR="00CF72B2" w:rsidRDefault="00CF72B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06E9E" w14:textId="77777777" w:rsidR="00CF72B2" w:rsidRDefault="00CF72B2" w:rsidP="004F5E36">
      <w:r>
        <w:separator/>
      </w:r>
    </w:p>
  </w:footnote>
  <w:footnote w:type="continuationSeparator" w:id="0">
    <w:p w14:paraId="46B64B2D" w14:textId="77777777" w:rsidR="00CF72B2" w:rsidRDefault="00CF72B2" w:rsidP="004F5E36">
      <w:r>
        <w:continuationSeparator/>
      </w:r>
    </w:p>
  </w:footnote>
  <w:footnote w:id="1">
    <w:p w14:paraId="1FC62EC0" w14:textId="775D3BCD" w:rsidR="00D00567" w:rsidRPr="00D00567" w:rsidRDefault="00D00567">
      <w:pPr>
        <w:pStyle w:val="FootnoteText"/>
        <w:rPr>
          <w:rFonts w:asciiTheme="minorHAnsi" w:hAnsiTheme="minorHAnsi" w:cstheme="minorHAnsi"/>
          <w:sz w:val="16"/>
          <w:lang w:val="it-IT"/>
        </w:rPr>
      </w:pPr>
      <w:r w:rsidRPr="00D00567">
        <w:rPr>
          <w:rStyle w:val="FootnoteReference"/>
          <w:rFonts w:asciiTheme="minorHAnsi" w:hAnsiTheme="minorHAnsi" w:cstheme="minorHAnsi"/>
          <w:sz w:val="16"/>
        </w:rPr>
        <w:footnoteRef/>
      </w:r>
      <w:r w:rsidRPr="00D00567">
        <w:rPr>
          <w:rFonts w:asciiTheme="minorHAnsi" w:hAnsiTheme="minorHAnsi" w:cstheme="minorHAnsi"/>
          <w:sz w:val="16"/>
        </w:rPr>
        <w:t xml:space="preserve"> Engineering, Procurement &amp; Construction</w:t>
      </w:r>
    </w:p>
  </w:footnote>
  <w:footnote w:id="2">
    <w:p w14:paraId="0A6E1A56" w14:textId="3CAEB418" w:rsidR="00D00567" w:rsidRPr="00D00567" w:rsidRDefault="00D00567">
      <w:pPr>
        <w:pStyle w:val="FootnoteText"/>
        <w:rPr>
          <w:lang w:val="it-IT"/>
        </w:rPr>
      </w:pPr>
      <w:r w:rsidRPr="00D00567">
        <w:rPr>
          <w:rStyle w:val="FootnoteReference"/>
          <w:rFonts w:asciiTheme="minorHAnsi" w:hAnsiTheme="minorHAnsi" w:cstheme="minorHAnsi"/>
          <w:sz w:val="16"/>
        </w:rPr>
        <w:footnoteRef/>
      </w:r>
      <w:r w:rsidRPr="00D00567">
        <w:rPr>
          <w:rFonts w:asciiTheme="minorHAnsi" w:hAnsiTheme="minorHAnsi" w:cstheme="minorHAnsi"/>
          <w:sz w:val="16"/>
        </w:rPr>
        <w:t xml:space="preserve"> </w:t>
      </w:r>
      <w:r w:rsidRPr="00D00567">
        <w:rPr>
          <w:rFonts w:asciiTheme="minorHAnsi" w:hAnsiTheme="minorHAnsi" w:cstheme="minorHAnsi"/>
          <w:sz w:val="16"/>
          <w:lang w:val="it-IT"/>
        </w:rPr>
        <w:t>Hazard &amp; Operability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44C8" w14:textId="77777777" w:rsidR="004D1162" w:rsidRDefault="00594E9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BFC215" wp14:editId="448570C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E445144" wp14:editId="2DEE88C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E95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02036D" wp14:editId="6F4A2AD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2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56D67A9" w14:textId="77777777" w:rsidR="00704BDF" w:rsidRDefault="00704BDF">
    <w:pPr>
      <w:pStyle w:val="Header"/>
    </w:pPr>
  </w:p>
  <w:p w14:paraId="512E6DD3" w14:textId="77777777" w:rsidR="00704BDF" w:rsidRDefault="00704BDF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B37F4" wp14:editId="457E533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FC46CF2"/>
    <w:multiLevelType w:val="hybridMultilevel"/>
    <w:tmpl w:val="7E7002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32FC"/>
    <w:multiLevelType w:val="hybridMultilevel"/>
    <w:tmpl w:val="DBB69044"/>
    <w:lvl w:ilvl="0" w:tplc="1E4828A0">
      <w:start w:val="4"/>
      <w:numFmt w:val="bullet"/>
      <w:lvlText w:val="-"/>
      <w:lvlJc w:val="left"/>
      <w:pPr>
        <w:ind w:left="36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38C7"/>
    <w:rsid w:val="00056248"/>
    <w:rsid w:val="00062A9A"/>
    <w:rsid w:val="000A03B2"/>
    <w:rsid w:val="000A0818"/>
    <w:rsid w:val="000D0C09"/>
    <w:rsid w:val="000D2FA9"/>
    <w:rsid w:val="000D34BE"/>
    <w:rsid w:val="000E36F1"/>
    <w:rsid w:val="000E3A73"/>
    <w:rsid w:val="000E414A"/>
    <w:rsid w:val="00124211"/>
    <w:rsid w:val="0013121F"/>
    <w:rsid w:val="00134DE4"/>
    <w:rsid w:val="00150E59"/>
    <w:rsid w:val="00184AD6"/>
    <w:rsid w:val="001B65C1"/>
    <w:rsid w:val="001C60BD"/>
    <w:rsid w:val="001C684B"/>
    <w:rsid w:val="001D53FC"/>
    <w:rsid w:val="001F2EC7"/>
    <w:rsid w:val="001F6C22"/>
    <w:rsid w:val="002065DB"/>
    <w:rsid w:val="002447EF"/>
    <w:rsid w:val="00251550"/>
    <w:rsid w:val="00255609"/>
    <w:rsid w:val="0027221A"/>
    <w:rsid w:val="00275B61"/>
    <w:rsid w:val="002D1F12"/>
    <w:rsid w:val="003009B7"/>
    <w:rsid w:val="00303281"/>
    <w:rsid w:val="0030469C"/>
    <w:rsid w:val="0035065C"/>
    <w:rsid w:val="003723D4"/>
    <w:rsid w:val="00395F8F"/>
    <w:rsid w:val="003A7D1C"/>
    <w:rsid w:val="003B1FA4"/>
    <w:rsid w:val="0046164A"/>
    <w:rsid w:val="00462DCD"/>
    <w:rsid w:val="004B5E7D"/>
    <w:rsid w:val="004D1162"/>
    <w:rsid w:val="004E4DD6"/>
    <w:rsid w:val="004F5E36"/>
    <w:rsid w:val="005119A5"/>
    <w:rsid w:val="005278B7"/>
    <w:rsid w:val="005346C8"/>
    <w:rsid w:val="00575864"/>
    <w:rsid w:val="00594E9F"/>
    <w:rsid w:val="005B61E6"/>
    <w:rsid w:val="005C1C4C"/>
    <w:rsid w:val="005C77E1"/>
    <w:rsid w:val="005D6A2F"/>
    <w:rsid w:val="005E1A82"/>
    <w:rsid w:val="005F0A28"/>
    <w:rsid w:val="005F0E5E"/>
    <w:rsid w:val="00620DEE"/>
    <w:rsid w:val="00625639"/>
    <w:rsid w:val="0062695F"/>
    <w:rsid w:val="00631C04"/>
    <w:rsid w:val="0064184D"/>
    <w:rsid w:val="00660E3E"/>
    <w:rsid w:val="00662E74"/>
    <w:rsid w:val="00680538"/>
    <w:rsid w:val="006916E9"/>
    <w:rsid w:val="006A58D2"/>
    <w:rsid w:val="006C5579"/>
    <w:rsid w:val="00704BDF"/>
    <w:rsid w:val="00736B13"/>
    <w:rsid w:val="007447F3"/>
    <w:rsid w:val="007661C8"/>
    <w:rsid w:val="00771312"/>
    <w:rsid w:val="00786963"/>
    <w:rsid w:val="007D4CFA"/>
    <w:rsid w:val="007D52CD"/>
    <w:rsid w:val="007F0842"/>
    <w:rsid w:val="00813288"/>
    <w:rsid w:val="008168FC"/>
    <w:rsid w:val="00820D4E"/>
    <w:rsid w:val="008479A2"/>
    <w:rsid w:val="0087637F"/>
    <w:rsid w:val="008A1512"/>
    <w:rsid w:val="008D0BEB"/>
    <w:rsid w:val="008E566E"/>
    <w:rsid w:val="00901EB6"/>
    <w:rsid w:val="009450CE"/>
    <w:rsid w:val="0095164B"/>
    <w:rsid w:val="0098012F"/>
    <w:rsid w:val="00996483"/>
    <w:rsid w:val="009B3802"/>
    <w:rsid w:val="009E788A"/>
    <w:rsid w:val="00A049BD"/>
    <w:rsid w:val="00A064BD"/>
    <w:rsid w:val="00A1763D"/>
    <w:rsid w:val="00A17CEC"/>
    <w:rsid w:val="00A21763"/>
    <w:rsid w:val="00A27EF0"/>
    <w:rsid w:val="00A32C98"/>
    <w:rsid w:val="00A37CA6"/>
    <w:rsid w:val="00A541C8"/>
    <w:rsid w:val="00A57ACA"/>
    <w:rsid w:val="00A72F24"/>
    <w:rsid w:val="00A76392"/>
    <w:rsid w:val="00A76EFC"/>
    <w:rsid w:val="00A9626B"/>
    <w:rsid w:val="00A97F29"/>
    <w:rsid w:val="00AB0964"/>
    <w:rsid w:val="00AB4B63"/>
    <w:rsid w:val="00AC228C"/>
    <w:rsid w:val="00AE377D"/>
    <w:rsid w:val="00AF66DC"/>
    <w:rsid w:val="00B34A9F"/>
    <w:rsid w:val="00B61DBF"/>
    <w:rsid w:val="00B74573"/>
    <w:rsid w:val="00BC30C9"/>
    <w:rsid w:val="00BE3E58"/>
    <w:rsid w:val="00C01616"/>
    <w:rsid w:val="00C0162B"/>
    <w:rsid w:val="00C174CF"/>
    <w:rsid w:val="00C345B1"/>
    <w:rsid w:val="00C40142"/>
    <w:rsid w:val="00C57182"/>
    <w:rsid w:val="00C655FD"/>
    <w:rsid w:val="00C77840"/>
    <w:rsid w:val="00C867B1"/>
    <w:rsid w:val="00C94434"/>
    <w:rsid w:val="00CA0F65"/>
    <w:rsid w:val="00CA1C95"/>
    <w:rsid w:val="00CA5A9C"/>
    <w:rsid w:val="00CD5FE2"/>
    <w:rsid w:val="00CF1E8B"/>
    <w:rsid w:val="00CF72B2"/>
    <w:rsid w:val="00D00567"/>
    <w:rsid w:val="00D02B4C"/>
    <w:rsid w:val="00D22BE4"/>
    <w:rsid w:val="00D32915"/>
    <w:rsid w:val="00D84576"/>
    <w:rsid w:val="00D85EE3"/>
    <w:rsid w:val="00D9744C"/>
    <w:rsid w:val="00DE0019"/>
    <w:rsid w:val="00DE264A"/>
    <w:rsid w:val="00DE71C2"/>
    <w:rsid w:val="00E041E7"/>
    <w:rsid w:val="00E23CA1"/>
    <w:rsid w:val="00E409A8"/>
    <w:rsid w:val="00E42059"/>
    <w:rsid w:val="00E7209D"/>
    <w:rsid w:val="00E73A7D"/>
    <w:rsid w:val="00EA50E1"/>
    <w:rsid w:val="00EE0131"/>
    <w:rsid w:val="00F30C64"/>
    <w:rsid w:val="00F65CEF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876B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D9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49BD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D0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7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091C-0D50-46CD-8D7B-E4304112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Michele Piola</cp:lastModifiedBy>
  <cp:revision>2</cp:revision>
  <cp:lastPrinted>2015-05-12T18:31:00Z</cp:lastPrinted>
  <dcterms:created xsi:type="dcterms:W3CDTF">2019-05-31T12:29:00Z</dcterms:created>
  <dcterms:modified xsi:type="dcterms:W3CDTF">2019-05-31T12:29:00Z</dcterms:modified>
</cp:coreProperties>
</file>