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2C100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3A32EE26" w14:textId="70011E70" w:rsidR="00704BDF" w:rsidRPr="00DE0019" w:rsidRDefault="00F60846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Bipolar membrane (reverse) electrodialysis acid/base flow battery for energy storage: a multi-scale model for increased efficiency</w:t>
      </w:r>
      <w:r w:rsidR="0060590C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. </w:t>
      </w:r>
    </w:p>
    <w:p w14:paraId="4EE6F6C7" w14:textId="77777777" w:rsidR="00404897" w:rsidRPr="00404897" w:rsidRDefault="00404897" w:rsidP="00404897">
      <w:pPr>
        <w:pStyle w:val="Paragrafoelenco"/>
        <w:numPr>
          <w:ilvl w:val="0"/>
          <w:numId w:val="18"/>
        </w:numPr>
        <w:snapToGrid w:val="0"/>
        <w:spacing w:after="120"/>
        <w:jc w:val="center"/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</w:pPr>
      <w:r w:rsidRPr="00404897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Culcasi, A. Zaffora, L. Gurreri, A. Cipollina, A. Tamburini</w:t>
      </w:r>
      <w:r w:rsidR="00742456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*</w:t>
      </w:r>
      <w:r w:rsidRPr="00404897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, G. Micale</w:t>
      </w:r>
    </w:p>
    <w:p w14:paraId="0D961B5E" w14:textId="7F900921" w:rsidR="00704BDF" w:rsidRPr="00404897" w:rsidRDefault="00404897" w:rsidP="00F60846">
      <w:pPr>
        <w:pStyle w:val="Paragrafoelenco"/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it-IT"/>
        </w:rPr>
      </w:pPr>
      <w:r w:rsidRPr="00404897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Dipartimento di Ingegneria, Università degli Studi di Palermo (UNIPA)</w:t>
      </w:r>
      <w:r w:rsidR="005A364B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 </w:t>
      </w:r>
      <w:r w:rsidRPr="00404897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- </w:t>
      </w:r>
      <w:r w:rsidR="005A364B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V</w:t>
      </w:r>
      <w:r w:rsidRPr="00404897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iale delle Scienze Ed.6, 90128  Palermo, Ital</w:t>
      </w:r>
      <w:r w:rsidR="005A364B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ia</w:t>
      </w:r>
    </w:p>
    <w:p w14:paraId="52A4AE47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="00404897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742456">
        <w:rPr>
          <w:rFonts w:asciiTheme="minorHAnsi" w:eastAsia="MS PGothic" w:hAnsiTheme="minorHAnsi"/>
          <w:bCs/>
          <w:i/>
          <w:iCs/>
          <w:sz w:val="20"/>
          <w:lang w:val="en-US"/>
        </w:rPr>
        <w:t>alessandro.tamburini@unipa.it</w:t>
      </w:r>
    </w:p>
    <w:p w14:paraId="12BEBE6D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3A9C0CE7" w14:textId="07033DAC" w:rsidR="00704BDF" w:rsidRPr="00EC66CC" w:rsidRDefault="00D755E6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 </w:t>
      </w:r>
      <w:r w:rsidR="001A266F">
        <w:rPr>
          <w:rFonts w:asciiTheme="minorHAnsi" w:hAnsiTheme="minorHAnsi"/>
        </w:rPr>
        <w:t>4</w:t>
      </w:r>
      <w:r>
        <w:rPr>
          <w:rFonts w:asciiTheme="minorHAnsi" w:hAnsiTheme="minorHAnsi"/>
        </w:rPr>
        <w:t>-</w:t>
      </w:r>
      <w:r w:rsidR="007A0C78">
        <w:rPr>
          <w:rFonts w:asciiTheme="minorHAnsi" w:hAnsiTheme="minorHAnsi"/>
        </w:rPr>
        <w:t xml:space="preserve">scale </w:t>
      </w:r>
      <w:r>
        <w:rPr>
          <w:rFonts w:asciiTheme="minorHAnsi" w:hAnsiTheme="minorHAnsi"/>
        </w:rPr>
        <w:t xml:space="preserve">model </w:t>
      </w:r>
      <w:r w:rsidR="007A0C78">
        <w:rPr>
          <w:rFonts w:asciiTheme="minorHAnsi" w:hAnsiTheme="minorHAnsi"/>
        </w:rPr>
        <w:t xml:space="preserve">ranging </w:t>
      </w:r>
      <w:r w:rsidR="001A266F">
        <w:rPr>
          <w:rFonts w:asciiTheme="minorHAnsi" w:hAnsiTheme="minorHAnsi"/>
        </w:rPr>
        <w:t xml:space="preserve">from the channel </w:t>
      </w:r>
      <w:r w:rsidR="007A0C78">
        <w:rPr>
          <w:rFonts w:asciiTheme="minorHAnsi" w:hAnsiTheme="minorHAnsi"/>
        </w:rPr>
        <w:t xml:space="preserve">scale </w:t>
      </w:r>
      <w:r w:rsidR="001A266F">
        <w:rPr>
          <w:rFonts w:asciiTheme="minorHAnsi" w:hAnsiTheme="minorHAnsi"/>
        </w:rPr>
        <w:t xml:space="preserve">to the </w:t>
      </w:r>
      <w:r w:rsidR="007A0C78">
        <w:rPr>
          <w:rFonts w:asciiTheme="minorHAnsi" w:hAnsiTheme="minorHAnsi"/>
        </w:rPr>
        <w:t>plant scale</w:t>
      </w:r>
      <w:r>
        <w:rPr>
          <w:rFonts w:asciiTheme="minorHAnsi" w:hAnsiTheme="minorHAnsi"/>
        </w:rPr>
        <w:t xml:space="preserve"> was developed</w:t>
      </w:r>
      <w:r w:rsidR="00DD762D">
        <w:rPr>
          <w:rFonts w:asciiTheme="minorHAnsi" w:hAnsiTheme="minorHAnsi"/>
        </w:rPr>
        <w:t>.</w:t>
      </w:r>
    </w:p>
    <w:p w14:paraId="0FA7C154" w14:textId="1509534E" w:rsidR="00704BDF" w:rsidRPr="00EC66CC" w:rsidRDefault="00DD762D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Pressure drops and polarization have </w:t>
      </w:r>
      <w:r w:rsidR="00D755E6">
        <w:rPr>
          <w:rFonts w:asciiTheme="minorHAnsi" w:hAnsiTheme="minorHAnsi"/>
        </w:rPr>
        <w:t>minor</w:t>
      </w:r>
      <w:r>
        <w:rPr>
          <w:rFonts w:asciiTheme="minorHAnsi" w:hAnsiTheme="minorHAnsi"/>
        </w:rPr>
        <w:t xml:space="preserve"> effect</w:t>
      </w:r>
      <w:r w:rsidR="00D755E6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on the </w:t>
      </w:r>
      <w:r w:rsidR="00D755E6">
        <w:rPr>
          <w:rFonts w:asciiTheme="minorHAnsi" w:hAnsiTheme="minorHAnsi"/>
        </w:rPr>
        <w:t>process performance</w:t>
      </w:r>
      <w:r w:rsidR="00E8223F">
        <w:rPr>
          <w:rFonts w:asciiTheme="minorHAnsi" w:hAnsiTheme="minorHAnsi"/>
        </w:rPr>
        <w:t>.</w:t>
      </w:r>
      <w:r w:rsidR="00704BDF" w:rsidRPr="00EC66CC">
        <w:rPr>
          <w:rFonts w:asciiTheme="minorHAnsi" w:hAnsiTheme="minorHAnsi"/>
        </w:rPr>
        <w:t xml:space="preserve"> </w:t>
      </w:r>
    </w:p>
    <w:p w14:paraId="31B06AF7" w14:textId="773519DF" w:rsidR="00704BDF" w:rsidRPr="00EC66CC" w:rsidRDefault="00DD762D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Ionic short-circuit currents </w:t>
      </w:r>
      <w:r w:rsidRPr="00F60846">
        <w:rPr>
          <w:rFonts w:asciiTheme="minorHAnsi" w:hAnsiTheme="minorHAnsi"/>
          <w:i/>
        </w:rPr>
        <w:t>via</w:t>
      </w:r>
      <w:r>
        <w:rPr>
          <w:rFonts w:asciiTheme="minorHAnsi" w:hAnsiTheme="minorHAnsi"/>
        </w:rPr>
        <w:t xml:space="preserve"> manifolds</w:t>
      </w:r>
      <w:r w:rsidR="007A0C78">
        <w:rPr>
          <w:rFonts w:asciiTheme="minorHAnsi" w:hAnsiTheme="minorHAnsi"/>
        </w:rPr>
        <w:t xml:space="preserve"> </w:t>
      </w:r>
      <w:r w:rsidR="00E54EBE">
        <w:rPr>
          <w:rFonts w:asciiTheme="minorHAnsi" w:hAnsiTheme="minorHAnsi"/>
        </w:rPr>
        <w:t xml:space="preserve">may halve </w:t>
      </w:r>
      <w:r w:rsidR="007A0C78">
        <w:rPr>
          <w:rFonts w:asciiTheme="minorHAnsi" w:hAnsiTheme="minorHAnsi"/>
        </w:rPr>
        <w:t>the Round Trip Efficiency</w:t>
      </w:r>
      <w:r w:rsidR="00E54EBE">
        <w:rPr>
          <w:rFonts w:asciiTheme="minorHAnsi" w:hAnsiTheme="minorHAnsi"/>
        </w:rPr>
        <w:t>.</w:t>
      </w:r>
    </w:p>
    <w:p w14:paraId="3774DC82" w14:textId="294A8135" w:rsidR="00704BDF" w:rsidRPr="00A15B93" w:rsidRDefault="00704BDF" w:rsidP="001A266F">
      <w:pPr>
        <w:snapToGrid w:val="0"/>
        <w:spacing w:after="120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193C494F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38D52C9F" w14:textId="54C82A94" w:rsidR="00D44699" w:rsidRDefault="00D44699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D446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renewable energy market is rapidly increasing. Most of renewable energy </w:t>
      </w:r>
      <w:r w:rsidR="007431A6">
        <w:rPr>
          <w:rFonts w:asciiTheme="minorHAnsi" w:eastAsia="MS PGothic" w:hAnsiTheme="minorHAnsi"/>
          <w:color w:val="000000"/>
          <w:sz w:val="22"/>
          <w:szCs w:val="22"/>
          <w:lang w:val="en-US"/>
        </w:rPr>
        <w:t>sources</w:t>
      </w:r>
      <w:r w:rsidRPr="00D446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431A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are intermittent, e.g. </w:t>
      </w:r>
      <w:r w:rsidRPr="00D44699">
        <w:rPr>
          <w:rFonts w:asciiTheme="minorHAnsi" w:eastAsia="MS PGothic" w:hAnsiTheme="minorHAnsi"/>
          <w:color w:val="000000"/>
          <w:sz w:val="22"/>
          <w:szCs w:val="22"/>
          <w:lang w:val="en-US"/>
        </w:rPr>
        <w:t>wind an</w:t>
      </w:r>
      <w:r w:rsidR="007431A6">
        <w:rPr>
          <w:rFonts w:asciiTheme="minorHAnsi" w:eastAsia="MS PGothic" w:hAnsiTheme="minorHAnsi"/>
          <w:color w:val="000000"/>
          <w:sz w:val="22"/>
          <w:szCs w:val="22"/>
          <w:lang w:val="en-US"/>
        </w:rPr>
        <w:t>d solar among them</w:t>
      </w:r>
      <w:r w:rsidRPr="00D446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This </w:t>
      </w:r>
      <w:r w:rsidR="00393A3F">
        <w:rPr>
          <w:rFonts w:asciiTheme="minorHAnsi" w:eastAsia="MS PGothic" w:hAnsiTheme="minorHAnsi"/>
          <w:color w:val="000000"/>
          <w:sz w:val="22"/>
          <w:szCs w:val="22"/>
          <w:lang w:val="en-US"/>
        </w:rPr>
        <w:t>has led</w:t>
      </w:r>
      <w:r w:rsidRPr="00D446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the </w:t>
      </w:r>
      <w:r w:rsidR="00393A3F">
        <w:rPr>
          <w:rFonts w:asciiTheme="minorHAnsi" w:eastAsia="MS PGothic" w:hAnsiTheme="minorHAnsi"/>
          <w:color w:val="000000"/>
          <w:sz w:val="22"/>
          <w:szCs w:val="22"/>
          <w:lang w:val="en-US"/>
        </w:rPr>
        <w:t>need for</w:t>
      </w:r>
      <w:r w:rsidRPr="00D446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new large</w:t>
      </w:r>
      <w:r w:rsidR="007431A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D446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scale energy storage systems. In this </w:t>
      </w:r>
      <w:r w:rsidR="00393A3F">
        <w:rPr>
          <w:rFonts w:asciiTheme="minorHAnsi" w:eastAsia="MS PGothic" w:hAnsiTheme="minorHAnsi"/>
          <w:color w:val="000000"/>
          <w:sz w:val="22"/>
          <w:szCs w:val="22"/>
          <w:lang w:val="en-US"/>
        </w:rPr>
        <w:t>regard</w:t>
      </w:r>
      <w:r w:rsidRPr="00D44699">
        <w:rPr>
          <w:rFonts w:asciiTheme="minorHAnsi" w:eastAsia="MS PGothic" w:hAnsiTheme="minorHAnsi"/>
          <w:color w:val="000000"/>
          <w:sz w:val="22"/>
          <w:szCs w:val="22"/>
          <w:lang w:val="en-US"/>
        </w:rPr>
        <w:t>, the Acid/Base Flow Battery (AB-FB) represents an innovative, safe and sustainable way to store energy with high performances</w:t>
      </w:r>
      <w:r w:rsidR="006E22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</w:t>
      </w:r>
      <w:r w:rsidRPr="00D446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energy density accumulated in </w:t>
      </w:r>
      <w:r w:rsidR="00393A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 </w:t>
      </w:r>
      <w:r w:rsidRPr="00D44699">
        <w:rPr>
          <w:rFonts w:asciiTheme="minorHAnsi" w:eastAsia="MS PGothic" w:hAnsiTheme="minorHAnsi"/>
          <w:color w:val="000000"/>
          <w:sz w:val="22"/>
          <w:szCs w:val="22"/>
          <w:lang w:val="en-US"/>
        </w:rPr>
        <w:t>AB-FB</w:t>
      </w:r>
      <w:r w:rsidR="00524D4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524D40" w:rsidRPr="00D44699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the form of pH and salinity gradients</w:t>
      </w:r>
      <w:r w:rsidR="00524D40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D446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can theoretically reach 7 kWh/m</w:t>
      </w:r>
      <w:r w:rsidRPr="007431A6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3</w:t>
      </w:r>
      <w:r w:rsidRPr="00D446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which is higher than </w:t>
      </w:r>
      <w:r w:rsidR="00393A3F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values relevant to the</w:t>
      </w:r>
      <w:r w:rsidRPr="00D446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most used technologies (</w:t>
      </w:r>
      <w:r w:rsidR="00393A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e.g. </w:t>
      </w:r>
      <w:r w:rsidRPr="00D446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pumped hydropower and compressed air). The core of the battery is the stack where two membrane separation processes are carried out: bipolar membrane electrodialysis during charge </w:t>
      </w:r>
      <w:r w:rsidR="00393A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phase </w:t>
      </w:r>
      <w:r w:rsidRPr="00D446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its opposite bipolar reverse-electrodialysis during discharge. A stack consists of repetitive units called </w:t>
      </w:r>
      <w:r w:rsidR="008438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cells or </w:t>
      </w:r>
      <w:r w:rsidRPr="00D44699">
        <w:rPr>
          <w:rFonts w:asciiTheme="minorHAnsi" w:eastAsia="MS PGothic" w:hAnsiTheme="minorHAnsi"/>
          <w:color w:val="000000"/>
          <w:sz w:val="22"/>
          <w:szCs w:val="22"/>
          <w:lang w:val="en-US"/>
        </w:rPr>
        <w:t>“triplet</w:t>
      </w:r>
      <w:r w:rsidR="0019226D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D44699">
        <w:rPr>
          <w:rFonts w:asciiTheme="minorHAnsi" w:eastAsia="MS PGothic" w:hAnsiTheme="minorHAnsi"/>
          <w:color w:val="000000"/>
          <w:sz w:val="22"/>
          <w:szCs w:val="22"/>
          <w:lang w:val="en-US"/>
        </w:rPr>
        <w:t>”</w:t>
      </w:r>
      <w:r w:rsidR="0019226D">
        <w:rPr>
          <w:rFonts w:asciiTheme="minorHAnsi" w:eastAsia="MS PGothic" w:hAnsiTheme="minorHAnsi"/>
          <w:color w:val="000000"/>
          <w:sz w:val="22"/>
          <w:szCs w:val="22"/>
          <w:lang w:val="en-US"/>
        </w:rPr>
        <w:t>, composed by</w:t>
      </w:r>
      <w:r w:rsidRPr="00D446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</w:t>
      </w:r>
      <w:r w:rsidR="001922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cation exchange membrane, a salt solution, an anion exchange membrane, an acidic solution, a bipolar membrane and a basic solution</w:t>
      </w:r>
      <w:r w:rsidRPr="00D44699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 aim of this work is to develop a simulation tool able to predict the operation and performances of the battery.</w:t>
      </w:r>
    </w:p>
    <w:p w14:paraId="651DB031" w14:textId="77777777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3EFD3F3D" w14:textId="01E7C886" w:rsidR="00D44699" w:rsidRDefault="00D44699" w:rsidP="00524D40">
      <w:pPr>
        <w:snapToGrid w:val="0"/>
        <w:spacing w:before="12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D446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modelling tool was developed using a multi-scale approach. The lowest scale is the single channel. At this level, all variables are discretized along the </w:t>
      </w:r>
      <w:r w:rsidR="00393A3F">
        <w:rPr>
          <w:rFonts w:asciiTheme="minorHAnsi" w:eastAsia="MS PGothic" w:hAnsiTheme="minorHAnsi"/>
          <w:color w:val="000000"/>
          <w:sz w:val="22"/>
          <w:szCs w:val="22"/>
          <w:lang w:val="en-US"/>
        </w:rPr>
        <w:t>main flow direction</w:t>
      </w:r>
      <w:r w:rsidRPr="00D446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correlations coming from Computational Fluid Dynamic</w:t>
      </w:r>
      <w:r w:rsidR="008E7BD7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6E22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[2]</w:t>
      </w:r>
      <w:r w:rsidRPr="00D446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 implemented in the model in order to evaluate the </w:t>
      </w:r>
      <w:r w:rsidR="008E7B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concentration </w:t>
      </w:r>
      <w:r w:rsidRPr="00D446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polarization </w:t>
      </w:r>
      <w:r w:rsidR="008E7B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effects </w:t>
      </w:r>
      <w:r w:rsidRPr="00D446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the channel pressure loss. The medium-low scale </w:t>
      </w:r>
      <w:r w:rsidR="00982826">
        <w:rPr>
          <w:rFonts w:asciiTheme="minorHAnsi" w:eastAsia="MS PGothic" w:hAnsiTheme="minorHAnsi"/>
          <w:color w:val="000000"/>
          <w:sz w:val="22"/>
          <w:szCs w:val="22"/>
          <w:lang w:val="en-US"/>
        </w:rPr>
        <w:t>simulates</w:t>
      </w:r>
      <w:r w:rsidRPr="00D446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triplet</w:t>
      </w:r>
      <w:r w:rsidR="00982826">
        <w:rPr>
          <w:rFonts w:asciiTheme="minorHAnsi" w:eastAsia="MS PGothic" w:hAnsiTheme="minorHAnsi"/>
          <w:color w:val="000000"/>
          <w:sz w:val="22"/>
          <w:szCs w:val="22"/>
          <w:lang w:val="en-US"/>
        </w:rPr>
        <w:t>, computing its electrical behavior and</w:t>
      </w:r>
      <w:r w:rsidRPr="00D446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93A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all </w:t>
      </w:r>
      <w:r w:rsidRPr="00D446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fluxes </w:t>
      </w:r>
      <w:r w:rsidR="008E7B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through </w:t>
      </w:r>
      <w:r w:rsidR="009828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8E7BD7" w:rsidRPr="00D44699">
        <w:rPr>
          <w:rFonts w:asciiTheme="minorHAnsi" w:eastAsia="MS PGothic" w:hAnsiTheme="minorHAnsi"/>
          <w:color w:val="000000"/>
          <w:sz w:val="22"/>
          <w:szCs w:val="22"/>
          <w:lang w:val="en-US"/>
        </w:rPr>
        <w:t>membrane</w:t>
      </w:r>
      <w:r w:rsidR="00982826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8E7BD7" w:rsidRPr="00D446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D44699">
        <w:rPr>
          <w:rFonts w:asciiTheme="minorHAnsi" w:eastAsia="MS PGothic" w:hAnsiTheme="minorHAnsi"/>
          <w:color w:val="000000"/>
          <w:sz w:val="22"/>
          <w:szCs w:val="22"/>
          <w:lang w:val="en-US"/>
        </w:rPr>
        <w:t>(ohmic, diffusive</w:t>
      </w:r>
      <w:r w:rsidR="00E54E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Pr="00D44699">
        <w:rPr>
          <w:rFonts w:asciiTheme="minorHAnsi" w:eastAsia="MS PGothic" w:hAnsiTheme="minorHAnsi"/>
          <w:color w:val="000000"/>
          <w:sz w:val="22"/>
          <w:szCs w:val="22"/>
          <w:lang w:val="en-US"/>
        </w:rPr>
        <w:t>osmotic</w:t>
      </w:r>
      <w:r w:rsidR="00E54E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electro-osmotic</w:t>
      </w:r>
      <w:bookmarkStart w:id="0" w:name="_GoBack"/>
      <w:bookmarkEnd w:id="0"/>
      <w:r w:rsidRPr="00D446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). The medium-high scale </w:t>
      </w:r>
      <w:r w:rsidR="00C405AE">
        <w:rPr>
          <w:rFonts w:asciiTheme="minorHAnsi" w:eastAsia="MS PGothic" w:hAnsiTheme="minorHAnsi"/>
          <w:color w:val="000000"/>
          <w:sz w:val="22"/>
          <w:szCs w:val="22"/>
          <w:lang w:val="en-US"/>
        </w:rPr>
        <w:t>simulates</w:t>
      </w:r>
      <w:r w:rsidR="009D6D0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stack and </w:t>
      </w:r>
      <w:r w:rsidR="008E7BD7" w:rsidRPr="00D44699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predict</w:t>
      </w:r>
      <w:r w:rsidR="009D6D0B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8E7BD7" w:rsidRPr="00D446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405AE">
        <w:rPr>
          <w:rFonts w:asciiTheme="minorHAnsi" w:eastAsia="MS PGothic" w:hAnsiTheme="minorHAnsi"/>
          <w:color w:val="000000"/>
          <w:sz w:val="22"/>
          <w:szCs w:val="22"/>
          <w:lang w:val="en-US"/>
        </w:rPr>
        <w:t>its</w:t>
      </w:r>
      <w:r w:rsidR="00C405AE" w:rsidRPr="00D446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D446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pressure losses and ionic short circuit currents </w:t>
      </w:r>
      <w:r w:rsidRPr="00F60846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via</w:t>
      </w:r>
      <w:r w:rsidRPr="00D446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manifolds</w:t>
      </w:r>
      <w:r w:rsidR="006E22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[3]</w:t>
      </w:r>
      <w:r w:rsidRPr="00D44699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 highest scale simulates the external hydraulic circuit</w:t>
      </w:r>
      <w:r w:rsidR="00C405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Pr="00D44699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electrolyte solutions storage tanks</w:t>
      </w:r>
      <w:r w:rsidR="009D6D0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the transient behavior of the battery</w:t>
      </w:r>
      <w:r w:rsidRPr="00D446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All the levels of the multi-scale model are fully integrated and </w:t>
      </w:r>
      <w:r w:rsidR="00982826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predict</w:t>
      </w:r>
      <w:r w:rsidR="008E7B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distribution of</w:t>
      </w:r>
      <w:r w:rsidRPr="00D446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438C0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8438C0" w:rsidRPr="00D446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D44699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process variables as well as meaningful performance parameters</w:t>
      </w:r>
      <w:r w:rsidR="00A2510F">
        <w:rPr>
          <w:rFonts w:asciiTheme="minorHAnsi" w:eastAsia="MS PGothic" w:hAnsiTheme="minorHAnsi"/>
          <w:color w:val="000000"/>
          <w:sz w:val="22"/>
          <w:szCs w:val="22"/>
          <w:lang w:val="en-US"/>
        </w:rPr>
        <w:t>, such</w:t>
      </w:r>
      <w:r w:rsidRPr="00D446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</w:t>
      </w:r>
      <w:r w:rsidR="008C69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A2510F">
        <w:rPr>
          <w:rFonts w:asciiTheme="minorHAnsi" w:eastAsia="MS PGothic" w:hAnsiTheme="minorHAnsi"/>
          <w:color w:val="000000"/>
          <w:sz w:val="22"/>
          <w:szCs w:val="22"/>
          <w:lang w:val="en-US"/>
        </w:rPr>
        <w:t>Round T</w:t>
      </w:r>
      <w:r w:rsidRPr="00D446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rip </w:t>
      </w:r>
      <w:r w:rsidR="00A2510F">
        <w:rPr>
          <w:rFonts w:asciiTheme="minorHAnsi" w:eastAsia="MS PGothic" w:hAnsiTheme="minorHAnsi"/>
          <w:color w:val="000000"/>
          <w:sz w:val="22"/>
          <w:szCs w:val="22"/>
          <w:lang w:val="en-US"/>
        </w:rPr>
        <w:t>Efficiency (RTE)</w:t>
      </w:r>
      <w:r w:rsidRPr="00D44699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146FCF2B" w14:textId="77777777" w:rsidR="0060590C" w:rsidRDefault="00704BDF" w:rsidP="0060590C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14:paraId="206B6D74" w14:textId="75F99902" w:rsidR="00B20C79" w:rsidRDefault="00982826" w:rsidP="00982826">
      <w:pPr>
        <w:snapToGrid w:val="0"/>
        <w:spacing w:after="120"/>
        <w:rPr>
          <w:rFonts w:asciiTheme="minorHAnsi" w:eastAsia="MS PGothic" w:hAnsiTheme="minorHAnsi"/>
          <w:noProof/>
          <w:color w:val="000000"/>
          <w:sz w:val="22"/>
          <w:szCs w:val="22"/>
          <w:lang w:eastAsia="en-GB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Preliminary experiments show a good agreement with the model predictions. Thus, a</w:t>
      </w:r>
      <w:r w:rsidR="009D6D0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sensitivity analysis was performed in order to assess the effect of </w:t>
      </w:r>
      <w:r w:rsidR="003E12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stack features and operating </w:t>
      </w:r>
      <w:r w:rsidR="009D6D0B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conditions</w:t>
      </w:r>
      <w:r w:rsidR="0060590C" w:rsidRPr="006059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7961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Under most conditions simulated, </w:t>
      </w:r>
      <w:r w:rsidR="0060590C" w:rsidRPr="006059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pumping power </w:t>
      </w:r>
      <w:r w:rsidR="007961EA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r w:rsidR="0060590C" w:rsidRPr="006059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961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voltage </w:t>
      </w:r>
      <w:r w:rsidR="0060590C" w:rsidRPr="006059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drop </w:t>
      </w:r>
      <w:r w:rsidR="007961EA">
        <w:rPr>
          <w:rFonts w:asciiTheme="minorHAnsi" w:eastAsia="MS PGothic" w:hAnsiTheme="minorHAnsi"/>
          <w:color w:val="000000"/>
          <w:sz w:val="22"/>
          <w:szCs w:val="22"/>
          <w:lang w:val="en-US"/>
        </w:rPr>
        <w:t>due to</w:t>
      </w:r>
      <w:r w:rsidR="0060590C" w:rsidRPr="006059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concentration polarization </w:t>
      </w:r>
      <w:r w:rsidR="007961EA">
        <w:rPr>
          <w:rFonts w:asciiTheme="minorHAnsi" w:eastAsia="MS PGothic" w:hAnsiTheme="minorHAnsi"/>
          <w:color w:val="000000"/>
          <w:sz w:val="22"/>
          <w:szCs w:val="22"/>
          <w:lang w:val="en-US"/>
        </w:rPr>
        <w:t>have only minor effects on the process efficiency</w:t>
      </w:r>
      <w:r w:rsidR="0060590C" w:rsidRPr="006059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9D6D0B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Conversely</w:t>
      </w:r>
      <w:r w:rsidR="0060590C" w:rsidRPr="006059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ionic short circuit </w:t>
      </w:r>
      <w:r w:rsidR="007961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currents </w:t>
      </w:r>
      <w:r w:rsidR="0060590C" w:rsidRPr="00F60846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via</w:t>
      </w:r>
      <w:r w:rsidR="0060590C" w:rsidRPr="006059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manifolds </w:t>
      </w:r>
      <w:r w:rsidR="007961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affects significantly </w:t>
      </w:r>
      <w:r w:rsidR="0060590C" w:rsidRPr="0060590C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system</w:t>
      </w:r>
      <w:r w:rsidR="007961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performance</w:t>
      </w:r>
      <w:r w:rsidR="0060590C" w:rsidRPr="006059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9D6D0B">
        <w:rPr>
          <w:rFonts w:asciiTheme="minorHAnsi" w:eastAsia="MS PGothic" w:hAnsiTheme="minorHAnsi"/>
          <w:color w:val="000000"/>
          <w:sz w:val="22"/>
          <w:szCs w:val="22"/>
          <w:lang w:val="en-US"/>
        </w:rPr>
        <w:t>Just as an example</w:t>
      </w:r>
      <w:r w:rsidR="007961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60590C" w:rsidRPr="0060590C">
        <w:rPr>
          <w:rFonts w:asciiTheme="minorHAnsi" w:eastAsia="MS PGothic" w:hAnsiTheme="minorHAnsi"/>
          <w:color w:val="000000"/>
          <w:sz w:val="22"/>
          <w:szCs w:val="22"/>
          <w:lang w:val="en-US"/>
        </w:rPr>
        <w:t>Fig</w:t>
      </w:r>
      <w:r w:rsidR="00B20C79">
        <w:rPr>
          <w:rFonts w:asciiTheme="minorHAnsi" w:eastAsia="MS PGothic" w:hAnsiTheme="minorHAnsi"/>
          <w:color w:val="000000"/>
          <w:sz w:val="22"/>
          <w:szCs w:val="22"/>
          <w:lang w:val="en-US"/>
        </w:rPr>
        <w:t>ure</w:t>
      </w:r>
      <w:r w:rsidR="0060590C" w:rsidRPr="006059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</w:t>
      </w:r>
      <w:r w:rsidR="007961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reports</w:t>
      </w:r>
      <w:r w:rsidR="0060590C" w:rsidRPr="006059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961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simulation results </w:t>
      </w:r>
      <w:r w:rsidR="009D6D0B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concerning</w:t>
      </w:r>
      <w:r w:rsidR="007961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0590C" w:rsidRPr="006059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impact of </w:t>
      </w:r>
      <w:r w:rsidR="00D44699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parasitic currents</w:t>
      </w:r>
      <w:r w:rsidR="00054B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the cell currents, triplet by triplet</w:t>
      </w:r>
      <w:r w:rsidR="00FE4626">
        <w:rPr>
          <w:rFonts w:asciiTheme="minorHAnsi" w:eastAsia="MS PGothic" w:hAnsiTheme="minorHAnsi"/>
          <w:color w:val="000000"/>
          <w:sz w:val="22"/>
          <w:szCs w:val="22"/>
          <w:lang w:val="en-US"/>
        </w:rPr>
        <w:t>: the lower the ratio reported in the y-axis of the figure the higher the parasitic currents impact.</w:t>
      </w:r>
      <w:r w:rsidR="00054B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Each line </w:t>
      </w:r>
      <w:r w:rsidR="007961EA">
        <w:rPr>
          <w:rFonts w:asciiTheme="minorHAnsi" w:eastAsia="MS PGothic" w:hAnsiTheme="minorHAnsi"/>
          <w:color w:val="000000"/>
          <w:sz w:val="22"/>
          <w:szCs w:val="22"/>
          <w:lang w:val="en-US"/>
        </w:rPr>
        <w:t>refers to</w:t>
      </w:r>
      <w:r w:rsidR="00D446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54BA0">
        <w:rPr>
          <w:rFonts w:asciiTheme="minorHAnsi" w:eastAsia="MS PGothic" w:hAnsiTheme="minorHAnsi"/>
          <w:color w:val="000000"/>
          <w:sz w:val="22"/>
          <w:szCs w:val="22"/>
          <w:lang w:val="en-US"/>
        </w:rPr>
        <w:t>a different</w:t>
      </w:r>
      <w:r w:rsidR="0060590C" w:rsidRPr="006059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electric current</w:t>
      </w:r>
      <w:r w:rsidR="007961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supplied to </w:t>
      </w:r>
      <w:r w:rsidR="009D6D0B">
        <w:rPr>
          <w:rFonts w:asciiTheme="minorHAnsi" w:eastAsia="MS PGothic" w:hAnsiTheme="minorHAnsi"/>
          <w:color w:val="000000"/>
          <w:sz w:val="22"/>
          <w:szCs w:val="22"/>
          <w:lang w:val="en-US"/>
        </w:rPr>
        <w:t>an external circuit (discharge, Fig.1</w:t>
      </w:r>
      <w:r w:rsidR="0001602A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7961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or </w:t>
      </w:r>
      <w:r w:rsidR="009D6D0B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coming from it</w:t>
      </w:r>
      <w:r w:rsidR="007961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9D6D0B">
        <w:rPr>
          <w:rFonts w:asciiTheme="minorHAnsi" w:eastAsia="MS PGothic" w:hAnsiTheme="minorHAnsi"/>
          <w:color w:val="000000"/>
          <w:sz w:val="22"/>
          <w:szCs w:val="22"/>
          <w:lang w:val="en-US"/>
        </w:rPr>
        <w:t>charge, Fig.1</w:t>
      </w:r>
      <w:r w:rsidR="0001602A">
        <w:rPr>
          <w:rFonts w:asciiTheme="minorHAnsi" w:eastAsia="MS PGothic" w:hAnsiTheme="minorHAnsi"/>
          <w:color w:val="000000"/>
          <w:sz w:val="22"/>
          <w:szCs w:val="22"/>
          <w:lang w:val="en-US"/>
        </w:rPr>
        <w:t>b</w:t>
      </w:r>
      <w:r w:rsidR="007961EA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60590C" w:rsidRPr="006059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01602A">
        <w:rPr>
          <w:rFonts w:asciiTheme="minorHAnsi" w:eastAsia="MS PGothic" w:hAnsiTheme="minorHAnsi"/>
          <w:color w:val="000000"/>
          <w:sz w:val="22"/>
          <w:szCs w:val="22"/>
          <w:lang w:val="en-US"/>
        </w:rPr>
        <w:t>As the</w:t>
      </w:r>
      <w:r w:rsidR="0060590C" w:rsidRPr="006059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external current</w:t>
      </w:r>
      <w:r w:rsidR="000160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decreases</w:t>
      </w:r>
      <w:r w:rsidR="0060590C" w:rsidRPr="006059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FE46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impact of parasitic current losses becomes more important (see distance from the </w:t>
      </w:r>
      <w:r w:rsidR="00A2510F">
        <w:rPr>
          <w:rFonts w:asciiTheme="minorHAnsi" w:eastAsia="MS PGothic" w:hAnsiTheme="minorHAnsi"/>
          <w:color w:val="000000"/>
          <w:sz w:val="22"/>
          <w:szCs w:val="22"/>
          <w:lang w:val="en-US"/>
        </w:rPr>
        <w:t>horizontal line at I</w:t>
      </w:r>
      <w:r w:rsidR="00A2510F" w:rsidRPr="00A2510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cell</w:t>
      </w:r>
      <w:r w:rsidR="00A2510F">
        <w:rPr>
          <w:rFonts w:asciiTheme="minorHAnsi" w:eastAsia="MS PGothic" w:hAnsiTheme="minorHAnsi"/>
          <w:color w:val="000000"/>
          <w:sz w:val="22"/>
          <w:szCs w:val="22"/>
          <w:lang w:val="en-US"/>
        </w:rPr>
        <w:t>/I</w:t>
      </w:r>
      <w:r w:rsidR="00A2510F" w:rsidRPr="00A2510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cell</w:t>
      </w:r>
      <w:r w:rsidR="00A2510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,</w:t>
      </w:r>
      <w:r w:rsidR="00A2510F" w:rsidRPr="00A2510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max</w:t>
      </w:r>
      <w:r w:rsidR="00E8223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 xml:space="preserve"> </w:t>
      </w:r>
      <w:r w:rsidR="00A2510F">
        <w:rPr>
          <w:rFonts w:asciiTheme="minorHAnsi" w:eastAsia="MS PGothic" w:hAnsiTheme="minorHAnsi"/>
          <w:color w:val="000000"/>
          <w:sz w:val="22"/>
          <w:szCs w:val="22"/>
          <w:lang w:val="en-US"/>
        </w:rPr>
        <w:t>=1)</w:t>
      </w:r>
      <w:r w:rsidR="0060590C" w:rsidRPr="0060590C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054B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2510F">
        <w:rPr>
          <w:rFonts w:asciiTheme="minorHAnsi" w:eastAsia="MS PGothic" w:hAnsiTheme="minorHAnsi"/>
          <w:color w:val="000000"/>
          <w:sz w:val="22"/>
          <w:szCs w:val="22"/>
          <w:lang w:val="en-US"/>
        </w:rPr>
        <w:t>RTE reduction due to ionic short</w:t>
      </w:r>
      <w:r w:rsidR="005A36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circuit currents ranges from 13 to 46</w:t>
      </w:r>
      <w:r w:rsidR="00A251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%</w:t>
      </w:r>
      <w:r w:rsidR="008C69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(RTE</w:t>
      </w:r>
      <w:r w:rsidR="005A36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03256">
        <w:rPr>
          <w:rFonts w:asciiTheme="minorHAnsi" w:eastAsia="MS PGothic" w:hAnsiTheme="minorHAnsi"/>
          <w:color w:val="000000"/>
          <w:sz w:val="22"/>
          <w:szCs w:val="22"/>
          <w:lang w:val="en-US"/>
        </w:rPr>
        <w:t>range</w:t>
      </w:r>
      <w:r w:rsidR="005A36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21–31 %</w:t>
      </w:r>
      <w:r w:rsidR="008C69DC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054BA0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5452C3E5" w14:textId="71DEFE0B" w:rsidR="00704BDF" w:rsidRPr="00DE0019" w:rsidRDefault="00B20C79" w:rsidP="0060590C">
      <w:pPr>
        <w:snapToGrid w:val="0"/>
        <w:spacing w:after="120"/>
        <w:rPr>
          <w:rFonts w:asciiTheme="minorHAnsi" w:eastAsia="MS PGothic" w:hAnsiTheme="minorHAnsi"/>
          <w:color w:val="000000"/>
        </w:rPr>
      </w:pPr>
      <w:r>
        <w:rPr>
          <w:rFonts w:asciiTheme="minorHAnsi" w:eastAsia="MS PGothic" w:hAnsiTheme="minorHAnsi"/>
          <w:noProof/>
          <w:color w:val="000000"/>
          <w:sz w:val="22"/>
          <w:szCs w:val="22"/>
          <w:lang w:eastAsia="en-GB"/>
        </w:rPr>
        <w:t xml:space="preserve">                       </w:t>
      </w:r>
      <w:r w:rsidR="00C22ECB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drawing>
          <wp:inline distT="0" distB="0" distL="0" distR="0" wp14:anchorId="32F72522" wp14:editId="1B17CA40">
            <wp:extent cx="1854800" cy="1172451"/>
            <wp:effectExtent l="0" t="0" r="0" b="889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582" cy="1191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D762D">
        <w:rPr>
          <w:rFonts w:asciiTheme="minorHAnsi" w:eastAsia="MS PGothic" w:hAnsiTheme="minorHAnsi"/>
          <w:noProof/>
          <w:color w:val="000000"/>
          <w:sz w:val="22"/>
          <w:szCs w:val="22"/>
          <w:lang w:eastAsia="en-GB"/>
        </w:rPr>
        <w:t xml:space="preserve"> </w:t>
      </w:r>
      <w:r>
        <w:rPr>
          <w:rFonts w:asciiTheme="minorHAnsi" w:eastAsia="MS PGothic" w:hAnsiTheme="minorHAnsi"/>
          <w:noProof/>
          <w:color w:val="000000"/>
          <w:sz w:val="22"/>
          <w:szCs w:val="22"/>
          <w:lang w:eastAsia="en-GB"/>
        </w:rPr>
        <w:t xml:space="preserve">      </w:t>
      </w:r>
      <w:r w:rsidR="00C22ECB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drawing>
          <wp:inline distT="0" distB="0" distL="0" distR="0" wp14:anchorId="669920B9" wp14:editId="29B29A2F">
            <wp:extent cx="1854587" cy="1172316"/>
            <wp:effectExtent l="0" t="0" r="0" b="889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997" cy="11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321058" w14:textId="2FEB269C"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FC6923">
        <w:rPr>
          <w:rFonts w:asciiTheme="minorHAnsi" w:hAnsiTheme="minorHAnsi"/>
          <w:lang w:val="en-US"/>
        </w:rPr>
        <w:t>R</w:t>
      </w:r>
      <w:r w:rsidR="00963B75">
        <w:rPr>
          <w:rFonts w:asciiTheme="minorHAnsi" w:eastAsia="MS PGothic" w:hAnsiTheme="minorHAnsi"/>
          <w:color w:val="000000"/>
          <w:szCs w:val="18"/>
          <w:lang w:val="en-US"/>
        </w:rPr>
        <w:t xml:space="preserve">atio between </w:t>
      </w:r>
      <w:r w:rsidR="0001602A">
        <w:rPr>
          <w:rFonts w:asciiTheme="minorHAnsi" w:eastAsia="MS PGothic" w:hAnsiTheme="minorHAnsi"/>
          <w:color w:val="000000"/>
          <w:szCs w:val="18"/>
          <w:lang w:val="en-US"/>
        </w:rPr>
        <w:t>cell</w:t>
      </w:r>
      <w:r w:rsidR="00963B75">
        <w:rPr>
          <w:rFonts w:asciiTheme="minorHAnsi" w:eastAsia="MS PGothic" w:hAnsiTheme="minorHAnsi"/>
          <w:color w:val="000000"/>
          <w:szCs w:val="18"/>
          <w:lang w:val="en-US"/>
        </w:rPr>
        <w:t xml:space="preserve"> current and maximum </w:t>
      </w:r>
      <w:r w:rsidR="0001602A">
        <w:rPr>
          <w:rFonts w:asciiTheme="minorHAnsi" w:eastAsia="MS PGothic" w:hAnsiTheme="minorHAnsi"/>
          <w:color w:val="000000"/>
          <w:szCs w:val="18"/>
          <w:lang w:val="en-US"/>
        </w:rPr>
        <w:t xml:space="preserve">cell </w:t>
      </w:r>
      <w:r w:rsidR="00FC6923">
        <w:rPr>
          <w:rFonts w:asciiTheme="minorHAnsi" w:eastAsia="MS PGothic" w:hAnsiTheme="minorHAnsi"/>
          <w:color w:val="000000"/>
          <w:szCs w:val="18"/>
          <w:lang w:val="en-US"/>
        </w:rPr>
        <w:t>current</w:t>
      </w:r>
      <w:r w:rsidR="00963B75">
        <w:rPr>
          <w:rFonts w:asciiTheme="minorHAnsi" w:eastAsia="MS PGothic" w:hAnsiTheme="minorHAnsi"/>
          <w:color w:val="000000"/>
          <w:szCs w:val="18"/>
          <w:lang w:val="en-US"/>
        </w:rPr>
        <w:t xml:space="preserve"> along the stack for discharge (a) and charge (b)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>.</w:t>
      </w:r>
      <w:r w:rsidR="0044034F">
        <w:rPr>
          <w:rFonts w:asciiTheme="minorHAnsi" w:eastAsia="MS PGothic" w:hAnsiTheme="minorHAnsi"/>
          <w:color w:val="000000"/>
          <w:szCs w:val="18"/>
          <w:lang w:val="en-US"/>
        </w:rPr>
        <w:t xml:space="preserve"> Stack of 63 triplets, membrane area 0.19x0.21 m</w:t>
      </w:r>
      <w:r w:rsidR="0044034F" w:rsidRPr="0044034F">
        <w:rPr>
          <w:rFonts w:asciiTheme="minorHAnsi" w:eastAsia="MS PGothic" w:hAnsiTheme="minorHAnsi"/>
          <w:color w:val="000000"/>
          <w:szCs w:val="18"/>
          <w:vertAlign w:val="superscript"/>
          <w:lang w:val="en-US"/>
        </w:rPr>
        <w:t>2</w:t>
      </w:r>
      <w:r w:rsidR="0044034F">
        <w:rPr>
          <w:rFonts w:asciiTheme="minorHAnsi" w:eastAsia="MS PGothic" w:hAnsiTheme="minorHAnsi"/>
          <w:color w:val="000000"/>
          <w:szCs w:val="18"/>
          <w:lang w:val="en-US"/>
        </w:rPr>
        <w:t xml:space="preserve">, </w:t>
      </w:r>
      <w:r w:rsidR="001C7F2A">
        <w:rPr>
          <w:rFonts w:asciiTheme="minorHAnsi" w:eastAsia="MS PGothic" w:hAnsiTheme="minorHAnsi"/>
          <w:color w:val="000000"/>
          <w:szCs w:val="18"/>
          <w:lang w:val="en-US"/>
        </w:rPr>
        <w:t xml:space="preserve">spacer thickness </w:t>
      </w:r>
      <w:r w:rsidR="0044034F">
        <w:rPr>
          <w:rFonts w:asciiTheme="minorHAnsi" w:eastAsia="MS PGothic" w:hAnsiTheme="minorHAnsi"/>
          <w:color w:val="000000"/>
          <w:szCs w:val="18"/>
          <w:lang w:val="en-US"/>
        </w:rPr>
        <w:t xml:space="preserve">500 </w:t>
      </w:r>
      <w:r w:rsidR="0044034F">
        <w:rPr>
          <w:rFonts w:asciiTheme="minorHAnsi" w:eastAsia="MS PGothic" w:hAnsiTheme="minorHAnsi" w:cstheme="minorHAnsi"/>
          <w:color w:val="000000"/>
          <w:szCs w:val="18"/>
          <w:lang w:val="en-US"/>
        </w:rPr>
        <w:t>µ</w:t>
      </w:r>
      <w:r w:rsidR="0044034F">
        <w:rPr>
          <w:rFonts w:asciiTheme="minorHAnsi" w:eastAsia="MS PGothic" w:hAnsiTheme="minorHAnsi"/>
          <w:color w:val="000000"/>
          <w:szCs w:val="18"/>
          <w:lang w:val="en-US"/>
        </w:rPr>
        <w:t xml:space="preserve">m, </w:t>
      </w:r>
      <w:r w:rsidR="001C7F2A">
        <w:rPr>
          <w:rFonts w:asciiTheme="minorHAnsi" w:eastAsia="MS PGothic" w:hAnsiTheme="minorHAnsi"/>
          <w:color w:val="000000"/>
          <w:szCs w:val="18"/>
          <w:lang w:val="en-US"/>
        </w:rPr>
        <w:t xml:space="preserve">manifolds diameter </w:t>
      </w:r>
      <w:r w:rsidR="0044034F">
        <w:rPr>
          <w:rFonts w:asciiTheme="minorHAnsi" w:eastAsia="MS PGothic" w:hAnsiTheme="minorHAnsi"/>
          <w:color w:val="000000"/>
          <w:szCs w:val="18"/>
          <w:lang w:val="en-US"/>
        </w:rPr>
        <w:t>8 mm, mean flow velocity 0.4 cm s</w:t>
      </w:r>
      <w:r w:rsidR="0044034F" w:rsidRPr="0044034F">
        <w:rPr>
          <w:rFonts w:asciiTheme="minorHAnsi" w:eastAsia="MS PGothic" w:hAnsiTheme="minorHAnsi"/>
          <w:color w:val="000000"/>
          <w:szCs w:val="18"/>
          <w:vertAlign w:val="superscript"/>
          <w:lang w:val="en-US"/>
        </w:rPr>
        <w:t>-1</w:t>
      </w:r>
      <w:r w:rsidR="0044034F">
        <w:rPr>
          <w:rFonts w:asciiTheme="minorHAnsi" w:eastAsia="MS PGothic" w:hAnsiTheme="minorHAnsi"/>
          <w:color w:val="000000"/>
          <w:szCs w:val="18"/>
          <w:lang w:val="en-US"/>
        </w:rPr>
        <w:t>, starting composition: acid 1M HCl-0.25M NaCl, base 1M NaOH-0.25M NaCl, salt 0.02M HCl, 0.25M NaCl.</w:t>
      </w:r>
    </w:p>
    <w:p w14:paraId="49A9C5E0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11190E46" w14:textId="5E3E6888" w:rsidR="0060590C" w:rsidRDefault="0060590C" w:rsidP="00067251">
      <w:pPr>
        <w:snapToGrid w:val="0"/>
        <w:spacing w:before="12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60590C">
        <w:rPr>
          <w:rFonts w:asciiTheme="minorHAnsi" w:eastAsia="MS PGothic" w:hAnsiTheme="minorHAnsi"/>
          <w:color w:val="000000"/>
          <w:sz w:val="22"/>
          <w:szCs w:val="22"/>
          <w:lang w:val="en-US"/>
        </w:rPr>
        <w:t>A mathematical multi-scale tool was developed in order to</w:t>
      </w:r>
      <w:r w:rsidR="00524D4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simulate </w:t>
      </w:r>
      <w:r w:rsidR="00524D40" w:rsidRPr="00D44699">
        <w:rPr>
          <w:rFonts w:asciiTheme="minorHAnsi" w:eastAsia="MS PGothic" w:hAnsiTheme="minorHAnsi"/>
          <w:color w:val="000000"/>
          <w:sz w:val="22"/>
          <w:szCs w:val="22"/>
          <w:lang w:val="en-US"/>
        </w:rPr>
        <w:t>AB-FB</w:t>
      </w:r>
      <w:r w:rsidR="00524D4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units.</w:t>
      </w:r>
      <w:r w:rsidRPr="006059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From </w:t>
      </w:r>
      <w:r w:rsidR="00524D4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sensitivity </w:t>
      </w:r>
      <w:r w:rsidRPr="006059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analysis, pumping power </w:t>
      </w:r>
      <w:r w:rsidR="00524D40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r w:rsidRPr="006059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polarization </w:t>
      </w:r>
      <w:r w:rsidR="00524D4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found to </w:t>
      </w:r>
      <w:r w:rsidR="00FE4626">
        <w:rPr>
          <w:rFonts w:asciiTheme="minorHAnsi" w:eastAsia="MS PGothic" w:hAnsiTheme="minorHAnsi"/>
          <w:color w:val="000000"/>
          <w:sz w:val="22"/>
          <w:szCs w:val="22"/>
          <w:lang w:val="en-US"/>
        </w:rPr>
        <w:t>slightly affect</w:t>
      </w:r>
      <w:r w:rsidR="00524D4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60590C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battery</w:t>
      </w:r>
      <w:r w:rsidR="008C69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performance</w:t>
      </w:r>
      <w:r w:rsidRPr="006059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8C69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 the other hand, </w:t>
      </w:r>
      <w:r w:rsidRPr="006059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ionic short-circuit currents </w:t>
      </w:r>
      <w:r w:rsidR="008C69DC">
        <w:rPr>
          <w:rFonts w:asciiTheme="minorHAnsi" w:eastAsia="MS PGothic" w:hAnsiTheme="minorHAnsi"/>
          <w:color w:val="000000"/>
          <w:sz w:val="22"/>
          <w:szCs w:val="22"/>
          <w:lang w:val="en-US"/>
        </w:rPr>
        <w:t>represent</w:t>
      </w:r>
      <w:r w:rsidRPr="006059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major </w:t>
      </w:r>
      <w:r w:rsidR="008C69DC">
        <w:rPr>
          <w:rFonts w:asciiTheme="minorHAnsi" w:eastAsia="MS PGothic" w:hAnsiTheme="minorHAnsi"/>
          <w:color w:val="000000"/>
          <w:sz w:val="22"/>
          <w:szCs w:val="22"/>
          <w:lang w:val="en-US"/>
        </w:rPr>
        <w:t>issue</w:t>
      </w:r>
      <w:r w:rsidR="00FE46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DA0C89">
        <w:rPr>
          <w:rFonts w:asciiTheme="minorHAnsi" w:eastAsia="MS PGothic" w:hAnsiTheme="minorHAnsi"/>
          <w:color w:val="000000"/>
          <w:sz w:val="22"/>
          <w:szCs w:val="22"/>
          <w:lang w:val="en-US"/>
        </w:rPr>
        <w:t>leading up to almost halved values of</w:t>
      </w:r>
      <w:r w:rsidR="008C69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RTE</w:t>
      </w:r>
      <w:r w:rsidR="00E54E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E54EBE">
        <w:rPr>
          <w:rFonts w:asciiTheme="minorHAnsi" w:eastAsia="MS PGothic" w:hAnsiTheme="minorHAnsi"/>
          <w:color w:val="000000"/>
          <w:sz w:val="22"/>
          <w:szCs w:val="22"/>
          <w:lang w:val="en-US"/>
        </w:rPr>
        <w:sym w:font="Symbol" w:char="F07E"/>
      </w:r>
      <w:r w:rsidR="00E54EBE">
        <w:rPr>
          <w:rFonts w:asciiTheme="minorHAnsi" w:eastAsia="MS PGothic" w:hAnsiTheme="minorHAnsi"/>
          <w:color w:val="000000"/>
          <w:sz w:val="22"/>
          <w:szCs w:val="22"/>
          <w:lang w:val="en-US"/>
        </w:rPr>
        <w:t>30 %)</w:t>
      </w:r>
      <w:r w:rsidR="008C69DC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These preliminary results provide important insights for improved designs</w:t>
      </w:r>
      <w:r w:rsidR="00FE46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DA0C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FE46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further </w:t>
      </w:r>
      <w:r w:rsidR="00DA0C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studies are ongoing </w:t>
      </w:r>
      <w:r w:rsidR="00FE4626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achieve</w:t>
      </w:r>
      <w:r w:rsidR="008C69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A0C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competitive </w:t>
      </w:r>
      <w:r w:rsidR="008D1E6B">
        <w:rPr>
          <w:rFonts w:asciiTheme="minorHAnsi" w:eastAsia="MS PGothic" w:hAnsiTheme="minorHAnsi"/>
          <w:color w:val="000000"/>
          <w:sz w:val="22"/>
          <w:szCs w:val="22"/>
          <w:lang w:val="en-US"/>
        </w:rPr>
        <w:t>RTE</w:t>
      </w:r>
      <w:r w:rsidR="00DA0C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values, e.g. larger than </w:t>
      </w:r>
      <w:r w:rsidR="008D1E6B">
        <w:rPr>
          <w:rFonts w:asciiTheme="minorHAnsi" w:eastAsia="MS PGothic" w:hAnsiTheme="minorHAnsi"/>
          <w:color w:val="000000"/>
          <w:sz w:val="22"/>
          <w:szCs w:val="22"/>
          <w:lang w:val="en-US"/>
        </w:rPr>
        <w:t>70%.</w:t>
      </w:r>
    </w:p>
    <w:p w14:paraId="09455C7D" w14:textId="77777777" w:rsidR="00067251" w:rsidRDefault="00FC6923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0"/>
          <w:lang w:val="en-US"/>
        </w:rPr>
      </w:pPr>
      <w:r w:rsidRPr="00FC6923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Acknowledgements</w:t>
      </w:r>
    </w:p>
    <w:p w14:paraId="44F9DEB5" w14:textId="1B3D013A" w:rsidR="00067251" w:rsidRPr="00067251" w:rsidRDefault="00203256" w:rsidP="00067251">
      <w:pPr>
        <w:snapToGrid w:val="0"/>
        <w:spacing w:before="120" w:line="300" w:lineRule="auto"/>
        <w:rPr>
          <w:rFonts w:asciiTheme="minorHAnsi" w:eastAsia="MS PGothic" w:hAnsiTheme="minorHAnsi"/>
          <w:bCs/>
          <w:color w:val="000000"/>
          <w:sz w:val="22"/>
        </w:rPr>
      </w:pPr>
      <w:r w:rsidRPr="00203256">
        <w:rPr>
          <w:rFonts w:asciiTheme="minorHAnsi" w:eastAsia="MS PGothic" w:hAnsiTheme="minorHAnsi"/>
          <w:bCs/>
          <w:color w:val="000000"/>
          <w:sz w:val="22"/>
        </w:rPr>
        <w:t>This work was performed in the framework of the BAoBaB project (</w:t>
      </w:r>
      <w:r w:rsidRPr="00F60846">
        <w:rPr>
          <w:rFonts w:asciiTheme="minorHAnsi" w:eastAsia="MS PGothic" w:hAnsiTheme="minorHAnsi"/>
          <w:bCs/>
          <w:i/>
          <w:color w:val="000000"/>
          <w:sz w:val="22"/>
        </w:rPr>
        <w:t>Blue Acid/Base Battery: Storage and recovery of renewable electrical energy by reversible salt water dissociation</w:t>
      </w:r>
      <w:r w:rsidRPr="00203256">
        <w:rPr>
          <w:rFonts w:asciiTheme="minorHAnsi" w:eastAsia="MS PGothic" w:hAnsiTheme="minorHAnsi"/>
          <w:bCs/>
          <w:color w:val="000000"/>
          <w:sz w:val="22"/>
        </w:rPr>
        <w:t>). The BAoBaB project has received funding from the European Union’s Horizon 2020 Research and Innovation program under Grant Agreement no. 731187 (</w:t>
      </w:r>
      <w:hyperlink r:id="rId12" w:history="1">
        <w:r w:rsidRPr="00EE5467">
          <w:rPr>
            <w:rStyle w:val="Collegamentoipertestuale"/>
            <w:rFonts w:asciiTheme="minorHAnsi" w:eastAsia="MS PGothic" w:hAnsiTheme="minorHAnsi"/>
            <w:bCs/>
            <w:sz w:val="22"/>
          </w:rPr>
          <w:t>www.baobabproject.eu</w:t>
        </w:r>
      </w:hyperlink>
      <w:r w:rsidRPr="00203256">
        <w:rPr>
          <w:rFonts w:asciiTheme="minorHAnsi" w:eastAsia="MS PGothic" w:hAnsiTheme="minorHAnsi"/>
          <w:bCs/>
          <w:color w:val="000000"/>
          <w:sz w:val="22"/>
        </w:rPr>
        <w:t>).</w:t>
      </w:r>
    </w:p>
    <w:p w14:paraId="40E1A18B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963B75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14:paraId="2AFF1888" w14:textId="0E64BD0E" w:rsidR="00704BDF" w:rsidRPr="008D0BEB" w:rsidRDefault="00B20C79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W.J. van Egmond</w:t>
      </w:r>
      <w:r w:rsidR="00704BDF" w:rsidRPr="008D0BEB">
        <w:rPr>
          <w:rFonts w:asciiTheme="minorHAnsi" w:hAnsiTheme="minorHAnsi"/>
          <w:color w:val="000000"/>
        </w:rPr>
        <w:t>,</w:t>
      </w:r>
      <w:r>
        <w:rPr>
          <w:rFonts w:asciiTheme="minorHAnsi" w:hAnsiTheme="minorHAnsi"/>
          <w:color w:val="000000"/>
        </w:rPr>
        <w:t xml:space="preserve"> M. Saakes, I. Noor, S. Porada, C. J. N. Buisman, H.V.M. Hamelers,</w:t>
      </w:r>
      <w:r w:rsidR="00704BDF" w:rsidRPr="008D0BEB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Int</w:t>
      </w:r>
      <w:r w:rsidR="009944C9">
        <w:rPr>
          <w:rFonts w:asciiTheme="minorHAnsi" w:hAnsiTheme="minorHAnsi"/>
          <w:color w:val="000000"/>
        </w:rPr>
        <w:t>.</w:t>
      </w:r>
      <w:r>
        <w:rPr>
          <w:rFonts w:asciiTheme="minorHAnsi" w:hAnsiTheme="minorHAnsi"/>
          <w:color w:val="000000"/>
        </w:rPr>
        <w:t xml:space="preserve"> J</w:t>
      </w:r>
      <w:r w:rsidR="009944C9">
        <w:rPr>
          <w:rFonts w:asciiTheme="minorHAnsi" w:hAnsiTheme="minorHAnsi"/>
          <w:color w:val="000000"/>
        </w:rPr>
        <w:t>.</w:t>
      </w:r>
      <w:r>
        <w:rPr>
          <w:rFonts w:asciiTheme="minorHAnsi" w:hAnsiTheme="minorHAnsi"/>
          <w:color w:val="000000"/>
        </w:rPr>
        <w:t xml:space="preserve"> Energy Res</w:t>
      </w:r>
      <w:r w:rsidR="009944C9">
        <w:rPr>
          <w:rFonts w:asciiTheme="minorHAnsi" w:hAnsiTheme="minorHAnsi"/>
          <w:color w:val="000000"/>
        </w:rPr>
        <w:t>.</w:t>
      </w:r>
      <w:r>
        <w:rPr>
          <w:rFonts w:asciiTheme="minorHAnsi" w:hAnsiTheme="minorHAnsi"/>
          <w:color w:val="000000"/>
        </w:rPr>
        <w:t xml:space="preserve"> (2017) 1-12</w:t>
      </w:r>
      <w:r w:rsidR="00704BDF" w:rsidRPr="008D0BEB">
        <w:rPr>
          <w:rFonts w:asciiTheme="minorHAnsi" w:hAnsiTheme="minorHAnsi"/>
          <w:color w:val="000000"/>
        </w:rPr>
        <w:t>.</w:t>
      </w:r>
    </w:p>
    <w:p w14:paraId="175CD461" w14:textId="74432BDA" w:rsidR="006E223F" w:rsidRPr="00802404" w:rsidRDefault="006E223F" w:rsidP="006E223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sz w:val="22"/>
          <w:szCs w:val="22"/>
          <w:lang w:val="it-IT" w:eastAsia="zh-CN"/>
        </w:rPr>
      </w:pPr>
      <w:r w:rsidRPr="00802404">
        <w:rPr>
          <w:rFonts w:asciiTheme="minorHAnsi" w:hAnsiTheme="minorHAnsi"/>
          <w:color w:val="000000"/>
          <w:lang w:val="it-IT"/>
        </w:rPr>
        <w:t xml:space="preserve">M. La Cerva, M. Di Liberto, L. </w:t>
      </w:r>
      <w:r>
        <w:rPr>
          <w:rFonts w:asciiTheme="minorHAnsi" w:hAnsiTheme="minorHAnsi"/>
          <w:color w:val="000000"/>
          <w:lang w:val="it-IT"/>
        </w:rPr>
        <w:t>Gurreri, A. Tamburini, A. Cipollina, G. Micale, M. Ciofalo, J</w:t>
      </w:r>
      <w:r w:rsidR="009944C9">
        <w:rPr>
          <w:rFonts w:asciiTheme="minorHAnsi" w:hAnsiTheme="minorHAnsi"/>
          <w:color w:val="000000"/>
          <w:lang w:val="it-IT"/>
        </w:rPr>
        <w:t>.</w:t>
      </w:r>
      <w:r>
        <w:rPr>
          <w:rFonts w:asciiTheme="minorHAnsi" w:hAnsiTheme="minorHAnsi"/>
          <w:color w:val="000000"/>
          <w:lang w:val="it-IT"/>
        </w:rPr>
        <w:t xml:space="preserve"> Membr</w:t>
      </w:r>
      <w:r w:rsidR="009944C9">
        <w:rPr>
          <w:rFonts w:asciiTheme="minorHAnsi" w:hAnsiTheme="minorHAnsi"/>
          <w:color w:val="000000"/>
          <w:lang w:val="it-IT"/>
        </w:rPr>
        <w:t>.</w:t>
      </w:r>
      <w:r>
        <w:rPr>
          <w:rFonts w:asciiTheme="minorHAnsi" w:hAnsiTheme="minorHAnsi"/>
          <w:color w:val="000000"/>
          <w:lang w:val="it-IT"/>
        </w:rPr>
        <w:t xml:space="preserve"> Sci</w:t>
      </w:r>
      <w:r w:rsidR="009944C9">
        <w:rPr>
          <w:rFonts w:asciiTheme="minorHAnsi" w:hAnsiTheme="minorHAnsi"/>
          <w:color w:val="000000"/>
          <w:lang w:val="it-IT"/>
        </w:rPr>
        <w:t>.</w:t>
      </w:r>
      <w:r>
        <w:rPr>
          <w:rFonts w:asciiTheme="minorHAnsi" w:hAnsiTheme="minorHAnsi"/>
          <w:color w:val="000000"/>
          <w:lang w:val="it-IT"/>
        </w:rPr>
        <w:t xml:space="preserve"> 541 (2017) 595-610.</w:t>
      </w:r>
    </w:p>
    <w:p w14:paraId="5F4C3ED7" w14:textId="63299562" w:rsidR="00704BDF" w:rsidRPr="00A455EF" w:rsidRDefault="006E223F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sz w:val="22"/>
          <w:szCs w:val="22"/>
          <w:lang w:eastAsia="zh-CN"/>
        </w:rPr>
      </w:pPr>
      <w:r w:rsidRPr="008E7BD7">
        <w:rPr>
          <w:rFonts w:asciiTheme="minorHAnsi" w:hAnsiTheme="minorHAnsi"/>
          <w:color w:val="000000"/>
        </w:rPr>
        <w:t>J. Veerman, J.W. Post, M. Saakes, S.J. Metz, G.J. Harmsen, J</w:t>
      </w:r>
      <w:r w:rsidR="009944C9">
        <w:rPr>
          <w:rFonts w:asciiTheme="minorHAnsi" w:hAnsiTheme="minorHAnsi"/>
          <w:color w:val="000000"/>
        </w:rPr>
        <w:t>.</w:t>
      </w:r>
      <w:r w:rsidRPr="008E7BD7">
        <w:rPr>
          <w:rFonts w:asciiTheme="minorHAnsi" w:hAnsiTheme="minorHAnsi"/>
          <w:color w:val="000000"/>
        </w:rPr>
        <w:t xml:space="preserve"> Membr</w:t>
      </w:r>
      <w:r w:rsidR="009944C9">
        <w:rPr>
          <w:rFonts w:asciiTheme="minorHAnsi" w:hAnsiTheme="minorHAnsi"/>
          <w:color w:val="000000"/>
        </w:rPr>
        <w:t>.</w:t>
      </w:r>
      <w:r w:rsidRPr="008E7BD7">
        <w:rPr>
          <w:rFonts w:asciiTheme="minorHAnsi" w:hAnsiTheme="minorHAnsi"/>
          <w:color w:val="000000"/>
        </w:rPr>
        <w:t xml:space="preserve"> Sci</w:t>
      </w:r>
      <w:r w:rsidR="009944C9">
        <w:rPr>
          <w:rFonts w:asciiTheme="minorHAnsi" w:hAnsiTheme="minorHAnsi"/>
          <w:color w:val="000000"/>
        </w:rPr>
        <w:t xml:space="preserve">. </w:t>
      </w:r>
      <w:r w:rsidRPr="008E7BD7">
        <w:rPr>
          <w:rFonts w:asciiTheme="minorHAnsi" w:hAnsiTheme="minorHAnsi"/>
          <w:color w:val="000000"/>
        </w:rPr>
        <w:t>310 (2008) 418-430.</w:t>
      </w:r>
    </w:p>
    <w:sectPr w:rsidR="00704BDF" w:rsidRPr="00A455E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8C479" w14:textId="77777777" w:rsidR="00B6168D" w:rsidRDefault="00B6168D" w:rsidP="004F5E36">
      <w:r>
        <w:separator/>
      </w:r>
    </w:p>
  </w:endnote>
  <w:endnote w:type="continuationSeparator" w:id="0">
    <w:p w14:paraId="2ECDF432" w14:textId="77777777" w:rsidR="00B6168D" w:rsidRDefault="00B6168D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804E8" w14:textId="77777777" w:rsidR="00B6168D" w:rsidRDefault="00B6168D" w:rsidP="004F5E36">
      <w:r>
        <w:separator/>
      </w:r>
    </w:p>
  </w:footnote>
  <w:footnote w:type="continuationSeparator" w:id="0">
    <w:p w14:paraId="59D70724" w14:textId="77777777" w:rsidR="00B6168D" w:rsidRDefault="00B6168D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5A7E0" w14:textId="77777777" w:rsidR="004D1162" w:rsidRDefault="00594E9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4E7F56B" wp14:editId="61BEEB5A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7457C198" wp14:editId="65AAE59E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5C1E6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837D2E9" wp14:editId="40A31FCB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183C7D3B" w14:textId="77777777" w:rsidR="00704BDF" w:rsidRDefault="00704BDF">
    <w:pPr>
      <w:pStyle w:val="Intestazione"/>
    </w:pPr>
  </w:p>
  <w:p w14:paraId="639D10D4" w14:textId="77777777" w:rsidR="00704BDF" w:rsidRDefault="00704BD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077ED8" wp14:editId="339A04FA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F277D"/>
    <w:multiLevelType w:val="hybridMultilevel"/>
    <w:tmpl w:val="FEEE9B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2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1602A"/>
    <w:rsid w:val="0003148D"/>
    <w:rsid w:val="00054BA0"/>
    <w:rsid w:val="00062A9A"/>
    <w:rsid w:val="00067251"/>
    <w:rsid w:val="00070BE1"/>
    <w:rsid w:val="00095473"/>
    <w:rsid w:val="000A03B2"/>
    <w:rsid w:val="000D34BE"/>
    <w:rsid w:val="000E36F1"/>
    <w:rsid w:val="000E3A73"/>
    <w:rsid w:val="000E414A"/>
    <w:rsid w:val="0013121F"/>
    <w:rsid w:val="00134DE4"/>
    <w:rsid w:val="00150E59"/>
    <w:rsid w:val="00184AD6"/>
    <w:rsid w:val="0019226D"/>
    <w:rsid w:val="001A266F"/>
    <w:rsid w:val="001B65C1"/>
    <w:rsid w:val="001C684B"/>
    <w:rsid w:val="001C7F2A"/>
    <w:rsid w:val="001D53FC"/>
    <w:rsid w:val="001F2EC7"/>
    <w:rsid w:val="00203256"/>
    <w:rsid w:val="002065DB"/>
    <w:rsid w:val="002447EF"/>
    <w:rsid w:val="00251550"/>
    <w:rsid w:val="0027221A"/>
    <w:rsid w:val="00275B61"/>
    <w:rsid w:val="002D1F12"/>
    <w:rsid w:val="003009B7"/>
    <w:rsid w:val="0030469C"/>
    <w:rsid w:val="003723D4"/>
    <w:rsid w:val="00393A3F"/>
    <w:rsid w:val="003A19E3"/>
    <w:rsid w:val="003A7D1C"/>
    <w:rsid w:val="003E1218"/>
    <w:rsid w:val="00404897"/>
    <w:rsid w:val="0044034F"/>
    <w:rsid w:val="0046164A"/>
    <w:rsid w:val="00462DCD"/>
    <w:rsid w:val="004D1162"/>
    <w:rsid w:val="004E4DD6"/>
    <w:rsid w:val="004F5E36"/>
    <w:rsid w:val="005119A5"/>
    <w:rsid w:val="00524D40"/>
    <w:rsid w:val="005278B7"/>
    <w:rsid w:val="005346C8"/>
    <w:rsid w:val="00574648"/>
    <w:rsid w:val="00594E9F"/>
    <w:rsid w:val="005A364B"/>
    <w:rsid w:val="005B61E6"/>
    <w:rsid w:val="005C77E1"/>
    <w:rsid w:val="005D6A2F"/>
    <w:rsid w:val="005E1A82"/>
    <w:rsid w:val="005F0A28"/>
    <w:rsid w:val="005F0E5E"/>
    <w:rsid w:val="0060590C"/>
    <w:rsid w:val="00615062"/>
    <w:rsid w:val="00620DEE"/>
    <w:rsid w:val="00625639"/>
    <w:rsid w:val="0064184D"/>
    <w:rsid w:val="00654E02"/>
    <w:rsid w:val="00660E3E"/>
    <w:rsid w:val="00662E74"/>
    <w:rsid w:val="006A58D2"/>
    <w:rsid w:val="006C5579"/>
    <w:rsid w:val="006E223F"/>
    <w:rsid w:val="00704BDF"/>
    <w:rsid w:val="00736B13"/>
    <w:rsid w:val="00742456"/>
    <w:rsid w:val="00742CF6"/>
    <w:rsid w:val="007431A6"/>
    <w:rsid w:val="007447F3"/>
    <w:rsid w:val="007661C8"/>
    <w:rsid w:val="007961EA"/>
    <w:rsid w:val="007A0C78"/>
    <w:rsid w:val="007D52CD"/>
    <w:rsid w:val="00802404"/>
    <w:rsid w:val="0080574D"/>
    <w:rsid w:val="00813288"/>
    <w:rsid w:val="008168FC"/>
    <w:rsid w:val="00824BF6"/>
    <w:rsid w:val="008438C0"/>
    <w:rsid w:val="008479A2"/>
    <w:rsid w:val="00863E62"/>
    <w:rsid w:val="008719D2"/>
    <w:rsid w:val="0087637F"/>
    <w:rsid w:val="008A1512"/>
    <w:rsid w:val="008C69DC"/>
    <w:rsid w:val="008D0BEB"/>
    <w:rsid w:val="008D1E6B"/>
    <w:rsid w:val="008E566E"/>
    <w:rsid w:val="008E7BD7"/>
    <w:rsid w:val="00901EB6"/>
    <w:rsid w:val="00910A23"/>
    <w:rsid w:val="009450CE"/>
    <w:rsid w:val="0095164B"/>
    <w:rsid w:val="00963B75"/>
    <w:rsid w:val="00982826"/>
    <w:rsid w:val="009944C9"/>
    <w:rsid w:val="00996483"/>
    <w:rsid w:val="009D6D0B"/>
    <w:rsid w:val="009E788A"/>
    <w:rsid w:val="00A11530"/>
    <w:rsid w:val="00A1763D"/>
    <w:rsid w:val="00A17CEC"/>
    <w:rsid w:val="00A2510F"/>
    <w:rsid w:val="00A26CD2"/>
    <w:rsid w:val="00A27EF0"/>
    <w:rsid w:val="00A455EF"/>
    <w:rsid w:val="00A76EFC"/>
    <w:rsid w:val="00A80672"/>
    <w:rsid w:val="00A9626B"/>
    <w:rsid w:val="00A97F29"/>
    <w:rsid w:val="00AB0964"/>
    <w:rsid w:val="00AE377D"/>
    <w:rsid w:val="00AE6110"/>
    <w:rsid w:val="00AF2E2E"/>
    <w:rsid w:val="00B20C79"/>
    <w:rsid w:val="00B6168D"/>
    <w:rsid w:val="00B61DBF"/>
    <w:rsid w:val="00B818A2"/>
    <w:rsid w:val="00BC30C9"/>
    <w:rsid w:val="00BE3E58"/>
    <w:rsid w:val="00C01616"/>
    <w:rsid w:val="00C0162B"/>
    <w:rsid w:val="00C22ECB"/>
    <w:rsid w:val="00C345B1"/>
    <w:rsid w:val="00C40142"/>
    <w:rsid w:val="00C405AE"/>
    <w:rsid w:val="00C43EFB"/>
    <w:rsid w:val="00C57182"/>
    <w:rsid w:val="00C655FD"/>
    <w:rsid w:val="00C867B1"/>
    <w:rsid w:val="00C94434"/>
    <w:rsid w:val="00CA1C95"/>
    <w:rsid w:val="00CA3641"/>
    <w:rsid w:val="00CA5A9C"/>
    <w:rsid w:val="00CD5FE2"/>
    <w:rsid w:val="00D02B4C"/>
    <w:rsid w:val="00D44699"/>
    <w:rsid w:val="00D755E6"/>
    <w:rsid w:val="00D84576"/>
    <w:rsid w:val="00DA0C89"/>
    <w:rsid w:val="00DD762D"/>
    <w:rsid w:val="00DE0019"/>
    <w:rsid w:val="00DE264A"/>
    <w:rsid w:val="00E041E7"/>
    <w:rsid w:val="00E23CA1"/>
    <w:rsid w:val="00E409A8"/>
    <w:rsid w:val="00E54EBE"/>
    <w:rsid w:val="00E7209D"/>
    <w:rsid w:val="00E8223F"/>
    <w:rsid w:val="00EA50E1"/>
    <w:rsid w:val="00ED132E"/>
    <w:rsid w:val="00EE0131"/>
    <w:rsid w:val="00F30C64"/>
    <w:rsid w:val="00F60846"/>
    <w:rsid w:val="00FB730C"/>
    <w:rsid w:val="00FC2695"/>
    <w:rsid w:val="00FC3E03"/>
    <w:rsid w:val="00FC6923"/>
    <w:rsid w:val="00FE4626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95C2C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aragrafoelenco">
    <w:name w:val="List Paragraph"/>
    <w:basedOn w:val="Normale"/>
    <w:uiPriority w:val="34"/>
    <w:qFormat/>
    <w:locked/>
    <w:rsid w:val="0060590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01602A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locked/>
    <w:rsid w:val="002032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obabproject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E997B-B77C-42C2-9C0D-BE7BA94B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Andrea Culcasi</cp:lastModifiedBy>
  <cp:revision>2</cp:revision>
  <cp:lastPrinted>2015-05-12T18:31:00Z</cp:lastPrinted>
  <dcterms:created xsi:type="dcterms:W3CDTF">2019-02-27T15:42:00Z</dcterms:created>
  <dcterms:modified xsi:type="dcterms:W3CDTF">2019-02-27T15:42:00Z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16th edition (author-date)</vt:lpwstr>
  </property>
  <property fmtid="{D5CDD505-2E9C-101B-9397-08002B2CF9AE}" pid="10" name="Mendeley Recent Style Id 4_1">
    <vt:lpwstr>http://www.zotero.org/styles/desalination</vt:lpwstr>
  </property>
  <property fmtid="{D5CDD505-2E9C-101B-9397-08002B2CF9AE}" pid="11" name="Mendeley Recent Style Name 4_1">
    <vt:lpwstr>Desalination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(author-date)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http://www.zotero.org/styles/journal-of-membrane-science</vt:lpwstr>
  </property>
  <property fmtid="{D5CDD505-2E9C-101B-9397-08002B2CF9AE}" pid="17" name="Mendeley Recent Style Name 7_1">
    <vt:lpwstr>Journal of Membrane Science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2ef203a3-ac9e-3431-bf51-8332c9232df5</vt:lpwstr>
  </property>
  <property fmtid="{D5CDD505-2E9C-101B-9397-08002B2CF9AE}" pid="24" name="Mendeley Citation Style_1">
    <vt:lpwstr>http://www.zotero.org/styles/journal-of-membrane-science</vt:lpwstr>
  </property>
</Properties>
</file>