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3B2" w:rsidRPr="000A03B2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A03B2" w:rsidSect="00704BDF">
          <w:headerReference w:type="default" r:id="rId8"/>
          <w:headerReference w:type="first" r:id="rId9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:rsidR="00BE2262" w:rsidRPr="00DE0019" w:rsidRDefault="00C612FD" w:rsidP="00BE2262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bookmarkStart w:id="0" w:name="_GoBack"/>
      <w:bookmarkEnd w:id="0"/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>Expansion of human mesenchymal stem cells on Corning</w:t>
      </w:r>
      <w:r w:rsidR="003B60F0">
        <w:rPr>
          <w:rFonts w:asciiTheme="minorHAnsi" w:eastAsia="MS PGothic" w:hAnsiTheme="minorHAnsi" w:cstheme="minorHAnsi"/>
          <w:b/>
          <w:bCs/>
          <w:sz w:val="28"/>
          <w:szCs w:val="28"/>
          <w:lang w:val="en-US"/>
        </w:rPr>
        <w:t>®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Synthemax II</w:t>
      </w:r>
      <w:r w:rsidR="003B60F0">
        <w:rPr>
          <w:rFonts w:asciiTheme="minorHAnsi" w:eastAsia="MS PGothic" w:hAnsiTheme="minorHAnsi" w:cstheme="minorHAnsi"/>
          <w:b/>
          <w:bCs/>
          <w:sz w:val="28"/>
          <w:szCs w:val="28"/>
          <w:lang w:val="en-US"/>
        </w:rPr>
        <w:t>™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– </w:t>
      </w:r>
      <w:r w:rsidR="003B60F0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coated 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>dissolvable microcarriers in a serum-free cell culture medium</w:t>
      </w:r>
    </w:p>
    <w:p w:rsidR="00BE2262" w:rsidRPr="008C3BD5" w:rsidRDefault="00BE2262" w:rsidP="00BE2262">
      <w:pPr>
        <w:snapToGrid w:val="0"/>
        <w:spacing w:after="120"/>
        <w:jc w:val="center"/>
        <w:rPr>
          <w:rFonts w:asciiTheme="minorHAnsi" w:eastAsia="SimSun" w:hAnsiTheme="minorHAnsi" w:cstheme="minorHAnsi"/>
          <w:color w:val="000000"/>
          <w:sz w:val="24"/>
          <w:szCs w:val="24"/>
          <w:lang w:val="fr-FR" w:eastAsia="zh-CN"/>
        </w:rPr>
      </w:pPr>
      <w:r w:rsidRPr="008C3BD5">
        <w:rPr>
          <w:rFonts w:asciiTheme="minorHAnsi" w:eastAsia="SimSun" w:hAnsiTheme="minorHAnsi"/>
          <w:color w:val="000000"/>
          <w:sz w:val="24"/>
          <w:szCs w:val="24"/>
          <w:u w:val="single"/>
          <w:lang w:val="fr-FR" w:eastAsia="zh-CN"/>
        </w:rPr>
        <w:t>C.Sion</w:t>
      </w:r>
      <w:r w:rsidRPr="008C3BD5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fr-FR" w:eastAsia="zh-CN"/>
        </w:rPr>
        <w:t>1,2</w:t>
      </w:r>
      <w:r w:rsidRPr="008C3BD5">
        <w:rPr>
          <w:rFonts w:asciiTheme="minorHAnsi" w:eastAsia="SimSun" w:hAnsiTheme="minorHAnsi"/>
          <w:color w:val="000000"/>
          <w:sz w:val="24"/>
          <w:szCs w:val="24"/>
          <w:lang w:val="fr-FR" w:eastAsia="zh-CN"/>
        </w:rPr>
        <w:t xml:space="preserve">, </w:t>
      </w:r>
      <w:r w:rsidR="00AB21B8" w:rsidRPr="008C3BD5">
        <w:rPr>
          <w:rFonts w:asciiTheme="minorHAnsi" w:eastAsia="SimSun" w:hAnsiTheme="minorHAnsi"/>
          <w:color w:val="000000"/>
          <w:sz w:val="24"/>
          <w:szCs w:val="24"/>
          <w:lang w:val="fr-FR" w:eastAsia="zh-CN"/>
        </w:rPr>
        <w:t>S. Bailly</w:t>
      </w:r>
      <w:r w:rsidR="00AB21B8" w:rsidRPr="008C3BD5">
        <w:rPr>
          <w:rFonts w:asciiTheme="minorHAnsi" w:eastAsia="SimSun" w:hAnsiTheme="minorHAnsi"/>
          <w:color w:val="000000"/>
          <w:sz w:val="24"/>
          <w:szCs w:val="24"/>
          <w:vertAlign w:val="superscript"/>
          <w:lang w:val="fr-FR" w:eastAsia="zh-CN"/>
        </w:rPr>
        <w:t>3</w:t>
      </w:r>
      <w:r w:rsidRPr="008C3BD5">
        <w:rPr>
          <w:rFonts w:asciiTheme="minorHAnsi" w:eastAsia="SimSun" w:hAnsiTheme="minorHAnsi"/>
          <w:color w:val="000000"/>
          <w:sz w:val="24"/>
          <w:szCs w:val="24"/>
          <w:lang w:val="fr-FR" w:eastAsia="zh-CN"/>
        </w:rPr>
        <w:t xml:space="preserve">, </w:t>
      </w:r>
      <w:r w:rsidR="00AB21B8" w:rsidRPr="008C3BD5">
        <w:rPr>
          <w:rFonts w:asciiTheme="minorHAnsi" w:eastAsia="SimSun" w:hAnsiTheme="minorHAnsi" w:cstheme="minorHAnsi"/>
          <w:color w:val="000000"/>
          <w:sz w:val="24"/>
          <w:szCs w:val="24"/>
          <w:lang w:val="fr-FR" w:eastAsia="zh-CN"/>
        </w:rPr>
        <w:t>S.</w:t>
      </w:r>
      <w:r w:rsidR="00104492">
        <w:rPr>
          <w:rFonts w:asciiTheme="minorHAnsi" w:eastAsia="SimSun" w:hAnsiTheme="minorHAnsi" w:cstheme="minorHAnsi"/>
          <w:color w:val="000000"/>
          <w:sz w:val="24"/>
          <w:szCs w:val="24"/>
          <w:lang w:val="fr-FR" w:eastAsia="zh-CN"/>
        </w:rPr>
        <w:t xml:space="preserve"> </w:t>
      </w:r>
      <w:r w:rsidR="00AB21B8" w:rsidRPr="008C3BD5">
        <w:rPr>
          <w:rFonts w:asciiTheme="minorHAnsi" w:eastAsia="SimSun" w:hAnsiTheme="minorHAnsi" w:cstheme="minorHAnsi"/>
          <w:color w:val="000000"/>
          <w:sz w:val="24"/>
          <w:szCs w:val="24"/>
          <w:lang w:val="fr-FR" w:eastAsia="zh-CN"/>
        </w:rPr>
        <w:t>Poncet</w:t>
      </w:r>
      <w:r w:rsidRPr="008C3BD5">
        <w:rPr>
          <w:rFonts w:asciiTheme="minorHAnsi" w:eastAsia="SimSun" w:hAnsiTheme="minorHAnsi" w:cstheme="minorHAnsi"/>
          <w:color w:val="000000"/>
          <w:sz w:val="24"/>
          <w:szCs w:val="24"/>
          <w:vertAlign w:val="superscript"/>
          <w:lang w:val="fr-FR" w:eastAsia="zh-CN"/>
        </w:rPr>
        <w:t>3</w:t>
      </w:r>
      <w:r w:rsidRPr="008C3BD5">
        <w:rPr>
          <w:rFonts w:asciiTheme="minorHAnsi" w:eastAsia="SimSun" w:hAnsiTheme="minorHAnsi" w:cstheme="minorHAnsi"/>
          <w:color w:val="000000"/>
          <w:sz w:val="24"/>
          <w:szCs w:val="24"/>
          <w:lang w:val="fr-FR" w:eastAsia="zh-CN"/>
        </w:rPr>
        <w:t>, E. Guedon</w:t>
      </w:r>
      <w:r w:rsidRPr="008C3BD5">
        <w:rPr>
          <w:rFonts w:asciiTheme="minorHAnsi" w:eastAsia="SimSun" w:hAnsiTheme="minorHAnsi" w:cstheme="minorHAnsi"/>
          <w:color w:val="000000"/>
          <w:sz w:val="24"/>
          <w:szCs w:val="24"/>
          <w:vertAlign w:val="superscript"/>
          <w:lang w:val="fr-FR" w:eastAsia="zh-CN"/>
        </w:rPr>
        <w:t>1,2</w:t>
      </w:r>
      <w:r w:rsidRPr="008C3BD5">
        <w:rPr>
          <w:rFonts w:asciiTheme="minorHAnsi" w:eastAsia="SimSun" w:hAnsiTheme="minorHAnsi" w:cstheme="minorHAnsi"/>
          <w:color w:val="000000"/>
          <w:sz w:val="24"/>
          <w:szCs w:val="24"/>
          <w:lang w:val="fr-FR" w:eastAsia="zh-CN"/>
        </w:rPr>
        <w:t>,</w:t>
      </w:r>
      <w:r w:rsidR="00DE4228" w:rsidRPr="00DE4228">
        <w:rPr>
          <w:rFonts w:asciiTheme="minorHAnsi" w:eastAsia="SimSun" w:hAnsiTheme="minorHAnsi" w:cstheme="minorHAnsi"/>
          <w:color w:val="000000"/>
          <w:sz w:val="24"/>
          <w:szCs w:val="24"/>
          <w:lang w:val="fr-FR" w:eastAsia="zh-CN"/>
        </w:rPr>
        <w:t xml:space="preserve"> </w:t>
      </w:r>
      <w:r w:rsidR="00DE4228" w:rsidRPr="008C3BD5">
        <w:rPr>
          <w:rFonts w:asciiTheme="minorHAnsi" w:eastAsia="SimSun" w:hAnsiTheme="minorHAnsi" w:cstheme="minorHAnsi"/>
          <w:color w:val="000000"/>
          <w:sz w:val="24"/>
          <w:szCs w:val="24"/>
          <w:lang w:val="fr-FR" w:eastAsia="zh-CN"/>
        </w:rPr>
        <w:t>I.</w:t>
      </w:r>
      <w:r w:rsidR="00104492">
        <w:rPr>
          <w:rFonts w:asciiTheme="minorHAnsi" w:eastAsia="SimSun" w:hAnsiTheme="minorHAnsi" w:cstheme="minorHAnsi"/>
          <w:color w:val="000000"/>
          <w:sz w:val="24"/>
          <w:szCs w:val="24"/>
          <w:lang w:val="fr-FR" w:eastAsia="zh-CN"/>
        </w:rPr>
        <w:t xml:space="preserve"> </w:t>
      </w:r>
      <w:r w:rsidR="00DE4228" w:rsidRPr="008C3BD5">
        <w:rPr>
          <w:rFonts w:asciiTheme="minorHAnsi" w:eastAsia="SimSun" w:hAnsiTheme="minorHAnsi" w:cstheme="minorHAnsi"/>
          <w:color w:val="000000"/>
          <w:sz w:val="24"/>
          <w:szCs w:val="24"/>
          <w:lang w:val="fr-FR" w:eastAsia="zh-CN"/>
        </w:rPr>
        <w:t>Chevalot</w:t>
      </w:r>
      <w:r w:rsidR="00DE4228" w:rsidRPr="008C3BD5">
        <w:rPr>
          <w:rFonts w:asciiTheme="minorHAnsi" w:eastAsia="SimSun" w:hAnsiTheme="minorHAnsi" w:cstheme="minorHAnsi"/>
          <w:color w:val="000000"/>
          <w:sz w:val="24"/>
          <w:szCs w:val="24"/>
          <w:vertAlign w:val="superscript"/>
          <w:lang w:val="fr-FR" w:eastAsia="zh-CN"/>
        </w:rPr>
        <w:t>1,2</w:t>
      </w:r>
      <w:r w:rsidR="00DE4228">
        <w:rPr>
          <w:rFonts w:asciiTheme="minorHAnsi" w:eastAsia="SimSun" w:hAnsiTheme="minorHAnsi" w:cstheme="minorHAnsi"/>
          <w:color w:val="000000"/>
          <w:sz w:val="24"/>
          <w:szCs w:val="24"/>
          <w:lang w:val="fr-FR" w:eastAsia="zh-CN"/>
        </w:rPr>
        <w:t xml:space="preserve">, </w:t>
      </w:r>
      <w:r w:rsidRPr="008C3BD5">
        <w:rPr>
          <w:rFonts w:asciiTheme="minorHAnsi" w:eastAsia="SimSun" w:hAnsiTheme="minorHAnsi" w:cstheme="minorHAnsi"/>
          <w:color w:val="000000"/>
          <w:sz w:val="24"/>
          <w:szCs w:val="24"/>
          <w:lang w:val="fr-FR" w:eastAsia="zh-CN"/>
        </w:rPr>
        <w:t>E.</w:t>
      </w:r>
      <w:r w:rsidR="00104492">
        <w:rPr>
          <w:rFonts w:asciiTheme="minorHAnsi" w:eastAsia="SimSun" w:hAnsiTheme="minorHAnsi" w:cstheme="minorHAnsi"/>
          <w:color w:val="000000"/>
          <w:sz w:val="24"/>
          <w:szCs w:val="24"/>
          <w:lang w:val="fr-FR" w:eastAsia="zh-CN"/>
        </w:rPr>
        <w:t xml:space="preserve"> </w:t>
      </w:r>
      <w:r w:rsidRPr="008C3BD5">
        <w:rPr>
          <w:rFonts w:asciiTheme="minorHAnsi" w:eastAsia="SimSun" w:hAnsiTheme="minorHAnsi" w:cstheme="minorHAnsi"/>
          <w:color w:val="000000"/>
          <w:sz w:val="24"/>
          <w:szCs w:val="24"/>
          <w:lang w:val="fr-FR" w:eastAsia="zh-CN"/>
        </w:rPr>
        <w:t>Olmos</w:t>
      </w:r>
      <w:r w:rsidRPr="008C3BD5">
        <w:rPr>
          <w:rFonts w:asciiTheme="minorHAnsi" w:eastAsia="SimSun" w:hAnsiTheme="minorHAnsi" w:cstheme="minorHAnsi"/>
          <w:color w:val="000000"/>
          <w:sz w:val="24"/>
          <w:szCs w:val="24"/>
          <w:vertAlign w:val="superscript"/>
          <w:lang w:val="fr-FR" w:eastAsia="zh-CN"/>
        </w:rPr>
        <w:t>1,2</w:t>
      </w:r>
      <w:r w:rsidRPr="008C3BD5">
        <w:rPr>
          <w:rFonts w:asciiTheme="minorHAnsi" w:eastAsia="SimSun" w:hAnsiTheme="minorHAnsi" w:cstheme="minorHAnsi"/>
          <w:color w:val="000000"/>
          <w:sz w:val="24"/>
          <w:szCs w:val="24"/>
          <w:lang w:val="fr-FR" w:eastAsia="zh-CN"/>
        </w:rPr>
        <w:t xml:space="preserve"> </w:t>
      </w:r>
    </w:p>
    <w:p w:rsidR="00BE2262" w:rsidRPr="008C3BD5" w:rsidRDefault="00BE2262" w:rsidP="00BE2262">
      <w:pPr>
        <w:pStyle w:val="CHISA"/>
        <w:spacing w:after="120" w:line="276" w:lineRule="auto"/>
        <w:contextualSpacing/>
        <w:rPr>
          <w:i/>
          <w:iCs/>
          <w:color w:val="000000"/>
          <w:sz w:val="20"/>
          <w:vertAlign w:val="superscript"/>
          <w:lang w:val="fr-FR"/>
        </w:rPr>
      </w:pPr>
      <w:r w:rsidRPr="00DF52DD">
        <w:rPr>
          <w:rFonts w:asciiTheme="minorHAnsi" w:eastAsia="MS PGothic" w:hAnsiTheme="minorHAnsi" w:cstheme="minorHAnsi"/>
          <w:i/>
          <w:iCs/>
          <w:color w:val="000000"/>
          <w:sz w:val="20"/>
          <w:lang w:val="fr-FR"/>
        </w:rPr>
        <w:t>1</w:t>
      </w:r>
      <w:r w:rsidRPr="00DF52DD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 </w:t>
      </w:r>
      <w:r w:rsidRPr="00DF52DD">
        <w:rPr>
          <w:rFonts w:asciiTheme="minorHAnsi" w:hAnsiTheme="minorHAnsi" w:cstheme="minorHAnsi"/>
          <w:i/>
          <w:sz w:val="20"/>
          <w:lang w:val="fr-FR"/>
        </w:rPr>
        <w:t>CNRS, Laboratoire Réactions et Génie des Procédés, UMR 7274, 2 avenue de la forêt de Haye, TSA 40602, Vandœuvre-lès-Nancy, 54518, France</w:t>
      </w:r>
      <w:r w:rsidRPr="00DF52DD">
        <w:rPr>
          <w:i/>
          <w:iCs/>
          <w:color w:val="000000"/>
          <w:sz w:val="20"/>
          <w:vertAlign w:val="superscript"/>
          <w:lang w:val="fr-FR"/>
        </w:rPr>
        <w:t> </w:t>
      </w:r>
      <w:r w:rsidRPr="00DF52DD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; 2 </w:t>
      </w:r>
      <w:r w:rsidRPr="00DF52DD">
        <w:rPr>
          <w:rFonts w:asciiTheme="minorHAnsi" w:hAnsiTheme="minorHAnsi" w:cstheme="minorHAnsi"/>
          <w:i/>
          <w:sz w:val="20"/>
          <w:lang w:val="fr-FR"/>
        </w:rPr>
        <w:t>Université de Lorraine, LRGP, 2 avenue de la forêt de Haye, TSA 40602, Vandœuvre-lès-Nancy, 54518, France</w:t>
      </w:r>
      <w:r w:rsidRPr="00DF52DD">
        <w:rPr>
          <w:rFonts w:asciiTheme="minorHAnsi" w:hAnsiTheme="minorHAnsi" w:cstheme="minorHAnsi"/>
          <w:i/>
          <w:iCs/>
          <w:color w:val="000000"/>
          <w:sz w:val="20"/>
          <w:lang w:val="fr-FR"/>
        </w:rPr>
        <w:t> ;</w:t>
      </w:r>
      <w:r w:rsidRPr="00DF52DD">
        <w:rPr>
          <w:i/>
          <w:iCs/>
          <w:color w:val="000000"/>
          <w:sz w:val="20"/>
          <w:lang w:val="fr-FR"/>
        </w:rPr>
        <w:t xml:space="preserve"> </w:t>
      </w:r>
      <w:r w:rsidRPr="00DF52DD">
        <w:rPr>
          <w:rFonts w:asciiTheme="minorHAnsi" w:hAnsiTheme="minorHAnsi" w:cstheme="minorHAnsi"/>
          <w:i/>
          <w:iCs/>
          <w:color w:val="000000"/>
          <w:sz w:val="20"/>
          <w:lang w:val="fr-FR"/>
        </w:rPr>
        <w:t xml:space="preserve">3 </w:t>
      </w:r>
      <w:r w:rsidR="008C3BD5">
        <w:rPr>
          <w:rFonts w:asciiTheme="minorHAnsi" w:hAnsiTheme="minorHAnsi" w:cstheme="minorHAnsi"/>
          <w:i/>
          <w:iCs/>
          <w:color w:val="000000"/>
          <w:sz w:val="20"/>
          <w:lang w:val="fr-FR"/>
        </w:rPr>
        <w:t xml:space="preserve">Corning, </w:t>
      </w:r>
      <w:r w:rsidR="008C3BD5" w:rsidRPr="008C3BD5">
        <w:rPr>
          <w:rFonts w:asciiTheme="minorHAnsi" w:hAnsiTheme="minorHAnsi" w:cstheme="minorHAnsi"/>
          <w:i/>
          <w:iCs/>
          <w:color w:val="000000"/>
          <w:sz w:val="20"/>
          <w:lang w:val="fr-FR"/>
        </w:rPr>
        <w:t>Life Sciences</w:t>
      </w:r>
      <w:r w:rsidR="008C3BD5">
        <w:rPr>
          <w:rFonts w:asciiTheme="minorHAnsi" w:hAnsiTheme="minorHAnsi" w:cstheme="minorHAnsi"/>
          <w:i/>
          <w:iCs/>
          <w:color w:val="000000"/>
          <w:sz w:val="20"/>
          <w:lang w:val="fr-FR"/>
        </w:rPr>
        <w:t xml:space="preserve">, Amsterdam, </w:t>
      </w:r>
      <w:r w:rsidR="008C3BD5" w:rsidRPr="008C3BD5">
        <w:rPr>
          <w:rFonts w:asciiTheme="minorHAnsi" w:hAnsiTheme="minorHAnsi" w:cstheme="minorHAnsi"/>
          <w:i/>
          <w:iCs/>
          <w:color w:val="000000"/>
          <w:sz w:val="20"/>
          <w:lang w:val="fr-FR"/>
        </w:rPr>
        <w:t>The Netherlands</w:t>
      </w:r>
    </w:p>
    <w:p w:rsidR="00BE2262" w:rsidRPr="00644FA6" w:rsidRDefault="00BE2262" w:rsidP="00BE2262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</w:rPr>
      </w:pPr>
      <w:r w:rsidRPr="00644FA6">
        <w:rPr>
          <w:rFonts w:asciiTheme="minorHAnsi" w:eastAsia="MS PGothic" w:hAnsiTheme="minorHAnsi"/>
          <w:bCs/>
          <w:i/>
          <w:iCs/>
          <w:color w:val="000000"/>
          <w:sz w:val="20"/>
        </w:rPr>
        <w:t>*Corresponding author</w:t>
      </w:r>
      <w:r w:rsidRPr="00644FA6">
        <w:rPr>
          <w:rFonts w:asciiTheme="minorHAnsi" w:eastAsia="MS PGothic" w:hAnsiTheme="minorHAnsi"/>
          <w:bCs/>
          <w:i/>
          <w:iCs/>
          <w:sz w:val="20"/>
          <w:lang w:eastAsia="ko-KR"/>
        </w:rPr>
        <w:t>:</w:t>
      </w:r>
      <w:r w:rsidRPr="00644FA6">
        <w:rPr>
          <w:rFonts w:asciiTheme="minorHAnsi" w:eastAsia="MS PGothic" w:hAnsiTheme="minorHAnsi"/>
          <w:bCs/>
          <w:i/>
          <w:iCs/>
          <w:sz w:val="20"/>
        </w:rPr>
        <w:t xml:space="preserve"> eric.olmos@univ-lorraine.fr</w:t>
      </w:r>
    </w:p>
    <w:p w:rsidR="00BE2262" w:rsidRPr="00EC66CC" w:rsidRDefault="00BE2262" w:rsidP="00BE2262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:rsidR="00DC617F" w:rsidRPr="002B6D94" w:rsidRDefault="00FF0EBF" w:rsidP="00BE2262">
      <w:pPr>
        <w:pStyle w:val="Paragrafoelenco"/>
        <w:numPr>
          <w:ilvl w:val="0"/>
          <w:numId w:val="16"/>
        </w:numPr>
        <w:rPr>
          <w:rFonts w:asciiTheme="minorHAnsi" w:eastAsia="SimSun" w:hAnsiTheme="minorHAnsi" w:cstheme="minorHAnsi"/>
          <w:bCs/>
          <w:iCs/>
          <w:sz w:val="20"/>
          <w:lang w:val="en-US" w:eastAsia="zh-CN"/>
        </w:rPr>
      </w:pPr>
      <w:r w:rsidRPr="002B6D94">
        <w:rPr>
          <w:rFonts w:asciiTheme="minorHAnsi" w:eastAsia="SimSun" w:hAnsiTheme="minorHAnsi" w:cstheme="minorHAnsi"/>
          <w:bCs/>
          <w:iCs/>
          <w:sz w:val="20"/>
          <w:lang w:val="en-US" w:eastAsia="zh-CN"/>
        </w:rPr>
        <w:t>Corning dissolvable carriers provided a scalable solution for large-scale harvest of functional hMSC by enabling simplified detachment</w:t>
      </w:r>
      <w:r w:rsidR="00DE4228">
        <w:rPr>
          <w:rFonts w:asciiTheme="minorHAnsi" w:eastAsia="SimSun" w:hAnsiTheme="minorHAnsi" w:cstheme="minorHAnsi"/>
          <w:bCs/>
          <w:iCs/>
          <w:sz w:val="20"/>
          <w:lang w:val="en-US" w:eastAsia="zh-CN"/>
        </w:rPr>
        <w:t>.</w:t>
      </w:r>
    </w:p>
    <w:p w:rsidR="00BE2262" w:rsidRPr="008B78C2" w:rsidRDefault="00D57F43" w:rsidP="00BE2262">
      <w:pPr>
        <w:pStyle w:val="Paragrafoelenco"/>
        <w:numPr>
          <w:ilvl w:val="0"/>
          <w:numId w:val="16"/>
        </w:numPr>
        <w:rPr>
          <w:rFonts w:eastAsia="SimSun"/>
          <w:bCs/>
          <w:iCs/>
          <w:color w:val="0000FF"/>
          <w:sz w:val="20"/>
          <w:lang w:val="en-US" w:eastAsia="zh-CN"/>
        </w:rPr>
      </w:pPr>
      <w:r w:rsidRPr="002B6D94">
        <w:rPr>
          <w:rFonts w:asciiTheme="minorHAnsi" w:hAnsiTheme="minorHAnsi"/>
          <w:sz w:val="20"/>
          <w:lang w:val="en-US"/>
        </w:rPr>
        <w:t xml:space="preserve">Complete dissolution of microcarriers was observed during the harvest phase resulting in </w:t>
      </w:r>
      <w:r w:rsidR="00454C5A" w:rsidRPr="002B6D94">
        <w:rPr>
          <w:rFonts w:asciiTheme="minorHAnsi" w:hAnsiTheme="minorHAnsi"/>
          <w:sz w:val="20"/>
          <w:lang w:val="en-US"/>
        </w:rPr>
        <w:t>an</w:t>
      </w:r>
      <w:r w:rsidRPr="002B6D94">
        <w:rPr>
          <w:rFonts w:asciiTheme="minorHAnsi" w:hAnsiTheme="minorHAnsi"/>
          <w:sz w:val="20"/>
          <w:lang w:val="en-US"/>
        </w:rPr>
        <w:t xml:space="preserve"> </w:t>
      </w:r>
      <w:r w:rsidR="00DE4228">
        <w:rPr>
          <w:rFonts w:asciiTheme="minorHAnsi" w:hAnsiTheme="minorHAnsi"/>
          <w:sz w:val="20"/>
          <w:lang w:val="en-US"/>
        </w:rPr>
        <w:t>efficient</w:t>
      </w:r>
      <w:r w:rsidRPr="002B6D94">
        <w:rPr>
          <w:rFonts w:asciiTheme="minorHAnsi" w:hAnsiTheme="minorHAnsi"/>
          <w:sz w:val="20"/>
          <w:lang w:val="en-US"/>
        </w:rPr>
        <w:t xml:space="preserve"> hMSC recovery</w:t>
      </w:r>
      <w:r w:rsidR="00DE4228">
        <w:rPr>
          <w:rFonts w:asciiTheme="minorHAnsi" w:hAnsiTheme="minorHAnsi"/>
          <w:sz w:val="20"/>
          <w:lang w:val="en-US"/>
        </w:rPr>
        <w:t>.</w:t>
      </w:r>
    </w:p>
    <w:p w:rsidR="008B78C2" w:rsidRPr="002B6D94" w:rsidRDefault="008B78C2" w:rsidP="008B78C2">
      <w:pPr>
        <w:pStyle w:val="Paragrafoelenco"/>
        <w:ind w:left="1440"/>
        <w:rPr>
          <w:rFonts w:eastAsia="SimSun"/>
          <w:bCs/>
          <w:iCs/>
          <w:color w:val="0000FF"/>
          <w:sz w:val="20"/>
          <w:lang w:val="en-US" w:eastAsia="zh-CN"/>
        </w:rPr>
      </w:pPr>
    </w:p>
    <w:p w:rsidR="00BE2262" w:rsidRPr="008D0BEB" w:rsidRDefault="00BE2262" w:rsidP="00BE2262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:rsidR="004215B4" w:rsidRDefault="00BE2262" w:rsidP="00BE2262">
      <w:pPr>
        <w:snapToGrid w:val="0"/>
        <w:spacing w:after="120"/>
        <w:rPr>
          <w:rFonts w:asciiTheme="minorHAnsi" w:hAnsiTheme="minorHAnsi" w:cstheme="minorHAnsi"/>
          <w:sz w:val="22"/>
          <w:szCs w:val="22"/>
        </w:rPr>
      </w:pPr>
      <w:r w:rsidRPr="0005723C">
        <w:rPr>
          <w:rFonts w:asciiTheme="minorHAnsi" w:hAnsiTheme="minorHAnsi" w:cstheme="minorHAnsi"/>
          <w:sz w:val="22"/>
          <w:szCs w:val="22"/>
        </w:rPr>
        <w:t xml:space="preserve">Mesenchymal stem cells extracted from the Wharton’s jelly of human umbilical cords (hWJ-MSC) </w:t>
      </w:r>
      <w:r>
        <w:rPr>
          <w:rFonts w:asciiTheme="minorHAnsi" w:hAnsiTheme="minorHAnsi" w:cstheme="minorHAnsi"/>
          <w:sz w:val="22"/>
          <w:szCs w:val="22"/>
        </w:rPr>
        <w:t>are of</w:t>
      </w:r>
      <w:r w:rsidRPr="0005723C">
        <w:rPr>
          <w:rFonts w:asciiTheme="minorHAnsi" w:hAnsiTheme="minorHAnsi" w:cstheme="minorHAnsi"/>
          <w:sz w:val="22"/>
          <w:szCs w:val="22"/>
        </w:rPr>
        <w:t xml:space="preserve"> increasing interest for cell therapies due to their reduced immunogenicity, high expansion capabilities, fast growth kinetics and various growth factors synthesis capabilities. </w:t>
      </w:r>
      <w:r w:rsidR="00BC228F">
        <w:rPr>
          <w:rFonts w:asciiTheme="minorHAnsi" w:hAnsiTheme="minorHAnsi" w:cstheme="minorHAnsi"/>
          <w:sz w:val="22"/>
          <w:szCs w:val="22"/>
        </w:rPr>
        <w:t>Development of bioprocesses capable of producing large numbers of hMSC in a robust and safe manner is critical for therapeutic applications. Scalable expansion of h</w:t>
      </w:r>
      <w:r w:rsidR="009C23DB">
        <w:rPr>
          <w:rFonts w:asciiTheme="minorHAnsi" w:hAnsiTheme="minorHAnsi" w:cstheme="minorHAnsi"/>
          <w:sz w:val="22"/>
          <w:szCs w:val="22"/>
        </w:rPr>
        <w:t>WJ-</w:t>
      </w:r>
      <w:r w:rsidR="00BC228F">
        <w:rPr>
          <w:rFonts w:asciiTheme="minorHAnsi" w:hAnsiTheme="minorHAnsi" w:cstheme="minorHAnsi"/>
          <w:sz w:val="22"/>
          <w:szCs w:val="22"/>
        </w:rPr>
        <w:t xml:space="preserve">MSC on Cytodex-1 or other types of microcarriers usually </w:t>
      </w:r>
      <w:r w:rsidR="00B13F46">
        <w:rPr>
          <w:rFonts w:asciiTheme="minorHAnsi" w:hAnsiTheme="minorHAnsi" w:cstheme="minorHAnsi"/>
          <w:sz w:val="22"/>
          <w:szCs w:val="22"/>
        </w:rPr>
        <w:t>found in</w:t>
      </w:r>
      <w:r w:rsidR="00BC228F">
        <w:rPr>
          <w:rFonts w:asciiTheme="minorHAnsi" w:hAnsiTheme="minorHAnsi" w:cstheme="minorHAnsi"/>
          <w:sz w:val="22"/>
          <w:szCs w:val="22"/>
        </w:rPr>
        <w:t xml:space="preserve"> cell culture, involved specific cell detachment using trypsin. Trypsin or other cell detachment enzymes could have harmful effects on cells and their viability. </w:t>
      </w:r>
      <w:r w:rsidR="00A91BC2">
        <w:rPr>
          <w:rFonts w:asciiTheme="minorHAnsi" w:hAnsiTheme="minorHAnsi" w:cstheme="minorHAnsi"/>
          <w:sz w:val="22"/>
          <w:szCs w:val="22"/>
        </w:rPr>
        <w:t>Besides, a filtration step is required</w:t>
      </w:r>
      <w:r w:rsidR="0072668C">
        <w:rPr>
          <w:rFonts w:asciiTheme="minorHAnsi" w:hAnsiTheme="minorHAnsi" w:cstheme="minorHAnsi"/>
          <w:sz w:val="22"/>
          <w:szCs w:val="22"/>
        </w:rPr>
        <w:t xml:space="preserve"> because carriers remained in the cell culture medium. </w:t>
      </w:r>
      <w:r w:rsidR="00BC228F">
        <w:rPr>
          <w:rFonts w:asciiTheme="minorHAnsi" w:hAnsiTheme="minorHAnsi" w:cstheme="minorHAnsi"/>
          <w:sz w:val="22"/>
          <w:szCs w:val="22"/>
        </w:rPr>
        <w:t xml:space="preserve">In this </w:t>
      </w:r>
      <w:r w:rsidR="00AD23ED">
        <w:rPr>
          <w:rFonts w:asciiTheme="minorHAnsi" w:hAnsiTheme="minorHAnsi" w:cstheme="minorHAnsi"/>
          <w:sz w:val="22"/>
          <w:szCs w:val="22"/>
        </w:rPr>
        <w:t>study,</w:t>
      </w:r>
      <w:r w:rsidR="00BC228F">
        <w:rPr>
          <w:rFonts w:asciiTheme="minorHAnsi" w:hAnsiTheme="minorHAnsi" w:cstheme="minorHAnsi"/>
          <w:sz w:val="22"/>
          <w:szCs w:val="22"/>
        </w:rPr>
        <w:t xml:space="preserve"> the </w:t>
      </w:r>
      <w:r w:rsidR="00DE4228">
        <w:rPr>
          <w:rFonts w:asciiTheme="minorHAnsi" w:hAnsiTheme="minorHAnsi" w:cstheme="minorHAnsi"/>
          <w:sz w:val="22"/>
          <w:szCs w:val="22"/>
        </w:rPr>
        <w:t xml:space="preserve">efficiency </w:t>
      </w:r>
      <w:r w:rsidR="00BC228F">
        <w:rPr>
          <w:rFonts w:asciiTheme="minorHAnsi" w:hAnsiTheme="minorHAnsi" w:cstheme="minorHAnsi"/>
          <w:sz w:val="22"/>
          <w:szCs w:val="22"/>
        </w:rPr>
        <w:t>of novel xeno-free dissolvable microcarriers for the culture</w:t>
      </w:r>
      <w:r w:rsidR="00DE4228">
        <w:rPr>
          <w:rFonts w:asciiTheme="minorHAnsi" w:hAnsiTheme="minorHAnsi" w:cstheme="minorHAnsi"/>
          <w:sz w:val="22"/>
          <w:szCs w:val="22"/>
        </w:rPr>
        <w:t xml:space="preserve"> and detachment</w:t>
      </w:r>
      <w:r w:rsidR="00BC228F">
        <w:rPr>
          <w:rFonts w:asciiTheme="minorHAnsi" w:hAnsiTheme="minorHAnsi" w:cstheme="minorHAnsi"/>
          <w:sz w:val="22"/>
          <w:szCs w:val="22"/>
        </w:rPr>
        <w:t xml:space="preserve"> of hWJ-MSC</w:t>
      </w:r>
      <w:r w:rsidR="008C31BF">
        <w:rPr>
          <w:rFonts w:asciiTheme="minorHAnsi" w:hAnsiTheme="minorHAnsi" w:cstheme="minorHAnsi"/>
          <w:sz w:val="22"/>
          <w:szCs w:val="22"/>
        </w:rPr>
        <w:t xml:space="preserve"> </w:t>
      </w:r>
      <w:r w:rsidR="00DE4228">
        <w:rPr>
          <w:rFonts w:asciiTheme="minorHAnsi" w:hAnsiTheme="minorHAnsi" w:cstheme="minorHAnsi"/>
          <w:sz w:val="22"/>
          <w:szCs w:val="22"/>
        </w:rPr>
        <w:t>was demonstrated</w:t>
      </w:r>
      <w:r w:rsidR="00BC228F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E2262" w:rsidRPr="008D0BEB" w:rsidRDefault="00BE2262" w:rsidP="00BE2262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Methods</w:t>
      </w:r>
    </w:p>
    <w:p w:rsidR="00BC228F" w:rsidRDefault="00BE2262" w:rsidP="00BE2262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4D5F63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 xml:space="preserve">hWJ-MSC were cultivated on </w:t>
      </w:r>
      <w:r w:rsidR="00D475CE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>Corning Synthemax II-coated dissolvable microcarriers</w:t>
      </w:r>
      <w:r w:rsidR="00DE4228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 xml:space="preserve"> (DM)</w:t>
      </w:r>
      <w:r w:rsidRPr="004D5F63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 xml:space="preserve"> in HPL-supplemented medium, with an initial</w:t>
      </w:r>
      <w:r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 xml:space="preserve"> </w:t>
      </w:r>
      <w:r w:rsidRPr="004D5F63">
        <w:rPr>
          <w:rFonts w:asciiTheme="minorHAnsi" w:eastAsia="MS PGothic" w:hAnsiTheme="minorHAnsi" w:cstheme="minorHAnsi"/>
          <w:color w:val="000000"/>
          <w:sz w:val="22"/>
          <w:szCs w:val="22"/>
          <w:lang w:val="en-US"/>
        </w:rPr>
        <w:t>concentration of 7000 cells/cm</w:t>
      </w:r>
      <w:r w:rsidRPr="004D5F63">
        <w:rPr>
          <w:rFonts w:asciiTheme="minorHAnsi" w:eastAsia="MS PGothic" w:hAnsiTheme="minorHAnsi" w:cstheme="minorHAnsi"/>
          <w:color w:val="000000"/>
          <w:sz w:val="22"/>
          <w:szCs w:val="22"/>
          <w:vertAlign w:val="superscript"/>
          <w:lang w:val="en-US"/>
        </w:rPr>
        <w:t>2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. Previous studies (Loubière et al. 2018) showed that the best choice of microcarrier for hWJ-MSC adherence and expansion, in dynamic conditions, was Cytodex-1 [</w:t>
      </w:r>
      <w:r w:rsidR="00233137">
        <w:rPr>
          <w:rFonts w:asciiTheme="minorHAnsi" w:eastAsia="MS PGothic" w:hAnsiTheme="minorHAnsi"/>
          <w:color w:val="000000"/>
          <w:sz w:val="22"/>
          <w:szCs w:val="22"/>
          <w:lang w:val="en-US"/>
        </w:rPr>
        <w:t>1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]</w:t>
      </w:r>
      <w:r w:rsidR="00AD23E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but </w:t>
      </w:r>
      <w:r w:rsidR="00DE422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cell </w:t>
      </w:r>
      <w:r w:rsidR="00AD23ED">
        <w:rPr>
          <w:rFonts w:asciiTheme="minorHAnsi" w:eastAsia="MS PGothic" w:hAnsiTheme="minorHAnsi"/>
          <w:color w:val="000000"/>
          <w:sz w:val="22"/>
          <w:szCs w:val="22"/>
          <w:lang w:val="en-US"/>
        </w:rPr>
        <w:t>detachment remained difficult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AD23ED">
        <w:rPr>
          <w:rFonts w:asciiTheme="minorHAnsi" w:eastAsia="MS PGothic" w:hAnsiTheme="minorHAnsi"/>
          <w:color w:val="000000"/>
          <w:sz w:val="22"/>
          <w:szCs w:val="22"/>
          <w:lang w:val="en-US"/>
        </w:rPr>
        <w:t>A cu</w:t>
      </w:r>
      <w:r w:rsidR="00202EFD">
        <w:rPr>
          <w:rFonts w:asciiTheme="minorHAnsi" w:eastAsia="MS PGothic" w:hAnsiTheme="minorHAnsi"/>
          <w:color w:val="000000"/>
          <w:sz w:val="22"/>
          <w:szCs w:val="22"/>
          <w:lang w:val="en-US"/>
        </w:rPr>
        <w:t>lture in</w:t>
      </w:r>
      <w:r w:rsidR="00DE422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200 mL</w:t>
      </w:r>
      <w:r w:rsidR="00202EF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spinner flasks with </w:t>
      </w:r>
      <w:r w:rsidR="00DE4228">
        <w:rPr>
          <w:rFonts w:asciiTheme="minorHAnsi" w:eastAsia="MS PGothic" w:hAnsiTheme="minorHAnsi"/>
          <w:color w:val="000000"/>
          <w:sz w:val="22"/>
          <w:szCs w:val="22"/>
          <w:lang w:val="en-US"/>
        </w:rPr>
        <w:t>DM</w:t>
      </w:r>
      <w:r w:rsidR="00AD23E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microcarriers </w:t>
      </w:r>
      <w:r w:rsidR="00202EFD">
        <w:rPr>
          <w:rFonts w:asciiTheme="minorHAnsi" w:eastAsia="MS PGothic" w:hAnsiTheme="minorHAnsi"/>
          <w:color w:val="000000"/>
          <w:sz w:val="22"/>
          <w:szCs w:val="22"/>
          <w:lang w:val="en-US"/>
        </w:rPr>
        <w:t>was performed</w:t>
      </w:r>
      <w:r w:rsidR="00AD23E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compared with a culture on Cytodex-1. G</w:t>
      </w:r>
      <w:r w:rsidRPr="007B20F7">
        <w:rPr>
          <w:rFonts w:asciiTheme="minorHAnsi" w:eastAsia="MS PGothic" w:hAnsiTheme="minorHAnsi"/>
          <w:color w:val="000000"/>
          <w:sz w:val="22"/>
          <w:szCs w:val="22"/>
          <w:lang w:val="en-US"/>
        </w:rPr>
        <w:t>lucose, glutamine, ammonium, lactate and lactate dehydrog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enase concentrations were monitored every day. Moreover, cells were counted from the post-processing of DAPI-stained cells pictures [</w:t>
      </w:r>
      <w:r w:rsidR="00233137">
        <w:rPr>
          <w:rFonts w:asciiTheme="minorHAnsi" w:eastAsia="MS PGothic" w:hAnsiTheme="minorHAnsi"/>
          <w:color w:val="000000"/>
          <w:sz w:val="22"/>
          <w:szCs w:val="22"/>
          <w:lang w:val="en-US"/>
        </w:rPr>
        <w:t>1</w:t>
      </w:r>
      <w:r w:rsidRPr="00142BB3">
        <w:rPr>
          <w:rFonts w:asciiTheme="minorHAnsi" w:eastAsia="MS PGothic" w:hAnsiTheme="minorHAnsi"/>
          <w:color w:val="000000"/>
          <w:sz w:val="22"/>
          <w:szCs w:val="22"/>
          <w:lang w:val="en-US"/>
        </w:rPr>
        <w:t>]</w:t>
      </w:r>
      <w:r w:rsidR="007D3576" w:rsidRPr="00142BB3">
        <w:rPr>
          <w:rFonts w:asciiTheme="minorHAnsi" w:eastAsia="MS PGothic" w:hAnsiTheme="minorHAnsi"/>
          <w:color w:val="000000"/>
          <w:sz w:val="22"/>
          <w:szCs w:val="22"/>
          <w:lang w:val="en-US"/>
        </w:rPr>
        <w:t>. At the end of the culture, c</w:t>
      </w:r>
      <w:r w:rsidR="002D318B" w:rsidRPr="00142BB3">
        <w:rPr>
          <w:rFonts w:asciiTheme="minorHAnsi" w:eastAsia="MS PGothic" w:hAnsiTheme="minorHAnsi"/>
          <w:color w:val="000000"/>
          <w:sz w:val="22"/>
          <w:szCs w:val="22"/>
          <w:lang w:val="en-US"/>
        </w:rPr>
        <w:t>ells were harvested</w:t>
      </w:r>
      <w:r w:rsidR="007D3576" w:rsidRPr="00142BB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following the protocol given by Corning.</w:t>
      </w:r>
      <w:r w:rsidR="002D318B" w:rsidRPr="00142BB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7D3576" w:rsidRPr="00142BB3">
        <w:rPr>
          <w:rFonts w:asciiTheme="minorHAnsi" w:eastAsia="MS PGothic" w:hAnsiTheme="minorHAnsi"/>
          <w:color w:val="000000"/>
          <w:sz w:val="22"/>
          <w:szCs w:val="22"/>
          <w:lang w:val="en-US"/>
        </w:rPr>
        <w:t>A solution of harvest was prepared using a mix</w:t>
      </w:r>
      <w:r w:rsidR="002D318B" w:rsidRPr="00142BB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of different enzymes</w:t>
      </w:r>
      <w:r w:rsidR="00182A6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chemicals</w:t>
      </w:r>
      <w:r w:rsidR="002D318B" w:rsidRPr="00142BB3">
        <w:rPr>
          <w:rFonts w:asciiTheme="minorHAnsi" w:eastAsia="MS PGothic" w:hAnsiTheme="minorHAnsi"/>
          <w:color w:val="000000"/>
          <w:sz w:val="22"/>
          <w:szCs w:val="22"/>
          <w:lang w:val="en-US"/>
        </w:rPr>
        <w:t>: a protease and a pectinase</w:t>
      </w:r>
      <w:r w:rsidR="007D3576" w:rsidRPr="00142BB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and </w:t>
      </w:r>
      <w:r w:rsidR="00182A6D" w:rsidRPr="007840AA">
        <w:rPr>
          <w:rFonts w:asciiTheme="minorHAnsi" w:eastAsia="MS PGothic" w:hAnsiTheme="minorHAnsi"/>
          <w:color w:val="000000"/>
          <w:sz w:val="22"/>
          <w:szCs w:val="22"/>
          <w:lang w:val="en-US"/>
        </w:rPr>
        <w:t>a</w:t>
      </w:r>
      <w:r w:rsidR="00182A6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7D3576" w:rsidRPr="00142BB3">
        <w:rPr>
          <w:rFonts w:asciiTheme="minorHAnsi" w:eastAsia="MS PGothic" w:hAnsiTheme="minorHAnsi"/>
          <w:color w:val="000000"/>
          <w:sz w:val="22"/>
          <w:szCs w:val="22"/>
          <w:lang w:val="en-US"/>
        </w:rPr>
        <w:t>chelating agent (EDTA</w:t>
      </w:r>
      <w:r w:rsidR="007840AA">
        <w:rPr>
          <w:rFonts w:asciiTheme="minorHAnsi" w:eastAsia="MS PGothic" w:hAnsiTheme="minorHAnsi"/>
          <w:color w:val="000000"/>
          <w:sz w:val="22"/>
          <w:szCs w:val="22"/>
          <w:lang w:val="en-US"/>
        </w:rPr>
        <w:t>)</w:t>
      </w:r>
      <w:r w:rsidR="002D318B" w:rsidRPr="007840AA">
        <w:rPr>
          <w:rFonts w:asciiTheme="minorHAnsi" w:eastAsia="MS PGothic" w:hAnsiTheme="minorHAnsi"/>
          <w:sz w:val="22"/>
          <w:szCs w:val="22"/>
          <w:lang w:val="en-US"/>
        </w:rPr>
        <w:t>.</w:t>
      </w:r>
      <w:r w:rsidR="002D318B" w:rsidRPr="00142BB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This harvest solution </w:t>
      </w:r>
      <w:r w:rsidR="007D3576" w:rsidRPr="00142BB3">
        <w:rPr>
          <w:rFonts w:asciiTheme="minorHAnsi" w:eastAsia="MS PGothic" w:hAnsiTheme="minorHAnsi"/>
          <w:color w:val="000000"/>
          <w:sz w:val="22"/>
          <w:szCs w:val="22"/>
          <w:lang w:val="en-US"/>
        </w:rPr>
        <w:t>was directly</w:t>
      </w:r>
      <w:r w:rsidR="002D318B" w:rsidRPr="00142BB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used in the culture system and its action was about 20 minutes.</w:t>
      </w:r>
      <w:r w:rsidR="007D3576" w:rsidRPr="00142BB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After this, cells </w:t>
      </w:r>
      <w:r w:rsidR="0092768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were </w:t>
      </w:r>
      <w:r w:rsidR="0004042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directly </w:t>
      </w:r>
      <w:r w:rsidR="007D3576" w:rsidRPr="00142BB3">
        <w:rPr>
          <w:rFonts w:asciiTheme="minorHAnsi" w:eastAsia="MS PGothic" w:hAnsiTheme="minorHAnsi"/>
          <w:color w:val="000000"/>
          <w:sz w:val="22"/>
          <w:szCs w:val="22"/>
          <w:lang w:val="en-US"/>
        </w:rPr>
        <w:t>centrifuged.</w:t>
      </w:r>
    </w:p>
    <w:p w:rsidR="00BE2262" w:rsidRDefault="00BE2262" w:rsidP="00BE2262">
      <w:pPr>
        <w:snapToGrid w:val="0"/>
        <w:spacing w:before="240"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p w:rsidR="00A553A3" w:rsidRDefault="002177D6" w:rsidP="00BE2262">
      <w:pPr>
        <w:snapToGrid w:val="0"/>
        <w:spacing w:before="240" w:line="300" w:lineRule="auto"/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</w:pPr>
      <w:r w:rsidRPr="002177D6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lastRenderedPageBreak/>
        <w:t xml:space="preserve">The first results showed </w:t>
      </w:r>
      <w:r w:rsidR="00DE4228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that the choice of </w:t>
      </w:r>
      <w:r w:rsidR="00731960" w:rsidRPr="002177D6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Cytodex-1 </w:t>
      </w:r>
      <w:r w:rsidR="00DE4228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or</w:t>
      </w:r>
      <w:r w:rsidR="00731960" w:rsidRPr="002177D6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dissolvable carriers from Corning d</w:t>
      </w:r>
      <w:r w:rsidR="00DE4228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id</w:t>
      </w:r>
      <w:r w:rsidR="00731960" w:rsidRPr="002177D6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not influence cell adherence</w:t>
      </w:r>
      <w:r w:rsidRPr="002177D6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. </w:t>
      </w:r>
      <w:r w:rsidR="00A07EE8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C</w:t>
      </w:r>
      <w:r w:rsidRPr="002177D6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ell viability </w:t>
      </w:r>
      <w:r w:rsidR="00DE4228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wa</w:t>
      </w:r>
      <w:r w:rsidRPr="002177D6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s equivalent and maintained </w:t>
      </w:r>
      <w:r w:rsidR="00A07EE8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over</w:t>
      </w:r>
      <w:r w:rsidRPr="002177D6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time </w:t>
      </w:r>
      <w:r w:rsidR="00A07EE8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in both</w:t>
      </w:r>
      <w:r w:rsidR="00327E0E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cultures</w:t>
      </w:r>
      <w:r w:rsidR="00DE4228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(F</w:t>
      </w:r>
      <w:r w:rsidRPr="002177D6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igure 1</w:t>
      </w:r>
      <w:r w:rsidR="00DE4228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)</w:t>
      </w:r>
      <w:r w:rsidRPr="002177D6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.</w:t>
      </w:r>
      <w:r w:rsidR="00495844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</w:t>
      </w:r>
      <w:r w:rsidR="0045638B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Once the attachment and kinetics of cel</w:t>
      </w:r>
      <w:r w:rsidR="00182A6D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l culture </w:t>
      </w:r>
      <w:r w:rsidR="00182A6D" w:rsidRPr="00DE05F0">
        <w:rPr>
          <w:rFonts w:asciiTheme="minorHAnsi" w:eastAsia="MS PGothic" w:hAnsiTheme="minorHAnsi"/>
          <w:bCs/>
          <w:sz w:val="22"/>
          <w:szCs w:val="22"/>
          <w:lang w:val="en-US"/>
        </w:rPr>
        <w:t>(growth, death, glucose and glutamine consumption, lactate and ammonia production</w:t>
      </w:r>
      <w:r w:rsidR="00DE05F0" w:rsidRPr="00DE05F0">
        <w:rPr>
          <w:rFonts w:asciiTheme="minorHAnsi" w:eastAsia="MS PGothic" w:hAnsiTheme="minorHAnsi"/>
          <w:bCs/>
          <w:sz w:val="22"/>
          <w:szCs w:val="22"/>
          <w:lang w:val="en-US"/>
        </w:rPr>
        <w:t xml:space="preserve">) </w:t>
      </w:r>
      <w:r w:rsidR="0045638B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evaluated, cell detachment was studied. After the treatment with the</w:t>
      </w:r>
      <w:r w:rsidR="00182A6D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</w:t>
      </w:r>
      <w:r w:rsidR="00182A6D" w:rsidRPr="007840AA">
        <w:rPr>
          <w:rFonts w:asciiTheme="minorHAnsi" w:eastAsia="MS PGothic" w:hAnsiTheme="minorHAnsi"/>
          <w:bCs/>
          <w:sz w:val="22"/>
          <w:szCs w:val="22"/>
          <w:lang w:val="en-US"/>
        </w:rPr>
        <w:t>harvest</w:t>
      </w:r>
      <w:r w:rsidR="0045638B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solution, cells were counted and microcarriers observed under microscope.</w:t>
      </w:r>
      <w:r w:rsidR="00182A6D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</w:t>
      </w:r>
      <w:r w:rsidR="00182A6D" w:rsidRPr="007840AA">
        <w:rPr>
          <w:rFonts w:asciiTheme="minorHAnsi" w:eastAsia="MS PGothic" w:hAnsiTheme="minorHAnsi"/>
          <w:bCs/>
          <w:sz w:val="22"/>
          <w:szCs w:val="22"/>
          <w:lang w:val="en-US"/>
        </w:rPr>
        <w:t>Results indicated</w:t>
      </w:r>
      <w:r w:rsidR="0045638B" w:rsidRPr="007840AA">
        <w:rPr>
          <w:rFonts w:asciiTheme="minorHAnsi" w:eastAsia="MS PGothic" w:hAnsiTheme="minorHAnsi"/>
          <w:bCs/>
          <w:sz w:val="22"/>
          <w:szCs w:val="22"/>
          <w:lang w:val="en-US"/>
        </w:rPr>
        <w:t xml:space="preserve"> </w:t>
      </w:r>
      <w:r w:rsidR="00BC6157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that Corning microcarriers were well digested, and two million of </w:t>
      </w:r>
      <w:r w:rsidR="00CF0BC2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viable </w:t>
      </w:r>
      <w:r w:rsidR="00BC6157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cells were collected</w:t>
      </w:r>
      <w:r w:rsidR="00182A6D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after centrifugation</w:t>
      </w:r>
      <w:r w:rsidR="0096075D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(95% of viability)</w:t>
      </w:r>
      <w:r w:rsidR="00182A6D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, </w:t>
      </w:r>
      <w:r w:rsidR="00182A6D" w:rsidRPr="007840AA">
        <w:rPr>
          <w:rFonts w:asciiTheme="minorHAnsi" w:eastAsia="MS PGothic" w:hAnsiTheme="minorHAnsi"/>
          <w:bCs/>
          <w:sz w:val="22"/>
          <w:szCs w:val="22"/>
          <w:lang w:val="en-US"/>
        </w:rPr>
        <w:t>against,</w:t>
      </w:r>
      <w:r w:rsidR="007840AA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</w:t>
      </w:r>
      <w:r w:rsidR="00BC6157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only 800 000 cells collected</w:t>
      </w:r>
      <w:r w:rsidR="00A739E6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from Cytodex-1</w:t>
      </w:r>
      <w:r w:rsidR="00182A6D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</w:t>
      </w:r>
      <w:r w:rsidR="00182A6D" w:rsidRPr="007840AA">
        <w:rPr>
          <w:rFonts w:asciiTheme="minorHAnsi" w:eastAsia="MS PGothic" w:hAnsiTheme="minorHAnsi"/>
          <w:bCs/>
          <w:sz w:val="22"/>
          <w:szCs w:val="22"/>
          <w:lang w:val="en-US"/>
        </w:rPr>
        <w:t>using the classical proteolytic harvest treatment</w:t>
      </w:r>
      <w:r w:rsidR="001D75DC">
        <w:rPr>
          <w:rFonts w:asciiTheme="minorHAnsi" w:eastAsia="MS PGothic" w:hAnsiTheme="minorHAnsi"/>
          <w:bCs/>
          <w:sz w:val="22"/>
          <w:szCs w:val="22"/>
          <w:lang w:val="en-US"/>
        </w:rPr>
        <w:t xml:space="preserve"> (89% of viability)</w:t>
      </w:r>
      <w:r w:rsidR="00BC6157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. </w:t>
      </w:r>
      <w:r w:rsidR="00A553A3" w:rsidRPr="00A553A3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By image analyses, it was shown that with DMC, complete cell detachment and microcarrier dissolution were obtained while cells remained attached on Cytodex-1 microcarriers.</w:t>
      </w:r>
    </w:p>
    <w:p w:rsidR="006A52DF" w:rsidRDefault="00F30B4D" w:rsidP="00BE2262">
      <w:pPr>
        <w:snapToGrid w:val="0"/>
        <w:spacing w:before="240"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b/>
          <w:bCs/>
          <w:noProof/>
          <w:color w:val="000000"/>
          <w:sz w:val="22"/>
          <w:szCs w:val="22"/>
          <w:lang w:val="it-IT" w:eastAsia="it-IT"/>
        </w:rPr>
        <w:drawing>
          <wp:inline distT="0" distB="0" distL="0" distR="0">
            <wp:extent cx="3695700" cy="2837995"/>
            <wp:effectExtent l="0" t="0" r="0" b="635"/>
            <wp:docPr id="3" name="Image 3" descr="C:\Users\sion2\Documents\09. Réunions - Présentations - Rapports\02. Abstract- Congrès\ECAB Septembre 2019\ECAB15_Corning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on2\Documents\09. Réunions - Présentations - Rapports\02. Abstract- Congrès\ECAB Septembre 2019\ECAB15_Corning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406" cy="289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62" w:rsidRPr="00683414" w:rsidRDefault="00BE2262" w:rsidP="00BE2262">
      <w:pPr>
        <w:snapToGrid w:val="0"/>
        <w:spacing w:after="120"/>
        <w:jc w:val="center"/>
        <w:rPr>
          <w:rFonts w:asciiTheme="minorHAnsi" w:hAnsiTheme="minorHAnsi"/>
          <w:lang w:val="en-US"/>
        </w:rPr>
      </w:pPr>
      <w:r w:rsidRPr="00683414">
        <w:rPr>
          <w:rFonts w:asciiTheme="minorHAnsi" w:eastAsia="MS PGothic" w:hAnsiTheme="minorHAnsi"/>
          <w:b/>
          <w:color w:val="000000"/>
          <w:szCs w:val="18"/>
          <w:lang w:val="en-US"/>
        </w:rPr>
        <w:t>Figure 1.</w:t>
      </w:r>
      <w:r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CD0CBD">
        <w:rPr>
          <w:rFonts w:asciiTheme="minorHAnsi" w:eastAsia="MS PGothic" w:hAnsiTheme="minorHAnsi"/>
          <w:color w:val="000000"/>
          <w:szCs w:val="18"/>
          <w:lang w:val="en-US"/>
        </w:rPr>
        <w:t xml:space="preserve">Comparison of cell culture </w:t>
      </w:r>
      <w:r w:rsidR="00DE4228">
        <w:rPr>
          <w:rFonts w:asciiTheme="minorHAnsi" w:eastAsia="MS PGothic" w:hAnsiTheme="minorHAnsi"/>
          <w:color w:val="000000"/>
          <w:szCs w:val="18"/>
          <w:lang w:val="en-US"/>
        </w:rPr>
        <w:t xml:space="preserve">and detachment </w:t>
      </w:r>
      <w:r w:rsidR="00CD0CBD">
        <w:rPr>
          <w:rFonts w:asciiTheme="minorHAnsi" w:eastAsia="MS PGothic" w:hAnsiTheme="minorHAnsi"/>
          <w:color w:val="000000"/>
          <w:szCs w:val="18"/>
          <w:lang w:val="en-US"/>
        </w:rPr>
        <w:t xml:space="preserve">on dissolvable carriers and Cytodex-1. </w:t>
      </w:r>
    </w:p>
    <w:p w:rsidR="00BE2262" w:rsidRPr="008D0BEB" w:rsidRDefault="00BE2262" w:rsidP="00BE2262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:rsidR="007840AA" w:rsidRDefault="00C03CEB" w:rsidP="00BE2262">
      <w:pPr>
        <w:snapToGrid w:val="0"/>
        <w:spacing w:before="240" w:line="300" w:lineRule="auto"/>
        <w:rPr>
          <w:rFonts w:asciiTheme="minorHAnsi" w:eastAsia="MS PGothic" w:hAnsiTheme="minorHAnsi"/>
          <w:bCs/>
          <w:sz w:val="22"/>
          <w:lang w:val="en-US"/>
        </w:rPr>
      </w:pPr>
      <w:r w:rsidRPr="005A00C1">
        <w:rPr>
          <w:rFonts w:asciiTheme="minorHAnsi" w:eastAsia="MS PGothic" w:hAnsiTheme="minorHAnsi"/>
          <w:bCs/>
          <w:color w:val="000000"/>
          <w:sz w:val="22"/>
          <w:lang w:val="en-US"/>
        </w:rPr>
        <w:t xml:space="preserve">Recently, Nienow and colleagues developed a method of harvesting cells, which combines </w:t>
      </w:r>
      <w:r w:rsidR="00DE4228">
        <w:rPr>
          <w:rFonts w:asciiTheme="minorHAnsi" w:eastAsia="MS PGothic" w:hAnsiTheme="minorHAnsi"/>
          <w:bCs/>
          <w:color w:val="000000"/>
          <w:sz w:val="22"/>
          <w:lang w:val="en-US"/>
        </w:rPr>
        <w:t>more intense</w:t>
      </w:r>
      <w:r w:rsidRPr="005A00C1">
        <w:rPr>
          <w:rFonts w:asciiTheme="minorHAnsi" w:eastAsia="MS PGothic" w:hAnsiTheme="minorHAnsi"/>
          <w:bCs/>
          <w:color w:val="000000"/>
          <w:sz w:val="22"/>
          <w:lang w:val="en-US"/>
        </w:rPr>
        <w:t xml:space="preserve"> agitation speeds, proteolytic enzymes and temperature inside the bioreactor, </w:t>
      </w:r>
      <w:r w:rsidR="00723030" w:rsidRPr="007840AA">
        <w:rPr>
          <w:rFonts w:asciiTheme="minorHAnsi" w:eastAsia="MS PGothic" w:hAnsiTheme="minorHAnsi"/>
          <w:bCs/>
          <w:sz w:val="22"/>
          <w:lang w:val="en-US"/>
        </w:rPr>
        <w:t xml:space="preserve">in order </w:t>
      </w:r>
      <w:r w:rsidRPr="007840AA">
        <w:rPr>
          <w:rFonts w:asciiTheme="minorHAnsi" w:eastAsia="MS PGothic" w:hAnsiTheme="minorHAnsi"/>
          <w:bCs/>
          <w:sz w:val="22"/>
          <w:lang w:val="en-US"/>
        </w:rPr>
        <w:t xml:space="preserve">to </w:t>
      </w:r>
      <w:r w:rsidRPr="005A00C1">
        <w:rPr>
          <w:rFonts w:asciiTheme="minorHAnsi" w:eastAsia="MS PGothic" w:hAnsiTheme="minorHAnsi"/>
          <w:bCs/>
          <w:color w:val="000000"/>
          <w:sz w:val="22"/>
          <w:lang w:val="en-US"/>
        </w:rPr>
        <w:t>improve cell detachment and viability. After the cell detachment, most of the applications</w:t>
      </w:r>
      <w:r w:rsidR="00723030">
        <w:rPr>
          <w:rFonts w:asciiTheme="minorHAnsi" w:eastAsia="MS PGothic" w:hAnsiTheme="minorHAnsi"/>
          <w:bCs/>
          <w:color w:val="000000"/>
          <w:sz w:val="22"/>
          <w:lang w:val="en-US"/>
        </w:rPr>
        <w:t xml:space="preserve">, </w:t>
      </w:r>
      <w:r w:rsidR="00723030" w:rsidRPr="007840AA">
        <w:rPr>
          <w:rFonts w:asciiTheme="minorHAnsi" w:eastAsia="MS PGothic" w:hAnsiTheme="minorHAnsi"/>
          <w:bCs/>
          <w:sz w:val="22"/>
          <w:lang w:val="en-US"/>
        </w:rPr>
        <w:t>especially therapeutics,</w:t>
      </w:r>
      <w:r w:rsidRPr="007840AA">
        <w:rPr>
          <w:rFonts w:asciiTheme="minorHAnsi" w:eastAsia="MS PGothic" w:hAnsiTheme="minorHAnsi"/>
          <w:bCs/>
          <w:sz w:val="22"/>
          <w:lang w:val="en-US"/>
        </w:rPr>
        <w:t xml:space="preserve"> </w:t>
      </w:r>
      <w:r w:rsidRPr="005A00C1">
        <w:rPr>
          <w:rFonts w:asciiTheme="minorHAnsi" w:eastAsia="MS PGothic" w:hAnsiTheme="minorHAnsi"/>
          <w:bCs/>
          <w:color w:val="000000"/>
          <w:sz w:val="22"/>
          <w:lang w:val="en-US"/>
        </w:rPr>
        <w:t>will require separati</w:t>
      </w:r>
      <w:r w:rsidR="00CF0467">
        <w:rPr>
          <w:rFonts w:asciiTheme="minorHAnsi" w:eastAsia="MS PGothic" w:hAnsiTheme="minorHAnsi"/>
          <w:bCs/>
          <w:color w:val="000000"/>
          <w:sz w:val="22"/>
          <w:lang w:val="en-US"/>
        </w:rPr>
        <w:t>on of</w:t>
      </w:r>
      <w:r w:rsidR="00723030">
        <w:rPr>
          <w:rFonts w:asciiTheme="minorHAnsi" w:eastAsia="MS PGothic" w:hAnsiTheme="minorHAnsi"/>
          <w:bCs/>
          <w:color w:val="000000"/>
          <w:sz w:val="22"/>
          <w:lang w:val="en-US"/>
        </w:rPr>
        <w:t xml:space="preserve"> cells from microcarriers</w:t>
      </w:r>
      <w:r w:rsidR="00723030" w:rsidRPr="007840AA">
        <w:rPr>
          <w:rFonts w:asciiTheme="minorHAnsi" w:eastAsia="MS PGothic" w:hAnsiTheme="minorHAnsi"/>
          <w:bCs/>
          <w:sz w:val="22"/>
          <w:lang w:val="en-US"/>
        </w:rPr>
        <w:t>, but</w:t>
      </w:r>
      <w:r w:rsidRPr="007840AA">
        <w:rPr>
          <w:rFonts w:asciiTheme="minorHAnsi" w:eastAsia="MS PGothic" w:hAnsiTheme="minorHAnsi"/>
          <w:bCs/>
          <w:sz w:val="22"/>
          <w:lang w:val="en-US"/>
        </w:rPr>
        <w:t xml:space="preserve"> by </w:t>
      </w:r>
      <w:r w:rsidRPr="005A00C1">
        <w:rPr>
          <w:rFonts w:asciiTheme="minorHAnsi" w:eastAsia="MS PGothic" w:hAnsiTheme="minorHAnsi"/>
          <w:bCs/>
          <w:color w:val="000000"/>
          <w:sz w:val="22"/>
          <w:lang w:val="en-US"/>
        </w:rPr>
        <w:t>using dissolvable carriers this step would be avoided.</w:t>
      </w:r>
      <w:r w:rsidR="0087309A" w:rsidRPr="005A00C1">
        <w:rPr>
          <w:rFonts w:asciiTheme="minorHAnsi" w:eastAsia="MS PGothic" w:hAnsiTheme="minorHAnsi"/>
          <w:bCs/>
          <w:color w:val="000000"/>
          <w:sz w:val="22"/>
          <w:lang w:val="en-US"/>
        </w:rPr>
        <w:t xml:space="preserve"> To conclude</w:t>
      </w:r>
      <w:r w:rsidR="0087309A" w:rsidRPr="007840AA">
        <w:rPr>
          <w:rFonts w:asciiTheme="minorHAnsi" w:eastAsia="MS PGothic" w:hAnsiTheme="minorHAnsi"/>
          <w:bCs/>
          <w:sz w:val="22"/>
          <w:lang w:val="en-US"/>
        </w:rPr>
        <w:t>, the use of dissolvable microcarriers would be an effective way to do scalable expansion</w:t>
      </w:r>
      <w:r w:rsidR="00723030" w:rsidRPr="007840AA">
        <w:rPr>
          <w:rFonts w:asciiTheme="minorHAnsi" w:eastAsia="MS PGothic" w:hAnsiTheme="minorHAnsi"/>
          <w:bCs/>
          <w:sz w:val="22"/>
          <w:lang w:val="en-US"/>
        </w:rPr>
        <w:t xml:space="preserve"> and harvest</w:t>
      </w:r>
      <w:r w:rsidR="0087309A" w:rsidRPr="007840AA">
        <w:rPr>
          <w:rFonts w:asciiTheme="minorHAnsi" w:eastAsia="MS PGothic" w:hAnsiTheme="minorHAnsi"/>
          <w:bCs/>
          <w:sz w:val="22"/>
          <w:lang w:val="en-US"/>
        </w:rPr>
        <w:t xml:space="preserve"> of hWJ-MSC</w:t>
      </w:r>
      <w:r w:rsidR="002B790B">
        <w:rPr>
          <w:rFonts w:asciiTheme="minorHAnsi" w:eastAsia="MS PGothic" w:hAnsiTheme="minorHAnsi"/>
          <w:bCs/>
          <w:sz w:val="22"/>
          <w:lang w:val="en-US"/>
        </w:rPr>
        <w:t>.</w:t>
      </w:r>
    </w:p>
    <w:p w:rsidR="00BE2262" w:rsidRPr="008D0BEB" w:rsidRDefault="00BE2262" w:rsidP="00BE2262">
      <w:pPr>
        <w:snapToGrid w:val="0"/>
        <w:spacing w:before="240" w:line="300" w:lineRule="auto"/>
        <w:rPr>
          <w:rFonts w:asciiTheme="minorHAnsi" w:eastAsia="SimSun" w:hAnsiTheme="minorHAnsi"/>
          <w:b/>
          <w:bCs/>
          <w:color w:val="000000"/>
          <w:sz w:val="20"/>
          <w:lang w:val="en-US" w:eastAsia="zh-CN"/>
        </w:rPr>
      </w:pPr>
      <w:r w:rsidRP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References </w:t>
      </w:r>
    </w:p>
    <w:p w:rsidR="00BE2262" w:rsidRDefault="00BE2262" w:rsidP="00C02ACE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 w:rsidRPr="006F1ADE">
        <w:rPr>
          <w:rFonts w:asciiTheme="minorHAnsi" w:hAnsiTheme="minorHAnsi"/>
          <w:color w:val="000000"/>
        </w:rPr>
        <w:t xml:space="preserve">Loubière, C., et al., (2018). Impact of the type of microcarrier and agitation modes on the expansion performances of mesenchymal stem cells derived from umbilical cord. Submitted to </w:t>
      </w:r>
      <w:r w:rsidR="00DE4228" w:rsidRPr="006F1ADE">
        <w:rPr>
          <w:rFonts w:asciiTheme="minorHAnsi" w:hAnsiTheme="minorHAnsi"/>
          <w:color w:val="000000"/>
        </w:rPr>
        <w:t>Biotechnology Progress</w:t>
      </w:r>
      <w:r w:rsidRPr="006F1ADE">
        <w:rPr>
          <w:rFonts w:asciiTheme="minorHAnsi" w:hAnsiTheme="minorHAnsi"/>
          <w:color w:val="000000"/>
        </w:rPr>
        <w:t xml:space="preserve">. </w:t>
      </w:r>
    </w:p>
    <w:sectPr w:rsidR="00BE2262" w:rsidSect="00BE2262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83B" w:rsidRDefault="00F9683B" w:rsidP="004F5E36">
      <w:r>
        <w:separator/>
      </w:r>
    </w:p>
  </w:endnote>
  <w:endnote w:type="continuationSeparator" w:id="0">
    <w:p w:rsidR="00F9683B" w:rsidRDefault="00F9683B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83B" w:rsidRDefault="00F9683B" w:rsidP="004F5E36">
      <w:r>
        <w:separator/>
      </w:r>
    </w:p>
  </w:footnote>
  <w:footnote w:type="continuationSeparator" w:id="0">
    <w:p w:rsidR="00F9683B" w:rsidRDefault="00F9683B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162" w:rsidRDefault="00594E9F">
    <w:pPr>
      <w:pStyle w:val="Intestazione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B6CC69" wp14:editId="29CCA16E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7030A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<w:pict>
            <v:line w14:anchorId="2AD1E1D8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jR41AEAAAAEAAAOAAAAZHJzL2Uyb0RvYy54bWysU8GO2yAQvVfqPyDuje1USSMrzmqV1fZS&#10;tVG7/QCChwQJGAQ0Tv6+A068q7bSStVesGeY95j3BtZ3Z2vYCULU6DrezGrOwEnstTt0/OfT44cV&#10;ZzEJ1wuDDjp+gcjvNu/frQffwhyPaHoIjEhcbAff8WNKvq2qKI9gRZyhB0ebCoMVicJwqPogBmK3&#10;pprX9bIaMPQ+oIQYKfswbvJN4VcKZPqmVITETMept1TWUNZ9XqvNWrSHIPxRy2sb4j+6sEI7OnSi&#10;ehBJsF9B/0VltQwYUaWZRFuhUlpC0UBqmvoPNT+OwkPRQuZEP9kU345Wfj3tAtN9x1dLzpywNKMt&#10;OgcpYQDWMEqTR4OPLZVu3S5co+h3IQs+q2Dzl6Swc/H1MvkK58QkJReLVbNckP3ytlc9A32I6TOg&#10;Zfmn40a7LFm04vQlJjqMSm8lOW1cXiMa3T9qY0oQDvutCewkaMif6o/1fZkrAV+UUZShVVYy9l7+&#10;0sXASPsdFPlA3c7L8eUGwkQrpASX5tmLwkTVGaaohQlYvw681mcolNs5gZvXwROinIwuTWCrHYZ/&#10;EaRzc21ZjfU3B0bd2YI99pcy1WINXbOi8Pok8j1+GRf488Pd/AYAAP//AwBQSwMEFAAGAAgAAAAh&#10;APChORDcAAAACQEAAA8AAABkcnMvZG93bnJldi54bWxMj09LxDAQxe+C3yGM4M1Nrf9qbbosoh6E&#10;RVzFc7YZm2IyKU227frpnQVBj/N7jzfvVcvZOzHiELtACs4XGQikJpiOWgXvb49nBYiYNBntAqGC&#10;PUZY1sdHlS5NmOgVx01qBYdQLLUCm1JfShkbi17HReiRWPsMg9eJz6GVZtATh3sn8yy7ll53xB+s&#10;7vHeYvO12XkFa1c8PK2/+8v8xuLqeZzc/uPFKXV6Mq/uQCSc058ZDvW5OtTcaRt2ZKJwCi54SWKc&#10;X92CYL0ocibbXyLrSv5fUP8AAAD//wMAUEsBAi0AFAAGAAgAAAAhALaDOJL+AAAA4QEAABMAAAAA&#10;AAAAAAAAAAAAAAAAAFtDb250ZW50X1R5cGVzXS54bWxQSwECLQAUAAYACAAAACEAOP0h/9YAAACU&#10;AQAACwAAAAAAAAAAAAAAAAAvAQAAX3JlbHMvLnJlbHNQSwECLQAUAAYACAAAACEA1tI0eNQBAAAA&#10;BAAADgAAAAAAAAAAAAAAAAAuAgAAZHJzL2Uyb0RvYy54bWxQSwECLQAUAAYACAAAACEA8KE5ENwA&#10;AAAJAQAADwAAAAAAAAAAAAAAAAAuBAAAZHJzL2Rvd25yZXYueG1sUEsFBgAAAAAEAAQA8wAAADcF&#10;AAAAAA==&#10;" strokecolor="#7030a0" strokeweight="2pt">
              <v:shadow on="t" color="black" opacity="24903f" origin=",.5" offset="0,.55556mm"/>
            </v:line>
          </w:pict>
        </mc:Fallback>
      </mc:AlternateContent>
    </w:r>
    <w:r w:rsidR="004D1162"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 wp14:anchorId="47FBB032" wp14:editId="1DA35BB6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BDF" w:rsidRPr="004F563B" w:rsidRDefault="00704BDF" w:rsidP="00704BDF">
    <w:pPr>
      <w:ind w:left="-426" w:right="-285"/>
      <w:jc w:val="center"/>
      <w:rPr>
        <w:rFonts w:asciiTheme="minorHAnsi" w:hAnsiTheme="minorHAnsi"/>
        <w:b/>
        <w:i/>
        <w:color w:val="7030A0"/>
        <w:sz w:val="24"/>
        <w:szCs w:val="24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22E5C9AD" wp14:editId="6476C65D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4F563B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ECAB 5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br/>
      <w:t xml:space="preserve">                              The </w:t>
    </w:r>
    <w:r w:rsidR="004F563B">
      <w:rPr>
        <w:rFonts w:asciiTheme="minorHAnsi" w:hAnsiTheme="minorHAnsi"/>
        <w:b/>
        <w:i/>
        <w:color w:val="7030A0"/>
        <w:sz w:val="24"/>
        <w:szCs w:val="24"/>
        <w:lang w:val="en-US"/>
      </w:rPr>
      <w:t>5</w:t>
    </w:r>
    <w:r w:rsidRPr="004F563B">
      <w:rPr>
        <w:rFonts w:asciiTheme="minorHAnsi" w:hAnsiTheme="minorHAnsi"/>
        <w:b/>
        <w:i/>
        <w:color w:val="7030A0"/>
        <w:sz w:val="24"/>
        <w:szCs w:val="24"/>
        <w:vertAlign w:val="superscript"/>
        <w:lang w:val="en-US"/>
      </w:rPr>
      <w:t>th</w:t>
    </w:r>
    <w:r w:rsidR="00DE0019" w:rsidRPr="004F563B">
      <w:rPr>
        <w:rFonts w:asciiTheme="minorHAnsi" w:hAnsiTheme="minorHAnsi"/>
        <w:b/>
        <w:i/>
        <w:color w:val="7030A0"/>
        <w:sz w:val="24"/>
        <w:szCs w:val="24"/>
        <w:vertAlign w:val="superscript"/>
        <w:lang w:val="en-US"/>
      </w:rPr>
      <w:t xml:space="preserve"> 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 xml:space="preserve">EUROPEAN CONGRESS OF </w:t>
    </w:r>
    <w:r w:rsidR="004F563B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APPLIED BIOTECHNOLOGY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br/>
      <w:t xml:space="preserve">                               Florence 15-19 September 201</w:t>
    </w:r>
    <w:r w:rsidR="00EA50E1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9</w:t>
    </w:r>
  </w:p>
  <w:p w:rsidR="00704BDF" w:rsidRDefault="00704BDF">
    <w:pPr>
      <w:pStyle w:val="Intestazione"/>
    </w:pPr>
  </w:p>
  <w:p w:rsidR="00704BDF" w:rsidRDefault="00704BDF">
    <w:pPr>
      <w:pStyle w:val="Intestazione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7030A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<w:pict>
            <v:line w14:anchorId="6344AF4C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/S1QEAAAAEAAAOAAAAZHJzL2Uyb0RvYy54bWysU8GK2zAQvRf6D0L3xnZKtouJsyxZtpfS&#10;hnb7AYo8igWSRkhq7Px9R0riXdrCQtnL2CPNe5r3RlrfTdawI4So0XW8WdScgZPYa3fo+M+nxw+3&#10;nMUkXC8MOuj4CSK/27x/tx59C0sc0PQQGJG42I6+40NKvq2qKAewIi7Qg6NNhcGKRGk4VH0QI7Fb&#10;Uy3r+qYaMfQ+oIQYafXhvMk3hV8pkOmbUhESMx2n3lKJocR9jtVmLdpDEH7Q8tKG+I8urNCODp2p&#10;HkQS7FfQf1FZLQNGVGkh0VaolJZQNJCapv5DzY9BeChayJzoZ5vi29HKr8ddYLqn2S05c8LSjLbo&#10;HKSEAVjDaJk8Gn1sqXTrduGSRb8LWfCkgs1fksKm4utp9hWmxCQtrla3zc2K7JfXveoZ6ENMnwEt&#10;yz8dN9plyaIVxy8x0WFUei3Jy8blGNHo/lEbU5Jw2G9NYEdBQ/5Uf6zvy1wJ+KKMsgytspJz7+Uv&#10;nQycab+DIh+o22U5vtxAmGmFlOBS8aIwUXWGKWphBtavAy/1GQrlds7g5nXwjCgno0sz2GqH4V8E&#10;aWry+Khlda6/OnDWnS3YY38qUy3W0DUr5Zcnke/xy7zAnx/u5jcAAAD//wMAUEsDBBQABgAIAAAA&#10;IQBswbmJ2wAAAAgBAAAPAAAAZHJzL2Rvd25yZXYueG1sTI/BTsMwEETvSPyDtUjcqEOEIE3jVBUC&#10;DkgVoqCe3XiJI+x1FLtJyteziAMcd2Y0+6Zaz96JEYfYBVJwvchAIDXBdNQqeH97vCpAxKTJaBcI&#10;FZwwwro+P6t0acJErzjuUiu4hGKpFdiU+lLK2Fj0Oi5Cj8TeRxi8TnwOrTSDnrjcO5ln2a30uiP+&#10;YHWP9xabz93RK9i64uFp+9Xf5HcWN8/j5E77F6fU5cW8WYFIOKe/MPzgMzrUzHQIRzJROAV5lnOS&#10;9ZwnsV8slywcfgVZV/L/gPobAAD//wMAUEsBAi0AFAAGAAgAAAAhALaDOJL+AAAA4QEAABMAAAAA&#10;AAAAAAAAAAAAAAAAAFtDb250ZW50X1R5cGVzXS54bWxQSwECLQAUAAYACAAAACEAOP0h/9YAAACU&#10;AQAACwAAAAAAAAAAAAAAAAAvAQAAX3JlbHMvLnJlbHNQSwECLQAUAAYACAAAACEAjuhf0tUBAAAA&#10;BAAADgAAAAAAAAAAAAAAAAAuAgAAZHJzL2Uyb0RvYy54bWxQSwECLQAUAAYACAAAACEAbMG5idsA&#10;AAAIAQAADwAAAAAAAAAAAAAAAAAvBAAAZHJzL2Rvd25yZXYueG1sUEsFBgAAAAAEAAQA8wAAADcF&#10;AAAAAA==&#10;" strokecolor="#7030a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 w15:restartNumberingAfterBreak="0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A4DF9"/>
    <w:multiLevelType w:val="hybridMultilevel"/>
    <w:tmpl w:val="59F0B6DC"/>
    <w:lvl w:ilvl="0" w:tplc="91F26F5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DisplayPageBoundarie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HtDWujclBo6JqzNgWQIeVPRGyPdKQNrMKsBiKsKXPTf/sGhNslv4Nw/EmUnw3yaNzilIHZzYtIYdqjvo8y9pBA==" w:salt="8sFClCFnh+DxuRmOWfcM7w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14A"/>
    <w:rsid w:val="000027C0"/>
    <w:rsid w:val="000117CB"/>
    <w:rsid w:val="0003148D"/>
    <w:rsid w:val="00040425"/>
    <w:rsid w:val="0005723C"/>
    <w:rsid w:val="00062A9A"/>
    <w:rsid w:val="000A03B2"/>
    <w:rsid w:val="000A42AE"/>
    <w:rsid w:val="000A6858"/>
    <w:rsid w:val="000C31EB"/>
    <w:rsid w:val="000D34BE"/>
    <w:rsid w:val="000D7EAD"/>
    <w:rsid w:val="000E36F1"/>
    <w:rsid w:val="000E3A73"/>
    <w:rsid w:val="000E414A"/>
    <w:rsid w:val="000F4755"/>
    <w:rsid w:val="001036E5"/>
    <w:rsid w:val="00104492"/>
    <w:rsid w:val="00107B39"/>
    <w:rsid w:val="0013121F"/>
    <w:rsid w:val="00134DE4"/>
    <w:rsid w:val="00142BB3"/>
    <w:rsid w:val="001506B5"/>
    <w:rsid w:val="00150E59"/>
    <w:rsid w:val="00163F84"/>
    <w:rsid w:val="00182A6D"/>
    <w:rsid w:val="00184AD6"/>
    <w:rsid w:val="0019199F"/>
    <w:rsid w:val="001B65C1"/>
    <w:rsid w:val="001B7CC1"/>
    <w:rsid w:val="001C5D3F"/>
    <w:rsid w:val="001C684B"/>
    <w:rsid w:val="001D53FC"/>
    <w:rsid w:val="001D75DC"/>
    <w:rsid w:val="001F2EC7"/>
    <w:rsid w:val="00202EFD"/>
    <w:rsid w:val="002065DB"/>
    <w:rsid w:val="002162DF"/>
    <w:rsid w:val="002177D6"/>
    <w:rsid w:val="00233137"/>
    <w:rsid w:val="002447EF"/>
    <w:rsid w:val="002508A4"/>
    <w:rsid w:val="00251550"/>
    <w:rsid w:val="00271D2B"/>
    <w:rsid w:val="0027221A"/>
    <w:rsid w:val="00275B61"/>
    <w:rsid w:val="002A5E90"/>
    <w:rsid w:val="002B6D94"/>
    <w:rsid w:val="002B790B"/>
    <w:rsid w:val="002C320E"/>
    <w:rsid w:val="002D1F12"/>
    <w:rsid w:val="002D318B"/>
    <w:rsid w:val="002E1545"/>
    <w:rsid w:val="002E1CE8"/>
    <w:rsid w:val="002F364E"/>
    <w:rsid w:val="002F4ED1"/>
    <w:rsid w:val="003009B7"/>
    <w:rsid w:val="0030469C"/>
    <w:rsid w:val="00327E0E"/>
    <w:rsid w:val="00354C94"/>
    <w:rsid w:val="00362FD6"/>
    <w:rsid w:val="003723D4"/>
    <w:rsid w:val="003A658B"/>
    <w:rsid w:val="003A7D1C"/>
    <w:rsid w:val="003B60F0"/>
    <w:rsid w:val="003E0477"/>
    <w:rsid w:val="003F77AB"/>
    <w:rsid w:val="004215B4"/>
    <w:rsid w:val="0044356D"/>
    <w:rsid w:val="00447F23"/>
    <w:rsid w:val="00454C5A"/>
    <w:rsid w:val="0045638B"/>
    <w:rsid w:val="0046164A"/>
    <w:rsid w:val="00462DCD"/>
    <w:rsid w:val="004655CD"/>
    <w:rsid w:val="0046726F"/>
    <w:rsid w:val="00495844"/>
    <w:rsid w:val="004D1162"/>
    <w:rsid w:val="004E4DD6"/>
    <w:rsid w:val="004F1435"/>
    <w:rsid w:val="004F1F1F"/>
    <w:rsid w:val="004F563B"/>
    <w:rsid w:val="004F5E36"/>
    <w:rsid w:val="005119A5"/>
    <w:rsid w:val="00513640"/>
    <w:rsid w:val="005273B7"/>
    <w:rsid w:val="005278B7"/>
    <w:rsid w:val="005346C8"/>
    <w:rsid w:val="00551681"/>
    <w:rsid w:val="00594E9F"/>
    <w:rsid w:val="005A00C1"/>
    <w:rsid w:val="005B30D9"/>
    <w:rsid w:val="005B61E6"/>
    <w:rsid w:val="005C77E1"/>
    <w:rsid w:val="005D69D2"/>
    <w:rsid w:val="005D6A2F"/>
    <w:rsid w:val="005E1A82"/>
    <w:rsid w:val="005E626E"/>
    <w:rsid w:val="005F043D"/>
    <w:rsid w:val="005F0A28"/>
    <w:rsid w:val="005F0E5E"/>
    <w:rsid w:val="00620DEE"/>
    <w:rsid w:val="00625639"/>
    <w:rsid w:val="00625ECC"/>
    <w:rsid w:val="00626F59"/>
    <w:rsid w:val="006366F8"/>
    <w:rsid w:val="0064184D"/>
    <w:rsid w:val="00644FA6"/>
    <w:rsid w:val="00660E3E"/>
    <w:rsid w:val="00662E74"/>
    <w:rsid w:val="006A52DF"/>
    <w:rsid w:val="006B1143"/>
    <w:rsid w:val="006C5579"/>
    <w:rsid w:val="006C6190"/>
    <w:rsid w:val="006C7DA7"/>
    <w:rsid w:val="006D768E"/>
    <w:rsid w:val="006E450F"/>
    <w:rsid w:val="006E55AC"/>
    <w:rsid w:val="006F15CE"/>
    <w:rsid w:val="006F1ADE"/>
    <w:rsid w:val="00703BC1"/>
    <w:rsid w:val="00704BDF"/>
    <w:rsid w:val="00723030"/>
    <w:rsid w:val="00725DCC"/>
    <w:rsid w:val="0072668C"/>
    <w:rsid w:val="00731960"/>
    <w:rsid w:val="00736B13"/>
    <w:rsid w:val="00736E78"/>
    <w:rsid w:val="007447F3"/>
    <w:rsid w:val="007661C8"/>
    <w:rsid w:val="007840AA"/>
    <w:rsid w:val="007A7AC2"/>
    <w:rsid w:val="007B20F7"/>
    <w:rsid w:val="007C3E0A"/>
    <w:rsid w:val="007D3576"/>
    <w:rsid w:val="007D52CD"/>
    <w:rsid w:val="007E49CE"/>
    <w:rsid w:val="00813288"/>
    <w:rsid w:val="008168FC"/>
    <w:rsid w:val="008479A2"/>
    <w:rsid w:val="008539C8"/>
    <w:rsid w:val="00856E81"/>
    <w:rsid w:val="008602E8"/>
    <w:rsid w:val="00861D0A"/>
    <w:rsid w:val="0087309A"/>
    <w:rsid w:val="0087637F"/>
    <w:rsid w:val="0088074B"/>
    <w:rsid w:val="008809CE"/>
    <w:rsid w:val="0089125E"/>
    <w:rsid w:val="008A1512"/>
    <w:rsid w:val="008A1859"/>
    <w:rsid w:val="008B78C2"/>
    <w:rsid w:val="008C31BF"/>
    <w:rsid w:val="008C3BD5"/>
    <w:rsid w:val="008C4D84"/>
    <w:rsid w:val="008D0691"/>
    <w:rsid w:val="008D0BEB"/>
    <w:rsid w:val="008D6AC6"/>
    <w:rsid w:val="008D72FF"/>
    <w:rsid w:val="008E566E"/>
    <w:rsid w:val="00901EB6"/>
    <w:rsid w:val="0092768E"/>
    <w:rsid w:val="0093439E"/>
    <w:rsid w:val="009450CE"/>
    <w:rsid w:val="0095164B"/>
    <w:rsid w:val="009557DC"/>
    <w:rsid w:val="0096075D"/>
    <w:rsid w:val="00996483"/>
    <w:rsid w:val="009A2FB2"/>
    <w:rsid w:val="009C23DB"/>
    <w:rsid w:val="009E788A"/>
    <w:rsid w:val="00A07EE8"/>
    <w:rsid w:val="00A1763D"/>
    <w:rsid w:val="00A17CEC"/>
    <w:rsid w:val="00A27EF0"/>
    <w:rsid w:val="00A32793"/>
    <w:rsid w:val="00A36E73"/>
    <w:rsid w:val="00A553A3"/>
    <w:rsid w:val="00A739E6"/>
    <w:rsid w:val="00A76EFC"/>
    <w:rsid w:val="00A855E6"/>
    <w:rsid w:val="00A91BC2"/>
    <w:rsid w:val="00A9466B"/>
    <w:rsid w:val="00A97F29"/>
    <w:rsid w:val="00AA381B"/>
    <w:rsid w:val="00AB0964"/>
    <w:rsid w:val="00AB21B8"/>
    <w:rsid w:val="00AD23ED"/>
    <w:rsid w:val="00AD6EDF"/>
    <w:rsid w:val="00AE377D"/>
    <w:rsid w:val="00B00244"/>
    <w:rsid w:val="00B13F46"/>
    <w:rsid w:val="00B47A9E"/>
    <w:rsid w:val="00B61DBF"/>
    <w:rsid w:val="00BA67F8"/>
    <w:rsid w:val="00BC228F"/>
    <w:rsid w:val="00BC30C9"/>
    <w:rsid w:val="00BC6157"/>
    <w:rsid w:val="00BE2262"/>
    <w:rsid w:val="00BE3E58"/>
    <w:rsid w:val="00C01616"/>
    <w:rsid w:val="00C0162B"/>
    <w:rsid w:val="00C03CEB"/>
    <w:rsid w:val="00C04383"/>
    <w:rsid w:val="00C24DBA"/>
    <w:rsid w:val="00C319A7"/>
    <w:rsid w:val="00C345B1"/>
    <w:rsid w:val="00C40142"/>
    <w:rsid w:val="00C57182"/>
    <w:rsid w:val="00C612FD"/>
    <w:rsid w:val="00C6559A"/>
    <w:rsid w:val="00C655FD"/>
    <w:rsid w:val="00C7725E"/>
    <w:rsid w:val="00C93DB4"/>
    <w:rsid w:val="00C94434"/>
    <w:rsid w:val="00C96DDD"/>
    <w:rsid w:val="00CA1C95"/>
    <w:rsid w:val="00CA5A9C"/>
    <w:rsid w:val="00CA7D82"/>
    <w:rsid w:val="00CB7F82"/>
    <w:rsid w:val="00CD0CBD"/>
    <w:rsid w:val="00CD5FE2"/>
    <w:rsid w:val="00CD7006"/>
    <w:rsid w:val="00CF0467"/>
    <w:rsid w:val="00CF0BC2"/>
    <w:rsid w:val="00D02B4C"/>
    <w:rsid w:val="00D11162"/>
    <w:rsid w:val="00D250E3"/>
    <w:rsid w:val="00D475CE"/>
    <w:rsid w:val="00D57F43"/>
    <w:rsid w:val="00D6126A"/>
    <w:rsid w:val="00D84576"/>
    <w:rsid w:val="00DC617F"/>
    <w:rsid w:val="00DE0019"/>
    <w:rsid w:val="00DE05F0"/>
    <w:rsid w:val="00DE264A"/>
    <w:rsid w:val="00DE4228"/>
    <w:rsid w:val="00E00614"/>
    <w:rsid w:val="00E041E7"/>
    <w:rsid w:val="00E23CA1"/>
    <w:rsid w:val="00E409A8"/>
    <w:rsid w:val="00E47211"/>
    <w:rsid w:val="00E529CF"/>
    <w:rsid w:val="00E659E5"/>
    <w:rsid w:val="00E7209D"/>
    <w:rsid w:val="00E810CA"/>
    <w:rsid w:val="00EA50E1"/>
    <w:rsid w:val="00EC34D3"/>
    <w:rsid w:val="00EE0131"/>
    <w:rsid w:val="00EE11F9"/>
    <w:rsid w:val="00EF00E4"/>
    <w:rsid w:val="00F17C24"/>
    <w:rsid w:val="00F30B4D"/>
    <w:rsid w:val="00F30C64"/>
    <w:rsid w:val="00F4487B"/>
    <w:rsid w:val="00F9683B"/>
    <w:rsid w:val="00F9740E"/>
    <w:rsid w:val="00FA1E79"/>
    <w:rsid w:val="00FB730C"/>
    <w:rsid w:val="00FB7389"/>
    <w:rsid w:val="00FC2695"/>
    <w:rsid w:val="00FC3E03"/>
    <w:rsid w:val="00FE6A2D"/>
    <w:rsid w:val="00FF0EBF"/>
    <w:rsid w:val="00FF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610E8E7-B2D5-41D1-BBF8-C7B276D1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locked="1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03148D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lock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lock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lock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lock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lock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lock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lock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lock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lock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lock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lock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lock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Normale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e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e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paragraph" w:customStyle="1" w:styleId="CHISA">
    <w:name w:val="CHISA"/>
    <w:rsid w:val="00FB7389"/>
    <w:pPr>
      <w:suppressAutoHyphens/>
      <w:spacing w:after="0" w:line="240" w:lineRule="auto"/>
    </w:pPr>
    <w:rPr>
      <w:rFonts w:ascii="Arial" w:eastAsia="Times New Roman" w:hAnsi="Arial" w:cs="Arial"/>
      <w:color w:val="00000A"/>
      <w:kern w:val="1"/>
      <w:szCs w:val="20"/>
      <w:lang w:val="en-GB" w:eastAsia="ar-SA"/>
    </w:rPr>
  </w:style>
  <w:style w:type="paragraph" w:styleId="Paragrafoelenco">
    <w:name w:val="List Paragraph"/>
    <w:basedOn w:val="Normale"/>
    <w:uiPriority w:val="34"/>
    <w:qFormat/>
    <w:locked/>
    <w:rsid w:val="00BE22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8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9D18B-74AE-4577-87D1-2C0243D69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694</Words>
  <Characters>3961</Characters>
  <Application>Microsoft Office Word</Application>
  <DocSecurity>0</DocSecurity>
  <Lines>33</Lines>
  <Paragraphs>9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Dipartimento CMIC - Politecnico di Milano</Company>
  <LinksUpToDate>false</LinksUpToDate>
  <CharactersWithSpaces>4646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keywords>Corning Non-Corning</cp:keywords>
  <cp:lastModifiedBy>manuela</cp:lastModifiedBy>
  <cp:revision>2</cp:revision>
  <cp:lastPrinted>2015-05-12T18:31:00Z</cp:lastPrinted>
  <dcterms:created xsi:type="dcterms:W3CDTF">2019-07-03T08:38:00Z</dcterms:created>
  <dcterms:modified xsi:type="dcterms:W3CDTF">2019-07-03T08:38:00Z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20f0e397-6ccd-4166-b5ef-beb281fb0563</vt:lpwstr>
  </property>
  <property fmtid="{D5CDD505-2E9C-101B-9397-08002B2CF9AE}" pid="3" name="CorningConfigurationVersion">
    <vt:lpwstr>3.0.11.5.6.1ENM-4.8Edit</vt:lpwstr>
  </property>
  <property fmtid="{D5CDD505-2E9C-101B-9397-08002B2CF9AE}" pid="4" name="CorningFullClassification">
    <vt:lpwstr>Non-Corning</vt:lpwstr>
  </property>
  <property fmtid="{D5CDD505-2E9C-101B-9397-08002B2CF9AE}" pid="5" name="CCTCode">
    <vt:lpwstr>NC</vt:lpwstr>
  </property>
  <property fmtid="{D5CDD505-2E9C-101B-9397-08002B2CF9AE}" pid="6" name="CRCCode">
    <vt:lpwstr/>
  </property>
  <property fmtid="{D5CDD505-2E9C-101B-9397-08002B2CF9AE}" pid="7" name="CORNINGClassification">
    <vt:lpwstr>Non-Corning</vt:lpwstr>
  </property>
  <property fmtid="{D5CDD505-2E9C-101B-9397-08002B2CF9AE}" pid="8" name="CORNINGLabelExtension">
    <vt:lpwstr>None</vt:lpwstr>
  </property>
  <property fmtid="{D5CDD505-2E9C-101B-9397-08002B2CF9AE}" pid="9" name="CORNINGDisplayOptionalMarkingLanguage">
    <vt:lpwstr>None</vt:lpwstr>
  </property>
  <property fmtid="{D5CDD505-2E9C-101B-9397-08002B2CF9AE}" pid="10" name="CORNINGMarkingOption">
    <vt:lpwstr>Automatic</vt:lpwstr>
  </property>
  <property fmtid="{D5CDD505-2E9C-101B-9397-08002B2CF9AE}" pid="11" name="_AdHocReviewCycleID">
    <vt:i4>-1275300126</vt:i4>
  </property>
  <property fmtid="{D5CDD505-2E9C-101B-9397-08002B2CF9AE}" pid="12" name="_NewReviewCycle">
    <vt:lpwstr/>
  </property>
  <property fmtid="{D5CDD505-2E9C-101B-9397-08002B2CF9AE}" pid="13" name="_EmailSubject">
    <vt:lpwstr>Abstract_ECAB_2019</vt:lpwstr>
  </property>
  <property fmtid="{D5CDD505-2E9C-101B-9397-08002B2CF9AE}" pid="14" name="_AuthorEmail">
    <vt:lpwstr>WeberJL@corning.com</vt:lpwstr>
  </property>
  <property fmtid="{D5CDD505-2E9C-101B-9397-08002B2CF9AE}" pid="15" name="_AuthorEmailDisplayName">
    <vt:lpwstr>Weber, Jennifer L</vt:lpwstr>
  </property>
  <property fmtid="{D5CDD505-2E9C-101B-9397-08002B2CF9AE}" pid="16" name="_ReviewingToolsShownOnce">
    <vt:lpwstr/>
  </property>
</Properties>
</file>