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D51FA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Zeolite-supported </w:t>
      </w:r>
      <w:proofErr w:type="spellStart"/>
      <w:r>
        <w:rPr>
          <w:rFonts w:asciiTheme="minorHAnsi" w:eastAsia="MS PGothic" w:hAnsiTheme="minorHAnsi"/>
          <w:b/>
          <w:bCs/>
          <w:sz w:val="28"/>
          <w:szCs w:val="28"/>
          <w:lang w:val="en-US"/>
        </w:rPr>
        <w:t>FeMoP</w:t>
      </w:r>
      <w:proofErr w:type="spellEnd"/>
      <w:r>
        <w:rPr>
          <w:rFonts w:asciiTheme="minorHAnsi" w:eastAsia="MS PGothic" w:hAnsiTheme="minorHAnsi"/>
          <w:b/>
          <w:bCs/>
          <w:sz w:val="28"/>
          <w:szCs w:val="28"/>
          <w:lang w:val="en-US"/>
        </w:rPr>
        <w:t xml:space="preserve"> catalysts for the </w:t>
      </w:r>
      <w:proofErr w:type="spellStart"/>
      <w:r>
        <w:rPr>
          <w:rFonts w:asciiTheme="minorHAnsi" w:eastAsia="MS PGothic" w:hAnsiTheme="minorHAnsi"/>
          <w:b/>
          <w:bCs/>
          <w:sz w:val="28"/>
          <w:szCs w:val="28"/>
          <w:lang w:val="en-US"/>
        </w:rPr>
        <w:t>hydrodeoxygenation</w:t>
      </w:r>
      <w:proofErr w:type="spellEnd"/>
      <w:r>
        <w:rPr>
          <w:rFonts w:asciiTheme="minorHAnsi" w:eastAsia="MS PGothic" w:hAnsiTheme="minorHAnsi"/>
          <w:b/>
          <w:bCs/>
          <w:sz w:val="28"/>
          <w:szCs w:val="28"/>
          <w:lang w:val="en-US"/>
        </w:rPr>
        <w:t xml:space="preserve"> of </w:t>
      </w:r>
      <w:r w:rsidR="00EF6133">
        <w:rPr>
          <w:rFonts w:asciiTheme="minorHAnsi" w:eastAsia="MS PGothic" w:hAnsiTheme="minorHAnsi"/>
          <w:b/>
          <w:bCs/>
          <w:sz w:val="28"/>
          <w:szCs w:val="28"/>
          <w:lang w:val="en-US"/>
        </w:rPr>
        <w:t xml:space="preserve">a raw black poplar </w:t>
      </w:r>
      <w:r>
        <w:rPr>
          <w:rFonts w:asciiTheme="minorHAnsi" w:eastAsia="MS PGothic" w:hAnsiTheme="minorHAnsi"/>
          <w:b/>
          <w:bCs/>
          <w:sz w:val="28"/>
          <w:szCs w:val="28"/>
          <w:lang w:val="en-US"/>
        </w:rPr>
        <w:t>bio-oil towards hydrocarbons</w:t>
      </w:r>
    </w:p>
    <w:p w:rsidR="00DE0019" w:rsidRPr="0016087E" w:rsidRDefault="00021D3F" w:rsidP="00704BDF">
      <w:pPr>
        <w:snapToGrid w:val="0"/>
        <w:spacing w:after="120"/>
        <w:jc w:val="center"/>
        <w:rPr>
          <w:rFonts w:asciiTheme="minorHAnsi" w:eastAsia="SimSun" w:hAnsiTheme="minorHAnsi"/>
          <w:color w:val="000000"/>
          <w:sz w:val="24"/>
          <w:szCs w:val="24"/>
          <w:lang w:val="es-ES" w:eastAsia="zh-CN"/>
        </w:rPr>
      </w:pPr>
      <w:r w:rsidRPr="0016087E">
        <w:rPr>
          <w:rFonts w:asciiTheme="minorHAnsi" w:eastAsia="SimSun" w:hAnsiTheme="minorHAnsi"/>
          <w:color w:val="000000"/>
          <w:sz w:val="24"/>
          <w:szCs w:val="24"/>
          <w:u w:val="single"/>
          <w:lang w:val="es-ES" w:eastAsia="zh-CN"/>
        </w:rPr>
        <w:t>Idoia Hita</w:t>
      </w:r>
      <w:r w:rsidR="00704BDF" w:rsidRPr="0016087E">
        <w:rPr>
          <w:rFonts w:asciiTheme="minorHAnsi" w:eastAsia="SimSun" w:hAnsiTheme="minorHAnsi"/>
          <w:color w:val="000000"/>
          <w:sz w:val="24"/>
          <w:szCs w:val="24"/>
          <w:u w:val="single"/>
          <w:vertAlign w:val="superscript"/>
          <w:lang w:val="es-ES" w:eastAsia="zh-CN"/>
        </w:rPr>
        <w:t>1</w:t>
      </w:r>
      <w:r w:rsidR="00736B13" w:rsidRPr="0016087E">
        <w:rPr>
          <w:rFonts w:asciiTheme="minorHAnsi" w:eastAsia="SimSun" w:hAnsiTheme="minorHAnsi"/>
          <w:color w:val="000000"/>
          <w:sz w:val="24"/>
          <w:szCs w:val="24"/>
          <w:lang w:val="es-ES" w:eastAsia="zh-CN"/>
        </w:rPr>
        <w:t xml:space="preserve">, </w:t>
      </w:r>
      <w:r w:rsidRPr="0016087E">
        <w:rPr>
          <w:rFonts w:asciiTheme="minorHAnsi" w:eastAsia="SimSun" w:hAnsiTheme="minorHAnsi"/>
          <w:color w:val="000000"/>
          <w:sz w:val="24"/>
          <w:szCs w:val="24"/>
          <w:lang w:val="es-ES" w:eastAsia="zh-CN"/>
        </w:rPr>
        <w:t>Tomás Cordero-Lanzac</w:t>
      </w:r>
      <w:r w:rsidRPr="0016087E">
        <w:rPr>
          <w:rFonts w:asciiTheme="minorHAnsi" w:eastAsia="SimSun" w:hAnsiTheme="minorHAnsi"/>
          <w:color w:val="000000"/>
          <w:sz w:val="24"/>
          <w:szCs w:val="24"/>
          <w:vertAlign w:val="superscript"/>
          <w:lang w:val="es-ES" w:eastAsia="zh-CN"/>
        </w:rPr>
        <w:t>1</w:t>
      </w:r>
      <w:r w:rsidRPr="0016087E">
        <w:rPr>
          <w:rFonts w:asciiTheme="minorHAnsi" w:eastAsia="SimSun" w:hAnsiTheme="minorHAnsi"/>
          <w:color w:val="000000"/>
          <w:sz w:val="24"/>
          <w:szCs w:val="24"/>
          <w:lang w:val="es-ES" w:eastAsia="zh-CN"/>
        </w:rPr>
        <w:t>, Giuseppe Bonura</w:t>
      </w:r>
      <w:r w:rsidRPr="0016087E">
        <w:rPr>
          <w:rFonts w:asciiTheme="minorHAnsi" w:eastAsia="SimSun" w:hAnsiTheme="minorHAnsi"/>
          <w:color w:val="000000"/>
          <w:sz w:val="24"/>
          <w:szCs w:val="24"/>
          <w:vertAlign w:val="superscript"/>
          <w:lang w:val="es-ES" w:eastAsia="zh-CN"/>
        </w:rPr>
        <w:t>2</w:t>
      </w:r>
      <w:r w:rsidRPr="0016087E">
        <w:rPr>
          <w:rFonts w:asciiTheme="minorHAnsi" w:eastAsia="SimSun" w:hAnsiTheme="minorHAnsi"/>
          <w:color w:val="000000"/>
          <w:sz w:val="24"/>
          <w:szCs w:val="24"/>
          <w:lang w:val="es-ES" w:eastAsia="zh-CN"/>
        </w:rPr>
        <w:t xml:space="preserve">, </w:t>
      </w:r>
      <w:r w:rsidR="000124BB">
        <w:rPr>
          <w:rFonts w:asciiTheme="minorHAnsi" w:eastAsia="SimSun" w:hAnsiTheme="minorHAnsi"/>
          <w:color w:val="000000"/>
          <w:sz w:val="24"/>
          <w:szCs w:val="24"/>
          <w:lang w:val="es-ES" w:eastAsia="zh-CN"/>
        </w:rPr>
        <w:t>Catia Cannilla</w:t>
      </w:r>
      <w:r w:rsidR="000124BB" w:rsidRPr="000124BB">
        <w:rPr>
          <w:rFonts w:asciiTheme="minorHAnsi" w:eastAsia="SimSun" w:hAnsiTheme="minorHAnsi"/>
          <w:color w:val="000000"/>
          <w:sz w:val="24"/>
          <w:szCs w:val="24"/>
          <w:vertAlign w:val="superscript"/>
          <w:lang w:val="es-ES" w:eastAsia="zh-CN"/>
        </w:rPr>
        <w:t>2</w:t>
      </w:r>
      <w:r w:rsidR="000124BB">
        <w:rPr>
          <w:rFonts w:asciiTheme="minorHAnsi" w:eastAsia="SimSun" w:hAnsiTheme="minorHAnsi"/>
          <w:color w:val="000000"/>
          <w:sz w:val="24"/>
          <w:szCs w:val="24"/>
          <w:lang w:val="es-ES" w:eastAsia="zh-CN"/>
        </w:rPr>
        <w:t>, Francisco J. Vela</w:t>
      </w:r>
      <w:r w:rsidR="000124BB" w:rsidRPr="000124BB">
        <w:rPr>
          <w:rFonts w:asciiTheme="minorHAnsi" w:eastAsia="SimSun" w:hAnsiTheme="minorHAnsi"/>
          <w:color w:val="000000"/>
          <w:sz w:val="24"/>
          <w:szCs w:val="24"/>
          <w:vertAlign w:val="superscript"/>
          <w:lang w:val="es-ES" w:eastAsia="zh-CN"/>
        </w:rPr>
        <w:t>1</w:t>
      </w:r>
      <w:r w:rsidR="000124BB">
        <w:rPr>
          <w:rFonts w:asciiTheme="minorHAnsi" w:eastAsia="SimSun" w:hAnsiTheme="minorHAnsi"/>
          <w:color w:val="000000"/>
          <w:sz w:val="24"/>
          <w:szCs w:val="24"/>
          <w:lang w:val="es-ES" w:eastAsia="zh-CN"/>
        </w:rPr>
        <w:t xml:space="preserve">, </w:t>
      </w:r>
      <w:r w:rsidRPr="0016087E">
        <w:rPr>
          <w:rFonts w:asciiTheme="minorHAnsi" w:eastAsia="SimSun" w:hAnsiTheme="minorHAnsi"/>
          <w:color w:val="000000"/>
          <w:sz w:val="24"/>
          <w:szCs w:val="24"/>
          <w:lang w:val="es-ES" w:eastAsia="zh-CN"/>
        </w:rPr>
        <w:t>José M. Arandes</w:t>
      </w:r>
      <w:r w:rsidRPr="0016087E">
        <w:rPr>
          <w:rFonts w:asciiTheme="minorHAnsi" w:eastAsia="SimSun" w:hAnsiTheme="minorHAnsi"/>
          <w:color w:val="000000"/>
          <w:sz w:val="24"/>
          <w:szCs w:val="24"/>
          <w:vertAlign w:val="superscript"/>
          <w:lang w:val="es-ES" w:eastAsia="zh-CN"/>
        </w:rPr>
        <w:t>1</w:t>
      </w:r>
      <w:r w:rsidRPr="0016087E">
        <w:rPr>
          <w:rFonts w:asciiTheme="minorHAnsi" w:eastAsia="SimSun" w:hAnsiTheme="minorHAnsi"/>
          <w:color w:val="000000"/>
          <w:sz w:val="24"/>
          <w:szCs w:val="24"/>
          <w:lang w:val="es-ES" w:eastAsia="zh-CN"/>
        </w:rPr>
        <w:t>, Francesco</w:t>
      </w:r>
      <w:r w:rsidR="003F439D">
        <w:rPr>
          <w:rFonts w:asciiTheme="minorHAnsi" w:eastAsia="SimSun" w:hAnsiTheme="minorHAnsi"/>
          <w:color w:val="000000"/>
          <w:sz w:val="24"/>
          <w:szCs w:val="24"/>
          <w:lang w:val="es-ES" w:eastAsia="zh-CN"/>
        </w:rPr>
        <w:t xml:space="preserve"> </w:t>
      </w:r>
      <w:r w:rsidRPr="0016087E">
        <w:rPr>
          <w:rFonts w:asciiTheme="minorHAnsi" w:eastAsia="SimSun" w:hAnsiTheme="minorHAnsi"/>
          <w:color w:val="000000"/>
          <w:sz w:val="24"/>
          <w:szCs w:val="24"/>
          <w:lang w:val="es-ES" w:eastAsia="zh-CN"/>
        </w:rPr>
        <w:t>Frusteri</w:t>
      </w:r>
      <w:r w:rsidRPr="0016087E">
        <w:rPr>
          <w:rFonts w:asciiTheme="minorHAnsi" w:eastAsia="SimSun" w:hAnsiTheme="minorHAnsi"/>
          <w:color w:val="000000"/>
          <w:sz w:val="24"/>
          <w:szCs w:val="24"/>
          <w:vertAlign w:val="superscript"/>
          <w:lang w:val="es-ES" w:eastAsia="zh-CN"/>
        </w:rPr>
        <w:t>2</w:t>
      </w:r>
      <w:r w:rsidRPr="0016087E">
        <w:rPr>
          <w:rFonts w:asciiTheme="minorHAnsi" w:eastAsia="SimSun" w:hAnsiTheme="minorHAnsi"/>
          <w:color w:val="000000"/>
          <w:sz w:val="24"/>
          <w:szCs w:val="24"/>
          <w:lang w:val="es-ES" w:eastAsia="zh-CN"/>
        </w:rPr>
        <w:t>, Javier Bilbao</w:t>
      </w:r>
      <w:r w:rsidRPr="0016087E">
        <w:rPr>
          <w:rFonts w:asciiTheme="minorHAnsi" w:eastAsia="SimSun" w:hAnsiTheme="minorHAnsi"/>
          <w:color w:val="000000"/>
          <w:sz w:val="24"/>
          <w:szCs w:val="24"/>
          <w:vertAlign w:val="superscript"/>
          <w:lang w:val="es-ES" w:eastAsia="zh-CN"/>
        </w:rPr>
        <w:t>2</w:t>
      </w:r>
    </w:p>
    <w:p w:rsidR="001034AA" w:rsidRPr="009B21B5" w:rsidRDefault="00704BDF" w:rsidP="001034AA">
      <w:pPr>
        <w:snapToGrid w:val="0"/>
        <w:jc w:val="center"/>
        <w:rPr>
          <w:rFonts w:asciiTheme="minorHAnsi" w:eastAsia="MS PGothic" w:hAnsiTheme="minorHAnsi"/>
          <w:i/>
          <w:iCs/>
          <w:color w:val="000000"/>
          <w:sz w:val="20"/>
          <w:lang w:val="en-US"/>
        </w:rPr>
      </w:pPr>
      <w:r w:rsidRPr="000124BB">
        <w:rPr>
          <w:rFonts w:eastAsia="MS PGothic"/>
          <w:i/>
          <w:iCs/>
          <w:color w:val="000000"/>
          <w:sz w:val="20"/>
          <w:lang w:val="en-US"/>
        </w:rPr>
        <w:t>1</w:t>
      </w:r>
      <w:r w:rsidR="001034AA" w:rsidRPr="009B21B5">
        <w:rPr>
          <w:rFonts w:eastAsia="MS PGothic"/>
          <w:i/>
          <w:iCs/>
          <w:color w:val="000000"/>
          <w:sz w:val="20"/>
          <w:lang w:val="en-US"/>
        </w:rPr>
        <w:t xml:space="preserve"> </w:t>
      </w:r>
      <w:r w:rsidR="00AD4855" w:rsidRPr="009B21B5">
        <w:rPr>
          <w:rFonts w:asciiTheme="minorHAnsi" w:eastAsia="MS PGothic" w:hAnsiTheme="minorHAnsi"/>
          <w:i/>
          <w:iCs/>
          <w:color w:val="000000"/>
          <w:sz w:val="20"/>
          <w:lang w:val="en-US"/>
        </w:rPr>
        <w:t>Department of Chemical Engineering, University of the Basque Country (UPV/EHU),</w:t>
      </w:r>
    </w:p>
    <w:p w:rsidR="00704BDF" w:rsidRPr="0016087E" w:rsidRDefault="00AD4855" w:rsidP="00812955">
      <w:pPr>
        <w:snapToGrid w:val="0"/>
        <w:spacing w:after="120"/>
        <w:jc w:val="center"/>
        <w:rPr>
          <w:rFonts w:asciiTheme="minorHAnsi" w:eastAsia="MS PGothic" w:hAnsiTheme="minorHAnsi"/>
          <w:i/>
          <w:iCs/>
          <w:color w:val="000000"/>
          <w:sz w:val="20"/>
          <w:lang w:val="es-ES"/>
        </w:rPr>
      </w:pPr>
      <w:r w:rsidRPr="0016087E">
        <w:rPr>
          <w:rFonts w:asciiTheme="minorHAnsi" w:eastAsia="MS PGothic" w:hAnsiTheme="minorHAnsi"/>
          <w:i/>
          <w:iCs/>
          <w:color w:val="000000"/>
          <w:sz w:val="20"/>
          <w:lang w:val="es-ES"/>
        </w:rPr>
        <w:t xml:space="preserve">PO Box 644-48080, Bilbao, </w:t>
      </w:r>
      <w:proofErr w:type="spellStart"/>
      <w:r w:rsidRPr="0016087E">
        <w:rPr>
          <w:rFonts w:asciiTheme="minorHAnsi" w:eastAsia="MS PGothic" w:hAnsiTheme="minorHAnsi"/>
          <w:i/>
          <w:iCs/>
          <w:color w:val="000000"/>
          <w:sz w:val="20"/>
          <w:lang w:val="es-ES"/>
        </w:rPr>
        <w:t>Spain</w:t>
      </w:r>
      <w:proofErr w:type="spellEnd"/>
      <w:r w:rsidR="00704BDF" w:rsidRPr="0016087E">
        <w:rPr>
          <w:rFonts w:asciiTheme="minorHAnsi" w:eastAsia="MS PGothic" w:hAnsiTheme="minorHAnsi"/>
          <w:i/>
          <w:iCs/>
          <w:color w:val="000000"/>
          <w:sz w:val="20"/>
          <w:lang w:val="es-ES"/>
        </w:rPr>
        <w:t>;</w:t>
      </w:r>
      <w:r w:rsidR="001650AA">
        <w:rPr>
          <w:rFonts w:asciiTheme="minorHAnsi" w:eastAsia="MS PGothic" w:hAnsiTheme="minorHAnsi"/>
          <w:i/>
          <w:iCs/>
          <w:color w:val="000000"/>
          <w:sz w:val="20"/>
          <w:lang w:val="es-ES"/>
        </w:rPr>
        <w:t xml:space="preserve"> </w:t>
      </w:r>
      <w:r w:rsidR="00704BDF" w:rsidRPr="000124BB">
        <w:rPr>
          <w:rFonts w:asciiTheme="minorHAnsi" w:eastAsia="MS PGothic" w:hAnsiTheme="minorHAnsi"/>
          <w:i/>
          <w:iCs/>
          <w:color w:val="000000"/>
          <w:sz w:val="20"/>
          <w:lang w:val="es-ES"/>
        </w:rPr>
        <w:t>2</w:t>
      </w:r>
      <w:r w:rsidR="00704BDF" w:rsidRPr="0016087E">
        <w:rPr>
          <w:rFonts w:asciiTheme="minorHAnsi" w:eastAsia="MS PGothic" w:hAnsiTheme="minorHAnsi"/>
          <w:i/>
          <w:iCs/>
          <w:color w:val="000000"/>
          <w:sz w:val="20"/>
          <w:lang w:val="es-ES"/>
        </w:rPr>
        <w:t xml:space="preserve"> </w:t>
      </w:r>
      <w:r w:rsidRPr="0016087E">
        <w:rPr>
          <w:rFonts w:asciiTheme="minorHAnsi" w:eastAsia="MS PGothic" w:hAnsiTheme="minorHAnsi"/>
          <w:i/>
          <w:iCs/>
          <w:color w:val="000000"/>
          <w:sz w:val="20"/>
          <w:lang w:val="es-ES"/>
        </w:rPr>
        <w:t xml:space="preserve">CNR-ITAE, </w:t>
      </w:r>
      <w:proofErr w:type="spellStart"/>
      <w:r w:rsidRPr="0016087E">
        <w:rPr>
          <w:rFonts w:asciiTheme="minorHAnsi" w:eastAsia="MS PGothic" w:hAnsiTheme="minorHAnsi"/>
          <w:i/>
          <w:iCs/>
          <w:color w:val="000000"/>
          <w:sz w:val="20"/>
          <w:lang w:val="es-ES"/>
        </w:rPr>
        <w:t>Istituto</w:t>
      </w:r>
      <w:proofErr w:type="spellEnd"/>
      <w:r w:rsidRPr="0016087E">
        <w:rPr>
          <w:rFonts w:asciiTheme="minorHAnsi" w:eastAsia="MS PGothic" w:hAnsiTheme="minorHAnsi"/>
          <w:i/>
          <w:iCs/>
          <w:color w:val="000000"/>
          <w:sz w:val="20"/>
          <w:lang w:val="es-ES"/>
        </w:rPr>
        <w:t xml:space="preserve"> di </w:t>
      </w:r>
      <w:proofErr w:type="spellStart"/>
      <w:r w:rsidRPr="0016087E">
        <w:rPr>
          <w:rFonts w:asciiTheme="minorHAnsi" w:eastAsia="MS PGothic" w:hAnsiTheme="minorHAnsi"/>
          <w:i/>
          <w:iCs/>
          <w:color w:val="000000"/>
          <w:sz w:val="20"/>
          <w:lang w:val="es-ES"/>
        </w:rPr>
        <w:t>Tecnologie</w:t>
      </w:r>
      <w:proofErr w:type="spellEnd"/>
      <w:r w:rsidRPr="0016087E">
        <w:rPr>
          <w:rFonts w:asciiTheme="minorHAnsi" w:eastAsia="MS PGothic" w:hAnsiTheme="minorHAnsi"/>
          <w:i/>
          <w:iCs/>
          <w:color w:val="000000"/>
          <w:sz w:val="20"/>
          <w:lang w:val="es-ES"/>
        </w:rPr>
        <w:t xml:space="preserve"> </w:t>
      </w:r>
      <w:proofErr w:type="spellStart"/>
      <w:r w:rsidRPr="0016087E">
        <w:rPr>
          <w:rFonts w:asciiTheme="minorHAnsi" w:eastAsia="MS PGothic" w:hAnsiTheme="minorHAnsi"/>
          <w:i/>
          <w:iCs/>
          <w:color w:val="000000"/>
          <w:sz w:val="20"/>
          <w:lang w:val="es-ES"/>
        </w:rPr>
        <w:t>Avanzate</w:t>
      </w:r>
      <w:proofErr w:type="spellEnd"/>
      <w:r w:rsidRPr="0016087E">
        <w:rPr>
          <w:rFonts w:asciiTheme="minorHAnsi" w:eastAsia="MS PGothic" w:hAnsiTheme="minorHAnsi"/>
          <w:i/>
          <w:iCs/>
          <w:color w:val="000000"/>
          <w:sz w:val="20"/>
          <w:lang w:val="es-ES"/>
        </w:rPr>
        <w:t xml:space="preserve"> per l</w:t>
      </w:r>
      <w:r w:rsidR="001034AA">
        <w:rPr>
          <w:rFonts w:asciiTheme="minorHAnsi" w:eastAsia="MS PGothic" w:hAnsiTheme="minorHAnsi"/>
          <w:i/>
          <w:iCs/>
          <w:color w:val="000000"/>
          <w:sz w:val="20"/>
          <w:lang w:val="es-ES"/>
        </w:rPr>
        <w:t xml:space="preserve">’ </w:t>
      </w:r>
      <w:proofErr w:type="spellStart"/>
      <w:r w:rsidR="001034AA">
        <w:rPr>
          <w:rFonts w:asciiTheme="minorHAnsi" w:eastAsia="MS PGothic" w:hAnsiTheme="minorHAnsi"/>
          <w:i/>
          <w:iCs/>
          <w:color w:val="000000"/>
          <w:sz w:val="20"/>
          <w:lang w:val="es-ES"/>
        </w:rPr>
        <w:t>E</w:t>
      </w:r>
      <w:r w:rsidRPr="0016087E">
        <w:rPr>
          <w:rFonts w:asciiTheme="minorHAnsi" w:eastAsia="MS PGothic" w:hAnsiTheme="minorHAnsi"/>
          <w:i/>
          <w:iCs/>
          <w:color w:val="000000"/>
          <w:sz w:val="20"/>
          <w:lang w:val="es-ES"/>
        </w:rPr>
        <w:t>nergia</w:t>
      </w:r>
      <w:proofErr w:type="spellEnd"/>
      <w:r w:rsidRPr="0016087E">
        <w:rPr>
          <w:rFonts w:asciiTheme="minorHAnsi" w:eastAsia="MS PGothic" w:hAnsiTheme="minorHAnsi"/>
          <w:i/>
          <w:iCs/>
          <w:color w:val="000000"/>
          <w:sz w:val="20"/>
          <w:lang w:val="es-ES"/>
        </w:rPr>
        <w:t xml:space="preserve"> “Nicola Giordano”,</w:t>
      </w:r>
      <w:r w:rsidR="001650AA">
        <w:rPr>
          <w:rFonts w:asciiTheme="minorHAnsi" w:eastAsia="MS PGothic" w:hAnsiTheme="minorHAnsi"/>
          <w:i/>
          <w:iCs/>
          <w:color w:val="000000"/>
          <w:sz w:val="20"/>
          <w:lang w:val="es-ES"/>
        </w:rPr>
        <w:t xml:space="preserve"> </w:t>
      </w:r>
      <w:proofErr w:type="spellStart"/>
      <w:r w:rsidRPr="0016087E">
        <w:rPr>
          <w:rFonts w:asciiTheme="minorHAnsi" w:eastAsia="MS PGothic" w:hAnsiTheme="minorHAnsi"/>
          <w:i/>
          <w:iCs/>
          <w:color w:val="000000"/>
          <w:sz w:val="20"/>
          <w:lang w:val="es-ES"/>
        </w:rPr>
        <w:t>Via</w:t>
      </w:r>
      <w:proofErr w:type="spellEnd"/>
      <w:r w:rsidRPr="0016087E">
        <w:rPr>
          <w:rFonts w:asciiTheme="minorHAnsi" w:eastAsia="MS PGothic" w:hAnsiTheme="minorHAnsi"/>
          <w:i/>
          <w:iCs/>
          <w:color w:val="000000"/>
          <w:sz w:val="20"/>
          <w:lang w:val="es-ES"/>
        </w:rPr>
        <w:t xml:space="preserve"> S. Lucia </w:t>
      </w:r>
      <w:proofErr w:type="spellStart"/>
      <w:r w:rsidRPr="0016087E">
        <w:rPr>
          <w:rFonts w:asciiTheme="minorHAnsi" w:eastAsia="MS PGothic" w:hAnsiTheme="minorHAnsi"/>
          <w:i/>
          <w:iCs/>
          <w:color w:val="000000"/>
          <w:sz w:val="20"/>
          <w:lang w:val="es-ES"/>
        </w:rPr>
        <w:t>sopra</w:t>
      </w:r>
      <w:proofErr w:type="spellEnd"/>
      <w:r w:rsidRPr="0016087E">
        <w:rPr>
          <w:rFonts w:asciiTheme="minorHAnsi" w:eastAsia="MS PGothic" w:hAnsiTheme="minorHAnsi"/>
          <w:i/>
          <w:iCs/>
          <w:color w:val="000000"/>
          <w:sz w:val="20"/>
          <w:lang w:val="es-ES"/>
        </w:rPr>
        <w:t xml:space="preserve"> </w:t>
      </w:r>
      <w:proofErr w:type="spellStart"/>
      <w:r w:rsidRPr="0016087E">
        <w:rPr>
          <w:rFonts w:asciiTheme="minorHAnsi" w:eastAsia="MS PGothic" w:hAnsiTheme="minorHAnsi"/>
          <w:i/>
          <w:iCs/>
          <w:color w:val="000000"/>
          <w:sz w:val="20"/>
          <w:lang w:val="es-ES"/>
        </w:rPr>
        <w:t>Contesse</w:t>
      </w:r>
      <w:proofErr w:type="spellEnd"/>
      <w:r w:rsidRPr="0016087E">
        <w:rPr>
          <w:rFonts w:asciiTheme="minorHAnsi" w:eastAsia="MS PGothic" w:hAnsiTheme="minorHAnsi"/>
          <w:i/>
          <w:iCs/>
          <w:color w:val="000000"/>
          <w:sz w:val="20"/>
          <w:lang w:val="es-ES"/>
        </w:rPr>
        <w:t xml:space="preserve">, 5-98126, Messina, </w:t>
      </w:r>
      <w:proofErr w:type="spellStart"/>
      <w:r w:rsidRPr="0016087E">
        <w:rPr>
          <w:rFonts w:asciiTheme="minorHAnsi" w:eastAsia="MS PGothic" w:hAnsiTheme="minorHAnsi"/>
          <w:i/>
          <w:iCs/>
          <w:color w:val="000000"/>
          <w:sz w:val="20"/>
          <w:lang w:val="es-ES"/>
        </w:rPr>
        <w:t>Italy</w:t>
      </w:r>
      <w:proofErr w:type="spellEnd"/>
    </w:p>
    <w:p w:rsidR="00AD4855" w:rsidRPr="00DE0019" w:rsidRDefault="00704BDF" w:rsidP="00AD4855">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1034AA">
        <w:rPr>
          <w:rFonts w:asciiTheme="minorHAnsi" w:eastAsia="MS PGothic" w:hAnsiTheme="minorHAnsi"/>
          <w:bCs/>
          <w:i/>
          <w:iCs/>
          <w:sz w:val="20"/>
          <w:lang w:val="en-US" w:eastAsia="ko-KR"/>
        </w:rPr>
        <w:t xml:space="preserve"> </w:t>
      </w:r>
      <w:hyperlink r:id="rId10" w:history="1">
        <w:r w:rsidR="00AD4855" w:rsidRPr="00C07314">
          <w:rPr>
            <w:rStyle w:val="Hipervnculo"/>
            <w:rFonts w:asciiTheme="minorHAnsi" w:eastAsia="MS PGothic" w:hAnsiTheme="minorHAnsi"/>
            <w:bCs/>
            <w:i/>
            <w:iCs/>
            <w:sz w:val="20"/>
            <w:lang w:val="en-US"/>
          </w:rPr>
          <w:t>idoia.hita@ehu.eus</w:t>
        </w:r>
      </w:hyperlink>
    </w:p>
    <w:p w:rsidR="00704BDF" w:rsidRPr="00E309B5" w:rsidRDefault="00704BDF" w:rsidP="000124BB">
      <w:pPr>
        <w:pStyle w:val="AbstractHeading"/>
        <w:tabs>
          <w:tab w:val="left" w:pos="3547"/>
          <w:tab w:val="center" w:pos="4694"/>
        </w:tabs>
        <w:spacing w:before="240" w:after="0"/>
        <w:ind w:firstLine="357"/>
      </w:pPr>
      <w:r w:rsidRPr="00E309B5">
        <w:rPr>
          <w:rFonts w:asciiTheme="minorHAnsi" w:hAnsiTheme="minorHAnsi"/>
          <w:b/>
        </w:rPr>
        <w:t>Highlights</w:t>
      </w:r>
    </w:p>
    <w:p w:rsidR="00E309B5" w:rsidRPr="0016087E" w:rsidRDefault="00E309B5" w:rsidP="00704BDF">
      <w:pPr>
        <w:pStyle w:val="AbstractBody"/>
        <w:numPr>
          <w:ilvl w:val="0"/>
          <w:numId w:val="16"/>
        </w:numPr>
        <w:rPr>
          <w:rFonts w:asciiTheme="minorHAnsi" w:hAnsiTheme="minorHAnsi"/>
          <w:lang w:val="fr-FR"/>
        </w:rPr>
      </w:pPr>
      <w:r w:rsidRPr="0016087E">
        <w:rPr>
          <w:rFonts w:asciiTheme="minorHAnsi" w:hAnsiTheme="minorHAnsi"/>
          <w:lang w:val="fr-FR"/>
        </w:rPr>
        <w:t xml:space="preserve">Zeolite supports </w:t>
      </w:r>
      <w:proofErr w:type="spellStart"/>
      <w:r w:rsidRPr="0016087E">
        <w:rPr>
          <w:rFonts w:asciiTheme="minorHAnsi" w:hAnsiTheme="minorHAnsi"/>
          <w:lang w:val="fr-FR"/>
        </w:rPr>
        <w:t>enhance</w:t>
      </w:r>
      <w:proofErr w:type="spellEnd"/>
      <w:r w:rsidRPr="0016087E">
        <w:rPr>
          <w:rFonts w:asciiTheme="minorHAnsi" w:hAnsiTheme="minorHAnsi"/>
          <w:lang w:val="fr-FR"/>
        </w:rPr>
        <w:t xml:space="preserve"> </w:t>
      </w:r>
      <w:proofErr w:type="spellStart"/>
      <w:r w:rsidRPr="0016087E">
        <w:rPr>
          <w:rFonts w:asciiTheme="minorHAnsi" w:hAnsiTheme="minorHAnsi"/>
          <w:lang w:val="fr-FR"/>
        </w:rPr>
        <w:t>dehydration</w:t>
      </w:r>
      <w:proofErr w:type="spellEnd"/>
      <w:r w:rsidRPr="0016087E">
        <w:rPr>
          <w:rFonts w:asciiTheme="minorHAnsi" w:hAnsiTheme="minorHAnsi"/>
          <w:lang w:val="fr-FR"/>
        </w:rPr>
        <w:t xml:space="preserve">/condensation </w:t>
      </w:r>
      <w:proofErr w:type="spellStart"/>
      <w:r w:rsidRPr="0016087E">
        <w:rPr>
          <w:rFonts w:asciiTheme="minorHAnsi" w:hAnsiTheme="minorHAnsi"/>
          <w:lang w:val="fr-FR"/>
        </w:rPr>
        <w:t>reactions</w:t>
      </w:r>
      <w:proofErr w:type="spellEnd"/>
    </w:p>
    <w:p w:rsidR="00704BDF" w:rsidRPr="00E309B5" w:rsidRDefault="00E309B5" w:rsidP="00704BDF">
      <w:pPr>
        <w:pStyle w:val="AbstractBody"/>
        <w:numPr>
          <w:ilvl w:val="0"/>
          <w:numId w:val="16"/>
        </w:numPr>
        <w:rPr>
          <w:rFonts w:asciiTheme="minorHAnsi" w:hAnsiTheme="minorHAnsi"/>
        </w:rPr>
      </w:pPr>
      <w:r w:rsidRPr="00E309B5">
        <w:rPr>
          <w:rFonts w:asciiTheme="minorHAnsi" w:hAnsiTheme="minorHAnsi"/>
        </w:rPr>
        <w:t>The acidity features of the catalyst play a primary role in their performance</w:t>
      </w:r>
    </w:p>
    <w:p w:rsidR="00704BDF" w:rsidRPr="00E309B5" w:rsidRDefault="00E309B5" w:rsidP="00704BDF">
      <w:pPr>
        <w:pStyle w:val="AbstractBody"/>
        <w:numPr>
          <w:ilvl w:val="0"/>
          <w:numId w:val="16"/>
        </w:numPr>
        <w:rPr>
          <w:rFonts w:asciiTheme="minorHAnsi" w:hAnsiTheme="minorHAnsi"/>
        </w:rPr>
      </w:pPr>
      <w:r w:rsidRPr="00E309B5">
        <w:rPr>
          <w:rFonts w:asciiTheme="minorHAnsi" w:hAnsiTheme="minorHAnsi"/>
        </w:rPr>
        <w:t xml:space="preserve">The </w:t>
      </w:r>
      <w:proofErr w:type="spellStart"/>
      <w:r w:rsidRPr="00E309B5">
        <w:rPr>
          <w:rFonts w:asciiTheme="minorHAnsi" w:hAnsiTheme="minorHAnsi"/>
        </w:rPr>
        <w:t>FeMoP</w:t>
      </w:r>
      <w:proofErr w:type="spellEnd"/>
      <w:r w:rsidRPr="00E309B5">
        <w:rPr>
          <w:rFonts w:asciiTheme="minorHAnsi" w:hAnsiTheme="minorHAnsi"/>
        </w:rPr>
        <w:t xml:space="preserve">/ZSM5 catalyst </w:t>
      </w:r>
      <w:r w:rsidR="009B21B5">
        <w:rPr>
          <w:rFonts w:asciiTheme="minorHAnsi" w:hAnsiTheme="minorHAnsi"/>
        </w:rPr>
        <w:t>is</w:t>
      </w:r>
      <w:r w:rsidR="009B21B5" w:rsidRPr="00E309B5">
        <w:rPr>
          <w:rFonts w:asciiTheme="minorHAnsi" w:hAnsiTheme="minorHAnsi"/>
        </w:rPr>
        <w:t xml:space="preserve"> </w:t>
      </w:r>
      <w:r w:rsidRPr="00E309B5">
        <w:rPr>
          <w:rFonts w:asciiTheme="minorHAnsi" w:hAnsiTheme="minorHAnsi"/>
        </w:rPr>
        <w:t>the most selective towards aromatics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B7666" w:rsidRDefault="004E3F96"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the recent years, bio-oil has been attracting great research attention given its potential as a sustainable source of fuels and platform chemicals </w:t>
      </w:r>
      <w:r w:rsidR="00E97400">
        <w:rPr>
          <w:rFonts w:asciiTheme="minorHAnsi" w:eastAsia="MS PGothic" w:hAnsiTheme="minorHAnsi"/>
          <w:color w:val="000000"/>
          <w:sz w:val="22"/>
          <w:szCs w:val="22"/>
          <w:lang w:val="en-US"/>
        </w:rPr>
        <w:fldChar w:fldCharType="begin" w:fldLock="1"/>
      </w:r>
      <w:r w:rsidR="00034C8A">
        <w:rPr>
          <w:rFonts w:asciiTheme="minorHAnsi" w:eastAsia="MS PGothic" w:hAnsiTheme="minorHAnsi"/>
          <w:color w:val="000000"/>
          <w:sz w:val="22"/>
          <w:szCs w:val="22"/>
          <w:lang w:val="en-US"/>
        </w:rPr>
        <w:instrText>ADDIN CSL_CITATION {"citationItems":[{"id":"ITEM-1","itemData":{"DOI":"10.1016/j.rser.2015.12.180","abstract":"This paper provides insights on the properties of bio-oil obtained from various feedstock and several available mechanisms for bio-oil upgrading. A comprehensive detail on the catalytic cracking, hydrodeoxygenation, esterification, supercritical extraction and steam reforming processes are reviewed. Each upgrading technique has both advantages and disadvantages. The hydrodeoxygenation which has the major breakthrough in the bio-oil upgrading, even though there is no specific inference on the process chemistry in addition to various unfavorable conditions, this process holds good in reducing the oxygen contents of raw bio-oil. Various types of catalysts, their limitations along with the advantages, the use of novel catalysts and catalyst deactivation due to char formation at specified conditions among different upgrading techniques are presented. From this review, it was found that there is no specific catalyst for the specific compound upgrading. There is no specific reaction pathways defined for the processing of bio-oil. All the reviews and researches so far are constrained to the individual compounds of bio oil rather than as a whole. Some key points which are to be addressed for established process of bio-oil upgrading may include finding multifunctional catalysts which can improve the bio-oil properties suitable to blend with existing transportation fossil fuels or to directly use as transportation fuels, studies at pilot plant level, establishment of design concepts as in existing petroleum refineries, and numerical approaches to find various possible reaction pathways leading to upgraded bio-oil. © 2015 Elsevier Ltd. All rights reserved.","author":[{"dropping-particle":"","family":"Gollakota","given":"A R K","non-dropping-particle":"","parse-names":false,"suffix":""},{"dropping-particle":"","family":"Reddy","given":"M","non-dropping-particle":"","parse-names":false,"suffix":""},{"dropping-particle":"","family":"Subramanyam","given":"M D","non-dropping-particle":"","parse-names":false,"suffix":""},{"dropping-particle":"","family":"Kishore","given":"N","non-dropping-particle":"","parse-names":false,"suffix":""}],"container-title":"Renewable and Sustainable Energy Reviews","id":"ITEM-1","issued":{"date-parts":[["2016"]]},"note":"Cited By :6\nExport Date: 30 January 2017","page":"1543-1568","publisher-place":"Department of Chemical Engineering, Indian Institute of Technology Guwahati, Guwahati, Assam, India","title":"A review on the upgradation techniques of pyrolysis oil","type":"article-journal","volume":"58"},"uris":["http://www.mendeley.com/documents/?uuid=b4cf7307-0fb6-4dd3-987b-69b935fa086b"]}],"mendeley":{"formattedCitation":"[1]","plainTextFormattedCitation":"[1]","previouslyFormattedCitation":"[1]"},"properties":{"noteIndex":0},"schema":"https://github.com/citation-style-language/schema/raw/master/csl-citation.json"}</w:instrText>
      </w:r>
      <w:r w:rsidR="00E97400">
        <w:rPr>
          <w:rFonts w:asciiTheme="minorHAnsi" w:eastAsia="MS PGothic" w:hAnsiTheme="minorHAnsi"/>
          <w:color w:val="000000"/>
          <w:sz w:val="22"/>
          <w:szCs w:val="22"/>
          <w:lang w:val="en-US"/>
        </w:rPr>
        <w:fldChar w:fldCharType="separate"/>
      </w:r>
      <w:r w:rsidR="00034C8A" w:rsidRPr="00034C8A">
        <w:rPr>
          <w:rFonts w:asciiTheme="minorHAnsi" w:eastAsia="MS PGothic" w:hAnsiTheme="minorHAnsi"/>
          <w:noProof/>
          <w:color w:val="000000"/>
          <w:sz w:val="22"/>
          <w:szCs w:val="22"/>
          <w:lang w:val="en-US"/>
        </w:rPr>
        <w:t>[1]</w:t>
      </w:r>
      <w:r w:rsidR="00E97400">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w:t>
      </w:r>
      <w:r w:rsidR="005B7666">
        <w:rPr>
          <w:rFonts w:asciiTheme="minorHAnsi" w:eastAsia="MS PGothic" w:hAnsiTheme="minorHAnsi"/>
          <w:color w:val="000000"/>
          <w:sz w:val="22"/>
          <w:szCs w:val="22"/>
          <w:lang w:val="en-US"/>
        </w:rPr>
        <w:t xml:space="preserve">When aiming for the production of </w:t>
      </w:r>
      <w:r w:rsidR="00B60775">
        <w:rPr>
          <w:rFonts w:asciiTheme="minorHAnsi" w:eastAsia="MS PGothic" w:hAnsiTheme="minorHAnsi"/>
          <w:color w:val="000000"/>
          <w:sz w:val="22"/>
          <w:szCs w:val="22"/>
          <w:lang w:val="en-US"/>
        </w:rPr>
        <w:t>chemicals (</w:t>
      </w:r>
      <w:r w:rsidR="00B60775" w:rsidRPr="000156CD">
        <w:rPr>
          <w:rFonts w:asciiTheme="minorHAnsi" w:eastAsia="MS PGothic" w:hAnsiTheme="minorHAnsi"/>
          <w:i/>
          <w:color w:val="000000"/>
          <w:sz w:val="22"/>
          <w:szCs w:val="22"/>
          <w:lang w:val="en-US"/>
        </w:rPr>
        <w:t>i.e.</w:t>
      </w:r>
      <w:r w:rsidR="000156CD">
        <w:rPr>
          <w:rFonts w:asciiTheme="minorHAnsi" w:eastAsia="MS PGothic" w:hAnsiTheme="minorHAnsi"/>
          <w:color w:val="000000"/>
          <w:sz w:val="22"/>
          <w:szCs w:val="22"/>
          <w:lang w:val="en-US"/>
        </w:rPr>
        <w:t>,</w:t>
      </w:r>
      <w:r w:rsidR="00B60775">
        <w:rPr>
          <w:rFonts w:asciiTheme="minorHAnsi" w:eastAsia="MS PGothic" w:hAnsiTheme="minorHAnsi"/>
          <w:color w:val="000000"/>
          <w:sz w:val="22"/>
          <w:szCs w:val="22"/>
          <w:lang w:val="en-US"/>
        </w:rPr>
        <w:t xml:space="preserve"> aromatics, </w:t>
      </w:r>
      <w:proofErr w:type="spellStart"/>
      <w:r w:rsidR="005B7666">
        <w:rPr>
          <w:rFonts w:asciiTheme="minorHAnsi" w:eastAsia="MS PGothic" w:hAnsiTheme="minorHAnsi"/>
          <w:color w:val="000000"/>
          <w:sz w:val="22"/>
          <w:szCs w:val="22"/>
          <w:lang w:val="en-US"/>
        </w:rPr>
        <w:t>phenolics</w:t>
      </w:r>
      <w:proofErr w:type="spellEnd"/>
      <w:r w:rsidR="005B7666">
        <w:rPr>
          <w:rFonts w:asciiTheme="minorHAnsi" w:eastAsia="MS PGothic" w:hAnsiTheme="minorHAnsi"/>
          <w:color w:val="000000"/>
          <w:sz w:val="22"/>
          <w:szCs w:val="22"/>
          <w:lang w:val="en-US"/>
        </w:rPr>
        <w:t xml:space="preserve">), </w:t>
      </w:r>
      <w:proofErr w:type="spellStart"/>
      <w:r w:rsidR="00B60775">
        <w:rPr>
          <w:rFonts w:asciiTheme="minorHAnsi" w:eastAsia="MS PGothic" w:hAnsiTheme="minorHAnsi"/>
          <w:color w:val="000000"/>
          <w:sz w:val="22"/>
          <w:szCs w:val="22"/>
          <w:lang w:val="en-US"/>
        </w:rPr>
        <w:t>hydrodeoxygenation</w:t>
      </w:r>
      <w:proofErr w:type="spellEnd"/>
      <w:r w:rsidR="00B60775">
        <w:rPr>
          <w:rFonts w:asciiTheme="minorHAnsi" w:eastAsia="MS PGothic" w:hAnsiTheme="minorHAnsi"/>
          <w:color w:val="000000"/>
          <w:sz w:val="22"/>
          <w:szCs w:val="22"/>
          <w:lang w:val="en-US"/>
        </w:rPr>
        <w:t xml:space="preserve"> (HDO) </w:t>
      </w:r>
      <w:r w:rsidR="005B7666">
        <w:rPr>
          <w:rFonts w:asciiTheme="minorHAnsi" w:eastAsia="MS PGothic" w:hAnsiTheme="minorHAnsi"/>
          <w:color w:val="000000"/>
          <w:sz w:val="22"/>
          <w:szCs w:val="22"/>
          <w:lang w:val="en-US"/>
        </w:rPr>
        <w:t xml:space="preserve">has proven to be a versatile approach for achieving an efficient </w:t>
      </w:r>
      <w:r w:rsidR="00B60775">
        <w:rPr>
          <w:rFonts w:asciiTheme="minorHAnsi" w:eastAsia="MS PGothic" w:hAnsiTheme="minorHAnsi"/>
          <w:color w:val="000000"/>
          <w:sz w:val="22"/>
          <w:szCs w:val="22"/>
          <w:lang w:val="en-US"/>
        </w:rPr>
        <w:t xml:space="preserve">conversion </w:t>
      </w:r>
      <w:r w:rsidR="005B7666">
        <w:rPr>
          <w:rFonts w:asciiTheme="minorHAnsi" w:eastAsia="MS PGothic" w:hAnsiTheme="minorHAnsi"/>
          <w:color w:val="000000"/>
          <w:sz w:val="22"/>
          <w:szCs w:val="22"/>
          <w:lang w:val="en-US"/>
        </w:rPr>
        <w:t xml:space="preserve">of the most refractory bio-oil components </w:t>
      </w:r>
      <w:r w:rsidR="00E97400">
        <w:rPr>
          <w:rFonts w:asciiTheme="minorHAnsi" w:eastAsia="MS PGothic" w:hAnsiTheme="minorHAnsi"/>
          <w:color w:val="000000"/>
          <w:sz w:val="22"/>
          <w:szCs w:val="22"/>
          <w:lang w:val="en-US"/>
        </w:rPr>
        <w:fldChar w:fldCharType="begin" w:fldLock="1"/>
      </w:r>
      <w:r w:rsidR="00EF6133">
        <w:rPr>
          <w:rFonts w:asciiTheme="minorHAnsi" w:eastAsia="MS PGothic" w:hAnsiTheme="minorHAnsi"/>
          <w:color w:val="000000"/>
          <w:sz w:val="22"/>
          <w:szCs w:val="22"/>
          <w:lang w:val="en-US"/>
        </w:rPr>
        <w:instrText>ADDIN CSL_CITATION {"citationItems":[{"id":"ITEM-1","itemData":{"DOI":"http://dx.doi.org/10.1016/j.apcatb.2016.10.018","ISSN":"0926-3373","abstract":"The performance (activity, selectivity and stability) of a Pt-Pd catalyst supported on a phosphorus-containing activated carbon (ACP) has been studied in the hydrodeoxygenation (HDO) of raw bio-oil, and compared with another bifunctional catalyst prepared with a FCC (Fluid Catalytic Cracking) catalyst as acid support. Experiments have been carried out in a fixed bed reactor under the following conditions: 400–450 °C; 65 bar; space time, 0.18 gcat h g−1bio-oil; H2:bio-oil ratio, 20 cm3H2 (STP) cm−3bio-oil; time on stream, 0–10 h. The catalyst reaches a pseudo-steady state at 450 °C after 6 h of time on stream, preserving a constant activity as a consequence of the simultaneous formation and hydrocracking of the deposited coke. In these conditions, the yield of C5+ hydrocarbons is 20 wt%. This organic liquid fraction mainly contains aromatics, and thus, it may require an additional mild hydrocracking treatment for its valorization as fuel. On the other hand, the gas fraction obtained can be used directly as fuel, and the aqueous liquid fraction (with a high concentration of methanol, 58 wt%) is interesting as co-feedstock with methanol in a methanol to olefins (MTO) unit.","author":[{"dropping-particle":"","family":"Cordero-Lanzac","given":"Tomás","non-dropping-particle":"","parse-names":false,"suffix":""},{"dropping-particle":"","family":"Palos","given":"Roberto","non-dropping-particle":"","parse-names":false,"suffix":""},{"dropping-particle":"","family":"Arandes","given":"José M","non-dropping-particle":"","parse-names":false,"suffix":""},{"dropping-particle":"","family":"Castaño","given":"Pedro","non-dropping-particle":"","parse-names":false,"suffix":""},{"dropping-particle":"","family":"Rodríguez-Mirasol","given":"José","non-dropping-particle":"","parse-names":false,"suffix":""},{"dropping-particle":"","family":"Cordero","given":"Tomás","non-dropping-particle":"","parse-names":false,"suffix":""},{"dropping-particle":"","family":"Bilbao","given":"Javier","non-dropping-particle":"","parse-names":false,"suffix":""}],"container-title":"Applied Catalysis B: Environmental","id":"ITEM-1","issued":{"date-parts":[["2017"]]},"page":"389-399","title":"Stability of an acid activated carbon based bifunctional catalyst for the raw bio-oil hydrodeoxygenation","type":"article-journal","volume":"203"},"uris":["http://www.mendeley.com/documents/?uuid=553c15d0-bedc-4c65-b403-49379e43330d"]}],"mendeley":{"formattedCitation":"[2]","plainTextFormattedCitation":"[2]","previouslyFormattedCitation":"[2]"},"properties":{"noteIndex":0},"schema":"https://github.com/citation-style-language/schema/raw/master/csl-citation.json"}</w:instrText>
      </w:r>
      <w:r w:rsidR="00E97400">
        <w:rPr>
          <w:rFonts w:asciiTheme="minorHAnsi" w:eastAsia="MS PGothic" w:hAnsiTheme="minorHAnsi"/>
          <w:color w:val="000000"/>
          <w:sz w:val="22"/>
          <w:szCs w:val="22"/>
          <w:lang w:val="en-US"/>
        </w:rPr>
        <w:fldChar w:fldCharType="separate"/>
      </w:r>
      <w:r w:rsidR="00EE32A3" w:rsidRPr="00EE32A3">
        <w:rPr>
          <w:rFonts w:asciiTheme="minorHAnsi" w:eastAsia="MS PGothic" w:hAnsiTheme="minorHAnsi"/>
          <w:noProof/>
          <w:color w:val="000000"/>
          <w:sz w:val="22"/>
          <w:szCs w:val="22"/>
          <w:lang w:val="en-US"/>
        </w:rPr>
        <w:t>[2]</w:t>
      </w:r>
      <w:r w:rsidR="00E97400">
        <w:rPr>
          <w:rFonts w:asciiTheme="minorHAnsi" w:eastAsia="MS PGothic" w:hAnsiTheme="minorHAnsi"/>
          <w:color w:val="000000"/>
          <w:sz w:val="22"/>
          <w:szCs w:val="22"/>
          <w:lang w:val="en-US"/>
        </w:rPr>
        <w:fldChar w:fldCharType="end"/>
      </w:r>
      <w:r w:rsidR="00EE32A3">
        <w:rPr>
          <w:rFonts w:asciiTheme="minorHAnsi" w:eastAsia="MS PGothic" w:hAnsiTheme="minorHAnsi"/>
          <w:color w:val="000000"/>
          <w:sz w:val="22"/>
          <w:szCs w:val="22"/>
          <w:lang w:val="en-US"/>
        </w:rPr>
        <w:t xml:space="preserve">. In this context, </w:t>
      </w:r>
      <w:proofErr w:type="spellStart"/>
      <w:r w:rsidR="00EE32A3">
        <w:rPr>
          <w:rFonts w:asciiTheme="minorHAnsi" w:eastAsia="MS PGothic" w:hAnsiTheme="minorHAnsi"/>
          <w:color w:val="000000"/>
          <w:sz w:val="22"/>
          <w:szCs w:val="22"/>
          <w:lang w:val="en-US"/>
        </w:rPr>
        <w:t>phosphided</w:t>
      </w:r>
      <w:proofErr w:type="spellEnd"/>
      <w:r w:rsidR="00EE32A3">
        <w:rPr>
          <w:rFonts w:asciiTheme="minorHAnsi" w:eastAsia="MS PGothic" w:hAnsiTheme="minorHAnsi"/>
          <w:color w:val="000000"/>
          <w:sz w:val="22"/>
          <w:szCs w:val="22"/>
          <w:lang w:val="en-US"/>
        </w:rPr>
        <w:t xml:space="preserve"> </w:t>
      </w:r>
      <w:r w:rsidR="00822240">
        <w:rPr>
          <w:rFonts w:asciiTheme="minorHAnsi" w:eastAsia="MS PGothic" w:hAnsiTheme="minorHAnsi"/>
          <w:color w:val="000000"/>
          <w:sz w:val="22"/>
          <w:szCs w:val="22"/>
          <w:lang w:val="en-US"/>
        </w:rPr>
        <w:t>catalysts are known to provide high HDO activities</w:t>
      </w:r>
      <w:r w:rsidR="00AC659E">
        <w:rPr>
          <w:rFonts w:asciiTheme="minorHAnsi" w:eastAsia="MS PGothic" w:hAnsiTheme="minorHAnsi"/>
          <w:color w:val="000000"/>
          <w:sz w:val="22"/>
          <w:szCs w:val="22"/>
          <w:lang w:val="en-US"/>
        </w:rPr>
        <w:t xml:space="preserve"> </w:t>
      </w:r>
      <w:r w:rsidR="00E97400">
        <w:rPr>
          <w:rFonts w:asciiTheme="minorHAnsi" w:eastAsia="MS PGothic" w:hAnsiTheme="minorHAnsi"/>
          <w:color w:val="000000"/>
          <w:sz w:val="22"/>
          <w:szCs w:val="22"/>
          <w:lang w:val="en-US"/>
        </w:rPr>
        <w:fldChar w:fldCharType="begin" w:fldLock="1"/>
      </w:r>
      <w:r w:rsidR="00AC659E">
        <w:rPr>
          <w:rFonts w:asciiTheme="minorHAnsi" w:eastAsia="MS PGothic" w:hAnsiTheme="minorHAnsi"/>
          <w:color w:val="000000"/>
          <w:sz w:val="22"/>
          <w:szCs w:val="22"/>
          <w:lang w:val="en-US"/>
        </w:rPr>
        <w:instrText>ADDIN CSL_CITATION {"citationItems":[{"id":"ITEM-1","itemData":{"DOI":"10.3390/catal7060169","ISSN":"2073-4344","author":[{"dropping-particle":"","family":"Si","given":"Zhan","non-dropping-particle":"","parse-names":false,"suffix":""},{"dropping-particle":"","family":"Zhang","given":"Xinghua","non-dropping-particle":"","parse-names":false,"suffix":""},{"dropping-particle":"","family":"Wang","given":"Chenguang","non-dropping-particle":"","parse-names":false,"suffix":""},{"dropping-particle":"","family":"Ma","given":"Longlong","non-dropping-particle":"","parse-names":false,"suffix":""},{"dropping-particle":"","family":"Dong","given":"Renjie","non-dropping-particle":"","parse-names":false,"suffix":""}],"container-title":"Catalysts","id":"ITEM-1","issue":"6","issued":{"date-parts":[["2017","6","1"]]},"page":"169","title":"An Overview on Catalytic Hydrodeoxygenation of Pyrolysis Oil and Its Model Compounds","type":"article-journal","volume":"7"},"uris":["http://www.mendeley.com/documents/?uuid=c58a300d-d519-3056-8569-f2c41452864b"]}],"mendeley":{"formattedCitation":"[3]","plainTextFormattedCitation":"[3]"},"properties":{"noteIndex":0},"schema":"https://github.com/citation-style-language/schema/raw/master/csl-citation.json"}</w:instrText>
      </w:r>
      <w:r w:rsidR="00E97400">
        <w:rPr>
          <w:rFonts w:asciiTheme="minorHAnsi" w:eastAsia="MS PGothic" w:hAnsiTheme="minorHAnsi"/>
          <w:color w:val="000000"/>
          <w:sz w:val="22"/>
          <w:szCs w:val="22"/>
          <w:lang w:val="en-US"/>
        </w:rPr>
        <w:fldChar w:fldCharType="separate"/>
      </w:r>
      <w:r w:rsidR="00AC659E" w:rsidRPr="00AC659E">
        <w:rPr>
          <w:rFonts w:asciiTheme="minorHAnsi" w:eastAsia="MS PGothic" w:hAnsiTheme="minorHAnsi"/>
          <w:noProof/>
          <w:color w:val="000000"/>
          <w:sz w:val="22"/>
          <w:szCs w:val="22"/>
          <w:lang w:val="en-US"/>
        </w:rPr>
        <w:t>[3]</w:t>
      </w:r>
      <w:r w:rsidR="00E97400">
        <w:rPr>
          <w:rFonts w:asciiTheme="minorHAnsi" w:eastAsia="MS PGothic" w:hAnsiTheme="minorHAnsi"/>
          <w:color w:val="000000"/>
          <w:sz w:val="22"/>
          <w:szCs w:val="22"/>
          <w:lang w:val="en-US"/>
        </w:rPr>
        <w:fldChar w:fldCharType="end"/>
      </w:r>
      <w:r w:rsidR="00822240">
        <w:rPr>
          <w:rFonts w:asciiTheme="minorHAnsi" w:eastAsia="MS PGothic" w:hAnsiTheme="minorHAnsi"/>
          <w:color w:val="000000"/>
          <w:sz w:val="22"/>
          <w:szCs w:val="22"/>
          <w:lang w:val="en-US"/>
        </w:rPr>
        <w:t xml:space="preserve">. However, no studies with raw bio-oil are reported to date.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014314" w:rsidRPr="00EF6133" w:rsidRDefault="00014314" w:rsidP="00704BDF">
      <w:pPr>
        <w:snapToGrid w:val="0"/>
        <w:spacing w:after="120"/>
        <w:rPr>
          <w:rFonts w:asciiTheme="minorHAnsi" w:eastAsia="MS PGothic" w:hAnsiTheme="minorHAnsi"/>
          <w:i/>
          <w:color w:val="000000"/>
          <w:sz w:val="22"/>
          <w:szCs w:val="22"/>
          <w:lang w:val="en-US"/>
        </w:rPr>
      </w:pPr>
      <w:r w:rsidRPr="000156CD">
        <w:rPr>
          <w:rFonts w:asciiTheme="minorHAnsi" w:eastAsia="MS PGothic" w:hAnsiTheme="minorHAnsi"/>
          <w:color w:val="000000"/>
          <w:sz w:val="22"/>
          <w:szCs w:val="22"/>
          <w:lang w:val="en-US"/>
        </w:rPr>
        <w:t xml:space="preserve">The supported </w:t>
      </w:r>
      <w:proofErr w:type="spellStart"/>
      <w:r w:rsidRPr="000156CD">
        <w:rPr>
          <w:rFonts w:asciiTheme="minorHAnsi" w:eastAsia="MS PGothic" w:hAnsiTheme="minorHAnsi"/>
          <w:color w:val="000000"/>
          <w:sz w:val="22"/>
          <w:szCs w:val="22"/>
          <w:lang w:val="en-US"/>
        </w:rPr>
        <w:t>FeMoP</w:t>
      </w:r>
      <w:proofErr w:type="spellEnd"/>
      <w:r w:rsidRPr="000156CD">
        <w:rPr>
          <w:rFonts w:asciiTheme="minorHAnsi" w:eastAsia="MS PGothic" w:hAnsiTheme="minorHAnsi"/>
          <w:color w:val="000000"/>
          <w:sz w:val="22"/>
          <w:szCs w:val="22"/>
          <w:lang w:val="en-US"/>
        </w:rPr>
        <w:t xml:space="preserve"> catalysts </w:t>
      </w:r>
      <w:r w:rsidR="001034AA" w:rsidRPr="000156CD">
        <w:rPr>
          <w:rFonts w:asciiTheme="minorHAnsi" w:eastAsia="MS PGothic" w:hAnsiTheme="minorHAnsi"/>
          <w:color w:val="000000"/>
          <w:sz w:val="22"/>
          <w:szCs w:val="22"/>
          <w:lang w:val="en-US"/>
        </w:rPr>
        <w:t xml:space="preserve">(20 wt. %) </w:t>
      </w:r>
      <w:r w:rsidRPr="000156CD">
        <w:rPr>
          <w:rFonts w:asciiTheme="minorHAnsi" w:eastAsia="MS PGothic" w:hAnsiTheme="minorHAnsi"/>
          <w:color w:val="000000"/>
          <w:sz w:val="22"/>
          <w:szCs w:val="22"/>
          <w:lang w:val="en-US"/>
        </w:rPr>
        <w:t>were prepared by</w:t>
      </w:r>
      <w:r w:rsidR="001034AA" w:rsidRPr="000156CD">
        <w:rPr>
          <w:rFonts w:asciiTheme="minorHAnsi" w:eastAsia="MS PGothic" w:hAnsiTheme="minorHAnsi"/>
          <w:color w:val="000000"/>
          <w:sz w:val="22"/>
          <w:szCs w:val="22"/>
          <w:lang w:val="en-US"/>
        </w:rPr>
        <w:t xml:space="preserve"> impregnation of three </w:t>
      </w:r>
      <w:proofErr w:type="spellStart"/>
      <w:r w:rsidR="001034AA" w:rsidRPr="000156CD">
        <w:rPr>
          <w:rFonts w:asciiTheme="minorHAnsi" w:eastAsia="MS PGothic" w:hAnsiTheme="minorHAnsi"/>
          <w:color w:val="000000"/>
          <w:sz w:val="22"/>
          <w:szCs w:val="22"/>
          <w:lang w:val="en-US"/>
        </w:rPr>
        <w:t>zeolites</w:t>
      </w:r>
      <w:proofErr w:type="spellEnd"/>
      <w:r w:rsidR="001034AA" w:rsidRPr="000156CD">
        <w:rPr>
          <w:rFonts w:asciiTheme="minorHAnsi" w:eastAsia="MS PGothic" w:hAnsiTheme="minorHAnsi"/>
          <w:color w:val="000000"/>
          <w:sz w:val="22"/>
          <w:szCs w:val="22"/>
          <w:lang w:val="en-US"/>
        </w:rPr>
        <w:t xml:space="preserve"> </w:t>
      </w:r>
      <w:r w:rsidR="000156CD">
        <w:rPr>
          <w:rFonts w:asciiTheme="minorHAnsi" w:eastAsia="MS PGothic" w:hAnsiTheme="minorHAnsi"/>
          <w:color w:val="000000"/>
          <w:sz w:val="22"/>
          <w:szCs w:val="22"/>
          <w:lang w:val="en-US"/>
        </w:rPr>
        <w:t>of</w:t>
      </w:r>
      <w:r w:rsidR="001034AA" w:rsidRPr="000156CD">
        <w:rPr>
          <w:rFonts w:asciiTheme="minorHAnsi" w:eastAsia="MS PGothic" w:hAnsiTheme="minorHAnsi"/>
          <w:color w:val="000000"/>
          <w:sz w:val="22"/>
          <w:szCs w:val="22"/>
          <w:lang w:val="en-US"/>
        </w:rPr>
        <w:t xml:space="preserve"> different topology (</w:t>
      </w:r>
      <w:r w:rsidR="001034AA" w:rsidRPr="000156CD">
        <w:rPr>
          <w:rFonts w:asciiTheme="minorHAnsi" w:eastAsia="MS PGothic" w:hAnsiTheme="minorHAnsi"/>
          <w:i/>
          <w:color w:val="000000"/>
          <w:sz w:val="22"/>
          <w:szCs w:val="22"/>
          <w:lang w:val="en-US"/>
        </w:rPr>
        <w:t>i.e.</w:t>
      </w:r>
      <w:r w:rsidR="001034AA" w:rsidRPr="000156CD">
        <w:rPr>
          <w:rFonts w:asciiTheme="minorHAnsi" w:eastAsia="MS PGothic" w:hAnsiTheme="minorHAnsi"/>
          <w:color w:val="000000"/>
          <w:sz w:val="22"/>
          <w:szCs w:val="22"/>
          <w:lang w:val="en-US"/>
        </w:rPr>
        <w:t xml:space="preserve">, </w:t>
      </w:r>
      <w:r w:rsidR="00EC1D37">
        <w:rPr>
          <w:rFonts w:asciiTheme="minorHAnsi" w:eastAsia="MS PGothic" w:hAnsiTheme="minorHAnsi"/>
          <w:color w:val="000000"/>
          <w:sz w:val="22"/>
          <w:szCs w:val="22"/>
          <w:lang w:val="en-US"/>
        </w:rPr>
        <w:t>H</w:t>
      </w:r>
      <w:r w:rsidR="001034AA" w:rsidRPr="000156CD">
        <w:rPr>
          <w:rFonts w:asciiTheme="minorHAnsi" w:eastAsia="MS PGothic" w:hAnsiTheme="minorHAnsi"/>
          <w:color w:val="000000"/>
          <w:sz w:val="22"/>
          <w:szCs w:val="22"/>
          <w:lang w:val="en-US"/>
        </w:rPr>
        <w:t xml:space="preserve">ZSM-5, </w:t>
      </w:r>
      <w:r w:rsidR="00EC1D37">
        <w:rPr>
          <w:rFonts w:asciiTheme="minorHAnsi" w:eastAsia="MS PGothic" w:hAnsiTheme="minorHAnsi"/>
          <w:color w:val="000000"/>
          <w:sz w:val="22"/>
          <w:szCs w:val="22"/>
          <w:lang w:val="en-US"/>
        </w:rPr>
        <w:t>H</w:t>
      </w:r>
      <w:r w:rsidR="00EC1D37" w:rsidRPr="00EC1D37">
        <w:rPr>
          <w:rFonts w:ascii="Symbol" w:eastAsia="MS PGothic" w:hAnsi="Symbol"/>
          <w:color w:val="000000"/>
          <w:sz w:val="22"/>
          <w:szCs w:val="22"/>
          <w:lang w:val="en-US"/>
        </w:rPr>
        <w:t></w:t>
      </w:r>
      <w:r w:rsidR="001034AA" w:rsidRPr="000156CD">
        <w:rPr>
          <w:rFonts w:asciiTheme="minorHAnsi" w:eastAsia="MS PGothic" w:hAnsiTheme="minorHAnsi"/>
          <w:color w:val="000000"/>
          <w:sz w:val="22"/>
          <w:szCs w:val="22"/>
          <w:lang w:val="en-US"/>
        </w:rPr>
        <w:t xml:space="preserve"> and </w:t>
      </w:r>
      <w:r w:rsidR="00EC1D37">
        <w:rPr>
          <w:rFonts w:asciiTheme="minorHAnsi" w:eastAsia="MS PGothic" w:hAnsiTheme="minorHAnsi"/>
          <w:color w:val="000000"/>
          <w:sz w:val="22"/>
          <w:szCs w:val="22"/>
          <w:lang w:val="en-US"/>
        </w:rPr>
        <w:t>H</w:t>
      </w:r>
      <w:r w:rsidR="001034AA" w:rsidRPr="000156CD">
        <w:rPr>
          <w:rFonts w:asciiTheme="minorHAnsi" w:eastAsia="MS PGothic" w:hAnsiTheme="minorHAnsi"/>
          <w:color w:val="000000"/>
          <w:sz w:val="22"/>
          <w:szCs w:val="22"/>
          <w:lang w:val="en-US"/>
        </w:rPr>
        <w:t>Y) with an aqueous citric acid solution in which were previously added Fe, Mo and P.</w:t>
      </w:r>
      <w:r w:rsidR="001034AA">
        <w:rPr>
          <w:rFonts w:asciiTheme="minorHAnsi" w:eastAsia="MS PGothic" w:hAnsiTheme="minorHAnsi"/>
          <w:color w:val="000000"/>
          <w:sz w:val="22"/>
          <w:szCs w:val="22"/>
          <w:lang w:val="en-US"/>
        </w:rPr>
        <w:t xml:space="preserve"> A “bulk” </w:t>
      </w:r>
      <w:proofErr w:type="spellStart"/>
      <w:r w:rsidR="001034AA">
        <w:rPr>
          <w:rFonts w:asciiTheme="minorHAnsi" w:eastAsia="MS PGothic" w:hAnsiTheme="minorHAnsi"/>
          <w:color w:val="000000"/>
          <w:sz w:val="22"/>
          <w:szCs w:val="22"/>
          <w:lang w:val="en-US"/>
        </w:rPr>
        <w:t>FeMoP</w:t>
      </w:r>
      <w:proofErr w:type="spellEnd"/>
      <w:r w:rsidR="001034AA">
        <w:rPr>
          <w:rFonts w:asciiTheme="minorHAnsi" w:eastAsia="MS PGothic" w:hAnsiTheme="minorHAnsi"/>
          <w:color w:val="000000"/>
          <w:sz w:val="22"/>
          <w:szCs w:val="22"/>
          <w:lang w:val="en-US"/>
        </w:rPr>
        <w:t xml:space="preserve"> catalyst was also prepared as a reference. </w:t>
      </w:r>
      <w:r w:rsidR="00067049">
        <w:rPr>
          <w:rFonts w:asciiTheme="minorHAnsi" w:eastAsia="MS PGothic" w:hAnsiTheme="minorHAnsi"/>
          <w:color w:val="000000"/>
          <w:sz w:val="22"/>
          <w:szCs w:val="22"/>
          <w:lang w:val="en-US"/>
        </w:rPr>
        <w:t>The catalysts</w:t>
      </w:r>
      <w:r w:rsidR="00EF6133">
        <w:rPr>
          <w:rFonts w:asciiTheme="minorHAnsi" w:eastAsia="MS PGothic" w:hAnsiTheme="minorHAnsi"/>
          <w:color w:val="000000"/>
          <w:sz w:val="22"/>
          <w:szCs w:val="22"/>
          <w:lang w:val="en-US"/>
        </w:rPr>
        <w:t xml:space="preserve"> were characterized by means of ICP-MS, N</w:t>
      </w:r>
      <w:r w:rsidR="00EF6133" w:rsidRPr="00EF6133">
        <w:rPr>
          <w:rFonts w:asciiTheme="minorHAnsi" w:eastAsia="MS PGothic" w:hAnsiTheme="minorHAnsi"/>
          <w:color w:val="000000"/>
          <w:sz w:val="22"/>
          <w:szCs w:val="22"/>
          <w:vertAlign w:val="subscript"/>
          <w:lang w:val="en-US"/>
        </w:rPr>
        <w:t xml:space="preserve">2 </w:t>
      </w:r>
      <w:r w:rsidR="00EF6133">
        <w:rPr>
          <w:rFonts w:asciiTheme="minorHAnsi" w:eastAsia="MS PGothic" w:hAnsiTheme="minorHAnsi"/>
          <w:color w:val="000000"/>
          <w:sz w:val="22"/>
          <w:szCs w:val="22"/>
          <w:lang w:val="en-US"/>
        </w:rPr>
        <w:t>adsorption-desorption, NH</w:t>
      </w:r>
      <w:r w:rsidR="00EF6133" w:rsidRPr="00EF6133">
        <w:rPr>
          <w:rFonts w:asciiTheme="minorHAnsi" w:eastAsia="MS PGothic" w:hAnsiTheme="minorHAnsi"/>
          <w:color w:val="000000"/>
          <w:sz w:val="22"/>
          <w:szCs w:val="22"/>
          <w:vertAlign w:val="subscript"/>
          <w:lang w:val="en-US"/>
        </w:rPr>
        <w:t>3</w:t>
      </w:r>
      <w:r w:rsidR="00EF6133">
        <w:rPr>
          <w:rFonts w:asciiTheme="minorHAnsi" w:eastAsia="MS PGothic" w:hAnsiTheme="minorHAnsi"/>
          <w:color w:val="000000"/>
          <w:sz w:val="22"/>
          <w:szCs w:val="22"/>
          <w:lang w:val="en-US"/>
        </w:rPr>
        <w:t>-TPD, and XRD.</w:t>
      </w:r>
      <w:r w:rsidR="000124BB">
        <w:rPr>
          <w:rFonts w:asciiTheme="minorHAnsi" w:eastAsia="MS PGothic" w:hAnsiTheme="minorHAnsi"/>
          <w:color w:val="000000"/>
          <w:sz w:val="22"/>
          <w:szCs w:val="22"/>
          <w:lang w:val="en-US"/>
        </w:rPr>
        <w:t xml:space="preserve"> </w:t>
      </w:r>
      <w:r w:rsidRPr="00EF6133">
        <w:rPr>
          <w:rFonts w:asciiTheme="minorHAnsi" w:eastAsia="MS PGothic" w:hAnsiTheme="minorHAnsi"/>
          <w:color w:val="000000"/>
          <w:sz w:val="22"/>
          <w:szCs w:val="22"/>
          <w:lang w:val="en-US"/>
        </w:rPr>
        <w:t xml:space="preserve">The </w:t>
      </w:r>
      <w:r w:rsidR="00EF6133" w:rsidRPr="00EF6133">
        <w:rPr>
          <w:rFonts w:asciiTheme="minorHAnsi" w:eastAsia="MS PGothic" w:hAnsiTheme="minorHAnsi"/>
          <w:color w:val="000000"/>
          <w:sz w:val="22"/>
          <w:szCs w:val="22"/>
          <w:lang w:val="en-US"/>
        </w:rPr>
        <w:t xml:space="preserve">bio-oil </w:t>
      </w:r>
      <w:proofErr w:type="spellStart"/>
      <w:r w:rsidRPr="00EF6133">
        <w:rPr>
          <w:rFonts w:asciiTheme="minorHAnsi" w:eastAsia="MS PGothic" w:hAnsiTheme="minorHAnsi"/>
          <w:color w:val="000000"/>
          <w:sz w:val="22"/>
          <w:szCs w:val="22"/>
          <w:lang w:val="en-US"/>
        </w:rPr>
        <w:t>hydrodeoxygenation</w:t>
      </w:r>
      <w:proofErr w:type="spellEnd"/>
      <w:r w:rsidRPr="00EF6133">
        <w:rPr>
          <w:rFonts w:asciiTheme="minorHAnsi" w:eastAsia="MS PGothic" w:hAnsiTheme="minorHAnsi"/>
          <w:color w:val="000000"/>
          <w:sz w:val="22"/>
          <w:szCs w:val="22"/>
          <w:lang w:val="en-US"/>
        </w:rPr>
        <w:t xml:space="preserve"> runs were carried out in a </w:t>
      </w:r>
      <w:proofErr w:type="spellStart"/>
      <w:r w:rsidRPr="00EF6133">
        <w:rPr>
          <w:rFonts w:asciiTheme="minorHAnsi" w:eastAsia="MS PGothic" w:hAnsiTheme="minorHAnsi"/>
          <w:color w:val="000000"/>
          <w:sz w:val="22"/>
          <w:szCs w:val="22"/>
          <w:lang w:val="en-US"/>
        </w:rPr>
        <w:t>downflow</w:t>
      </w:r>
      <w:proofErr w:type="spellEnd"/>
      <w:r w:rsidRPr="00EF6133">
        <w:rPr>
          <w:rFonts w:asciiTheme="minorHAnsi" w:eastAsia="MS PGothic" w:hAnsiTheme="minorHAnsi"/>
          <w:color w:val="000000"/>
          <w:sz w:val="22"/>
          <w:szCs w:val="22"/>
          <w:lang w:val="en-US"/>
        </w:rPr>
        <w:t xml:space="preserve"> fixed bed reactor</w:t>
      </w:r>
      <w:r w:rsidR="00EF6133" w:rsidRPr="00EF6133">
        <w:rPr>
          <w:rFonts w:asciiTheme="minorHAnsi" w:eastAsia="MS PGothic" w:hAnsiTheme="minorHAnsi"/>
          <w:color w:val="000000"/>
          <w:sz w:val="22"/>
          <w:szCs w:val="22"/>
          <w:lang w:val="en-US"/>
        </w:rPr>
        <w:t xml:space="preserve"> described elsewhere </w:t>
      </w:r>
      <w:r w:rsidR="00E97400" w:rsidRPr="00EF6133">
        <w:rPr>
          <w:rFonts w:asciiTheme="minorHAnsi" w:eastAsia="MS PGothic" w:hAnsiTheme="minorHAnsi"/>
          <w:color w:val="000000"/>
          <w:sz w:val="22"/>
          <w:szCs w:val="22"/>
          <w:lang w:val="en-US"/>
        </w:rPr>
        <w:fldChar w:fldCharType="begin" w:fldLock="1"/>
      </w:r>
      <w:r w:rsidR="00AC659E">
        <w:rPr>
          <w:rFonts w:asciiTheme="minorHAnsi" w:eastAsia="MS PGothic" w:hAnsiTheme="minorHAnsi"/>
          <w:color w:val="000000"/>
          <w:sz w:val="22"/>
          <w:szCs w:val="22"/>
          <w:lang w:val="en-US"/>
        </w:rPr>
        <w:instrText>ADDIN CSL_CITATION {"citationItems":[{"id":"ITEM-1","itemData":{"DOI":"http://dx.doi.org/10.1016/j.apcatb.2016.10.018","ISSN":"0926-3373","abstract":"The performance (activity, selectivity and stability) of a Pt-Pd catalyst supported on a phosphorus-containing activated carbon (ACP) has been studied in the hydrodeoxygenation (HDO) of raw bio-oil, and compared with another bifunctional catalyst prepared with a FCC (Fluid Catalytic Cracking) catalyst as acid support. Experiments have been carried out in a fixed bed reactor under the following conditions: 400–450 °C; 65 bar; space time, 0.18 gcat h g−1bio-oil; H2:bio-oil ratio, 20 cm3H2 (STP) cm−3bio-oil; time on stream, 0–10 h. The catalyst reaches a pseudo-steady state at 450 °C after 6 h of time on stream, preserving a constant activity as a consequence of the simultaneous formation and hydrocracking of the deposited coke. In these conditions, the yield of C5+ hydrocarbons is 20 wt%. This organic liquid fraction mainly contains aromatics, and thus, it may require an additional mild hydrocracking treatment for its valorization as fuel. On the other hand, the gas fraction obtained can be used directly as fuel, and the aqueous liquid fraction (with a high concentration of methanol, 58 wt%) is interesting as co-feedstock with methanol in a methanol to olefins (MTO) unit.","author":[{"dropping-particle":"","family":"Cordero-Lanzac","given":"Tomás","non-dropping-particle":"","parse-names":false,"suffix":""},{"dropping-particle":"","family":"Palos","given":"Roberto","non-dropping-particle":"","parse-names":false,"suffix":""},{"dropping-particle":"","family":"Arandes","given":"José M","non-dropping-particle":"","parse-names":false,"suffix":""},{"dropping-particle":"","family":"Castaño","given":"Pedro","non-dropping-particle":"","parse-names":false,"suffix":""},{"dropping-particle":"","family":"Rodríguez-Mirasol","given":"José","non-dropping-particle":"","parse-names":false,"suffix":""},{"dropping-particle":"","family":"Cordero","given":"Tomás","non-dropping-particle":"","parse-names":false,"suffix":""},{"dropping-particle":"","family":"Bilbao","given":"Javier","non-dropping-particle":"","parse-names":false,"suffix":""}],"container-title":"Applied Catalysis B: Environmental","id":"ITEM-1","issued":{"date-parts":[["2017"]]},"page":"389-399","title":"Stability of an acid activated carbon based bifunctional catalyst for the raw bio-oil hydrodeoxygenation","type":"article-journal","volume":"203"},"uris":["http://www.mendeley.com/documents/?uuid=553c15d0-bedc-4c65-b403-49379e43330d"]}],"mendeley":{"formattedCitation":"[2]","plainTextFormattedCitation":"[2]","previouslyFormattedCitation":"[2]"},"properties":{"noteIndex":0},"schema":"https://github.com/citation-style-language/schema/raw/master/csl-citation.json"}</w:instrText>
      </w:r>
      <w:r w:rsidR="00E97400" w:rsidRPr="00EF6133">
        <w:rPr>
          <w:rFonts w:asciiTheme="minorHAnsi" w:eastAsia="MS PGothic" w:hAnsiTheme="minorHAnsi"/>
          <w:color w:val="000000"/>
          <w:sz w:val="22"/>
          <w:szCs w:val="22"/>
          <w:lang w:val="en-US"/>
        </w:rPr>
        <w:fldChar w:fldCharType="separate"/>
      </w:r>
      <w:r w:rsidR="00EF6133" w:rsidRPr="00EF6133">
        <w:rPr>
          <w:rFonts w:asciiTheme="minorHAnsi" w:eastAsia="MS PGothic" w:hAnsiTheme="minorHAnsi"/>
          <w:noProof/>
          <w:color w:val="000000"/>
          <w:sz w:val="22"/>
          <w:szCs w:val="22"/>
          <w:lang w:val="en-US"/>
        </w:rPr>
        <w:t>[2]</w:t>
      </w:r>
      <w:r w:rsidR="00E97400" w:rsidRPr="00EF6133">
        <w:rPr>
          <w:rFonts w:asciiTheme="minorHAnsi" w:eastAsia="MS PGothic" w:hAnsiTheme="minorHAnsi"/>
          <w:color w:val="000000"/>
          <w:sz w:val="22"/>
          <w:szCs w:val="22"/>
          <w:lang w:val="en-US"/>
        </w:rPr>
        <w:fldChar w:fldCharType="end"/>
      </w:r>
      <w:r w:rsidR="000156CD">
        <w:rPr>
          <w:rFonts w:asciiTheme="minorHAnsi" w:eastAsia="MS PGothic" w:hAnsiTheme="minorHAnsi"/>
          <w:color w:val="000000"/>
          <w:sz w:val="22"/>
          <w:szCs w:val="22"/>
          <w:lang w:val="en-US"/>
        </w:rPr>
        <w:t xml:space="preserve"> </w:t>
      </w:r>
      <w:r w:rsidR="00EF6133" w:rsidRPr="00EF6133">
        <w:rPr>
          <w:rFonts w:asciiTheme="minorHAnsi" w:eastAsia="MS PGothic" w:hAnsiTheme="minorHAnsi"/>
          <w:color w:val="000000"/>
          <w:sz w:val="22"/>
          <w:szCs w:val="22"/>
          <w:lang w:val="en-US"/>
        </w:rPr>
        <w:t xml:space="preserve">at 450 </w:t>
      </w:r>
      <w:r w:rsidR="000156CD">
        <w:rPr>
          <w:rFonts w:asciiTheme="minorHAnsi" w:eastAsia="MS PGothic" w:hAnsiTheme="minorHAnsi"/>
          <w:color w:val="000000"/>
          <w:sz w:val="22"/>
          <w:szCs w:val="22"/>
          <w:lang w:val="en-US"/>
        </w:rPr>
        <w:t>°</w:t>
      </w:r>
      <w:r w:rsidR="00EF6133" w:rsidRPr="00EF6133">
        <w:rPr>
          <w:rFonts w:asciiTheme="minorHAnsi" w:eastAsia="MS PGothic" w:hAnsiTheme="minorHAnsi"/>
          <w:color w:val="000000"/>
          <w:sz w:val="22"/>
          <w:szCs w:val="22"/>
          <w:lang w:val="en-US"/>
        </w:rPr>
        <w:t xml:space="preserve">C, 65 bar, </w:t>
      </w:r>
      <w:r w:rsidR="00EF6133" w:rsidRPr="00EF6133">
        <w:rPr>
          <w:rFonts w:asciiTheme="minorHAnsi" w:hAnsiTheme="minorHAnsi"/>
          <w:sz w:val="22"/>
          <w:szCs w:val="22"/>
          <w:lang w:val="en-US"/>
        </w:rPr>
        <w:t>space time, 0.15 g</w:t>
      </w:r>
      <w:r w:rsidR="00EF6133" w:rsidRPr="00EF6133">
        <w:rPr>
          <w:rFonts w:asciiTheme="minorHAnsi" w:hAnsiTheme="minorHAnsi"/>
          <w:sz w:val="22"/>
          <w:szCs w:val="22"/>
          <w:vertAlign w:val="subscript"/>
          <w:lang w:val="en-US"/>
        </w:rPr>
        <w:t>cat </w:t>
      </w:r>
      <w:r w:rsidR="00EF6133" w:rsidRPr="00EF6133">
        <w:rPr>
          <w:rFonts w:asciiTheme="minorHAnsi" w:hAnsiTheme="minorHAnsi"/>
          <w:sz w:val="22"/>
          <w:szCs w:val="22"/>
          <w:lang w:val="en-US"/>
        </w:rPr>
        <w:t>h g</w:t>
      </w:r>
      <w:r w:rsidR="00EF6133" w:rsidRPr="00EF6133">
        <w:rPr>
          <w:rFonts w:asciiTheme="minorHAnsi" w:hAnsiTheme="minorHAnsi"/>
          <w:sz w:val="22"/>
          <w:szCs w:val="22"/>
          <w:vertAlign w:val="superscript"/>
          <w:lang w:val="en-US"/>
        </w:rPr>
        <w:t>-1</w:t>
      </w:r>
      <w:r w:rsidR="00EF6133" w:rsidRPr="00EF6133">
        <w:rPr>
          <w:rFonts w:asciiTheme="minorHAnsi" w:hAnsiTheme="minorHAnsi"/>
          <w:sz w:val="22"/>
          <w:szCs w:val="22"/>
          <w:vertAlign w:val="subscript"/>
          <w:lang w:val="en-US"/>
        </w:rPr>
        <w:t>bio-oil</w:t>
      </w:r>
      <w:r w:rsidR="00EF6133" w:rsidRPr="00EF6133">
        <w:rPr>
          <w:rFonts w:asciiTheme="minorHAnsi" w:hAnsiTheme="minorHAnsi"/>
          <w:sz w:val="22"/>
          <w:szCs w:val="22"/>
          <w:lang w:val="en-US"/>
        </w:rPr>
        <w:t>; 90 ml min</w:t>
      </w:r>
      <w:r w:rsidR="00EF6133" w:rsidRPr="00EF6133">
        <w:rPr>
          <w:rFonts w:asciiTheme="minorHAnsi" w:hAnsiTheme="minorHAnsi"/>
          <w:sz w:val="22"/>
          <w:szCs w:val="22"/>
          <w:vertAlign w:val="superscript"/>
          <w:lang w:val="en-US"/>
        </w:rPr>
        <w:t>-1</w:t>
      </w:r>
      <w:r w:rsidR="00EF6133" w:rsidRPr="00EF6133">
        <w:rPr>
          <w:rFonts w:asciiTheme="minorHAnsi" w:hAnsiTheme="minorHAnsi"/>
          <w:sz w:val="22"/>
          <w:szCs w:val="22"/>
          <w:lang w:val="en-US"/>
        </w:rPr>
        <w:t xml:space="preserve"> H</w:t>
      </w:r>
      <w:r w:rsidR="00EF6133" w:rsidRPr="00EF6133">
        <w:rPr>
          <w:rFonts w:asciiTheme="minorHAnsi" w:hAnsiTheme="minorHAnsi"/>
          <w:sz w:val="22"/>
          <w:szCs w:val="22"/>
          <w:vertAlign w:val="subscript"/>
          <w:lang w:val="en-US"/>
        </w:rPr>
        <w:t>2</w:t>
      </w:r>
      <w:r w:rsidR="004823FD">
        <w:rPr>
          <w:rFonts w:asciiTheme="minorHAnsi" w:hAnsiTheme="minorHAnsi"/>
          <w:sz w:val="22"/>
          <w:szCs w:val="22"/>
          <w:lang w:val="en-US"/>
        </w:rPr>
        <w:t>; and time on stream, 0-8</w:t>
      </w:r>
      <w:r w:rsidR="00EF6133" w:rsidRPr="00EF6133">
        <w:rPr>
          <w:rFonts w:asciiTheme="minorHAnsi" w:hAnsiTheme="minorHAnsi"/>
          <w:sz w:val="22"/>
          <w:szCs w:val="22"/>
          <w:lang w:val="en-US"/>
        </w:rPr>
        <w:t xml:space="preserve"> h. </w:t>
      </w:r>
      <w:r w:rsidR="00EF6133">
        <w:rPr>
          <w:rFonts w:asciiTheme="minorHAnsi" w:hAnsiTheme="minorHAnsi"/>
          <w:sz w:val="22"/>
          <w:szCs w:val="22"/>
          <w:lang w:val="en-US"/>
        </w:rPr>
        <w:t xml:space="preserve">Organic liquid products were </w:t>
      </w:r>
      <w:r w:rsidR="00EF6133" w:rsidRPr="00EF6133">
        <w:rPr>
          <w:rFonts w:asciiTheme="minorHAnsi" w:hAnsiTheme="minorHAnsi"/>
          <w:sz w:val="22"/>
          <w:szCs w:val="22"/>
          <w:lang w:val="en-US"/>
        </w:rPr>
        <w:t>assessed through two-dimensional Gas Chromatography coupled with Mass Spectrometry (</w:t>
      </w:r>
      <w:proofErr w:type="spellStart"/>
      <w:r w:rsidR="00947BC9">
        <w:rPr>
          <w:rFonts w:asciiTheme="minorHAnsi" w:hAnsiTheme="minorHAnsi"/>
          <w:sz w:val="22"/>
          <w:szCs w:val="22"/>
          <w:lang w:val="en-US"/>
        </w:rPr>
        <w:t>GCxGC</w:t>
      </w:r>
      <w:proofErr w:type="spellEnd"/>
      <w:r w:rsidR="00947BC9">
        <w:rPr>
          <w:rFonts w:asciiTheme="minorHAnsi" w:hAnsiTheme="minorHAnsi"/>
          <w:sz w:val="22"/>
          <w:szCs w:val="22"/>
          <w:lang w:val="en-US"/>
        </w:rPr>
        <w:t>-MS).</w:t>
      </w:r>
      <w:r w:rsidR="00EF6133" w:rsidRPr="00EF6133">
        <w:rPr>
          <w:rFonts w:asciiTheme="minorHAnsi" w:hAnsiTheme="minorHAnsi"/>
          <w:sz w:val="22"/>
          <w:szCs w:val="22"/>
          <w:lang w:val="en-US"/>
        </w:rPr>
        <w:t>The water content in the aqueous product phase was quantified by Karl-Fischer titration.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E81E85" w:rsidRDefault="00B60775"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In contrast to the negligible specific surface of the bulk </w:t>
      </w:r>
      <w:proofErr w:type="spellStart"/>
      <w:r>
        <w:rPr>
          <w:rFonts w:asciiTheme="minorHAnsi" w:eastAsia="MS PGothic" w:hAnsiTheme="minorHAnsi"/>
          <w:color w:val="000000"/>
          <w:sz w:val="22"/>
          <w:szCs w:val="22"/>
          <w:lang w:val="en-US"/>
        </w:rPr>
        <w:t>FeMoP</w:t>
      </w:r>
      <w:proofErr w:type="spellEnd"/>
      <w:r>
        <w:rPr>
          <w:rFonts w:asciiTheme="minorHAnsi" w:eastAsia="MS PGothic" w:hAnsiTheme="minorHAnsi"/>
          <w:color w:val="000000"/>
          <w:sz w:val="22"/>
          <w:szCs w:val="22"/>
          <w:lang w:val="en-US"/>
        </w:rPr>
        <w:t xml:space="preserve">, the </w:t>
      </w:r>
      <w:proofErr w:type="spellStart"/>
      <w:r>
        <w:rPr>
          <w:rFonts w:asciiTheme="minorHAnsi" w:eastAsia="MS PGothic" w:hAnsiTheme="minorHAnsi"/>
          <w:color w:val="000000"/>
          <w:sz w:val="22"/>
          <w:szCs w:val="22"/>
          <w:lang w:val="en-US"/>
        </w:rPr>
        <w:t>FeMoP</w:t>
      </w:r>
      <w:proofErr w:type="spellEnd"/>
      <w:r>
        <w:rPr>
          <w:rFonts w:asciiTheme="minorHAnsi" w:eastAsia="MS PGothic" w:hAnsiTheme="minorHAnsi"/>
          <w:color w:val="000000"/>
          <w:sz w:val="22"/>
          <w:szCs w:val="22"/>
          <w:lang w:val="en-US"/>
        </w:rPr>
        <w:t>/</w:t>
      </w:r>
      <w:r w:rsidR="00EC1D37" w:rsidRPr="00EC1D37">
        <w:rPr>
          <w:rFonts w:asciiTheme="minorHAnsi" w:eastAsia="MS PGothic" w:hAnsiTheme="minorHAnsi"/>
          <w:color w:val="000000"/>
          <w:sz w:val="22"/>
          <w:szCs w:val="22"/>
          <w:lang w:val="en-US"/>
        </w:rPr>
        <w:t xml:space="preserve"> </w:t>
      </w:r>
      <w:r w:rsidR="00EC1D37">
        <w:rPr>
          <w:rFonts w:asciiTheme="minorHAnsi" w:eastAsia="MS PGothic" w:hAnsiTheme="minorHAnsi"/>
          <w:color w:val="000000"/>
          <w:sz w:val="22"/>
          <w:szCs w:val="22"/>
          <w:lang w:val="en-US"/>
        </w:rPr>
        <w:t>H</w:t>
      </w:r>
      <w:r w:rsidR="00EC1D37" w:rsidRPr="00EC1D37">
        <w:rPr>
          <w:rFonts w:ascii="Symbol" w:eastAsia="MS PGothic" w:hAnsi="Symbol"/>
          <w:color w:val="000000"/>
          <w:sz w:val="22"/>
          <w:szCs w:val="22"/>
          <w:lang w:val="en-US"/>
        </w:rPr>
        <w:t></w:t>
      </w:r>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FeMoP</w:t>
      </w:r>
      <w:proofErr w:type="spellEnd"/>
      <w:r>
        <w:rPr>
          <w:rFonts w:asciiTheme="minorHAnsi" w:eastAsia="MS PGothic" w:hAnsiTheme="minorHAnsi"/>
          <w:color w:val="000000"/>
          <w:sz w:val="22"/>
          <w:szCs w:val="22"/>
          <w:lang w:val="en-US"/>
        </w:rPr>
        <w:t>/</w:t>
      </w:r>
      <w:r w:rsidR="00EC1D37">
        <w:rPr>
          <w:rFonts w:asciiTheme="minorHAnsi" w:eastAsia="MS PGothic" w:hAnsiTheme="minorHAnsi"/>
          <w:color w:val="000000"/>
          <w:sz w:val="22"/>
          <w:szCs w:val="22"/>
          <w:lang w:val="en-US"/>
        </w:rPr>
        <w:t>H</w:t>
      </w:r>
      <w:r>
        <w:rPr>
          <w:rFonts w:asciiTheme="minorHAnsi" w:eastAsia="MS PGothic" w:hAnsiTheme="minorHAnsi"/>
          <w:color w:val="000000"/>
          <w:sz w:val="22"/>
          <w:szCs w:val="22"/>
          <w:lang w:val="en-US"/>
        </w:rPr>
        <w:t>ZSM</w:t>
      </w:r>
      <w:r w:rsidR="00EC1D3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5 catalysts showed a specific surface of 356-366 m</w:t>
      </w:r>
      <w:r w:rsidRPr="00B60775">
        <w:rPr>
          <w:rFonts w:asciiTheme="minorHAnsi" w:eastAsia="MS PGothic" w:hAnsiTheme="minorHAnsi"/>
          <w:color w:val="000000"/>
          <w:sz w:val="22"/>
          <w:szCs w:val="22"/>
          <w:vertAlign w:val="superscript"/>
          <w:lang w:val="en-US"/>
        </w:rPr>
        <w:t>2</w:t>
      </w:r>
      <w:r>
        <w:rPr>
          <w:rFonts w:asciiTheme="minorHAnsi" w:eastAsia="MS PGothic" w:hAnsiTheme="minorHAnsi"/>
          <w:color w:val="000000"/>
          <w:sz w:val="22"/>
          <w:szCs w:val="22"/>
          <w:lang w:val="en-US"/>
        </w:rPr>
        <w:t xml:space="preserve"> g</w:t>
      </w:r>
      <w:r w:rsidRPr="00B60775">
        <w:rPr>
          <w:rFonts w:asciiTheme="minorHAnsi" w:eastAsia="MS PGothic" w:hAnsiTheme="minorHAnsi"/>
          <w:color w:val="000000"/>
          <w:sz w:val="22"/>
          <w:szCs w:val="22"/>
          <w:vertAlign w:val="superscript"/>
          <w:lang w:val="en-US"/>
        </w:rPr>
        <w:t>-1</w:t>
      </w:r>
      <w:r w:rsidR="00A871AA">
        <w:rPr>
          <w:rFonts w:asciiTheme="minorHAnsi" w:eastAsia="MS PGothic" w:hAnsiTheme="minorHAnsi"/>
          <w:color w:val="000000"/>
          <w:sz w:val="22"/>
          <w:szCs w:val="22"/>
          <w:lang w:val="en-US"/>
        </w:rPr>
        <w:t xml:space="preserve"> (</w:t>
      </w:r>
      <w:r w:rsidR="00A871AA" w:rsidRPr="00AE75AB">
        <w:rPr>
          <w:rFonts w:asciiTheme="minorHAnsi" w:eastAsia="MS PGothic" w:hAnsiTheme="minorHAnsi"/>
          <w:color w:val="000000"/>
          <w:sz w:val="22"/>
          <w:szCs w:val="22"/>
          <w:lang w:val="en-US"/>
        </w:rPr>
        <w:t>Table 1</w:t>
      </w:r>
      <w:r w:rsidR="00A871AA">
        <w:rPr>
          <w:rFonts w:asciiTheme="minorHAnsi" w:eastAsia="MS PGothic" w:hAnsiTheme="minorHAnsi"/>
          <w:color w:val="000000"/>
          <w:sz w:val="22"/>
          <w:szCs w:val="22"/>
          <w:lang w:val="en-US"/>
        </w:rPr>
        <w:t>), with this value being sig</w:t>
      </w:r>
      <w:r>
        <w:rPr>
          <w:rFonts w:asciiTheme="minorHAnsi" w:eastAsia="MS PGothic" w:hAnsiTheme="minorHAnsi"/>
          <w:color w:val="000000"/>
          <w:sz w:val="22"/>
          <w:szCs w:val="22"/>
          <w:lang w:val="en-US"/>
        </w:rPr>
        <w:t xml:space="preserve">nificantly higher for the </w:t>
      </w:r>
      <w:proofErr w:type="spellStart"/>
      <w:r w:rsidRPr="00B60775">
        <w:rPr>
          <w:rFonts w:asciiTheme="minorHAnsi" w:eastAsia="MS PGothic" w:hAnsiTheme="minorHAnsi"/>
          <w:color w:val="000000"/>
          <w:sz w:val="22"/>
          <w:szCs w:val="22"/>
          <w:lang w:val="en-US"/>
        </w:rPr>
        <w:t>FeMoP</w:t>
      </w:r>
      <w:proofErr w:type="spellEnd"/>
      <w:r w:rsidRPr="00B60775">
        <w:rPr>
          <w:rFonts w:asciiTheme="minorHAnsi" w:eastAsia="MS PGothic" w:hAnsiTheme="minorHAnsi"/>
          <w:color w:val="000000"/>
          <w:sz w:val="22"/>
          <w:szCs w:val="22"/>
          <w:lang w:val="en-US"/>
        </w:rPr>
        <w:t>/</w:t>
      </w:r>
      <w:r w:rsidR="001650AA">
        <w:rPr>
          <w:rFonts w:asciiTheme="minorHAnsi" w:eastAsia="MS PGothic" w:hAnsiTheme="minorHAnsi"/>
          <w:color w:val="000000"/>
          <w:sz w:val="22"/>
          <w:szCs w:val="22"/>
          <w:lang w:val="en-US"/>
        </w:rPr>
        <w:t>H</w:t>
      </w:r>
      <w:r w:rsidRPr="00B60775">
        <w:rPr>
          <w:rFonts w:asciiTheme="minorHAnsi" w:eastAsia="MS PGothic" w:hAnsiTheme="minorHAnsi"/>
          <w:color w:val="000000"/>
          <w:sz w:val="22"/>
          <w:szCs w:val="22"/>
          <w:lang w:val="en-US"/>
        </w:rPr>
        <w:t xml:space="preserve">Y catalyst </w:t>
      </w:r>
      <w:r w:rsidR="001656C5">
        <w:rPr>
          <w:rFonts w:asciiTheme="minorHAnsi" w:eastAsia="MS PGothic" w:hAnsiTheme="minorHAnsi"/>
          <w:color w:val="000000"/>
          <w:sz w:val="22"/>
          <w:szCs w:val="22"/>
          <w:lang w:val="en-US"/>
        </w:rPr>
        <w:t>(750 m</w:t>
      </w:r>
      <w:r w:rsidR="001656C5" w:rsidRPr="00B60775">
        <w:rPr>
          <w:rFonts w:asciiTheme="minorHAnsi" w:eastAsia="MS PGothic" w:hAnsiTheme="minorHAnsi"/>
          <w:color w:val="000000"/>
          <w:sz w:val="22"/>
          <w:szCs w:val="22"/>
          <w:vertAlign w:val="superscript"/>
          <w:lang w:val="en-US"/>
        </w:rPr>
        <w:t>2</w:t>
      </w:r>
      <w:r w:rsidR="001656C5">
        <w:rPr>
          <w:rFonts w:asciiTheme="minorHAnsi" w:eastAsia="MS PGothic" w:hAnsiTheme="minorHAnsi"/>
          <w:color w:val="000000"/>
          <w:sz w:val="22"/>
          <w:szCs w:val="22"/>
          <w:lang w:val="en-US"/>
        </w:rPr>
        <w:t xml:space="preserve"> g</w:t>
      </w:r>
      <w:r w:rsidR="001656C5" w:rsidRPr="00B60775">
        <w:rPr>
          <w:rFonts w:asciiTheme="minorHAnsi" w:eastAsia="MS PGothic" w:hAnsiTheme="minorHAnsi"/>
          <w:color w:val="000000"/>
          <w:sz w:val="22"/>
          <w:szCs w:val="22"/>
          <w:vertAlign w:val="superscript"/>
          <w:lang w:val="en-US"/>
        </w:rPr>
        <w:t>-1</w:t>
      </w:r>
      <w:r w:rsidR="001656C5">
        <w:rPr>
          <w:rFonts w:asciiTheme="minorHAnsi" w:eastAsia="MS PGothic" w:hAnsiTheme="minorHAnsi"/>
          <w:color w:val="000000"/>
          <w:sz w:val="22"/>
          <w:szCs w:val="22"/>
          <w:lang w:val="en-US"/>
        </w:rPr>
        <w:t xml:space="preserve">) </w:t>
      </w:r>
      <w:r w:rsidRPr="00B60775">
        <w:rPr>
          <w:rFonts w:asciiTheme="minorHAnsi" w:eastAsia="MS PGothic" w:hAnsiTheme="minorHAnsi"/>
          <w:color w:val="000000"/>
          <w:sz w:val="22"/>
          <w:szCs w:val="22"/>
          <w:lang w:val="en-US"/>
        </w:rPr>
        <w:t xml:space="preserve">due to a much higher </w:t>
      </w:r>
      <w:proofErr w:type="spellStart"/>
      <w:r w:rsidRPr="00B60775">
        <w:rPr>
          <w:rFonts w:asciiTheme="minorHAnsi" w:eastAsia="MS PGothic" w:hAnsiTheme="minorHAnsi"/>
          <w:color w:val="000000"/>
          <w:sz w:val="22"/>
          <w:szCs w:val="22"/>
          <w:lang w:val="en-US"/>
        </w:rPr>
        <w:t>microporosity</w:t>
      </w:r>
      <w:proofErr w:type="spellEnd"/>
      <w:r w:rsidRPr="00B60775">
        <w:rPr>
          <w:rFonts w:asciiTheme="minorHAnsi" w:eastAsia="MS PGothic" w:hAnsiTheme="minorHAnsi"/>
          <w:color w:val="000000"/>
          <w:sz w:val="22"/>
          <w:szCs w:val="22"/>
          <w:lang w:val="en-US"/>
        </w:rPr>
        <w:t xml:space="preserve">. The latter catalyst was also the most acidic (1.11 </w:t>
      </w:r>
      <w:r w:rsidRPr="00B60775">
        <w:rPr>
          <w:rFonts w:asciiTheme="minorHAnsi" w:hAnsiTheme="minorHAnsi"/>
          <w:sz w:val="22"/>
          <w:szCs w:val="22"/>
          <w:lang w:val="en-US"/>
        </w:rPr>
        <w:t>mmol</w:t>
      </w:r>
      <w:r w:rsidRPr="00B60775">
        <w:rPr>
          <w:rFonts w:asciiTheme="minorHAnsi" w:hAnsiTheme="minorHAnsi"/>
          <w:sz w:val="22"/>
          <w:szCs w:val="22"/>
          <w:vertAlign w:val="subscript"/>
          <w:lang w:val="en-US"/>
        </w:rPr>
        <w:t>NH3</w:t>
      </w:r>
      <w:r w:rsidRPr="00B60775">
        <w:rPr>
          <w:rFonts w:asciiTheme="minorHAnsi" w:hAnsiTheme="minorHAnsi"/>
          <w:sz w:val="22"/>
          <w:szCs w:val="22"/>
          <w:lang w:val="en-US"/>
        </w:rPr>
        <w:t xml:space="preserve"> g</w:t>
      </w:r>
      <w:r w:rsidRPr="00B60775">
        <w:rPr>
          <w:rFonts w:asciiTheme="minorHAnsi" w:hAnsiTheme="minorHAnsi"/>
          <w:sz w:val="22"/>
          <w:szCs w:val="22"/>
          <w:vertAlign w:val="superscript"/>
          <w:lang w:val="en-US"/>
        </w:rPr>
        <w:t>-1</w:t>
      </w:r>
      <w:r w:rsidRPr="00B60775">
        <w:rPr>
          <w:rFonts w:asciiTheme="minorHAnsi" w:hAnsiTheme="minorHAnsi"/>
          <w:sz w:val="22"/>
          <w:szCs w:val="22"/>
          <w:lang w:val="en-US"/>
        </w:rPr>
        <w:t>)</w:t>
      </w:r>
      <w:r w:rsidRPr="00B60775">
        <w:rPr>
          <w:rFonts w:asciiTheme="minorHAnsi" w:eastAsia="MS PGothic" w:hAnsiTheme="minorHAnsi"/>
          <w:color w:val="000000"/>
          <w:sz w:val="22"/>
          <w:szCs w:val="22"/>
          <w:lang w:val="en-US"/>
        </w:rPr>
        <w:t xml:space="preserve"> and with</w:t>
      </w:r>
      <w:r>
        <w:rPr>
          <w:rFonts w:asciiTheme="minorHAnsi" w:eastAsia="MS PGothic" w:hAnsiTheme="minorHAnsi"/>
          <w:color w:val="000000"/>
          <w:sz w:val="22"/>
          <w:szCs w:val="22"/>
          <w:lang w:val="en-US"/>
        </w:rPr>
        <w:t xml:space="preserve"> a higher proportion of med</w:t>
      </w:r>
      <w:r w:rsidR="000124BB">
        <w:rPr>
          <w:rFonts w:asciiTheme="minorHAnsi" w:eastAsia="MS PGothic" w:hAnsiTheme="minorHAnsi"/>
          <w:color w:val="000000"/>
          <w:sz w:val="22"/>
          <w:szCs w:val="22"/>
          <w:lang w:val="en-US"/>
        </w:rPr>
        <w:t>ium-</w:t>
      </w:r>
      <w:r w:rsidR="000124BB">
        <w:rPr>
          <w:rFonts w:asciiTheme="minorHAnsi" w:eastAsia="MS PGothic" w:hAnsiTheme="minorHAnsi"/>
          <w:color w:val="000000"/>
          <w:sz w:val="22"/>
          <w:szCs w:val="22"/>
          <w:lang w:val="en-US"/>
        </w:rPr>
        <w:lastRenderedPageBreak/>
        <w:t xml:space="preserve">strong acidic sites (66 %). The </w:t>
      </w:r>
      <w:proofErr w:type="spellStart"/>
      <w:r>
        <w:rPr>
          <w:rFonts w:asciiTheme="minorHAnsi" w:eastAsia="MS PGothic" w:hAnsiTheme="minorHAnsi"/>
          <w:color w:val="000000"/>
          <w:sz w:val="22"/>
          <w:szCs w:val="22"/>
          <w:lang w:val="en-US"/>
        </w:rPr>
        <w:t>FeMoP</w:t>
      </w:r>
      <w:proofErr w:type="spellEnd"/>
      <w:r>
        <w:rPr>
          <w:rFonts w:asciiTheme="minorHAnsi" w:eastAsia="MS PGothic" w:hAnsiTheme="minorHAnsi"/>
          <w:color w:val="000000"/>
          <w:sz w:val="22"/>
          <w:szCs w:val="22"/>
          <w:lang w:val="en-US"/>
        </w:rPr>
        <w:t>/</w:t>
      </w:r>
      <w:r w:rsidR="00EC1D37" w:rsidRPr="00EC1D37">
        <w:rPr>
          <w:rFonts w:asciiTheme="minorHAnsi" w:eastAsia="MS PGothic" w:hAnsiTheme="minorHAnsi"/>
          <w:color w:val="000000"/>
          <w:sz w:val="22"/>
          <w:szCs w:val="22"/>
          <w:lang w:val="en-US"/>
        </w:rPr>
        <w:t xml:space="preserve"> </w:t>
      </w:r>
      <w:r w:rsidR="00EC1D37">
        <w:rPr>
          <w:rFonts w:asciiTheme="minorHAnsi" w:eastAsia="MS PGothic" w:hAnsiTheme="minorHAnsi"/>
          <w:color w:val="000000"/>
          <w:sz w:val="22"/>
          <w:szCs w:val="22"/>
          <w:lang w:val="en-US"/>
        </w:rPr>
        <w:t>H</w:t>
      </w:r>
      <w:r w:rsidR="00EC1D37" w:rsidRPr="00EC1D37">
        <w:rPr>
          <w:rFonts w:ascii="Symbol" w:eastAsia="MS PGothic" w:hAnsi="Symbol"/>
          <w:color w:val="000000"/>
          <w:sz w:val="22"/>
          <w:szCs w:val="22"/>
          <w:lang w:val="en-US"/>
        </w:rPr>
        <w:t></w:t>
      </w:r>
      <w:r>
        <w:rPr>
          <w:rFonts w:asciiTheme="minorHAnsi" w:eastAsia="MS PGothic" w:hAnsiTheme="minorHAnsi"/>
          <w:color w:val="000000"/>
          <w:sz w:val="22"/>
          <w:szCs w:val="22"/>
          <w:lang w:val="en-US"/>
        </w:rPr>
        <w:t xml:space="preserve"> catalyst was the least acidic </w:t>
      </w:r>
      <w:r w:rsidRPr="00B6077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0.27</w:t>
      </w:r>
      <w:r w:rsidR="00AE75AB">
        <w:rPr>
          <w:rFonts w:asciiTheme="minorHAnsi" w:eastAsia="MS PGothic" w:hAnsiTheme="minorHAnsi"/>
          <w:color w:val="000000"/>
          <w:sz w:val="22"/>
          <w:szCs w:val="22"/>
          <w:lang w:val="en-US"/>
        </w:rPr>
        <w:t xml:space="preserve"> </w:t>
      </w:r>
      <w:r w:rsidRPr="00B60775">
        <w:rPr>
          <w:rFonts w:asciiTheme="minorHAnsi" w:hAnsiTheme="minorHAnsi"/>
          <w:sz w:val="22"/>
          <w:szCs w:val="22"/>
          <w:lang w:val="en-US"/>
        </w:rPr>
        <w:t>mmol</w:t>
      </w:r>
      <w:r w:rsidRPr="00B60775">
        <w:rPr>
          <w:rFonts w:asciiTheme="minorHAnsi" w:hAnsiTheme="minorHAnsi"/>
          <w:sz w:val="22"/>
          <w:szCs w:val="22"/>
          <w:vertAlign w:val="subscript"/>
          <w:lang w:val="en-US"/>
        </w:rPr>
        <w:t>NH3</w:t>
      </w:r>
      <w:r w:rsidRPr="00B60775">
        <w:rPr>
          <w:rFonts w:asciiTheme="minorHAnsi" w:hAnsiTheme="minorHAnsi"/>
          <w:sz w:val="22"/>
          <w:szCs w:val="22"/>
          <w:lang w:val="en-US"/>
        </w:rPr>
        <w:t xml:space="preserve"> g</w:t>
      </w:r>
      <w:r w:rsidRPr="00B60775">
        <w:rPr>
          <w:rFonts w:asciiTheme="minorHAnsi" w:hAnsiTheme="minorHAnsi"/>
          <w:sz w:val="22"/>
          <w:szCs w:val="22"/>
          <w:vertAlign w:val="superscript"/>
          <w:lang w:val="en-US"/>
        </w:rPr>
        <w:t>-1</w:t>
      </w:r>
      <w:r w:rsidRPr="00B60775">
        <w:rPr>
          <w:rFonts w:asciiTheme="minorHAnsi" w:hAnsiTheme="minorHAnsi"/>
          <w:sz w:val="22"/>
          <w:szCs w:val="22"/>
          <w:lang w:val="en-US"/>
        </w:rPr>
        <w:t>)</w:t>
      </w:r>
      <w:r w:rsidR="000156CD">
        <w:rPr>
          <w:rFonts w:asciiTheme="minorHAnsi" w:hAnsiTheme="minorHAnsi"/>
          <w:sz w:val="22"/>
          <w:szCs w:val="22"/>
          <w:lang w:val="en-US"/>
        </w:rPr>
        <w:t xml:space="preserve"> </w:t>
      </w:r>
      <w:r>
        <w:rPr>
          <w:rFonts w:asciiTheme="minorHAnsi" w:eastAsia="MS PGothic" w:hAnsiTheme="minorHAnsi"/>
          <w:color w:val="000000"/>
          <w:sz w:val="22"/>
          <w:szCs w:val="22"/>
          <w:lang w:val="en-US"/>
        </w:rPr>
        <w:t xml:space="preserve">with a higher contribution of weak-medium acidic sites (35 %). </w:t>
      </w:r>
    </w:p>
    <w:p w:rsidR="00E81E85" w:rsidRPr="00E81E85" w:rsidRDefault="00E81E85" w:rsidP="0016087E">
      <w:pPr>
        <w:snapToGrid w:val="0"/>
        <w:spacing w:after="120"/>
        <w:jc w:val="center"/>
        <w:rPr>
          <w:rFonts w:asciiTheme="minorHAnsi" w:eastAsia="MS PGothic" w:hAnsiTheme="minorHAnsi"/>
          <w:color w:val="000000"/>
          <w:szCs w:val="18"/>
        </w:rPr>
      </w:pPr>
      <w:r w:rsidRPr="00E81E85">
        <w:rPr>
          <w:rFonts w:asciiTheme="minorHAnsi" w:eastAsia="MS PGothic" w:hAnsiTheme="minorHAnsi"/>
          <w:b/>
          <w:color w:val="000000"/>
          <w:szCs w:val="18"/>
        </w:rPr>
        <w:t>Table 1</w:t>
      </w:r>
      <w:r w:rsidRPr="00E81E85">
        <w:rPr>
          <w:rFonts w:asciiTheme="minorHAnsi" w:eastAsia="MS PGothic" w:hAnsiTheme="minorHAnsi"/>
          <w:color w:val="000000"/>
          <w:szCs w:val="18"/>
        </w:rPr>
        <w:t xml:space="preserve">- </w:t>
      </w:r>
      <w:proofErr w:type="spellStart"/>
      <w:r w:rsidRPr="00E81E85">
        <w:rPr>
          <w:rFonts w:asciiTheme="minorHAnsi" w:eastAsia="MS PGothic" w:hAnsiTheme="minorHAnsi"/>
          <w:color w:val="000000"/>
          <w:szCs w:val="18"/>
        </w:rPr>
        <w:t>Physico</w:t>
      </w:r>
      <w:proofErr w:type="spellEnd"/>
      <w:r w:rsidRPr="00E81E85">
        <w:rPr>
          <w:rFonts w:asciiTheme="minorHAnsi" w:eastAsia="MS PGothic" w:hAnsiTheme="minorHAnsi"/>
          <w:color w:val="000000"/>
          <w:szCs w:val="18"/>
        </w:rPr>
        <w:t>-chemical properties of the fresh catalysts</w:t>
      </w:r>
    </w:p>
    <w:tbl>
      <w:tblPr>
        <w:tblW w:w="8364" w:type="dxa"/>
        <w:tblInd w:w="108" w:type="dxa"/>
        <w:tblLook w:val="04A0"/>
      </w:tblPr>
      <w:tblGrid>
        <w:gridCol w:w="2127"/>
        <w:gridCol w:w="1559"/>
        <w:gridCol w:w="1729"/>
        <w:gridCol w:w="1390"/>
        <w:gridCol w:w="1559"/>
      </w:tblGrid>
      <w:tr w:rsidR="00E81E85" w:rsidRPr="00E81E85" w:rsidTr="00E81E85">
        <w:tc>
          <w:tcPr>
            <w:tcW w:w="2127" w:type="dxa"/>
            <w:tcBorders>
              <w:bottom w:val="single" w:sz="4" w:space="0" w:color="auto"/>
            </w:tcBorders>
          </w:tcPr>
          <w:p w:rsidR="00E81E85" w:rsidRPr="00E81E85" w:rsidRDefault="00E81E85" w:rsidP="00E81E85">
            <w:pPr>
              <w:spacing w:line="240" w:lineRule="auto"/>
              <w:rPr>
                <w:rFonts w:asciiTheme="minorHAnsi" w:hAnsiTheme="minorHAnsi"/>
                <w:b/>
                <w:szCs w:val="18"/>
                <w:lang w:val="en-US"/>
              </w:rPr>
            </w:pPr>
          </w:p>
        </w:tc>
        <w:tc>
          <w:tcPr>
            <w:tcW w:w="1559" w:type="dxa"/>
            <w:tcBorders>
              <w:bottom w:val="single" w:sz="4" w:space="0" w:color="auto"/>
            </w:tcBorders>
          </w:tcPr>
          <w:p w:rsidR="00E81E85" w:rsidRPr="00E81E85" w:rsidRDefault="00E81E85" w:rsidP="00EC1D37">
            <w:pPr>
              <w:spacing w:line="240" w:lineRule="auto"/>
              <w:jc w:val="center"/>
              <w:rPr>
                <w:rFonts w:asciiTheme="minorHAnsi" w:hAnsiTheme="minorHAnsi"/>
                <w:b/>
                <w:szCs w:val="18"/>
                <w:lang w:val="en-US"/>
              </w:rPr>
            </w:pPr>
            <w:proofErr w:type="spellStart"/>
            <w:r w:rsidRPr="00E81E85">
              <w:rPr>
                <w:rFonts w:asciiTheme="minorHAnsi" w:hAnsiTheme="minorHAnsi"/>
                <w:b/>
                <w:szCs w:val="18"/>
                <w:lang w:val="en-US"/>
              </w:rPr>
              <w:t>FeMoP</w:t>
            </w:r>
            <w:proofErr w:type="spellEnd"/>
            <w:r w:rsidRPr="00E81E85">
              <w:rPr>
                <w:rFonts w:asciiTheme="minorHAnsi" w:hAnsiTheme="minorHAnsi"/>
                <w:b/>
                <w:szCs w:val="18"/>
                <w:lang w:val="en-US"/>
              </w:rPr>
              <w:t>/</w:t>
            </w:r>
            <w:r w:rsidR="00EC1D37">
              <w:rPr>
                <w:rFonts w:asciiTheme="minorHAnsi" w:hAnsiTheme="minorHAnsi"/>
                <w:b/>
                <w:szCs w:val="18"/>
                <w:lang w:val="en-US"/>
              </w:rPr>
              <w:t>H</w:t>
            </w:r>
            <w:r w:rsidR="00EC1D37" w:rsidRPr="00EC1D37">
              <w:rPr>
                <w:rFonts w:ascii="Symbol" w:hAnsi="Symbol"/>
                <w:b/>
                <w:szCs w:val="18"/>
                <w:lang w:val="en-US"/>
              </w:rPr>
              <w:t></w:t>
            </w:r>
          </w:p>
        </w:tc>
        <w:tc>
          <w:tcPr>
            <w:tcW w:w="1729" w:type="dxa"/>
            <w:tcBorders>
              <w:bottom w:val="single" w:sz="4" w:space="0" w:color="auto"/>
            </w:tcBorders>
          </w:tcPr>
          <w:p w:rsidR="00E81E85" w:rsidRPr="00E81E85" w:rsidRDefault="00E81E85" w:rsidP="00E81E85">
            <w:pPr>
              <w:spacing w:line="240" w:lineRule="auto"/>
              <w:jc w:val="center"/>
              <w:rPr>
                <w:rFonts w:asciiTheme="minorHAnsi" w:hAnsiTheme="minorHAnsi"/>
                <w:b/>
                <w:szCs w:val="18"/>
                <w:lang w:val="en-US"/>
              </w:rPr>
            </w:pPr>
            <w:proofErr w:type="spellStart"/>
            <w:r w:rsidRPr="00E81E85">
              <w:rPr>
                <w:rFonts w:asciiTheme="minorHAnsi" w:hAnsiTheme="minorHAnsi"/>
                <w:b/>
                <w:szCs w:val="18"/>
                <w:lang w:val="en-US"/>
              </w:rPr>
              <w:t>FeMoP</w:t>
            </w:r>
            <w:proofErr w:type="spellEnd"/>
            <w:r w:rsidRPr="00E81E85">
              <w:rPr>
                <w:rFonts w:asciiTheme="minorHAnsi" w:hAnsiTheme="minorHAnsi"/>
                <w:b/>
                <w:szCs w:val="18"/>
                <w:lang w:val="en-US"/>
              </w:rPr>
              <w:t>/</w:t>
            </w:r>
            <w:r w:rsidR="00EC1D37">
              <w:rPr>
                <w:rFonts w:asciiTheme="minorHAnsi" w:hAnsiTheme="minorHAnsi"/>
                <w:b/>
                <w:szCs w:val="18"/>
                <w:lang w:val="en-US"/>
              </w:rPr>
              <w:t>H</w:t>
            </w:r>
            <w:r w:rsidRPr="00E81E85">
              <w:rPr>
                <w:rFonts w:asciiTheme="minorHAnsi" w:hAnsiTheme="minorHAnsi"/>
                <w:b/>
                <w:szCs w:val="18"/>
                <w:lang w:val="en-US"/>
              </w:rPr>
              <w:t>ZSM</w:t>
            </w:r>
            <w:r w:rsidR="00EC1D37">
              <w:rPr>
                <w:rFonts w:asciiTheme="minorHAnsi" w:hAnsiTheme="minorHAnsi"/>
                <w:b/>
                <w:szCs w:val="18"/>
                <w:lang w:val="en-US"/>
              </w:rPr>
              <w:t>-</w:t>
            </w:r>
            <w:r w:rsidRPr="00E81E85">
              <w:rPr>
                <w:rFonts w:asciiTheme="minorHAnsi" w:hAnsiTheme="minorHAnsi"/>
                <w:b/>
                <w:szCs w:val="18"/>
                <w:lang w:val="en-US"/>
              </w:rPr>
              <w:t>5</w:t>
            </w:r>
          </w:p>
        </w:tc>
        <w:tc>
          <w:tcPr>
            <w:tcW w:w="1390" w:type="dxa"/>
            <w:tcBorders>
              <w:bottom w:val="single" w:sz="4" w:space="0" w:color="auto"/>
            </w:tcBorders>
          </w:tcPr>
          <w:p w:rsidR="00E81E85" w:rsidRPr="00E81E85" w:rsidRDefault="00E81E85" w:rsidP="00E81E85">
            <w:pPr>
              <w:spacing w:line="240" w:lineRule="auto"/>
              <w:jc w:val="center"/>
              <w:rPr>
                <w:rFonts w:asciiTheme="minorHAnsi" w:hAnsiTheme="minorHAnsi"/>
                <w:b/>
                <w:szCs w:val="18"/>
                <w:lang w:val="en-US"/>
              </w:rPr>
            </w:pPr>
            <w:proofErr w:type="spellStart"/>
            <w:r w:rsidRPr="00E81E85">
              <w:rPr>
                <w:rFonts w:asciiTheme="minorHAnsi" w:hAnsiTheme="minorHAnsi"/>
                <w:b/>
                <w:szCs w:val="18"/>
                <w:lang w:val="en-US"/>
              </w:rPr>
              <w:t>FeMoP</w:t>
            </w:r>
            <w:proofErr w:type="spellEnd"/>
            <w:r w:rsidRPr="00E81E85">
              <w:rPr>
                <w:rFonts w:asciiTheme="minorHAnsi" w:hAnsiTheme="minorHAnsi"/>
                <w:b/>
                <w:szCs w:val="18"/>
                <w:lang w:val="en-US"/>
              </w:rPr>
              <w:t>/</w:t>
            </w:r>
            <w:r w:rsidR="001650AA">
              <w:rPr>
                <w:rFonts w:asciiTheme="minorHAnsi" w:hAnsiTheme="minorHAnsi"/>
                <w:b/>
                <w:szCs w:val="18"/>
                <w:lang w:val="en-US"/>
              </w:rPr>
              <w:t>H</w:t>
            </w:r>
            <w:r w:rsidRPr="00E81E85">
              <w:rPr>
                <w:rFonts w:asciiTheme="minorHAnsi" w:hAnsiTheme="minorHAnsi"/>
                <w:b/>
                <w:szCs w:val="18"/>
                <w:lang w:val="en-US"/>
              </w:rPr>
              <w:t>Y</w:t>
            </w:r>
          </w:p>
        </w:tc>
        <w:tc>
          <w:tcPr>
            <w:tcW w:w="1559" w:type="dxa"/>
            <w:tcBorders>
              <w:bottom w:val="single" w:sz="4" w:space="0" w:color="auto"/>
            </w:tcBorders>
          </w:tcPr>
          <w:p w:rsidR="00E81E85" w:rsidRPr="00E81E85" w:rsidRDefault="00E81E85" w:rsidP="00E81E85">
            <w:pPr>
              <w:spacing w:line="240" w:lineRule="auto"/>
              <w:jc w:val="center"/>
              <w:rPr>
                <w:rFonts w:asciiTheme="minorHAnsi" w:hAnsiTheme="minorHAnsi"/>
                <w:b/>
                <w:szCs w:val="18"/>
                <w:lang w:val="en-US"/>
              </w:rPr>
            </w:pPr>
            <w:r w:rsidRPr="00E81E85">
              <w:rPr>
                <w:rFonts w:asciiTheme="minorHAnsi" w:hAnsiTheme="minorHAnsi"/>
                <w:b/>
                <w:szCs w:val="18"/>
                <w:lang w:val="en-US"/>
              </w:rPr>
              <w:t xml:space="preserve">Bulk </w:t>
            </w:r>
            <w:proofErr w:type="spellStart"/>
            <w:r w:rsidRPr="00E81E85">
              <w:rPr>
                <w:rFonts w:asciiTheme="minorHAnsi" w:hAnsiTheme="minorHAnsi"/>
                <w:b/>
                <w:szCs w:val="18"/>
                <w:lang w:val="en-US"/>
              </w:rPr>
              <w:t>FeMoP</w:t>
            </w:r>
            <w:proofErr w:type="spellEnd"/>
          </w:p>
        </w:tc>
      </w:tr>
      <w:tr w:rsidR="00E81E85" w:rsidRPr="00E81E85" w:rsidTr="00E81E85">
        <w:tc>
          <w:tcPr>
            <w:tcW w:w="2127" w:type="dxa"/>
            <w:tcBorders>
              <w:top w:val="dotted" w:sz="4" w:space="0" w:color="auto"/>
            </w:tcBorders>
          </w:tcPr>
          <w:p w:rsidR="00E81E85" w:rsidRPr="00E81E85" w:rsidRDefault="00E81E85" w:rsidP="000156CD">
            <w:pPr>
              <w:spacing w:line="240" w:lineRule="auto"/>
              <w:jc w:val="right"/>
              <w:rPr>
                <w:rFonts w:asciiTheme="minorHAnsi" w:hAnsiTheme="minorHAnsi"/>
                <w:szCs w:val="18"/>
                <w:lang w:val="en-US"/>
              </w:rPr>
            </w:pPr>
            <w:r w:rsidRPr="00E81E85">
              <w:rPr>
                <w:rFonts w:asciiTheme="minorHAnsi" w:hAnsiTheme="minorHAnsi"/>
                <w:szCs w:val="18"/>
                <w:lang w:val="en-US"/>
              </w:rPr>
              <w:t>S</w:t>
            </w:r>
            <w:r w:rsidRPr="00E81E85">
              <w:rPr>
                <w:rFonts w:asciiTheme="minorHAnsi" w:hAnsiTheme="minorHAnsi"/>
                <w:szCs w:val="18"/>
                <w:vertAlign w:val="subscript"/>
                <w:lang w:val="en-US"/>
              </w:rPr>
              <w:t>BET</w:t>
            </w:r>
            <w:r w:rsidRPr="00E81E85">
              <w:rPr>
                <w:rFonts w:asciiTheme="minorHAnsi" w:hAnsiTheme="minorHAnsi"/>
                <w:szCs w:val="18"/>
                <w:lang w:val="en-US"/>
              </w:rPr>
              <w:t xml:space="preserve"> (m</w:t>
            </w:r>
            <w:r w:rsidRPr="00E81E85">
              <w:rPr>
                <w:rFonts w:asciiTheme="minorHAnsi" w:hAnsiTheme="minorHAnsi"/>
                <w:szCs w:val="18"/>
                <w:vertAlign w:val="superscript"/>
                <w:lang w:val="en-US"/>
              </w:rPr>
              <w:t>2</w:t>
            </w:r>
            <w:r w:rsidRPr="00E81E85">
              <w:rPr>
                <w:rFonts w:asciiTheme="minorHAnsi" w:hAnsiTheme="minorHAnsi"/>
                <w:szCs w:val="18"/>
                <w:lang w:val="en-US"/>
              </w:rPr>
              <w:t xml:space="preserve"> g</w:t>
            </w:r>
            <w:r w:rsidRPr="00E81E85">
              <w:rPr>
                <w:rFonts w:asciiTheme="minorHAnsi" w:hAnsiTheme="minorHAnsi"/>
                <w:szCs w:val="18"/>
                <w:vertAlign w:val="superscript"/>
                <w:lang w:val="en-US"/>
              </w:rPr>
              <w:t>-1</w:t>
            </w:r>
            <w:r w:rsidRPr="00E81E85">
              <w:rPr>
                <w:rFonts w:asciiTheme="minorHAnsi" w:hAnsiTheme="minorHAnsi"/>
                <w:szCs w:val="18"/>
                <w:lang w:val="en-US"/>
              </w:rPr>
              <w:t>)</w:t>
            </w:r>
          </w:p>
        </w:tc>
        <w:tc>
          <w:tcPr>
            <w:tcW w:w="1559" w:type="dxa"/>
            <w:tcBorders>
              <w:top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365.9</w:t>
            </w:r>
          </w:p>
        </w:tc>
        <w:tc>
          <w:tcPr>
            <w:tcW w:w="1729" w:type="dxa"/>
            <w:tcBorders>
              <w:top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355.9</w:t>
            </w:r>
          </w:p>
        </w:tc>
        <w:tc>
          <w:tcPr>
            <w:tcW w:w="1390" w:type="dxa"/>
            <w:tcBorders>
              <w:top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750.3</w:t>
            </w:r>
          </w:p>
        </w:tc>
        <w:tc>
          <w:tcPr>
            <w:tcW w:w="1559" w:type="dxa"/>
            <w:tcBorders>
              <w:top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6.0</w:t>
            </w:r>
          </w:p>
        </w:tc>
      </w:tr>
      <w:tr w:rsidR="00E81E85" w:rsidRPr="00E81E85" w:rsidTr="00E81E85">
        <w:tc>
          <w:tcPr>
            <w:tcW w:w="2127" w:type="dxa"/>
            <w:tcBorders>
              <w:bottom w:val="dotted" w:sz="4" w:space="0" w:color="auto"/>
            </w:tcBorders>
          </w:tcPr>
          <w:p w:rsidR="00E81E85" w:rsidRPr="00E81E85" w:rsidRDefault="00E81E85" w:rsidP="000156CD">
            <w:pPr>
              <w:spacing w:line="240" w:lineRule="auto"/>
              <w:jc w:val="right"/>
              <w:rPr>
                <w:rFonts w:asciiTheme="minorHAnsi" w:hAnsiTheme="minorHAnsi"/>
                <w:szCs w:val="18"/>
                <w:lang w:val="en-US"/>
              </w:rPr>
            </w:pPr>
            <w:proofErr w:type="spellStart"/>
            <w:r w:rsidRPr="00E81E85">
              <w:rPr>
                <w:rFonts w:asciiTheme="minorHAnsi" w:hAnsiTheme="minorHAnsi"/>
                <w:szCs w:val="18"/>
                <w:lang w:val="en-US"/>
              </w:rPr>
              <w:t>V</w:t>
            </w:r>
            <w:r w:rsidRPr="00E81E85">
              <w:rPr>
                <w:rFonts w:asciiTheme="minorHAnsi" w:hAnsiTheme="minorHAnsi"/>
                <w:szCs w:val="18"/>
                <w:vertAlign w:val="subscript"/>
                <w:lang w:val="en-US"/>
              </w:rPr>
              <w:t>micropore</w:t>
            </w:r>
            <w:proofErr w:type="spellEnd"/>
            <w:r w:rsidRPr="00E81E85">
              <w:rPr>
                <w:rFonts w:asciiTheme="minorHAnsi" w:hAnsiTheme="minorHAnsi"/>
                <w:szCs w:val="18"/>
                <w:lang w:val="en-US"/>
              </w:rPr>
              <w:t xml:space="preserve"> (cm</w:t>
            </w:r>
            <w:r w:rsidRPr="00E81E85">
              <w:rPr>
                <w:rFonts w:asciiTheme="minorHAnsi" w:hAnsiTheme="minorHAnsi"/>
                <w:szCs w:val="18"/>
                <w:vertAlign w:val="superscript"/>
                <w:lang w:val="en-US"/>
              </w:rPr>
              <w:t>3</w:t>
            </w:r>
            <w:r w:rsidRPr="00E81E85">
              <w:rPr>
                <w:rFonts w:asciiTheme="minorHAnsi" w:hAnsiTheme="minorHAnsi"/>
                <w:szCs w:val="18"/>
                <w:lang w:val="en-US"/>
              </w:rPr>
              <w:t xml:space="preserve"> g</w:t>
            </w:r>
            <w:r w:rsidRPr="00E81E85">
              <w:rPr>
                <w:rFonts w:asciiTheme="minorHAnsi" w:hAnsiTheme="minorHAnsi"/>
                <w:szCs w:val="18"/>
                <w:vertAlign w:val="superscript"/>
                <w:lang w:val="en-US"/>
              </w:rPr>
              <w:t>-1</w:t>
            </w:r>
            <w:r w:rsidRPr="00E81E85">
              <w:rPr>
                <w:rFonts w:asciiTheme="minorHAnsi" w:hAnsiTheme="minorHAnsi"/>
                <w:szCs w:val="18"/>
                <w:lang w:val="en-US"/>
              </w:rPr>
              <w:t>)</w:t>
            </w:r>
          </w:p>
        </w:tc>
        <w:tc>
          <w:tcPr>
            <w:tcW w:w="1559" w:type="dxa"/>
            <w:tcBorders>
              <w:bottom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0.084</w:t>
            </w:r>
          </w:p>
        </w:tc>
        <w:tc>
          <w:tcPr>
            <w:tcW w:w="1729" w:type="dxa"/>
            <w:tcBorders>
              <w:bottom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0.082</w:t>
            </w:r>
          </w:p>
        </w:tc>
        <w:tc>
          <w:tcPr>
            <w:tcW w:w="1390" w:type="dxa"/>
            <w:tcBorders>
              <w:bottom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0.207</w:t>
            </w:r>
          </w:p>
        </w:tc>
        <w:tc>
          <w:tcPr>
            <w:tcW w:w="1559" w:type="dxa"/>
            <w:tcBorders>
              <w:bottom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0.002</w:t>
            </w:r>
          </w:p>
        </w:tc>
      </w:tr>
      <w:tr w:rsidR="00E81E85" w:rsidRPr="00E81E85" w:rsidTr="00E81E85">
        <w:tc>
          <w:tcPr>
            <w:tcW w:w="2127" w:type="dxa"/>
            <w:tcBorders>
              <w:top w:val="dotted" w:sz="4" w:space="0" w:color="auto"/>
            </w:tcBorders>
          </w:tcPr>
          <w:p w:rsidR="00E81E85" w:rsidRPr="00E81E85" w:rsidRDefault="00E81E85" w:rsidP="000156CD">
            <w:pPr>
              <w:spacing w:line="240" w:lineRule="auto"/>
              <w:jc w:val="right"/>
              <w:rPr>
                <w:rFonts w:asciiTheme="minorHAnsi" w:hAnsiTheme="minorHAnsi"/>
                <w:szCs w:val="18"/>
                <w:lang w:val="en-US"/>
              </w:rPr>
            </w:pPr>
            <w:r w:rsidRPr="00E81E85">
              <w:rPr>
                <w:rFonts w:asciiTheme="minorHAnsi" w:hAnsiTheme="minorHAnsi"/>
                <w:szCs w:val="18"/>
                <w:lang w:val="en-US"/>
              </w:rPr>
              <w:t>Total acidity (mmol</w:t>
            </w:r>
            <w:r w:rsidRPr="00E81E85">
              <w:rPr>
                <w:rFonts w:asciiTheme="minorHAnsi" w:hAnsiTheme="minorHAnsi"/>
                <w:szCs w:val="18"/>
                <w:vertAlign w:val="subscript"/>
                <w:lang w:val="en-US"/>
              </w:rPr>
              <w:t>NH3</w:t>
            </w:r>
            <w:r w:rsidRPr="00E81E85">
              <w:rPr>
                <w:rFonts w:asciiTheme="minorHAnsi" w:hAnsiTheme="minorHAnsi"/>
                <w:szCs w:val="18"/>
                <w:lang w:val="en-US"/>
              </w:rPr>
              <w:t xml:space="preserve"> g</w:t>
            </w:r>
            <w:r w:rsidRPr="00E81E85">
              <w:rPr>
                <w:rFonts w:asciiTheme="minorHAnsi" w:hAnsiTheme="minorHAnsi"/>
                <w:szCs w:val="18"/>
                <w:vertAlign w:val="superscript"/>
                <w:lang w:val="en-US"/>
              </w:rPr>
              <w:t>-1</w:t>
            </w:r>
            <w:r w:rsidRPr="00E81E85">
              <w:rPr>
                <w:rFonts w:asciiTheme="minorHAnsi" w:hAnsiTheme="minorHAnsi"/>
                <w:szCs w:val="18"/>
                <w:lang w:val="en-US"/>
              </w:rPr>
              <w:t>)</w:t>
            </w:r>
          </w:p>
        </w:tc>
        <w:tc>
          <w:tcPr>
            <w:tcW w:w="1559" w:type="dxa"/>
            <w:tcBorders>
              <w:top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0.27</w:t>
            </w:r>
          </w:p>
        </w:tc>
        <w:tc>
          <w:tcPr>
            <w:tcW w:w="1729" w:type="dxa"/>
            <w:tcBorders>
              <w:top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0.57</w:t>
            </w:r>
          </w:p>
        </w:tc>
        <w:tc>
          <w:tcPr>
            <w:tcW w:w="1390" w:type="dxa"/>
            <w:tcBorders>
              <w:top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1.11</w:t>
            </w:r>
          </w:p>
        </w:tc>
        <w:tc>
          <w:tcPr>
            <w:tcW w:w="1559" w:type="dxa"/>
            <w:tcBorders>
              <w:top w:val="dotted"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0.24</w:t>
            </w:r>
          </w:p>
        </w:tc>
      </w:tr>
      <w:tr w:rsidR="00E81E85" w:rsidRPr="00E81E85" w:rsidTr="00E81E85">
        <w:tc>
          <w:tcPr>
            <w:tcW w:w="2127" w:type="dxa"/>
          </w:tcPr>
          <w:p w:rsidR="00E81E85" w:rsidRPr="00E81E85" w:rsidRDefault="00E81E85" w:rsidP="000156CD">
            <w:pPr>
              <w:spacing w:line="240" w:lineRule="auto"/>
              <w:ind w:left="318"/>
              <w:jc w:val="right"/>
              <w:rPr>
                <w:rFonts w:asciiTheme="minorHAnsi" w:hAnsiTheme="minorHAnsi"/>
                <w:szCs w:val="18"/>
                <w:lang w:val="en-US"/>
              </w:rPr>
            </w:pPr>
            <w:r>
              <w:rPr>
                <w:rFonts w:asciiTheme="minorHAnsi" w:hAnsiTheme="minorHAnsi"/>
                <w:szCs w:val="18"/>
                <w:lang w:val="en-US"/>
              </w:rPr>
              <w:t>Weak-medium</w:t>
            </w:r>
            <w:r w:rsidRPr="00E81E85">
              <w:rPr>
                <w:rFonts w:asciiTheme="minorHAnsi" w:hAnsiTheme="minorHAnsi"/>
                <w:szCs w:val="18"/>
                <w:lang w:val="en-US"/>
              </w:rPr>
              <w:t xml:space="preserve"> (%)</w:t>
            </w:r>
          </w:p>
        </w:tc>
        <w:tc>
          <w:tcPr>
            <w:tcW w:w="1559" w:type="dxa"/>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65</w:t>
            </w:r>
          </w:p>
        </w:tc>
        <w:tc>
          <w:tcPr>
            <w:tcW w:w="1729" w:type="dxa"/>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47</w:t>
            </w:r>
          </w:p>
        </w:tc>
        <w:tc>
          <w:tcPr>
            <w:tcW w:w="1390" w:type="dxa"/>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34</w:t>
            </w:r>
          </w:p>
        </w:tc>
        <w:tc>
          <w:tcPr>
            <w:tcW w:w="1559" w:type="dxa"/>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48</w:t>
            </w:r>
          </w:p>
        </w:tc>
      </w:tr>
      <w:tr w:rsidR="00E81E85" w:rsidRPr="00E81E85" w:rsidTr="00E81E85">
        <w:tc>
          <w:tcPr>
            <w:tcW w:w="2127" w:type="dxa"/>
            <w:tcBorders>
              <w:bottom w:val="single" w:sz="4" w:space="0" w:color="auto"/>
            </w:tcBorders>
          </w:tcPr>
          <w:p w:rsidR="00E81E85" w:rsidRPr="00E81E85" w:rsidRDefault="00E81E85" w:rsidP="000156CD">
            <w:pPr>
              <w:spacing w:line="240" w:lineRule="auto"/>
              <w:ind w:left="318"/>
              <w:jc w:val="right"/>
              <w:rPr>
                <w:rFonts w:asciiTheme="minorHAnsi" w:hAnsiTheme="minorHAnsi"/>
                <w:szCs w:val="18"/>
                <w:lang w:val="en-US"/>
              </w:rPr>
            </w:pPr>
            <w:r>
              <w:rPr>
                <w:rFonts w:asciiTheme="minorHAnsi" w:hAnsiTheme="minorHAnsi"/>
                <w:szCs w:val="18"/>
                <w:lang w:val="en-US"/>
              </w:rPr>
              <w:t>Medium-strong</w:t>
            </w:r>
            <w:r w:rsidRPr="00E81E85">
              <w:rPr>
                <w:rFonts w:asciiTheme="minorHAnsi" w:hAnsiTheme="minorHAnsi"/>
                <w:szCs w:val="18"/>
                <w:lang w:val="en-US"/>
              </w:rPr>
              <w:t xml:space="preserve"> (%)</w:t>
            </w:r>
          </w:p>
        </w:tc>
        <w:tc>
          <w:tcPr>
            <w:tcW w:w="1559" w:type="dxa"/>
            <w:tcBorders>
              <w:bottom w:val="single"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35</w:t>
            </w:r>
          </w:p>
        </w:tc>
        <w:tc>
          <w:tcPr>
            <w:tcW w:w="1729" w:type="dxa"/>
            <w:tcBorders>
              <w:bottom w:val="single"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53</w:t>
            </w:r>
          </w:p>
        </w:tc>
        <w:tc>
          <w:tcPr>
            <w:tcW w:w="1390" w:type="dxa"/>
            <w:tcBorders>
              <w:bottom w:val="single"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66</w:t>
            </w:r>
          </w:p>
        </w:tc>
        <w:tc>
          <w:tcPr>
            <w:tcW w:w="1559" w:type="dxa"/>
            <w:tcBorders>
              <w:bottom w:val="single" w:sz="4" w:space="0" w:color="auto"/>
            </w:tcBorders>
          </w:tcPr>
          <w:p w:rsidR="00E81E85" w:rsidRPr="00E81E85" w:rsidRDefault="00E81E85" w:rsidP="00E81E85">
            <w:pPr>
              <w:spacing w:line="240" w:lineRule="auto"/>
              <w:jc w:val="center"/>
              <w:rPr>
                <w:rFonts w:asciiTheme="minorHAnsi" w:hAnsiTheme="minorHAnsi"/>
                <w:szCs w:val="18"/>
                <w:lang w:val="en-US"/>
              </w:rPr>
            </w:pPr>
            <w:r w:rsidRPr="00E81E85">
              <w:rPr>
                <w:rFonts w:asciiTheme="minorHAnsi" w:hAnsiTheme="minorHAnsi"/>
                <w:szCs w:val="18"/>
                <w:lang w:val="en-US"/>
              </w:rPr>
              <w:t>52</w:t>
            </w:r>
          </w:p>
        </w:tc>
      </w:tr>
    </w:tbl>
    <w:p w:rsidR="0016087E" w:rsidRPr="00ED5355" w:rsidRDefault="001656C5" w:rsidP="00EC1D37">
      <w:pPr>
        <w:snapToGrid w:val="0"/>
        <w:spacing w:before="120"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w:t>
      </w:r>
      <w:r w:rsidR="00947BC9" w:rsidRPr="00AE75AB">
        <w:rPr>
          <w:rFonts w:asciiTheme="minorHAnsi" w:eastAsia="MS PGothic" w:hAnsiTheme="minorHAnsi"/>
          <w:color w:val="000000"/>
          <w:sz w:val="22"/>
          <w:szCs w:val="22"/>
          <w:lang w:val="en-US"/>
        </w:rPr>
        <w:t>Figure 1a</w:t>
      </w:r>
      <w:r w:rsidR="00947BC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an increase</w:t>
      </w:r>
      <w:r w:rsidR="00947BC9">
        <w:rPr>
          <w:rFonts w:asciiTheme="minorHAnsi" w:eastAsia="MS PGothic" w:hAnsiTheme="minorHAnsi"/>
          <w:color w:val="000000"/>
          <w:sz w:val="22"/>
          <w:szCs w:val="22"/>
          <w:lang w:val="en-US"/>
        </w:rPr>
        <w:t xml:space="preserve"> was observed in carbon products upon incorporating the zeolite support (22.8-27.0 </w:t>
      </w:r>
      <w:proofErr w:type="gramStart"/>
      <w:r w:rsidR="00947BC9">
        <w:rPr>
          <w:rFonts w:asciiTheme="minorHAnsi" w:eastAsia="MS PGothic" w:hAnsiTheme="minorHAnsi"/>
          <w:color w:val="000000"/>
          <w:sz w:val="22"/>
          <w:szCs w:val="22"/>
          <w:lang w:val="en-US"/>
        </w:rPr>
        <w:t>wt%</w:t>
      </w:r>
      <w:proofErr w:type="gramEnd"/>
      <w:r w:rsidR="00947BC9">
        <w:rPr>
          <w:rFonts w:asciiTheme="minorHAnsi" w:eastAsia="MS PGothic" w:hAnsiTheme="minorHAnsi"/>
          <w:color w:val="000000"/>
          <w:sz w:val="22"/>
          <w:szCs w:val="22"/>
          <w:lang w:val="en-US"/>
        </w:rPr>
        <w:t xml:space="preserve">) in contrast to the bulk </w:t>
      </w:r>
      <w:proofErr w:type="spellStart"/>
      <w:r w:rsidR="00947BC9">
        <w:rPr>
          <w:rFonts w:asciiTheme="minorHAnsi" w:eastAsia="MS PGothic" w:hAnsiTheme="minorHAnsi"/>
          <w:color w:val="000000"/>
          <w:sz w:val="22"/>
          <w:szCs w:val="22"/>
          <w:lang w:val="en-US"/>
        </w:rPr>
        <w:t>FeMoP</w:t>
      </w:r>
      <w:proofErr w:type="spellEnd"/>
      <w:r w:rsidR="00947BC9">
        <w:rPr>
          <w:rFonts w:asciiTheme="minorHAnsi" w:eastAsia="MS PGothic" w:hAnsiTheme="minorHAnsi"/>
          <w:color w:val="000000"/>
          <w:sz w:val="22"/>
          <w:szCs w:val="22"/>
          <w:lang w:val="en-US"/>
        </w:rPr>
        <w:t xml:space="preserve"> phase (16.5 wt%), due to the enhancement of dehydration/condensation reactions </w:t>
      </w:r>
      <w:r w:rsidR="007208BD">
        <w:rPr>
          <w:rFonts w:asciiTheme="minorHAnsi" w:eastAsia="MS PGothic" w:hAnsiTheme="minorHAnsi"/>
          <w:color w:val="000000"/>
          <w:sz w:val="22"/>
          <w:szCs w:val="22"/>
          <w:lang w:val="en-US"/>
        </w:rPr>
        <w:t xml:space="preserve">performed by the </w:t>
      </w:r>
      <w:proofErr w:type="spellStart"/>
      <w:r w:rsidR="007208BD">
        <w:rPr>
          <w:rFonts w:asciiTheme="minorHAnsi" w:eastAsia="MS PGothic" w:hAnsiTheme="minorHAnsi"/>
          <w:color w:val="000000"/>
          <w:sz w:val="22"/>
          <w:szCs w:val="22"/>
          <w:lang w:val="en-US"/>
        </w:rPr>
        <w:t>zeolites</w:t>
      </w:r>
      <w:proofErr w:type="spellEnd"/>
      <w:r w:rsidR="007208BD">
        <w:rPr>
          <w:rFonts w:asciiTheme="minorHAnsi" w:eastAsia="MS PGothic" w:hAnsiTheme="minorHAnsi"/>
          <w:color w:val="000000"/>
          <w:sz w:val="22"/>
          <w:szCs w:val="22"/>
          <w:lang w:val="en-US"/>
        </w:rPr>
        <w:t xml:space="preserve">. </w:t>
      </w:r>
      <w:r w:rsidR="00B45A21" w:rsidRPr="008F7029">
        <w:rPr>
          <w:rFonts w:asciiTheme="minorHAnsi" w:eastAsia="MS PGothic" w:hAnsiTheme="minorHAnsi"/>
          <w:color w:val="000000"/>
          <w:sz w:val="22"/>
          <w:szCs w:val="22"/>
          <w:lang w:val="en-US"/>
        </w:rPr>
        <w:t xml:space="preserve">The highest total acidity and stronger nature of the acidic sites of the </w:t>
      </w:r>
      <w:proofErr w:type="spellStart"/>
      <w:r w:rsidR="00B45A21" w:rsidRPr="008F7029">
        <w:rPr>
          <w:rFonts w:asciiTheme="minorHAnsi" w:eastAsia="MS PGothic" w:hAnsiTheme="minorHAnsi"/>
          <w:color w:val="000000"/>
          <w:sz w:val="22"/>
          <w:szCs w:val="22"/>
          <w:lang w:val="en-US"/>
        </w:rPr>
        <w:t>FeMoP</w:t>
      </w:r>
      <w:proofErr w:type="spellEnd"/>
      <w:r w:rsidR="00B45A21" w:rsidRPr="008F7029">
        <w:rPr>
          <w:rFonts w:asciiTheme="minorHAnsi" w:eastAsia="MS PGothic" w:hAnsiTheme="minorHAnsi"/>
          <w:color w:val="000000"/>
          <w:sz w:val="22"/>
          <w:szCs w:val="22"/>
          <w:lang w:val="en-US"/>
        </w:rPr>
        <w:t>/</w:t>
      </w:r>
      <w:r w:rsidR="001650AA">
        <w:rPr>
          <w:rFonts w:asciiTheme="minorHAnsi" w:eastAsia="MS PGothic" w:hAnsiTheme="minorHAnsi"/>
          <w:color w:val="000000"/>
          <w:sz w:val="22"/>
          <w:szCs w:val="22"/>
          <w:lang w:val="en-US"/>
        </w:rPr>
        <w:t>H</w:t>
      </w:r>
      <w:r w:rsidR="00B45A21" w:rsidRPr="008F7029">
        <w:rPr>
          <w:rFonts w:asciiTheme="minorHAnsi" w:eastAsia="MS PGothic" w:hAnsiTheme="minorHAnsi"/>
          <w:color w:val="000000"/>
          <w:sz w:val="22"/>
          <w:szCs w:val="22"/>
          <w:lang w:val="en-US"/>
        </w:rPr>
        <w:t>Y zeolite enhanced HDO reactions</w:t>
      </w:r>
      <w:r w:rsidR="00947BC9">
        <w:rPr>
          <w:rFonts w:asciiTheme="minorHAnsi" w:eastAsia="MS PGothic" w:hAnsiTheme="minorHAnsi"/>
          <w:color w:val="000000"/>
          <w:sz w:val="22"/>
          <w:szCs w:val="22"/>
          <w:lang w:val="en-US"/>
        </w:rPr>
        <w:t xml:space="preserve"> (higher amount of water being formed)</w:t>
      </w:r>
      <w:r w:rsidR="00B45A21" w:rsidRPr="008F7029">
        <w:rPr>
          <w:rFonts w:asciiTheme="minorHAnsi" w:eastAsia="MS PGothic" w:hAnsiTheme="minorHAnsi"/>
          <w:color w:val="000000"/>
          <w:sz w:val="22"/>
          <w:szCs w:val="22"/>
          <w:lang w:val="en-US"/>
        </w:rPr>
        <w:t>, leading to lower carbon product yields</w:t>
      </w:r>
      <w:r w:rsidR="00947BC9">
        <w:rPr>
          <w:rFonts w:asciiTheme="minorHAnsi" w:eastAsia="MS PGothic" w:hAnsiTheme="minorHAnsi"/>
          <w:color w:val="000000"/>
          <w:sz w:val="22"/>
          <w:szCs w:val="22"/>
          <w:lang w:val="en-US"/>
        </w:rPr>
        <w:t xml:space="preserve">. </w:t>
      </w:r>
      <w:r w:rsidR="007208BD">
        <w:rPr>
          <w:rFonts w:asciiTheme="minorHAnsi" w:eastAsia="MS PGothic" w:hAnsiTheme="minorHAnsi"/>
          <w:color w:val="000000"/>
          <w:sz w:val="22"/>
          <w:szCs w:val="22"/>
          <w:lang w:val="en-US"/>
        </w:rPr>
        <w:t xml:space="preserve">On the other hand, the highest carbon product yields were attained with the </w:t>
      </w:r>
      <w:proofErr w:type="spellStart"/>
      <w:r w:rsidR="007208BD">
        <w:rPr>
          <w:rFonts w:asciiTheme="minorHAnsi" w:eastAsia="MS PGothic" w:hAnsiTheme="minorHAnsi"/>
          <w:color w:val="000000"/>
          <w:sz w:val="22"/>
          <w:szCs w:val="22"/>
          <w:lang w:val="en-US"/>
        </w:rPr>
        <w:t>FeMoP</w:t>
      </w:r>
      <w:proofErr w:type="spellEnd"/>
      <w:r w:rsidR="007208BD">
        <w:rPr>
          <w:rFonts w:asciiTheme="minorHAnsi" w:eastAsia="MS PGothic" w:hAnsiTheme="minorHAnsi"/>
          <w:color w:val="000000"/>
          <w:sz w:val="22"/>
          <w:szCs w:val="22"/>
          <w:lang w:val="en-US"/>
        </w:rPr>
        <w:t>/</w:t>
      </w:r>
      <w:r w:rsidR="00EC1D37">
        <w:rPr>
          <w:rFonts w:asciiTheme="minorHAnsi" w:eastAsia="MS PGothic" w:hAnsiTheme="minorHAnsi"/>
          <w:color w:val="000000"/>
          <w:sz w:val="22"/>
          <w:szCs w:val="22"/>
          <w:lang w:val="en-US"/>
        </w:rPr>
        <w:t>H</w:t>
      </w:r>
      <w:r w:rsidR="007208BD">
        <w:rPr>
          <w:rFonts w:asciiTheme="minorHAnsi" w:eastAsia="MS PGothic" w:hAnsiTheme="minorHAnsi"/>
          <w:color w:val="000000"/>
          <w:sz w:val="22"/>
          <w:szCs w:val="22"/>
          <w:lang w:val="en-US"/>
        </w:rPr>
        <w:t>ZSM</w:t>
      </w:r>
      <w:r w:rsidR="00EC1D37">
        <w:rPr>
          <w:rFonts w:asciiTheme="minorHAnsi" w:eastAsia="MS PGothic" w:hAnsiTheme="minorHAnsi"/>
          <w:color w:val="000000"/>
          <w:sz w:val="22"/>
          <w:szCs w:val="22"/>
          <w:lang w:val="en-US"/>
        </w:rPr>
        <w:t>-</w:t>
      </w:r>
      <w:r w:rsidR="007208BD">
        <w:rPr>
          <w:rFonts w:asciiTheme="minorHAnsi" w:eastAsia="MS PGothic" w:hAnsiTheme="minorHAnsi"/>
          <w:color w:val="000000"/>
          <w:sz w:val="22"/>
          <w:szCs w:val="22"/>
          <w:lang w:val="en-US"/>
        </w:rPr>
        <w:t xml:space="preserve">5 catalyst, likely due to a compromise between </w:t>
      </w:r>
      <w:r>
        <w:rPr>
          <w:rFonts w:asciiTheme="minorHAnsi" w:eastAsia="MS PGothic" w:hAnsiTheme="minorHAnsi"/>
          <w:color w:val="000000"/>
          <w:sz w:val="22"/>
          <w:szCs w:val="22"/>
          <w:lang w:val="en-US"/>
        </w:rPr>
        <w:t>total</w:t>
      </w:r>
      <w:r w:rsidR="007208BD">
        <w:rPr>
          <w:rFonts w:asciiTheme="minorHAnsi" w:eastAsia="MS PGothic" w:hAnsiTheme="minorHAnsi"/>
          <w:color w:val="000000"/>
          <w:sz w:val="22"/>
          <w:szCs w:val="22"/>
          <w:lang w:val="en-US"/>
        </w:rPr>
        <w:t xml:space="preserve"> acidity and </w:t>
      </w:r>
      <w:r>
        <w:rPr>
          <w:rFonts w:asciiTheme="minorHAnsi" w:eastAsia="MS PGothic" w:hAnsiTheme="minorHAnsi"/>
          <w:color w:val="000000"/>
          <w:sz w:val="22"/>
          <w:szCs w:val="22"/>
          <w:lang w:val="en-US"/>
        </w:rPr>
        <w:t>a moderate content</w:t>
      </w:r>
      <w:r w:rsidR="007208BD">
        <w:rPr>
          <w:rFonts w:asciiTheme="minorHAnsi" w:eastAsia="MS PGothic" w:hAnsiTheme="minorHAnsi"/>
          <w:color w:val="000000"/>
          <w:sz w:val="22"/>
          <w:szCs w:val="22"/>
          <w:lang w:val="en-US"/>
        </w:rPr>
        <w:t xml:space="preserve"> of stronger acidic sites. </w:t>
      </w:r>
      <w:r w:rsidR="0032315A">
        <w:rPr>
          <w:rFonts w:asciiTheme="minorHAnsi" w:eastAsia="MS PGothic" w:hAnsiTheme="minorHAnsi"/>
          <w:color w:val="000000"/>
          <w:sz w:val="22"/>
          <w:szCs w:val="22"/>
          <w:lang w:val="en-US"/>
        </w:rPr>
        <w:t>Moreover,</w:t>
      </w:r>
      <w:r w:rsidR="007208BD">
        <w:rPr>
          <w:rFonts w:asciiTheme="minorHAnsi" w:eastAsia="MS PGothic" w:hAnsiTheme="minorHAnsi"/>
          <w:color w:val="000000"/>
          <w:sz w:val="22"/>
          <w:szCs w:val="22"/>
          <w:lang w:val="en-US"/>
        </w:rPr>
        <w:t xml:space="preserve"> </w:t>
      </w:r>
      <w:proofErr w:type="spellStart"/>
      <w:r w:rsidR="007208BD">
        <w:rPr>
          <w:rFonts w:asciiTheme="minorHAnsi" w:eastAsia="MS PGothic" w:hAnsiTheme="minorHAnsi"/>
          <w:color w:val="000000"/>
          <w:sz w:val="22"/>
          <w:szCs w:val="22"/>
          <w:lang w:val="en-US"/>
        </w:rPr>
        <w:t>FeMoP</w:t>
      </w:r>
      <w:proofErr w:type="spellEnd"/>
      <w:r w:rsidR="007208BD">
        <w:rPr>
          <w:rFonts w:asciiTheme="minorHAnsi" w:eastAsia="MS PGothic" w:hAnsiTheme="minorHAnsi"/>
          <w:color w:val="000000"/>
          <w:sz w:val="22"/>
          <w:szCs w:val="22"/>
          <w:lang w:val="en-US"/>
        </w:rPr>
        <w:t>/</w:t>
      </w:r>
      <w:r w:rsidR="00EC1D37">
        <w:rPr>
          <w:rFonts w:asciiTheme="minorHAnsi" w:eastAsia="MS PGothic" w:hAnsiTheme="minorHAnsi"/>
          <w:color w:val="000000"/>
          <w:sz w:val="22"/>
          <w:szCs w:val="22"/>
          <w:lang w:val="en-US"/>
        </w:rPr>
        <w:t>H</w:t>
      </w:r>
      <w:r w:rsidR="007208BD">
        <w:rPr>
          <w:rFonts w:asciiTheme="minorHAnsi" w:eastAsia="MS PGothic" w:hAnsiTheme="minorHAnsi"/>
          <w:color w:val="000000"/>
          <w:sz w:val="22"/>
          <w:szCs w:val="22"/>
          <w:lang w:val="en-US"/>
        </w:rPr>
        <w:t>ZSM</w:t>
      </w:r>
      <w:r w:rsidR="00EC1D37">
        <w:rPr>
          <w:rFonts w:asciiTheme="minorHAnsi" w:eastAsia="MS PGothic" w:hAnsiTheme="minorHAnsi"/>
          <w:color w:val="000000"/>
          <w:sz w:val="22"/>
          <w:szCs w:val="22"/>
          <w:lang w:val="en-US"/>
        </w:rPr>
        <w:t>-</w:t>
      </w:r>
      <w:r w:rsidR="007208BD">
        <w:rPr>
          <w:rFonts w:asciiTheme="minorHAnsi" w:eastAsia="MS PGothic" w:hAnsiTheme="minorHAnsi"/>
          <w:color w:val="000000"/>
          <w:sz w:val="22"/>
          <w:szCs w:val="22"/>
          <w:lang w:val="en-US"/>
        </w:rPr>
        <w:t xml:space="preserve">5 </w:t>
      </w:r>
      <w:r w:rsidR="0032315A">
        <w:rPr>
          <w:rFonts w:asciiTheme="minorHAnsi" w:eastAsia="MS PGothic" w:hAnsiTheme="minorHAnsi"/>
          <w:color w:val="000000"/>
          <w:sz w:val="22"/>
          <w:szCs w:val="22"/>
          <w:lang w:val="en-US"/>
        </w:rPr>
        <w:t xml:space="preserve">catalyst is </w:t>
      </w:r>
      <w:r w:rsidR="007208BD">
        <w:rPr>
          <w:rFonts w:asciiTheme="minorHAnsi" w:eastAsia="MS PGothic" w:hAnsiTheme="minorHAnsi"/>
          <w:color w:val="000000"/>
          <w:sz w:val="22"/>
          <w:szCs w:val="22"/>
          <w:lang w:val="en-US"/>
        </w:rPr>
        <w:t xml:space="preserve">also the most selective towards phenol and </w:t>
      </w:r>
      <w:proofErr w:type="spellStart"/>
      <w:r w:rsidR="007208BD">
        <w:rPr>
          <w:rFonts w:asciiTheme="minorHAnsi" w:eastAsia="MS PGothic" w:hAnsiTheme="minorHAnsi"/>
          <w:color w:val="000000"/>
          <w:sz w:val="22"/>
          <w:szCs w:val="22"/>
          <w:lang w:val="en-US"/>
        </w:rPr>
        <w:t>phenolic</w:t>
      </w:r>
      <w:proofErr w:type="spellEnd"/>
      <w:r w:rsidR="007208BD">
        <w:rPr>
          <w:rFonts w:asciiTheme="minorHAnsi" w:eastAsia="MS PGothic" w:hAnsiTheme="minorHAnsi"/>
          <w:color w:val="000000"/>
          <w:sz w:val="22"/>
          <w:szCs w:val="22"/>
          <w:lang w:val="en-US"/>
        </w:rPr>
        <w:t xml:space="preserve"> compounds</w:t>
      </w:r>
      <w:r w:rsidR="000C00A4">
        <w:rPr>
          <w:rFonts w:asciiTheme="minorHAnsi" w:eastAsia="MS PGothic" w:hAnsiTheme="minorHAnsi"/>
          <w:color w:val="000000"/>
          <w:sz w:val="22"/>
          <w:szCs w:val="22"/>
          <w:lang w:val="en-US"/>
        </w:rPr>
        <w:t xml:space="preserve"> (</w:t>
      </w:r>
      <w:r w:rsidR="000C00A4" w:rsidRPr="00855045">
        <w:rPr>
          <w:rFonts w:asciiTheme="minorHAnsi" w:eastAsia="MS PGothic" w:hAnsiTheme="minorHAnsi"/>
          <w:color w:val="000000"/>
          <w:sz w:val="22"/>
          <w:szCs w:val="22"/>
          <w:lang w:val="en-US"/>
        </w:rPr>
        <w:t>Figure 1b</w:t>
      </w:r>
      <w:r w:rsidR="000C00A4" w:rsidRPr="00B813A7">
        <w:rPr>
          <w:rFonts w:asciiTheme="minorHAnsi" w:eastAsia="MS PGothic" w:hAnsiTheme="minorHAnsi"/>
          <w:color w:val="000000"/>
          <w:sz w:val="22"/>
          <w:szCs w:val="22"/>
          <w:lang w:val="en-US"/>
        </w:rPr>
        <w:t xml:space="preserve">, </w:t>
      </w:r>
      <w:r w:rsidR="00B813A7" w:rsidRPr="00B813A7">
        <w:rPr>
          <w:rFonts w:asciiTheme="minorHAnsi" w:eastAsia="MS PGothic" w:hAnsiTheme="minorHAnsi"/>
          <w:color w:val="000000"/>
          <w:sz w:val="22"/>
          <w:szCs w:val="22"/>
          <w:lang w:val="en-US"/>
        </w:rPr>
        <w:t>12.6</w:t>
      </w:r>
      <w:r w:rsidR="000C00A4" w:rsidRPr="00B813A7">
        <w:rPr>
          <w:rFonts w:asciiTheme="minorHAnsi" w:eastAsia="MS PGothic" w:hAnsiTheme="minorHAnsi"/>
          <w:color w:val="000000"/>
          <w:sz w:val="22"/>
          <w:szCs w:val="22"/>
          <w:lang w:val="en-US"/>
        </w:rPr>
        <w:t> wt% total</w:t>
      </w:r>
      <w:r w:rsidR="000C00A4">
        <w:rPr>
          <w:rFonts w:asciiTheme="minorHAnsi" w:eastAsia="MS PGothic" w:hAnsiTheme="minorHAnsi"/>
          <w:color w:val="000000"/>
          <w:sz w:val="22"/>
          <w:szCs w:val="22"/>
          <w:lang w:val="en-US"/>
        </w:rPr>
        <w:t xml:space="preserve"> </w:t>
      </w:r>
      <w:proofErr w:type="spellStart"/>
      <w:r w:rsidR="000C00A4">
        <w:rPr>
          <w:rFonts w:asciiTheme="minorHAnsi" w:eastAsia="MS PGothic" w:hAnsiTheme="minorHAnsi"/>
          <w:color w:val="000000"/>
          <w:sz w:val="22"/>
          <w:szCs w:val="22"/>
          <w:lang w:val="en-US"/>
        </w:rPr>
        <w:t>phenolics</w:t>
      </w:r>
      <w:proofErr w:type="spellEnd"/>
      <w:r w:rsidR="000C00A4">
        <w:rPr>
          <w:rFonts w:asciiTheme="minorHAnsi" w:eastAsia="MS PGothic" w:hAnsiTheme="minorHAnsi"/>
          <w:color w:val="000000"/>
          <w:sz w:val="22"/>
          <w:szCs w:val="22"/>
          <w:lang w:val="en-US"/>
        </w:rPr>
        <w:t>)</w:t>
      </w:r>
      <w:r w:rsidR="007208BD">
        <w:rPr>
          <w:rFonts w:asciiTheme="minorHAnsi" w:eastAsia="MS PGothic" w:hAnsiTheme="minorHAnsi"/>
          <w:color w:val="000000"/>
          <w:sz w:val="22"/>
          <w:szCs w:val="22"/>
          <w:lang w:val="en-US"/>
        </w:rPr>
        <w:t>, as well as aromatics (</w:t>
      </w:r>
      <w:r w:rsidR="00B813A7">
        <w:rPr>
          <w:rFonts w:asciiTheme="minorHAnsi" w:eastAsia="MS PGothic" w:hAnsiTheme="minorHAnsi"/>
          <w:color w:val="000000"/>
          <w:sz w:val="22"/>
          <w:szCs w:val="22"/>
          <w:lang w:val="en-US"/>
        </w:rPr>
        <w:t>13.5</w:t>
      </w:r>
      <w:r w:rsidR="000C00A4">
        <w:rPr>
          <w:rFonts w:asciiTheme="minorHAnsi" w:eastAsia="MS PGothic" w:hAnsiTheme="minorHAnsi"/>
          <w:color w:val="000000"/>
          <w:sz w:val="22"/>
          <w:szCs w:val="22"/>
          <w:lang w:val="en-US"/>
        </w:rPr>
        <w:t xml:space="preserve"> </w:t>
      </w:r>
      <w:r w:rsidR="007208BD">
        <w:rPr>
          <w:rFonts w:asciiTheme="minorHAnsi" w:eastAsia="MS PGothic" w:hAnsiTheme="minorHAnsi"/>
          <w:color w:val="000000"/>
          <w:sz w:val="22"/>
          <w:szCs w:val="22"/>
          <w:lang w:val="en-US"/>
        </w:rPr>
        <w:t>wt% total aromatics).</w:t>
      </w:r>
    </w:p>
    <w:p w:rsidR="00EC1D37" w:rsidRDefault="00EC1D37" w:rsidP="00EC1D37">
      <w:pPr>
        <w:snapToGrid w:val="0"/>
        <w:spacing w:line="240" w:lineRule="auto"/>
        <w:jc w:val="center"/>
      </w:pPr>
      <w:r>
        <w:object w:dxaOrig="27000" w:dyaOrig="15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4pt;height:162.35pt" o:ole="">
            <v:imagedata r:id="rId11" o:title="" cropbottom="1297f"/>
          </v:shape>
          <o:OLEObject Type="Embed" ProgID="Origin50.Graph" ShapeID="_x0000_i1025" DrawAspect="Content" ObjectID="_1612772567" r:id="rId12"/>
        </w:object>
      </w:r>
    </w:p>
    <w:p w:rsidR="0016087E" w:rsidRPr="00ED5355" w:rsidRDefault="0016087E" w:rsidP="00EC1D37">
      <w:pPr>
        <w:snapToGrid w:val="0"/>
        <w:spacing w:after="120"/>
        <w:rPr>
          <w:rFonts w:asciiTheme="minorHAnsi" w:eastAsia="MS PGothic" w:hAnsiTheme="minorHAnsi"/>
          <w:color w:val="000000"/>
          <w:szCs w:val="18"/>
        </w:rPr>
      </w:pPr>
      <w:proofErr w:type="gramStart"/>
      <w:r>
        <w:rPr>
          <w:rFonts w:asciiTheme="minorHAnsi" w:eastAsia="MS PGothic" w:hAnsiTheme="minorHAnsi"/>
          <w:b/>
          <w:color w:val="000000"/>
          <w:szCs w:val="18"/>
        </w:rPr>
        <w:t>Figure</w:t>
      </w:r>
      <w:r w:rsidRPr="00E81E85">
        <w:rPr>
          <w:rFonts w:asciiTheme="minorHAnsi" w:eastAsia="MS PGothic" w:hAnsiTheme="minorHAnsi"/>
          <w:b/>
          <w:color w:val="000000"/>
          <w:szCs w:val="18"/>
        </w:rPr>
        <w:t xml:space="preserve"> 1</w:t>
      </w:r>
      <w:r>
        <w:rPr>
          <w:rFonts w:asciiTheme="minorHAnsi" w:eastAsia="MS PGothic" w:hAnsiTheme="minorHAnsi"/>
          <w:b/>
          <w:color w:val="000000"/>
          <w:szCs w:val="18"/>
        </w:rPr>
        <w:t>.</w:t>
      </w:r>
      <w:proofErr w:type="gramEnd"/>
      <w:r>
        <w:rPr>
          <w:rFonts w:asciiTheme="minorHAnsi" w:eastAsia="MS PGothic" w:hAnsiTheme="minorHAnsi"/>
          <w:b/>
          <w:color w:val="000000"/>
          <w:szCs w:val="18"/>
        </w:rPr>
        <w:t xml:space="preserve"> </w:t>
      </w:r>
      <w:r>
        <w:rPr>
          <w:rFonts w:asciiTheme="minorHAnsi" w:eastAsia="MS PGothic" w:hAnsiTheme="minorHAnsi"/>
          <w:color w:val="000000"/>
          <w:szCs w:val="18"/>
        </w:rPr>
        <w:t>a) Total product yields (</w:t>
      </w:r>
      <w:r w:rsidRPr="0016087E">
        <w:rPr>
          <w:rFonts w:asciiTheme="minorHAnsi" w:eastAsia="MS PGothic" w:hAnsiTheme="minorHAnsi"/>
          <w:color w:val="000000"/>
          <w:szCs w:val="18"/>
        </w:rPr>
        <w:t xml:space="preserve">in a wet basis) and b) </w:t>
      </w:r>
      <w:r>
        <w:rPr>
          <w:rFonts w:asciiTheme="minorHAnsi" w:eastAsia="MS PGothic" w:hAnsiTheme="minorHAnsi"/>
          <w:color w:val="000000"/>
          <w:szCs w:val="18"/>
        </w:rPr>
        <w:t>carbon product lump</w:t>
      </w:r>
      <w:r w:rsidRPr="0016087E">
        <w:rPr>
          <w:rFonts w:asciiTheme="minorHAnsi" w:eastAsia="MS PGothic" w:hAnsiTheme="minorHAnsi"/>
          <w:color w:val="000000"/>
          <w:szCs w:val="18"/>
        </w:rPr>
        <w:t xml:space="preserve"> yields (in a dry basis) </w:t>
      </w:r>
      <w:r>
        <w:rPr>
          <w:rFonts w:asciiTheme="minorHAnsi" w:eastAsia="MS PGothic" w:hAnsiTheme="minorHAnsi"/>
          <w:color w:val="000000"/>
          <w:szCs w:val="18"/>
        </w:rPr>
        <w:t xml:space="preserve">obtained with the different zeolite-supported catalysts and bulk </w:t>
      </w:r>
      <w:proofErr w:type="spellStart"/>
      <w:r>
        <w:rPr>
          <w:rFonts w:asciiTheme="minorHAnsi" w:eastAsia="MS PGothic" w:hAnsiTheme="minorHAnsi"/>
          <w:color w:val="000000"/>
          <w:szCs w:val="18"/>
        </w:rPr>
        <w:t>FeMoP</w:t>
      </w:r>
      <w:proofErr w:type="spellEnd"/>
      <w:r w:rsidRPr="0016087E">
        <w:rPr>
          <w:rFonts w:asciiTheme="minorHAnsi" w:eastAsia="MS PGothic" w:hAnsiTheme="minorHAnsi"/>
          <w:color w:val="000000"/>
          <w:szCs w:val="18"/>
        </w:rPr>
        <w:t xml:space="preserve"> at TOS = 8 h.</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A871A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total acidity of the catalyst and </w:t>
      </w:r>
      <w:r w:rsidR="001656C5">
        <w:rPr>
          <w:rFonts w:asciiTheme="minorHAnsi" w:eastAsia="MS PGothic" w:hAnsiTheme="minorHAnsi"/>
          <w:color w:val="000000"/>
          <w:sz w:val="22"/>
          <w:szCs w:val="22"/>
          <w:lang w:val="en-US"/>
        </w:rPr>
        <w:t>an equilibrium between</w:t>
      </w:r>
      <w:r>
        <w:rPr>
          <w:rFonts w:asciiTheme="minorHAnsi" w:eastAsia="MS PGothic" w:hAnsiTheme="minorHAnsi"/>
          <w:color w:val="000000"/>
          <w:sz w:val="22"/>
          <w:szCs w:val="22"/>
          <w:lang w:val="en-US"/>
        </w:rPr>
        <w:t xml:space="preserve"> weak-medium and medium-strong acidic sites are the dominant catalyst property on the HDO of a raw bio-oil towards hydrocarbons, with shape selectivity playing a secondary role. The </w:t>
      </w:r>
      <w:proofErr w:type="spellStart"/>
      <w:r>
        <w:rPr>
          <w:rFonts w:asciiTheme="minorHAnsi" w:eastAsia="MS PGothic" w:hAnsiTheme="minorHAnsi"/>
          <w:color w:val="000000"/>
          <w:sz w:val="22"/>
          <w:szCs w:val="22"/>
          <w:lang w:val="en-US"/>
        </w:rPr>
        <w:t>FeMoP</w:t>
      </w:r>
      <w:proofErr w:type="spellEnd"/>
      <w:r>
        <w:rPr>
          <w:rFonts w:asciiTheme="minorHAnsi" w:eastAsia="MS PGothic" w:hAnsiTheme="minorHAnsi"/>
          <w:color w:val="000000"/>
          <w:sz w:val="22"/>
          <w:szCs w:val="22"/>
          <w:lang w:val="en-US"/>
        </w:rPr>
        <w:t>/</w:t>
      </w:r>
      <w:r w:rsidR="00EC1D37">
        <w:rPr>
          <w:rFonts w:asciiTheme="minorHAnsi" w:eastAsia="MS PGothic" w:hAnsiTheme="minorHAnsi"/>
          <w:color w:val="000000"/>
          <w:sz w:val="22"/>
          <w:szCs w:val="22"/>
          <w:lang w:val="en-US"/>
        </w:rPr>
        <w:t>H</w:t>
      </w:r>
      <w:r>
        <w:rPr>
          <w:rFonts w:asciiTheme="minorHAnsi" w:eastAsia="MS PGothic" w:hAnsiTheme="minorHAnsi"/>
          <w:color w:val="000000"/>
          <w:sz w:val="22"/>
          <w:szCs w:val="22"/>
          <w:lang w:val="en-US"/>
        </w:rPr>
        <w:t>ZSM</w:t>
      </w:r>
      <w:r w:rsidR="00EC1D3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5 </w:t>
      </w:r>
      <w:r w:rsidR="0032315A">
        <w:rPr>
          <w:rFonts w:asciiTheme="minorHAnsi" w:eastAsia="MS PGothic" w:hAnsiTheme="minorHAnsi"/>
          <w:color w:val="000000"/>
          <w:sz w:val="22"/>
          <w:szCs w:val="22"/>
          <w:lang w:val="en-US"/>
        </w:rPr>
        <w:t xml:space="preserve">catalyst </w:t>
      </w:r>
      <w:r>
        <w:rPr>
          <w:rFonts w:asciiTheme="minorHAnsi" w:eastAsia="MS PGothic" w:hAnsiTheme="minorHAnsi"/>
          <w:color w:val="000000"/>
          <w:sz w:val="22"/>
          <w:szCs w:val="22"/>
          <w:lang w:val="en-US"/>
        </w:rPr>
        <w:t>was the most suitable, providing the highest yield of total carbon products</w:t>
      </w:r>
      <w:r w:rsidR="000124B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and also the most selective towards the formation of aromatic</w:t>
      </w:r>
      <w:r w:rsidR="00641054">
        <w:rPr>
          <w:rFonts w:asciiTheme="minorHAnsi" w:eastAsia="MS PGothic" w:hAnsiTheme="minorHAnsi"/>
          <w:color w:val="000000"/>
          <w:sz w:val="22"/>
          <w:szCs w:val="22"/>
          <w:lang w:val="en-US"/>
        </w:rPr>
        <w:t>s, phenol</w:t>
      </w:r>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phenolic</w:t>
      </w:r>
      <w:proofErr w:type="spellEnd"/>
      <w:r>
        <w:rPr>
          <w:rFonts w:asciiTheme="minorHAnsi" w:eastAsia="MS PGothic" w:hAnsiTheme="minorHAnsi"/>
          <w:color w:val="000000"/>
          <w:sz w:val="22"/>
          <w:szCs w:val="22"/>
          <w:lang w:val="en-US"/>
        </w:rPr>
        <w:t xml:space="preserve"> components.</w:t>
      </w:r>
    </w:p>
    <w:p w:rsidR="00704BDF" w:rsidRDefault="00704BDF" w:rsidP="00B60775">
      <w:pPr>
        <w:snapToGrid w:val="0"/>
        <w:spacing w:before="240" w:line="300" w:lineRule="auto"/>
        <w:rPr>
          <w:rFonts w:asciiTheme="minorHAnsi" w:eastAsia="SimSun" w:hAnsiTheme="minorHAnsi"/>
          <w:sz w:val="22"/>
          <w:szCs w:val="22"/>
          <w:lang w:eastAsia="zh-CN"/>
        </w:rPr>
      </w:pPr>
      <w:r w:rsidRPr="008D0BEB">
        <w:rPr>
          <w:rFonts w:asciiTheme="minorHAnsi" w:eastAsia="MS PGothic" w:hAnsiTheme="minorHAnsi"/>
          <w:b/>
          <w:bCs/>
          <w:color w:val="000000"/>
          <w:sz w:val="20"/>
          <w:lang w:val="en-US"/>
        </w:rPr>
        <w:t xml:space="preserve">References </w:t>
      </w:r>
    </w:p>
    <w:p w:rsidR="00AC659E" w:rsidRPr="003F439D" w:rsidRDefault="00E97400" w:rsidP="00AC659E">
      <w:pPr>
        <w:widowControl w:val="0"/>
        <w:autoSpaceDE w:val="0"/>
        <w:autoSpaceDN w:val="0"/>
        <w:adjustRightInd w:val="0"/>
        <w:spacing w:line="240" w:lineRule="auto"/>
        <w:ind w:left="640" w:hanging="640"/>
        <w:rPr>
          <w:rFonts w:ascii="Calibri" w:hAnsi="Calibri"/>
          <w:noProof/>
          <w:sz w:val="20"/>
          <w:szCs w:val="24"/>
          <w:lang w:val="es-ES"/>
        </w:rPr>
      </w:pPr>
      <w:r w:rsidRPr="00EE32A3">
        <w:rPr>
          <w:rFonts w:asciiTheme="minorHAnsi" w:eastAsia="SimSun" w:hAnsiTheme="minorHAnsi"/>
          <w:sz w:val="20"/>
          <w:szCs w:val="22"/>
          <w:lang w:eastAsia="zh-CN"/>
        </w:rPr>
        <w:fldChar w:fldCharType="begin" w:fldLock="1"/>
      </w:r>
      <w:r w:rsidR="00034C8A" w:rsidRPr="00EE32A3">
        <w:rPr>
          <w:rFonts w:asciiTheme="minorHAnsi" w:eastAsia="SimSun" w:hAnsiTheme="minorHAnsi"/>
          <w:sz w:val="20"/>
          <w:szCs w:val="22"/>
          <w:lang w:eastAsia="zh-CN"/>
        </w:rPr>
        <w:instrText xml:space="preserve">ADDIN Mendeley Bibliography CSL_BIBLIOGRAPHY </w:instrText>
      </w:r>
      <w:r w:rsidRPr="00EE32A3">
        <w:rPr>
          <w:rFonts w:asciiTheme="minorHAnsi" w:eastAsia="SimSun" w:hAnsiTheme="minorHAnsi"/>
          <w:sz w:val="20"/>
          <w:szCs w:val="22"/>
          <w:lang w:eastAsia="zh-CN"/>
        </w:rPr>
        <w:fldChar w:fldCharType="separate"/>
      </w:r>
      <w:r w:rsidR="00AC659E" w:rsidRPr="00AC659E">
        <w:rPr>
          <w:rFonts w:ascii="Calibri" w:hAnsi="Calibri"/>
          <w:noProof/>
          <w:sz w:val="20"/>
          <w:szCs w:val="24"/>
        </w:rPr>
        <w:t>[1]</w:t>
      </w:r>
      <w:r w:rsidR="00AC659E" w:rsidRPr="00AC659E">
        <w:rPr>
          <w:rFonts w:ascii="Calibri" w:hAnsi="Calibri"/>
          <w:noProof/>
          <w:sz w:val="20"/>
          <w:szCs w:val="24"/>
        </w:rPr>
        <w:tab/>
        <w:t xml:space="preserve">A.R.K. Gollakota, M. Reddy, M.D. Subramanyam, N. Kishore, Renew. </w:t>
      </w:r>
      <w:r w:rsidR="00AC659E" w:rsidRPr="003F439D">
        <w:rPr>
          <w:rFonts w:ascii="Calibri" w:hAnsi="Calibri"/>
          <w:noProof/>
          <w:sz w:val="20"/>
          <w:szCs w:val="24"/>
          <w:lang w:val="es-ES"/>
        </w:rPr>
        <w:t xml:space="preserve">Sustain. Energy Rev. 58 (2016) 1543–1568. </w:t>
      </w:r>
    </w:p>
    <w:p w:rsidR="00AC659E" w:rsidRPr="003F439D" w:rsidRDefault="00AC659E" w:rsidP="00AC659E">
      <w:pPr>
        <w:widowControl w:val="0"/>
        <w:autoSpaceDE w:val="0"/>
        <w:autoSpaceDN w:val="0"/>
        <w:adjustRightInd w:val="0"/>
        <w:spacing w:line="240" w:lineRule="auto"/>
        <w:ind w:left="640" w:hanging="640"/>
        <w:rPr>
          <w:rFonts w:ascii="Calibri" w:hAnsi="Calibri"/>
          <w:noProof/>
          <w:sz w:val="20"/>
          <w:szCs w:val="24"/>
          <w:lang w:val="fr-FR"/>
        </w:rPr>
      </w:pPr>
      <w:r w:rsidRPr="003F439D">
        <w:rPr>
          <w:rFonts w:ascii="Calibri" w:hAnsi="Calibri"/>
          <w:noProof/>
          <w:sz w:val="20"/>
          <w:szCs w:val="24"/>
          <w:lang w:val="es-ES"/>
        </w:rPr>
        <w:t>[2]</w:t>
      </w:r>
      <w:r w:rsidRPr="003F439D">
        <w:rPr>
          <w:rFonts w:ascii="Calibri" w:hAnsi="Calibri"/>
          <w:noProof/>
          <w:sz w:val="20"/>
          <w:szCs w:val="24"/>
          <w:lang w:val="es-ES"/>
        </w:rPr>
        <w:tab/>
        <w:t xml:space="preserve">T. Cordero-Lanzac, R. Palos, J.M. Arandes, P. Castaño, J. Rodríguez-Mirasol, T. Cordero, J. Bilbao, Appl. </w:t>
      </w:r>
      <w:r w:rsidRPr="003F439D">
        <w:rPr>
          <w:rFonts w:ascii="Calibri" w:hAnsi="Calibri"/>
          <w:noProof/>
          <w:sz w:val="20"/>
          <w:szCs w:val="24"/>
          <w:lang w:val="fr-FR"/>
        </w:rPr>
        <w:t xml:space="preserve">Catal. B Environ. 203 (2017) 389–399. </w:t>
      </w:r>
    </w:p>
    <w:p w:rsidR="00704BDF" w:rsidRPr="00704BDF" w:rsidRDefault="00AC659E" w:rsidP="00AC659E">
      <w:pPr>
        <w:widowControl w:val="0"/>
        <w:autoSpaceDE w:val="0"/>
        <w:autoSpaceDN w:val="0"/>
        <w:adjustRightInd w:val="0"/>
        <w:spacing w:line="240" w:lineRule="auto"/>
        <w:ind w:left="640" w:hanging="640"/>
        <w:rPr>
          <w:rFonts w:asciiTheme="minorHAnsi" w:eastAsia="SimSun" w:hAnsiTheme="minorHAnsi"/>
          <w:sz w:val="22"/>
          <w:szCs w:val="22"/>
          <w:lang w:eastAsia="zh-CN"/>
        </w:rPr>
      </w:pPr>
      <w:r w:rsidRPr="003F439D">
        <w:rPr>
          <w:rFonts w:ascii="Calibri" w:hAnsi="Calibri"/>
          <w:noProof/>
          <w:sz w:val="20"/>
          <w:szCs w:val="24"/>
          <w:lang w:val="fr-FR"/>
        </w:rPr>
        <w:t>[3]</w:t>
      </w:r>
      <w:r w:rsidRPr="003F439D">
        <w:rPr>
          <w:rFonts w:ascii="Calibri" w:hAnsi="Calibri"/>
          <w:noProof/>
          <w:sz w:val="20"/>
          <w:szCs w:val="24"/>
          <w:lang w:val="fr-FR"/>
        </w:rPr>
        <w:tab/>
        <w:t xml:space="preserve">Z. Si, X. Zhang, C. Wang, L. Ma, R. Dong, Catalysts. </w:t>
      </w:r>
      <w:r w:rsidRPr="00AC659E">
        <w:rPr>
          <w:rFonts w:ascii="Calibri" w:hAnsi="Calibri"/>
          <w:noProof/>
          <w:sz w:val="20"/>
          <w:szCs w:val="24"/>
        </w:rPr>
        <w:t xml:space="preserve">7 (2017) 169. </w:t>
      </w:r>
      <w:r w:rsidR="00E97400" w:rsidRPr="00EE32A3">
        <w:rPr>
          <w:rFonts w:asciiTheme="minorHAnsi" w:eastAsia="SimSun" w:hAnsiTheme="minorHAnsi"/>
          <w:sz w:val="20"/>
          <w:szCs w:val="22"/>
          <w:lang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A00" w:rsidRDefault="00451A00" w:rsidP="004F5E36">
      <w:r>
        <w:separator/>
      </w:r>
    </w:p>
  </w:endnote>
  <w:endnote w:type="continuationSeparator" w:id="0">
    <w:p w:rsidR="00451A00" w:rsidRDefault="00451A00"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A00" w:rsidRDefault="00451A00" w:rsidP="004F5E36">
      <w:r>
        <w:separator/>
      </w:r>
    </w:p>
  </w:footnote>
  <w:footnote w:type="continuationSeparator" w:id="0">
    <w:p w:rsidR="00451A00" w:rsidRDefault="00451A00" w:rsidP="004F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29" w:rsidRDefault="00E97400">
    <w:pPr>
      <w:pStyle w:val="Encabezado"/>
    </w:pPr>
    <w:r w:rsidRPr="00E97400">
      <w:rPr>
        <w:noProof/>
        <w:lang w:val="en-US"/>
      </w:rPr>
      <w:pict>
        <v:line id="Connettore 1 86" o:spid="_x0000_s4098"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opacity="24903f" origin=",.5" offset="0,.55556mm"/>
        </v:line>
      </w:pict>
    </w:r>
    <w:r w:rsidR="008A5229">
      <w:rPr>
        <w:noProof/>
        <w:lang w:val="es-ES" w:eastAsia="es-ES"/>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29" w:rsidRPr="00DE0019" w:rsidRDefault="008A5229"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914153"/>
                  </a:xfrm>
                  <a:prstGeom prst="rect">
                    <a:avLst/>
                  </a:prstGeom>
                </pic:spPr>
              </pic:pic>
            </a:graphicData>
          </a:graphic>
        </wp:anchor>
      </w:drawing>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8A5229" w:rsidRDefault="008A5229">
    <w:pPr>
      <w:pStyle w:val="Encabezado"/>
    </w:pPr>
  </w:p>
  <w:p w:rsidR="008A5229" w:rsidRDefault="00E97400">
    <w:pPr>
      <w:pStyle w:val="Encabezado"/>
    </w:pPr>
    <w:r w:rsidRPr="00E97400">
      <w:rPr>
        <w:noProof/>
        <w:lang w:val="en-US"/>
      </w:rPr>
      <w:pict>
        <v:line id="Connettore 1 12" o:spid="_x0000_s4097"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opacity="24903f" origin=",.5" offset="0,.55556mm"/>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1001"/>
  <w:defaultTabStop w:val="708"/>
  <w:hyphenationZone w:val="283"/>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0E414A"/>
    <w:rsid w:val="000027C0"/>
    <w:rsid w:val="000117CB"/>
    <w:rsid w:val="000124BB"/>
    <w:rsid w:val="00014314"/>
    <w:rsid w:val="000156CD"/>
    <w:rsid w:val="00021D3F"/>
    <w:rsid w:val="0002453E"/>
    <w:rsid w:val="0003148D"/>
    <w:rsid w:val="00034C8A"/>
    <w:rsid w:val="00062A9A"/>
    <w:rsid w:val="00067049"/>
    <w:rsid w:val="00074D13"/>
    <w:rsid w:val="000A03B2"/>
    <w:rsid w:val="000C00A4"/>
    <w:rsid w:val="000D34BE"/>
    <w:rsid w:val="000E36F1"/>
    <w:rsid w:val="000E3A73"/>
    <w:rsid w:val="000E414A"/>
    <w:rsid w:val="001034AA"/>
    <w:rsid w:val="00111FA9"/>
    <w:rsid w:val="00130275"/>
    <w:rsid w:val="0013121F"/>
    <w:rsid w:val="00134DE4"/>
    <w:rsid w:val="00150E59"/>
    <w:rsid w:val="0016087E"/>
    <w:rsid w:val="001650AA"/>
    <w:rsid w:val="001656C5"/>
    <w:rsid w:val="00184AD6"/>
    <w:rsid w:val="001B65C1"/>
    <w:rsid w:val="001C684B"/>
    <w:rsid w:val="001D53FC"/>
    <w:rsid w:val="001E404B"/>
    <w:rsid w:val="001F2EC7"/>
    <w:rsid w:val="002065DB"/>
    <w:rsid w:val="00217961"/>
    <w:rsid w:val="002447EF"/>
    <w:rsid w:val="00251550"/>
    <w:rsid w:val="0027221A"/>
    <w:rsid w:val="00275B61"/>
    <w:rsid w:val="002D1F12"/>
    <w:rsid w:val="003009B7"/>
    <w:rsid w:val="0030469C"/>
    <w:rsid w:val="0032315A"/>
    <w:rsid w:val="003723D4"/>
    <w:rsid w:val="003859CD"/>
    <w:rsid w:val="003A7D1C"/>
    <w:rsid w:val="003B2BD2"/>
    <w:rsid w:val="003F439D"/>
    <w:rsid w:val="00451A00"/>
    <w:rsid w:val="0046164A"/>
    <w:rsid w:val="00462DCD"/>
    <w:rsid w:val="0047242C"/>
    <w:rsid w:val="004823FD"/>
    <w:rsid w:val="004D1162"/>
    <w:rsid w:val="004E3F96"/>
    <w:rsid w:val="004E4DD6"/>
    <w:rsid w:val="004F5E36"/>
    <w:rsid w:val="005054C7"/>
    <w:rsid w:val="005119A5"/>
    <w:rsid w:val="005278B7"/>
    <w:rsid w:val="005346C8"/>
    <w:rsid w:val="00594E9F"/>
    <w:rsid w:val="005B61E6"/>
    <w:rsid w:val="005B7666"/>
    <w:rsid w:val="005C77E1"/>
    <w:rsid w:val="005D6A2F"/>
    <w:rsid w:val="005E1A82"/>
    <w:rsid w:val="005F0A28"/>
    <w:rsid w:val="005F0E5E"/>
    <w:rsid w:val="00620DEE"/>
    <w:rsid w:val="00625639"/>
    <w:rsid w:val="00641054"/>
    <w:rsid w:val="0064184D"/>
    <w:rsid w:val="00660E3E"/>
    <w:rsid w:val="00662E74"/>
    <w:rsid w:val="006A58D2"/>
    <w:rsid w:val="006C24CF"/>
    <w:rsid w:val="006C5579"/>
    <w:rsid w:val="00704BDF"/>
    <w:rsid w:val="007208BD"/>
    <w:rsid w:val="00736B13"/>
    <w:rsid w:val="007447F3"/>
    <w:rsid w:val="007661C8"/>
    <w:rsid w:val="007A251F"/>
    <w:rsid w:val="007D52CD"/>
    <w:rsid w:val="007F24EB"/>
    <w:rsid w:val="00812955"/>
    <w:rsid w:val="00813288"/>
    <w:rsid w:val="008168FC"/>
    <w:rsid w:val="00816B68"/>
    <w:rsid w:val="00822240"/>
    <w:rsid w:val="008479A2"/>
    <w:rsid w:val="00855045"/>
    <w:rsid w:val="0087637F"/>
    <w:rsid w:val="008A1512"/>
    <w:rsid w:val="008A5229"/>
    <w:rsid w:val="008D0BEB"/>
    <w:rsid w:val="008E566E"/>
    <w:rsid w:val="008F7029"/>
    <w:rsid w:val="00901EB6"/>
    <w:rsid w:val="009450CE"/>
    <w:rsid w:val="00947BC9"/>
    <w:rsid w:val="0095164B"/>
    <w:rsid w:val="00996483"/>
    <w:rsid w:val="009B21B5"/>
    <w:rsid w:val="009E788A"/>
    <w:rsid w:val="00A1763D"/>
    <w:rsid w:val="00A17CEC"/>
    <w:rsid w:val="00A27EF0"/>
    <w:rsid w:val="00A7629A"/>
    <w:rsid w:val="00A76EFC"/>
    <w:rsid w:val="00A871AA"/>
    <w:rsid w:val="00A905F9"/>
    <w:rsid w:val="00A9626B"/>
    <w:rsid w:val="00A97F29"/>
    <w:rsid w:val="00AB0964"/>
    <w:rsid w:val="00AC659E"/>
    <w:rsid w:val="00AD4855"/>
    <w:rsid w:val="00AE377D"/>
    <w:rsid w:val="00AE75AB"/>
    <w:rsid w:val="00B45A21"/>
    <w:rsid w:val="00B60775"/>
    <w:rsid w:val="00B61DBF"/>
    <w:rsid w:val="00B813A7"/>
    <w:rsid w:val="00BC30C9"/>
    <w:rsid w:val="00BE3E58"/>
    <w:rsid w:val="00BF3767"/>
    <w:rsid w:val="00C01616"/>
    <w:rsid w:val="00C0162B"/>
    <w:rsid w:val="00C25BD2"/>
    <w:rsid w:val="00C345B1"/>
    <w:rsid w:val="00C40142"/>
    <w:rsid w:val="00C57182"/>
    <w:rsid w:val="00C655FD"/>
    <w:rsid w:val="00C867B1"/>
    <w:rsid w:val="00C94434"/>
    <w:rsid w:val="00CA1C95"/>
    <w:rsid w:val="00CA5A9C"/>
    <w:rsid w:val="00CD5FE2"/>
    <w:rsid w:val="00D02B4C"/>
    <w:rsid w:val="00D20C29"/>
    <w:rsid w:val="00D51FAF"/>
    <w:rsid w:val="00D84576"/>
    <w:rsid w:val="00DB0598"/>
    <w:rsid w:val="00DB78FC"/>
    <w:rsid w:val="00DE0019"/>
    <w:rsid w:val="00DE264A"/>
    <w:rsid w:val="00E041E7"/>
    <w:rsid w:val="00E23CA1"/>
    <w:rsid w:val="00E309B5"/>
    <w:rsid w:val="00E409A8"/>
    <w:rsid w:val="00E7209D"/>
    <w:rsid w:val="00E81E85"/>
    <w:rsid w:val="00E97400"/>
    <w:rsid w:val="00EA50E1"/>
    <w:rsid w:val="00EC1D37"/>
    <w:rsid w:val="00ED5355"/>
    <w:rsid w:val="00EE0131"/>
    <w:rsid w:val="00EE32A3"/>
    <w:rsid w:val="00EF6133"/>
    <w:rsid w:val="00F251F1"/>
    <w:rsid w:val="00F30C64"/>
    <w:rsid w:val="00F5719F"/>
    <w:rsid w:val="00FB730C"/>
    <w:rsid w:val="00FC2695"/>
    <w:rsid w:val="00FC3E03"/>
    <w:rsid w:val="00FE6A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uiPriority w:val="99"/>
    <w:unhideWhenUsed/>
    <w:locked/>
    <w:rsid w:val="00AD4855"/>
    <w:rPr>
      <w:color w:val="0000FF" w:themeColor="hyperlink"/>
      <w:u w:val="single"/>
    </w:rPr>
  </w:style>
  <w:style w:type="character" w:styleId="Refdecomentario">
    <w:name w:val="annotation reference"/>
    <w:basedOn w:val="Fuentedeprrafopredeter"/>
    <w:uiPriority w:val="99"/>
    <w:semiHidden/>
    <w:unhideWhenUsed/>
    <w:locked/>
    <w:rsid w:val="009B21B5"/>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AD48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doia.hita@ehu.e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39952-7D4D-417F-8E93-24DD5920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2264</Words>
  <Characters>12454</Characters>
  <Application>Microsoft Office Word</Application>
  <DocSecurity>0</DocSecurity>
  <Lines>103</Lines>
  <Paragraphs>29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Instalaciones</cp:lastModifiedBy>
  <cp:revision>3</cp:revision>
  <cp:lastPrinted>2019-02-25T13:50:00Z</cp:lastPrinted>
  <dcterms:created xsi:type="dcterms:W3CDTF">2019-02-27T10:36:00Z</dcterms:created>
  <dcterms:modified xsi:type="dcterms:W3CDTF">2019-02-27T10:36:00Z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7098cf82-1342-32bf-94e4-c576d43cddb1</vt:lpwstr>
  </property>
  <property fmtid="{D5CDD505-2E9C-101B-9397-08002B2CF9AE}" pid="4" name="Mendeley Citation Style_1">
    <vt:lpwstr>http://www.zotero.org/styles/fuel-processing-technology</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http://www.zotero.org/styles/bioresource-technology</vt:lpwstr>
  </property>
  <property fmtid="{D5CDD505-2E9C-101B-9397-08002B2CF9AE}" pid="8" name="Mendeley Recent Style Name 1_1">
    <vt:lpwstr>Bioresource Technology</vt:lpwstr>
  </property>
  <property fmtid="{D5CDD505-2E9C-101B-9397-08002B2CF9AE}" pid="9" name="Mendeley Recent Style Id 2_1">
    <vt:lpwstr>http://www.zotero.org/styles/chemical-engineering-journal</vt:lpwstr>
  </property>
  <property fmtid="{D5CDD505-2E9C-101B-9397-08002B2CF9AE}" pid="10" name="Mendeley Recent Style Name 2_1">
    <vt:lpwstr>Chemical Engineering Journal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http://www.zotero.org/styles/fuel</vt:lpwstr>
  </property>
  <property fmtid="{D5CDD505-2E9C-101B-9397-08002B2CF9AE}" pid="16" name="Mendeley Recent Style Name 5_1">
    <vt:lpwstr>Fuel</vt:lpwstr>
  </property>
  <property fmtid="{D5CDD505-2E9C-101B-9397-08002B2CF9AE}" pid="17" name="Mendeley Recent Style Id 6_1">
    <vt:lpwstr>http://www.zotero.org/styles/fuel-processing-technology</vt:lpwstr>
  </property>
  <property fmtid="{D5CDD505-2E9C-101B-9397-08002B2CF9AE}" pid="18" name="Mendeley Recent Style Name 6_1">
    <vt:lpwstr>Fuel Processing Technology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