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17429BDC" w:rsidR="00E978D0" w:rsidRPr="00B57B36" w:rsidRDefault="00E66613" w:rsidP="00E978D0">
      <w:pPr>
        <w:pStyle w:val="CETTitle"/>
      </w:pPr>
      <w:r w:rsidRPr="00E66613">
        <w:t>Biofuels for an off-board hybrid solution avoiding the overloading of the electricity grid producing power for a more sustainable mobility</w:t>
      </w:r>
    </w:p>
    <w:p w14:paraId="0488FED2" w14:textId="79BE0E45" w:rsidR="00B57E6F" w:rsidRPr="00E66613" w:rsidRDefault="00E66613" w:rsidP="00B57E6F">
      <w:pPr>
        <w:pStyle w:val="CETAuthors"/>
        <w:rPr>
          <w:lang w:val="it-IT"/>
        </w:rPr>
      </w:pPr>
      <w:r w:rsidRPr="00E66613">
        <w:rPr>
          <w:lang w:val="it-IT"/>
        </w:rPr>
        <w:t>Aristide Giuliano</w:t>
      </w:r>
      <w:r w:rsidRPr="00E66613">
        <w:rPr>
          <w:vertAlign w:val="superscript"/>
          <w:lang w:val="it-IT"/>
        </w:rPr>
        <w:t>a,</w:t>
      </w:r>
      <w:r w:rsidRPr="00E66613">
        <w:rPr>
          <w:lang w:val="it-IT"/>
        </w:rPr>
        <w:t>*, Domenico Brancaccio</w:t>
      </w:r>
      <w:r w:rsidRPr="00E66613">
        <w:rPr>
          <w:vertAlign w:val="superscript"/>
          <w:lang w:val="it-IT"/>
        </w:rPr>
        <w:t>b</w:t>
      </w:r>
      <w:r w:rsidRPr="00E66613">
        <w:rPr>
          <w:lang w:val="it-IT"/>
        </w:rPr>
        <w:t>, Antonio Ricca</w:t>
      </w:r>
      <w:r w:rsidRPr="00E66613">
        <w:rPr>
          <w:vertAlign w:val="superscript"/>
          <w:lang w:val="it-IT"/>
        </w:rPr>
        <w:t>a</w:t>
      </w:r>
      <w:r w:rsidRPr="00E66613">
        <w:rPr>
          <w:lang w:val="it-IT"/>
        </w:rPr>
        <w:t>, Pierpaolo Polverino</w:t>
      </w:r>
      <w:r w:rsidRPr="00E66613">
        <w:rPr>
          <w:vertAlign w:val="superscript"/>
          <w:lang w:val="it-IT"/>
        </w:rPr>
        <w:t>b</w:t>
      </w:r>
      <w:r w:rsidRPr="00E66613">
        <w:rPr>
          <w:lang w:val="it-IT"/>
        </w:rPr>
        <w:t>, Isabella De Bari</w:t>
      </w:r>
      <w:r w:rsidRPr="00E66613">
        <w:rPr>
          <w:vertAlign w:val="superscript"/>
          <w:lang w:val="it-IT"/>
        </w:rPr>
        <w:t>a</w:t>
      </w:r>
    </w:p>
    <w:p w14:paraId="6B2D21B3" w14:textId="06F984F6" w:rsidR="00B57E6F" w:rsidRPr="00B57B36" w:rsidRDefault="00B57E6F" w:rsidP="00B57E6F">
      <w:pPr>
        <w:pStyle w:val="CETAddress"/>
      </w:pPr>
      <w:r w:rsidRPr="00B57B36">
        <w:rPr>
          <w:vertAlign w:val="superscript"/>
        </w:rPr>
        <w:t>a</w:t>
      </w:r>
      <w:r w:rsidR="00E66613" w:rsidRPr="00E66613">
        <w:t>ENEA—Italian National Agency for New Technologies, Energy and Sustainable Economic Development, Rome, 00196, Italy</w:t>
      </w:r>
      <w:r w:rsidRPr="00B57B36">
        <w:t xml:space="preserve"> </w:t>
      </w:r>
    </w:p>
    <w:p w14:paraId="3D72B0B0" w14:textId="759F1D8E" w:rsidR="00B57E6F" w:rsidRPr="00B57B36" w:rsidRDefault="00B57E6F" w:rsidP="00B57E6F">
      <w:pPr>
        <w:pStyle w:val="CETAddress"/>
      </w:pPr>
      <w:r w:rsidRPr="00B57B36">
        <w:rPr>
          <w:vertAlign w:val="superscript"/>
        </w:rPr>
        <w:t>b</w:t>
      </w:r>
      <w:r w:rsidR="00E66613" w:rsidRPr="00E66613">
        <w:t>Department of Industrial Engineering, University of Salerno, Fisciano (SA), 84084, Italy</w:t>
      </w:r>
      <w:r w:rsidRPr="00B57B36">
        <w:t xml:space="preserve"> </w:t>
      </w:r>
    </w:p>
    <w:p w14:paraId="73F1267A" w14:textId="0051717C" w:rsidR="00B57E6F" w:rsidRPr="00B57B36" w:rsidRDefault="00E66613" w:rsidP="00B57E6F">
      <w:pPr>
        <w:pStyle w:val="CETemail"/>
      </w:pPr>
      <w:r>
        <w:t>aristide.giuliano@enea.it</w:t>
      </w:r>
    </w:p>
    <w:p w14:paraId="17F8C385" w14:textId="0F43A535" w:rsidR="00FB499D" w:rsidRDefault="00ED1E23" w:rsidP="00600535">
      <w:pPr>
        <w:pStyle w:val="CETBodytext"/>
        <w:rPr>
          <w:lang w:val="en-GB"/>
        </w:rPr>
      </w:pPr>
      <w:r w:rsidRPr="00ED1E23">
        <w:rPr>
          <w:lang w:val="en-GB"/>
        </w:rPr>
        <w:t xml:space="preserve">First, Europe and then the rest of the world will undergo the transition to electric mobility in the coming decades. This shift will lead to a significant increase in power demand to charge all new electric vehicles. Therefore, power transmission and distribution management could become the most challenging problem to solve </w:t>
      </w:r>
      <w:proofErr w:type="gramStart"/>
      <w:r w:rsidRPr="00ED1E23">
        <w:rPr>
          <w:lang w:val="en-GB"/>
        </w:rPr>
        <w:t>in the near future</w:t>
      </w:r>
      <w:proofErr w:type="gramEnd"/>
      <w:r w:rsidRPr="00ED1E23">
        <w:rPr>
          <w:lang w:val="en-GB"/>
        </w:rPr>
        <w:t xml:space="preserve">, worldwide. High costs and related emissions could nullify the benefits of electric mobility, making it less cost-effective. A potential solution to meet decarbonization goals is to employ generators </w:t>
      </w:r>
      <w:proofErr w:type="spellStart"/>
      <w:r w:rsidRPr="00ED1E23">
        <w:rPr>
          <w:lang w:val="en-GB"/>
        </w:rPr>
        <w:t>fueled</w:t>
      </w:r>
      <w:proofErr w:type="spellEnd"/>
      <w:r w:rsidRPr="00ED1E23">
        <w:rPr>
          <w:lang w:val="en-GB"/>
        </w:rPr>
        <w:t xml:space="preserve"> by biofuels, providing energy to charging stations in remote and/or extra-urban areas. The environmental advantages of biofuels and the existing fuel distribution infrastructures could offset the higher power generation costs using biofuels. In this work, an economic and environmental analysis is performed to compare three sustainable mobility scenarios: full electric, endothermic using biofuels, and the off-board hybrid. The results, obtained from the well-to-wheel analysis and cost assessment, show that the full electric scenario is the best from an environmental point of view, while the biofuel-based off-board hybrid can be a viable solution for a more sustainable energy transition. In particular, the CO</w:t>
      </w:r>
      <w:r w:rsidRPr="00ED1E23">
        <w:rPr>
          <w:vertAlign w:val="subscript"/>
          <w:lang w:val="en-GB"/>
        </w:rPr>
        <w:t>2</w:t>
      </w:r>
      <w:r w:rsidRPr="00ED1E23">
        <w:rPr>
          <w:lang w:val="en-GB"/>
        </w:rPr>
        <w:t xml:space="preserve"> equivalent emissions related to full electric mobility were found to be 6.5 kg</w:t>
      </w:r>
      <w:r w:rsidRPr="00ED1E23">
        <w:rPr>
          <w:vertAlign w:val="subscript"/>
          <w:lang w:val="en-GB"/>
        </w:rPr>
        <w:t>CO2eq</w:t>
      </w:r>
      <w:r w:rsidRPr="00ED1E23">
        <w:rPr>
          <w:lang w:val="en-GB"/>
        </w:rPr>
        <w:t>/100km, while the utilization of biofuels in internal combustion engines would guarantee a cost of 27.0 €/100km</w:t>
      </w:r>
      <w:r>
        <w:rPr>
          <w:lang w:val="en-GB"/>
        </w:rPr>
        <w:t>.</w:t>
      </w:r>
    </w:p>
    <w:p w14:paraId="476B2F2E" w14:textId="52B36035" w:rsidR="00600535" w:rsidRDefault="00600535" w:rsidP="00600535">
      <w:pPr>
        <w:pStyle w:val="CETHeading1"/>
        <w:rPr>
          <w:lang w:val="en-GB"/>
        </w:rPr>
      </w:pPr>
      <w:r w:rsidRPr="00B57B36">
        <w:rPr>
          <w:lang w:val="en-GB"/>
        </w:rPr>
        <w:t>Introduction</w:t>
      </w:r>
    </w:p>
    <w:p w14:paraId="444CC1FA" w14:textId="396C3341" w:rsidR="00203F6B" w:rsidRPr="00010050" w:rsidRDefault="00847B53" w:rsidP="00203F6B">
      <w:pPr>
        <w:pStyle w:val="CETBodytext"/>
      </w:pPr>
      <w:r w:rsidRPr="00847B53">
        <w:rPr>
          <w:lang w:val="en-GB"/>
        </w:rPr>
        <w:t>By signing the Green Deal in 2019, the EU's constituent countries committed to making it carbon-neutral by 2050. To achieve this goal, member states are expected to reduce net greenhouse gas emissions by 55% compared to 1990 levels by 2030, and will continue to progressively reduce emissions by 2050</w:t>
      </w:r>
      <w:r w:rsidR="006D5E5C">
        <w:rPr>
          <w:lang w:val="en-GB"/>
        </w:rPr>
        <w:t xml:space="preserve"> </w:t>
      </w:r>
      <w:r w:rsidR="006D5E5C">
        <w:rPr>
          <w:lang w:val="en-GB"/>
        </w:rPr>
        <w:fldChar w:fldCharType="begin"/>
      </w:r>
      <w:r w:rsidR="00D83BB0">
        <w:rPr>
          <w:lang w:val="en-GB"/>
        </w:rPr>
        <w:instrText xml:space="preserve"> ADDIN ZOTERO_ITEM CSL_CITATION {"citationID":"IOi5TclE","properties":{"formattedCitation":"({\\i{}Clean and sustainable mobility}, 2021)","plainCitation":"(Clean and sustainable mobility, 2021)","noteIndex":0},"citationItems":[{"id":4808,"uris":["http://zotero.org/users/10649518/items/MQ2ENN49"],"itemData":{"id":4808,"type":"report","abstract":"How is the EU addressing greenhouse gas emissions from transport? EU policies support sustainable and low-carbon solutions for Europe's mobility.","language":"en","publisher":"Council of the European Union, https://www.consilium.europa.eu/en/policies/clean-and-sustainable-mobility/","title":"Clean and sustainable mobility","URL":"https://www.consilium.europa.eu/en/policies/clean-and-sustainable-mobility/","accessed":{"date-parts":[["2025",2,11]]},"issued":{"date-parts":[["2021"]]}}}],"schema":"https://github.com/citation-style-language/schema/raw/master/csl-citation.json"} </w:instrText>
      </w:r>
      <w:r w:rsidR="006D5E5C">
        <w:rPr>
          <w:lang w:val="en-GB"/>
        </w:rPr>
        <w:fldChar w:fldCharType="separate"/>
      </w:r>
      <w:r w:rsidR="00D83BB0" w:rsidRPr="00D83BB0">
        <w:rPr>
          <w:rFonts w:cs="Arial"/>
        </w:rPr>
        <w:t>(</w:t>
      </w:r>
      <w:r w:rsidR="00D83BB0" w:rsidRPr="00D83BB0">
        <w:rPr>
          <w:rFonts w:cs="Arial"/>
          <w:i/>
          <w:iCs/>
        </w:rPr>
        <w:t>Clean and sustainable mobility</w:t>
      </w:r>
      <w:r w:rsidR="00D83BB0" w:rsidRPr="00D83BB0">
        <w:rPr>
          <w:rFonts w:cs="Arial"/>
        </w:rPr>
        <w:t>, 2021)</w:t>
      </w:r>
      <w:r w:rsidR="006D5E5C">
        <w:rPr>
          <w:lang w:val="en-GB"/>
        </w:rPr>
        <w:fldChar w:fldCharType="end"/>
      </w:r>
      <w:r w:rsidRPr="00847B53">
        <w:rPr>
          <w:lang w:val="en-GB"/>
        </w:rPr>
        <w:t>. As the leading cause of European greenhouse gas emissions, the transport sector must undergo a transformation that will require a 90% reduction in emissions by the expected date. According to the above, the European Commission has established that all new cars and vans (producing about 15% of total EU CO</w:t>
      </w:r>
      <w:r w:rsidRPr="008C1875">
        <w:rPr>
          <w:vertAlign w:val="subscript"/>
          <w:lang w:val="en-GB"/>
        </w:rPr>
        <w:t>2</w:t>
      </w:r>
      <w:r w:rsidRPr="00847B53">
        <w:rPr>
          <w:lang w:val="en-GB"/>
        </w:rPr>
        <w:t xml:space="preserve"> emissions) must be zero-emission by 2035. </w:t>
      </w:r>
      <w:r w:rsidR="00845DB2">
        <w:rPr>
          <w:lang w:val="en-GB"/>
        </w:rPr>
        <w:t xml:space="preserve">However, </w:t>
      </w:r>
      <w:r w:rsidR="001E5355" w:rsidRPr="00E66613">
        <w:rPr>
          <w:lang w:val="en-GB"/>
        </w:rPr>
        <w:t>Europe</w:t>
      </w:r>
      <w:r w:rsidR="00845DB2">
        <w:rPr>
          <w:lang w:val="en-GB"/>
        </w:rPr>
        <w:t xml:space="preserve"> will need of increasing of about</w:t>
      </w:r>
      <w:r w:rsidR="001E5355" w:rsidRPr="00E66613">
        <w:rPr>
          <w:lang w:val="en-GB"/>
        </w:rPr>
        <w:t xml:space="preserve"> 540 </w:t>
      </w:r>
      <w:proofErr w:type="spellStart"/>
      <w:r w:rsidR="001E5355" w:rsidRPr="00E66613">
        <w:rPr>
          <w:lang w:val="en-GB"/>
        </w:rPr>
        <w:t>TWhe</w:t>
      </w:r>
      <w:proofErr w:type="spellEnd"/>
      <w:r w:rsidR="00845DB2">
        <w:rPr>
          <w:lang w:val="en-GB"/>
        </w:rPr>
        <w:t xml:space="preserve"> per year.  By using only </w:t>
      </w:r>
      <w:r w:rsidR="001E5355" w:rsidRPr="00E66613">
        <w:rPr>
          <w:lang w:val="en-GB"/>
        </w:rPr>
        <w:t>renewable sources (wind and solar power</w:t>
      </w:r>
      <w:r w:rsidR="00845DB2">
        <w:rPr>
          <w:lang w:val="en-GB"/>
        </w:rPr>
        <w:t xml:space="preserve"> mainly</w:t>
      </w:r>
      <w:r w:rsidR="001E5355" w:rsidRPr="00E66613">
        <w:rPr>
          <w:lang w:val="en-GB"/>
        </w:rPr>
        <w:t xml:space="preserve">) and nuclear energy to </w:t>
      </w:r>
      <w:r w:rsidR="001E5355">
        <w:rPr>
          <w:lang w:val="en-GB"/>
        </w:rPr>
        <w:t xml:space="preserve">maintain or reduce carbon emissions </w:t>
      </w:r>
      <w:r w:rsidR="00845DB2">
        <w:rPr>
          <w:lang w:val="en-GB"/>
        </w:rPr>
        <w:fldChar w:fldCharType="begin"/>
      </w:r>
      <w:r w:rsidR="00845DB2">
        <w:rPr>
          <w:lang w:val="en-GB"/>
        </w:rPr>
        <w:instrText xml:space="preserve"> ADDIN ZOTERO_ITEM CSL_CITATION {"citationID":"nzp2s3Iw","properties":{"formattedCitation":"(Blumberg et al., 2022)","plainCitation":"(Blumberg et al., 2022)","noteIndex":0},"citationItems":[{"id":3972,"uris":["http://zotero.org/users/10649518/items/E3W2MNIT"],"itemData":{"id":3972,"type":"article-journal","abstract":"The future transformation of the European electricity system will be strongly influenced by both an ongoing integration of variable renewable energy sources (VREs) and an increased proliferation of electric vehicles (EVs). This combination will cause considerable uncertainty, especially since EV diffusion may greatly vary regarding both the spatio-temporal penetration pattern and the achievable flexibility level. Notably, power plant investment in the long run and dispatch in the short run will be affected. Hence, this paper assesses the impact of EV penetration on the integration of VREs and the costs of CO2 emission reduction as well as the necessary investments in controllable plant capacities under the consideration of frequency reserve and backup capacity requirements. Applying an extended European energy system model, we found that EVs with a high flexibility level may contribute tremendously to improved VRE integration, alleviating the number of necessary VRE investments to achieve emission-reduction goals. Simultaneously, overall system costs are reduced even though necessary investments in controllable plants, ensuring the abovementioned system stability needs, significantly increase. Policy makers should hence ensure sufficient incentives to both exploit the EVs’ potential and safeguard corresponding investments in controllable plants, which need to remain attractive even though full-load hours are decreasing.","container-title":"Energy Policy","DOI":"10.1016/j.enpol.2021.112751","ISSN":"0301-4215","journalAbbreviation":"Energy Policy","page":"112751","source":"ScienceDirect","title":"The impact of electric vehicles on the future European electricity system – A scenario analysis","volume":"161","author":[{"family":"Blumberg","given":"Gerald"},{"family":"Broll","given":"Roland"},{"family":"Weber","given":"Christoph"}],"issued":{"date-parts":[["2022"]]}}}],"schema":"https://github.com/citation-style-language/schema/raw/master/csl-citation.json"} </w:instrText>
      </w:r>
      <w:r w:rsidR="00845DB2">
        <w:rPr>
          <w:lang w:val="en-GB"/>
        </w:rPr>
        <w:fldChar w:fldCharType="separate"/>
      </w:r>
      <w:r w:rsidR="00845DB2" w:rsidRPr="00845DB2">
        <w:rPr>
          <w:rFonts w:cs="Arial"/>
        </w:rPr>
        <w:t>(Blumberg et al., 2022)</w:t>
      </w:r>
      <w:r w:rsidR="00845DB2">
        <w:rPr>
          <w:lang w:val="en-GB"/>
        </w:rPr>
        <w:fldChar w:fldCharType="end"/>
      </w:r>
      <w:r w:rsidR="001E5355" w:rsidRPr="00E66613">
        <w:rPr>
          <w:lang w:val="en-GB"/>
        </w:rPr>
        <w:t>.</w:t>
      </w:r>
      <w:r w:rsidR="00845DB2">
        <w:rPr>
          <w:lang w:val="en-GB"/>
        </w:rPr>
        <w:t xml:space="preserve"> Further, an </w:t>
      </w:r>
      <w:r w:rsidR="00D05646" w:rsidRPr="00E66613">
        <w:rPr>
          <w:lang w:val="en-GB"/>
        </w:rPr>
        <w:t>upgrad</w:t>
      </w:r>
      <w:r w:rsidR="00845DB2">
        <w:rPr>
          <w:lang w:val="en-GB"/>
        </w:rPr>
        <w:t>ing of the power</w:t>
      </w:r>
      <w:r w:rsidR="00D05646" w:rsidRPr="00E66613">
        <w:rPr>
          <w:lang w:val="en-GB"/>
        </w:rPr>
        <w:t xml:space="preserve"> grids </w:t>
      </w:r>
      <w:r w:rsidR="00845DB2">
        <w:rPr>
          <w:lang w:val="en-GB"/>
        </w:rPr>
        <w:t xml:space="preserve">will be </w:t>
      </w:r>
      <w:r w:rsidR="00845DB2" w:rsidRPr="00E66613">
        <w:rPr>
          <w:lang w:val="en-GB"/>
        </w:rPr>
        <w:t>need</w:t>
      </w:r>
      <w:r w:rsidR="00845DB2">
        <w:rPr>
          <w:lang w:val="en-GB"/>
        </w:rPr>
        <w:t>ed</w:t>
      </w:r>
      <w:r w:rsidR="00845DB2" w:rsidRPr="00E66613">
        <w:rPr>
          <w:lang w:val="en-GB"/>
        </w:rPr>
        <w:t xml:space="preserve"> </w:t>
      </w:r>
      <w:r w:rsidR="00D05646" w:rsidRPr="00E66613">
        <w:rPr>
          <w:lang w:val="en-GB"/>
        </w:rPr>
        <w:t xml:space="preserve">to keep up with the growing renewable power production and the energy demand for electric charging stations </w:t>
      </w:r>
      <w:r w:rsidR="00845DB2">
        <w:rPr>
          <w:lang w:val="en-GB"/>
        </w:rPr>
        <w:fldChar w:fldCharType="begin"/>
      </w:r>
      <w:r w:rsidR="00845DB2">
        <w:rPr>
          <w:lang w:val="en-GB"/>
        </w:rPr>
        <w:instrText xml:space="preserve"> ADDIN ZOTERO_ITEM CSL_CITATION {"citationID":"4r46roGl","properties":{"formattedCitation":"(Khalid et al., 2019)","plainCitation":"(Khalid et al., 2019)","noteIndex":0},"citationItems":[{"id":3975,"uris":["http://zotero.org/users/10649518/items/5JPZ7UPU"],"itemData":{"id":3975,"type":"article-journal","abstract":"The large penetration of electric vehicles (EV) charging stations in existing utility grid is bringing up many power-quality problems which highly affect the load performances at the large and small consumer ends. This trend seems to grow at more pronounced rate as nowadays there is a shift from using internal combustion (IC) engine based vehicles to EV due to their superiorities. EV chargers convert the ac power to dc power for charging of EV batteries. During this conversion of power by power electronics high frequency switching converters, harmonics are injected into the grid which degrades the powerquality of line current in the grid. Such injection of harmonics causes electrical and thermal overloading of distribution transformers thus affecting their life expectancy. Other problems include drawing of excess current from the grid, unbalancing between demand and supply in utility grid, voltage deviation in the grid, etc. Thus, it is required to maintain the IEEE-519 power quality standards during charging of EV. This paper presents a survey of the fast charging stations for EV and their impacts on the exiting utility grid along with the solution to overcome these issues.","container-title":"eTransportation","DOI":"10.1016/j.etran.2019.100006","ISSN":"25901168","journalAbbreviation":"eTransportation","language":"en","page":"100006","source":"DOI.org (Crossref)","title":"A Comprehensive review on electric vehicles charging infrastructures and their impacts on power-quality of the utility grid","volume":"1","author":[{"family":"Khalid","given":"Mohd Rizwan"},{"family":"Alam","given":"Mohammad Saad"},{"family":"Sarwar","given":"Adil"},{"family":"Jamil Asghar","given":"M.S."}],"issued":{"date-parts":[["2019",8]]}}}],"schema":"https://github.com/citation-style-language/schema/raw/master/csl-citation.json"} </w:instrText>
      </w:r>
      <w:r w:rsidR="00845DB2">
        <w:rPr>
          <w:lang w:val="en-GB"/>
        </w:rPr>
        <w:fldChar w:fldCharType="separate"/>
      </w:r>
      <w:r w:rsidR="00845DB2" w:rsidRPr="00845DB2">
        <w:rPr>
          <w:rFonts w:cs="Arial"/>
        </w:rPr>
        <w:t>(Khalid et al., 2019)</w:t>
      </w:r>
      <w:r w:rsidR="00845DB2">
        <w:rPr>
          <w:lang w:val="en-GB"/>
        </w:rPr>
        <w:fldChar w:fldCharType="end"/>
      </w:r>
      <w:r w:rsidR="00D05646" w:rsidRPr="00E66613">
        <w:rPr>
          <w:lang w:val="en-GB"/>
        </w:rPr>
        <w:t>.</w:t>
      </w:r>
      <w:r w:rsidR="00845DB2">
        <w:rPr>
          <w:lang w:val="en-GB"/>
        </w:rPr>
        <w:t xml:space="preserve"> </w:t>
      </w:r>
      <w:r w:rsidRPr="00847B53">
        <w:rPr>
          <w:lang w:val="en-GB"/>
        </w:rPr>
        <w:t xml:space="preserve">Nevertheless, in many EU countries it is not so easy to quickly install new renewable plants and nuclear energy is limited or banned for safety reasons. This is the case of Italy, which currently consumes more than it produces and is therefore forced to acquire energy from other countries. </w:t>
      </w:r>
      <w:r w:rsidR="00845DB2">
        <w:rPr>
          <w:lang w:val="en-GB"/>
        </w:rPr>
        <w:t>For these countries the</w:t>
      </w:r>
      <w:r w:rsidRPr="00847B53">
        <w:rPr>
          <w:lang w:val="en-GB"/>
        </w:rPr>
        <w:t xml:space="preserve"> transition to a full electric car fleet c</w:t>
      </w:r>
      <w:r w:rsidR="00845DB2">
        <w:rPr>
          <w:lang w:val="en-GB"/>
        </w:rPr>
        <w:t>ould be very complicated,</w:t>
      </w:r>
      <w:r w:rsidRPr="00847B53">
        <w:rPr>
          <w:lang w:val="en-GB"/>
        </w:rPr>
        <w:t xml:space="preserve"> without significant expenses</w:t>
      </w:r>
      <w:r w:rsidR="00B97928">
        <w:rPr>
          <w:lang w:val="en-GB"/>
        </w:rPr>
        <w:t xml:space="preserve"> </w:t>
      </w:r>
      <w:r w:rsidR="00B97928">
        <w:rPr>
          <w:lang w:val="en-GB"/>
        </w:rPr>
        <w:fldChar w:fldCharType="begin"/>
      </w:r>
      <w:r w:rsidR="00B97928">
        <w:rPr>
          <w:lang w:val="en-GB"/>
        </w:rPr>
        <w:instrText xml:space="preserve"> ADDIN ZOTERO_ITEM CSL_CITATION {"citationID":"sYJMLOQG","properties":{"formattedCitation":"(Falfari and Bianchi, 2023)","plainCitation":"(Falfari and Bianchi, 2023)","noteIndex":0},"citationItems":[{"id":4811,"uris":["http://zotero.org/users/10649518/items/KY6SSG48"],"itemData":{"id":4811,"type":"article-journal","abstract":"This work aims to provide an energy and critical analysis of the new “ecological scenario” that sees the world shift the transport sector from the classic fossil-fueled traction towards a purely electric traction. Is it a transition to a cleaner and more environmentally friendly world? This is the central question we need to answer. In this context of forced electriﬁcation of passenger vehicles, the authors estimated the electricity surplus needed in Italy to face this transition with a projection up to 2050, considering the electricity demand of purely electric vehicles and for the production of green hydrogen for the fuel supply of fuel cell vehicles. Throughout this investigation, the authors discovered that, in 2050, the surplus of electricity to be produced compared to the current production in Italy (year 2021) is equal to +27.6% (1). This value increases if two limit scenarios are considered: it becomes +40.0% within a limit scenario in which the entire private car ﬂeet is made up of pure electric traction vehicles only (2). It becomes +100.6% in the hypothesis that the entire ﬂeet of passenger cars is made up of fuel cell vehicles powered exclusively by green hydrogen (3).","container-title":"Energies","DOI":"10.3390/en16041704","ISSN":"1996-1073","issue":"4","journalAbbreviation":"Energies","language":"en","license":"https://creativecommons.org/licenses/by/4.0/","page":"1704","source":"DOI.org (Crossref)","title":"Concerns on Full Electric Mobility and Future Electricity Demand in Italy","volume":"16","author":[{"family":"Falfari","given":"Stefania"},{"family":"Bianchi","given":"Gian"}],"issued":{"date-parts":[["2023",2,8]]}}}],"schema":"https://github.com/citation-style-language/schema/raw/master/csl-citation.json"} </w:instrText>
      </w:r>
      <w:r w:rsidR="00B97928">
        <w:rPr>
          <w:lang w:val="en-GB"/>
        </w:rPr>
        <w:fldChar w:fldCharType="separate"/>
      </w:r>
      <w:r w:rsidR="00B97928" w:rsidRPr="00B97928">
        <w:rPr>
          <w:rFonts w:cs="Arial"/>
        </w:rPr>
        <w:t>(Falfari and Bianchi, 2023)</w:t>
      </w:r>
      <w:r w:rsidR="00B97928">
        <w:rPr>
          <w:lang w:val="en-GB"/>
        </w:rPr>
        <w:fldChar w:fldCharType="end"/>
      </w:r>
      <w:r w:rsidRPr="00847B53">
        <w:rPr>
          <w:lang w:val="en-GB"/>
        </w:rPr>
        <w:t>. Moreover, this electricity should be transported by means of a not yet suitable and technologically underdeveloped electrical network.</w:t>
      </w:r>
      <w:r w:rsidR="00900870">
        <w:rPr>
          <w:lang w:val="en-GB"/>
        </w:rPr>
        <w:t xml:space="preserve"> The novel sustainable </w:t>
      </w:r>
      <w:r w:rsidRPr="00847B53">
        <w:rPr>
          <w:lang w:val="en-GB"/>
        </w:rPr>
        <w:t xml:space="preserve">technologies </w:t>
      </w:r>
      <w:r w:rsidR="00900870">
        <w:rPr>
          <w:lang w:val="en-GB"/>
        </w:rPr>
        <w:t>could</w:t>
      </w:r>
      <w:r w:rsidRPr="00847B53">
        <w:rPr>
          <w:lang w:val="en-GB"/>
        </w:rPr>
        <w:t xml:space="preserve"> be </w:t>
      </w:r>
      <w:r w:rsidR="00900870">
        <w:rPr>
          <w:lang w:val="en-GB"/>
        </w:rPr>
        <w:t xml:space="preserve">compared by </w:t>
      </w:r>
      <w:r w:rsidRPr="00847B53">
        <w:rPr>
          <w:lang w:val="en-GB"/>
        </w:rPr>
        <w:t>evaluat</w:t>
      </w:r>
      <w:r w:rsidR="00900870">
        <w:rPr>
          <w:lang w:val="en-GB"/>
        </w:rPr>
        <w:t>ion of their</w:t>
      </w:r>
      <w:r w:rsidRPr="00847B53">
        <w:rPr>
          <w:lang w:val="en-GB"/>
        </w:rPr>
        <w:t xml:space="preserve"> overall life cycle, considering the production, use and recycling of materials</w:t>
      </w:r>
      <w:r w:rsidR="00900870">
        <w:rPr>
          <w:lang w:val="en-GB"/>
        </w:rPr>
        <w:t xml:space="preserve"> </w:t>
      </w:r>
      <w:r w:rsidR="00900870">
        <w:rPr>
          <w:lang w:val="en-GB"/>
        </w:rPr>
        <w:fldChar w:fldCharType="begin"/>
      </w:r>
      <w:r w:rsidR="00900870">
        <w:rPr>
          <w:lang w:val="en-GB"/>
        </w:rPr>
        <w:instrText xml:space="preserve"> ADDIN ZOTERO_ITEM CSL_CITATION {"citationID":"sO260TSp","properties":{"formattedCitation":"(Tolomeo et al., 2020)","plainCitation":"(Tolomeo et al., 2020)","noteIndex":0},"citationItems":[{"id":4813,"uris":["http://zotero.org/users/10649518/items/87PDKYUR"],"itemData":{"id":4813,"type":"article-journal","abstract":"This study is a critical review of the application of life cycle assessment (LCA) to lithium ion batteries in the automotive sector. The aim of this study is to identify the crucial points of the analysis and the results achieved until now in this ﬁeld. In the ﬁrst part of the study, a selection of papers is reviewed. In the second part of the study, a methodological approach to LCA is adopted to make clear the strengths and weaknesses of this analysis method. The lack of primary data is a crucial concern. Even if the cradle-to-grave approach is the most chosen system boundary, further scientiﬁc contribution to the life cycle inventory phase is necessary. It is likely that the more the electric vehicle becomes widespread, the more data will be accessible. Many authors have not speciﬁed the chemistry of the used batteries (5% of the studies), the software tool used (30%) or the functional unit used (17%) and, consequently, their obtained results can be questionable. However, even with the aforementioned limitations, the performed review allows us to point out the potential of electric vehicles and lithium ion batteries to reduce the overall contribution of the transportation sector to GHG emissions.","container-title":"Sustainability","DOI":"10.3390/su12114628","ISSN":"2071-1050","issue":"11","journalAbbreviation":"Sustainability","language":"en","license":"https://creativecommons.org/licenses/by/4.0/","page":"4628","source":"DOI.org (Crossref)","title":"Application of Life Cycle Assessment to Lithium Ion Batteries in the Automotive Sector","volume":"12","author":[{"family":"Tolomeo","given":"Rosario"},{"family":"De Feo","given":"Giovanni"},{"family":"Adami","given":"Renata"},{"family":"Sesti Osséo","given":"Libero"}],"issued":{"date-parts":[["2020",6,5]]}}}],"schema":"https://github.com/citation-style-language/schema/raw/master/csl-citation.json"} </w:instrText>
      </w:r>
      <w:r w:rsidR="00900870">
        <w:rPr>
          <w:lang w:val="en-GB"/>
        </w:rPr>
        <w:fldChar w:fldCharType="separate"/>
      </w:r>
      <w:r w:rsidR="00900870" w:rsidRPr="00900870">
        <w:rPr>
          <w:rFonts w:cs="Arial"/>
        </w:rPr>
        <w:t>(Tolomeo et al., 2020)</w:t>
      </w:r>
      <w:r w:rsidR="00900870">
        <w:rPr>
          <w:lang w:val="en-GB"/>
        </w:rPr>
        <w:fldChar w:fldCharType="end"/>
      </w:r>
      <w:r w:rsidRPr="00847B53">
        <w:rPr>
          <w:lang w:val="en-GB"/>
        </w:rPr>
        <w:t xml:space="preserve">. In this regard, the batteries of electric vehicles and the accumulators, necessary for the proper functioning of the </w:t>
      </w:r>
      <w:r w:rsidRPr="00847B53">
        <w:rPr>
          <w:lang w:val="en-GB"/>
        </w:rPr>
        <w:lastRenderedPageBreak/>
        <w:t>distribution network, are another element to be aware of. In fact, electric current storage systems are expensive, due to the rare materials of which they are composed, and their production and disposal are polluting and complex to manage.</w:t>
      </w:r>
      <w:r w:rsidR="002A5992">
        <w:rPr>
          <w:lang w:val="en-GB"/>
        </w:rPr>
        <w:t xml:space="preserve"> </w:t>
      </w:r>
      <w:r w:rsidR="002A5992" w:rsidRPr="002A5992">
        <w:rPr>
          <w:lang w:val="en-GB"/>
        </w:rPr>
        <w:t>Despite their benefits, biofuel-powered endothermic motor vehicles face significant challenges, such as biomass supply for fuel production and urban air pollution. The primary issues are related to first-generation green diesel derived from dedicated crops. Although second-generation biofuels made from vegetable or animal waste are more environmentally friendly and have a lower impact, their availability remains limited</w:t>
      </w:r>
      <w:r w:rsidR="00BA5822">
        <w:rPr>
          <w:lang w:val="en-GB"/>
        </w:rPr>
        <w:t xml:space="preserve"> </w:t>
      </w:r>
      <w:r w:rsidR="00BA5822">
        <w:rPr>
          <w:lang w:val="en-GB"/>
        </w:rPr>
        <w:fldChar w:fldCharType="begin"/>
      </w:r>
      <w:r w:rsidR="00BA5822">
        <w:rPr>
          <w:lang w:val="en-GB"/>
        </w:rPr>
        <w:instrText xml:space="preserve"> ADDIN ZOTERO_ITEM CSL_CITATION {"citationID":"lCgDyWh3","properties":{"formattedCitation":"(Caporusso et al., 2022)","plainCitation":"(Caporusso et al., 2022)","noteIndex":0},"citationItems":[{"id":56,"uris":["http://zotero.org/users/10649518/items/E78JSSWN"],"itemData":{"id":56,"type":"article-journal","container-title":"Chemical Engineering Transactions","DOI":"10.3303/CET2292107","language":"en","page":"637-642","source":"DOI.org (CSL JSON)","title":"Techno-economic Analysis of a Lignocellulosic Biorefinery Producing Microbial Oils by Oleaginous Yeasts","volume":"92","author":[{"family":"Caporusso","given":"Antonio"},{"family":"Giuliano","given":"Aristide"},{"family":"Liuzzi","given":"Federico"},{"family":"De Bari","given":"Isabella"}],"issued":{"date-parts":[["2022",6]]}}}],"schema":"https://github.com/citation-style-language/schema/raw/master/csl-citation.json"} </w:instrText>
      </w:r>
      <w:r w:rsidR="00BA5822">
        <w:rPr>
          <w:lang w:val="en-GB"/>
        </w:rPr>
        <w:fldChar w:fldCharType="separate"/>
      </w:r>
      <w:r w:rsidR="00BA5822" w:rsidRPr="00BA5822">
        <w:rPr>
          <w:rFonts w:cs="Arial"/>
        </w:rPr>
        <w:t>(Caporusso et al., 2022)</w:t>
      </w:r>
      <w:r w:rsidR="00BA5822">
        <w:rPr>
          <w:lang w:val="en-GB"/>
        </w:rPr>
        <w:fldChar w:fldCharType="end"/>
      </w:r>
      <w:r w:rsidR="002A5992" w:rsidRPr="002A5992">
        <w:rPr>
          <w:lang w:val="en-GB"/>
        </w:rPr>
        <w:t>.</w:t>
      </w:r>
      <w:r w:rsidR="003151F8">
        <w:rPr>
          <w:lang w:val="en-GB"/>
        </w:rPr>
        <w:t xml:space="preserve"> Local biofuel production by bioresources can be an opportunity also to </w:t>
      </w:r>
      <w:proofErr w:type="spellStart"/>
      <w:r w:rsidR="003151F8">
        <w:rPr>
          <w:lang w:val="en-GB"/>
        </w:rPr>
        <w:t>valorize</w:t>
      </w:r>
      <w:proofErr w:type="spellEnd"/>
      <w:r w:rsidR="003151F8">
        <w:rPr>
          <w:lang w:val="en-GB"/>
        </w:rPr>
        <w:t xml:space="preserve"> the potential green hydrogen availability due to the growing of the variable renewable energy sources </w:t>
      </w:r>
      <w:r w:rsidR="003151F8">
        <w:rPr>
          <w:lang w:val="en-GB"/>
        </w:rPr>
        <w:fldChar w:fldCharType="begin"/>
      </w:r>
      <w:r w:rsidR="003151F8">
        <w:rPr>
          <w:lang w:val="en-GB"/>
        </w:rPr>
        <w:instrText xml:space="preserve"> ADDIN ZOTERO_ITEM CSL_CITATION {"citationID":"rstuDmgJ","properties":{"formattedCitation":"(Giuliano et al., 2024)","plainCitation":"(Giuliano et al., 2024)","noteIndex":0},"citationItems":[{"id":4807,"uris":["http://zotero.org/users/10649518/items/4L2AKSPY"],"itemData":{"id":4807,"type":"article-journal","abstract":"To achieve sustainable development, the transition from a fossil-based economy to a circular economy is essential. The use of renewable energy sources to make the overall carbon foot print more favorable is an important pre-requisite. In this context, it is crucial to valorize all renewable resources through an optimized local integration. One opportunity arises through the synergy between bioresources and green hydrogen. Through techno-economic assessments, this work analyzes four local case studies that integrate bio-based processes with green hydrogen produced via electrolysis using renewable energy sources. An analysis of the use of webGIS tools (i.e., Atlas of Biorefineries of IEA Bioenergy) to identify existing biorefineries that require hydrogen in relation to territories with a potential availability of green hydrogen, has never been conducted before. This paper provides an evaluation of the production costs of the target products as a function of the local green hydrogen supply costs. The results revealed that the impact of green hydrogen costs could vary widely, ranging from 1% to 95% of the total production costs, depending on the bio-based target product evaluated. Additionally, hydrogen demand in the target area could require an installed variable renewable energy capacity of 20 MW and 500 MW. On the whole, the local integration of biorefineries and green hydrogen could represent an optimal opportunity to make hydrogenated bio-based products 100% renewable.","container-title":"Energies","DOI":"10.3390/en17235966","ISSN":"1996-1073","issue":"23","journalAbbreviation":"Energies","language":"en","license":"https://creativecommons.org/licenses/by/4.0/","page":"5966","source":"DOI.org (Crossref)","title":"Techno-Economic Analysis of Territorial Case Studies for the Integration of Biorefineries and Green Hydrogen","volume":"17","author":[{"family":"Giuliano","given":"Aristide"},{"family":"Stichnothe","given":"Heinz"},{"family":"Pierro","given":"Nicola"},{"family":"De Bari","given":"Isabella"}],"issued":{"date-parts":[["2024",11,27]]}}}],"schema":"https://github.com/citation-style-language/schema/raw/master/csl-citation.json"} </w:instrText>
      </w:r>
      <w:r w:rsidR="003151F8">
        <w:rPr>
          <w:lang w:val="en-GB"/>
        </w:rPr>
        <w:fldChar w:fldCharType="separate"/>
      </w:r>
      <w:r w:rsidR="003151F8" w:rsidRPr="003151F8">
        <w:rPr>
          <w:rFonts w:cs="Arial"/>
        </w:rPr>
        <w:t>(Giuliano et al., 2024)</w:t>
      </w:r>
      <w:r w:rsidR="003151F8">
        <w:rPr>
          <w:lang w:val="en-GB"/>
        </w:rPr>
        <w:fldChar w:fldCharType="end"/>
      </w:r>
      <w:r w:rsidR="003151F8">
        <w:rPr>
          <w:lang w:val="en-GB"/>
        </w:rPr>
        <w:t xml:space="preserve">. </w:t>
      </w:r>
      <w:r w:rsidR="002A5992">
        <w:rPr>
          <w:lang w:val="en-GB"/>
        </w:rPr>
        <w:t xml:space="preserve"> </w:t>
      </w:r>
      <w:r w:rsidRPr="00847B53">
        <w:rPr>
          <w:lang w:val="en-GB"/>
        </w:rPr>
        <w:t>In addition to the aforementioned problems, it must be clear that, although the net CO</w:t>
      </w:r>
      <w:r w:rsidRPr="008C1875">
        <w:rPr>
          <w:vertAlign w:val="subscript"/>
          <w:lang w:val="en-GB"/>
        </w:rPr>
        <w:t>2</w:t>
      </w:r>
      <w:r w:rsidRPr="00847B53">
        <w:rPr>
          <w:lang w:val="en-GB"/>
        </w:rPr>
        <w:t xml:space="preserve"> emissions of biofuels are zero and the emissions of pollutants lower than those of fossil fuels, locally there would still be air pollution caused by fine dust emissions, which would be better avoided, especially in densely populated urban areas</w:t>
      </w:r>
      <w:r w:rsidR="00900870">
        <w:rPr>
          <w:lang w:val="en-GB"/>
        </w:rPr>
        <w:t xml:space="preserve"> </w:t>
      </w:r>
      <w:r w:rsidR="002A5992">
        <w:rPr>
          <w:lang w:val="en-GB"/>
        </w:rPr>
        <w:fldChar w:fldCharType="begin"/>
      </w:r>
      <w:r w:rsidR="002A5992">
        <w:rPr>
          <w:lang w:val="en-GB"/>
        </w:rPr>
        <w:instrText xml:space="preserve"> ADDIN ZOTERO_ITEM CSL_CITATION {"citationID":"UeykigIo","properties":{"formattedCitation":"(McCaffery et al., 2022)","plainCitation":"(McCaffery et al., 2022)","noteIndex":0},"citationItems":[{"id":4814,"uris":["http://zotero.org/users/10649518/items/W5K6EF3H"],"itemData":{"id":4814,"type":"article-journal","abstract":"In this study, the regulated emissions, gaseous toxics, and the physical, chemical, and toxicological properties of particulate matter (PM) emissions from a legacy off-road diesel engine operated on hydrogenated vegetable oil (HVO) and HVO blends with biodiesel were investigated. This is one of the very few studies currently available examining the emissions and potential health effects of HVO and its blends with biodiesel from diesel engines. Extended testing was conducted over the nonroad transient cycle (NRTC) and the 5-mode D2 ISO 8718 cycle. Nitrogen oxide (NOx) emissions showed statistically significant reductions for HVO compared to diesel, whereas the biodiesel blends statistically significant increases in NOx emissions. PM and solid particle number reductions with pure HVO and the biodiesel blends were also observed. Low-molecular weight polycyclic aromatic hydrocarbons (PAHs) were the dominant species in the exhaust for all fuels, with pure HVO and the biodiesel blends showing lower concentrations of these pollutants compared to diesel fuel. Our results showed that the oxidative stress and cytotoxicity in PM emissions decreased with the use of biofuels. Notable correlations were observed between PM emissions and oxidative stress and cytotoxicity, especially elemental carbon and particle-phase PAH emissions. © 2022 Elsevier Ltd","archive":"Scopus","container-title":"Fuel","DOI":"10.1016/j.fuel.2022.124283","source":"Scopus","title":"Effects of hydrogenated vegetable oil (HVO) and HVO/biodiesel blends on the physicochemical and toxicological properties of emissions from an off-road heavy-duty diesel engine","volume":"323","author":[{"family":"McCaffery","given":"C."},{"family":"Zhu","given":"H."},{"family":"Sabbir Ahmed","given":"C.M."},{"family":"Canchola","given":"A."},{"family":"Chen","given":"J.Y."},{"family":"Li","given":"C."},{"family":"Johnson","given":"K.C."},{"family":"Durbin","given":"T.D."},{"family":"Lin","given":"Y.-H."},{"family":"Karavalakis","given":"G."}],"issued":{"date-parts":[["2022"]]}}}],"schema":"https://github.com/citation-style-language/schema/raw/master/csl-citation.json"} </w:instrText>
      </w:r>
      <w:r w:rsidR="002A5992">
        <w:rPr>
          <w:lang w:val="en-GB"/>
        </w:rPr>
        <w:fldChar w:fldCharType="separate"/>
      </w:r>
      <w:r w:rsidR="002A5992" w:rsidRPr="002A5992">
        <w:rPr>
          <w:rFonts w:cs="Arial"/>
        </w:rPr>
        <w:t>(McCaffery et al., 2022)</w:t>
      </w:r>
      <w:r w:rsidR="002A5992">
        <w:rPr>
          <w:lang w:val="en-GB"/>
        </w:rPr>
        <w:fldChar w:fldCharType="end"/>
      </w:r>
      <w:r w:rsidRPr="00847B53">
        <w:rPr>
          <w:lang w:val="en-GB"/>
        </w:rPr>
        <w:t>.</w:t>
      </w:r>
      <w:r w:rsidR="002A5992">
        <w:rPr>
          <w:lang w:val="en-GB"/>
        </w:rPr>
        <w:t xml:space="preserve"> </w:t>
      </w:r>
      <w:r w:rsidR="00203F6B" w:rsidRPr="00927CCA">
        <w:t xml:space="preserve">In this work, an off-board hybrid scenario was also studied by comparing it with two other sustainable mobility strategies: 100% full electric cars and 100% liquid biofuel powered cars. This hybrid alternative is useful to take an integrated view of the technologies that </w:t>
      </w:r>
      <w:proofErr w:type="gramStart"/>
      <w:r w:rsidR="00203F6B" w:rsidRPr="00927CCA">
        <w:t>allows</w:t>
      </w:r>
      <w:proofErr w:type="gramEnd"/>
      <w:r w:rsidR="00203F6B" w:rsidRPr="00927CCA">
        <w:t xml:space="preserve"> to adopt the best solutions based on the cases. In urban contexts with a good charging infrastructure, electric vehicles could be the best choice. On the contrary, in rural or remote areas, the use of generators powered by liquid biofuels to charge electric cars could be a more economical and sustainable solution. Furthermore, this study aims to be the starting point for the </w:t>
      </w:r>
      <w:r w:rsidR="00203F6B" w:rsidRPr="00010050">
        <w:t xml:space="preserve">creation of a decision-making tool aimed at implementing the most sustainable solution both from an economic and environmental point of view among different technologies in different situations. For this purpose, the well-to-wheel analysis will be used to allow a more immediate comparison for the different </w:t>
      </w:r>
      <w:proofErr w:type="gramStart"/>
      <w:r w:rsidR="00131359" w:rsidRPr="00010050">
        <w:t>scenario</w:t>
      </w:r>
      <w:proofErr w:type="gramEnd"/>
      <w:r w:rsidR="00203F6B" w:rsidRPr="00010050">
        <w:t>.</w:t>
      </w:r>
    </w:p>
    <w:p w14:paraId="5741900F" w14:textId="148A51DC" w:rsidR="00453E24" w:rsidRPr="00010050" w:rsidRDefault="00685594" w:rsidP="00685594">
      <w:pPr>
        <w:pStyle w:val="CETHeading1"/>
      </w:pPr>
      <w:r w:rsidRPr="00010050">
        <w:t>Scenarios description</w:t>
      </w:r>
    </w:p>
    <w:p w14:paraId="1232B98A" w14:textId="04FCF889" w:rsidR="002A5992" w:rsidRPr="00330433" w:rsidRDefault="002A5992" w:rsidP="004462A7">
      <w:pPr>
        <w:pStyle w:val="CETBodytext"/>
        <w:rPr>
          <w:lang w:val="en-GB"/>
        </w:rPr>
      </w:pPr>
      <w:r w:rsidRPr="002A5992">
        <w:rPr>
          <w:lang w:val="en-GB"/>
        </w:rPr>
        <w:t xml:space="preserve">Three scenarios were </w:t>
      </w:r>
      <w:proofErr w:type="spellStart"/>
      <w:r w:rsidRPr="002A5992">
        <w:rPr>
          <w:lang w:val="en-GB"/>
        </w:rPr>
        <w:t>analyzed</w:t>
      </w:r>
      <w:proofErr w:type="spellEnd"/>
      <w:r w:rsidRPr="002A5992">
        <w:rPr>
          <w:lang w:val="en-GB"/>
        </w:rPr>
        <w:t xml:space="preserve"> from an energy, environmental and economic point of view. Below is a description of the </w:t>
      </w:r>
      <w:r w:rsidR="00131359">
        <w:rPr>
          <w:lang w:val="en-GB"/>
        </w:rPr>
        <w:t>scenario</w:t>
      </w:r>
      <w:r w:rsidRPr="002A5992">
        <w:rPr>
          <w:lang w:val="en-GB"/>
        </w:rPr>
        <w:t>s considered.</w:t>
      </w:r>
    </w:p>
    <w:p w14:paraId="0636B784" w14:textId="7C206AE8" w:rsidR="00453E24" w:rsidRPr="00330433" w:rsidRDefault="00330433" w:rsidP="00453E24">
      <w:pPr>
        <w:pStyle w:val="CETheadingx"/>
      </w:pPr>
      <w:r w:rsidRPr="00330433">
        <w:t>F</w:t>
      </w:r>
      <w:r w:rsidR="00685594" w:rsidRPr="00330433">
        <w:t>ull electric</w:t>
      </w:r>
      <w:r w:rsidRPr="00330433">
        <w:t xml:space="preserve"> scenario</w:t>
      </w:r>
    </w:p>
    <w:p w14:paraId="2F8B194F" w14:textId="56C619E8" w:rsidR="00330433" w:rsidRPr="00330433" w:rsidRDefault="00330433" w:rsidP="00A940FD">
      <w:pPr>
        <w:pStyle w:val="CETBodytext"/>
        <w:rPr>
          <w:lang w:val="en-GB"/>
        </w:rPr>
      </w:pPr>
      <w:r w:rsidRPr="00330433">
        <w:rPr>
          <w:lang w:val="en-GB"/>
        </w:rPr>
        <w:t xml:space="preserve">The full electric </w:t>
      </w:r>
      <w:r w:rsidR="00131359">
        <w:rPr>
          <w:lang w:val="en-GB"/>
        </w:rPr>
        <w:t>scenario</w:t>
      </w:r>
      <w:r w:rsidRPr="00330433">
        <w:rPr>
          <w:lang w:val="en-GB"/>
        </w:rPr>
        <w:t xml:space="preserve"> contemplates a 100% electric car fleet, powered by the national grid. In this scenario, the following steps relating to the powertrain and energy distribution are considered:</w:t>
      </w:r>
    </w:p>
    <w:p w14:paraId="0656C0BF" w14:textId="77777777" w:rsidR="00330433" w:rsidRPr="00A940FD" w:rsidRDefault="00330433" w:rsidP="00A940FD">
      <w:pPr>
        <w:pStyle w:val="CETBodytext"/>
        <w:numPr>
          <w:ilvl w:val="0"/>
          <w:numId w:val="30"/>
        </w:numPr>
        <w:rPr>
          <w:lang w:val="en-GB"/>
        </w:rPr>
      </w:pPr>
      <w:r w:rsidRPr="00A940FD">
        <w:rPr>
          <w:lang w:val="en-GB"/>
        </w:rPr>
        <w:t xml:space="preserve">the electric current is produced and fed into the distribution </w:t>
      </w:r>
      <w:proofErr w:type="gramStart"/>
      <w:r w:rsidRPr="00A940FD">
        <w:rPr>
          <w:lang w:val="en-GB"/>
        </w:rPr>
        <w:t>grid;</w:t>
      </w:r>
      <w:proofErr w:type="gramEnd"/>
    </w:p>
    <w:p w14:paraId="492D1915" w14:textId="77777777" w:rsidR="00330433" w:rsidRPr="00A940FD" w:rsidRDefault="00330433" w:rsidP="00A940FD">
      <w:pPr>
        <w:pStyle w:val="CETBodytext"/>
        <w:numPr>
          <w:ilvl w:val="0"/>
          <w:numId w:val="30"/>
        </w:numPr>
        <w:rPr>
          <w:lang w:val="en-GB"/>
        </w:rPr>
      </w:pPr>
      <w:r w:rsidRPr="00A940FD">
        <w:rPr>
          <w:lang w:val="en-GB"/>
        </w:rPr>
        <w:t xml:space="preserve">it reaches the column and recharges the vehicle's </w:t>
      </w:r>
      <w:proofErr w:type="gramStart"/>
      <w:r w:rsidRPr="00A940FD">
        <w:rPr>
          <w:lang w:val="en-GB"/>
        </w:rPr>
        <w:t>battery;</w:t>
      </w:r>
      <w:proofErr w:type="gramEnd"/>
    </w:p>
    <w:p w14:paraId="62280F39" w14:textId="77777777" w:rsidR="00330433" w:rsidRPr="00A940FD" w:rsidRDefault="00330433" w:rsidP="00A940FD">
      <w:pPr>
        <w:pStyle w:val="CETBodytext"/>
        <w:numPr>
          <w:ilvl w:val="0"/>
          <w:numId w:val="30"/>
        </w:numPr>
        <w:rPr>
          <w:lang w:val="en-GB"/>
        </w:rPr>
      </w:pPr>
      <w:r w:rsidRPr="00A940FD">
        <w:rPr>
          <w:lang w:val="en-GB"/>
        </w:rPr>
        <w:t>the energy is transmitted to the vehicle and reaches the wheels.</w:t>
      </w:r>
    </w:p>
    <w:p w14:paraId="18BAFA6F" w14:textId="4DDC335D" w:rsidR="00453E24" w:rsidRPr="00B57B36" w:rsidRDefault="00685594" w:rsidP="00453E24">
      <w:pPr>
        <w:pStyle w:val="CETheadingx"/>
      </w:pPr>
      <w:r>
        <w:t>Scenario</w:t>
      </w:r>
      <w:r w:rsidRPr="00685594">
        <w:t xml:space="preserve"> full ICE bio</w:t>
      </w:r>
    </w:p>
    <w:p w14:paraId="19C71BA7" w14:textId="5923D7A9" w:rsidR="00A940FD" w:rsidRPr="004462A7" w:rsidRDefault="00010050" w:rsidP="00A940FD">
      <w:pPr>
        <w:tabs>
          <w:tab w:val="clear" w:pos="7100"/>
        </w:tabs>
        <w:spacing w:line="240" w:lineRule="auto"/>
        <w:rPr>
          <w:rFonts w:ascii="Times New Roman" w:hAnsi="Times New Roman"/>
          <w:sz w:val="24"/>
          <w:szCs w:val="24"/>
          <w:lang w:val="en-US" w:eastAsia="it-IT"/>
        </w:rPr>
      </w:pPr>
      <w:r w:rsidRPr="00010050">
        <w:rPr>
          <w:rFonts w:cs="Arial"/>
          <w:color w:val="000000"/>
          <w:szCs w:val="18"/>
          <w:lang w:eastAsia="it-IT"/>
        </w:rPr>
        <w:t>Green diesel is a drop-in biofuel that can replace conventional diesel entirely (up to 100%). It is primarily derived from vegetable oils, animal fats, or used oils. The production process involves chemical hydrogenation, during which the triglycerides in the oils are converted into hydrocarbons and propane.</w:t>
      </w:r>
      <w:r>
        <w:rPr>
          <w:rFonts w:cs="Arial"/>
          <w:color w:val="000000"/>
          <w:szCs w:val="18"/>
          <w:lang w:eastAsia="it-IT"/>
        </w:rPr>
        <w:t xml:space="preserve"> </w:t>
      </w:r>
      <w:r w:rsidRPr="00010050">
        <w:rPr>
          <w:rFonts w:cs="Arial"/>
          <w:color w:val="000000"/>
          <w:szCs w:val="18"/>
          <w:lang w:eastAsia="it-IT"/>
        </w:rPr>
        <w:t>The benefits of green diesel include its ability to reduce greenhouse gas emissions compared to fossil fuels. This is because the carbon cycle is neutral: the CO</w:t>
      </w:r>
      <w:r w:rsidRPr="008C1875">
        <w:rPr>
          <w:rFonts w:cs="Arial"/>
          <w:color w:val="000000"/>
          <w:szCs w:val="18"/>
          <w:vertAlign w:val="subscript"/>
          <w:lang w:eastAsia="it-IT"/>
        </w:rPr>
        <w:t>2</w:t>
      </w:r>
      <w:r w:rsidRPr="00010050">
        <w:rPr>
          <w:rFonts w:cs="Arial"/>
          <w:color w:val="000000"/>
          <w:szCs w:val="18"/>
          <w:lang w:eastAsia="it-IT"/>
        </w:rPr>
        <w:t xml:space="preserve"> released during combustion is the same CO</w:t>
      </w:r>
      <w:r w:rsidRPr="008C1875">
        <w:rPr>
          <w:rFonts w:cs="Arial"/>
          <w:color w:val="000000"/>
          <w:szCs w:val="18"/>
          <w:vertAlign w:val="subscript"/>
          <w:lang w:eastAsia="it-IT"/>
        </w:rPr>
        <w:t>2</w:t>
      </w:r>
      <w:r w:rsidRPr="00010050">
        <w:rPr>
          <w:rFonts w:cs="Arial"/>
          <w:color w:val="000000"/>
          <w:szCs w:val="18"/>
          <w:lang w:eastAsia="it-IT"/>
        </w:rPr>
        <w:t xml:space="preserve"> that was absorbed by the plants used to produce the vegetable oil. Additionally, green diesel reduces particulate emissions and has an extremely low </w:t>
      </w:r>
      <w:proofErr w:type="spellStart"/>
      <w:r w:rsidRPr="00010050">
        <w:rPr>
          <w:rFonts w:cs="Arial"/>
          <w:color w:val="000000"/>
          <w:szCs w:val="18"/>
          <w:lang w:eastAsia="it-IT"/>
        </w:rPr>
        <w:t>sulfur</w:t>
      </w:r>
      <w:proofErr w:type="spellEnd"/>
      <w:r w:rsidRPr="00010050">
        <w:rPr>
          <w:rFonts w:cs="Arial"/>
          <w:color w:val="000000"/>
          <w:szCs w:val="18"/>
          <w:lang w:eastAsia="it-IT"/>
        </w:rPr>
        <w:t xml:space="preserve"> content, helping to mitigate air pollution and the phenomenon of acid rain.</w:t>
      </w:r>
      <w:r>
        <w:rPr>
          <w:rFonts w:cs="Arial"/>
          <w:color w:val="000000"/>
          <w:szCs w:val="18"/>
          <w:lang w:eastAsia="it-IT"/>
        </w:rPr>
        <w:t xml:space="preserve"> </w:t>
      </w:r>
      <w:r w:rsidRPr="00010050">
        <w:rPr>
          <w:rFonts w:cs="Arial"/>
          <w:color w:val="000000"/>
          <w:szCs w:val="18"/>
          <w:lang w:eastAsia="it-IT"/>
        </w:rPr>
        <w:t>Beyond air quality benefits, green diesel contributes to the circular economy by transforming waste products, such as used oils, into valuable resources, thereby avoiding the need for disposal. Another significant advantage of green diesel is its compatibility with existing diesel engines, which do not require modifications, making it a viable and immediate solution to reducing fossil fuel use.</w:t>
      </w:r>
      <w:r>
        <w:rPr>
          <w:rFonts w:cs="Arial"/>
          <w:color w:val="000000"/>
          <w:szCs w:val="18"/>
          <w:lang w:eastAsia="it-IT"/>
        </w:rPr>
        <w:t xml:space="preserve"> </w:t>
      </w:r>
      <w:r w:rsidR="00A940FD" w:rsidRPr="00A940FD">
        <w:rPr>
          <w:rFonts w:cs="Arial"/>
          <w:color w:val="000000"/>
          <w:szCs w:val="18"/>
          <w:lang w:eastAsia="it-IT"/>
        </w:rPr>
        <w:t xml:space="preserve">The full ICE bio </w:t>
      </w:r>
      <w:r w:rsidR="00131359">
        <w:rPr>
          <w:rFonts w:cs="Arial"/>
          <w:color w:val="000000"/>
          <w:szCs w:val="18"/>
          <w:lang w:eastAsia="it-IT"/>
        </w:rPr>
        <w:t>scenario</w:t>
      </w:r>
      <w:r w:rsidR="00A940FD" w:rsidRPr="00A940FD">
        <w:rPr>
          <w:rFonts w:cs="Arial"/>
          <w:color w:val="000000"/>
          <w:szCs w:val="18"/>
          <w:lang w:eastAsia="it-IT"/>
        </w:rPr>
        <w:t xml:space="preserve"> is a scenario in which the entire car fleet is characterised by an endothermic engine powered by green diesel. </w:t>
      </w:r>
      <w:r w:rsidR="00A940FD" w:rsidRPr="004462A7">
        <w:rPr>
          <w:rFonts w:cs="Arial"/>
          <w:color w:val="000000"/>
          <w:szCs w:val="18"/>
          <w:lang w:val="en-US" w:eastAsia="it-IT"/>
        </w:rPr>
        <w:t xml:space="preserve">According to this </w:t>
      </w:r>
      <w:r w:rsidR="00131359" w:rsidRPr="004462A7">
        <w:rPr>
          <w:rFonts w:cs="Arial"/>
          <w:color w:val="000000"/>
          <w:szCs w:val="18"/>
          <w:lang w:val="en-US" w:eastAsia="it-IT"/>
        </w:rPr>
        <w:t>scenario</w:t>
      </w:r>
      <w:r w:rsidR="00A940FD" w:rsidRPr="004462A7">
        <w:rPr>
          <w:rFonts w:cs="Arial"/>
          <w:color w:val="000000"/>
          <w:szCs w:val="18"/>
          <w:lang w:val="en-US" w:eastAsia="it-IT"/>
        </w:rPr>
        <w:t>, the energy conversion steps are:</w:t>
      </w:r>
    </w:p>
    <w:p w14:paraId="067C9E0D" w14:textId="13B21C7A" w:rsidR="00A940FD" w:rsidRPr="00A940FD" w:rsidRDefault="00A940FD" w:rsidP="00A940FD">
      <w:pPr>
        <w:numPr>
          <w:ilvl w:val="0"/>
          <w:numId w:val="29"/>
        </w:numPr>
        <w:tabs>
          <w:tab w:val="clear" w:pos="7100"/>
        </w:tabs>
        <w:spacing w:line="240" w:lineRule="auto"/>
        <w:textAlignment w:val="baseline"/>
        <w:rPr>
          <w:rFonts w:cs="Arial"/>
          <w:color w:val="000000"/>
          <w:szCs w:val="18"/>
          <w:lang w:eastAsia="it-IT"/>
        </w:rPr>
      </w:pPr>
      <w:r w:rsidRPr="00A940FD">
        <w:rPr>
          <w:rFonts w:cs="Arial"/>
          <w:color w:val="000000"/>
          <w:szCs w:val="18"/>
          <w:lang w:eastAsia="it-IT"/>
        </w:rPr>
        <w:t xml:space="preserve">the green diesel is produced in the biorefinery and transported by tankers to the service </w:t>
      </w:r>
      <w:proofErr w:type="gramStart"/>
      <w:r w:rsidRPr="00A940FD">
        <w:rPr>
          <w:rFonts w:cs="Arial"/>
          <w:color w:val="000000"/>
          <w:szCs w:val="18"/>
          <w:lang w:eastAsia="it-IT"/>
        </w:rPr>
        <w:t>stations;</w:t>
      </w:r>
      <w:proofErr w:type="gramEnd"/>
    </w:p>
    <w:p w14:paraId="75C81E07" w14:textId="77777777" w:rsidR="00A940FD" w:rsidRPr="00A940FD" w:rsidRDefault="00A940FD" w:rsidP="00A940FD">
      <w:pPr>
        <w:numPr>
          <w:ilvl w:val="0"/>
          <w:numId w:val="29"/>
        </w:numPr>
        <w:tabs>
          <w:tab w:val="clear" w:pos="7100"/>
        </w:tabs>
        <w:spacing w:line="240" w:lineRule="auto"/>
        <w:textAlignment w:val="baseline"/>
        <w:rPr>
          <w:rFonts w:cs="Arial"/>
          <w:color w:val="000000"/>
          <w:szCs w:val="18"/>
          <w:lang w:eastAsia="it-IT"/>
        </w:rPr>
      </w:pPr>
      <w:r w:rsidRPr="00A940FD">
        <w:rPr>
          <w:rFonts w:cs="Arial"/>
          <w:color w:val="000000"/>
          <w:szCs w:val="18"/>
          <w:lang w:eastAsia="it-IT"/>
        </w:rPr>
        <w:t xml:space="preserve">the car is refuelled at the service </w:t>
      </w:r>
      <w:proofErr w:type="gramStart"/>
      <w:r w:rsidRPr="00A940FD">
        <w:rPr>
          <w:rFonts w:cs="Arial"/>
          <w:color w:val="000000"/>
          <w:szCs w:val="18"/>
          <w:lang w:eastAsia="it-IT"/>
        </w:rPr>
        <w:t>station;</w:t>
      </w:r>
      <w:proofErr w:type="gramEnd"/>
    </w:p>
    <w:p w14:paraId="1934F36C" w14:textId="77777777" w:rsidR="00A940FD" w:rsidRPr="00A940FD" w:rsidRDefault="00A940FD" w:rsidP="00A940FD">
      <w:pPr>
        <w:numPr>
          <w:ilvl w:val="0"/>
          <w:numId w:val="29"/>
        </w:numPr>
        <w:tabs>
          <w:tab w:val="clear" w:pos="7100"/>
        </w:tabs>
        <w:spacing w:line="240" w:lineRule="auto"/>
        <w:textAlignment w:val="baseline"/>
        <w:rPr>
          <w:rFonts w:cs="Arial"/>
          <w:color w:val="000000"/>
          <w:szCs w:val="18"/>
          <w:lang w:eastAsia="it-IT"/>
        </w:rPr>
      </w:pPr>
      <w:r w:rsidRPr="00A940FD">
        <w:rPr>
          <w:rFonts w:cs="Arial"/>
          <w:color w:val="000000"/>
          <w:szCs w:val="18"/>
          <w:lang w:eastAsia="it-IT"/>
        </w:rPr>
        <w:t>the energy of the tank's green diesel is transferred to the wheels.</w:t>
      </w:r>
    </w:p>
    <w:p w14:paraId="31CF0DF8" w14:textId="59689B3D" w:rsidR="00685594" w:rsidRPr="00B57B36" w:rsidRDefault="00685594" w:rsidP="00685594">
      <w:pPr>
        <w:pStyle w:val="CETheadingx"/>
      </w:pPr>
      <w:r>
        <w:t>Scenario</w:t>
      </w:r>
      <w:r w:rsidRPr="00685594">
        <w:t xml:space="preserve"> off-board hybrid</w:t>
      </w:r>
    </w:p>
    <w:p w14:paraId="44C6DEBA" w14:textId="30D7DEB1" w:rsidR="00A940FD" w:rsidRPr="00A940FD" w:rsidRDefault="00010050" w:rsidP="00010050">
      <w:pPr>
        <w:tabs>
          <w:tab w:val="clear" w:pos="7100"/>
        </w:tabs>
        <w:spacing w:line="240" w:lineRule="auto"/>
        <w:rPr>
          <w:rFonts w:cs="Arial"/>
          <w:color w:val="000000"/>
          <w:szCs w:val="18"/>
          <w:lang w:eastAsia="it-IT"/>
        </w:rPr>
      </w:pPr>
      <w:r w:rsidRPr="00010050">
        <w:rPr>
          <w:rFonts w:cs="Arial"/>
          <w:color w:val="000000"/>
          <w:szCs w:val="18"/>
          <w:lang w:eastAsia="it-IT"/>
        </w:rPr>
        <w:t>The off-board hybrid system for charging electric vehicles uses a generator set powered by green diesel to supply electricity to charging stations. This approach combines the benefits of the green diesel supply chain with the advantages of a fully electric car fleet. Additionally, using a fixed-point internal combustion engine allows for the implementation of a CO</w:t>
      </w:r>
      <w:r w:rsidRPr="008C1875">
        <w:rPr>
          <w:rFonts w:cs="Arial"/>
          <w:color w:val="000000"/>
          <w:szCs w:val="18"/>
          <w:vertAlign w:val="subscript"/>
          <w:lang w:eastAsia="it-IT"/>
        </w:rPr>
        <w:t>2</w:t>
      </w:r>
      <w:r w:rsidRPr="00010050">
        <w:rPr>
          <w:rFonts w:cs="Arial"/>
          <w:color w:val="000000"/>
          <w:szCs w:val="18"/>
          <w:lang w:eastAsia="it-IT"/>
        </w:rPr>
        <w:t xml:space="preserve"> capture system and achieves higher efficiency than cars equipped with internal combustion engines (ICE).</w:t>
      </w:r>
      <w:r>
        <w:rPr>
          <w:rFonts w:cs="Arial"/>
          <w:color w:val="000000"/>
          <w:szCs w:val="18"/>
          <w:lang w:eastAsia="it-IT"/>
        </w:rPr>
        <w:t xml:space="preserve"> </w:t>
      </w:r>
      <w:r w:rsidRPr="00010050">
        <w:rPr>
          <w:rFonts w:cs="Arial"/>
          <w:color w:val="000000"/>
          <w:szCs w:val="18"/>
          <w:lang w:eastAsia="it-IT"/>
        </w:rPr>
        <w:t>In this scenario, the entire car fleet is 100% electric, but the vehicle batteries are recharged through charging columns that are not connected to the distribution network. Instead, they are powered by electrical generators operating in 'island' mode</w:t>
      </w:r>
      <w:r w:rsidR="00A940FD" w:rsidRPr="00A940FD">
        <w:rPr>
          <w:rFonts w:cs="Arial"/>
          <w:color w:val="000000"/>
          <w:szCs w:val="18"/>
          <w:lang w:eastAsia="it-IT"/>
        </w:rPr>
        <w:t>.</w:t>
      </w:r>
      <w:r w:rsidR="002F5B95">
        <w:rPr>
          <w:rFonts w:cs="Arial"/>
          <w:color w:val="000000"/>
          <w:szCs w:val="18"/>
          <w:lang w:eastAsia="it-IT"/>
        </w:rPr>
        <w:t xml:space="preserve"> </w:t>
      </w:r>
    </w:p>
    <w:p w14:paraId="1C5B4EB4" w14:textId="1EE0D667" w:rsidR="00A940FD" w:rsidRPr="00A940FD" w:rsidRDefault="00A940FD" w:rsidP="00010050">
      <w:pPr>
        <w:keepNext/>
        <w:tabs>
          <w:tab w:val="clear" w:pos="7100"/>
        </w:tabs>
        <w:spacing w:line="240" w:lineRule="auto"/>
        <w:rPr>
          <w:rFonts w:cs="Arial"/>
          <w:color w:val="000000"/>
          <w:szCs w:val="18"/>
          <w:lang w:eastAsia="it-IT"/>
        </w:rPr>
      </w:pPr>
      <w:r w:rsidRPr="00A940FD">
        <w:rPr>
          <w:rFonts w:cs="Arial"/>
          <w:color w:val="000000"/>
          <w:szCs w:val="18"/>
          <w:lang w:eastAsia="it-IT"/>
        </w:rPr>
        <w:lastRenderedPageBreak/>
        <w:t xml:space="preserve">In particular, the first steps of energy conversion are common to the full ICE bio </w:t>
      </w:r>
      <w:r w:rsidR="00131359">
        <w:rPr>
          <w:rFonts w:cs="Arial"/>
          <w:color w:val="000000"/>
          <w:szCs w:val="18"/>
          <w:lang w:eastAsia="it-IT"/>
        </w:rPr>
        <w:t>scenario</w:t>
      </w:r>
      <w:r w:rsidRPr="00A940FD">
        <w:rPr>
          <w:rFonts w:cs="Arial"/>
          <w:color w:val="000000"/>
          <w:szCs w:val="18"/>
          <w:lang w:eastAsia="it-IT"/>
        </w:rPr>
        <w:t xml:space="preserve">, while the latter are common to the full electric </w:t>
      </w:r>
      <w:r w:rsidR="00131359">
        <w:rPr>
          <w:rFonts w:cs="Arial"/>
          <w:color w:val="000000"/>
          <w:szCs w:val="18"/>
          <w:lang w:eastAsia="it-IT"/>
        </w:rPr>
        <w:t>scenario</w:t>
      </w:r>
      <w:r w:rsidRPr="00A940FD">
        <w:rPr>
          <w:rFonts w:cs="Arial"/>
          <w:color w:val="000000"/>
          <w:szCs w:val="18"/>
          <w:lang w:eastAsia="it-IT"/>
        </w:rPr>
        <w:t xml:space="preserve">. Therefore, the energy conversion steps in this </w:t>
      </w:r>
      <w:r w:rsidR="00131359">
        <w:rPr>
          <w:rFonts w:cs="Arial"/>
          <w:color w:val="000000"/>
          <w:szCs w:val="18"/>
          <w:lang w:eastAsia="it-IT"/>
        </w:rPr>
        <w:t>scenario</w:t>
      </w:r>
      <w:r w:rsidRPr="00A940FD">
        <w:rPr>
          <w:rFonts w:cs="Arial"/>
          <w:color w:val="000000"/>
          <w:szCs w:val="18"/>
          <w:lang w:eastAsia="it-IT"/>
        </w:rPr>
        <w:t xml:space="preserve"> are as follows:</w:t>
      </w:r>
    </w:p>
    <w:p w14:paraId="75E70DA7" w14:textId="328DEFF5" w:rsidR="00A940FD" w:rsidRPr="00A940FD" w:rsidRDefault="00A940FD" w:rsidP="00A940FD">
      <w:pPr>
        <w:numPr>
          <w:ilvl w:val="0"/>
          <w:numId w:val="31"/>
        </w:numPr>
        <w:tabs>
          <w:tab w:val="clear" w:pos="7100"/>
        </w:tabs>
        <w:spacing w:line="240" w:lineRule="auto"/>
        <w:textAlignment w:val="baseline"/>
        <w:rPr>
          <w:rFonts w:cs="Arial"/>
          <w:color w:val="000000"/>
          <w:szCs w:val="18"/>
          <w:lang w:eastAsia="it-IT"/>
        </w:rPr>
      </w:pPr>
      <w:r w:rsidRPr="00A940FD">
        <w:rPr>
          <w:rFonts w:cs="Arial"/>
          <w:color w:val="000000"/>
          <w:szCs w:val="18"/>
          <w:lang w:eastAsia="it-IT"/>
        </w:rPr>
        <w:t xml:space="preserve">the green diesel is produced in a biorefinery, transported from the production plant to the service stations and stored in a tank (as in the full ICE bio </w:t>
      </w:r>
      <w:r w:rsidR="00131359">
        <w:rPr>
          <w:rFonts w:cs="Arial"/>
          <w:color w:val="000000"/>
          <w:szCs w:val="18"/>
          <w:lang w:eastAsia="it-IT"/>
        </w:rPr>
        <w:t>scenario</w:t>
      </w:r>
      <w:proofErr w:type="gramStart"/>
      <w:r w:rsidRPr="00A940FD">
        <w:rPr>
          <w:rFonts w:cs="Arial"/>
          <w:color w:val="000000"/>
          <w:szCs w:val="18"/>
          <w:lang w:eastAsia="it-IT"/>
        </w:rPr>
        <w:t>);</w:t>
      </w:r>
      <w:proofErr w:type="gramEnd"/>
    </w:p>
    <w:p w14:paraId="3C03BDB3" w14:textId="63F5F7F6" w:rsidR="00A940FD" w:rsidRPr="00A940FD" w:rsidRDefault="00A940FD" w:rsidP="00A940FD">
      <w:pPr>
        <w:numPr>
          <w:ilvl w:val="0"/>
          <w:numId w:val="31"/>
        </w:numPr>
        <w:tabs>
          <w:tab w:val="clear" w:pos="7100"/>
        </w:tabs>
        <w:spacing w:line="240" w:lineRule="auto"/>
        <w:textAlignment w:val="baseline"/>
        <w:rPr>
          <w:rFonts w:cs="Arial"/>
          <w:color w:val="000000"/>
          <w:szCs w:val="18"/>
          <w:lang w:eastAsia="it-IT"/>
        </w:rPr>
      </w:pPr>
      <w:r w:rsidRPr="00A940FD">
        <w:rPr>
          <w:rFonts w:cs="Arial"/>
          <w:color w:val="000000"/>
          <w:szCs w:val="18"/>
          <w:lang w:eastAsia="it-IT"/>
        </w:rPr>
        <w:t>the green diesel is taken from the tank and sent to the generator that transforms the thermal energy produced by the green diesel into electrical current then sorted to the charging stations;</w:t>
      </w:r>
    </w:p>
    <w:p w14:paraId="76914395" w14:textId="0A3B48DF" w:rsidR="00A940FD" w:rsidRDefault="00A940FD" w:rsidP="00A940FD">
      <w:pPr>
        <w:numPr>
          <w:ilvl w:val="0"/>
          <w:numId w:val="31"/>
        </w:numPr>
        <w:tabs>
          <w:tab w:val="clear" w:pos="7100"/>
        </w:tabs>
        <w:spacing w:line="240" w:lineRule="auto"/>
        <w:textAlignment w:val="baseline"/>
        <w:rPr>
          <w:rFonts w:cs="Arial"/>
          <w:color w:val="000000"/>
          <w:szCs w:val="18"/>
          <w:lang w:eastAsia="it-IT"/>
        </w:rPr>
      </w:pPr>
      <w:r w:rsidRPr="00A940FD">
        <w:rPr>
          <w:rFonts w:cs="Arial"/>
          <w:color w:val="000000"/>
          <w:szCs w:val="18"/>
          <w:lang w:eastAsia="it-IT"/>
        </w:rPr>
        <w:t xml:space="preserve">the column recharges the vehicle battery, which transmits energy to the wheels (as in the full electric </w:t>
      </w:r>
      <w:r w:rsidR="00131359">
        <w:rPr>
          <w:rFonts w:cs="Arial"/>
          <w:color w:val="000000"/>
          <w:szCs w:val="18"/>
          <w:lang w:eastAsia="it-IT"/>
        </w:rPr>
        <w:t>scenario</w:t>
      </w:r>
      <w:r w:rsidRPr="00A940FD">
        <w:rPr>
          <w:rFonts w:cs="Arial"/>
          <w:color w:val="000000"/>
          <w:szCs w:val="18"/>
          <w:lang w:eastAsia="it-IT"/>
        </w:rPr>
        <w:t>).</w:t>
      </w:r>
    </w:p>
    <w:p w14:paraId="694F0B8D" w14:textId="102E9A86" w:rsidR="00685594" w:rsidRPr="00A940FD" w:rsidRDefault="00685594" w:rsidP="00685594">
      <w:pPr>
        <w:pStyle w:val="CETHeading1"/>
      </w:pPr>
      <w:r>
        <w:t>Methodology</w:t>
      </w:r>
    </w:p>
    <w:p w14:paraId="0B01D7E7" w14:textId="0798B7CC" w:rsidR="009F3843" w:rsidRPr="009F3843" w:rsidRDefault="00010050" w:rsidP="00010050">
      <w:pPr>
        <w:pStyle w:val="CETBodytext"/>
        <w:rPr>
          <w:lang w:val="en-GB"/>
        </w:rPr>
      </w:pPr>
      <w:r w:rsidRPr="00010050">
        <w:rPr>
          <w:lang w:val="en-GB"/>
        </w:rPr>
        <w:t>The analysis conducted in this paper includes some simplifying assumptions. Specifically, the developed model is based on the Italian car fleet, considering factors like average distances and types of vehicles. The energy required for the wheels to travel 100 kilometres is based on the characteristics of the most sold vehicles on the Italian market, without accounting for differences between internal combustion and electric vehicles, such as weight or energy recovery during braking. For the analysis, 40 million cars travelling 11,000 km per year were considered.</w:t>
      </w:r>
      <w:r>
        <w:rPr>
          <w:lang w:val="en-GB"/>
        </w:rPr>
        <w:t xml:space="preserve"> </w:t>
      </w:r>
      <w:r w:rsidRPr="00010050">
        <w:rPr>
          <w:lang w:val="en-GB"/>
        </w:rPr>
        <w:t>For the environmental impact assessment, only the equivalent CO</w:t>
      </w:r>
      <w:r w:rsidRPr="008C1875">
        <w:rPr>
          <w:vertAlign w:val="subscript"/>
          <w:lang w:val="en-GB"/>
        </w:rPr>
        <w:t>2</w:t>
      </w:r>
      <w:r w:rsidRPr="00010050">
        <w:rPr>
          <w:lang w:val="en-GB"/>
        </w:rPr>
        <w:t xml:space="preserve"> emitted in the various conversion steps was </w:t>
      </w:r>
      <w:r w:rsidR="008C1875" w:rsidRPr="00010050">
        <w:rPr>
          <w:lang w:val="en-GB"/>
        </w:rPr>
        <w:t>considered</w:t>
      </w:r>
      <w:r w:rsidRPr="00010050">
        <w:rPr>
          <w:lang w:val="en-GB"/>
        </w:rPr>
        <w:t>. The cost analysis examines the gross costs of energy, fuels, infrastructure, components, and vehicles. The calculation tool in this study is based on the well-to-wheel analysis, which quantifies the impact of fuels and transport vehicles on energy use and greenhouse gas emissions.</w:t>
      </w:r>
      <w:r>
        <w:rPr>
          <w:lang w:val="en-GB"/>
        </w:rPr>
        <w:t xml:space="preserve"> </w:t>
      </w:r>
      <w:r w:rsidRPr="00010050">
        <w:rPr>
          <w:lang w:val="en-GB"/>
        </w:rPr>
        <w:t xml:space="preserve">As more traction systems and alternative fuels are utilized, it's necessary to evaluate emissions and energy consumption from the primary source to final use. This provides a clearer understanding of the effects of specific technologies not just </w:t>
      </w:r>
      <w:r w:rsidR="008C1875" w:rsidRPr="00010050">
        <w:rPr>
          <w:lang w:val="en-GB"/>
        </w:rPr>
        <w:t>locally but</w:t>
      </w:r>
      <w:r w:rsidRPr="00010050">
        <w:rPr>
          <w:lang w:val="en-GB"/>
        </w:rPr>
        <w:t xml:space="preserve"> starting from the source itself. The analysis investigates greenhouse gas emissions and energy efficiency, and a well-to-wheel analysis can be divided into two steps: the well-to-tank analysis, which considers how energy reaches the vehicle's tank, and the tank-to-wheel analysis, which focuses on the vehicle itself.</w:t>
      </w:r>
      <w:r>
        <w:rPr>
          <w:lang w:val="en-GB"/>
        </w:rPr>
        <w:t xml:space="preserve"> </w:t>
      </w:r>
      <w:r w:rsidRPr="00010050">
        <w:rPr>
          <w:lang w:val="en-GB"/>
        </w:rPr>
        <w:t>For the energy analysis, the energy required for a vehicle's wheels to travel one hundred kilometres was calculated using an equation that considers the vehicle's frontal area, mass, and aerodynamic and rolling friction coefficients</w:t>
      </w:r>
      <w:r w:rsidR="009F3843" w:rsidRPr="009F3843">
        <w:rPr>
          <w:lang w:val="en-GB"/>
        </w:rPr>
        <w:t>:</w:t>
      </w:r>
    </w:p>
    <w:tbl>
      <w:tblPr>
        <w:tblW w:w="5000" w:type="pct"/>
        <w:tblLook w:val="04A0" w:firstRow="1" w:lastRow="0" w:firstColumn="1" w:lastColumn="0" w:noHBand="0" w:noVBand="1"/>
      </w:tblPr>
      <w:tblGrid>
        <w:gridCol w:w="7986"/>
        <w:gridCol w:w="801"/>
      </w:tblGrid>
      <w:tr w:rsidR="00445425" w:rsidRPr="00B57B36" w14:paraId="75FC4D2A" w14:textId="77777777" w:rsidTr="00DB3AAE">
        <w:tc>
          <w:tcPr>
            <w:tcW w:w="7986" w:type="dxa"/>
            <w:shd w:val="clear" w:color="auto" w:fill="auto"/>
            <w:vAlign w:val="center"/>
          </w:tcPr>
          <w:p w14:paraId="203B58AC" w14:textId="7D9C21BA" w:rsidR="00445425" w:rsidRPr="00B57B36" w:rsidRDefault="00000000" w:rsidP="00DB3AAE">
            <w:pPr>
              <w:pStyle w:val="CETEquation"/>
            </w:pPr>
            <m:oMathPara>
              <m:oMath>
                <m:sSub>
                  <m:sSubPr>
                    <m:ctrlPr>
                      <w:rPr>
                        <w:rFonts w:ascii="Cambria Math" w:hAnsi="Cambria Math"/>
                        <w:i/>
                        <w:iCs/>
                      </w:rPr>
                    </m:ctrlPr>
                  </m:sSubPr>
                  <m:e>
                    <m:r>
                      <w:rPr>
                        <w:rFonts w:ascii="Cambria Math" w:hAnsi="Cambria Math"/>
                      </w:rPr>
                      <m:t>E</m:t>
                    </m:r>
                  </m:e>
                  <m:sub>
                    <m:r>
                      <w:rPr>
                        <w:rFonts w:ascii="Cambria Math" w:hAnsi="Cambria Math"/>
                      </w:rPr>
                      <m:t>w</m:t>
                    </m:r>
                  </m:sub>
                </m:sSub>
                <m:r>
                  <m:rPr>
                    <m:sty m:val="p"/>
                  </m:rP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A</m:t>
                        </m:r>
                      </m:e>
                      <m:sub>
                        <m:r>
                          <w:rPr>
                            <w:rFonts w:ascii="Cambria Math" w:hAnsi="Cambria Math"/>
                          </w:rPr>
                          <m:t>f</m:t>
                        </m:r>
                      </m:sub>
                    </m:sSub>
                    <m:r>
                      <m:rPr>
                        <m:sty m:val="p"/>
                      </m:rP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d</m:t>
                        </m:r>
                      </m:sub>
                    </m:sSub>
                    <m:r>
                      <m:rPr>
                        <m:sty m:val="p"/>
                      </m:rPr>
                      <w:rPr>
                        <w:rFonts w:ascii="Cambria Math" w:hAnsi="Cambria Math"/>
                      </w:rPr>
                      <m:t>∙1,9∙</m:t>
                    </m:r>
                    <m:sSup>
                      <m:sSupPr>
                        <m:ctrlPr>
                          <w:rPr>
                            <w:rFonts w:ascii="Cambria Math" w:hAnsi="Cambria Math"/>
                            <w:i/>
                            <w:iCs/>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v</m:t>
                        </m:r>
                      </m:sub>
                    </m:sSub>
                    <m:r>
                      <m:rPr>
                        <m:sty m:val="p"/>
                      </m:rP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r</m:t>
                        </m:r>
                      </m:sub>
                    </m:sSub>
                    <m:r>
                      <m:rPr>
                        <m:sty m:val="p"/>
                      </m:rPr>
                      <w:rPr>
                        <w:rFonts w:ascii="Cambria Math" w:hAnsi="Cambria Math"/>
                      </w:rPr>
                      <m:t>∙8,4∙</m:t>
                    </m:r>
                    <m:sSup>
                      <m:sSupPr>
                        <m:ctrlPr>
                          <w:rPr>
                            <w:rFonts w:ascii="Cambria Math" w:hAnsi="Cambria Math"/>
                            <w:i/>
                            <w:iCs/>
                          </w:rPr>
                        </m:ctrlPr>
                      </m:sSupPr>
                      <m:e>
                        <m:r>
                          <m:rPr>
                            <m:sty m:val="p"/>
                          </m:rPr>
                          <w:rPr>
                            <w:rFonts w:ascii="Cambria Math" w:hAnsi="Cambria Math"/>
                          </w:rPr>
                          <m:t>10</m:t>
                        </m:r>
                      </m:e>
                      <m:sup>
                        <m:r>
                          <m:rPr>
                            <m:sty m:val="p"/>
                          </m:rPr>
                          <w:rPr>
                            <w:rFonts w:ascii="Cambria Math" w:hAnsi="Cambria Math"/>
                          </w:rPr>
                          <m:t>2</m:t>
                        </m:r>
                      </m:sup>
                    </m:sSup>
                    <m:r>
                      <m:rPr>
                        <m:sty m:val="p"/>
                      </m:rP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v</m:t>
                        </m:r>
                      </m:sub>
                    </m:sSub>
                    <m:r>
                      <m:rPr>
                        <m:sty m:val="p"/>
                      </m:rPr>
                      <w:rPr>
                        <w:rFonts w:ascii="Cambria Math" w:hAnsi="Cambria Math"/>
                      </w:rPr>
                      <m:t>∙10</m:t>
                    </m:r>
                  </m:num>
                  <m:den>
                    <m:r>
                      <m:rPr>
                        <m:sty m:val="p"/>
                      </m:rPr>
                      <w:rPr>
                        <w:rFonts w:ascii="Cambria Math" w:hAnsi="Cambria Math"/>
                      </w:rPr>
                      <m:t>3600</m:t>
                    </m:r>
                  </m:den>
                </m:f>
              </m:oMath>
            </m:oMathPara>
          </w:p>
        </w:tc>
        <w:tc>
          <w:tcPr>
            <w:tcW w:w="801" w:type="dxa"/>
            <w:shd w:val="clear" w:color="auto" w:fill="auto"/>
            <w:vAlign w:val="center"/>
          </w:tcPr>
          <w:p w14:paraId="1FC57A94" w14:textId="0A2DAAFE" w:rsidR="00445425" w:rsidRPr="00B57B36" w:rsidRDefault="00445425" w:rsidP="00DB3AAE">
            <w:pPr>
              <w:pStyle w:val="CETEquation"/>
              <w:jc w:val="right"/>
            </w:pPr>
            <w:r w:rsidRPr="00B57B36">
              <w:t>(</w:t>
            </w:r>
            <w:r>
              <w:t>1</w:t>
            </w:r>
            <w:r w:rsidRPr="00B57B36">
              <w:t>)</w:t>
            </w:r>
          </w:p>
        </w:tc>
      </w:tr>
    </w:tbl>
    <w:p w14:paraId="40409563" w14:textId="60EC9E5A" w:rsidR="00865EF9" w:rsidRDefault="009F3843" w:rsidP="00685594">
      <w:pPr>
        <w:pStyle w:val="CETBodytext"/>
        <w:rPr>
          <w:lang w:val="en-GB"/>
        </w:rPr>
      </w:pPr>
      <w:r w:rsidRPr="009F3843">
        <w:rPr>
          <w:lang w:val="en-GB"/>
        </w:rPr>
        <w:t xml:space="preserve">Then, using </w:t>
      </w:r>
      <w:r>
        <w:rPr>
          <w:lang w:val="en-GB"/>
        </w:rPr>
        <w:t>equations</w:t>
      </w:r>
      <w:r w:rsidRPr="009F3843">
        <w:rPr>
          <w:lang w:val="en-GB"/>
        </w:rPr>
        <w:t xml:space="preserve"> based on the efficiency chain principle, the various energies at different steps were obtained, up to the energy that the power plant must produce (equation 2):</w:t>
      </w:r>
    </w:p>
    <w:tbl>
      <w:tblPr>
        <w:tblW w:w="5000" w:type="pct"/>
        <w:tblLook w:val="04A0" w:firstRow="1" w:lastRow="0" w:firstColumn="1" w:lastColumn="0" w:noHBand="0" w:noVBand="1"/>
      </w:tblPr>
      <w:tblGrid>
        <w:gridCol w:w="7986"/>
        <w:gridCol w:w="801"/>
      </w:tblGrid>
      <w:tr w:rsidR="004577FE" w:rsidRPr="00B57B36" w14:paraId="18DE34A8" w14:textId="77777777" w:rsidTr="00685594">
        <w:tc>
          <w:tcPr>
            <w:tcW w:w="7986" w:type="dxa"/>
            <w:shd w:val="clear" w:color="auto" w:fill="auto"/>
            <w:vAlign w:val="center"/>
          </w:tcPr>
          <w:p w14:paraId="3AE2D949" w14:textId="776AC503" w:rsidR="004577FE" w:rsidRPr="00B57B36" w:rsidRDefault="00000000" w:rsidP="009E7884">
            <w:pPr>
              <w:pStyle w:val="CETEquation"/>
            </w:pPr>
            <m:oMathPara>
              <m:oMath>
                <m:sSub>
                  <m:sSubPr>
                    <m:ctrlPr>
                      <w:rPr>
                        <w:rFonts w:ascii="Cambria Math" w:hAnsi="Cambria Math"/>
                        <w:i/>
                        <w:iCs/>
                      </w:rPr>
                    </m:ctrlPr>
                  </m:sSubPr>
                  <m:e>
                    <m:r>
                      <w:rPr>
                        <w:rFonts w:ascii="Cambria Math" w:hAnsi="Cambria Math"/>
                      </w:rPr>
                      <m:t>E</m:t>
                    </m:r>
                  </m:e>
                  <m:sub>
                    <m:r>
                      <w:rPr>
                        <w:rFonts w:ascii="Cambria Math" w:hAnsi="Cambria Math"/>
                      </w:rPr>
                      <m:t>cen</m:t>
                    </m:r>
                  </m:sub>
                </m:sSub>
                <m:r>
                  <m:rPr>
                    <m:sty m:val="p"/>
                  </m:rP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E</m:t>
                        </m:r>
                      </m:e>
                      <m:sub>
                        <m:r>
                          <w:rPr>
                            <w:rFonts w:ascii="Cambria Math" w:hAnsi="Cambria Math"/>
                          </w:rPr>
                          <m:t>w</m:t>
                        </m:r>
                      </m:sub>
                    </m:sSub>
                  </m:num>
                  <m:den>
                    <m:sSub>
                      <m:sSubPr>
                        <m:ctrlPr>
                          <w:rPr>
                            <w:rFonts w:ascii="Cambria Math" w:hAnsi="Cambria Math"/>
                            <w:i/>
                            <w:iCs/>
                          </w:rPr>
                        </m:ctrlPr>
                      </m:sSubPr>
                      <m:e>
                        <m:r>
                          <w:rPr>
                            <w:rFonts w:ascii="Cambria Math" w:hAnsi="Cambria Math"/>
                          </w:rPr>
                          <m:t>η</m:t>
                        </m:r>
                      </m:e>
                      <m:sub>
                        <m:r>
                          <w:rPr>
                            <w:rFonts w:ascii="Cambria Math" w:hAnsi="Cambria Math"/>
                          </w:rPr>
                          <m:t>p</m:t>
                        </m:r>
                      </m:sub>
                    </m:sSub>
                    <m:r>
                      <w:rPr>
                        <w:rFonts w:ascii="Cambria Math" w:hAnsi="Cambria Math"/>
                        <w:rtl/>
                        <w:lang w:bidi="ar-AE"/>
                      </w:rPr>
                      <m:t>∙</m:t>
                    </m:r>
                    <m:sSub>
                      <m:sSubPr>
                        <m:ctrlPr>
                          <w:rPr>
                            <w:rFonts w:ascii="Cambria Math" w:hAnsi="Cambria Math"/>
                            <w:i/>
                            <w:iCs/>
                          </w:rPr>
                        </m:ctrlPr>
                      </m:sSubPr>
                      <m:e>
                        <m:r>
                          <w:rPr>
                            <w:rFonts w:ascii="Cambria Math" w:hAnsi="Cambria Math"/>
                          </w:rPr>
                          <m:t>η</m:t>
                        </m:r>
                      </m:e>
                      <m:sub>
                        <m:r>
                          <w:rPr>
                            <w:rFonts w:ascii="Cambria Math" w:hAnsi="Cambria Math"/>
                          </w:rPr>
                          <m:t>r</m:t>
                        </m:r>
                      </m:sub>
                    </m:sSub>
                    <m:r>
                      <w:rPr>
                        <w:rFonts w:ascii="Cambria Math" w:hAnsi="Cambria Math"/>
                        <w:rtl/>
                        <w:lang w:bidi="ar-AE"/>
                      </w:rPr>
                      <m:t>∙</m:t>
                    </m:r>
                    <m:sSub>
                      <m:sSubPr>
                        <m:ctrlPr>
                          <w:rPr>
                            <w:rFonts w:ascii="Cambria Math" w:hAnsi="Cambria Math"/>
                            <w:i/>
                            <w:iCs/>
                          </w:rPr>
                        </m:ctrlPr>
                      </m:sSubPr>
                      <m:e>
                        <m:r>
                          <w:rPr>
                            <w:rFonts w:ascii="Cambria Math" w:hAnsi="Cambria Math"/>
                          </w:rPr>
                          <m:t>η</m:t>
                        </m:r>
                      </m:e>
                      <m:sub>
                        <m:r>
                          <w:rPr>
                            <w:rFonts w:ascii="Cambria Math" w:hAnsi="Cambria Math"/>
                          </w:rPr>
                          <m:t>g</m:t>
                        </m:r>
                      </m:sub>
                    </m:sSub>
                    <m:r>
                      <w:rPr>
                        <w:rFonts w:ascii="Cambria Math" w:hAnsi="Cambria Math"/>
                        <w:rtl/>
                        <w:lang w:bidi="ar-AE"/>
                      </w:rPr>
                      <m:t>∙</m:t>
                    </m:r>
                    <m:sSub>
                      <m:sSubPr>
                        <m:ctrlPr>
                          <w:rPr>
                            <w:rFonts w:ascii="Cambria Math" w:hAnsi="Cambria Math"/>
                            <w:i/>
                            <w:iCs/>
                          </w:rPr>
                        </m:ctrlPr>
                      </m:sSubPr>
                      <m:e>
                        <m:r>
                          <w:rPr>
                            <w:rFonts w:ascii="Cambria Math" w:hAnsi="Cambria Math"/>
                          </w:rPr>
                          <m:t>η</m:t>
                        </m:r>
                      </m:e>
                      <m:sub>
                        <m:r>
                          <w:rPr>
                            <w:rFonts w:ascii="Cambria Math" w:hAnsi="Cambria Math"/>
                          </w:rPr>
                          <m:t>d</m:t>
                        </m:r>
                      </m:sub>
                    </m:sSub>
                  </m:den>
                </m:f>
              </m:oMath>
            </m:oMathPara>
          </w:p>
        </w:tc>
        <w:tc>
          <w:tcPr>
            <w:tcW w:w="801" w:type="dxa"/>
            <w:shd w:val="clear" w:color="auto" w:fill="auto"/>
            <w:vAlign w:val="center"/>
          </w:tcPr>
          <w:p w14:paraId="2BB6A4D4" w14:textId="77DFFAFB" w:rsidR="004577FE" w:rsidRPr="00B57B36" w:rsidRDefault="004577FE" w:rsidP="009E7884">
            <w:pPr>
              <w:pStyle w:val="CETEquation"/>
              <w:jc w:val="right"/>
            </w:pPr>
            <w:r w:rsidRPr="00B57B36">
              <w:t>(</w:t>
            </w:r>
            <w:r w:rsidR="00445425">
              <w:t>2</w:t>
            </w:r>
            <w:r w:rsidRPr="00B57B36">
              <w:t>)</w:t>
            </w:r>
          </w:p>
        </w:tc>
      </w:tr>
    </w:tbl>
    <w:p w14:paraId="73642E89" w14:textId="25CD55D1" w:rsidR="00685594" w:rsidRDefault="009F3843" w:rsidP="00685594">
      <w:pPr>
        <w:pStyle w:val="CETBodytext"/>
        <w:rPr>
          <w:lang w:val="en-GB"/>
        </w:rPr>
      </w:pPr>
      <w:r w:rsidRPr="009F3843">
        <w:rPr>
          <w:lang w:val="en-GB"/>
        </w:rPr>
        <w:t xml:space="preserve">For the environmental analysis, the results of the energy </w:t>
      </w:r>
      <w:r w:rsidRPr="00ED1E23">
        <w:rPr>
          <w:lang w:val="en-GB"/>
        </w:rPr>
        <w:t>analysis and the emission factors for each energy conversion step were used to calculate the total equivalent CO</w:t>
      </w:r>
      <w:r w:rsidRPr="00ED1E23">
        <w:rPr>
          <w:vertAlign w:val="subscript"/>
          <w:lang w:val="en-GB"/>
        </w:rPr>
        <w:t>2</w:t>
      </w:r>
      <w:r w:rsidRPr="009F3843">
        <w:rPr>
          <w:lang w:val="en-GB"/>
        </w:rPr>
        <w:t xml:space="preserve"> emitted to travel </w:t>
      </w:r>
      <w:r w:rsidR="00010050">
        <w:rPr>
          <w:lang w:val="en-GB"/>
        </w:rPr>
        <w:t>100</w:t>
      </w:r>
      <w:r w:rsidRPr="009F3843">
        <w:rPr>
          <w:lang w:val="en-GB"/>
        </w:rPr>
        <w:t xml:space="preserve"> kilometres:</w:t>
      </w:r>
    </w:p>
    <w:tbl>
      <w:tblPr>
        <w:tblW w:w="5000" w:type="pct"/>
        <w:tblLook w:val="04A0" w:firstRow="1" w:lastRow="0" w:firstColumn="1" w:lastColumn="0" w:noHBand="0" w:noVBand="1"/>
      </w:tblPr>
      <w:tblGrid>
        <w:gridCol w:w="7986"/>
        <w:gridCol w:w="801"/>
      </w:tblGrid>
      <w:tr w:rsidR="00685594" w:rsidRPr="00B57B36" w14:paraId="609DCE5D" w14:textId="77777777" w:rsidTr="00E72FD5">
        <w:tc>
          <w:tcPr>
            <w:tcW w:w="7986" w:type="dxa"/>
            <w:shd w:val="clear" w:color="auto" w:fill="auto"/>
            <w:vAlign w:val="center"/>
          </w:tcPr>
          <w:p w14:paraId="655A302F" w14:textId="2E28B4CA" w:rsidR="00685594" w:rsidRPr="00B57B36" w:rsidRDefault="00000000" w:rsidP="00E72FD5">
            <w:pPr>
              <w:pStyle w:val="CETEquation"/>
            </w:pPr>
            <m:oMathPara>
              <m:oMath>
                <m:sSub>
                  <m:sSubPr>
                    <m:ctrlPr>
                      <w:rPr>
                        <w:rFonts w:ascii="Cambria Math" w:hAnsi="Cambria Math"/>
                        <w:i/>
                        <w:szCs w:val="18"/>
                      </w:rPr>
                    </m:ctrlPr>
                  </m:sSubPr>
                  <m:e>
                    <m:r>
                      <w:rPr>
                        <w:rFonts w:ascii="Cambria Math" w:hAnsi="Cambria Math"/>
                        <w:szCs w:val="18"/>
                      </w:rPr>
                      <m:t>CO</m:t>
                    </m:r>
                  </m:e>
                  <m:sub>
                    <m:r>
                      <w:rPr>
                        <w:rFonts w:ascii="Cambria Math" w:hAnsi="Cambria Math"/>
                        <w:szCs w:val="18"/>
                      </w:rPr>
                      <m:t>2e,tot</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CO</m:t>
                    </m:r>
                  </m:e>
                  <m:sub>
                    <m:r>
                      <w:rPr>
                        <w:rFonts w:ascii="Cambria Math" w:hAnsi="Cambria Math"/>
                        <w:szCs w:val="18"/>
                      </w:rPr>
                      <m:t>2e,whe</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CO</m:t>
                    </m:r>
                  </m:e>
                  <m:sub>
                    <m:r>
                      <w:rPr>
                        <w:rFonts w:ascii="Cambria Math" w:hAnsi="Cambria Math"/>
                        <w:szCs w:val="18"/>
                      </w:rPr>
                      <m:t>2e,gen</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CO</m:t>
                    </m:r>
                  </m:e>
                  <m:sub>
                    <m:r>
                      <w:rPr>
                        <w:rFonts w:ascii="Cambria Math" w:hAnsi="Cambria Math"/>
                        <w:szCs w:val="18"/>
                      </w:rPr>
                      <m:t>2e,dist</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CO</m:t>
                    </m:r>
                  </m:e>
                  <m:sub>
                    <m:r>
                      <w:rPr>
                        <w:rFonts w:ascii="Cambria Math" w:hAnsi="Cambria Math"/>
                        <w:szCs w:val="18"/>
                      </w:rPr>
                      <m:t>2e,pri</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CO</m:t>
                    </m:r>
                  </m:e>
                  <m:sub>
                    <m:r>
                      <w:rPr>
                        <w:rFonts w:ascii="Cambria Math" w:hAnsi="Cambria Math"/>
                        <w:szCs w:val="18"/>
                      </w:rPr>
                      <m:t>2e,abs</m:t>
                    </m:r>
                  </m:sub>
                </m:sSub>
              </m:oMath>
            </m:oMathPara>
          </w:p>
        </w:tc>
        <w:tc>
          <w:tcPr>
            <w:tcW w:w="801" w:type="dxa"/>
            <w:shd w:val="clear" w:color="auto" w:fill="auto"/>
            <w:vAlign w:val="center"/>
          </w:tcPr>
          <w:p w14:paraId="4FF76300" w14:textId="370E25D3" w:rsidR="00685594" w:rsidRPr="00B57B36" w:rsidRDefault="00685594" w:rsidP="00E72FD5">
            <w:pPr>
              <w:pStyle w:val="CETEquation"/>
              <w:jc w:val="right"/>
            </w:pPr>
            <w:r w:rsidRPr="00B57B36">
              <w:t>(</w:t>
            </w:r>
            <w:r w:rsidR="002A5992">
              <w:t>3</w:t>
            </w:r>
            <w:r w:rsidRPr="00B57B36">
              <w:t>)</w:t>
            </w:r>
          </w:p>
        </w:tc>
      </w:tr>
    </w:tbl>
    <w:p w14:paraId="00085759" w14:textId="5161F53D" w:rsidR="009A3B32" w:rsidRDefault="009A3B32" w:rsidP="009A3B32">
      <w:pPr>
        <w:pStyle w:val="CETBodytext"/>
        <w:rPr>
          <w:lang w:val="en-GB"/>
        </w:rPr>
      </w:pPr>
      <w:r w:rsidRPr="009F3843">
        <w:rPr>
          <w:lang w:val="en-GB"/>
        </w:rPr>
        <w:t xml:space="preserve">Finally, the cost analysis </w:t>
      </w:r>
      <w:proofErr w:type="gramStart"/>
      <w:r w:rsidRPr="009F3843">
        <w:rPr>
          <w:lang w:val="en-GB"/>
        </w:rPr>
        <w:t>takes into account</w:t>
      </w:r>
      <w:proofErr w:type="gramEnd"/>
      <w:r w:rsidRPr="009F3843">
        <w:rPr>
          <w:lang w:val="en-GB"/>
        </w:rPr>
        <w:t xml:space="preserve"> the different expenses necessary:</w:t>
      </w:r>
    </w:p>
    <w:tbl>
      <w:tblPr>
        <w:tblW w:w="5000" w:type="pct"/>
        <w:tblLook w:val="04A0" w:firstRow="1" w:lastRow="0" w:firstColumn="1" w:lastColumn="0" w:noHBand="0" w:noVBand="1"/>
      </w:tblPr>
      <w:tblGrid>
        <w:gridCol w:w="7986"/>
        <w:gridCol w:w="801"/>
      </w:tblGrid>
      <w:tr w:rsidR="009A3B32" w:rsidRPr="00B57B36" w14:paraId="2181D095" w14:textId="77777777" w:rsidTr="00F56771">
        <w:tc>
          <w:tcPr>
            <w:tcW w:w="7986" w:type="dxa"/>
            <w:shd w:val="clear" w:color="auto" w:fill="auto"/>
            <w:vAlign w:val="center"/>
          </w:tcPr>
          <w:p w14:paraId="5B0B9AD7" w14:textId="77777777" w:rsidR="009A3B32" w:rsidRPr="00B57B36" w:rsidRDefault="00000000" w:rsidP="00F56771">
            <w:pPr>
              <w:pStyle w:val="CETEquation"/>
            </w:pPr>
            <m:oMathPara>
              <m:oMath>
                <m:sSub>
                  <m:sSubPr>
                    <m:ctrlPr>
                      <w:rPr>
                        <w:rFonts w:ascii="Cambria Math" w:hAnsi="Cambria Math"/>
                        <w:i/>
                        <w:szCs w:val="16"/>
                      </w:rPr>
                    </m:ctrlPr>
                  </m:sSubPr>
                  <m:e>
                    <m:r>
                      <w:rPr>
                        <w:rFonts w:ascii="Cambria Math" w:hAnsi="Cambria Math"/>
                        <w:szCs w:val="16"/>
                      </w:rPr>
                      <m:t>C</m:t>
                    </m:r>
                  </m:e>
                  <m:sub>
                    <m:r>
                      <w:rPr>
                        <w:rFonts w:ascii="Cambria Math" w:hAnsi="Cambria Math"/>
                        <w:szCs w:val="16"/>
                      </w:rPr>
                      <m:t>tot/100km</m:t>
                    </m:r>
                  </m:sub>
                </m:sSub>
                <m:r>
                  <w:rPr>
                    <w:rFonts w:ascii="Cambria Math" w:hAnsi="Cambria Math"/>
                    <w:szCs w:val="16"/>
                  </w:rPr>
                  <m:t>=</m:t>
                </m:r>
                <m:sSub>
                  <m:sSubPr>
                    <m:ctrlPr>
                      <w:rPr>
                        <w:rFonts w:ascii="Cambria Math" w:hAnsi="Cambria Math"/>
                        <w:i/>
                        <w:szCs w:val="16"/>
                      </w:rPr>
                    </m:ctrlPr>
                  </m:sSubPr>
                  <m:e>
                    <m:r>
                      <w:rPr>
                        <w:rFonts w:ascii="Cambria Math" w:hAnsi="Cambria Math"/>
                        <w:szCs w:val="16"/>
                      </w:rPr>
                      <m:t>C</m:t>
                    </m:r>
                  </m:e>
                  <m:sub>
                    <m:r>
                      <w:rPr>
                        <w:rFonts w:ascii="Cambria Math" w:hAnsi="Cambria Math"/>
                        <w:szCs w:val="16"/>
                      </w:rPr>
                      <m:t>veh/100km</m:t>
                    </m:r>
                  </m:sub>
                </m:sSub>
                <m:r>
                  <w:rPr>
                    <w:rFonts w:ascii="Cambria Math" w:hAnsi="Cambria Math"/>
                    <w:szCs w:val="16"/>
                  </w:rPr>
                  <m:t>+</m:t>
                </m:r>
                <m:sSub>
                  <m:sSubPr>
                    <m:ctrlPr>
                      <w:rPr>
                        <w:rFonts w:ascii="Cambria Math" w:hAnsi="Cambria Math"/>
                        <w:i/>
                        <w:szCs w:val="16"/>
                      </w:rPr>
                    </m:ctrlPr>
                  </m:sSubPr>
                  <m:e>
                    <m:r>
                      <w:rPr>
                        <w:rFonts w:ascii="Cambria Math" w:hAnsi="Cambria Math"/>
                        <w:szCs w:val="16"/>
                      </w:rPr>
                      <m:t>C</m:t>
                    </m:r>
                  </m:e>
                  <m:sub>
                    <m:r>
                      <w:rPr>
                        <w:rFonts w:ascii="Cambria Math" w:hAnsi="Cambria Math"/>
                        <w:szCs w:val="16"/>
                      </w:rPr>
                      <m:t>fuel/100km</m:t>
                    </m:r>
                  </m:sub>
                </m:sSub>
                <m:r>
                  <w:rPr>
                    <w:rFonts w:ascii="Cambria Math" w:hAnsi="Cambria Math"/>
                    <w:szCs w:val="16"/>
                  </w:rPr>
                  <m:t>+</m:t>
                </m:r>
                <m:sSub>
                  <m:sSubPr>
                    <m:ctrlPr>
                      <w:rPr>
                        <w:rFonts w:ascii="Cambria Math" w:hAnsi="Cambria Math"/>
                        <w:i/>
                        <w:szCs w:val="16"/>
                      </w:rPr>
                    </m:ctrlPr>
                  </m:sSubPr>
                  <m:e>
                    <m:r>
                      <w:rPr>
                        <w:rFonts w:ascii="Cambria Math" w:hAnsi="Cambria Math"/>
                        <w:szCs w:val="16"/>
                      </w:rPr>
                      <m:t>C</m:t>
                    </m:r>
                  </m:e>
                  <m:sub>
                    <m:r>
                      <w:rPr>
                        <w:rFonts w:ascii="Cambria Math" w:hAnsi="Cambria Math"/>
                        <w:szCs w:val="16"/>
                      </w:rPr>
                      <m:t>col/100km</m:t>
                    </m:r>
                  </m:sub>
                </m:sSub>
                <m:r>
                  <w:rPr>
                    <w:rFonts w:ascii="Cambria Math" w:hAnsi="Cambria Math"/>
                    <w:szCs w:val="16"/>
                  </w:rPr>
                  <m:t>+</m:t>
                </m:r>
                <m:sSub>
                  <m:sSubPr>
                    <m:ctrlPr>
                      <w:rPr>
                        <w:rFonts w:ascii="Cambria Math" w:hAnsi="Cambria Math"/>
                        <w:i/>
                        <w:szCs w:val="16"/>
                      </w:rPr>
                    </m:ctrlPr>
                  </m:sSubPr>
                  <m:e>
                    <m:r>
                      <w:rPr>
                        <w:rFonts w:ascii="Cambria Math" w:hAnsi="Cambria Math"/>
                        <w:szCs w:val="16"/>
                      </w:rPr>
                      <m:t>C</m:t>
                    </m:r>
                  </m:e>
                  <m:sub>
                    <m:r>
                      <w:rPr>
                        <w:rFonts w:ascii="Cambria Math" w:hAnsi="Cambria Math"/>
                        <w:szCs w:val="16"/>
                      </w:rPr>
                      <m:t>gen/100km</m:t>
                    </m:r>
                  </m:sub>
                </m:sSub>
                <m:r>
                  <w:rPr>
                    <w:rFonts w:ascii="Cambria Math" w:hAnsi="Cambria Math"/>
                    <w:szCs w:val="16"/>
                  </w:rPr>
                  <m:t>+</m:t>
                </m:r>
                <m:sSub>
                  <m:sSubPr>
                    <m:ctrlPr>
                      <w:rPr>
                        <w:rFonts w:ascii="Cambria Math" w:hAnsi="Cambria Math"/>
                        <w:i/>
                        <w:szCs w:val="16"/>
                      </w:rPr>
                    </m:ctrlPr>
                  </m:sSubPr>
                  <m:e>
                    <m:r>
                      <w:rPr>
                        <w:rFonts w:ascii="Cambria Math" w:hAnsi="Cambria Math"/>
                        <w:szCs w:val="16"/>
                      </w:rPr>
                      <m:t>C</m:t>
                    </m:r>
                  </m:e>
                  <m:sub>
                    <m:r>
                      <w:rPr>
                        <w:rFonts w:ascii="Cambria Math" w:hAnsi="Cambria Math"/>
                        <w:szCs w:val="16"/>
                      </w:rPr>
                      <m:t>net/100km</m:t>
                    </m:r>
                  </m:sub>
                </m:sSub>
                <m:r>
                  <w:rPr>
                    <w:rFonts w:ascii="Cambria Math" w:hAnsi="Cambria Math"/>
                    <w:szCs w:val="16"/>
                  </w:rPr>
                  <m:t>+</m:t>
                </m:r>
                <m:sSub>
                  <m:sSubPr>
                    <m:ctrlPr>
                      <w:rPr>
                        <w:rFonts w:ascii="Cambria Math" w:hAnsi="Cambria Math"/>
                        <w:i/>
                        <w:szCs w:val="16"/>
                      </w:rPr>
                    </m:ctrlPr>
                  </m:sSubPr>
                  <m:e>
                    <m:r>
                      <w:rPr>
                        <w:rFonts w:ascii="Cambria Math" w:hAnsi="Cambria Math"/>
                        <w:szCs w:val="16"/>
                      </w:rPr>
                      <m:t>C</m:t>
                    </m:r>
                  </m:e>
                  <m:sub>
                    <m:r>
                      <w:rPr>
                        <w:rFonts w:ascii="Cambria Math" w:hAnsi="Cambria Math"/>
                        <w:szCs w:val="16"/>
                      </w:rPr>
                      <m:t>sto/100km</m:t>
                    </m:r>
                  </m:sub>
                </m:sSub>
              </m:oMath>
            </m:oMathPara>
          </w:p>
        </w:tc>
        <w:tc>
          <w:tcPr>
            <w:tcW w:w="801" w:type="dxa"/>
            <w:shd w:val="clear" w:color="auto" w:fill="auto"/>
            <w:vAlign w:val="center"/>
          </w:tcPr>
          <w:p w14:paraId="67401C12" w14:textId="77777777" w:rsidR="009A3B32" w:rsidRPr="00B57B36" w:rsidRDefault="009A3B32" w:rsidP="00F56771">
            <w:pPr>
              <w:pStyle w:val="CETEquation"/>
              <w:jc w:val="right"/>
            </w:pPr>
            <w:r w:rsidRPr="00B57B36">
              <w:t>(</w:t>
            </w:r>
            <w:r>
              <w:t>4</w:t>
            </w:r>
            <w:r w:rsidRPr="00B57B36">
              <w:t>)</w:t>
            </w:r>
          </w:p>
        </w:tc>
      </w:tr>
    </w:tbl>
    <w:p w14:paraId="24BA76D1" w14:textId="0C62CD6F" w:rsidR="00DA1701" w:rsidRPr="00DA1701" w:rsidRDefault="00DA1701" w:rsidP="00DA1701">
      <w:pPr>
        <w:pStyle w:val="CETBodytext"/>
      </w:pPr>
      <w:r w:rsidRPr="00DA1701">
        <w:rPr>
          <w:lang w:val="en-GB"/>
        </w:rPr>
        <w:t>Values from the literature (Table 1) were used to obtain the comparison values. Specifically, the emission factor from biofuel combustion was necessary for the internal combustion engine (ICE) and off-board hybrid scenarios, while this value is zero for electric vehicles (EVs). For calculating emissions at the primary source, the emission factor used for electricity production was derived from the national energy mix. This value is crucial for the fully electric scenario, as it represents the only source of emissions from the primary source to the wheel. In cases where energy is derived from biomass to produce green diesel, the emission factor used is based on fuel combustion.</w:t>
      </w:r>
      <w:r>
        <w:rPr>
          <w:lang w:val="en-GB"/>
        </w:rPr>
        <w:t xml:space="preserve"> </w:t>
      </w:r>
      <w:r w:rsidRPr="00DA1701">
        <w:rPr>
          <w:lang w:val="en-GB"/>
        </w:rPr>
        <w:t>In the scenarios using biofuels (ICE and Hybrid), the Carbon Sequestration Rate (CSR) is the parameter that calculates the amount of CO</w:t>
      </w:r>
      <w:r w:rsidRPr="008C1875">
        <w:rPr>
          <w:vertAlign w:val="subscript"/>
          <w:lang w:val="en-GB"/>
        </w:rPr>
        <w:t>2</w:t>
      </w:r>
      <w:r w:rsidRPr="00DA1701">
        <w:rPr>
          <w:lang w:val="en-GB"/>
        </w:rPr>
        <w:t xml:space="preserve"> absorbed from the atmosphere per unit of biofuel used. This parameter is vital for the environmental analysis of green diesel usage, making it sustainable in terms of emissions.</w:t>
      </w:r>
      <w:r>
        <w:rPr>
          <w:lang w:val="en-GB"/>
        </w:rPr>
        <w:t xml:space="preserve"> </w:t>
      </w:r>
      <w:r w:rsidRPr="00DA1701">
        <w:rPr>
          <w:lang w:val="en-GB"/>
        </w:rPr>
        <w:t xml:space="preserve">Lastly, the values adopted for the cost analysis of electric and endothermic vehicles were based on the prices of the best-selling cars in segment C. The cost of electricity at the charging station included a surcharge on the average PUN of 2024. Starting from the Rapid-50 charging station, the purchase price and power of the charging station were selected from the catalogue. To calculate the cost of the generator, commercial data from the supplier were used, considering the power of the generator and the energy at the </w:t>
      </w:r>
      <w:proofErr w:type="spellStart"/>
      <w:r w:rsidRPr="00DA1701">
        <w:rPr>
          <w:lang w:val="en-GB"/>
        </w:rPr>
        <w:t>refueling</w:t>
      </w:r>
      <w:proofErr w:type="spellEnd"/>
      <w:r w:rsidRPr="00DA1701">
        <w:rPr>
          <w:lang w:val="en-GB"/>
        </w:rPr>
        <w:t xml:space="preserve"> station to calculate its efficiency</w:t>
      </w:r>
      <w:r w:rsidRPr="00DA1701">
        <w:t>.</w:t>
      </w:r>
    </w:p>
    <w:p w14:paraId="4593D5FE" w14:textId="530BCBF3" w:rsidR="00AF37EE" w:rsidRPr="00B57B36" w:rsidRDefault="00AF37EE" w:rsidP="00AF37EE">
      <w:pPr>
        <w:pStyle w:val="CETTabletitle"/>
      </w:pPr>
      <w:r w:rsidRPr="00B57B36">
        <w:lastRenderedPageBreak/>
        <w:t xml:space="preserve">Table </w:t>
      </w:r>
      <w:r>
        <w:t>1</w:t>
      </w:r>
      <w:r w:rsidRPr="00B57B36">
        <w:t xml:space="preserve">: </w:t>
      </w:r>
      <w:r>
        <w:t>Literature parameters used into the present work</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70"/>
        <w:gridCol w:w="3826"/>
        <w:gridCol w:w="2691"/>
      </w:tblGrid>
      <w:tr w:rsidR="00AF37EE" w:rsidRPr="00B57B36" w14:paraId="6F15BF2E" w14:textId="77777777" w:rsidTr="0067722B">
        <w:tc>
          <w:tcPr>
            <w:tcW w:w="1292" w:type="pct"/>
            <w:tcBorders>
              <w:top w:val="single" w:sz="12" w:space="0" w:color="008000"/>
              <w:bottom w:val="single" w:sz="6" w:space="0" w:color="008000"/>
            </w:tcBorders>
            <w:shd w:val="clear" w:color="auto" w:fill="FFFFFF"/>
          </w:tcPr>
          <w:p w14:paraId="538538AE" w14:textId="069C17BA" w:rsidR="00AF37EE" w:rsidRPr="00B57B36" w:rsidRDefault="00AF37EE" w:rsidP="00F56771">
            <w:pPr>
              <w:pStyle w:val="CETBodytext"/>
              <w:keepNext/>
              <w:rPr>
                <w:lang w:val="en-GB"/>
              </w:rPr>
            </w:pPr>
            <w:r>
              <w:rPr>
                <w:lang w:val="en-GB"/>
              </w:rPr>
              <w:t>Parameter</w:t>
            </w:r>
          </w:p>
        </w:tc>
        <w:tc>
          <w:tcPr>
            <w:tcW w:w="2177" w:type="pct"/>
            <w:tcBorders>
              <w:top w:val="single" w:sz="12" w:space="0" w:color="008000"/>
              <w:bottom w:val="single" w:sz="6" w:space="0" w:color="008000"/>
            </w:tcBorders>
            <w:shd w:val="clear" w:color="auto" w:fill="FFFFFF"/>
          </w:tcPr>
          <w:p w14:paraId="75EA2E8A" w14:textId="2C7B46AA" w:rsidR="00AF37EE" w:rsidRPr="00B57B36" w:rsidRDefault="00AF37EE" w:rsidP="00F56771">
            <w:pPr>
              <w:pStyle w:val="CETBodytext"/>
              <w:keepNext/>
              <w:rPr>
                <w:lang w:val="en-GB"/>
              </w:rPr>
            </w:pPr>
            <w:r>
              <w:rPr>
                <w:lang w:val="en-GB"/>
              </w:rPr>
              <w:t>Value</w:t>
            </w:r>
          </w:p>
        </w:tc>
        <w:tc>
          <w:tcPr>
            <w:tcW w:w="1531" w:type="pct"/>
            <w:tcBorders>
              <w:top w:val="single" w:sz="12" w:space="0" w:color="008000"/>
              <w:bottom w:val="single" w:sz="6" w:space="0" w:color="008000"/>
            </w:tcBorders>
            <w:shd w:val="clear" w:color="auto" w:fill="FFFFFF"/>
          </w:tcPr>
          <w:p w14:paraId="3CF057C0" w14:textId="1C02E4B2" w:rsidR="00AF37EE" w:rsidRPr="00B57B36" w:rsidRDefault="00AF37EE" w:rsidP="00F56771">
            <w:pPr>
              <w:pStyle w:val="CETBodytext"/>
              <w:keepNext/>
              <w:rPr>
                <w:lang w:val="en-GB"/>
              </w:rPr>
            </w:pPr>
            <w:r>
              <w:rPr>
                <w:lang w:val="en-GB"/>
              </w:rPr>
              <w:t>Source</w:t>
            </w:r>
          </w:p>
        </w:tc>
      </w:tr>
      <w:tr w:rsidR="00AF37EE" w:rsidRPr="00B57B36" w14:paraId="3029198C" w14:textId="77777777" w:rsidTr="0067722B">
        <w:tc>
          <w:tcPr>
            <w:tcW w:w="1292" w:type="pct"/>
            <w:shd w:val="clear" w:color="auto" w:fill="FFFFFF"/>
          </w:tcPr>
          <w:p w14:paraId="30543602" w14:textId="1B9B8C39" w:rsidR="00AF37EE" w:rsidRPr="00092FD6" w:rsidRDefault="00AF37EE" w:rsidP="00F56771">
            <w:pPr>
              <w:pStyle w:val="CETBodytext"/>
              <w:keepNext/>
              <w:rPr>
                <w:i/>
                <w:iCs/>
                <w:lang w:val="en-GB"/>
              </w:rPr>
            </w:pPr>
            <w:proofErr w:type="spellStart"/>
            <w:r w:rsidRPr="00092FD6">
              <w:rPr>
                <w:i/>
                <w:iCs/>
                <w:lang w:val="en-GB"/>
              </w:rPr>
              <w:t>A</w:t>
            </w:r>
            <w:r w:rsidRPr="00092FD6">
              <w:rPr>
                <w:i/>
                <w:iCs/>
                <w:vertAlign w:val="subscript"/>
                <w:lang w:val="en-GB"/>
              </w:rPr>
              <w:t>f</w:t>
            </w:r>
            <w:proofErr w:type="spellEnd"/>
            <w:r w:rsidR="00035D7F" w:rsidRPr="00092FD6">
              <w:rPr>
                <w:i/>
                <w:iCs/>
                <w:lang w:val="en-GB"/>
              </w:rPr>
              <w:t xml:space="preserve"> c</w:t>
            </w:r>
            <w:r w:rsidR="00035D7F" w:rsidRPr="00092FD6">
              <w:rPr>
                <w:i/>
                <w:iCs/>
                <w:vertAlign w:val="subscript"/>
                <w:lang w:val="en-GB"/>
              </w:rPr>
              <w:t>d</w:t>
            </w:r>
          </w:p>
        </w:tc>
        <w:tc>
          <w:tcPr>
            <w:tcW w:w="2177" w:type="pct"/>
            <w:shd w:val="clear" w:color="auto" w:fill="FFFFFF"/>
          </w:tcPr>
          <w:p w14:paraId="29A8AC97" w14:textId="395F1B62" w:rsidR="00AF37EE" w:rsidRPr="00B57B36" w:rsidRDefault="00AF37EE" w:rsidP="00F56771">
            <w:pPr>
              <w:pStyle w:val="CETBodytext"/>
              <w:keepNext/>
              <w:rPr>
                <w:lang w:val="en-GB"/>
              </w:rPr>
            </w:pPr>
            <w:r>
              <w:t>0.7 m</w:t>
            </w:r>
            <w:r w:rsidRPr="00035D7F">
              <w:rPr>
                <w:vertAlign w:val="superscript"/>
              </w:rPr>
              <w:t>2</w:t>
            </w:r>
          </w:p>
        </w:tc>
        <w:tc>
          <w:tcPr>
            <w:tcW w:w="1531" w:type="pct"/>
            <w:shd w:val="clear" w:color="auto" w:fill="FFFFFF"/>
          </w:tcPr>
          <w:p w14:paraId="46F1E9BB" w14:textId="10AA4CAE" w:rsidR="00AF37EE" w:rsidRPr="00B57B36" w:rsidRDefault="00AF37EE" w:rsidP="00F56771">
            <w:pPr>
              <w:pStyle w:val="CETBodytext"/>
              <w:keepNext/>
              <w:rPr>
                <w:lang w:val="en-GB"/>
              </w:rPr>
            </w:pPr>
            <w:r>
              <w:fldChar w:fldCharType="begin"/>
            </w:r>
            <w:r>
              <w:instrText xml:space="preserve"> ADDIN ZOTERO_ITEM CSL_CITATION {"citationID":"ZA6d5wns","properties":{"formattedCitation":"(Guzzella and Sciarretta, 2007)","plainCitation":"(Guzzella and Sciarretta, 2007)","noteIndex":0},"citationItems":[{"id":4818,"uris":["http://zotero.org/users/10649518/items/I3DZDVTX"],"itemData":{"id":4818,"type":"book","abstract":"In this book the longitudinal behavior of road vehicles is analyzed. The main emphasis is on the analysis and minimization of the fuel and energy consumption. Most approaches to this problem enhance the complexity of the vehicle system by adding components such as electrical motors or storage devices. Such a complex system can only be designed by means of mathematical models. This text gives an introduction to the modeling and optimization problems typically encountered when designing new propulsion systems for passenger cars.","ISBN":"978-3-642-35912-5","note":"journalAbbreviation: Vehicle Propulsion Systems, by L. Guzzella and A. Sciarretta. ISBN: 978-3-540-74691-1 Berlin: Springer, 2007.\ncontainer-title: Vehicle Propulsion Systems, by L. Guzzella and A. Sciarretta. ISBN: 978-3-540-74691-1 Berlin: Springer, 2007.\nDOI: 10.1007/978-3-642-35913-2","source":"ResearchGate","title":"Vehicle Propulsion Systems: Introduction to Modeling and Optimization","title-short":"Vehicle Propulsion Systems","author":[{"family":"Guzzella","given":"Lino"},{"family":"Sciarretta","given":"Antonio"}],"issued":{"date-parts":[["2007",1,1]]}}}],"schema":"https://github.com/citation-style-language/schema/raw/master/csl-citation.json"} </w:instrText>
            </w:r>
            <w:r>
              <w:fldChar w:fldCharType="separate"/>
            </w:r>
            <w:r w:rsidRPr="00AF37EE">
              <w:rPr>
                <w:rFonts w:cs="Arial"/>
              </w:rPr>
              <w:t>(Guzzella and Sciarretta, 2007)</w:t>
            </w:r>
            <w:r>
              <w:fldChar w:fldCharType="end"/>
            </w:r>
          </w:p>
        </w:tc>
      </w:tr>
      <w:tr w:rsidR="00AF37EE" w:rsidRPr="00B57B36" w14:paraId="78527C4F" w14:textId="77777777" w:rsidTr="0067722B">
        <w:tc>
          <w:tcPr>
            <w:tcW w:w="1292" w:type="pct"/>
            <w:shd w:val="clear" w:color="auto" w:fill="FFFFFF"/>
          </w:tcPr>
          <w:p w14:paraId="33C5EA00" w14:textId="374CA308" w:rsidR="00AF37EE" w:rsidRPr="00092FD6" w:rsidRDefault="00035D7F" w:rsidP="00F56771">
            <w:pPr>
              <w:pStyle w:val="CETBodytext"/>
              <w:keepNext/>
              <w:rPr>
                <w:i/>
                <w:iCs/>
                <w:lang w:val="en-GB"/>
              </w:rPr>
            </w:pPr>
            <w:r w:rsidRPr="00092FD6">
              <w:rPr>
                <w:i/>
                <w:iCs/>
                <w:lang w:val="en-GB"/>
              </w:rPr>
              <w:t>m</w:t>
            </w:r>
            <w:r w:rsidRPr="00092FD6">
              <w:rPr>
                <w:i/>
                <w:iCs/>
                <w:vertAlign w:val="subscript"/>
                <w:lang w:val="en-GB"/>
              </w:rPr>
              <w:t>v</w:t>
            </w:r>
          </w:p>
        </w:tc>
        <w:tc>
          <w:tcPr>
            <w:tcW w:w="2177" w:type="pct"/>
            <w:shd w:val="clear" w:color="auto" w:fill="FFFFFF"/>
          </w:tcPr>
          <w:p w14:paraId="4AAEC92E" w14:textId="03639EBB" w:rsidR="00AF37EE" w:rsidRPr="00B57B36" w:rsidRDefault="00035D7F" w:rsidP="00F56771">
            <w:pPr>
              <w:pStyle w:val="CETBodytext"/>
              <w:keepNext/>
              <w:rPr>
                <w:lang w:val="en-GB"/>
              </w:rPr>
            </w:pPr>
            <w:r>
              <w:t>1</w:t>
            </w:r>
            <w:r w:rsidR="0067722B">
              <w:t>,</w:t>
            </w:r>
            <w:r>
              <w:t>500 kg</w:t>
            </w:r>
          </w:p>
        </w:tc>
        <w:tc>
          <w:tcPr>
            <w:tcW w:w="1531" w:type="pct"/>
            <w:shd w:val="clear" w:color="auto" w:fill="FFFFFF"/>
          </w:tcPr>
          <w:p w14:paraId="2E68D8FB" w14:textId="75414E61" w:rsidR="00AF37EE" w:rsidRPr="00B57B36" w:rsidRDefault="00035D7F" w:rsidP="00F56771">
            <w:pPr>
              <w:pStyle w:val="CETBodytext"/>
              <w:keepNext/>
              <w:rPr>
                <w:lang w:val="en-GB"/>
              </w:rPr>
            </w:pPr>
            <w:r>
              <w:fldChar w:fldCharType="begin"/>
            </w:r>
            <w:r w:rsidR="00DA61D4">
              <w:instrText xml:space="preserve"> ADDIN ZOTERO_ITEM CSL_CITATION {"citationID":"5dWzz4lu","properties":{"formattedCitation":"(Guzzella and Sciarretta, 2007)","plainCitation":"(Guzzella and Sciarretta, 2007)","noteIndex":0},"citationItems":[{"id":4818,"uris":["http://zotero.org/users/10649518/items/I3DZDVTX"],"itemData":{"id":4818,"type":"book","abstract":"In this book the longitudinal behavior of road vehicles is analyzed. The main emphasis is on the analysis and minimization of the fuel and energy consumption. Most approaches to this problem enhance the complexity of the vehicle system by adding components such as electrical motors or storage devices. Such a complex system can only be designed by means of mathematical models. This text gives an introduction to the modeling and optimization problems typically encountered when designing new propulsion systems for passenger cars.","ISBN":"978-3-642-35912-5","note":"journalAbbreviation: Vehicle Propulsion Systems, by L. Guzzella and A. Sciarretta. ISBN: 978-3-540-74691-1 Berlin: Springer, 2007.\ncontainer-title: Vehicle Propulsion Systems, by L. Guzzella and A. Sciarretta. ISBN: 978-3-540-74691-1 Berlin: Springer, 2007.\nDOI: 10.1007/978-3-642-35913-2","source":"ResearchGate","title":"Vehicle Propulsion Systems: Introduction to Modeling and Optimization","title-short":"Vehicle Propulsion Systems","author":[{"family":"Guzzella","given":"Lino"},{"family":"Sciarretta","given":"Antonio"}],"issued":{"date-parts":[["2007",1,1]]}}}],"schema":"https://github.com/citation-style-language/schema/raw/master/csl-citation.json"} </w:instrText>
            </w:r>
            <w:r>
              <w:fldChar w:fldCharType="separate"/>
            </w:r>
            <w:r w:rsidRPr="00AF37EE">
              <w:rPr>
                <w:rFonts w:cs="Arial"/>
              </w:rPr>
              <w:t>(Guzzella and Sciarretta, 2007)</w:t>
            </w:r>
            <w:r>
              <w:fldChar w:fldCharType="end"/>
            </w:r>
          </w:p>
        </w:tc>
      </w:tr>
      <w:tr w:rsidR="00AF37EE" w:rsidRPr="00B57B36" w14:paraId="3A7CA264" w14:textId="77777777" w:rsidTr="0067722B">
        <w:tc>
          <w:tcPr>
            <w:tcW w:w="1292" w:type="pct"/>
            <w:shd w:val="clear" w:color="auto" w:fill="FFFFFF"/>
          </w:tcPr>
          <w:p w14:paraId="0F77CF59" w14:textId="5C38A112" w:rsidR="00AF37EE" w:rsidRPr="00092FD6" w:rsidRDefault="00035D7F" w:rsidP="00F56771">
            <w:pPr>
              <w:pStyle w:val="CETBodytext"/>
              <w:keepNext/>
              <w:rPr>
                <w:i/>
                <w:iCs/>
                <w:lang w:val="en-GB"/>
              </w:rPr>
            </w:pPr>
            <w:proofErr w:type="spellStart"/>
            <w:r w:rsidRPr="00092FD6">
              <w:rPr>
                <w:i/>
                <w:iCs/>
                <w:lang w:val="en-GB"/>
              </w:rPr>
              <w:t>c</w:t>
            </w:r>
            <w:r w:rsidRPr="00092FD6">
              <w:rPr>
                <w:i/>
                <w:iCs/>
                <w:vertAlign w:val="subscript"/>
                <w:lang w:val="en-GB"/>
              </w:rPr>
              <w:t>r</w:t>
            </w:r>
            <w:proofErr w:type="spellEnd"/>
          </w:p>
        </w:tc>
        <w:tc>
          <w:tcPr>
            <w:tcW w:w="2177" w:type="pct"/>
            <w:shd w:val="clear" w:color="auto" w:fill="FFFFFF"/>
          </w:tcPr>
          <w:p w14:paraId="025A4B7F" w14:textId="23AEA549" w:rsidR="00AF37EE" w:rsidRPr="00B57B36" w:rsidRDefault="00035D7F" w:rsidP="00F56771">
            <w:pPr>
              <w:pStyle w:val="CETBodytext"/>
              <w:keepNext/>
              <w:rPr>
                <w:lang w:val="en-GB"/>
              </w:rPr>
            </w:pPr>
            <w:r>
              <w:rPr>
                <w:lang w:val="en-GB"/>
              </w:rPr>
              <w:t>0.013</w:t>
            </w:r>
          </w:p>
        </w:tc>
        <w:tc>
          <w:tcPr>
            <w:tcW w:w="1531" w:type="pct"/>
            <w:shd w:val="clear" w:color="auto" w:fill="FFFFFF"/>
          </w:tcPr>
          <w:p w14:paraId="5D0F0986" w14:textId="4767C383" w:rsidR="00AF37EE" w:rsidRPr="00B57B36" w:rsidRDefault="00035D7F" w:rsidP="00F56771">
            <w:pPr>
              <w:pStyle w:val="CETBodytext"/>
              <w:keepNext/>
              <w:rPr>
                <w:lang w:val="en-GB"/>
              </w:rPr>
            </w:pPr>
            <w:r>
              <w:fldChar w:fldCharType="begin"/>
            </w:r>
            <w:r w:rsidR="00DA61D4">
              <w:instrText xml:space="preserve"> ADDIN ZOTERO_ITEM CSL_CITATION {"citationID":"LnkqVhwe","properties":{"formattedCitation":"(Guzzella and Sciarretta, 2007)","plainCitation":"(Guzzella and Sciarretta, 2007)","noteIndex":0},"citationItems":[{"id":4818,"uris":["http://zotero.org/users/10649518/items/I3DZDVTX"],"itemData":{"id":4818,"type":"book","abstract":"In this book the longitudinal behavior of road vehicles is analyzed. The main emphasis is on the analysis and minimization of the fuel and energy consumption. Most approaches to this problem enhance the complexity of the vehicle system by adding components such as electrical motors or storage devices. Such a complex system can only be designed by means of mathematical models. This text gives an introduction to the modeling and optimization problems typically encountered when designing new propulsion systems for passenger cars.","ISBN":"978-3-642-35912-5","note":"journalAbbreviation: Vehicle Propulsion Systems, by L. Guzzella and A. Sciarretta. ISBN: 978-3-540-74691-1 Berlin: Springer, 2007.\ncontainer-title: Vehicle Propulsion Systems, by L. Guzzella and A. Sciarretta. ISBN: 978-3-540-74691-1 Berlin: Springer, 2007.\nDOI: 10.1007/978-3-642-35913-2","source":"ResearchGate","title":"Vehicle Propulsion Systems: Introduction to Modeling and Optimization","title-short":"Vehicle Propulsion Systems","author":[{"family":"Guzzella","given":"Lino"},{"family":"Sciarretta","given":"Antonio"}],"issued":{"date-parts":[["2007",1,1]]}}}],"schema":"https://github.com/citation-style-language/schema/raw/master/csl-citation.json"} </w:instrText>
            </w:r>
            <w:r>
              <w:fldChar w:fldCharType="separate"/>
            </w:r>
            <w:r w:rsidRPr="00AF37EE">
              <w:rPr>
                <w:rFonts w:cs="Arial"/>
              </w:rPr>
              <w:t>(Guzzella and Sciarretta, 2007)</w:t>
            </w:r>
            <w:r>
              <w:fldChar w:fldCharType="end"/>
            </w:r>
          </w:p>
        </w:tc>
      </w:tr>
      <w:tr w:rsidR="00AF37EE" w:rsidRPr="00B57B36" w14:paraId="3AD2D756" w14:textId="77777777" w:rsidTr="0067722B">
        <w:tc>
          <w:tcPr>
            <w:tcW w:w="1292" w:type="pct"/>
            <w:shd w:val="clear" w:color="auto" w:fill="FFFFFF"/>
          </w:tcPr>
          <w:p w14:paraId="5A6E9950" w14:textId="5BF239CE" w:rsidR="00AF37EE" w:rsidRPr="00092FD6" w:rsidRDefault="00DA61D4" w:rsidP="00F56771">
            <w:pPr>
              <w:pStyle w:val="CETBodytext"/>
              <w:keepNext/>
              <w:rPr>
                <w:i/>
                <w:iCs/>
                <w:lang w:val="en-GB"/>
              </w:rPr>
            </w:pPr>
            <w:proofErr w:type="spellStart"/>
            <w:r w:rsidRPr="00092FD6">
              <w:rPr>
                <w:rFonts w:cs="Arial"/>
                <w:i/>
                <w:iCs/>
                <w:lang w:val="en-GB"/>
              </w:rPr>
              <w:t>η</w:t>
            </w:r>
            <w:r w:rsidRPr="00092FD6">
              <w:rPr>
                <w:i/>
                <w:iCs/>
                <w:vertAlign w:val="subscript"/>
                <w:lang w:val="en-GB"/>
              </w:rPr>
              <w:t>p</w:t>
            </w:r>
            <w:proofErr w:type="spellEnd"/>
          </w:p>
        </w:tc>
        <w:tc>
          <w:tcPr>
            <w:tcW w:w="2177" w:type="pct"/>
            <w:shd w:val="clear" w:color="auto" w:fill="FFFFFF"/>
          </w:tcPr>
          <w:p w14:paraId="5436DF67" w14:textId="542650A0" w:rsidR="00AF37EE" w:rsidRDefault="00DA61D4" w:rsidP="00F56771">
            <w:pPr>
              <w:pStyle w:val="CETBodytext"/>
              <w:keepNext/>
              <w:rPr>
                <w:lang w:val="en-GB"/>
              </w:rPr>
            </w:pPr>
            <w:r>
              <w:rPr>
                <w:lang w:val="en-GB"/>
              </w:rPr>
              <w:t>70 % (EV)</w:t>
            </w:r>
          </w:p>
          <w:p w14:paraId="5FFC7ABC" w14:textId="0956A890" w:rsidR="00DA61D4" w:rsidRPr="00B57B36" w:rsidRDefault="00DA61D4" w:rsidP="00F56771">
            <w:pPr>
              <w:pStyle w:val="CETBodytext"/>
              <w:keepNext/>
              <w:rPr>
                <w:lang w:val="en-GB"/>
              </w:rPr>
            </w:pPr>
            <w:r>
              <w:rPr>
                <w:lang w:val="en-GB"/>
              </w:rPr>
              <w:t>25 % (ICE)</w:t>
            </w:r>
          </w:p>
        </w:tc>
        <w:tc>
          <w:tcPr>
            <w:tcW w:w="1531" w:type="pct"/>
            <w:shd w:val="clear" w:color="auto" w:fill="FFFFFF"/>
          </w:tcPr>
          <w:p w14:paraId="73FD74FB" w14:textId="5B4E79EB" w:rsidR="00AF37EE" w:rsidRPr="00B57B36" w:rsidRDefault="00DA61D4" w:rsidP="00F56771">
            <w:pPr>
              <w:pStyle w:val="CETBodytext"/>
              <w:keepNext/>
              <w:rPr>
                <w:lang w:val="en-GB"/>
              </w:rPr>
            </w:pPr>
            <w:r>
              <w:rPr>
                <w:lang w:val="en-GB"/>
              </w:rPr>
              <w:fldChar w:fldCharType="begin"/>
            </w:r>
            <w:r>
              <w:rPr>
                <w:lang w:val="en-GB"/>
              </w:rPr>
              <w:instrText xml:space="preserve"> ADDIN ZOTERO_ITEM CSL_CITATION {"citationID":"LXcU4xlh","properties":{"formattedCitation":"(Genovese et al., 2015)","plainCitation":"(Genovese et al., 2015)","noteIndex":0},"citationItems":[{"id":4821,"uris":["http://zotero.org/users/10649518/items/QVDI98GB"],"itemData":{"id":4821,"type":"article-journal","abstract":"Paper deals with an extensive experimental activity carried out in Italy by ENEA Research Lab on Low impact vehicles and by the Energy engineering group of the University of L'Aquila about the energy efficiency of quick vehicle battery charging using a DC CHAdeMO compliant recharging 50 kW infrastructure. Both the charger and the vehicle (a Nissan Leaf) battery were fully monitored to gather detailed information about their behaviour at different power loads. The performances of the battery pack equipping the vehicle have also been monitored and evaluated through an extensive campaign, both on typical urban and extra-urban uses, and on vehicle rolling test bench.","container-title":"World Electric Vehicle Journal","DOI":"10.3390/wevj7040570","ISSN":"2032-6653","issue":"4","language":"en","license":"http://creativecommons.org/licenses/by/3.0/","note":"number: 4\npublisher: Multidisciplinary Digital Publishing Institute","page":"570-576","source":"www.mdpi.com","title":"On the energy efficiency of quick DC vehicle battery charging","volume":"7","author":[{"family":"Genovese","given":"Antonino"},{"family":"Ortenzi","given":"Fernando"},{"family":"Villante","given":"Carlo"}],"issued":{"date-parts":[["2015",12]]}}}],"schema":"https://github.com/citation-style-language/schema/raw/master/csl-citation.json"} </w:instrText>
            </w:r>
            <w:r>
              <w:rPr>
                <w:lang w:val="en-GB"/>
              </w:rPr>
              <w:fldChar w:fldCharType="separate"/>
            </w:r>
            <w:r w:rsidRPr="00DA61D4">
              <w:rPr>
                <w:rFonts w:cs="Arial"/>
              </w:rPr>
              <w:t>(Genovese et al., 2015)</w:t>
            </w:r>
            <w:r>
              <w:rPr>
                <w:lang w:val="en-GB"/>
              </w:rPr>
              <w:fldChar w:fldCharType="end"/>
            </w:r>
          </w:p>
        </w:tc>
      </w:tr>
      <w:tr w:rsidR="00DA61D4" w:rsidRPr="00B57B36" w14:paraId="636487A7" w14:textId="77777777" w:rsidTr="0067722B">
        <w:tc>
          <w:tcPr>
            <w:tcW w:w="1292" w:type="pct"/>
            <w:shd w:val="clear" w:color="auto" w:fill="FFFFFF"/>
          </w:tcPr>
          <w:p w14:paraId="459BCA38" w14:textId="7C3AD917" w:rsidR="00DA61D4" w:rsidRPr="00092FD6" w:rsidRDefault="00DA61D4" w:rsidP="00DA61D4">
            <w:pPr>
              <w:pStyle w:val="CETBodytext"/>
              <w:keepNext/>
              <w:rPr>
                <w:i/>
                <w:iCs/>
                <w:lang w:val="en-GB"/>
              </w:rPr>
            </w:pPr>
            <w:proofErr w:type="spellStart"/>
            <w:r w:rsidRPr="00092FD6">
              <w:rPr>
                <w:rFonts w:cs="Arial"/>
                <w:i/>
                <w:iCs/>
                <w:lang w:val="en-GB"/>
              </w:rPr>
              <w:t>η</w:t>
            </w:r>
            <w:r w:rsidRPr="00092FD6">
              <w:rPr>
                <w:i/>
                <w:iCs/>
                <w:vertAlign w:val="subscript"/>
                <w:lang w:val="en-GB"/>
              </w:rPr>
              <w:t>r</w:t>
            </w:r>
            <w:proofErr w:type="spellEnd"/>
          </w:p>
        </w:tc>
        <w:tc>
          <w:tcPr>
            <w:tcW w:w="2177" w:type="pct"/>
            <w:shd w:val="clear" w:color="auto" w:fill="FFFFFF"/>
          </w:tcPr>
          <w:p w14:paraId="3B5013CE" w14:textId="39C3F74A" w:rsidR="00DA61D4" w:rsidRDefault="00DA61D4" w:rsidP="00DA61D4">
            <w:pPr>
              <w:pStyle w:val="CETBodytext"/>
              <w:keepNext/>
              <w:rPr>
                <w:lang w:val="en-GB"/>
              </w:rPr>
            </w:pPr>
            <w:r>
              <w:rPr>
                <w:lang w:val="en-GB"/>
              </w:rPr>
              <w:t>90 % (EV)</w:t>
            </w:r>
          </w:p>
          <w:p w14:paraId="04A9A73B" w14:textId="6E09E7C1" w:rsidR="00DA61D4" w:rsidRPr="00B57B36" w:rsidRDefault="00DA61D4" w:rsidP="00DA61D4">
            <w:pPr>
              <w:pStyle w:val="CETBodytext"/>
              <w:keepNext/>
              <w:rPr>
                <w:lang w:val="en-GB"/>
              </w:rPr>
            </w:pPr>
            <w:r>
              <w:rPr>
                <w:lang w:val="en-GB"/>
              </w:rPr>
              <w:t>100 % (ICE)</w:t>
            </w:r>
          </w:p>
        </w:tc>
        <w:tc>
          <w:tcPr>
            <w:tcW w:w="1531" w:type="pct"/>
            <w:shd w:val="clear" w:color="auto" w:fill="FFFFFF"/>
          </w:tcPr>
          <w:p w14:paraId="7B813096" w14:textId="11B60D58" w:rsidR="00DA61D4" w:rsidRPr="00B57B36" w:rsidRDefault="00DA61D4" w:rsidP="00DA61D4">
            <w:pPr>
              <w:pStyle w:val="CETBodytext"/>
              <w:keepNext/>
              <w:rPr>
                <w:lang w:val="en-GB"/>
              </w:rPr>
            </w:pPr>
            <w:r>
              <w:rPr>
                <w:lang w:val="en-GB"/>
              </w:rPr>
              <w:fldChar w:fldCharType="begin"/>
            </w:r>
            <w:r w:rsidR="00042C82">
              <w:rPr>
                <w:lang w:val="en-GB"/>
              </w:rPr>
              <w:instrText xml:space="preserve"> ADDIN ZOTERO_ITEM CSL_CITATION {"citationID":"goCDIlhK","properties":{"formattedCitation":"(Genovese et al., 2015)","plainCitation":"(Genovese et al., 2015)","noteIndex":0},"citationItems":[{"id":4821,"uris":["http://zotero.org/users/10649518/items/QVDI98GB"],"itemData":{"id":4821,"type":"article-journal","abstract":"Paper deals with an extensive experimental activity carried out in Italy by ENEA Research Lab on Low impact vehicles and by the Energy engineering group of the University of L'Aquila about the energy efficiency of quick vehicle battery charging using a DC CHAdeMO compliant recharging 50 kW infrastructure. Both the charger and the vehicle (a Nissan Leaf) battery were fully monitored to gather detailed information about their behaviour at different power loads. The performances of the battery pack equipping the vehicle have also been monitored and evaluated through an extensive campaign, both on typical urban and extra-urban uses, and on vehicle rolling test bench.","container-title":"World Electric Vehicle Journal","DOI":"10.3390/wevj7040570","ISSN":"2032-6653","issue":"4","language":"en","license":"http://creativecommons.org/licenses/by/3.0/","note":"number: 4\npublisher: Multidisciplinary Digital Publishing Institute","page":"570-576","source":"www.mdpi.com","title":"On the energy efficiency of quick DC vehicle battery charging","volume":"7","author":[{"family":"Genovese","given":"Antonino"},{"family":"Ortenzi","given":"Fernando"},{"family":"Villante","given":"Carlo"}],"issued":{"date-parts":[["2015",12]]}}}],"schema":"https://github.com/citation-style-language/schema/raw/master/csl-citation.json"} </w:instrText>
            </w:r>
            <w:r>
              <w:rPr>
                <w:lang w:val="en-GB"/>
              </w:rPr>
              <w:fldChar w:fldCharType="separate"/>
            </w:r>
            <w:r w:rsidRPr="00DA61D4">
              <w:rPr>
                <w:rFonts w:cs="Arial"/>
              </w:rPr>
              <w:t>(Genovese et al., 2015)</w:t>
            </w:r>
            <w:r>
              <w:rPr>
                <w:lang w:val="en-GB"/>
              </w:rPr>
              <w:fldChar w:fldCharType="end"/>
            </w:r>
          </w:p>
        </w:tc>
      </w:tr>
      <w:tr w:rsidR="00DA61D4" w:rsidRPr="00B57B36" w14:paraId="27D17EC5" w14:textId="77777777" w:rsidTr="0067722B">
        <w:tc>
          <w:tcPr>
            <w:tcW w:w="1292" w:type="pct"/>
            <w:shd w:val="clear" w:color="auto" w:fill="FFFFFF"/>
          </w:tcPr>
          <w:p w14:paraId="4BCB77DA" w14:textId="430C9ABC" w:rsidR="00DA61D4" w:rsidRPr="00092FD6" w:rsidRDefault="00DA61D4" w:rsidP="00DA61D4">
            <w:pPr>
              <w:pStyle w:val="CETBodytext"/>
              <w:keepNext/>
              <w:rPr>
                <w:i/>
                <w:iCs/>
                <w:lang w:val="en-GB"/>
              </w:rPr>
            </w:pPr>
            <w:proofErr w:type="spellStart"/>
            <w:r w:rsidRPr="00092FD6">
              <w:rPr>
                <w:rFonts w:cs="Arial"/>
                <w:i/>
                <w:iCs/>
                <w:lang w:val="en-GB"/>
              </w:rPr>
              <w:t>η</w:t>
            </w:r>
            <w:r w:rsidRPr="00092FD6">
              <w:rPr>
                <w:i/>
                <w:iCs/>
                <w:vertAlign w:val="subscript"/>
                <w:lang w:val="en-GB"/>
              </w:rPr>
              <w:t>g</w:t>
            </w:r>
            <w:proofErr w:type="spellEnd"/>
          </w:p>
        </w:tc>
        <w:tc>
          <w:tcPr>
            <w:tcW w:w="2177" w:type="pct"/>
            <w:shd w:val="clear" w:color="auto" w:fill="FFFFFF"/>
          </w:tcPr>
          <w:p w14:paraId="57C1BD69" w14:textId="1B752C2A" w:rsidR="00DA61D4" w:rsidRPr="00A65D9E" w:rsidRDefault="00042C82" w:rsidP="00DA61D4">
            <w:pPr>
              <w:pStyle w:val="CETBodytext"/>
              <w:keepNext/>
            </w:pPr>
            <w:r>
              <w:t>50 % (Hybrid)</w:t>
            </w:r>
          </w:p>
        </w:tc>
        <w:tc>
          <w:tcPr>
            <w:tcW w:w="1531" w:type="pct"/>
            <w:shd w:val="clear" w:color="auto" w:fill="FFFFFF"/>
          </w:tcPr>
          <w:p w14:paraId="3E8C4F78" w14:textId="2C8D9CD2" w:rsidR="00DA61D4" w:rsidRPr="00A65D9E" w:rsidRDefault="00042C82" w:rsidP="00DA61D4">
            <w:pPr>
              <w:pStyle w:val="CETBodytext"/>
              <w:keepNext/>
            </w:pPr>
            <w:r>
              <w:fldChar w:fldCharType="begin"/>
            </w:r>
            <w:r>
              <w:instrText xml:space="preserve"> ADDIN ZOTERO_ITEM CSL_CITATION {"citationID":"1IlXHmN9","properties":{"formattedCitation":"(Motore Perkins, 2024)","plainCitation":"(Motore Perkins, 2024)","noteIndex":0},"citationItems":[{"id":4825,"uris":["http://zotero.org/users/10649518/items/RC8FCVKA"],"itemData":{"id":4825,"type":"software","collection-title":"https://www.venditanoleggiogeneratori.it/prezzo/gruppo-elettrogeno-diesel-insonorizzato-250-kva-200-kw-motore-perkins-cgm250p/","title":"Gruppo Elettrogeno Diesel Insonorizzato","author":[{"family":"Motore Perkins","given":""}],"issued":{"date-parts":[["2024"]]}}}],"schema":"https://github.com/citation-style-language/schema/raw/master/csl-citation.json"} </w:instrText>
            </w:r>
            <w:r>
              <w:fldChar w:fldCharType="separate"/>
            </w:r>
            <w:r w:rsidRPr="00042C82">
              <w:rPr>
                <w:rFonts w:cs="Arial"/>
              </w:rPr>
              <w:t>(Motore Perkins, 2024)</w:t>
            </w:r>
            <w:r>
              <w:fldChar w:fldCharType="end"/>
            </w:r>
          </w:p>
        </w:tc>
      </w:tr>
      <w:tr w:rsidR="00DA61D4" w:rsidRPr="00B57B36" w14:paraId="72D47C6E" w14:textId="77777777" w:rsidTr="0067722B">
        <w:tc>
          <w:tcPr>
            <w:tcW w:w="1292" w:type="pct"/>
            <w:shd w:val="clear" w:color="auto" w:fill="FFFFFF"/>
          </w:tcPr>
          <w:p w14:paraId="469CD3B8" w14:textId="6588CA02" w:rsidR="00DA61D4" w:rsidRPr="00092FD6" w:rsidRDefault="00DA61D4" w:rsidP="00DA61D4">
            <w:pPr>
              <w:pStyle w:val="CETBodytext"/>
              <w:keepNext/>
              <w:rPr>
                <w:i/>
                <w:iCs/>
                <w:lang w:val="en-GB"/>
              </w:rPr>
            </w:pPr>
            <w:proofErr w:type="spellStart"/>
            <w:r w:rsidRPr="00092FD6">
              <w:rPr>
                <w:rFonts w:cs="Arial"/>
                <w:i/>
                <w:iCs/>
                <w:lang w:val="en-GB"/>
              </w:rPr>
              <w:t>η</w:t>
            </w:r>
            <w:r w:rsidRPr="00092FD6">
              <w:rPr>
                <w:i/>
                <w:iCs/>
                <w:vertAlign w:val="subscript"/>
                <w:lang w:val="en-GB"/>
              </w:rPr>
              <w:t>d</w:t>
            </w:r>
            <w:proofErr w:type="spellEnd"/>
          </w:p>
        </w:tc>
        <w:tc>
          <w:tcPr>
            <w:tcW w:w="2177" w:type="pct"/>
            <w:shd w:val="clear" w:color="auto" w:fill="FFFFFF"/>
          </w:tcPr>
          <w:p w14:paraId="54B59046" w14:textId="05A4CECD" w:rsidR="00042C82" w:rsidRDefault="00042C82" w:rsidP="00042C82">
            <w:pPr>
              <w:pStyle w:val="CETBodytext"/>
              <w:keepNext/>
              <w:rPr>
                <w:lang w:val="en-GB"/>
              </w:rPr>
            </w:pPr>
            <w:r>
              <w:rPr>
                <w:lang w:val="en-GB"/>
              </w:rPr>
              <w:t>94 % (EV)</w:t>
            </w:r>
          </w:p>
          <w:p w14:paraId="097310D7" w14:textId="7B4E2292" w:rsidR="00DA61D4" w:rsidRPr="00A65D9E" w:rsidRDefault="00042C82" w:rsidP="00042C82">
            <w:pPr>
              <w:pStyle w:val="CETBodytext"/>
              <w:keepNext/>
            </w:pPr>
            <w:r>
              <w:rPr>
                <w:lang w:val="en-GB"/>
              </w:rPr>
              <w:t>100 % (ICE &amp; Hybrid)</w:t>
            </w:r>
          </w:p>
        </w:tc>
        <w:tc>
          <w:tcPr>
            <w:tcW w:w="1531" w:type="pct"/>
            <w:shd w:val="clear" w:color="auto" w:fill="FFFFFF"/>
          </w:tcPr>
          <w:p w14:paraId="1E59B72A" w14:textId="1A5AA5D8" w:rsidR="00DA61D4" w:rsidRPr="00A65D9E" w:rsidRDefault="00042C82" w:rsidP="00DA61D4">
            <w:pPr>
              <w:pStyle w:val="CETBodytext"/>
              <w:keepNext/>
            </w:pPr>
            <w:r>
              <w:fldChar w:fldCharType="begin"/>
            </w:r>
            <w:r>
              <w:instrText xml:space="preserve"> ADDIN ZOTERO_ITEM CSL_CITATION {"citationID":"DIsUZvxN","properties":{"formattedCitation":"(G\\uc0\\u243{}mez-Camacho and Ruggeri, 2019)","plainCitation":"(Gómez-Camacho and Ruggeri, 2019)","noteIndex":0},"citationItems":[{"id":4823,"uris":["http://zotero.org/users/10649518/items/HFAQUCAI"],"itemData":{"id":4823,"type":"article-journal","abstract":"In the sustainability context, the performance of energy-producing technologies, using different energy sources, needs to be scored and compared. The selective criterion of a higher level of useful energy to feed an ever-increasing demand of energy to satisfy a wide range of endo- and exosomatic human needs seems adequate. In fact, surplus energy is able to cover energy services only after compensating for the energy expenses incurred to build and to run the technology itself. This paper proposes an energy sustainability analysis (ESA) methodology based on the internal and external energy use of a given technology, considering the entire energy trajectory from energy sources to useful energy. ESA analysis is conducted at two levels: (i) short-term, by the use of the energy sustainability index (ESI), which is the first step to establish whether the energy produced is able to cover the direct energy expenses needed to run the technology and (ii) long-term, by which all the indirect energy-quotas are considered, i.e., all the additional energy requirements of the technology, including the energy amortization quota necessary for the replacement of the technology at the end of its operative life. The long-term level of analysis is conducted by the evaluation of two indicators: the energy return per unit of energy invested (EROI) over the operative life and the energy payback-time (EPT), as the minimum lapse at which all energy expenditures for the production of materials and their construction can be repaid to society. The ESA methodology has been applied to the case study of H2 production at small-scale (10–15 kWH2) comparing three different technologies: (i) steam-methane reforming (SMR), (ii) solar-powered water electrolysis (SPWE), and (iii) two-stage anaerobic digestion (TSAD) in order to score the technologies from an energy sustainability perspective.","container-title":"Sustainability","DOI":"10.3390/su11184911","ISSN":"2071-1050","issue":"18","language":"en","license":"http://creativecommons.org/licenses/by/3.0/","note":"number: 18\npublisher: Multidisciplinary Digital Publishing Institute","page":"4911","source":"www.mdpi.com","title":"Energy Sustainability Analysis (ESA) of Energy-Producing Processes: A Case Study on Distributed H2 Production","title-short":"Energy Sustainability Analysis (ESA) of Energy-Producing Processes","volume":"11","author":[{"family":"Gómez-Camacho","given":"Carlos E."},{"family":"Ruggeri","given":"Bernardo"}],"issued":{"date-parts":[["2019",1]]}}}],"schema":"https://github.com/citation-style-language/schema/raw/master/csl-citation.json"} </w:instrText>
            </w:r>
            <w:r>
              <w:fldChar w:fldCharType="separate"/>
            </w:r>
            <w:r w:rsidRPr="00042C82">
              <w:rPr>
                <w:rFonts w:cs="Arial"/>
              </w:rPr>
              <w:t>(Gómez-Camacho and Ruggeri, 2019)</w:t>
            </w:r>
            <w:r>
              <w:fldChar w:fldCharType="end"/>
            </w:r>
          </w:p>
        </w:tc>
      </w:tr>
      <w:tr w:rsidR="00DA61D4" w:rsidRPr="00B57B36" w14:paraId="6FF004DF" w14:textId="77777777" w:rsidTr="0067722B">
        <w:tc>
          <w:tcPr>
            <w:tcW w:w="1292" w:type="pct"/>
            <w:shd w:val="clear" w:color="auto" w:fill="FFFFFF"/>
          </w:tcPr>
          <w:p w14:paraId="5D71723F" w14:textId="78DC2C82" w:rsidR="00DA61D4" w:rsidRPr="00092FD6" w:rsidRDefault="00042C82" w:rsidP="00DA61D4">
            <w:pPr>
              <w:pStyle w:val="CETBodytext"/>
              <w:keepNext/>
              <w:rPr>
                <w:i/>
                <w:iCs/>
                <w:lang w:val="en-GB"/>
              </w:rPr>
            </w:pPr>
            <w:r w:rsidRPr="00092FD6">
              <w:rPr>
                <w:rFonts w:cs="Arial"/>
                <w:i/>
                <w:iCs/>
                <w:szCs w:val="18"/>
                <w:lang w:val="en-GB"/>
              </w:rPr>
              <w:t>CO</w:t>
            </w:r>
            <w:r w:rsidRPr="00092FD6">
              <w:rPr>
                <w:rFonts w:cs="Arial"/>
                <w:i/>
                <w:iCs/>
                <w:szCs w:val="18"/>
                <w:vertAlign w:val="subscript"/>
                <w:lang w:val="en-GB"/>
              </w:rPr>
              <w:t>2</w:t>
            </w:r>
            <w:proofErr w:type="gramStart"/>
            <w:r w:rsidRPr="00092FD6">
              <w:rPr>
                <w:rFonts w:cs="Arial"/>
                <w:i/>
                <w:iCs/>
                <w:szCs w:val="18"/>
                <w:vertAlign w:val="subscript"/>
                <w:lang w:val="en-GB"/>
              </w:rPr>
              <w:t>e,pri</w:t>
            </w:r>
            <w:proofErr w:type="gramEnd"/>
          </w:p>
        </w:tc>
        <w:tc>
          <w:tcPr>
            <w:tcW w:w="2177" w:type="pct"/>
            <w:shd w:val="clear" w:color="auto" w:fill="FFFFFF"/>
          </w:tcPr>
          <w:p w14:paraId="513A2870" w14:textId="77777777" w:rsidR="00DA61D4" w:rsidRDefault="00042C82" w:rsidP="00DA61D4">
            <w:pPr>
              <w:pStyle w:val="CETBodytext"/>
              <w:keepNext/>
            </w:pPr>
            <w:r>
              <w:t>309 kg</w:t>
            </w:r>
            <w:r w:rsidRPr="0067722B">
              <w:rPr>
                <w:vertAlign w:val="subscript"/>
              </w:rPr>
              <w:t>CO2e</w:t>
            </w:r>
            <w:r>
              <w:t>/</w:t>
            </w:r>
            <w:proofErr w:type="spellStart"/>
            <w:r>
              <w:t>MWhe</w:t>
            </w:r>
            <w:proofErr w:type="spellEnd"/>
            <w:r>
              <w:t xml:space="preserve"> (EV)</w:t>
            </w:r>
          </w:p>
          <w:p w14:paraId="6438C116" w14:textId="30A49B72" w:rsidR="0067722B" w:rsidRPr="0067722B" w:rsidRDefault="0067722B" w:rsidP="00DA61D4">
            <w:pPr>
              <w:pStyle w:val="CETBodytext"/>
              <w:keepNext/>
            </w:pPr>
            <w:r>
              <w:t>2.7 kg</w:t>
            </w:r>
            <w:r w:rsidRPr="0067722B">
              <w:rPr>
                <w:vertAlign w:val="subscript"/>
              </w:rPr>
              <w:t>CO2e</w:t>
            </w:r>
            <w:r>
              <w:t>/</w:t>
            </w:r>
            <w:proofErr w:type="spellStart"/>
            <w:r>
              <w:t>kg</w:t>
            </w:r>
            <w:r w:rsidRPr="0067722B">
              <w:rPr>
                <w:vertAlign w:val="subscript"/>
              </w:rPr>
              <w:t>diesel</w:t>
            </w:r>
            <w:proofErr w:type="spellEnd"/>
            <w:r>
              <w:t xml:space="preserve"> (</w:t>
            </w:r>
            <w:r>
              <w:rPr>
                <w:lang w:val="en-GB"/>
              </w:rPr>
              <w:t>ICE &amp; Hybrid)</w:t>
            </w:r>
          </w:p>
        </w:tc>
        <w:tc>
          <w:tcPr>
            <w:tcW w:w="1531" w:type="pct"/>
            <w:shd w:val="clear" w:color="auto" w:fill="FFFFFF"/>
          </w:tcPr>
          <w:p w14:paraId="70545FE7" w14:textId="3F0DC7D7" w:rsidR="00DA61D4" w:rsidRPr="00A65D9E" w:rsidRDefault="0067722B" w:rsidP="00DA61D4">
            <w:pPr>
              <w:pStyle w:val="CETBodytext"/>
              <w:keepNext/>
            </w:pPr>
            <w:r>
              <w:fldChar w:fldCharType="begin"/>
            </w:r>
            <w:r>
              <w:instrText xml:space="preserve"> ADDIN ZOTERO_ITEM CSL_CITATION {"citationID":"z8JrzDdA","properties":{"formattedCitation":"(Caputo, 2024)","plainCitation":"(Caputo, 2024)","noteIndex":0},"citationItems":[{"id":4827,"uris":["http://zotero.org/users/10649518/items/3HN7A7CJ"],"itemData":{"id":4827,"type":"report","number":"404","publisher":"ISPRA","title":"Efficiency and decarbonization indicators in Italy and in the biggest European Countries","author":[{"family":"Caputo","given":"Antonio"}],"issued":{"date-parts":[["2024"]]}}}],"schema":"https://github.com/citation-style-language/schema/raw/master/csl-citation.json"} </w:instrText>
            </w:r>
            <w:r>
              <w:fldChar w:fldCharType="separate"/>
            </w:r>
            <w:r w:rsidRPr="0067722B">
              <w:rPr>
                <w:rFonts w:cs="Arial"/>
              </w:rPr>
              <w:t>(Caputo, 2024)</w:t>
            </w:r>
            <w:r>
              <w:fldChar w:fldCharType="end"/>
            </w:r>
          </w:p>
        </w:tc>
      </w:tr>
      <w:tr w:rsidR="00092FD6" w:rsidRPr="00B57B36" w14:paraId="63B82C06" w14:textId="77777777" w:rsidTr="0067722B">
        <w:tc>
          <w:tcPr>
            <w:tcW w:w="1292" w:type="pct"/>
            <w:shd w:val="clear" w:color="auto" w:fill="FFFFFF"/>
          </w:tcPr>
          <w:p w14:paraId="36629D37" w14:textId="5BC1BB79" w:rsidR="00092FD6" w:rsidRPr="00092FD6" w:rsidRDefault="00092FD6" w:rsidP="00DA61D4">
            <w:pPr>
              <w:pStyle w:val="CETBodytext"/>
              <w:keepNext/>
              <w:rPr>
                <w:rFonts w:cs="Arial"/>
                <w:i/>
                <w:iCs/>
                <w:szCs w:val="18"/>
                <w:lang w:val="en-GB"/>
              </w:rPr>
            </w:pPr>
            <w:r w:rsidRPr="00092FD6">
              <w:rPr>
                <w:rFonts w:cs="Arial"/>
                <w:i/>
                <w:iCs/>
                <w:szCs w:val="18"/>
                <w:lang w:val="en-GB"/>
              </w:rPr>
              <w:t>CSR</w:t>
            </w:r>
          </w:p>
        </w:tc>
        <w:tc>
          <w:tcPr>
            <w:tcW w:w="2177" w:type="pct"/>
            <w:shd w:val="clear" w:color="auto" w:fill="FFFFFF"/>
          </w:tcPr>
          <w:p w14:paraId="0036277E" w14:textId="77C38428" w:rsidR="00092FD6" w:rsidRDefault="00092FD6" w:rsidP="00DA61D4">
            <w:pPr>
              <w:pStyle w:val="CETBodytext"/>
              <w:keepNext/>
            </w:pPr>
            <w:r>
              <w:t>3.6 kg</w:t>
            </w:r>
            <w:r w:rsidRPr="00092FD6">
              <w:rPr>
                <w:vertAlign w:val="subscript"/>
              </w:rPr>
              <w:t>CO2e</w:t>
            </w:r>
            <w:r>
              <w:t>/</w:t>
            </w:r>
            <w:proofErr w:type="spellStart"/>
            <w:r>
              <w:t>kg</w:t>
            </w:r>
            <w:r w:rsidRPr="00092FD6">
              <w:rPr>
                <w:vertAlign w:val="subscript"/>
              </w:rPr>
              <w:t>diesel</w:t>
            </w:r>
            <w:proofErr w:type="spellEnd"/>
          </w:p>
        </w:tc>
        <w:tc>
          <w:tcPr>
            <w:tcW w:w="1531" w:type="pct"/>
            <w:shd w:val="clear" w:color="auto" w:fill="FFFFFF"/>
          </w:tcPr>
          <w:p w14:paraId="3895BE74" w14:textId="0AF07668" w:rsidR="00092FD6" w:rsidRDefault="00092FD6" w:rsidP="00DA61D4">
            <w:pPr>
              <w:pStyle w:val="CETBodytext"/>
              <w:keepNext/>
            </w:pPr>
            <w:r>
              <w:fldChar w:fldCharType="begin"/>
            </w:r>
            <w:r w:rsidR="00DA1701">
              <w:instrText xml:space="preserve"> ADDIN ZOTERO_ITEM CSL_CITATION {"citationID":"EMPzB2Cn","properties":{"formattedCitation":"(Galanopoulos et al., 2020)","plainCitation":"(Galanopoulos et al., 2020)","noteIndex":0},"citationItems":[{"id":887,"uris":["http://zotero.org/users/10649518/items/D4UCNHSF"],"itemData":{"id":887,"type":"article-journal","container-title":"Chemical Engineering Research and Design","DOI":"10.1016/j.cherd.2020.05.016","ISSN":"02638762","page":"199–215","title":"An integrated methodology for the economic and environmental assessment of a biorefinery supply chain","volume":"160","author":[{"family":"Galanopoulos","given":"Christos"},{"family":"Giuliano","given":"Aristide"},{"family":"Barletta","given":"Diego"},{"family":"Zondervan","given":"Edwin"}],"issued":{"date-parts":[["2020",8]]}}}],"schema":"https://github.com/citation-style-language/schema/raw/master/csl-citation.json"} </w:instrText>
            </w:r>
            <w:r>
              <w:fldChar w:fldCharType="separate"/>
            </w:r>
            <w:r w:rsidR="00DA1701" w:rsidRPr="00DA1701">
              <w:rPr>
                <w:rFonts w:cs="Arial"/>
              </w:rPr>
              <w:t>(Galanopoulos et al., 2020)</w:t>
            </w:r>
            <w:r>
              <w:fldChar w:fldCharType="end"/>
            </w:r>
          </w:p>
        </w:tc>
      </w:tr>
      <w:tr w:rsidR="00DA61D4" w:rsidRPr="008A69BC" w14:paraId="6473F14D" w14:textId="77777777" w:rsidTr="0067722B">
        <w:tc>
          <w:tcPr>
            <w:tcW w:w="1292" w:type="pct"/>
            <w:shd w:val="clear" w:color="auto" w:fill="FFFFFF"/>
          </w:tcPr>
          <w:p w14:paraId="6E14B257" w14:textId="6F1C4DBC" w:rsidR="00DA61D4" w:rsidRPr="00092FD6" w:rsidRDefault="008A69BC" w:rsidP="00DA61D4">
            <w:pPr>
              <w:pStyle w:val="CETBodytext"/>
              <w:keepNext/>
              <w:rPr>
                <w:i/>
                <w:iCs/>
                <w:lang w:val="en-GB"/>
              </w:rPr>
            </w:pPr>
            <w:proofErr w:type="spellStart"/>
            <w:r w:rsidRPr="00092FD6">
              <w:rPr>
                <w:i/>
                <w:iCs/>
                <w:lang w:val="en-GB"/>
              </w:rPr>
              <w:t>C</w:t>
            </w:r>
            <w:r w:rsidR="0067722B" w:rsidRPr="00092FD6">
              <w:rPr>
                <w:i/>
                <w:iCs/>
                <w:vertAlign w:val="subscript"/>
                <w:lang w:val="en-GB"/>
              </w:rPr>
              <w:t>v</w:t>
            </w:r>
            <w:proofErr w:type="spellEnd"/>
          </w:p>
        </w:tc>
        <w:tc>
          <w:tcPr>
            <w:tcW w:w="2177" w:type="pct"/>
            <w:shd w:val="clear" w:color="auto" w:fill="FFFFFF"/>
          </w:tcPr>
          <w:p w14:paraId="6B0C97B1" w14:textId="77777777" w:rsidR="00DA61D4" w:rsidRDefault="0067722B" w:rsidP="00DA61D4">
            <w:pPr>
              <w:pStyle w:val="CETBodytext"/>
              <w:keepNext/>
            </w:pPr>
            <w:r>
              <w:t>41,001 €</w:t>
            </w:r>
          </w:p>
          <w:p w14:paraId="2B0A99A9" w14:textId="3D50623F" w:rsidR="0067722B" w:rsidRPr="00A65D9E" w:rsidRDefault="0067722B" w:rsidP="00DA61D4">
            <w:pPr>
              <w:pStyle w:val="CETBodytext"/>
              <w:keepNext/>
            </w:pPr>
            <w:r>
              <w:t>35,529 €</w:t>
            </w:r>
          </w:p>
        </w:tc>
        <w:tc>
          <w:tcPr>
            <w:tcW w:w="1531" w:type="pct"/>
            <w:shd w:val="clear" w:color="auto" w:fill="FFFFFF"/>
          </w:tcPr>
          <w:p w14:paraId="50B5AB28" w14:textId="4EF09A80" w:rsidR="00DA61D4" w:rsidRPr="008A69BC" w:rsidRDefault="008A69BC" w:rsidP="00DA61D4">
            <w:pPr>
              <w:pStyle w:val="CETBodytext"/>
              <w:keepNext/>
              <w:rPr>
                <w:lang w:val="it-IT"/>
              </w:rPr>
            </w:pPr>
            <w:r>
              <w:fldChar w:fldCharType="begin"/>
            </w:r>
            <w:r>
              <w:rPr>
                <w:lang w:val="it-IT"/>
              </w:rPr>
              <w:instrText xml:space="preserve"> ADDIN ZOTERO_ITEM CSL_CITATION {"citationID":"i3Bfzbc0","properties":{"formattedCitation":"(UNRAE, 2022)","plainCitation":"(UNRAE, 2022)","noteIndex":0},"citationItems":[{"id":4828,"uris":["http://zotero.org/users/10649518/items/8JN94XDM"],"itemData":{"id":4828,"type":"software","collection-title":"Unione Nazionale Rappresentanti Autoveicoli Esteri","title":"https://unrae.it/files/Studio%20UNRAE%20L_automobile%20Italiani%20a%20confronto_6336ab4170253.pdf","author":[{"family":"UNRAE","given":""}],"issued":{"date-parts":[["2022"]]}}}],"schema":"https://github.com/citation-style-language/schema/raw/master/csl-citation.json"} </w:instrText>
            </w:r>
            <w:r>
              <w:fldChar w:fldCharType="separate"/>
            </w:r>
            <w:r w:rsidRPr="008A69BC">
              <w:rPr>
                <w:rFonts w:cs="Arial"/>
                <w:lang w:val="it-IT"/>
              </w:rPr>
              <w:t>(UNRAE, 2022)</w:t>
            </w:r>
            <w:r>
              <w:fldChar w:fldCharType="end"/>
            </w:r>
          </w:p>
        </w:tc>
      </w:tr>
      <w:tr w:rsidR="00DA61D4" w:rsidRPr="008A69BC" w14:paraId="0754126E" w14:textId="77777777" w:rsidTr="0067722B">
        <w:tc>
          <w:tcPr>
            <w:tcW w:w="1292" w:type="pct"/>
            <w:shd w:val="clear" w:color="auto" w:fill="FFFFFF"/>
          </w:tcPr>
          <w:p w14:paraId="3604575E" w14:textId="2B216C13" w:rsidR="00DA61D4" w:rsidRPr="00092FD6" w:rsidRDefault="008A69BC" w:rsidP="00DA61D4">
            <w:pPr>
              <w:pStyle w:val="CETBodytext"/>
              <w:keepNext/>
              <w:rPr>
                <w:i/>
                <w:iCs/>
                <w:lang w:val="it-IT"/>
              </w:rPr>
            </w:pPr>
            <w:proofErr w:type="spellStart"/>
            <w:r w:rsidRPr="00092FD6">
              <w:rPr>
                <w:i/>
                <w:iCs/>
                <w:lang w:val="it-IT"/>
              </w:rPr>
              <w:t>C</w:t>
            </w:r>
            <w:r w:rsidRPr="00092FD6">
              <w:rPr>
                <w:i/>
                <w:iCs/>
                <w:vertAlign w:val="subscript"/>
                <w:lang w:val="it-IT"/>
              </w:rPr>
              <w:t>fuel</w:t>
            </w:r>
            <w:proofErr w:type="spellEnd"/>
          </w:p>
        </w:tc>
        <w:tc>
          <w:tcPr>
            <w:tcW w:w="2177" w:type="pct"/>
            <w:shd w:val="clear" w:color="auto" w:fill="FFFFFF"/>
          </w:tcPr>
          <w:p w14:paraId="43EB6E1B" w14:textId="77777777" w:rsidR="00DA61D4" w:rsidRPr="00092FD6" w:rsidRDefault="008A69BC" w:rsidP="00DA61D4">
            <w:pPr>
              <w:pStyle w:val="CETBodytext"/>
              <w:keepNext/>
            </w:pPr>
            <w:r w:rsidRPr="00092FD6">
              <w:t>160 €/</w:t>
            </w:r>
            <w:proofErr w:type="spellStart"/>
            <w:r w:rsidRPr="00092FD6">
              <w:t>MWhe</w:t>
            </w:r>
            <w:proofErr w:type="spellEnd"/>
            <w:r w:rsidRPr="00092FD6">
              <w:t xml:space="preserve"> (EV)</w:t>
            </w:r>
          </w:p>
          <w:p w14:paraId="5F989088" w14:textId="5ED61085" w:rsidR="008A69BC" w:rsidRPr="00092FD6" w:rsidRDefault="008A69BC" w:rsidP="00DA61D4">
            <w:pPr>
              <w:pStyle w:val="CETBodytext"/>
              <w:keepNext/>
            </w:pPr>
            <w:r w:rsidRPr="00092FD6">
              <w:t>2.0 €/L (</w:t>
            </w:r>
            <w:r>
              <w:rPr>
                <w:lang w:val="en-GB"/>
              </w:rPr>
              <w:t>ICE &amp; Hybrid)</w:t>
            </w:r>
          </w:p>
        </w:tc>
        <w:tc>
          <w:tcPr>
            <w:tcW w:w="1531" w:type="pct"/>
            <w:shd w:val="clear" w:color="auto" w:fill="FFFFFF"/>
          </w:tcPr>
          <w:p w14:paraId="7AED9402" w14:textId="50EDC7B7" w:rsidR="00DA61D4" w:rsidRPr="008A69BC" w:rsidRDefault="008A69BC" w:rsidP="00DA61D4">
            <w:pPr>
              <w:pStyle w:val="CETBodytext"/>
              <w:keepNext/>
              <w:rPr>
                <w:lang w:val="it-IT"/>
              </w:rPr>
            </w:pPr>
            <w:r>
              <w:rPr>
                <w:lang w:val="it-IT"/>
              </w:rPr>
              <w:fldChar w:fldCharType="begin"/>
            </w:r>
            <w:r>
              <w:rPr>
                <w:lang w:val="it-IT"/>
              </w:rPr>
              <w:instrText xml:space="preserve"> ADDIN ZOTERO_ITEM CSL_CITATION {"citationID":"VJu59SkI","properties":{"formattedCitation":"(Giuliano et al., 2024)","plainCitation":"(Giuliano et al., 2024)","noteIndex":0},"citationItems":[{"id":4807,"uris":["http://zotero.org/users/10649518/items/4L2AKSPY"],"itemData":{"id":4807,"type":"article-journal","abstract":"To achieve sustainable development, the transition from a fossil-based economy to a circular economy is essential. The use of renewable energy sources to make the overall carbon foot print more favorable is an important pre-requisite. In this context, it is crucial to valorize all renewable resources through an optimized local integration. One opportunity arises through the synergy between bioresources and green hydrogen. Through techno-economic assessments, this work analyzes four local case studies that integrate bio-based processes with green hydrogen produced via electrolysis using renewable energy sources. An analysis of the use of webGIS tools (i.e., Atlas of Biorefineries of IEA Bioenergy) to identify existing biorefineries that require hydrogen in relation to territories with a potential availability of green hydrogen, has never been conducted before. This paper provides an evaluation of the production costs of the target products as a function of the local green hydrogen supply costs. The results revealed that the impact of green hydrogen costs could vary widely, ranging from 1% to 95% of the total production costs, depending on the bio-based target product evaluated. Additionally, hydrogen demand in the target area could require an installed variable renewable energy capacity of 20 MW and 500 MW. On the whole, the local integration of biorefineries and green hydrogen could represent an optimal opportunity to make hydrogenated bio-based products 100% renewable.","container-title":"Energies","DOI":"10.3390/en17235966","ISSN":"1996-1073","issue":"23","journalAbbreviation":"Energies","language":"en","license":"https://creativecommons.org/licenses/by/4.0/","page":"5966","source":"DOI.org (Crossref)","title":"Techno-Economic Analysis of Territorial Case Studies for the Integration of Biorefineries and Green Hydrogen","volume":"17","author":[{"family":"Giuliano","given":"Aristide"},{"family":"Stichnothe","given":"Heinz"},{"family":"Pierro","given":"Nicola"},{"family":"De Bari","given":"Isabella"}],"issued":{"date-parts":[["2024",11,27]]}}}],"schema":"https://github.com/citation-style-language/schema/raw/master/csl-citation.json"} </w:instrText>
            </w:r>
            <w:r>
              <w:rPr>
                <w:lang w:val="it-IT"/>
              </w:rPr>
              <w:fldChar w:fldCharType="separate"/>
            </w:r>
            <w:r w:rsidRPr="008A69BC">
              <w:rPr>
                <w:rFonts w:cs="Arial"/>
              </w:rPr>
              <w:t>(Giuliano et al., 2024)</w:t>
            </w:r>
            <w:r>
              <w:rPr>
                <w:lang w:val="it-IT"/>
              </w:rPr>
              <w:fldChar w:fldCharType="end"/>
            </w:r>
          </w:p>
        </w:tc>
      </w:tr>
      <w:tr w:rsidR="00DA61D4" w:rsidRPr="008A69BC" w14:paraId="525D458C" w14:textId="77777777" w:rsidTr="0067722B">
        <w:tc>
          <w:tcPr>
            <w:tcW w:w="1292" w:type="pct"/>
            <w:shd w:val="clear" w:color="auto" w:fill="FFFFFF"/>
          </w:tcPr>
          <w:p w14:paraId="5B630695" w14:textId="6187E91A" w:rsidR="00DA61D4" w:rsidRPr="00092FD6" w:rsidRDefault="008A69BC" w:rsidP="00DA61D4">
            <w:pPr>
              <w:pStyle w:val="CETBodytext"/>
              <w:keepNext/>
              <w:rPr>
                <w:i/>
                <w:iCs/>
                <w:lang w:val="it-IT"/>
              </w:rPr>
            </w:pPr>
            <w:proofErr w:type="spellStart"/>
            <w:r w:rsidRPr="00092FD6">
              <w:rPr>
                <w:i/>
                <w:iCs/>
                <w:lang w:val="it-IT"/>
              </w:rPr>
              <w:t>C</w:t>
            </w:r>
            <w:r w:rsidRPr="00092FD6">
              <w:rPr>
                <w:i/>
                <w:iCs/>
                <w:vertAlign w:val="subscript"/>
                <w:lang w:val="it-IT"/>
              </w:rPr>
              <w:t>col</w:t>
            </w:r>
            <w:proofErr w:type="spellEnd"/>
          </w:p>
        </w:tc>
        <w:tc>
          <w:tcPr>
            <w:tcW w:w="2177" w:type="pct"/>
            <w:shd w:val="clear" w:color="auto" w:fill="FFFFFF"/>
          </w:tcPr>
          <w:p w14:paraId="01007AD8" w14:textId="2BFEEF03" w:rsidR="00DA61D4" w:rsidRPr="008A69BC" w:rsidRDefault="008A69BC" w:rsidP="00DA61D4">
            <w:pPr>
              <w:pStyle w:val="CETBodytext"/>
              <w:keepNext/>
              <w:rPr>
                <w:lang w:val="it-IT"/>
              </w:rPr>
            </w:pPr>
            <w:r>
              <w:rPr>
                <w:lang w:val="it-IT"/>
              </w:rPr>
              <w:t>25,410 €</w:t>
            </w:r>
          </w:p>
        </w:tc>
        <w:tc>
          <w:tcPr>
            <w:tcW w:w="1531" w:type="pct"/>
            <w:shd w:val="clear" w:color="auto" w:fill="FFFFFF"/>
          </w:tcPr>
          <w:p w14:paraId="0A75557D" w14:textId="51C4EE0D" w:rsidR="00DA61D4" w:rsidRPr="008A69BC" w:rsidRDefault="008A69BC" w:rsidP="00DA61D4">
            <w:pPr>
              <w:pStyle w:val="CETBodytext"/>
              <w:keepNext/>
              <w:rPr>
                <w:lang w:val="it-IT"/>
              </w:rPr>
            </w:pPr>
            <w:r>
              <w:rPr>
                <w:lang w:val="it-IT"/>
              </w:rPr>
              <w:fldChar w:fldCharType="begin"/>
            </w:r>
            <w:r>
              <w:rPr>
                <w:lang w:val="it-IT"/>
              </w:rPr>
              <w:instrText xml:space="preserve"> ADDIN ZOTERO_ITEM CSL_CITATION {"citationID":"KwjyPDMJ","properties":{"formattedCitation":"(Modello INGEREV\\uc0\\u174{}, 2024)","plainCitation":"(Modello INGEREV®, 2024)","noteIndex":0},"citationItems":[{"id":4829,"uris":["http://zotero.org/users/10649518/items/BCXBZ3RG"],"itemData":{"id":4829,"type":"software","title":"https://www.ingeteam.com/it/it-it/energy/mobilita-elettrica/p15_58_164/ingerev-rapid.aspx","author":[{"family":"Modello INGEREV®","given":""}],"issued":{"date-parts":[["2024"]]}}}],"schema":"https://github.com/citation-style-language/schema/raw/master/csl-citation.json"} </w:instrText>
            </w:r>
            <w:r>
              <w:rPr>
                <w:lang w:val="it-IT"/>
              </w:rPr>
              <w:fldChar w:fldCharType="separate"/>
            </w:r>
            <w:r w:rsidRPr="008A69BC">
              <w:rPr>
                <w:rFonts w:cs="Arial"/>
              </w:rPr>
              <w:t>(Modello INGEREV®, 2024)</w:t>
            </w:r>
            <w:r>
              <w:rPr>
                <w:lang w:val="it-IT"/>
              </w:rPr>
              <w:fldChar w:fldCharType="end"/>
            </w:r>
          </w:p>
        </w:tc>
      </w:tr>
      <w:tr w:rsidR="00DA61D4" w:rsidRPr="008A69BC" w14:paraId="6955F718" w14:textId="77777777" w:rsidTr="0067722B">
        <w:tc>
          <w:tcPr>
            <w:tcW w:w="1292" w:type="pct"/>
            <w:shd w:val="clear" w:color="auto" w:fill="FFFFFF"/>
          </w:tcPr>
          <w:p w14:paraId="0FF1A55C" w14:textId="2E16F822" w:rsidR="00DA61D4" w:rsidRPr="00092FD6" w:rsidRDefault="008A69BC" w:rsidP="00DA61D4">
            <w:pPr>
              <w:pStyle w:val="CETBodytext"/>
              <w:keepNext/>
              <w:rPr>
                <w:i/>
                <w:iCs/>
                <w:lang w:val="it-IT"/>
              </w:rPr>
            </w:pPr>
            <w:proofErr w:type="spellStart"/>
            <w:r w:rsidRPr="00092FD6">
              <w:rPr>
                <w:i/>
                <w:iCs/>
                <w:lang w:val="it-IT"/>
              </w:rPr>
              <w:t>C</w:t>
            </w:r>
            <w:r w:rsidRPr="00092FD6">
              <w:rPr>
                <w:i/>
                <w:iCs/>
                <w:vertAlign w:val="subscript"/>
                <w:lang w:val="it-IT"/>
              </w:rPr>
              <w:t>gen</w:t>
            </w:r>
            <w:proofErr w:type="spellEnd"/>
          </w:p>
        </w:tc>
        <w:tc>
          <w:tcPr>
            <w:tcW w:w="2177" w:type="pct"/>
            <w:shd w:val="clear" w:color="auto" w:fill="FFFFFF"/>
          </w:tcPr>
          <w:p w14:paraId="446167FA" w14:textId="12259C76" w:rsidR="00DA61D4" w:rsidRPr="008A69BC" w:rsidRDefault="008A69BC" w:rsidP="00DA61D4">
            <w:pPr>
              <w:pStyle w:val="CETBodytext"/>
              <w:keepNext/>
              <w:rPr>
                <w:lang w:val="it-IT"/>
              </w:rPr>
            </w:pPr>
            <w:r>
              <w:rPr>
                <w:lang w:val="it-IT"/>
              </w:rPr>
              <w:t>47,022 €</w:t>
            </w:r>
          </w:p>
        </w:tc>
        <w:tc>
          <w:tcPr>
            <w:tcW w:w="1531" w:type="pct"/>
            <w:shd w:val="clear" w:color="auto" w:fill="FFFFFF"/>
          </w:tcPr>
          <w:p w14:paraId="67DECC71" w14:textId="1192CEF1" w:rsidR="00DA61D4" w:rsidRPr="008A69BC" w:rsidRDefault="008A69BC" w:rsidP="00DA61D4">
            <w:pPr>
              <w:pStyle w:val="CETBodytext"/>
              <w:keepNext/>
              <w:rPr>
                <w:lang w:val="it-IT"/>
              </w:rPr>
            </w:pPr>
            <w:r>
              <w:fldChar w:fldCharType="begin"/>
            </w:r>
            <w:r w:rsidR="009A3B32">
              <w:instrText xml:space="preserve"> ADDIN ZOTERO_ITEM CSL_CITATION {"citationID":"39dg5QBl","properties":{"formattedCitation":"(Motore Perkins, 2024)","plainCitation":"(Motore Perkins, 2024)","noteIndex":0},"citationItems":[{"id":4825,"uris":["http://zotero.org/users/10649518/items/RC8FCVKA"],"itemData":{"id":4825,"type":"software","collection-title":"https://www.venditanoleggiogeneratori.it/prezzo/gruppo-elettrogeno-diesel-insonorizzato-250-kva-200-kw-motore-perkins-cgm250p/","title":"Gruppo Elettrogeno Diesel Insonorizzato","author":[{"family":"Motore Perkins","given":""}],"issued":{"date-parts":[["2024"]]}}}],"schema":"https://github.com/citation-style-language/schema/raw/master/csl-citation.json"} </w:instrText>
            </w:r>
            <w:r>
              <w:fldChar w:fldCharType="separate"/>
            </w:r>
            <w:r w:rsidRPr="00042C82">
              <w:rPr>
                <w:rFonts w:cs="Arial"/>
              </w:rPr>
              <w:t>(Motore Perkins, 2024)</w:t>
            </w:r>
            <w:r>
              <w:fldChar w:fldCharType="end"/>
            </w:r>
          </w:p>
        </w:tc>
      </w:tr>
      <w:tr w:rsidR="008A69BC" w:rsidRPr="008A69BC" w14:paraId="71A8EFE5" w14:textId="77777777" w:rsidTr="0067722B">
        <w:tc>
          <w:tcPr>
            <w:tcW w:w="1292" w:type="pct"/>
            <w:shd w:val="clear" w:color="auto" w:fill="FFFFFF"/>
          </w:tcPr>
          <w:p w14:paraId="3BC89D50" w14:textId="455885FC" w:rsidR="008A69BC" w:rsidRPr="00092FD6" w:rsidRDefault="008A69BC" w:rsidP="00DA61D4">
            <w:pPr>
              <w:pStyle w:val="CETBodytext"/>
              <w:keepNext/>
              <w:rPr>
                <w:i/>
                <w:iCs/>
                <w:lang w:val="it-IT"/>
              </w:rPr>
            </w:pPr>
            <w:proofErr w:type="spellStart"/>
            <w:r w:rsidRPr="00092FD6">
              <w:rPr>
                <w:i/>
                <w:iCs/>
                <w:lang w:val="it-IT"/>
              </w:rPr>
              <w:t>C</w:t>
            </w:r>
            <w:r w:rsidRPr="00092FD6">
              <w:rPr>
                <w:i/>
                <w:iCs/>
                <w:vertAlign w:val="subscript"/>
                <w:lang w:val="it-IT"/>
              </w:rPr>
              <w:t>ret</w:t>
            </w:r>
            <w:proofErr w:type="spellEnd"/>
          </w:p>
        </w:tc>
        <w:tc>
          <w:tcPr>
            <w:tcW w:w="2177" w:type="pct"/>
            <w:shd w:val="clear" w:color="auto" w:fill="FFFFFF"/>
          </w:tcPr>
          <w:p w14:paraId="1A47DAA9" w14:textId="497A3F1C" w:rsidR="008A69BC" w:rsidRDefault="008A69BC" w:rsidP="00DA61D4">
            <w:pPr>
              <w:pStyle w:val="CETBodytext"/>
              <w:keepNext/>
              <w:rPr>
                <w:lang w:val="it-IT"/>
              </w:rPr>
            </w:pPr>
            <w:r>
              <w:rPr>
                <w:lang w:val="it-IT"/>
              </w:rPr>
              <w:t>10,700,000,000 €</w:t>
            </w:r>
          </w:p>
        </w:tc>
        <w:tc>
          <w:tcPr>
            <w:tcW w:w="1531" w:type="pct"/>
            <w:shd w:val="clear" w:color="auto" w:fill="FFFFFF"/>
          </w:tcPr>
          <w:p w14:paraId="519C3BA4" w14:textId="41510DC0" w:rsidR="008A69BC" w:rsidRDefault="009A3B32" w:rsidP="00DA61D4">
            <w:pPr>
              <w:pStyle w:val="CETBodytext"/>
              <w:keepNext/>
            </w:pPr>
            <w:r>
              <w:fldChar w:fldCharType="begin"/>
            </w:r>
            <w:r>
              <w:instrText xml:space="preserve"> ADDIN ZOTERO_ITEM CSL_CITATION {"citationID":"YJ3kVKiQ","properties":{"formattedCitation":"(Vigan\\uc0\\u242{} et al., 2021)","plainCitation":"(Viganò et al., 2021)","noteIndex":0},"citationItems":[{"id":4830,"uris":["http://zotero.org/users/10649518/items/P3AJFQPC"],"itemData":{"id":4830,"type":"report","publisher":"RSE","title":"Confronto tecnico-economico delle alternative di sviluppo al 2030 della rete di distribuzione","author":[{"family":"Viganò","given":"G."},{"family":"Michelangeli","given":"C."},{"family":"Rossi","given":"M."},{"family":"Moneta","given":"D."}],"issued":{"date-parts":[["2021"]]}}}],"schema":"https://github.com/citation-style-language/schema/raw/master/csl-citation.json"} </w:instrText>
            </w:r>
            <w:r>
              <w:fldChar w:fldCharType="separate"/>
            </w:r>
            <w:r w:rsidRPr="009A3B32">
              <w:rPr>
                <w:rFonts w:cs="Arial"/>
              </w:rPr>
              <w:t>(Viganò et al., 2021)</w:t>
            </w:r>
            <w:r>
              <w:fldChar w:fldCharType="end"/>
            </w:r>
          </w:p>
        </w:tc>
      </w:tr>
      <w:tr w:rsidR="009A3B32" w:rsidRPr="00B57B36" w14:paraId="17B9CDE3" w14:textId="77777777" w:rsidTr="0067722B">
        <w:tc>
          <w:tcPr>
            <w:tcW w:w="1292" w:type="pct"/>
            <w:shd w:val="clear" w:color="auto" w:fill="FFFFFF"/>
          </w:tcPr>
          <w:p w14:paraId="22B4F2A1" w14:textId="12710980" w:rsidR="009A3B32" w:rsidRPr="00092FD6" w:rsidRDefault="009A3B32" w:rsidP="009A3B32">
            <w:pPr>
              <w:pStyle w:val="CETBodytext"/>
              <w:ind w:right="-1"/>
              <w:rPr>
                <w:rFonts w:cs="Arial"/>
                <w:i/>
                <w:iCs/>
                <w:szCs w:val="18"/>
                <w:lang w:val="en-GB"/>
              </w:rPr>
            </w:pPr>
            <w:proofErr w:type="spellStart"/>
            <w:r w:rsidRPr="00092FD6">
              <w:rPr>
                <w:i/>
                <w:iCs/>
                <w:lang w:val="it-IT"/>
              </w:rPr>
              <w:t>C</w:t>
            </w:r>
            <w:r w:rsidRPr="00092FD6">
              <w:rPr>
                <w:i/>
                <w:iCs/>
                <w:vertAlign w:val="subscript"/>
                <w:lang w:val="it-IT"/>
              </w:rPr>
              <w:t>sto</w:t>
            </w:r>
            <w:proofErr w:type="spellEnd"/>
          </w:p>
        </w:tc>
        <w:tc>
          <w:tcPr>
            <w:tcW w:w="2177" w:type="pct"/>
            <w:shd w:val="clear" w:color="auto" w:fill="FFFFFF"/>
          </w:tcPr>
          <w:p w14:paraId="12CCBF9E" w14:textId="5769ACCB" w:rsidR="009A3B32" w:rsidRPr="00B57B36" w:rsidRDefault="009A3B32" w:rsidP="009A3B32">
            <w:pPr>
              <w:pStyle w:val="CETBodytext"/>
              <w:ind w:right="-1"/>
              <w:rPr>
                <w:rFonts w:cs="Arial"/>
                <w:szCs w:val="18"/>
                <w:lang w:val="en-GB"/>
              </w:rPr>
            </w:pPr>
            <w:r>
              <w:rPr>
                <w:lang w:val="it-IT"/>
              </w:rPr>
              <w:t>212.9 €/kWh</w:t>
            </w:r>
          </w:p>
        </w:tc>
        <w:tc>
          <w:tcPr>
            <w:tcW w:w="1531" w:type="pct"/>
            <w:shd w:val="clear" w:color="auto" w:fill="FFFFFF"/>
          </w:tcPr>
          <w:p w14:paraId="53DFBB8E" w14:textId="5FA8CDB0" w:rsidR="009A3B32" w:rsidRPr="00B57B36" w:rsidRDefault="009A3B32" w:rsidP="009A3B32">
            <w:pPr>
              <w:pStyle w:val="CETBodytext"/>
              <w:ind w:right="-1"/>
              <w:rPr>
                <w:rFonts w:cs="Arial"/>
                <w:szCs w:val="18"/>
                <w:lang w:val="en-GB"/>
              </w:rPr>
            </w:pPr>
            <w:r>
              <w:fldChar w:fldCharType="begin"/>
            </w:r>
            <w:r>
              <w:instrText xml:space="preserve"> ADDIN ZOTERO_ITEM CSL_CITATION {"citationID":"gHkpCCKe","properties":{"formattedCitation":"(Ralon et al., 2017)","plainCitation":"(Ralon et al., 2017)","noteIndex":0},"citationItems":[{"id":4831,"uris":["http://zotero.org/users/10649518/items/7AC95IMY"],"itemData":{"id":4831,"type":"report","publisher":"IRENA","title":"ELECTRICITY STORAGE AND RENEWABLES: COSTS AND MARKETS TO 2030","author":[{"family":"Ralon","given":"P."},{"family":"Taylor","given":"M."},{"family":"Ilas","given":"A."},{"family":"Diaz-Bone","given":"H."},{"family":"Kairies","given":"K."}],"issued":{"date-parts":[["2017"]]}}}],"schema":"https://github.com/citation-style-language/schema/raw/master/csl-citation.json"} </w:instrText>
            </w:r>
            <w:r>
              <w:fldChar w:fldCharType="separate"/>
            </w:r>
            <w:r w:rsidRPr="009A3B32">
              <w:rPr>
                <w:rFonts w:cs="Arial"/>
              </w:rPr>
              <w:t>(Ralon et al., 2017)</w:t>
            </w:r>
            <w:r>
              <w:fldChar w:fldCharType="end"/>
            </w:r>
          </w:p>
        </w:tc>
      </w:tr>
    </w:tbl>
    <w:p w14:paraId="346792C7" w14:textId="71B3A11B" w:rsidR="007D7833" w:rsidRPr="00B57B36" w:rsidRDefault="007D7833" w:rsidP="00AF37EE">
      <w:pPr>
        <w:pStyle w:val="CETHeading1"/>
        <w:rPr>
          <w:lang w:val="en-GB"/>
        </w:rPr>
      </w:pPr>
      <w:r>
        <w:t>Results</w:t>
      </w:r>
    </w:p>
    <w:p w14:paraId="66F635D0" w14:textId="262DE6FF" w:rsidR="007D7833" w:rsidRPr="00ED1E23" w:rsidRDefault="00131359" w:rsidP="007D7833">
      <w:pPr>
        <w:pStyle w:val="CETBodytext"/>
      </w:pPr>
      <w:r w:rsidRPr="004462A7">
        <w:t xml:space="preserve">Among the results obtained, one of the main data that emerges is the marked difference between the full electric </w:t>
      </w:r>
      <w:r w:rsidR="00D83BB0" w:rsidRPr="00ED1E23">
        <w:t xml:space="preserve">scenario </w:t>
      </w:r>
      <w:r w:rsidRPr="00ED1E23">
        <w:t>and the other two. In particular, the energy require</w:t>
      </w:r>
      <w:r w:rsidR="002F5B95" w:rsidRPr="00ED1E23">
        <w:t>ment</w:t>
      </w:r>
      <w:r w:rsidRPr="00ED1E23">
        <w:t xml:space="preserve"> from the </w:t>
      </w:r>
      <w:r w:rsidR="002F5B95" w:rsidRPr="00ED1E23">
        <w:t xml:space="preserve">power plants per 100 km is equal to 21.0 </w:t>
      </w:r>
      <w:proofErr w:type="spellStart"/>
      <w:r w:rsidR="002F5B95" w:rsidRPr="00ED1E23">
        <w:t>kWhe</w:t>
      </w:r>
      <w:proofErr w:type="spellEnd"/>
      <w:r w:rsidR="002F5B95" w:rsidRPr="00ED1E23">
        <w:t xml:space="preserve">/100km, this value </w:t>
      </w:r>
      <w:r w:rsidRPr="00ED1E23">
        <w:t>is less than half compared to the other two cases</w:t>
      </w:r>
      <w:r w:rsidR="002F5B95" w:rsidRPr="00ED1E23">
        <w:t xml:space="preserve">: 49.6 and 52.0 </w:t>
      </w:r>
      <w:proofErr w:type="spellStart"/>
      <w:r w:rsidR="002F5B95" w:rsidRPr="00ED1E23">
        <w:t>kWhe</w:t>
      </w:r>
      <w:proofErr w:type="spellEnd"/>
      <w:r w:rsidR="002F5B95" w:rsidRPr="00ED1E23">
        <w:t>/100km for the ICE bio and off-board hybrid, respectively</w:t>
      </w:r>
      <w:r w:rsidRPr="00ED1E23">
        <w:t xml:space="preserve">. This discrepancy is </w:t>
      </w:r>
      <w:proofErr w:type="gramStart"/>
      <w:r w:rsidRPr="00ED1E23">
        <w:t>due to the fact that</w:t>
      </w:r>
      <w:proofErr w:type="gramEnd"/>
      <w:r w:rsidRPr="00ED1E23">
        <w:t xml:space="preserve"> the electric motor is much more efficient than the endothermic one and to the absence of energy transformations from the battery to the production plant in the full electric </w:t>
      </w:r>
      <w:r w:rsidR="002F5B95" w:rsidRPr="00ED1E23">
        <w:t>scenario</w:t>
      </w:r>
      <w:r w:rsidRPr="00ED1E23">
        <w:t xml:space="preserve">. </w:t>
      </w:r>
      <w:r w:rsidR="002F5B95" w:rsidRPr="00ED1E23">
        <w:t>H</w:t>
      </w:r>
      <w:r w:rsidRPr="00ED1E23">
        <w:t>owever, the energy balances</w:t>
      </w:r>
      <w:r w:rsidR="00720F03" w:rsidRPr="00ED1E23">
        <w:t xml:space="preserve"> were</w:t>
      </w:r>
      <w:r w:rsidRPr="00ED1E23">
        <w:t xml:space="preserve"> stop</w:t>
      </w:r>
      <w:r w:rsidR="002F5B95" w:rsidRPr="00ED1E23">
        <w:t>ped</w:t>
      </w:r>
      <w:r w:rsidRPr="00ED1E23">
        <w:t xml:space="preserve"> at the production plant, without considering the primary source. If the primary source had also been considered, the total annual energy required would have been similar for the three cases, given that the production yields of electricity are not particularly high (especially if production from renewable sources is considered). </w:t>
      </w:r>
      <w:r w:rsidR="00720F03" w:rsidRPr="00ED1E23">
        <w:t>The environmental analysis returns a similar behavior, t</w:t>
      </w:r>
      <w:r w:rsidRPr="00ED1E23">
        <w:t xml:space="preserve">he case with the lowest environmental impact, in terms of greenhouse gas emissions, is the full electric </w:t>
      </w:r>
      <w:r w:rsidR="00720F03" w:rsidRPr="00ED1E23">
        <w:t>scenario</w:t>
      </w:r>
      <w:r w:rsidRPr="00ED1E23">
        <w:t>, followed by the full ICE bio case and the off-board hybrid case</w:t>
      </w:r>
      <w:r w:rsidR="00720F03" w:rsidRPr="00ED1E23">
        <w:t xml:space="preserve"> (Table </w:t>
      </w:r>
      <w:r w:rsidR="000230E0" w:rsidRPr="00ED1E23">
        <w:t>2</w:t>
      </w:r>
      <w:r w:rsidR="00720F03" w:rsidRPr="00ED1E23">
        <w:t>)</w:t>
      </w:r>
      <w:r w:rsidRPr="00ED1E23">
        <w:t xml:space="preserve">. The result of </w:t>
      </w:r>
      <w:r w:rsidR="00720F03" w:rsidRPr="00ED1E23">
        <w:t>6.5 kg</w:t>
      </w:r>
      <w:r w:rsidR="00720F03" w:rsidRPr="00ED1E23">
        <w:rPr>
          <w:vertAlign w:val="subscript"/>
        </w:rPr>
        <w:t>CO2</w:t>
      </w:r>
      <w:r w:rsidR="00720F03" w:rsidRPr="00ED1E23">
        <w:t xml:space="preserve">/100km </w:t>
      </w:r>
      <w:r w:rsidRPr="00ED1E23">
        <w:t xml:space="preserve">is due to the absence of emissions along the entire path of the electrical energy, except for its production. This value can only improve if the energy mix </w:t>
      </w:r>
      <w:proofErr w:type="gramStart"/>
      <w:r w:rsidRPr="00ED1E23">
        <w:t>for the production of</w:t>
      </w:r>
      <w:proofErr w:type="gramEnd"/>
      <w:r w:rsidRPr="00ED1E23">
        <w:t xml:space="preserve"> electrical energy, decreasing the share of energy produced from fossil fuels, becomes increasingly sustainable.</w:t>
      </w:r>
      <w:r w:rsidR="00720F03" w:rsidRPr="00ED1E23">
        <w:t xml:space="preserve"> Considering the</w:t>
      </w:r>
      <w:r w:rsidRPr="00ED1E23">
        <w:t xml:space="preserve"> </w:t>
      </w:r>
      <w:r w:rsidR="00720F03" w:rsidRPr="00ED1E23">
        <w:t xml:space="preserve">off-board </w:t>
      </w:r>
      <w:r w:rsidRPr="00ED1E23">
        <w:t xml:space="preserve">hybrid </w:t>
      </w:r>
      <w:r w:rsidR="00720F03" w:rsidRPr="00ED1E23">
        <w:t>scenario</w:t>
      </w:r>
      <w:r w:rsidRPr="00ED1E23">
        <w:t>, however, it is evident that the environmental impact is greater than in the full ICE bio case, despite the use of electric vehicles. This is attributable to chemical energy contained in the generator tank is greater than that contained in the tank of the vehicle with an internal combustion engine. The two solutions both use green diesel, so they have the same emission factors and, therefore, the favorable result for the full ICE case depends only on the energy in the tank. Clearly, these results could vary significantly if the regenerative braking of electric vehicles or the use of CO</w:t>
      </w:r>
      <w:r w:rsidRPr="00ED1E23">
        <w:rPr>
          <w:vertAlign w:val="subscript"/>
        </w:rPr>
        <w:t>2</w:t>
      </w:r>
      <w:r w:rsidRPr="00ED1E23">
        <w:t xml:space="preserve"> capture systems for the generator were considered, solutions that are not applicable to internal combustion vehicles</w:t>
      </w:r>
      <w:r w:rsidR="00D83BB0" w:rsidRPr="00ED1E23">
        <w:t>.</w:t>
      </w:r>
    </w:p>
    <w:p w14:paraId="3ACA7D0C" w14:textId="4A0383F3" w:rsidR="009E7FEE" w:rsidRPr="00ED1E23" w:rsidRDefault="009E7FEE" w:rsidP="00203F6B">
      <w:pPr>
        <w:pStyle w:val="CETTabletitle"/>
      </w:pPr>
      <w:r w:rsidRPr="00ED1E23">
        <w:rPr>
          <w:lang w:val="en-US"/>
        </w:rPr>
        <w:t xml:space="preserve"> </w:t>
      </w:r>
      <w:r w:rsidRPr="00ED1E23">
        <w:t xml:space="preserve">Table </w:t>
      </w:r>
      <w:r w:rsidR="000230E0" w:rsidRPr="00ED1E23">
        <w:t>2</w:t>
      </w:r>
      <w:r w:rsidRPr="00ED1E23">
        <w:t xml:space="preserve">: </w:t>
      </w:r>
      <w:r w:rsidR="00203F6B" w:rsidRPr="00ED1E23">
        <w:t>Environmental assessment results for the scenarios considered</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30"/>
        <w:gridCol w:w="2046"/>
        <w:gridCol w:w="2921"/>
        <w:gridCol w:w="2090"/>
      </w:tblGrid>
      <w:tr w:rsidR="009E7FEE" w:rsidRPr="00ED1E23" w14:paraId="5BAE418E" w14:textId="77777777" w:rsidTr="008C1875">
        <w:tc>
          <w:tcPr>
            <w:tcW w:w="984" w:type="pct"/>
            <w:tcBorders>
              <w:top w:val="single" w:sz="12" w:space="0" w:color="008000"/>
              <w:bottom w:val="single" w:sz="6" w:space="0" w:color="008000"/>
            </w:tcBorders>
            <w:shd w:val="clear" w:color="auto" w:fill="FFFFFF"/>
          </w:tcPr>
          <w:p w14:paraId="052C0084" w14:textId="3CF5E58A" w:rsidR="009E7FEE" w:rsidRPr="00ED1E23" w:rsidRDefault="009E7FEE" w:rsidP="004462A7">
            <w:pPr>
              <w:pStyle w:val="CETBodytext"/>
              <w:keepNext/>
              <w:rPr>
                <w:lang w:val="en-GB"/>
              </w:rPr>
            </w:pPr>
            <w:r w:rsidRPr="00ED1E23">
              <w:rPr>
                <w:lang w:val="en-GB"/>
              </w:rPr>
              <w:t>Scenario</w:t>
            </w:r>
          </w:p>
        </w:tc>
        <w:tc>
          <w:tcPr>
            <w:tcW w:w="1164" w:type="pct"/>
            <w:tcBorders>
              <w:top w:val="single" w:sz="12" w:space="0" w:color="008000"/>
              <w:bottom w:val="single" w:sz="6" w:space="0" w:color="008000"/>
            </w:tcBorders>
            <w:shd w:val="clear" w:color="auto" w:fill="FFFFFF"/>
          </w:tcPr>
          <w:p w14:paraId="30B637FF" w14:textId="77777777" w:rsidR="00B5083E" w:rsidRPr="00ED1E23" w:rsidRDefault="009E7FEE" w:rsidP="004462A7">
            <w:pPr>
              <w:pStyle w:val="CETBodytext"/>
              <w:keepNext/>
              <w:rPr>
                <w:lang w:val="en-GB"/>
              </w:rPr>
            </w:pPr>
            <w:r w:rsidRPr="00ED1E23">
              <w:rPr>
                <w:lang w:val="en-GB"/>
              </w:rPr>
              <w:t>Full electric</w:t>
            </w:r>
          </w:p>
          <w:p w14:paraId="041C828D" w14:textId="0039491B" w:rsidR="009E7FEE" w:rsidRPr="00ED1E23" w:rsidRDefault="00B5083E" w:rsidP="004462A7">
            <w:pPr>
              <w:pStyle w:val="CETBodytext"/>
              <w:keepNext/>
              <w:rPr>
                <w:lang w:val="en-GB"/>
              </w:rPr>
            </w:pPr>
            <w:r w:rsidRPr="00ED1E23">
              <w:rPr>
                <w:lang w:val="en-GB"/>
              </w:rPr>
              <w:t>(kg</w:t>
            </w:r>
            <w:r w:rsidRPr="00ED1E23">
              <w:rPr>
                <w:vertAlign w:val="subscript"/>
                <w:lang w:val="en-GB"/>
              </w:rPr>
              <w:t>CO2eq</w:t>
            </w:r>
            <w:r w:rsidRPr="00ED1E23">
              <w:rPr>
                <w:lang w:val="en-GB"/>
              </w:rPr>
              <w:t>/100km)</w:t>
            </w:r>
          </w:p>
        </w:tc>
        <w:tc>
          <w:tcPr>
            <w:tcW w:w="1662" w:type="pct"/>
            <w:tcBorders>
              <w:top w:val="single" w:sz="12" w:space="0" w:color="008000"/>
              <w:bottom w:val="single" w:sz="6" w:space="0" w:color="008000"/>
            </w:tcBorders>
            <w:shd w:val="clear" w:color="auto" w:fill="FFFFFF"/>
          </w:tcPr>
          <w:p w14:paraId="3600DFCA" w14:textId="77777777" w:rsidR="009E7FEE" w:rsidRPr="00ED1E23" w:rsidRDefault="009E7FEE" w:rsidP="004462A7">
            <w:pPr>
              <w:pStyle w:val="CETBodytext"/>
              <w:keepNext/>
              <w:rPr>
                <w:lang w:val="en-GB"/>
              </w:rPr>
            </w:pPr>
            <w:r w:rsidRPr="00ED1E23">
              <w:rPr>
                <w:lang w:val="en-GB"/>
              </w:rPr>
              <w:t>Off-board hybrid</w:t>
            </w:r>
          </w:p>
          <w:p w14:paraId="54C91059" w14:textId="5A9612DC" w:rsidR="00B5083E" w:rsidRPr="00ED1E23" w:rsidRDefault="00B5083E" w:rsidP="004462A7">
            <w:pPr>
              <w:pStyle w:val="CETBodytext"/>
              <w:keepNext/>
              <w:rPr>
                <w:lang w:val="en-GB"/>
              </w:rPr>
            </w:pPr>
            <w:r w:rsidRPr="00ED1E23">
              <w:rPr>
                <w:lang w:val="en-GB"/>
              </w:rPr>
              <w:t>(kg</w:t>
            </w:r>
            <w:r w:rsidRPr="00ED1E23">
              <w:rPr>
                <w:vertAlign w:val="subscript"/>
                <w:lang w:val="en-GB"/>
              </w:rPr>
              <w:t>CO2eq</w:t>
            </w:r>
            <w:r w:rsidRPr="00ED1E23">
              <w:rPr>
                <w:lang w:val="en-GB"/>
              </w:rPr>
              <w:t>/100km)</w:t>
            </w:r>
          </w:p>
        </w:tc>
        <w:tc>
          <w:tcPr>
            <w:tcW w:w="1189" w:type="pct"/>
            <w:tcBorders>
              <w:top w:val="single" w:sz="12" w:space="0" w:color="008000"/>
              <w:bottom w:val="single" w:sz="6" w:space="0" w:color="008000"/>
            </w:tcBorders>
            <w:shd w:val="clear" w:color="auto" w:fill="FFFFFF"/>
          </w:tcPr>
          <w:p w14:paraId="241DB50B" w14:textId="77777777" w:rsidR="009E7FEE" w:rsidRPr="00ED1E23" w:rsidRDefault="009E7FEE" w:rsidP="004462A7">
            <w:pPr>
              <w:pStyle w:val="CETBodytext"/>
              <w:keepNext/>
              <w:ind w:right="-1"/>
              <w:rPr>
                <w:rFonts w:cs="Arial"/>
                <w:szCs w:val="18"/>
                <w:lang w:val="en-GB"/>
              </w:rPr>
            </w:pPr>
            <w:r w:rsidRPr="00ED1E23">
              <w:rPr>
                <w:rFonts w:cs="Arial"/>
                <w:szCs w:val="18"/>
                <w:lang w:val="en-GB"/>
              </w:rPr>
              <w:t>Full ICE bio</w:t>
            </w:r>
          </w:p>
          <w:p w14:paraId="4084F7DB" w14:textId="22B73526" w:rsidR="00B5083E" w:rsidRPr="00ED1E23" w:rsidRDefault="00B5083E" w:rsidP="004462A7">
            <w:pPr>
              <w:pStyle w:val="CETBodytext"/>
              <w:keepNext/>
              <w:ind w:right="-1"/>
              <w:rPr>
                <w:rFonts w:cs="Arial"/>
                <w:szCs w:val="18"/>
                <w:lang w:val="en-GB"/>
              </w:rPr>
            </w:pPr>
            <w:r w:rsidRPr="00ED1E23">
              <w:rPr>
                <w:lang w:val="en-GB"/>
              </w:rPr>
              <w:t>(kg</w:t>
            </w:r>
            <w:r w:rsidRPr="00ED1E23">
              <w:rPr>
                <w:vertAlign w:val="subscript"/>
                <w:lang w:val="en-GB"/>
              </w:rPr>
              <w:t>CO2eq</w:t>
            </w:r>
            <w:r w:rsidRPr="00ED1E23">
              <w:rPr>
                <w:lang w:val="en-GB"/>
              </w:rPr>
              <w:t>/100km)</w:t>
            </w:r>
          </w:p>
        </w:tc>
      </w:tr>
      <w:tr w:rsidR="009E7FEE" w:rsidRPr="00ED1E23" w14:paraId="0CD95C8A" w14:textId="77777777" w:rsidTr="008C1875">
        <w:tc>
          <w:tcPr>
            <w:tcW w:w="984" w:type="pct"/>
            <w:shd w:val="clear" w:color="auto" w:fill="FFFFFF"/>
          </w:tcPr>
          <w:p w14:paraId="4715D5F4" w14:textId="6060C03A" w:rsidR="009E7FEE" w:rsidRPr="00ED1E23" w:rsidRDefault="009E7FEE" w:rsidP="004462A7">
            <w:pPr>
              <w:pStyle w:val="CETBodytext"/>
              <w:keepNext/>
              <w:rPr>
                <w:i/>
                <w:iCs/>
                <w:lang w:val="en-GB"/>
              </w:rPr>
            </w:pPr>
            <w:r w:rsidRPr="00ED1E23">
              <w:rPr>
                <w:i/>
                <w:iCs/>
                <w:lang w:val="en-GB"/>
              </w:rPr>
              <w:t>CO</w:t>
            </w:r>
            <w:r w:rsidRPr="00ED1E23">
              <w:rPr>
                <w:i/>
                <w:iCs/>
                <w:vertAlign w:val="subscript"/>
                <w:lang w:val="en-GB"/>
              </w:rPr>
              <w:t>2</w:t>
            </w:r>
            <w:proofErr w:type="gramStart"/>
            <w:r w:rsidRPr="00ED1E23">
              <w:rPr>
                <w:i/>
                <w:iCs/>
                <w:vertAlign w:val="subscript"/>
                <w:lang w:val="en-GB"/>
              </w:rPr>
              <w:t>e</w:t>
            </w:r>
            <w:r w:rsidR="00D83BB0" w:rsidRPr="00ED1E23">
              <w:rPr>
                <w:i/>
                <w:iCs/>
                <w:vertAlign w:val="subscript"/>
                <w:lang w:val="en-GB"/>
              </w:rPr>
              <w:t>,</w:t>
            </w:r>
            <w:r w:rsidRPr="00ED1E23">
              <w:rPr>
                <w:i/>
                <w:iCs/>
                <w:vertAlign w:val="subscript"/>
                <w:lang w:val="en-GB"/>
              </w:rPr>
              <w:t>w</w:t>
            </w:r>
            <w:r w:rsidR="00D83BB0" w:rsidRPr="00ED1E23">
              <w:rPr>
                <w:i/>
                <w:iCs/>
                <w:vertAlign w:val="subscript"/>
                <w:lang w:val="en-GB"/>
              </w:rPr>
              <w:t>he</w:t>
            </w:r>
            <w:proofErr w:type="gramEnd"/>
          </w:p>
        </w:tc>
        <w:tc>
          <w:tcPr>
            <w:tcW w:w="1164" w:type="pct"/>
            <w:shd w:val="clear" w:color="auto" w:fill="FFFFFF"/>
          </w:tcPr>
          <w:p w14:paraId="2BBDC4AA" w14:textId="1F28EF13" w:rsidR="009E7FEE" w:rsidRPr="00ED1E23" w:rsidRDefault="009E7FEE" w:rsidP="004462A7">
            <w:pPr>
              <w:pStyle w:val="CETBodytext"/>
              <w:keepNext/>
              <w:rPr>
                <w:lang w:val="en-GB"/>
              </w:rPr>
            </w:pPr>
            <w:r w:rsidRPr="00ED1E23">
              <w:t>/</w:t>
            </w:r>
          </w:p>
        </w:tc>
        <w:tc>
          <w:tcPr>
            <w:tcW w:w="1662" w:type="pct"/>
            <w:shd w:val="clear" w:color="auto" w:fill="FFFFFF"/>
          </w:tcPr>
          <w:p w14:paraId="2A2E6B20" w14:textId="3609AD85" w:rsidR="009E7FEE" w:rsidRPr="00ED1E23" w:rsidRDefault="009E7FEE" w:rsidP="004462A7">
            <w:pPr>
              <w:pStyle w:val="CETBodytext"/>
              <w:keepNext/>
              <w:rPr>
                <w:lang w:val="en-GB"/>
              </w:rPr>
            </w:pPr>
            <w:r w:rsidRPr="00ED1E23">
              <w:t>/</w:t>
            </w:r>
          </w:p>
        </w:tc>
        <w:tc>
          <w:tcPr>
            <w:tcW w:w="1189" w:type="pct"/>
            <w:shd w:val="clear" w:color="auto" w:fill="FFFFFF"/>
          </w:tcPr>
          <w:p w14:paraId="51D07B66" w14:textId="7C86B5D7" w:rsidR="009E7FEE" w:rsidRPr="00ED1E23" w:rsidRDefault="009E7FEE" w:rsidP="004462A7">
            <w:pPr>
              <w:pStyle w:val="CETBodytext"/>
              <w:keepNext/>
              <w:ind w:right="-1"/>
              <w:rPr>
                <w:rFonts w:cs="Arial"/>
                <w:szCs w:val="18"/>
                <w:lang w:val="en-GB"/>
              </w:rPr>
            </w:pPr>
            <w:r w:rsidRPr="00ED1E23">
              <w:t>+10.1</w:t>
            </w:r>
          </w:p>
        </w:tc>
      </w:tr>
      <w:tr w:rsidR="009E7FEE" w:rsidRPr="00ED1E23" w14:paraId="3C31BDD4" w14:textId="77777777" w:rsidTr="008C1875">
        <w:tc>
          <w:tcPr>
            <w:tcW w:w="984" w:type="pct"/>
            <w:shd w:val="clear" w:color="auto" w:fill="FFFFFF"/>
          </w:tcPr>
          <w:p w14:paraId="24722AAC" w14:textId="0174F135" w:rsidR="009E7FEE" w:rsidRPr="00ED1E23" w:rsidRDefault="009E7FEE" w:rsidP="004462A7">
            <w:pPr>
              <w:pStyle w:val="CETBodytext"/>
              <w:keepNext/>
              <w:rPr>
                <w:i/>
                <w:iCs/>
                <w:lang w:val="en-GB"/>
              </w:rPr>
            </w:pPr>
            <w:r w:rsidRPr="00ED1E23">
              <w:rPr>
                <w:i/>
                <w:iCs/>
                <w:lang w:val="en-GB"/>
              </w:rPr>
              <w:t>CO</w:t>
            </w:r>
            <w:r w:rsidRPr="00ED1E23">
              <w:rPr>
                <w:i/>
                <w:iCs/>
                <w:vertAlign w:val="subscript"/>
                <w:lang w:val="en-GB"/>
              </w:rPr>
              <w:t>2</w:t>
            </w:r>
            <w:proofErr w:type="gramStart"/>
            <w:r w:rsidRPr="00ED1E23">
              <w:rPr>
                <w:i/>
                <w:iCs/>
                <w:vertAlign w:val="subscript"/>
                <w:lang w:val="en-GB"/>
              </w:rPr>
              <w:t>e</w:t>
            </w:r>
            <w:r w:rsidR="00D83BB0" w:rsidRPr="00ED1E23">
              <w:rPr>
                <w:i/>
                <w:iCs/>
                <w:vertAlign w:val="subscript"/>
                <w:lang w:val="en-GB"/>
              </w:rPr>
              <w:t>,</w:t>
            </w:r>
            <w:r w:rsidRPr="00ED1E23">
              <w:rPr>
                <w:i/>
                <w:iCs/>
                <w:vertAlign w:val="subscript"/>
                <w:lang w:val="en-GB"/>
              </w:rPr>
              <w:t>g</w:t>
            </w:r>
            <w:r w:rsidR="00D83BB0" w:rsidRPr="00ED1E23">
              <w:rPr>
                <w:i/>
                <w:iCs/>
                <w:vertAlign w:val="subscript"/>
                <w:lang w:val="en-GB"/>
              </w:rPr>
              <w:t>en</w:t>
            </w:r>
            <w:proofErr w:type="gramEnd"/>
          </w:p>
        </w:tc>
        <w:tc>
          <w:tcPr>
            <w:tcW w:w="1164" w:type="pct"/>
            <w:shd w:val="clear" w:color="auto" w:fill="FFFFFF"/>
          </w:tcPr>
          <w:p w14:paraId="4ADBC63A" w14:textId="1AB1AE53" w:rsidR="009E7FEE" w:rsidRPr="00ED1E23" w:rsidRDefault="009E7FEE" w:rsidP="004462A7">
            <w:pPr>
              <w:pStyle w:val="CETBodytext"/>
              <w:keepNext/>
              <w:rPr>
                <w:lang w:val="en-GB"/>
              </w:rPr>
            </w:pPr>
            <w:r w:rsidRPr="00ED1E23">
              <w:t>/</w:t>
            </w:r>
          </w:p>
        </w:tc>
        <w:tc>
          <w:tcPr>
            <w:tcW w:w="1662" w:type="pct"/>
            <w:shd w:val="clear" w:color="auto" w:fill="FFFFFF"/>
          </w:tcPr>
          <w:p w14:paraId="6C506C52" w14:textId="43A97B32" w:rsidR="009E7FEE" w:rsidRPr="00ED1E23" w:rsidRDefault="009E7FEE" w:rsidP="004462A7">
            <w:pPr>
              <w:pStyle w:val="CETBodytext"/>
              <w:keepNext/>
              <w:rPr>
                <w:lang w:val="en-GB"/>
              </w:rPr>
            </w:pPr>
            <w:r w:rsidRPr="00ED1E23">
              <w:t>+10.6</w:t>
            </w:r>
          </w:p>
        </w:tc>
        <w:tc>
          <w:tcPr>
            <w:tcW w:w="1189" w:type="pct"/>
            <w:shd w:val="clear" w:color="auto" w:fill="FFFFFF"/>
          </w:tcPr>
          <w:p w14:paraId="64586A0B" w14:textId="23F48137" w:rsidR="009E7FEE" w:rsidRPr="00ED1E23" w:rsidRDefault="009E7FEE" w:rsidP="004462A7">
            <w:pPr>
              <w:pStyle w:val="CETBodytext"/>
              <w:keepNext/>
              <w:ind w:right="-1"/>
              <w:rPr>
                <w:rFonts w:cs="Arial"/>
                <w:szCs w:val="18"/>
                <w:lang w:val="en-GB"/>
              </w:rPr>
            </w:pPr>
            <w:r w:rsidRPr="00ED1E23">
              <w:t>/</w:t>
            </w:r>
          </w:p>
        </w:tc>
      </w:tr>
      <w:tr w:rsidR="009E7FEE" w:rsidRPr="00ED1E23" w14:paraId="3C43F5F0" w14:textId="77777777" w:rsidTr="008C1875">
        <w:tc>
          <w:tcPr>
            <w:tcW w:w="984" w:type="pct"/>
            <w:shd w:val="clear" w:color="auto" w:fill="FFFFFF"/>
          </w:tcPr>
          <w:p w14:paraId="28D7E06D" w14:textId="71D9329D" w:rsidR="009E7FEE" w:rsidRPr="00ED1E23" w:rsidRDefault="009E7FEE" w:rsidP="004462A7">
            <w:pPr>
              <w:pStyle w:val="CETBodytext"/>
              <w:keepNext/>
              <w:rPr>
                <w:i/>
                <w:iCs/>
                <w:lang w:val="en-GB"/>
              </w:rPr>
            </w:pPr>
            <w:r w:rsidRPr="00ED1E23">
              <w:rPr>
                <w:i/>
                <w:iCs/>
                <w:lang w:val="en-GB"/>
              </w:rPr>
              <w:t>CO</w:t>
            </w:r>
            <w:r w:rsidRPr="00ED1E23">
              <w:rPr>
                <w:i/>
                <w:iCs/>
                <w:vertAlign w:val="subscript"/>
                <w:lang w:val="en-GB"/>
              </w:rPr>
              <w:t>2</w:t>
            </w:r>
            <w:proofErr w:type="gramStart"/>
            <w:r w:rsidRPr="00ED1E23">
              <w:rPr>
                <w:i/>
                <w:iCs/>
                <w:vertAlign w:val="subscript"/>
                <w:lang w:val="en-GB"/>
              </w:rPr>
              <w:t>e</w:t>
            </w:r>
            <w:r w:rsidR="00D83BB0" w:rsidRPr="00ED1E23">
              <w:rPr>
                <w:i/>
                <w:iCs/>
                <w:vertAlign w:val="subscript"/>
                <w:lang w:val="en-GB"/>
              </w:rPr>
              <w:t>,</w:t>
            </w:r>
            <w:r w:rsidRPr="00ED1E23">
              <w:rPr>
                <w:i/>
                <w:iCs/>
                <w:vertAlign w:val="subscript"/>
                <w:lang w:val="en-GB"/>
              </w:rPr>
              <w:t>d</w:t>
            </w:r>
            <w:r w:rsidR="00D83BB0" w:rsidRPr="00ED1E23">
              <w:rPr>
                <w:i/>
                <w:iCs/>
                <w:vertAlign w:val="subscript"/>
                <w:lang w:val="en-GB"/>
              </w:rPr>
              <w:t>ist</w:t>
            </w:r>
            <w:proofErr w:type="gramEnd"/>
          </w:p>
        </w:tc>
        <w:tc>
          <w:tcPr>
            <w:tcW w:w="1164" w:type="pct"/>
            <w:shd w:val="clear" w:color="auto" w:fill="FFFFFF"/>
          </w:tcPr>
          <w:p w14:paraId="7CC96FF7" w14:textId="73A04074" w:rsidR="009E7FEE" w:rsidRPr="00ED1E23" w:rsidRDefault="009E7FEE" w:rsidP="004462A7">
            <w:pPr>
              <w:pStyle w:val="CETBodytext"/>
              <w:keepNext/>
              <w:rPr>
                <w:lang w:val="en-GB"/>
              </w:rPr>
            </w:pPr>
            <w:r w:rsidRPr="00ED1E23">
              <w:t>/</w:t>
            </w:r>
          </w:p>
        </w:tc>
        <w:tc>
          <w:tcPr>
            <w:tcW w:w="1662" w:type="pct"/>
            <w:shd w:val="clear" w:color="auto" w:fill="FFFFFF"/>
          </w:tcPr>
          <w:p w14:paraId="56D943AD" w14:textId="239D4075" w:rsidR="009E7FEE" w:rsidRPr="00ED1E23" w:rsidRDefault="009E7FEE" w:rsidP="004462A7">
            <w:pPr>
              <w:pStyle w:val="CETBodytext"/>
              <w:keepNext/>
              <w:rPr>
                <w:lang w:val="en-GB"/>
              </w:rPr>
            </w:pPr>
            <w:r w:rsidRPr="00ED1E23">
              <w:t>+0.2</w:t>
            </w:r>
          </w:p>
        </w:tc>
        <w:tc>
          <w:tcPr>
            <w:tcW w:w="1189" w:type="pct"/>
            <w:shd w:val="clear" w:color="auto" w:fill="FFFFFF"/>
          </w:tcPr>
          <w:p w14:paraId="680621E1" w14:textId="5EF00F51" w:rsidR="009E7FEE" w:rsidRPr="00ED1E23" w:rsidRDefault="009E7FEE" w:rsidP="004462A7">
            <w:pPr>
              <w:pStyle w:val="CETBodytext"/>
              <w:keepNext/>
              <w:ind w:right="-1"/>
              <w:rPr>
                <w:rFonts w:cs="Arial"/>
                <w:szCs w:val="18"/>
                <w:lang w:val="en-GB"/>
              </w:rPr>
            </w:pPr>
            <w:r w:rsidRPr="00ED1E23">
              <w:t>+0.2</w:t>
            </w:r>
          </w:p>
        </w:tc>
      </w:tr>
      <w:tr w:rsidR="009E7FEE" w:rsidRPr="00ED1E23" w14:paraId="7D972AE1" w14:textId="77777777" w:rsidTr="008C1875">
        <w:tc>
          <w:tcPr>
            <w:tcW w:w="984" w:type="pct"/>
            <w:shd w:val="clear" w:color="auto" w:fill="FFFFFF"/>
          </w:tcPr>
          <w:p w14:paraId="797234C9" w14:textId="6743C8D2" w:rsidR="009E7FEE" w:rsidRPr="00ED1E23" w:rsidRDefault="009E7FEE" w:rsidP="004462A7">
            <w:pPr>
              <w:pStyle w:val="CETBodytext"/>
              <w:keepNext/>
              <w:rPr>
                <w:i/>
                <w:iCs/>
                <w:lang w:val="en-GB"/>
              </w:rPr>
            </w:pPr>
            <w:r w:rsidRPr="00ED1E23">
              <w:rPr>
                <w:i/>
                <w:iCs/>
                <w:lang w:val="en-GB"/>
              </w:rPr>
              <w:t>CO</w:t>
            </w:r>
            <w:r w:rsidRPr="00ED1E23">
              <w:rPr>
                <w:i/>
                <w:iCs/>
                <w:vertAlign w:val="subscript"/>
                <w:lang w:val="en-GB"/>
              </w:rPr>
              <w:t>2</w:t>
            </w:r>
            <w:proofErr w:type="gramStart"/>
            <w:r w:rsidRPr="00ED1E23">
              <w:rPr>
                <w:i/>
                <w:iCs/>
                <w:vertAlign w:val="subscript"/>
                <w:lang w:val="en-GB"/>
              </w:rPr>
              <w:t>e</w:t>
            </w:r>
            <w:r w:rsidR="00D83BB0" w:rsidRPr="00ED1E23">
              <w:rPr>
                <w:i/>
                <w:iCs/>
                <w:vertAlign w:val="subscript"/>
                <w:lang w:val="en-GB"/>
              </w:rPr>
              <w:t>,pri</w:t>
            </w:r>
            <w:proofErr w:type="gramEnd"/>
          </w:p>
        </w:tc>
        <w:tc>
          <w:tcPr>
            <w:tcW w:w="1164" w:type="pct"/>
            <w:shd w:val="clear" w:color="auto" w:fill="FFFFFF"/>
          </w:tcPr>
          <w:p w14:paraId="2D600E3D" w14:textId="75691B60" w:rsidR="009E7FEE" w:rsidRPr="00ED1E23" w:rsidRDefault="009E7FEE" w:rsidP="004462A7">
            <w:pPr>
              <w:pStyle w:val="CETBodytext"/>
              <w:keepNext/>
              <w:rPr>
                <w:lang w:val="en-GB"/>
              </w:rPr>
            </w:pPr>
            <w:r w:rsidRPr="00ED1E23">
              <w:t>+6.5</w:t>
            </w:r>
          </w:p>
        </w:tc>
        <w:tc>
          <w:tcPr>
            <w:tcW w:w="1662" w:type="pct"/>
            <w:shd w:val="clear" w:color="auto" w:fill="FFFFFF"/>
          </w:tcPr>
          <w:p w14:paraId="590F0084" w14:textId="2E7C1208" w:rsidR="009E7FEE" w:rsidRPr="00ED1E23" w:rsidRDefault="009E7FEE" w:rsidP="004462A7">
            <w:pPr>
              <w:pStyle w:val="CETBodytext"/>
              <w:keepNext/>
              <w:rPr>
                <w:lang w:val="en-GB"/>
              </w:rPr>
            </w:pPr>
            <w:r w:rsidRPr="00ED1E23">
              <w:t>+11</w:t>
            </w:r>
            <w:r w:rsidR="00D83BB0" w:rsidRPr="00ED1E23">
              <w:t>.</w:t>
            </w:r>
            <w:r w:rsidRPr="00ED1E23">
              <w:t>5</w:t>
            </w:r>
          </w:p>
        </w:tc>
        <w:tc>
          <w:tcPr>
            <w:tcW w:w="1189" w:type="pct"/>
            <w:shd w:val="clear" w:color="auto" w:fill="FFFFFF"/>
          </w:tcPr>
          <w:p w14:paraId="2F93B74C" w14:textId="4B1CC647" w:rsidR="009E7FEE" w:rsidRPr="00ED1E23" w:rsidRDefault="009E7FEE" w:rsidP="004462A7">
            <w:pPr>
              <w:pStyle w:val="CETBodytext"/>
              <w:keepNext/>
              <w:ind w:right="-1"/>
              <w:rPr>
                <w:rFonts w:cs="Arial"/>
                <w:szCs w:val="18"/>
                <w:lang w:val="en-GB"/>
              </w:rPr>
            </w:pPr>
            <w:r w:rsidRPr="00ED1E23">
              <w:t>+11.0</w:t>
            </w:r>
          </w:p>
        </w:tc>
      </w:tr>
      <w:tr w:rsidR="009E7FEE" w:rsidRPr="00ED1E23" w14:paraId="7D834A2D" w14:textId="77777777" w:rsidTr="008C1875">
        <w:tc>
          <w:tcPr>
            <w:tcW w:w="984" w:type="pct"/>
            <w:shd w:val="clear" w:color="auto" w:fill="FFFFFF"/>
          </w:tcPr>
          <w:p w14:paraId="724D23B7" w14:textId="68CC8C67" w:rsidR="009E7FEE" w:rsidRPr="00ED1E23" w:rsidRDefault="009E7FEE" w:rsidP="004462A7">
            <w:pPr>
              <w:pStyle w:val="CETBodytext"/>
              <w:keepNext/>
              <w:rPr>
                <w:i/>
                <w:iCs/>
                <w:lang w:val="en-GB"/>
              </w:rPr>
            </w:pPr>
            <w:r w:rsidRPr="00ED1E23">
              <w:rPr>
                <w:i/>
                <w:iCs/>
                <w:lang w:val="en-GB"/>
              </w:rPr>
              <w:t>CO</w:t>
            </w:r>
            <w:r w:rsidRPr="00ED1E23">
              <w:rPr>
                <w:i/>
                <w:iCs/>
                <w:vertAlign w:val="subscript"/>
                <w:lang w:val="en-GB"/>
              </w:rPr>
              <w:t>2</w:t>
            </w:r>
            <w:proofErr w:type="gramStart"/>
            <w:r w:rsidRPr="00ED1E23">
              <w:rPr>
                <w:i/>
                <w:iCs/>
                <w:vertAlign w:val="subscript"/>
                <w:lang w:val="en-GB"/>
              </w:rPr>
              <w:t>e</w:t>
            </w:r>
            <w:r w:rsidR="00D83BB0" w:rsidRPr="00ED1E23">
              <w:rPr>
                <w:i/>
                <w:iCs/>
                <w:vertAlign w:val="subscript"/>
                <w:lang w:val="en-GB"/>
              </w:rPr>
              <w:t>,</w:t>
            </w:r>
            <w:r w:rsidRPr="00ED1E23">
              <w:rPr>
                <w:i/>
                <w:iCs/>
                <w:vertAlign w:val="subscript"/>
                <w:lang w:val="en-GB"/>
              </w:rPr>
              <w:t>a</w:t>
            </w:r>
            <w:r w:rsidR="004462A7" w:rsidRPr="00ED1E23">
              <w:rPr>
                <w:i/>
                <w:iCs/>
                <w:vertAlign w:val="subscript"/>
                <w:lang w:val="en-GB"/>
              </w:rPr>
              <w:t>d</w:t>
            </w:r>
            <w:r w:rsidRPr="00ED1E23">
              <w:rPr>
                <w:i/>
                <w:iCs/>
                <w:vertAlign w:val="subscript"/>
                <w:lang w:val="en-GB"/>
              </w:rPr>
              <w:t>s</w:t>
            </w:r>
            <w:proofErr w:type="gramEnd"/>
          </w:p>
        </w:tc>
        <w:tc>
          <w:tcPr>
            <w:tcW w:w="1164" w:type="pct"/>
            <w:shd w:val="clear" w:color="auto" w:fill="FFFFFF"/>
          </w:tcPr>
          <w:p w14:paraId="146021BD" w14:textId="00E7F41F" w:rsidR="009E7FEE" w:rsidRPr="00ED1E23" w:rsidRDefault="009E7FEE" w:rsidP="004462A7">
            <w:pPr>
              <w:pStyle w:val="CETBodytext"/>
              <w:keepNext/>
              <w:rPr>
                <w:lang w:val="en-GB"/>
              </w:rPr>
            </w:pPr>
            <w:r w:rsidRPr="00ED1E23">
              <w:t>/</w:t>
            </w:r>
          </w:p>
        </w:tc>
        <w:tc>
          <w:tcPr>
            <w:tcW w:w="1662" w:type="pct"/>
            <w:shd w:val="clear" w:color="auto" w:fill="FFFFFF"/>
          </w:tcPr>
          <w:p w14:paraId="46FB05AF" w14:textId="4448270B" w:rsidR="009E7FEE" w:rsidRPr="00ED1E23" w:rsidRDefault="009E7FEE" w:rsidP="004462A7">
            <w:pPr>
              <w:pStyle w:val="CETBodytext"/>
              <w:keepNext/>
              <w:rPr>
                <w:lang w:val="en-GB"/>
              </w:rPr>
            </w:pPr>
            <w:r w:rsidRPr="00ED1E23">
              <w:t>-15.3</w:t>
            </w:r>
          </w:p>
        </w:tc>
        <w:tc>
          <w:tcPr>
            <w:tcW w:w="1189" w:type="pct"/>
            <w:shd w:val="clear" w:color="auto" w:fill="FFFFFF"/>
          </w:tcPr>
          <w:p w14:paraId="2715E2FE" w14:textId="53D41354" w:rsidR="009E7FEE" w:rsidRPr="00ED1E23" w:rsidRDefault="009E7FEE" w:rsidP="004462A7">
            <w:pPr>
              <w:pStyle w:val="CETBodytext"/>
              <w:keepNext/>
              <w:ind w:right="-1"/>
              <w:rPr>
                <w:rFonts w:cs="Arial"/>
                <w:szCs w:val="18"/>
                <w:lang w:val="en-GB"/>
              </w:rPr>
            </w:pPr>
            <w:r w:rsidRPr="00ED1E23">
              <w:t>-14.6</w:t>
            </w:r>
          </w:p>
        </w:tc>
      </w:tr>
      <w:tr w:rsidR="009E7FEE" w:rsidRPr="00B57B36" w14:paraId="4468DDBA" w14:textId="77777777" w:rsidTr="008C1875">
        <w:tc>
          <w:tcPr>
            <w:tcW w:w="984" w:type="pct"/>
            <w:shd w:val="clear" w:color="auto" w:fill="FFFFFF"/>
          </w:tcPr>
          <w:p w14:paraId="09BFE165" w14:textId="2A82D1D0" w:rsidR="009E7FEE" w:rsidRPr="00ED1E23" w:rsidRDefault="009E7FEE" w:rsidP="009E7FEE">
            <w:pPr>
              <w:pStyle w:val="CETBodytext"/>
              <w:ind w:right="-1"/>
              <w:rPr>
                <w:rFonts w:cs="Arial"/>
                <w:i/>
                <w:iCs/>
                <w:szCs w:val="18"/>
                <w:lang w:val="en-GB"/>
              </w:rPr>
            </w:pPr>
            <w:r w:rsidRPr="00ED1E23">
              <w:rPr>
                <w:rFonts w:cs="Arial"/>
                <w:i/>
                <w:iCs/>
                <w:szCs w:val="18"/>
                <w:lang w:val="en-GB"/>
              </w:rPr>
              <w:t>CO</w:t>
            </w:r>
            <w:r w:rsidRPr="00ED1E23">
              <w:rPr>
                <w:rFonts w:cs="Arial"/>
                <w:i/>
                <w:iCs/>
                <w:szCs w:val="18"/>
                <w:vertAlign w:val="subscript"/>
                <w:lang w:val="en-GB"/>
              </w:rPr>
              <w:t>2</w:t>
            </w:r>
            <w:proofErr w:type="gramStart"/>
            <w:r w:rsidRPr="00ED1E23">
              <w:rPr>
                <w:rFonts w:cs="Arial"/>
                <w:i/>
                <w:iCs/>
                <w:szCs w:val="18"/>
                <w:vertAlign w:val="subscript"/>
                <w:lang w:val="en-GB"/>
              </w:rPr>
              <w:t>e</w:t>
            </w:r>
            <w:r w:rsidR="00D83BB0" w:rsidRPr="00ED1E23">
              <w:rPr>
                <w:rFonts w:cs="Arial"/>
                <w:i/>
                <w:iCs/>
                <w:szCs w:val="18"/>
                <w:vertAlign w:val="subscript"/>
                <w:lang w:val="en-GB"/>
              </w:rPr>
              <w:t>,</w:t>
            </w:r>
            <w:r w:rsidRPr="00ED1E23">
              <w:rPr>
                <w:rFonts w:cs="Arial"/>
                <w:i/>
                <w:iCs/>
                <w:szCs w:val="18"/>
                <w:vertAlign w:val="subscript"/>
                <w:lang w:val="en-GB"/>
              </w:rPr>
              <w:t>tot</w:t>
            </w:r>
            <w:proofErr w:type="gramEnd"/>
          </w:p>
        </w:tc>
        <w:tc>
          <w:tcPr>
            <w:tcW w:w="1164" w:type="pct"/>
            <w:shd w:val="clear" w:color="auto" w:fill="FFFFFF"/>
          </w:tcPr>
          <w:p w14:paraId="21368934" w14:textId="3682277D" w:rsidR="009E7FEE" w:rsidRPr="00ED1E23" w:rsidRDefault="00D05646" w:rsidP="009E7FEE">
            <w:pPr>
              <w:pStyle w:val="CETBodytext"/>
              <w:ind w:right="-1"/>
              <w:rPr>
                <w:rFonts w:cs="Arial"/>
                <w:szCs w:val="18"/>
                <w:lang w:val="en-GB"/>
              </w:rPr>
            </w:pPr>
            <w:r w:rsidRPr="00ED1E23">
              <w:t>+</w:t>
            </w:r>
            <w:r w:rsidR="009E7FEE" w:rsidRPr="00ED1E23">
              <w:t>6.5</w:t>
            </w:r>
          </w:p>
        </w:tc>
        <w:tc>
          <w:tcPr>
            <w:tcW w:w="1662" w:type="pct"/>
            <w:shd w:val="clear" w:color="auto" w:fill="FFFFFF"/>
          </w:tcPr>
          <w:p w14:paraId="443A5B7E" w14:textId="4F7647C5" w:rsidR="009E7FEE" w:rsidRPr="00ED1E23" w:rsidRDefault="00D05646" w:rsidP="009E7FEE">
            <w:pPr>
              <w:pStyle w:val="CETBodytext"/>
              <w:ind w:right="-1"/>
              <w:rPr>
                <w:rFonts w:cs="Arial"/>
                <w:szCs w:val="18"/>
                <w:lang w:val="en-GB"/>
              </w:rPr>
            </w:pPr>
            <w:r w:rsidRPr="00ED1E23">
              <w:t>+</w:t>
            </w:r>
            <w:r w:rsidR="009E7FEE" w:rsidRPr="00ED1E23">
              <w:t>7.0</w:t>
            </w:r>
          </w:p>
        </w:tc>
        <w:tc>
          <w:tcPr>
            <w:tcW w:w="1189" w:type="pct"/>
            <w:shd w:val="clear" w:color="auto" w:fill="FFFFFF"/>
          </w:tcPr>
          <w:p w14:paraId="0DD4D52E" w14:textId="4F191E0B" w:rsidR="009E7FEE" w:rsidRPr="00B57B36" w:rsidRDefault="00D05646" w:rsidP="009E7FEE">
            <w:pPr>
              <w:pStyle w:val="CETBodytext"/>
              <w:ind w:right="-1"/>
              <w:rPr>
                <w:rFonts w:cs="Arial"/>
                <w:szCs w:val="18"/>
                <w:lang w:val="en-GB"/>
              </w:rPr>
            </w:pPr>
            <w:r w:rsidRPr="00ED1E23">
              <w:t>+</w:t>
            </w:r>
            <w:r w:rsidR="009E7FEE" w:rsidRPr="00ED1E23">
              <w:t>6.7</w:t>
            </w:r>
          </w:p>
        </w:tc>
      </w:tr>
    </w:tbl>
    <w:p w14:paraId="7F35A64B" w14:textId="77777777" w:rsidR="008C1875" w:rsidRPr="00ED1E23" w:rsidRDefault="008C1875" w:rsidP="008C1875">
      <w:pPr>
        <w:pStyle w:val="CETTabletitle"/>
      </w:pPr>
      <w:r w:rsidRPr="00B57B36">
        <w:lastRenderedPageBreak/>
        <w:t xml:space="preserve">Table </w:t>
      </w:r>
      <w:r>
        <w:t>3</w:t>
      </w:r>
      <w:r w:rsidRPr="00B57B36">
        <w:t xml:space="preserve">: </w:t>
      </w:r>
      <w:r w:rsidRPr="00ED1E23">
        <w:t>Economic assessment results for the scenarios considered</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30"/>
        <w:gridCol w:w="2046"/>
        <w:gridCol w:w="2921"/>
        <w:gridCol w:w="2090"/>
      </w:tblGrid>
      <w:tr w:rsidR="008C1875" w:rsidRPr="00ED1E23" w14:paraId="516A339B" w14:textId="77777777" w:rsidTr="00F56771">
        <w:tc>
          <w:tcPr>
            <w:tcW w:w="984" w:type="pct"/>
            <w:tcBorders>
              <w:top w:val="single" w:sz="12" w:space="0" w:color="008000"/>
              <w:bottom w:val="single" w:sz="6" w:space="0" w:color="008000"/>
            </w:tcBorders>
            <w:shd w:val="clear" w:color="auto" w:fill="FFFFFF"/>
          </w:tcPr>
          <w:p w14:paraId="4839830E" w14:textId="77777777" w:rsidR="008C1875" w:rsidRPr="00ED1E23" w:rsidRDefault="008C1875" w:rsidP="00F56771">
            <w:pPr>
              <w:pStyle w:val="CETBodytext"/>
              <w:keepNext/>
              <w:rPr>
                <w:lang w:val="en-GB"/>
              </w:rPr>
            </w:pPr>
            <w:r w:rsidRPr="00ED1E23">
              <w:rPr>
                <w:lang w:val="en-GB"/>
              </w:rPr>
              <w:t>Scenario</w:t>
            </w:r>
          </w:p>
        </w:tc>
        <w:tc>
          <w:tcPr>
            <w:tcW w:w="1164" w:type="pct"/>
            <w:tcBorders>
              <w:top w:val="single" w:sz="12" w:space="0" w:color="008000"/>
              <w:bottom w:val="single" w:sz="6" w:space="0" w:color="008000"/>
            </w:tcBorders>
            <w:shd w:val="clear" w:color="auto" w:fill="FFFFFF"/>
          </w:tcPr>
          <w:p w14:paraId="61659B02" w14:textId="77777777" w:rsidR="008C1875" w:rsidRPr="00ED1E23" w:rsidRDefault="008C1875" w:rsidP="00F56771">
            <w:pPr>
              <w:pStyle w:val="CETBodytext"/>
              <w:keepNext/>
              <w:rPr>
                <w:lang w:val="en-GB"/>
              </w:rPr>
            </w:pPr>
            <w:r w:rsidRPr="00ED1E23">
              <w:rPr>
                <w:lang w:val="en-GB"/>
              </w:rPr>
              <w:t>Full electric</w:t>
            </w:r>
          </w:p>
          <w:p w14:paraId="11F87D49" w14:textId="77777777" w:rsidR="008C1875" w:rsidRPr="00ED1E23" w:rsidRDefault="008C1875" w:rsidP="00F56771">
            <w:pPr>
              <w:pStyle w:val="CETBodytext"/>
              <w:keepNext/>
              <w:rPr>
                <w:lang w:val="en-GB"/>
              </w:rPr>
            </w:pPr>
            <w:r w:rsidRPr="00ED1E23">
              <w:rPr>
                <w:lang w:val="en-GB"/>
              </w:rPr>
              <w:t>(€/100km)</w:t>
            </w:r>
          </w:p>
        </w:tc>
        <w:tc>
          <w:tcPr>
            <w:tcW w:w="1662" w:type="pct"/>
            <w:tcBorders>
              <w:top w:val="single" w:sz="12" w:space="0" w:color="008000"/>
              <w:bottom w:val="single" w:sz="6" w:space="0" w:color="008000"/>
            </w:tcBorders>
            <w:shd w:val="clear" w:color="auto" w:fill="FFFFFF"/>
          </w:tcPr>
          <w:p w14:paraId="04EB2008" w14:textId="77777777" w:rsidR="008C1875" w:rsidRPr="00ED1E23" w:rsidRDefault="008C1875" w:rsidP="00F56771">
            <w:pPr>
              <w:pStyle w:val="CETBodytext"/>
              <w:keepNext/>
              <w:rPr>
                <w:lang w:val="en-GB"/>
              </w:rPr>
            </w:pPr>
            <w:r w:rsidRPr="00ED1E23">
              <w:rPr>
                <w:lang w:val="en-GB"/>
              </w:rPr>
              <w:t>Off-board hybrid</w:t>
            </w:r>
          </w:p>
          <w:p w14:paraId="4B388376" w14:textId="77777777" w:rsidR="008C1875" w:rsidRPr="00ED1E23" w:rsidRDefault="008C1875" w:rsidP="00F56771">
            <w:pPr>
              <w:pStyle w:val="CETBodytext"/>
              <w:keepNext/>
              <w:rPr>
                <w:lang w:val="en-GB"/>
              </w:rPr>
            </w:pPr>
            <w:r w:rsidRPr="00ED1E23">
              <w:rPr>
                <w:lang w:val="en-GB"/>
              </w:rPr>
              <w:t>(€/100km)</w:t>
            </w:r>
          </w:p>
        </w:tc>
        <w:tc>
          <w:tcPr>
            <w:tcW w:w="1189" w:type="pct"/>
            <w:tcBorders>
              <w:top w:val="single" w:sz="12" w:space="0" w:color="008000"/>
              <w:bottom w:val="single" w:sz="6" w:space="0" w:color="008000"/>
            </w:tcBorders>
            <w:shd w:val="clear" w:color="auto" w:fill="FFFFFF"/>
          </w:tcPr>
          <w:p w14:paraId="52181451" w14:textId="77777777" w:rsidR="008C1875" w:rsidRPr="00ED1E23" w:rsidRDefault="008C1875" w:rsidP="00F56771">
            <w:pPr>
              <w:pStyle w:val="CETBodytext"/>
              <w:keepNext/>
              <w:ind w:right="-1"/>
              <w:rPr>
                <w:rFonts w:cs="Arial"/>
                <w:szCs w:val="18"/>
                <w:lang w:val="en-GB"/>
              </w:rPr>
            </w:pPr>
            <w:r w:rsidRPr="00ED1E23">
              <w:rPr>
                <w:rFonts w:cs="Arial"/>
                <w:szCs w:val="18"/>
                <w:lang w:val="en-GB"/>
              </w:rPr>
              <w:t>Full ICE bio</w:t>
            </w:r>
          </w:p>
          <w:p w14:paraId="00D04816" w14:textId="77777777" w:rsidR="008C1875" w:rsidRPr="00ED1E23" w:rsidRDefault="008C1875" w:rsidP="00F56771">
            <w:pPr>
              <w:pStyle w:val="CETBodytext"/>
              <w:keepNext/>
              <w:ind w:right="-1"/>
              <w:rPr>
                <w:rFonts w:cs="Arial"/>
                <w:szCs w:val="18"/>
                <w:lang w:val="en-GB"/>
              </w:rPr>
            </w:pPr>
            <w:r w:rsidRPr="00ED1E23">
              <w:rPr>
                <w:lang w:val="en-GB"/>
              </w:rPr>
              <w:t>(€/100km)</w:t>
            </w:r>
          </w:p>
        </w:tc>
      </w:tr>
      <w:tr w:rsidR="008C1875" w:rsidRPr="00ED1E23" w14:paraId="4680E4F7" w14:textId="77777777" w:rsidTr="00F56771">
        <w:tc>
          <w:tcPr>
            <w:tcW w:w="984" w:type="pct"/>
            <w:shd w:val="clear" w:color="auto" w:fill="FFFFFF"/>
          </w:tcPr>
          <w:p w14:paraId="724AA350" w14:textId="77777777" w:rsidR="008C1875" w:rsidRPr="00ED1E23" w:rsidRDefault="008C1875" w:rsidP="00F56771">
            <w:pPr>
              <w:pStyle w:val="CETBodytext"/>
              <w:keepNext/>
              <w:rPr>
                <w:i/>
                <w:iCs/>
                <w:lang w:val="en-GB"/>
              </w:rPr>
            </w:pPr>
            <w:proofErr w:type="spellStart"/>
            <w:r w:rsidRPr="00ED1E23">
              <w:rPr>
                <w:i/>
                <w:iCs/>
                <w:lang w:val="en-GB"/>
              </w:rPr>
              <w:t>C</w:t>
            </w:r>
            <w:r w:rsidRPr="00ED1E23">
              <w:rPr>
                <w:i/>
                <w:iCs/>
                <w:vertAlign w:val="subscript"/>
                <w:lang w:val="en-GB"/>
              </w:rPr>
              <w:t>veh</w:t>
            </w:r>
            <w:proofErr w:type="spellEnd"/>
            <w:r w:rsidRPr="00ED1E23">
              <w:rPr>
                <w:i/>
                <w:iCs/>
                <w:vertAlign w:val="subscript"/>
                <w:lang w:val="en-GB"/>
              </w:rPr>
              <w:t>/100km</w:t>
            </w:r>
          </w:p>
        </w:tc>
        <w:tc>
          <w:tcPr>
            <w:tcW w:w="1164" w:type="pct"/>
            <w:shd w:val="clear" w:color="auto" w:fill="FFFFFF"/>
          </w:tcPr>
          <w:p w14:paraId="34682FD8" w14:textId="77777777" w:rsidR="008C1875" w:rsidRPr="00ED1E23" w:rsidRDefault="008C1875" w:rsidP="00F56771">
            <w:pPr>
              <w:pStyle w:val="CETBodytext"/>
              <w:keepNext/>
              <w:rPr>
                <w:lang w:val="en-GB"/>
              </w:rPr>
            </w:pPr>
            <w:r w:rsidRPr="00ED1E23">
              <w:t>19.1</w:t>
            </w:r>
          </w:p>
        </w:tc>
        <w:tc>
          <w:tcPr>
            <w:tcW w:w="1662" w:type="pct"/>
            <w:shd w:val="clear" w:color="auto" w:fill="FFFFFF"/>
          </w:tcPr>
          <w:p w14:paraId="1C004E02" w14:textId="77777777" w:rsidR="008C1875" w:rsidRPr="00ED1E23" w:rsidRDefault="008C1875" w:rsidP="00F56771">
            <w:pPr>
              <w:pStyle w:val="CETBodytext"/>
              <w:keepNext/>
              <w:rPr>
                <w:lang w:val="en-GB"/>
              </w:rPr>
            </w:pPr>
            <w:r w:rsidRPr="00ED1E23">
              <w:t>19.1</w:t>
            </w:r>
          </w:p>
        </w:tc>
        <w:tc>
          <w:tcPr>
            <w:tcW w:w="1189" w:type="pct"/>
            <w:shd w:val="clear" w:color="auto" w:fill="FFFFFF"/>
          </w:tcPr>
          <w:p w14:paraId="52BD62B7" w14:textId="77777777" w:rsidR="008C1875" w:rsidRPr="00ED1E23" w:rsidRDefault="008C1875" w:rsidP="00F56771">
            <w:pPr>
              <w:pStyle w:val="CETBodytext"/>
              <w:keepNext/>
              <w:ind w:right="-1"/>
              <w:rPr>
                <w:rFonts w:cs="Arial"/>
                <w:szCs w:val="18"/>
                <w:lang w:val="en-GB"/>
              </w:rPr>
            </w:pPr>
            <w:r w:rsidRPr="00ED1E23">
              <w:t>16.6</w:t>
            </w:r>
          </w:p>
        </w:tc>
      </w:tr>
      <w:tr w:rsidR="008C1875" w:rsidRPr="00ED1E23" w14:paraId="19E82420" w14:textId="77777777" w:rsidTr="00F56771">
        <w:tc>
          <w:tcPr>
            <w:tcW w:w="984" w:type="pct"/>
            <w:shd w:val="clear" w:color="auto" w:fill="FFFFFF"/>
          </w:tcPr>
          <w:p w14:paraId="59DCB371" w14:textId="77777777" w:rsidR="008C1875" w:rsidRPr="00ED1E23" w:rsidRDefault="008C1875" w:rsidP="00F56771">
            <w:pPr>
              <w:pStyle w:val="CETBodytext"/>
              <w:keepNext/>
              <w:rPr>
                <w:i/>
                <w:iCs/>
                <w:lang w:val="en-GB"/>
              </w:rPr>
            </w:pPr>
            <w:proofErr w:type="spellStart"/>
            <w:r w:rsidRPr="00ED1E23">
              <w:rPr>
                <w:i/>
                <w:iCs/>
                <w:lang w:val="en-GB"/>
              </w:rPr>
              <w:t>C</w:t>
            </w:r>
            <w:r w:rsidRPr="00ED1E23">
              <w:rPr>
                <w:i/>
                <w:iCs/>
                <w:vertAlign w:val="subscript"/>
                <w:lang w:val="en-GB"/>
              </w:rPr>
              <w:t>col</w:t>
            </w:r>
            <w:proofErr w:type="spellEnd"/>
            <w:r w:rsidRPr="00ED1E23">
              <w:rPr>
                <w:i/>
                <w:iCs/>
                <w:vertAlign w:val="subscript"/>
                <w:lang w:val="en-GB"/>
              </w:rPr>
              <w:t>/100km</w:t>
            </w:r>
          </w:p>
        </w:tc>
        <w:tc>
          <w:tcPr>
            <w:tcW w:w="1164" w:type="pct"/>
            <w:shd w:val="clear" w:color="auto" w:fill="FFFFFF"/>
          </w:tcPr>
          <w:p w14:paraId="02DCDC7B" w14:textId="77777777" w:rsidR="008C1875" w:rsidRPr="00ED1E23" w:rsidRDefault="008C1875" w:rsidP="00F56771">
            <w:pPr>
              <w:pStyle w:val="CETBodytext"/>
              <w:keepNext/>
              <w:rPr>
                <w:lang w:val="en-GB"/>
              </w:rPr>
            </w:pPr>
            <w:r w:rsidRPr="00ED1E23">
              <w:t>0.1</w:t>
            </w:r>
          </w:p>
        </w:tc>
        <w:tc>
          <w:tcPr>
            <w:tcW w:w="1662" w:type="pct"/>
            <w:shd w:val="clear" w:color="auto" w:fill="FFFFFF"/>
          </w:tcPr>
          <w:p w14:paraId="6E0319C5" w14:textId="77777777" w:rsidR="008C1875" w:rsidRPr="00ED1E23" w:rsidRDefault="008C1875" w:rsidP="00F56771">
            <w:pPr>
              <w:pStyle w:val="CETBodytext"/>
              <w:keepNext/>
              <w:rPr>
                <w:lang w:val="en-GB"/>
              </w:rPr>
            </w:pPr>
            <w:r w:rsidRPr="00ED1E23">
              <w:t>0.1</w:t>
            </w:r>
          </w:p>
        </w:tc>
        <w:tc>
          <w:tcPr>
            <w:tcW w:w="1189" w:type="pct"/>
            <w:shd w:val="clear" w:color="auto" w:fill="FFFFFF"/>
          </w:tcPr>
          <w:p w14:paraId="08009887" w14:textId="77777777" w:rsidR="008C1875" w:rsidRPr="00ED1E23" w:rsidRDefault="008C1875" w:rsidP="00F56771">
            <w:pPr>
              <w:pStyle w:val="CETBodytext"/>
              <w:keepNext/>
              <w:ind w:right="-1"/>
              <w:rPr>
                <w:rFonts w:cs="Arial"/>
                <w:szCs w:val="18"/>
                <w:lang w:val="en-GB"/>
              </w:rPr>
            </w:pPr>
            <w:r w:rsidRPr="00ED1E23">
              <w:t>/</w:t>
            </w:r>
          </w:p>
        </w:tc>
      </w:tr>
      <w:tr w:rsidR="008C1875" w:rsidRPr="00ED1E23" w14:paraId="2A755705" w14:textId="77777777" w:rsidTr="00F56771">
        <w:tc>
          <w:tcPr>
            <w:tcW w:w="984" w:type="pct"/>
            <w:shd w:val="clear" w:color="auto" w:fill="FFFFFF"/>
          </w:tcPr>
          <w:p w14:paraId="79BE9220" w14:textId="77777777" w:rsidR="008C1875" w:rsidRPr="00ED1E23" w:rsidRDefault="008C1875" w:rsidP="00F56771">
            <w:pPr>
              <w:pStyle w:val="CETBodytext"/>
              <w:keepNext/>
              <w:rPr>
                <w:i/>
                <w:iCs/>
                <w:lang w:val="en-GB"/>
              </w:rPr>
            </w:pPr>
            <w:proofErr w:type="spellStart"/>
            <w:r w:rsidRPr="00ED1E23">
              <w:rPr>
                <w:i/>
                <w:iCs/>
                <w:lang w:val="en-GB"/>
              </w:rPr>
              <w:t>C</w:t>
            </w:r>
            <w:r w:rsidRPr="00ED1E23">
              <w:rPr>
                <w:i/>
                <w:iCs/>
                <w:vertAlign w:val="subscript"/>
                <w:lang w:val="en-GB"/>
              </w:rPr>
              <w:t>net</w:t>
            </w:r>
            <w:proofErr w:type="spellEnd"/>
            <w:r w:rsidRPr="00ED1E23">
              <w:rPr>
                <w:i/>
                <w:iCs/>
                <w:vertAlign w:val="subscript"/>
                <w:lang w:val="en-GB"/>
              </w:rPr>
              <w:t>/100km</w:t>
            </w:r>
          </w:p>
        </w:tc>
        <w:tc>
          <w:tcPr>
            <w:tcW w:w="1164" w:type="pct"/>
            <w:shd w:val="clear" w:color="auto" w:fill="FFFFFF"/>
          </w:tcPr>
          <w:p w14:paraId="1EF8BFCD" w14:textId="77777777" w:rsidR="008C1875" w:rsidRPr="00ED1E23" w:rsidRDefault="008C1875" w:rsidP="00F56771">
            <w:pPr>
              <w:pStyle w:val="CETBodytext"/>
              <w:keepNext/>
              <w:rPr>
                <w:lang w:val="en-GB"/>
              </w:rPr>
            </w:pPr>
            <w:r w:rsidRPr="00ED1E23">
              <w:t>0.1</w:t>
            </w:r>
          </w:p>
        </w:tc>
        <w:tc>
          <w:tcPr>
            <w:tcW w:w="1662" w:type="pct"/>
            <w:shd w:val="clear" w:color="auto" w:fill="FFFFFF"/>
          </w:tcPr>
          <w:p w14:paraId="47E2DDC9" w14:textId="77777777" w:rsidR="008C1875" w:rsidRPr="00ED1E23" w:rsidRDefault="008C1875" w:rsidP="00F56771">
            <w:pPr>
              <w:pStyle w:val="CETBodytext"/>
              <w:keepNext/>
              <w:rPr>
                <w:lang w:val="en-GB"/>
              </w:rPr>
            </w:pPr>
            <w:r w:rsidRPr="00ED1E23">
              <w:t>/</w:t>
            </w:r>
          </w:p>
        </w:tc>
        <w:tc>
          <w:tcPr>
            <w:tcW w:w="1189" w:type="pct"/>
            <w:shd w:val="clear" w:color="auto" w:fill="FFFFFF"/>
          </w:tcPr>
          <w:p w14:paraId="65633857" w14:textId="77777777" w:rsidR="008C1875" w:rsidRPr="00ED1E23" w:rsidRDefault="008C1875" w:rsidP="00F56771">
            <w:pPr>
              <w:pStyle w:val="CETBodytext"/>
              <w:keepNext/>
              <w:ind w:right="-1"/>
              <w:rPr>
                <w:rFonts w:cs="Arial"/>
                <w:szCs w:val="18"/>
                <w:lang w:val="en-GB"/>
              </w:rPr>
            </w:pPr>
            <w:r w:rsidRPr="00ED1E23">
              <w:t>/</w:t>
            </w:r>
          </w:p>
        </w:tc>
      </w:tr>
      <w:tr w:rsidR="008C1875" w:rsidRPr="00ED1E23" w14:paraId="1E4E4D02" w14:textId="77777777" w:rsidTr="00F56771">
        <w:tc>
          <w:tcPr>
            <w:tcW w:w="984" w:type="pct"/>
            <w:shd w:val="clear" w:color="auto" w:fill="FFFFFF"/>
          </w:tcPr>
          <w:p w14:paraId="7298267E" w14:textId="77777777" w:rsidR="008C1875" w:rsidRPr="00ED1E23" w:rsidRDefault="008C1875" w:rsidP="00F56771">
            <w:pPr>
              <w:pStyle w:val="CETBodytext"/>
              <w:keepNext/>
              <w:rPr>
                <w:i/>
                <w:iCs/>
                <w:lang w:val="en-GB"/>
              </w:rPr>
            </w:pPr>
            <w:proofErr w:type="spellStart"/>
            <w:r w:rsidRPr="00ED1E23">
              <w:rPr>
                <w:i/>
                <w:iCs/>
                <w:lang w:val="en-GB"/>
              </w:rPr>
              <w:t>C</w:t>
            </w:r>
            <w:r w:rsidRPr="00ED1E23">
              <w:rPr>
                <w:i/>
                <w:iCs/>
                <w:vertAlign w:val="subscript"/>
                <w:lang w:val="en-GB"/>
              </w:rPr>
              <w:t>sto</w:t>
            </w:r>
            <w:proofErr w:type="spellEnd"/>
            <w:r w:rsidRPr="00ED1E23">
              <w:rPr>
                <w:i/>
                <w:iCs/>
                <w:vertAlign w:val="subscript"/>
                <w:lang w:val="en-GB"/>
              </w:rPr>
              <w:t>/100km</w:t>
            </w:r>
          </w:p>
        </w:tc>
        <w:tc>
          <w:tcPr>
            <w:tcW w:w="1164" w:type="pct"/>
            <w:shd w:val="clear" w:color="auto" w:fill="FFFFFF"/>
          </w:tcPr>
          <w:p w14:paraId="52099B25" w14:textId="77777777" w:rsidR="008C1875" w:rsidRPr="00ED1E23" w:rsidRDefault="008C1875" w:rsidP="00F56771">
            <w:pPr>
              <w:pStyle w:val="CETBodytext"/>
              <w:keepNext/>
              <w:rPr>
                <w:lang w:val="en-GB"/>
              </w:rPr>
            </w:pPr>
            <w:r w:rsidRPr="00ED1E23">
              <w:t>18.4</w:t>
            </w:r>
          </w:p>
        </w:tc>
        <w:tc>
          <w:tcPr>
            <w:tcW w:w="1662" w:type="pct"/>
            <w:shd w:val="clear" w:color="auto" w:fill="FFFFFF"/>
          </w:tcPr>
          <w:p w14:paraId="5591BF85" w14:textId="77777777" w:rsidR="008C1875" w:rsidRPr="00ED1E23" w:rsidRDefault="008C1875" w:rsidP="00F56771">
            <w:pPr>
              <w:pStyle w:val="CETBodytext"/>
              <w:keepNext/>
              <w:rPr>
                <w:lang w:val="en-GB"/>
              </w:rPr>
            </w:pPr>
            <w:r w:rsidRPr="00ED1E23">
              <w:t>/</w:t>
            </w:r>
          </w:p>
        </w:tc>
        <w:tc>
          <w:tcPr>
            <w:tcW w:w="1189" w:type="pct"/>
            <w:shd w:val="clear" w:color="auto" w:fill="FFFFFF"/>
          </w:tcPr>
          <w:p w14:paraId="536D2C6E" w14:textId="77777777" w:rsidR="008C1875" w:rsidRPr="00ED1E23" w:rsidRDefault="008C1875" w:rsidP="00F56771">
            <w:pPr>
              <w:pStyle w:val="CETBodytext"/>
              <w:keepNext/>
              <w:ind w:right="-1"/>
              <w:rPr>
                <w:rFonts w:cs="Arial"/>
                <w:szCs w:val="18"/>
                <w:lang w:val="en-GB"/>
              </w:rPr>
            </w:pPr>
            <w:r w:rsidRPr="00ED1E23">
              <w:t>/</w:t>
            </w:r>
          </w:p>
        </w:tc>
      </w:tr>
      <w:tr w:rsidR="008C1875" w:rsidRPr="00ED1E23" w14:paraId="7CB581C6" w14:textId="77777777" w:rsidTr="00F56771">
        <w:tc>
          <w:tcPr>
            <w:tcW w:w="984" w:type="pct"/>
            <w:shd w:val="clear" w:color="auto" w:fill="FFFFFF"/>
          </w:tcPr>
          <w:p w14:paraId="3CECFF6C" w14:textId="77777777" w:rsidR="008C1875" w:rsidRPr="00ED1E23" w:rsidRDefault="008C1875" w:rsidP="00F56771">
            <w:pPr>
              <w:pStyle w:val="CETBodytext"/>
              <w:keepNext/>
              <w:rPr>
                <w:i/>
                <w:iCs/>
                <w:lang w:val="en-GB"/>
              </w:rPr>
            </w:pPr>
            <w:proofErr w:type="spellStart"/>
            <w:r w:rsidRPr="00ED1E23">
              <w:rPr>
                <w:i/>
                <w:iCs/>
                <w:lang w:val="en-GB"/>
              </w:rPr>
              <w:t>C</w:t>
            </w:r>
            <w:r w:rsidRPr="00ED1E23">
              <w:rPr>
                <w:i/>
                <w:iCs/>
                <w:vertAlign w:val="subscript"/>
                <w:lang w:val="en-GB"/>
              </w:rPr>
              <w:t>fuel</w:t>
            </w:r>
            <w:proofErr w:type="spellEnd"/>
            <w:r w:rsidRPr="00ED1E23">
              <w:rPr>
                <w:i/>
                <w:iCs/>
                <w:vertAlign w:val="subscript"/>
                <w:lang w:val="en-GB"/>
              </w:rPr>
              <w:t>/100km</w:t>
            </w:r>
          </w:p>
        </w:tc>
        <w:tc>
          <w:tcPr>
            <w:tcW w:w="1164" w:type="pct"/>
            <w:shd w:val="clear" w:color="auto" w:fill="FFFFFF"/>
          </w:tcPr>
          <w:p w14:paraId="6B0FA6D3" w14:textId="77777777" w:rsidR="008C1875" w:rsidRPr="00ED1E23" w:rsidRDefault="008C1875" w:rsidP="00F56771">
            <w:pPr>
              <w:pStyle w:val="CETBodytext"/>
              <w:keepNext/>
            </w:pPr>
            <w:r w:rsidRPr="00ED1E23">
              <w:t>3.4</w:t>
            </w:r>
          </w:p>
        </w:tc>
        <w:tc>
          <w:tcPr>
            <w:tcW w:w="1662" w:type="pct"/>
            <w:shd w:val="clear" w:color="auto" w:fill="FFFFFF"/>
          </w:tcPr>
          <w:p w14:paraId="527FEFA0" w14:textId="77777777" w:rsidR="008C1875" w:rsidRPr="00ED1E23" w:rsidRDefault="008C1875" w:rsidP="00F56771">
            <w:pPr>
              <w:pStyle w:val="CETBodytext"/>
              <w:keepNext/>
            </w:pPr>
            <w:r w:rsidRPr="00ED1E23">
              <w:t>10.9</w:t>
            </w:r>
          </w:p>
        </w:tc>
        <w:tc>
          <w:tcPr>
            <w:tcW w:w="1189" w:type="pct"/>
            <w:shd w:val="clear" w:color="auto" w:fill="FFFFFF"/>
          </w:tcPr>
          <w:p w14:paraId="1118BA73" w14:textId="77777777" w:rsidR="008C1875" w:rsidRPr="00ED1E23" w:rsidRDefault="008C1875" w:rsidP="00F56771">
            <w:pPr>
              <w:pStyle w:val="CETBodytext"/>
              <w:keepNext/>
              <w:ind w:right="-1"/>
            </w:pPr>
            <w:r w:rsidRPr="00ED1E23">
              <w:t>10.4</w:t>
            </w:r>
          </w:p>
        </w:tc>
      </w:tr>
      <w:tr w:rsidR="008C1875" w:rsidRPr="00ED1E23" w14:paraId="75967EBA" w14:textId="77777777" w:rsidTr="00F56771">
        <w:tc>
          <w:tcPr>
            <w:tcW w:w="984" w:type="pct"/>
            <w:shd w:val="clear" w:color="auto" w:fill="FFFFFF"/>
          </w:tcPr>
          <w:p w14:paraId="5A408B61" w14:textId="77777777" w:rsidR="008C1875" w:rsidRPr="00ED1E23" w:rsidRDefault="008C1875" w:rsidP="00F56771">
            <w:pPr>
              <w:pStyle w:val="CETBodytext"/>
              <w:keepNext/>
              <w:rPr>
                <w:i/>
                <w:iCs/>
                <w:lang w:val="en-GB"/>
              </w:rPr>
            </w:pPr>
            <w:proofErr w:type="spellStart"/>
            <w:r w:rsidRPr="00ED1E23">
              <w:rPr>
                <w:i/>
                <w:iCs/>
                <w:lang w:val="en-GB"/>
              </w:rPr>
              <w:t>C</w:t>
            </w:r>
            <w:r w:rsidRPr="00ED1E23">
              <w:rPr>
                <w:i/>
                <w:iCs/>
                <w:vertAlign w:val="subscript"/>
                <w:lang w:val="en-GB"/>
              </w:rPr>
              <w:t>gen</w:t>
            </w:r>
            <w:proofErr w:type="spellEnd"/>
            <w:r w:rsidRPr="00ED1E23">
              <w:rPr>
                <w:i/>
                <w:iCs/>
                <w:vertAlign w:val="subscript"/>
                <w:lang w:val="en-GB"/>
              </w:rPr>
              <w:t>/100km</w:t>
            </w:r>
          </w:p>
        </w:tc>
        <w:tc>
          <w:tcPr>
            <w:tcW w:w="1164" w:type="pct"/>
            <w:shd w:val="clear" w:color="auto" w:fill="FFFFFF"/>
          </w:tcPr>
          <w:p w14:paraId="792FEB37" w14:textId="77777777" w:rsidR="008C1875" w:rsidRPr="00ED1E23" w:rsidRDefault="008C1875" w:rsidP="00F56771">
            <w:pPr>
              <w:pStyle w:val="CETBodytext"/>
              <w:keepNext/>
              <w:rPr>
                <w:lang w:val="en-GB"/>
              </w:rPr>
            </w:pPr>
            <w:r w:rsidRPr="00ED1E23">
              <w:t>/</w:t>
            </w:r>
          </w:p>
        </w:tc>
        <w:tc>
          <w:tcPr>
            <w:tcW w:w="1662" w:type="pct"/>
            <w:shd w:val="clear" w:color="auto" w:fill="FFFFFF"/>
          </w:tcPr>
          <w:p w14:paraId="3E5F9B29" w14:textId="77777777" w:rsidR="008C1875" w:rsidRPr="00ED1E23" w:rsidRDefault="008C1875" w:rsidP="00F56771">
            <w:pPr>
              <w:pStyle w:val="CETBodytext"/>
              <w:keepNext/>
              <w:rPr>
                <w:lang w:val="en-GB"/>
              </w:rPr>
            </w:pPr>
            <w:r w:rsidRPr="00ED1E23">
              <w:t>0.1</w:t>
            </w:r>
          </w:p>
        </w:tc>
        <w:tc>
          <w:tcPr>
            <w:tcW w:w="1189" w:type="pct"/>
            <w:shd w:val="clear" w:color="auto" w:fill="FFFFFF"/>
          </w:tcPr>
          <w:p w14:paraId="74D0493C" w14:textId="77777777" w:rsidR="008C1875" w:rsidRPr="00ED1E23" w:rsidRDefault="008C1875" w:rsidP="00F56771">
            <w:pPr>
              <w:pStyle w:val="CETBodytext"/>
              <w:keepNext/>
              <w:ind w:right="-1"/>
              <w:rPr>
                <w:rFonts w:cs="Arial"/>
                <w:szCs w:val="18"/>
                <w:lang w:val="en-GB"/>
              </w:rPr>
            </w:pPr>
            <w:r w:rsidRPr="00ED1E23">
              <w:t>/</w:t>
            </w:r>
          </w:p>
        </w:tc>
      </w:tr>
      <w:tr w:rsidR="008C1875" w:rsidRPr="00ED1E23" w14:paraId="3DB61505" w14:textId="77777777" w:rsidTr="00F56771">
        <w:tc>
          <w:tcPr>
            <w:tcW w:w="984" w:type="pct"/>
            <w:shd w:val="clear" w:color="auto" w:fill="FFFFFF"/>
          </w:tcPr>
          <w:p w14:paraId="29889032" w14:textId="77777777" w:rsidR="008C1875" w:rsidRPr="00ED1E23" w:rsidRDefault="008C1875" w:rsidP="00F56771">
            <w:pPr>
              <w:pStyle w:val="CETBodytext"/>
              <w:ind w:right="-1"/>
              <w:rPr>
                <w:rFonts w:cs="Arial"/>
                <w:i/>
                <w:iCs/>
                <w:szCs w:val="18"/>
                <w:lang w:val="en-GB"/>
              </w:rPr>
            </w:pPr>
            <w:proofErr w:type="spellStart"/>
            <w:r w:rsidRPr="00ED1E23">
              <w:rPr>
                <w:rFonts w:cs="Arial"/>
                <w:i/>
                <w:iCs/>
                <w:szCs w:val="18"/>
                <w:lang w:val="en-GB"/>
              </w:rPr>
              <w:t>C</w:t>
            </w:r>
            <w:r w:rsidRPr="00ED1E23">
              <w:rPr>
                <w:rFonts w:cs="Arial"/>
                <w:i/>
                <w:iCs/>
                <w:szCs w:val="18"/>
                <w:vertAlign w:val="subscript"/>
                <w:lang w:val="en-GB"/>
              </w:rPr>
              <w:t>tot</w:t>
            </w:r>
            <w:proofErr w:type="spellEnd"/>
            <w:r w:rsidRPr="00ED1E23">
              <w:rPr>
                <w:rFonts w:cs="Arial"/>
                <w:i/>
                <w:iCs/>
                <w:szCs w:val="18"/>
                <w:vertAlign w:val="subscript"/>
                <w:lang w:val="en-GB"/>
              </w:rPr>
              <w:t>/100km</w:t>
            </w:r>
          </w:p>
        </w:tc>
        <w:tc>
          <w:tcPr>
            <w:tcW w:w="1164" w:type="pct"/>
            <w:shd w:val="clear" w:color="auto" w:fill="FFFFFF"/>
          </w:tcPr>
          <w:p w14:paraId="771093EB" w14:textId="77777777" w:rsidR="008C1875" w:rsidRPr="00ED1E23" w:rsidRDefault="008C1875" w:rsidP="00F56771">
            <w:pPr>
              <w:pStyle w:val="CETBodytext"/>
              <w:ind w:right="-1"/>
              <w:rPr>
                <w:rFonts w:cs="Arial"/>
                <w:szCs w:val="18"/>
                <w:lang w:val="en-GB"/>
              </w:rPr>
            </w:pPr>
            <w:r w:rsidRPr="00ED1E23">
              <w:t>41.1</w:t>
            </w:r>
          </w:p>
        </w:tc>
        <w:tc>
          <w:tcPr>
            <w:tcW w:w="1662" w:type="pct"/>
            <w:shd w:val="clear" w:color="auto" w:fill="FFFFFF"/>
          </w:tcPr>
          <w:p w14:paraId="5207A2B2" w14:textId="77777777" w:rsidR="008C1875" w:rsidRPr="00ED1E23" w:rsidRDefault="008C1875" w:rsidP="00F56771">
            <w:pPr>
              <w:pStyle w:val="CETBodytext"/>
              <w:ind w:right="-1"/>
              <w:rPr>
                <w:rFonts w:cs="Arial"/>
                <w:szCs w:val="18"/>
                <w:lang w:val="en-GB"/>
              </w:rPr>
            </w:pPr>
            <w:r w:rsidRPr="00ED1E23">
              <w:t>30.3</w:t>
            </w:r>
          </w:p>
        </w:tc>
        <w:tc>
          <w:tcPr>
            <w:tcW w:w="1189" w:type="pct"/>
            <w:shd w:val="clear" w:color="auto" w:fill="FFFFFF"/>
          </w:tcPr>
          <w:p w14:paraId="09F9581D" w14:textId="77777777" w:rsidR="008C1875" w:rsidRPr="00ED1E23" w:rsidRDefault="008C1875" w:rsidP="00F56771">
            <w:pPr>
              <w:pStyle w:val="CETBodytext"/>
              <w:ind w:right="-1"/>
              <w:rPr>
                <w:rFonts w:cs="Arial"/>
                <w:szCs w:val="18"/>
                <w:lang w:val="en-GB"/>
              </w:rPr>
            </w:pPr>
            <w:r w:rsidRPr="00ED1E23">
              <w:t>27.0</w:t>
            </w:r>
          </w:p>
        </w:tc>
      </w:tr>
    </w:tbl>
    <w:p w14:paraId="751D78A3" w14:textId="77777777" w:rsidR="00720F03" w:rsidRPr="00ED1E23" w:rsidRDefault="00720F03" w:rsidP="00131359">
      <w:pPr>
        <w:pStyle w:val="CETBodytext"/>
      </w:pPr>
    </w:p>
    <w:p w14:paraId="7B2CA322" w14:textId="184C19B2" w:rsidR="00600535" w:rsidRPr="00ED1E23" w:rsidRDefault="00720F03" w:rsidP="007D7833">
      <w:pPr>
        <w:pStyle w:val="CETBodytext"/>
      </w:pPr>
      <w:r w:rsidRPr="00ED1E23">
        <w:t xml:space="preserve">Table </w:t>
      </w:r>
      <w:r w:rsidR="000230E0" w:rsidRPr="00ED1E23">
        <w:t>3</w:t>
      </w:r>
      <w:r w:rsidRPr="00ED1E23">
        <w:t xml:space="preserve"> shows t</w:t>
      </w:r>
      <w:r w:rsidR="00131359" w:rsidRPr="00ED1E23">
        <w:t>he costs</w:t>
      </w:r>
      <w:r w:rsidRPr="00ED1E23">
        <w:t xml:space="preserve"> associated </w:t>
      </w:r>
      <w:r w:rsidR="000230E0" w:rsidRPr="00ED1E23">
        <w:t>with</w:t>
      </w:r>
      <w:r w:rsidRPr="00ED1E23">
        <w:t xml:space="preserve"> a traveled </w:t>
      </w:r>
      <w:r w:rsidR="00131359" w:rsidRPr="00ED1E23">
        <w:t xml:space="preserve">distance of </w:t>
      </w:r>
      <w:r w:rsidRPr="00ED1E23">
        <w:t xml:space="preserve">100 </w:t>
      </w:r>
      <w:r w:rsidR="00131359" w:rsidRPr="00ED1E23">
        <w:t>kilometers</w:t>
      </w:r>
      <w:r w:rsidR="000230E0" w:rsidRPr="00ED1E23">
        <w:t>. As</w:t>
      </w:r>
      <w:r w:rsidR="00131359" w:rsidRPr="00ED1E23">
        <w:t xml:space="preserve"> expected</w:t>
      </w:r>
      <w:r w:rsidR="000230E0" w:rsidRPr="00ED1E23">
        <w:t>,</w:t>
      </w:r>
      <w:r w:rsidR="00131359" w:rsidRPr="00ED1E23">
        <w:t xml:space="preserve"> results </w:t>
      </w:r>
      <w:r w:rsidR="008C1875" w:rsidRPr="00ED1E23">
        <w:t>highlighted that</w:t>
      </w:r>
      <w:r w:rsidR="000230E0" w:rsidRPr="00ED1E23">
        <w:t xml:space="preserve"> the </w:t>
      </w:r>
      <w:r w:rsidR="00131359" w:rsidRPr="00ED1E23">
        <w:t xml:space="preserve">use of electric vehicles </w:t>
      </w:r>
      <w:r w:rsidR="000230E0" w:rsidRPr="00ED1E23">
        <w:t xml:space="preserve">is </w:t>
      </w:r>
      <w:r w:rsidR="00131359" w:rsidRPr="00ED1E23">
        <w:t>associated with higher costs.</w:t>
      </w:r>
      <w:r w:rsidR="000230E0" w:rsidRPr="00ED1E23">
        <w:t xml:space="preserve"> T</w:t>
      </w:r>
      <w:r w:rsidR="00131359" w:rsidRPr="00ED1E23">
        <w:t xml:space="preserve">he largest </w:t>
      </w:r>
      <w:r w:rsidR="000230E0" w:rsidRPr="00ED1E23">
        <w:t>costs were for the</w:t>
      </w:r>
      <w:r w:rsidR="00131359" w:rsidRPr="00ED1E23">
        <w:t xml:space="preserve"> batteries</w:t>
      </w:r>
      <w:r w:rsidR="000230E0" w:rsidRPr="00ED1E23">
        <w:t>. T</w:t>
      </w:r>
      <w:r w:rsidR="00131359" w:rsidRPr="00ED1E23">
        <w:t xml:space="preserve">he items that stand out and strongly influence the total costs are the cost of the vehicle, higher for electric vehicles due to the large battery pack, and that of the accumulators for the electrical network. </w:t>
      </w:r>
      <w:r w:rsidR="000230E0" w:rsidRPr="00ED1E23">
        <w:t>T</w:t>
      </w:r>
      <w:r w:rsidR="00131359" w:rsidRPr="00ED1E23">
        <w:t xml:space="preserve">he </w:t>
      </w:r>
      <w:r w:rsidR="000230E0" w:rsidRPr="00ED1E23">
        <w:t>aim to</w:t>
      </w:r>
      <w:r w:rsidR="00131359" w:rsidRPr="00ED1E23">
        <w:t xml:space="preserve"> replace fossil fuels with renewable energy, although positive from an environmental point of view, involves huge costs, not so much for adapting the network, but for the accumulators needed to guarantee energy in every period of the year. These </w:t>
      </w:r>
      <w:r w:rsidR="000230E0" w:rsidRPr="00ED1E23">
        <w:t>batteries</w:t>
      </w:r>
      <w:r w:rsidR="00131359" w:rsidRPr="00ED1E23">
        <w:t>, characterized by large capacities, imply high costs to make up for the intermittency of renewable sources.</w:t>
      </w:r>
      <w:r w:rsidR="000230E0" w:rsidRPr="00ED1E23">
        <w:t xml:space="preserve"> T</w:t>
      </w:r>
      <w:r w:rsidR="00131359" w:rsidRPr="00ED1E23">
        <w:t xml:space="preserve">he </w:t>
      </w:r>
      <w:r w:rsidR="000230E0" w:rsidRPr="00ED1E23">
        <w:t xml:space="preserve">obtained </w:t>
      </w:r>
      <w:r w:rsidR="00131359" w:rsidRPr="00ED1E23">
        <w:t>values</w:t>
      </w:r>
      <w:r w:rsidR="000230E0" w:rsidRPr="00ED1E23">
        <w:t xml:space="preserve"> </w:t>
      </w:r>
      <w:r w:rsidR="008C1875" w:rsidRPr="00ED1E23">
        <w:t>highlighted</w:t>
      </w:r>
      <w:r w:rsidR="000230E0" w:rsidRPr="00ED1E23">
        <w:t xml:space="preserve"> the</w:t>
      </w:r>
      <w:r w:rsidR="00131359" w:rsidRPr="00ED1E23">
        <w:t xml:space="preserve"> full electric mobility scenario, alternative solutions </w:t>
      </w:r>
      <w:r w:rsidR="000230E0" w:rsidRPr="00ED1E23">
        <w:t xml:space="preserve">are to be developed </w:t>
      </w:r>
      <w:r w:rsidR="00131359" w:rsidRPr="00ED1E23">
        <w:t xml:space="preserve">for energy storage and rely on diversified energy sources, not only renewables. This will allow for </w:t>
      </w:r>
      <w:r w:rsidR="008C1875" w:rsidRPr="00ED1E23">
        <w:t>more</w:t>
      </w:r>
      <w:r w:rsidR="00131359" w:rsidRPr="00ED1E23">
        <w:t xml:space="preserve"> constant production of energy and a consequent reduction in investment costs for grid storage batteries.</w:t>
      </w:r>
    </w:p>
    <w:p w14:paraId="68D26B83" w14:textId="77777777" w:rsidR="00600535" w:rsidRPr="00ED1E23" w:rsidRDefault="00600535" w:rsidP="00600535">
      <w:pPr>
        <w:pStyle w:val="CETHeading1"/>
        <w:rPr>
          <w:lang w:val="en-GB"/>
        </w:rPr>
      </w:pPr>
      <w:r w:rsidRPr="00ED1E23">
        <w:rPr>
          <w:lang w:val="en-GB"/>
        </w:rPr>
        <w:t>Conclusions</w:t>
      </w:r>
    </w:p>
    <w:p w14:paraId="52DAFDE0" w14:textId="0576B4A4" w:rsidR="001D0CFB" w:rsidRPr="00ED1E23" w:rsidRDefault="000230E0" w:rsidP="000230E0">
      <w:pPr>
        <w:pStyle w:val="CETBodytext"/>
        <w:rPr>
          <w:lang w:val="en-GB"/>
        </w:rPr>
      </w:pPr>
      <w:r w:rsidRPr="00ED1E23">
        <w:t xml:space="preserve">This study evaluated three different sustainable mobility scenarios based on environmental impact and costs. Specifically, it compared an off-board hybrid scenario powered by biofuels with two more traditional scenarios: a fully electric one and a 100% internal combustion engine scenario powered by biofuels. The results indicate that electric mobility offers advantages in terms of energy efficiency and </w:t>
      </w:r>
      <w:proofErr w:type="gramStart"/>
      <w:r w:rsidRPr="00ED1E23">
        <w:t>emissions, but</w:t>
      </w:r>
      <w:proofErr w:type="gramEnd"/>
      <w:r w:rsidRPr="00ED1E23">
        <w:t xml:space="preserve"> involves significant costs and requires changes to existing infrastructure. Given the high costs of grid batteries, </w:t>
      </w:r>
      <w:proofErr w:type="gramStart"/>
      <w:r w:rsidRPr="00ED1E23">
        <w:t>it is clear that there</w:t>
      </w:r>
      <w:proofErr w:type="gramEnd"/>
      <w:r w:rsidRPr="00ED1E23">
        <w:t xml:space="preserve"> is a need to diversify energy sources and develop alternative storage systems. The off-board hybrid scenario emerged as a viable transition solution to reduce investment costs and local vehicle emissions, despite some efficiency limitations that resulted in higher global emissions compared to the full ICE biofuel scenario. One way to address this issue could be to improve efficiency in the generator-to-charging station process. With advancements in electric mobility technologies, from powertrains to charging stations, and lower energy consumption at the wheels, the off-board hybrid solution could become more sustainable than using endothermic vehicles</w:t>
      </w:r>
      <w:r w:rsidR="004462A7" w:rsidRPr="00ED1E23">
        <w:rPr>
          <w:lang w:val="en-GB"/>
        </w:rPr>
        <w:t>.</w:t>
      </w:r>
    </w:p>
    <w:p w14:paraId="07A6D20F" w14:textId="0ECF229E" w:rsidR="00280FAF" w:rsidRPr="00ED1E23" w:rsidRDefault="00280FAF" w:rsidP="00280FAF">
      <w:pPr>
        <w:pStyle w:val="CETHeadingxx"/>
        <w:rPr>
          <w:lang w:val="en-GB"/>
        </w:rPr>
        <w:sectPr w:rsidR="00280FAF" w:rsidRPr="00ED1E23" w:rsidSect="00DC73EE">
          <w:type w:val="continuous"/>
          <w:pgSz w:w="11906" w:h="16838" w:code="9"/>
          <w:pgMar w:top="1701" w:right="1418" w:bottom="1701" w:left="1701" w:header="1701" w:footer="0" w:gutter="0"/>
          <w:cols w:space="708"/>
          <w:formProt w:val="0"/>
          <w:titlePg/>
          <w:docGrid w:linePitch="360"/>
        </w:sectPr>
      </w:pPr>
      <w:r w:rsidRPr="00ED1E23">
        <w:t>Nomenclature</w:t>
      </w:r>
    </w:p>
    <w:p w14:paraId="25D52BD8" w14:textId="38B47F9B" w:rsidR="00280FAF" w:rsidRPr="00ED1E23" w:rsidRDefault="00021F7A" w:rsidP="00280FAF">
      <w:pPr>
        <w:pStyle w:val="CETBodytext"/>
        <w:jc w:val="left"/>
        <w:rPr>
          <w:rFonts w:eastAsia="SimSun"/>
          <w:vertAlign w:val="superscript"/>
        </w:rPr>
      </w:pPr>
      <w:proofErr w:type="spellStart"/>
      <w:r w:rsidRPr="00ED1E23">
        <w:rPr>
          <w:rFonts w:eastAsia="SimSun"/>
        </w:rPr>
        <w:t>A</w:t>
      </w:r>
      <w:r w:rsidRPr="00ED1E23">
        <w:rPr>
          <w:rFonts w:eastAsia="SimSun"/>
          <w:vertAlign w:val="subscript"/>
        </w:rPr>
        <w:t>f</w:t>
      </w:r>
      <w:proofErr w:type="spellEnd"/>
      <w:r w:rsidR="00280FAF" w:rsidRPr="00ED1E23">
        <w:rPr>
          <w:rFonts w:eastAsia="SimSun"/>
        </w:rPr>
        <w:t xml:space="preserve"> – </w:t>
      </w:r>
      <w:r w:rsidRPr="00ED1E23">
        <w:rPr>
          <w:rFonts w:eastAsia="SimSun"/>
        </w:rPr>
        <w:t>vehicle’s frontal area</w:t>
      </w:r>
      <w:r w:rsidR="00280FAF" w:rsidRPr="00ED1E23">
        <w:rPr>
          <w:rFonts w:eastAsia="SimSun"/>
        </w:rPr>
        <w:t>, m</w:t>
      </w:r>
      <w:r w:rsidRPr="00ED1E23">
        <w:rPr>
          <w:rFonts w:eastAsia="SimSun"/>
          <w:vertAlign w:val="superscript"/>
        </w:rPr>
        <w:t>2</w:t>
      </w:r>
    </w:p>
    <w:p w14:paraId="7DFFBF41" w14:textId="1012A869" w:rsidR="00280FAF" w:rsidRPr="00ED1E23" w:rsidRDefault="00280FAF" w:rsidP="00021F7A">
      <w:pPr>
        <w:pStyle w:val="CETBodytext"/>
        <w:rPr>
          <w:rFonts w:eastAsia="SimSun"/>
        </w:rPr>
        <w:sectPr w:rsidR="00280FAF" w:rsidRPr="00ED1E23" w:rsidSect="00DC73EE">
          <w:type w:val="continuous"/>
          <w:pgSz w:w="11906" w:h="16838" w:code="9"/>
          <w:pgMar w:top="1701" w:right="1418" w:bottom="1701" w:left="1701" w:header="1701" w:footer="0" w:gutter="0"/>
          <w:cols w:space="708"/>
          <w:formProt w:val="0"/>
          <w:titlePg/>
          <w:docGrid w:linePitch="360"/>
        </w:sectPr>
      </w:pPr>
    </w:p>
    <w:p w14:paraId="6C10A45E" w14:textId="32956DCF" w:rsidR="00021F7A" w:rsidRPr="00ED1E23" w:rsidRDefault="00021F7A" w:rsidP="00280FAF">
      <w:pPr>
        <w:pStyle w:val="CETBodytext"/>
        <w:jc w:val="left"/>
      </w:pPr>
      <w:r w:rsidRPr="00ED1E23">
        <w:t>c</w:t>
      </w:r>
      <w:r w:rsidRPr="00ED1E23">
        <w:rPr>
          <w:vertAlign w:val="subscript"/>
        </w:rPr>
        <w:t>d</w:t>
      </w:r>
      <w:r w:rsidRPr="00ED1E23">
        <w:t xml:space="preserve"> – aerodynamic friction coefficient, -</w:t>
      </w:r>
    </w:p>
    <w:p w14:paraId="557450E1" w14:textId="1874180C" w:rsidR="00021F7A" w:rsidRPr="00ED1E23" w:rsidRDefault="00021F7A" w:rsidP="00280FAF">
      <w:pPr>
        <w:pStyle w:val="CETBodytext"/>
        <w:jc w:val="left"/>
        <w:rPr>
          <w:lang w:val="en-GB"/>
        </w:rPr>
      </w:pPr>
      <w:proofErr w:type="spellStart"/>
      <w:r w:rsidRPr="00ED1E23">
        <w:rPr>
          <w:lang w:val="en-GB"/>
        </w:rPr>
        <w:t>c</w:t>
      </w:r>
      <w:r w:rsidRPr="00ED1E23">
        <w:rPr>
          <w:vertAlign w:val="subscript"/>
          <w:lang w:val="en-GB"/>
        </w:rPr>
        <w:t>r</w:t>
      </w:r>
      <w:proofErr w:type="spellEnd"/>
      <w:r w:rsidRPr="00ED1E23">
        <w:rPr>
          <w:lang w:val="en-GB"/>
        </w:rPr>
        <w:t xml:space="preserve"> – rolling friction coefficient, -</w:t>
      </w:r>
    </w:p>
    <w:p w14:paraId="3F617CFA" w14:textId="77E28797" w:rsidR="00BC2BE0" w:rsidRPr="00ED1E23" w:rsidRDefault="00BC2BE0" w:rsidP="00280FAF">
      <w:pPr>
        <w:pStyle w:val="CETBodytext"/>
        <w:jc w:val="left"/>
        <w:rPr>
          <w:lang w:val="en-GB"/>
        </w:rPr>
      </w:pPr>
      <w:r w:rsidRPr="00ED1E23">
        <w:rPr>
          <w:lang w:val="en-GB"/>
        </w:rPr>
        <w:t>m</w:t>
      </w:r>
      <w:r w:rsidRPr="00ED1E23">
        <w:rPr>
          <w:vertAlign w:val="subscript"/>
          <w:lang w:val="en-GB"/>
        </w:rPr>
        <w:t>v</w:t>
      </w:r>
      <w:r w:rsidRPr="00ED1E23">
        <w:rPr>
          <w:lang w:val="en-GB"/>
        </w:rPr>
        <w:t xml:space="preserve"> – vehicle’s mass, kg</w:t>
      </w:r>
    </w:p>
    <w:p w14:paraId="0E84A40D" w14:textId="0E4D7BFE" w:rsidR="001D7CD7" w:rsidRPr="00ED1E23" w:rsidRDefault="001D7CD7" w:rsidP="00280FAF">
      <w:pPr>
        <w:pStyle w:val="CETBodytext"/>
        <w:jc w:val="left"/>
        <w:rPr>
          <w:rFonts w:cs="Arial"/>
          <w:szCs w:val="18"/>
          <w:lang w:val="en-GB"/>
        </w:rPr>
      </w:pPr>
      <w:r w:rsidRPr="00ED1E23">
        <w:rPr>
          <w:rFonts w:cs="Arial"/>
          <w:szCs w:val="18"/>
          <w:lang w:val="en-GB"/>
        </w:rPr>
        <w:t>CO</w:t>
      </w:r>
      <w:r w:rsidRPr="00ED1E23">
        <w:rPr>
          <w:rFonts w:cs="Arial"/>
          <w:szCs w:val="18"/>
          <w:vertAlign w:val="subscript"/>
          <w:lang w:val="en-GB"/>
        </w:rPr>
        <w:t>2</w:t>
      </w:r>
      <w:proofErr w:type="gramStart"/>
      <w:r w:rsidRPr="00ED1E23">
        <w:rPr>
          <w:rFonts w:cs="Arial"/>
          <w:szCs w:val="18"/>
          <w:vertAlign w:val="subscript"/>
          <w:lang w:val="en-GB"/>
        </w:rPr>
        <w:t>e,tot</w:t>
      </w:r>
      <w:proofErr w:type="gramEnd"/>
      <w:r w:rsidRPr="00ED1E23">
        <w:rPr>
          <w:rFonts w:cs="Arial"/>
          <w:szCs w:val="18"/>
          <w:lang w:val="en-GB"/>
        </w:rPr>
        <w:t xml:space="preserve"> – </w:t>
      </w:r>
      <w:r w:rsidR="006D1B0B" w:rsidRPr="00ED1E23">
        <w:rPr>
          <w:rFonts w:cs="Arial"/>
          <w:szCs w:val="18"/>
          <w:lang w:val="en-GB"/>
        </w:rPr>
        <w:t>total emissions, kg</w:t>
      </w:r>
      <w:r w:rsidR="006D1B0B" w:rsidRPr="00ED1E23">
        <w:rPr>
          <w:rFonts w:cs="Arial"/>
          <w:szCs w:val="18"/>
          <w:vertAlign w:val="subscript"/>
          <w:lang w:val="en-GB"/>
        </w:rPr>
        <w:t>CO2e</w:t>
      </w:r>
      <w:r w:rsidR="006D1B0B" w:rsidRPr="00ED1E23">
        <w:rPr>
          <w:rFonts w:cs="Arial"/>
          <w:szCs w:val="18"/>
          <w:lang w:val="en-GB"/>
        </w:rPr>
        <w:t>/100km</w:t>
      </w:r>
    </w:p>
    <w:p w14:paraId="5EA26D18" w14:textId="06EB3653" w:rsidR="001D7CD7" w:rsidRPr="00ED1E23" w:rsidRDefault="001D7CD7" w:rsidP="00280FAF">
      <w:pPr>
        <w:pStyle w:val="CETBodytext"/>
        <w:jc w:val="left"/>
        <w:rPr>
          <w:rFonts w:cs="Arial"/>
          <w:szCs w:val="18"/>
          <w:lang w:val="en-GB"/>
        </w:rPr>
      </w:pPr>
      <w:r w:rsidRPr="00ED1E23">
        <w:rPr>
          <w:rFonts w:cs="Arial"/>
          <w:szCs w:val="18"/>
          <w:lang w:val="en-GB"/>
        </w:rPr>
        <w:t>CO</w:t>
      </w:r>
      <w:r w:rsidRPr="00ED1E23">
        <w:rPr>
          <w:rFonts w:cs="Arial"/>
          <w:szCs w:val="18"/>
          <w:vertAlign w:val="subscript"/>
          <w:lang w:val="en-GB"/>
        </w:rPr>
        <w:t>2</w:t>
      </w:r>
      <w:proofErr w:type="gramStart"/>
      <w:r w:rsidRPr="00ED1E23">
        <w:rPr>
          <w:rFonts w:cs="Arial"/>
          <w:szCs w:val="18"/>
          <w:vertAlign w:val="subscript"/>
          <w:lang w:val="en-GB"/>
        </w:rPr>
        <w:t>e,whe</w:t>
      </w:r>
      <w:proofErr w:type="gramEnd"/>
      <w:r w:rsidRPr="00ED1E23">
        <w:rPr>
          <w:rFonts w:cs="Arial"/>
          <w:szCs w:val="18"/>
          <w:lang w:val="en-GB"/>
        </w:rPr>
        <w:t xml:space="preserve"> – </w:t>
      </w:r>
      <w:r w:rsidR="006D1B0B" w:rsidRPr="00ED1E23">
        <w:rPr>
          <w:rFonts w:cs="Arial"/>
          <w:szCs w:val="18"/>
          <w:lang w:val="en-GB"/>
        </w:rPr>
        <w:t>vehicle emissions, kg</w:t>
      </w:r>
      <w:r w:rsidR="006D1B0B" w:rsidRPr="00ED1E23">
        <w:rPr>
          <w:rFonts w:cs="Arial"/>
          <w:szCs w:val="18"/>
          <w:vertAlign w:val="subscript"/>
          <w:lang w:val="en-GB"/>
        </w:rPr>
        <w:t>CO2e</w:t>
      </w:r>
      <w:r w:rsidR="006D1B0B" w:rsidRPr="00ED1E23">
        <w:rPr>
          <w:rFonts w:cs="Arial"/>
          <w:szCs w:val="18"/>
          <w:lang w:val="en-GB"/>
        </w:rPr>
        <w:t>/100km</w:t>
      </w:r>
    </w:p>
    <w:p w14:paraId="17D07089" w14:textId="0FA7BC48" w:rsidR="001D7CD7" w:rsidRPr="00ED1E23" w:rsidRDefault="001D7CD7" w:rsidP="001D7CD7">
      <w:pPr>
        <w:pStyle w:val="CETBodytext"/>
        <w:jc w:val="left"/>
        <w:rPr>
          <w:rFonts w:cs="Arial"/>
          <w:szCs w:val="18"/>
          <w:lang w:val="en-GB"/>
        </w:rPr>
      </w:pPr>
      <w:r w:rsidRPr="00ED1E23">
        <w:rPr>
          <w:rFonts w:cs="Arial"/>
          <w:szCs w:val="18"/>
          <w:lang w:val="en-GB"/>
        </w:rPr>
        <w:t>CO</w:t>
      </w:r>
      <w:r w:rsidRPr="00ED1E23">
        <w:rPr>
          <w:rFonts w:cs="Arial"/>
          <w:szCs w:val="18"/>
          <w:vertAlign w:val="subscript"/>
          <w:lang w:val="en-GB"/>
        </w:rPr>
        <w:t>2</w:t>
      </w:r>
      <w:proofErr w:type="gramStart"/>
      <w:r w:rsidRPr="00ED1E23">
        <w:rPr>
          <w:rFonts w:cs="Arial"/>
          <w:szCs w:val="18"/>
          <w:vertAlign w:val="subscript"/>
          <w:lang w:val="en-GB"/>
        </w:rPr>
        <w:t>e,gen</w:t>
      </w:r>
      <w:proofErr w:type="gramEnd"/>
      <w:r w:rsidRPr="00ED1E23">
        <w:rPr>
          <w:rFonts w:cs="Arial"/>
          <w:szCs w:val="18"/>
          <w:lang w:val="en-GB"/>
        </w:rPr>
        <w:t xml:space="preserve"> – </w:t>
      </w:r>
      <w:r w:rsidR="006D1B0B" w:rsidRPr="00ED1E23">
        <w:rPr>
          <w:rFonts w:cs="Arial"/>
          <w:szCs w:val="18"/>
          <w:lang w:val="en-GB"/>
        </w:rPr>
        <w:t>generator emissions, kg</w:t>
      </w:r>
      <w:r w:rsidR="006D1B0B" w:rsidRPr="00ED1E23">
        <w:rPr>
          <w:rFonts w:cs="Arial"/>
          <w:szCs w:val="18"/>
          <w:vertAlign w:val="subscript"/>
          <w:lang w:val="en-GB"/>
        </w:rPr>
        <w:t>CO2e</w:t>
      </w:r>
      <w:r w:rsidR="006D1B0B" w:rsidRPr="00ED1E23">
        <w:rPr>
          <w:rFonts w:cs="Arial"/>
          <w:szCs w:val="18"/>
          <w:lang w:val="en-GB"/>
        </w:rPr>
        <w:t>/100km</w:t>
      </w:r>
    </w:p>
    <w:p w14:paraId="3279F0A4" w14:textId="30EED552" w:rsidR="001D7CD7" w:rsidRPr="00ED1E23" w:rsidRDefault="001D7CD7" w:rsidP="001D7CD7">
      <w:pPr>
        <w:pStyle w:val="CETBodytext"/>
        <w:jc w:val="left"/>
        <w:rPr>
          <w:rFonts w:cs="Arial"/>
          <w:szCs w:val="18"/>
          <w:lang w:val="en-GB"/>
        </w:rPr>
      </w:pPr>
      <w:r w:rsidRPr="00ED1E23">
        <w:rPr>
          <w:rFonts w:cs="Arial"/>
          <w:szCs w:val="18"/>
          <w:lang w:val="en-GB"/>
        </w:rPr>
        <w:t>CO</w:t>
      </w:r>
      <w:r w:rsidRPr="00ED1E23">
        <w:rPr>
          <w:rFonts w:cs="Arial"/>
          <w:szCs w:val="18"/>
          <w:vertAlign w:val="subscript"/>
          <w:lang w:val="en-GB"/>
        </w:rPr>
        <w:t>2</w:t>
      </w:r>
      <w:proofErr w:type="gramStart"/>
      <w:r w:rsidRPr="00ED1E23">
        <w:rPr>
          <w:rFonts w:cs="Arial"/>
          <w:szCs w:val="18"/>
          <w:vertAlign w:val="subscript"/>
          <w:lang w:val="en-GB"/>
        </w:rPr>
        <w:t>e,dist</w:t>
      </w:r>
      <w:proofErr w:type="gramEnd"/>
      <w:r w:rsidRPr="00ED1E23">
        <w:rPr>
          <w:rFonts w:cs="Arial"/>
          <w:szCs w:val="18"/>
          <w:lang w:val="en-GB"/>
        </w:rPr>
        <w:t xml:space="preserve"> – </w:t>
      </w:r>
      <w:r w:rsidR="006D1B0B" w:rsidRPr="00ED1E23">
        <w:rPr>
          <w:rFonts w:cs="Arial"/>
          <w:szCs w:val="18"/>
          <w:lang w:val="en-GB"/>
        </w:rPr>
        <w:t>distribution emissions, kg</w:t>
      </w:r>
      <w:r w:rsidR="006D1B0B" w:rsidRPr="00ED1E23">
        <w:rPr>
          <w:rFonts w:cs="Arial"/>
          <w:szCs w:val="18"/>
          <w:vertAlign w:val="subscript"/>
          <w:lang w:val="en-GB"/>
        </w:rPr>
        <w:t>CO2e</w:t>
      </w:r>
      <w:r w:rsidR="006D1B0B" w:rsidRPr="00ED1E23">
        <w:rPr>
          <w:rFonts w:cs="Arial"/>
          <w:szCs w:val="18"/>
          <w:lang w:val="en-GB"/>
        </w:rPr>
        <w:t>/100km</w:t>
      </w:r>
    </w:p>
    <w:p w14:paraId="0B119840" w14:textId="4B016FA0" w:rsidR="001D7CD7" w:rsidRPr="00ED1E23" w:rsidRDefault="001D7CD7" w:rsidP="001D7CD7">
      <w:pPr>
        <w:pStyle w:val="CETBodytext"/>
        <w:jc w:val="left"/>
        <w:rPr>
          <w:rFonts w:cs="Arial"/>
          <w:szCs w:val="18"/>
          <w:lang w:val="en-GB"/>
        </w:rPr>
      </w:pPr>
      <w:r w:rsidRPr="00ED1E23">
        <w:rPr>
          <w:rFonts w:cs="Arial"/>
          <w:szCs w:val="18"/>
          <w:lang w:val="en-GB"/>
        </w:rPr>
        <w:t>CO</w:t>
      </w:r>
      <w:r w:rsidRPr="00ED1E23">
        <w:rPr>
          <w:rFonts w:cs="Arial"/>
          <w:szCs w:val="18"/>
          <w:vertAlign w:val="subscript"/>
          <w:lang w:val="en-GB"/>
        </w:rPr>
        <w:t>2</w:t>
      </w:r>
      <w:proofErr w:type="gramStart"/>
      <w:r w:rsidRPr="00ED1E23">
        <w:rPr>
          <w:rFonts w:cs="Arial"/>
          <w:szCs w:val="18"/>
          <w:vertAlign w:val="subscript"/>
          <w:lang w:val="en-GB"/>
        </w:rPr>
        <w:t>e,pri</w:t>
      </w:r>
      <w:proofErr w:type="gramEnd"/>
      <w:r w:rsidRPr="00ED1E23">
        <w:rPr>
          <w:rFonts w:cs="Arial"/>
          <w:szCs w:val="18"/>
          <w:lang w:val="en-GB"/>
        </w:rPr>
        <w:t xml:space="preserve"> – </w:t>
      </w:r>
      <w:r w:rsidR="006D1B0B" w:rsidRPr="00ED1E23">
        <w:rPr>
          <w:rFonts w:cs="Arial"/>
          <w:szCs w:val="18"/>
          <w:lang w:val="en-GB"/>
        </w:rPr>
        <w:t>production</w:t>
      </w:r>
      <w:r w:rsidR="00612607" w:rsidRPr="00ED1E23">
        <w:rPr>
          <w:rFonts w:cs="Arial"/>
          <w:szCs w:val="18"/>
          <w:lang w:val="en-GB"/>
        </w:rPr>
        <w:t xml:space="preserve"> plant</w:t>
      </w:r>
      <w:r w:rsidR="006D1B0B" w:rsidRPr="00ED1E23">
        <w:rPr>
          <w:rFonts w:cs="Arial"/>
          <w:szCs w:val="18"/>
          <w:lang w:val="en-GB"/>
        </w:rPr>
        <w:t xml:space="preserve"> emissions, kg</w:t>
      </w:r>
      <w:r w:rsidR="006D1B0B" w:rsidRPr="00ED1E23">
        <w:rPr>
          <w:rFonts w:cs="Arial"/>
          <w:szCs w:val="18"/>
          <w:vertAlign w:val="subscript"/>
          <w:lang w:val="en-GB"/>
        </w:rPr>
        <w:t>CO2e</w:t>
      </w:r>
      <w:r w:rsidR="006D1B0B" w:rsidRPr="00ED1E23">
        <w:rPr>
          <w:rFonts w:cs="Arial"/>
          <w:szCs w:val="18"/>
          <w:lang w:val="en-GB"/>
        </w:rPr>
        <w:t>/100km</w:t>
      </w:r>
    </w:p>
    <w:p w14:paraId="390634D6" w14:textId="7C7D3668" w:rsidR="001D7CD7" w:rsidRPr="00ED1E23" w:rsidRDefault="001D7CD7" w:rsidP="00280FAF">
      <w:pPr>
        <w:pStyle w:val="CETBodytext"/>
        <w:jc w:val="left"/>
        <w:rPr>
          <w:rFonts w:cs="Arial"/>
          <w:szCs w:val="18"/>
          <w:lang w:val="en-GB"/>
        </w:rPr>
      </w:pPr>
      <w:r w:rsidRPr="00ED1E23">
        <w:rPr>
          <w:rFonts w:cs="Arial"/>
          <w:szCs w:val="18"/>
          <w:lang w:val="en-GB"/>
        </w:rPr>
        <w:t>CO</w:t>
      </w:r>
      <w:r w:rsidRPr="00ED1E23">
        <w:rPr>
          <w:rFonts w:cs="Arial"/>
          <w:szCs w:val="18"/>
          <w:vertAlign w:val="subscript"/>
          <w:lang w:val="en-GB"/>
        </w:rPr>
        <w:t>2</w:t>
      </w:r>
      <w:proofErr w:type="gramStart"/>
      <w:r w:rsidRPr="00ED1E23">
        <w:rPr>
          <w:rFonts w:cs="Arial"/>
          <w:szCs w:val="18"/>
          <w:vertAlign w:val="subscript"/>
          <w:lang w:val="en-GB"/>
        </w:rPr>
        <w:t>e,abs</w:t>
      </w:r>
      <w:proofErr w:type="gramEnd"/>
      <w:r w:rsidRPr="00ED1E23">
        <w:rPr>
          <w:rFonts w:cs="Arial"/>
          <w:szCs w:val="18"/>
          <w:lang w:val="en-GB"/>
        </w:rPr>
        <w:t xml:space="preserve"> – </w:t>
      </w:r>
      <w:r w:rsidR="006D1B0B" w:rsidRPr="00ED1E23">
        <w:rPr>
          <w:rFonts w:cs="Arial"/>
          <w:szCs w:val="18"/>
          <w:lang w:val="en-GB"/>
        </w:rPr>
        <w:t>a</w:t>
      </w:r>
      <w:r w:rsidR="00612607" w:rsidRPr="00ED1E23">
        <w:rPr>
          <w:rFonts w:cs="Arial"/>
          <w:szCs w:val="18"/>
          <w:lang w:val="en-GB"/>
        </w:rPr>
        <w:t>bsorbed emissions</w:t>
      </w:r>
      <w:r w:rsidR="006D1B0B" w:rsidRPr="00ED1E23">
        <w:rPr>
          <w:rFonts w:cs="Arial"/>
          <w:szCs w:val="18"/>
          <w:lang w:val="en-GB"/>
        </w:rPr>
        <w:t>, kg</w:t>
      </w:r>
      <w:r w:rsidR="006D1B0B" w:rsidRPr="00ED1E23">
        <w:rPr>
          <w:rFonts w:cs="Arial"/>
          <w:szCs w:val="18"/>
          <w:vertAlign w:val="subscript"/>
          <w:lang w:val="en-GB"/>
        </w:rPr>
        <w:t>CO2e</w:t>
      </w:r>
      <w:r w:rsidR="006D1B0B" w:rsidRPr="00ED1E23">
        <w:rPr>
          <w:rFonts w:cs="Arial"/>
          <w:szCs w:val="18"/>
          <w:lang w:val="en-GB"/>
        </w:rPr>
        <w:t>/100km</w:t>
      </w:r>
    </w:p>
    <w:p w14:paraId="2D8F48E5" w14:textId="12BBA9C9" w:rsidR="00612607" w:rsidRPr="00ED1E23" w:rsidRDefault="00612607" w:rsidP="00280FAF">
      <w:pPr>
        <w:pStyle w:val="CETBodytext"/>
        <w:jc w:val="left"/>
        <w:rPr>
          <w:rFonts w:cs="Arial"/>
          <w:szCs w:val="18"/>
          <w:lang w:val="en-GB"/>
        </w:rPr>
      </w:pPr>
      <w:proofErr w:type="spellStart"/>
      <w:r w:rsidRPr="00ED1E23">
        <w:rPr>
          <w:rFonts w:cs="Arial"/>
          <w:szCs w:val="18"/>
          <w:lang w:val="en-GB"/>
        </w:rPr>
        <w:t>C</w:t>
      </w:r>
      <w:r w:rsidRPr="00ED1E23">
        <w:rPr>
          <w:rFonts w:cs="Arial"/>
          <w:szCs w:val="18"/>
          <w:vertAlign w:val="subscript"/>
          <w:lang w:val="en-GB"/>
        </w:rPr>
        <w:t>tot</w:t>
      </w:r>
      <w:proofErr w:type="spellEnd"/>
      <w:r w:rsidRPr="00ED1E23">
        <w:rPr>
          <w:rFonts w:cs="Arial"/>
          <w:szCs w:val="18"/>
          <w:vertAlign w:val="subscript"/>
          <w:lang w:val="en-GB"/>
        </w:rPr>
        <w:t>/100km</w:t>
      </w:r>
      <w:r w:rsidRPr="00ED1E23">
        <w:rPr>
          <w:rFonts w:cs="Arial"/>
          <w:szCs w:val="18"/>
          <w:lang w:val="en-GB"/>
        </w:rPr>
        <w:t xml:space="preserve"> – total costs, €/100km</w:t>
      </w:r>
    </w:p>
    <w:p w14:paraId="418D87D4" w14:textId="197961F2" w:rsidR="00612607" w:rsidRPr="00ED1E23" w:rsidRDefault="00612607" w:rsidP="00280FAF">
      <w:pPr>
        <w:pStyle w:val="CETBodytext"/>
        <w:jc w:val="left"/>
        <w:rPr>
          <w:rFonts w:cs="Arial"/>
          <w:szCs w:val="18"/>
          <w:lang w:val="en-GB"/>
        </w:rPr>
      </w:pPr>
      <w:proofErr w:type="spellStart"/>
      <w:r w:rsidRPr="00ED1E23">
        <w:rPr>
          <w:rFonts w:cs="Arial"/>
          <w:szCs w:val="18"/>
          <w:lang w:val="en-GB"/>
        </w:rPr>
        <w:t>C</w:t>
      </w:r>
      <w:r w:rsidRPr="00ED1E23">
        <w:rPr>
          <w:rFonts w:cs="Arial"/>
          <w:szCs w:val="18"/>
          <w:vertAlign w:val="subscript"/>
          <w:lang w:val="en-GB"/>
        </w:rPr>
        <w:t>veh</w:t>
      </w:r>
      <w:proofErr w:type="spellEnd"/>
      <w:r w:rsidRPr="00ED1E23">
        <w:rPr>
          <w:rFonts w:cs="Arial"/>
          <w:szCs w:val="18"/>
          <w:vertAlign w:val="subscript"/>
          <w:lang w:val="en-GB"/>
        </w:rPr>
        <w:t>/100km</w:t>
      </w:r>
      <w:r w:rsidRPr="00ED1E23">
        <w:rPr>
          <w:rFonts w:cs="Arial"/>
          <w:szCs w:val="18"/>
          <w:lang w:val="en-GB"/>
        </w:rPr>
        <w:t xml:space="preserve"> – vehicle cost, €/100km</w:t>
      </w:r>
    </w:p>
    <w:p w14:paraId="46E91082" w14:textId="15488D43" w:rsidR="00612607" w:rsidRPr="00ED1E23" w:rsidRDefault="00612607" w:rsidP="00280FAF">
      <w:pPr>
        <w:pStyle w:val="CETBodytext"/>
        <w:jc w:val="left"/>
        <w:rPr>
          <w:rFonts w:cs="Arial"/>
          <w:szCs w:val="18"/>
          <w:lang w:val="en-GB"/>
        </w:rPr>
      </w:pPr>
      <w:proofErr w:type="spellStart"/>
      <w:r w:rsidRPr="00ED1E23">
        <w:rPr>
          <w:rFonts w:cs="Arial"/>
          <w:szCs w:val="18"/>
          <w:lang w:val="en-GB"/>
        </w:rPr>
        <w:t>C</w:t>
      </w:r>
      <w:r w:rsidRPr="00ED1E23">
        <w:rPr>
          <w:rFonts w:cs="Arial"/>
          <w:szCs w:val="18"/>
          <w:vertAlign w:val="subscript"/>
          <w:lang w:val="en-GB"/>
        </w:rPr>
        <w:t>fuel</w:t>
      </w:r>
      <w:proofErr w:type="spellEnd"/>
      <w:r w:rsidRPr="00ED1E23">
        <w:rPr>
          <w:rFonts w:cs="Arial"/>
          <w:szCs w:val="18"/>
          <w:vertAlign w:val="subscript"/>
          <w:lang w:val="en-GB"/>
        </w:rPr>
        <w:t>/100km</w:t>
      </w:r>
      <w:r w:rsidRPr="00ED1E23">
        <w:rPr>
          <w:rFonts w:cs="Arial"/>
          <w:szCs w:val="18"/>
          <w:lang w:val="en-GB"/>
        </w:rPr>
        <w:t xml:space="preserve"> – fuel cost, €/100km</w:t>
      </w:r>
    </w:p>
    <w:p w14:paraId="6F7657A4" w14:textId="7173A75E" w:rsidR="00612607" w:rsidRPr="00ED1E23" w:rsidRDefault="00612607" w:rsidP="00280FAF">
      <w:pPr>
        <w:pStyle w:val="CETBodytext"/>
        <w:jc w:val="left"/>
        <w:rPr>
          <w:rFonts w:cs="Arial"/>
          <w:szCs w:val="18"/>
          <w:lang w:val="en-GB"/>
        </w:rPr>
      </w:pPr>
      <w:proofErr w:type="spellStart"/>
      <w:r w:rsidRPr="00ED1E23">
        <w:rPr>
          <w:rFonts w:cs="Arial"/>
          <w:szCs w:val="18"/>
          <w:lang w:val="en-GB"/>
        </w:rPr>
        <w:t>C</w:t>
      </w:r>
      <w:r w:rsidRPr="00ED1E23">
        <w:rPr>
          <w:rFonts w:cs="Arial"/>
          <w:szCs w:val="18"/>
          <w:vertAlign w:val="subscript"/>
          <w:lang w:val="en-GB"/>
        </w:rPr>
        <w:t>col</w:t>
      </w:r>
      <w:proofErr w:type="spellEnd"/>
      <w:r w:rsidRPr="00ED1E23">
        <w:rPr>
          <w:rFonts w:cs="Arial"/>
          <w:szCs w:val="18"/>
          <w:vertAlign w:val="subscript"/>
          <w:lang w:val="en-GB"/>
        </w:rPr>
        <w:t>/100km</w:t>
      </w:r>
      <w:r w:rsidRPr="00ED1E23">
        <w:rPr>
          <w:rFonts w:cs="Arial"/>
          <w:szCs w:val="18"/>
          <w:lang w:val="en-GB"/>
        </w:rPr>
        <w:t xml:space="preserve"> – </w:t>
      </w:r>
      <w:r w:rsidR="000A2671" w:rsidRPr="00ED1E23">
        <w:rPr>
          <w:rFonts w:cs="Arial"/>
          <w:szCs w:val="18"/>
          <w:lang w:val="en-GB"/>
        </w:rPr>
        <w:t>charging station</w:t>
      </w:r>
      <w:r w:rsidRPr="00ED1E23">
        <w:rPr>
          <w:rFonts w:cs="Arial"/>
          <w:szCs w:val="18"/>
          <w:lang w:val="en-GB"/>
        </w:rPr>
        <w:t xml:space="preserve"> cost, €/100km</w:t>
      </w:r>
    </w:p>
    <w:p w14:paraId="52BDAEF6" w14:textId="45A6DA1B" w:rsidR="00612607" w:rsidRPr="00ED1E23" w:rsidRDefault="00612607" w:rsidP="00280FAF">
      <w:pPr>
        <w:pStyle w:val="CETBodytext"/>
        <w:jc w:val="left"/>
        <w:rPr>
          <w:rFonts w:cs="Arial"/>
          <w:szCs w:val="18"/>
          <w:lang w:val="en-GB"/>
        </w:rPr>
      </w:pPr>
      <w:proofErr w:type="spellStart"/>
      <w:r w:rsidRPr="00ED1E23">
        <w:rPr>
          <w:rFonts w:cs="Arial"/>
          <w:szCs w:val="18"/>
          <w:lang w:val="en-GB"/>
        </w:rPr>
        <w:t>C</w:t>
      </w:r>
      <w:r w:rsidRPr="00ED1E23">
        <w:rPr>
          <w:rFonts w:cs="Arial"/>
          <w:szCs w:val="18"/>
          <w:vertAlign w:val="subscript"/>
          <w:lang w:val="en-GB"/>
        </w:rPr>
        <w:t>gen</w:t>
      </w:r>
      <w:proofErr w:type="spellEnd"/>
      <w:r w:rsidRPr="00ED1E23">
        <w:rPr>
          <w:rFonts w:cs="Arial"/>
          <w:szCs w:val="18"/>
          <w:vertAlign w:val="subscript"/>
          <w:lang w:val="en-GB"/>
        </w:rPr>
        <w:t>/100km</w:t>
      </w:r>
      <w:r w:rsidRPr="00ED1E23">
        <w:rPr>
          <w:rFonts w:cs="Arial"/>
          <w:szCs w:val="18"/>
          <w:lang w:val="en-GB"/>
        </w:rPr>
        <w:t xml:space="preserve"> – </w:t>
      </w:r>
      <w:r w:rsidR="000A2671" w:rsidRPr="00ED1E23">
        <w:rPr>
          <w:rFonts w:cs="Arial"/>
          <w:szCs w:val="18"/>
          <w:lang w:val="en-GB"/>
        </w:rPr>
        <w:t>generator</w:t>
      </w:r>
      <w:r w:rsidRPr="00ED1E23">
        <w:rPr>
          <w:rFonts w:cs="Arial"/>
          <w:szCs w:val="18"/>
          <w:lang w:val="en-GB"/>
        </w:rPr>
        <w:t xml:space="preserve"> cost, €/100km</w:t>
      </w:r>
    </w:p>
    <w:p w14:paraId="2EC90667" w14:textId="3BBEBBCA" w:rsidR="00612607" w:rsidRPr="00ED1E23" w:rsidRDefault="00612607" w:rsidP="00280FAF">
      <w:pPr>
        <w:pStyle w:val="CETBodytext"/>
        <w:jc w:val="left"/>
        <w:rPr>
          <w:rFonts w:cs="Arial"/>
          <w:szCs w:val="18"/>
          <w:vertAlign w:val="subscript"/>
          <w:lang w:val="en-GB"/>
        </w:rPr>
      </w:pPr>
      <w:proofErr w:type="spellStart"/>
      <w:r w:rsidRPr="00ED1E23">
        <w:rPr>
          <w:rFonts w:cs="Arial"/>
          <w:szCs w:val="18"/>
          <w:lang w:val="en-GB"/>
        </w:rPr>
        <w:t>C</w:t>
      </w:r>
      <w:r w:rsidRPr="00ED1E23">
        <w:rPr>
          <w:rFonts w:cs="Arial"/>
          <w:szCs w:val="18"/>
          <w:vertAlign w:val="subscript"/>
          <w:lang w:val="en-GB"/>
        </w:rPr>
        <w:t>net</w:t>
      </w:r>
      <w:proofErr w:type="spellEnd"/>
      <w:r w:rsidRPr="00ED1E23">
        <w:rPr>
          <w:rFonts w:cs="Arial"/>
          <w:szCs w:val="18"/>
          <w:vertAlign w:val="subscript"/>
          <w:lang w:val="en-GB"/>
        </w:rPr>
        <w:t>/100km</w:t>
      </w:r>
      <w:r w:rsidRPr="00ED1E23">
        <w:rPr>
          <w:rFonts w:cs="Arial"/>
          <w:szCs w:val="18"/>
          <w:lang w:val="en-GB"/>
        </w:rPr>
        <w:t xml:space="preserve"> – </w:t>
      </w:r>
      <w:r w:rsidR="000A2671" w:rsidRPr="00ED1E23">
        <w:rPr>
          <w:rFonts w:cs="Arial"/>
          <w:szCs w:val="18"/>
          <w:lang w:val="en-GB"/>
        </w:rPr>
        <w:t>grid adaptation</w:t>
      </w:r>
      <w:r w:rsidRPr="00ED1E23">
        <w:rPr>
          <w:rFonts w:cs="Arial"/>
          <w:szCs w:val="18"/>
          <w:lang w:val="en-GB"/>
        </w:rPr>
        <w:t xml:space="preserve"> cost, €/100km</w:t>
      </w:r>
    </w:p>
    <w:p w14:paraId="43D7E343" w14:textId="44826937" w:rsidR="00612607" w:rsidRPr="00ED1E23" w:rsidRDefault="00612607" w:rsidP="00280FAF">
      <w:pPr>
        <w:pStyle w:val="CETBodytext"/>
        <w:jc w:val="left"/>
        <w:rPr>
          <w:rFonts w:cs="Arial"/>
          <w:szCs w:val="18"/>
          <w:lang w:val="en-GB"/>
        </w:rPr>
      </w:pPr>
      <w:proofErr w:type="spellStart"/>
      <w:r w:rsidRPr="00ED1E23">
        <w:rPr>
          <w:rFonts w:cs="Arial"/>
          <w:szCs w:val="18"/>
          <w:lang w:val="en-GB"/>
        </w:rPr>
        <w:t>C</w:t>
      </w:r>
      <w:r w:rsidRPr="00ED1E23">
        <w:rPr>
          <w:rFonts w:cs="Arial"/>
          <w:szCs w:val="18"/>
          <w:vertAlign w:val="subscript"/>
          <w:lang w:val="en-GB"/>
        </w:rPr>
        <w:t>sto</w:t>
      </w:r>
      <w:proofErr w:type="spellEnd"/>
      <w:r w:rsidRPr="00ED1E23">
        <w:rPr>
          <w:rFonts w:cs="Arial"/>
          <w:szCs w:val="18"/>
          <w:vertAlign w:val="subscript"/>
          <w:lang w:val="en-GB"/>
        </w:rPr>
        <w:t>/100km</w:t>
      </w:r>
      <w:r w:rsidRPr="00ED1E23">
        <w:rPr>
          <w:rFonts w:cs="Arial"/>
          <w:szCs w:val="18"/>
          <w:lang w:val="en-GB"/>
        </w:rPr>
        <w:t xml:space="preserve"> – </w:t>
      </w:r>
      <w:r w:rsidR="000A2671" w:rsidRPr="00ED1E23">
        <w:rPr>
          <w:rFonts w:cs="Arial"/>
          <w:szCs w:val="18"/>
          <w:lang w:val="en-GB"/>
        </w:rPr>
        <w:t>storage</w:t>
      </w:r>
      <w:r w:rsidRPr="00ED1E23">
        <w:rPr>
          <w:rFonts w:cs="Arial"/>
          <w:szCs w:val="18"/>
          <w:lang w:val="en-GB"/>
        </w:rPr>
        <w:t xml:space="preserve"> cost, €/100km</w:t>
      </w:r>
    </w:p>
    <w:p w14:paraId="7C87D8A6" w14:textId="7668D3D9" w:rsidR="00F1665B" w:rsidRPr="00ED1E23" w:rsidRDefault="00612607" w:rsidP="00F1665B">
      <w:pPr>
        <w:pStyle w:val="CETBodytext"/>
        <w:jc w:val="left"/>
        <w:rPr>
          <w:rFonts w:eastAsia="SimSun"/>
          <w:lang w:val="en-GB"/>
        </w:rPr>
      </w:pPr>
      <w:r w:rsidRPr="00ED1E23">
        <w:rPr>
          <w:lang w:val="en-GB"/>
        </w:rPr>
        <w:t>C</w:t>
      </w:r>
      <w:r w:rsidR="00F1665B" w:rsidRPr="00ED1E23">
        <w:rPr>
          <w:lang w:val="en-GB"/>
        </w:rPr>
        <w:t>SR</w:t>
      </w:r>
      <w:r w:rsidR="00F1665B" w:rsidRPr="00ED1E23">
        <w:rPr>
          <w:rFonts w:eastAsia="SimSun"/>
          <w:lang w:val="en-GB"/>
        </w:rPr>
        <w:t xml:space="preserve"> – </w:t>
      </w:r>
      <w:r w:rsidR="00F1665B" w:rsidRPr="00ED1E23">
        <w:rPr>
          <w:lang w:val="en-GB"/>
        </w:rPr>
        <w:t>Carbon Sequestration Rate</w:t>
      </w:r>
      <w:r w:rsidR="00F1665B" w:rsidRPr="00ED1E23">
        <w:rPr>
          <w:rFonts w:eastAsia="SimSun"/>
          <w:lang w:val="en-GB"/>
        </w:rPr>
        <w:t xml:space="preserve">, </w:t>
      </w:r>
      <w:r w:rsidR="00F1665B" w:rsidRPr="00ED1E23">
        <w:rPr>
          <w:lang w:val="en-GB"/>
        </w:rPr>
        <w:t>kg</w:t>
      </w:r>
      <w:r w:rsidR="00F1665B" w:rsidRPr="00ED1E23">
        <w:rPr>
          <w:vertAlign w:val="subscript"/>
          <w:lang w:val="en-GB"/>
        </w:rPr>
        <w:t>CO2e</w:t>
      </w:r>
      <w:r w:rsidR="00F1665B" w:rsidRPr="00ED1E23">
        <w:rPr>
          <w:lang w:val="en-GB"/>
        </w:rPr>
        <w:t>/</w:t>
      </w:r>
      <w:proofErr w:type="spellStart"/>
      <w:r w:rsidR="00F1665B" w:rsidRPr="00ED1E23">
        <w:rPr>
          <w:lang w:val="en-GB"/>
        </w:rPr>
        <w:t>kg</w:t>
      </w:r>
      <w:r w:rsidR="00F1665B" w:rsidRPr="00ED1E23">
        <w:rPr>
          <w:vertAlign w:val="subscript"/>
          <w:lang w:val="en-GB"/>
        </w:rPr>
        <w:t>diesel</w:t>
      </w:r>
      <w:proofErr w:type="spellEnd"/>
    </w:p>
    <w:p w14:paraId="6EE533E4" w14:textId="77777777" w:rsidR="00ED1E23" w:rsidRPr="00ED1E23" w:rsidRDefault="00ED1E23" w:rsidP="00ED1E23">
      <w:pPr>
        <w:pStyle w:val="CETBodytext"/>
        <w:jc w:val="left"/>
        <w:rPr>
          <w:lang w:val="en-GB"/>
        </w:rPr>
      </w:pPr>
      <w:proofErr w:type="spellStart"/>
      <w:r w:rsidRPr="00ED1E23">
        <w:rPr>
          <w:lang w:val="en-GB"/>
        </w:rPr>
        <w:t>E</w:t>
      </w:r>
      <w:r w:rsidRPr="00ED1E23">
        <w:rPr>
          <w:vertAlign w:val="subscript"/>
          <w:lang w:val="en-GB"/>
        </w:rPr>
        <w:t>w</w:t>
      </w:r>
      <w:proofErr w:type="spellEnd"/>
      <w:r w:rsidRPr="00ED1E23">
        <w:rPr>
          <w:lang w:val="en-GB"/>
        </w:rPr>
        <w:t xml:space="preserve"> – energy to the vehicle’s wheels, kWh/100km</w:t>
      </w:r>
    </w:p>
    <w:p w14:paraId="6A04B28D" w14:textId="77777777" w:rsidR="00ED1E23" w:rsidRPr="00ED1E23" w:rsidRDefault="00ED1E23" w:rsidP="00ED1E23">
      <w:pPr>
        <w:pStyle w:val="CETBodytext"/>
        <w:jc w:val="left"/>
        <w:rPr>
          <w:lang w:val="en-GB"/>
        </w:rPr>
      </w:pPr>
      <w:proofErr w:type="spellStart"/>
      <w:r w:rsidRPr="00ED1E23">
        <w:rPr>
          <w:lang w:val="en-GB"/>
        </w:rPr>
        <w:t>E</w:t>
      </w:r>
      <w:r w:rsidRPr="00ED1E23">
        <w:rPr>
          <w:vertAlign w:val="subscript"/>
          <w:lang w:val="en-GB"/>
        </w:rPr>
        <w:t>cen</w:t>
      </w:r>
      <w:proofErr w:type="spellEnd"/>
      <w:r w:rsidRPr="00ED1E23">
        <w:rPr>
          <w:lang w:val="en-GB"/>
        </w:rPr>
        <w:t xml:space="preserve"> – energy to the production plant, kwh/100km</w:t>
      </w:r>
    </w:p>
    <w:p w14:paraId="5142CDD2" w14:textId="77777777" w:rsidR="00ED1E23" w:rsidRPr="00ED1E23" w:rsidRDefault="00ED1E23" w:rsidP="00ED1E23">
      <w:pPr>
        <w:pStyle w:val="CETBodytext"/>
        <w:jc w:val="left"/>
        <w:rPr>
          <w:lang w:val="en-GB"/>
        </w:rPr>
      </w:pPr>
      <w:proofErr w:type="spellStart"/>
      <w:r w:rsidRPr="00ED1E23">
        <w:rPr>
          <w:rFonts w:cs="Arial"/>
          <w:lang w:val="en-GB"/>
        </w:rPr>
        <w:t>η</w:t>
      </w:r>
      <w:r w:rsidRPr="00ED1E23">
        <w:rPr>
          <w:vertAlign w:val="subscript"/>
          <w:lang w:val="en-GB"/>
        </w:rPr>
        <w:t>p</w:t>
      </w:r>
      <w:proofErr w:type="spellEnd"/>
      <w:r w:rsidRPr="00ED1E23">
        <w:rPr>
          <w:lang w:val="en-GB"/>
        </w:rPr>
        <w:t xml:space="preserve"> – powertrain efficiency, -</w:t>
      </w:r>
    </w:p>
    <w:p w14:paraId="0ADEE222" w14:textId="77777777" w:rsidR="00ED1E23" w:rsidRPr="00ED1E23" w:rsidRDefault="00ED1E23" w:rsidP="00ED1E23">
      <w:pPr>
        <w:pStyle w:val="CETBodytext"/>
        <w:jc w:val="left"/>
        <w:rPr>
          <w:lang w:val="en-GB"/>
        </w:rPr>
      </w:pPr>
      <w:proofErr w:type="spellStart"/>
      <w:r w:rsidRPr="00ED1E23">
        <w:rPr>
          <w:rFonts w:cs="Arial"/>
          <w:lang w:val="en-GB"/>
        </w:rPr>
        <w:t>η</w:t>
      </w:r>
      <w:r w:rsidRPr="00ED1E23">
        <w:rPr>
          <w:rFonts w:cs="Arial"/>
          <w:vertAlign w:val="subscript"/>
          <w:lang w:val="en-GB"/>
        </w:rPr>
        <w:t>r</w:t>
      </w:r>
      <w:proofErr w:type="spellEnd"/>
      <w:r w:rsidRPr="00ED1E23">
        <w:rPr>
          <w:lang w:val="en-GB"/>
        </w:rPr>
        <w:t xml:space="preserve"> – </w:t>
      </w:r>
      <w:proofErr w:type="spellStart"/>
      <w:r w:rsidRPr="00ED1E23">
        <w:rPr>
          <w:lang w:val="en-GB"/>
        </w:rPr>
        <w:t>refueling</w:t>
      </w:r>
      <w:proofErr w:type="spellEnd"/>
      <w:r w:rsidRPr="00ED1E23">
        <w:rPr>
          <w:lang w:val="en-GB"/>
        </w:rPr>
        <w:t xml:space="preserve"> efficiency, -</w:t>
      </w:r>
    </w:p>
    <w:p w14:paraId="2395FAF6" w14:textId="77777777" w:rsidR="00ED1E23" w:rsidRPr="00ED1E23" w:rsidRDefault="00ED1E23" w:rsidP="00ED1E23">
      <w:pPr>
        <w:pStyle w:val="CETBodytext"/>
        <w:jc w:val="left"/>
        <w:rPr>
          <w:lang w:val="en-GB"/>
        </w:rPr>
      </w:pPr>
      <w:proofErr w:type="spellStart"/>
      <w:r w:rsidRPr="00ED1E23">
        <w:rPr>
          <w:rFonts w:cs="Arial"/>
          <w:lang w:val="en-GB"/>
        </w:rPr>
        <w:t>η</w:t>
      </w:r>
      <w:r w:rsidRPr="00ED1E23">
        <w:rPr>
          <w:rFonts w:cs="Arial"/>
          <w:vertAlign w:val="subscript"/>
          <w:lang w:val="en-GB"/>
        </w:rPr>
        <w:t>g</w:t>
      </w:r>
      <w:proofErr w:type="spellEnd"/>
      <w:r w:rsidRPr="00ED1E23">
        <w:rPr>
          <w:lang w:val="en-GB"/>
        </w:rPr>
        <w:t xml:space="preserve"> – generator efficiency, -</w:t>
      </w:r>
    </w:p>
    <w:p w14:paraId="4BC96338" w14:textId="77777777" w:rsidR="00ED1E23" w:rsidRPr="00ED1E23" w:rsidRDefault="00ED1E23" w:rsidP="00ED1E23">
      <w:pPr>
        <w:pStyle w:val="CETBodytext"/>
        <w:jc w:val="left"/>
        <w:rPr>
          <w:lang w:val="en-GB"/>
        </w:rPr>
      </w:pPr>
      <w:proofErr w:type="spellStart"/>
      <w:r w:rsidRPr="00ED1E23">
        <w:rPr>
          <w:rFonts w:cs="Arial"/>
          <w:lang w:val="en-GB"/>
        </w:rPr>
        <w:t>η</w:t>
      </w:r>
      <w:r w:rsidRPr="00ED1E23">
        <w:rPr>
          <w:rFonts w:cs="Arial"/>
          <w:vertAlign w:val="subscript"/>
          <w:lang w:val="en-GB"/>
        </w:rPr>
        <w:t>d</w:t>
      </w:r>
      <w:proofErr w:type="spellEnd"/>
      <w:r w:rsidRPr="00ED1E23">
        <w:rPr>
          <w:lang w:val="en-GB"/>
        </w:rPr>
        <w:t xml:space="preserve"> – distribution efficiency, -</w:t>
      </w:r>
    </w:p>
    <w:p w14:paraId="38BFE636" w14:textId="028F5FA1" w:rsidR="00280FAF" w:rsidRPr="00F1665B" w:rsidRDefault="00280FAF" w:rsidP="00280FAF">
      <w:pPr>
        <w:pStyle w:val="CETBodytext"/>
        <w:jc w:val="left"/>
        <w:rPr>
          <w:rFonts w:eastAsia="SimSun"/>
          <w:lang w:val="en-GB"/>
        </w:rPr>
        <w:sectPr w:rsidR="00280FAF" w:rsidRPr="00F1665B" w:rsidSect="00DC73EE">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B57B36" w:rsidRDefault="00600535" w:rsidP="00600535">
      <w:pPr>
        <w:pStyle w:val="CETAcknowledgementstitle"/>
      </w:pPr>
      <w:r w:rsidRPr="00B57B36">
        <w:t>Acknowledgments</w:t>
      </w:r>
    </w:p>
    <w:p w14:paraId="33F8138F" w14:textId="78F78FA6" w:rsidR="00600535" w:rsidRPr="00B57B36" w:rsidRDefault="00D05646" w:rsidP="00600535">
      <w:pPr>
        <w:pStyle w:val="CETBodytext"/>
        <w:rPr>
          <w:lang w:val="en-GB"/>
        </w:rPr>
      </w:pPr>
      <w:r>
        <w:rPr>
          <w:lang w:val="en-GB"/>
        </w:rPr>
        <w:t>This</w:t>
      </w:r>
      <w:r w:rsidRPr="00D05646">
        <w:rPr>
          <w:lang w:val="en-GB"/>
        </w:rPr>
        <w:t xml:space="preserve"> activit</w:t>
      </w:r>
      <w:r>
        <w:rPr>
          <w:lang w:val="en-GB"/>
        </w:rPr>
        <w:t>y</w:t>
      </w:r>
      <w:r w:rsidRPr="00D05646">
        <w:rPr>
          <w:lang w:val="en-GB"/>
        </w:rPr>
        <w:t xml:space="preserve"> was funded by the Italian Ministry of Environment and Energy Security through the “National Electric System Research” Program–Project 1.</w:t>
      </w:r>
      <w:r>
        <w:rPr>
          <w:lang w:val="en-GB"/>
        </w:rPr>
        <w:t>10</w:t>
      </w:r>
      <w:r w:rsidRPr="00D05646">
        <w:rPr>
          <w:lang w:val="en-GB"/>
        </w:rPr>
        <w:t xml:space="preserve"> “</w:t>
      </w:r>
      <w:proofErr w:type="spellStart"/>
      <w:r>
        <w:rPr>
          <w:lang w:val="en-GB"/>
        </w:rPr>
        <w:t>Bioenergie</w:t>
      </w:r>
      <w:proofErr w:type="spellEnd"/>
      <w:r w:rsidRPr="00D05646">
        <w:rPr>
          <w:lang w:val="en-GB"/>
        </w:rPr>
        <w:t>” 202</w:t>
      </w:r>
      <w:r>
        <w:rPr>
          <w:lang w:val="en-GB"/>
        </w:rPr>
        <w:t>5</w:t>
      </w:r>
      <w:r w:rsidRPr="00D05646">
        <w:rPr>
          <w:lang w:val="en-GB"/>
        </w:rPr>
        <w:t>–202</w:t>
      </w:r>
      <w:r>
        <w:rPr>
          <w:lang w:val="en-GB"/>
        </w:rPr>
        <w:t>7</w:t>
      </w:r>
      <w:r w:rsidRPr="00D05646">
        <w:rPr>
          <w:lang w:val="en-GB"/>
        </w:rPr>
        <w:t xml:space="preserve"> implementation plan. </w:t>
      </w:r>
    </w:p>
    <w:p w14:paraId="4F1327F8" w14:textId="77777777" w:rsidR="00600535" w:rsidRPr="00B57B36" w:rsidRDefault="00600535" w:rsidP="00ED1E23">
      <w:pPr>
        <w:pStyle w:val="CETReference"/>
        <w:keepNext/>
      </w:pPr>
      <w:r w:rsidRPr="00B57B36">
        <w:lastRenderedPageBreak/>
        <w:t>References</w:t>
      </w:r>
    </w:p>
    <w:p w14:paraId="2409C8E0" w14:textId="76D52395" w:rsidR="00DA1701" w:rsidRPr="00ED1E23" w:rsidRDefault="002A5992" w:rsidP="00DA1701">
      <w:pPr>
        <w:pStyle w:val="Bibliografia"/>
        <w:rPr>
          <w:rFonts w:cs="Arial"/>
          <w:lang w:val="it-IT"/>
        </w:rPr>
      </w:pPr>
      <w:r>
        <w:fldChar w:fldCharType="begin"/>
      </w:r>
      <w:r w:rsidR="008A69BC">
        <w:instrText xml:space="preserve"> ADDIN ZOTERO_BIBL {"uncited":[],"omitted":[],"custom":[]} CSL_BIBLIOGRAPHY </w:instrText>
      </w:r>
      <w:r>
        <w:fldChar w:fldCharType="separate"/>
      </w:r>
      <w:r w:rsidR="00DA1701" w:rsidRPr="00DA1701">
        <w:rPr>
          <w:rFonts w:cs="Arial"/>
        </w:rPr>
        <w:t xml:space="preserve">Blumberg G., Broll R., Weber C., 2022. The impact of electric vehicles on the future European electricity system – A scenario analysis. </w:t>
      </w:r>
      <w:r w:rsidR="00DA1701" w:rsidRPr="00ED1E23">
        <w:rPr>
          <w:rFonts w:cs="Arial"/>
          <w:lang w:val="it-IT"/>
        </w:rPr>
        <w:t>Energy Policy 161, 112751. https://doi.org/10.1016/j.enpol.2021.112751</w:t>
      </w:r>
    </w:p>
    <w:p w14:paraId="266BFCF6" w14:textId="210DE84B" w:rsidR="00DA1701" w:rsidRPr="00DA1701" w:rsidRDefault="00DA1701" w:rsidP="00DA1701">
      <w:pPr>
        <w:pStyle w:val="Bibliografia"/>
        <w:rPr>
          <w:rFonts w:cs="Arial"/>
        </w:rPr>
      </w:pPr>
      <w:r w:rsidRPr="00ED1E23">
        <w:rPr>
          <w:rFonts w:cs="Arial"/>
          <w:lang w:val="it-IT"/>
        </w:rPr>
        <w:t xml:space="preserve">Caporusso A., Giuliano A., Liuzzi F., De Bari I., 2022. </w:t>
      </w:r>
      <w:r w:rsidRPr="00DA1701">
        <w:rPr>
          <w:rFonts w:cs="Arial"/>
        </w:rPr>
        <w:t>Techno-economic Analysis of a Lignocellulosic Biorefinery Producing Microbial Oils by Oleaginous Yeasts. Chemical Engineering Transactions 92, 637–642. https://doi.org/10.3303/CET2292107</w:t>
      </w:r>
    </w:p>
    <w:p w14:paraId="17D43D11" w14:textId="2D954F6D" w:rsidR="00DA1701" w:rsidRPr="00DA1701" w:rsidRDefault="00DA1701" w:rsidP="00DA1701">
      <w:pPr>
        <w:pStyle w:val="Bibliografia"/>
        <w:rPr>
          <w:rFonts w:cs="Arial"/>
        </w:rPr>
      </w:pPr>
      <w:r w:rsidRPr="00DA1701">
        <w:rPr>
          <w:rFonts w:cs="Arial"/>
        </w:rPr>
        <w:t>Caputo A., 2024. Efficiency and decarbonization indicators in Italy and in the biggest European Countries (No. 404). ISPRA.</w:t>
      </w:r>
    </w:p>
    <w:p w14:paraId="44376488" w14:textId="77777777" w:rsidR="00DA1701" w:rsidRPr="00DA1701" w:rsidRDefault="00DA1701" w:rsidP="00DA1701">
      <w:pPr>
        <w:pStyle w:val="Bibliografia"/>
        <w:rPr>
          <w:rFonts w:cs="Arial"/>
        </w:rPr>
      </w:pPr>
      <w:r w:rsidRPr="00DA1701">
        <w:rPr>
          <w:rFonts w:cs="Arial"/>
        </w:rPr>
        <w:t>Clean and sustainable mobility, 2021. . Council of the European Union, https://www.consilium.europa.eu/en/policies/clean-and-sustainable-mobility/.</w:t>
      </w:r>
    </w:p>
    <w:p w14:paraId="1C188775" w14:textId="3F3D0000" w:rsidR="00DA1701" w:rsidRPr="00ED1E23" w:rsidRDefault="00DA1701" w:rsidP="00DA1701">
      <w:pPr>
        <w:pStyle w:val="Bibliografia"/>
        <w:rPr>
          <w:rFonts w:cs="Arial"/>
          <w:lang w:val="it-IT"/>
        </w:rPr>
      </w:pPr>
      <w:r w:rsidRPr="00DA1701">
        <w:rPr>
          <w:rFonts w:cs="Arial"/>
        </w:rPr>
        <w:t xml:space="preserve">Falfari S., Bianchi G., 2023. Concerns on Full Electric Mobility and Future Electricity Demand in Italy. </w:t>
      </w:r>
      <w:r w:rsidRPr="00ED1E23">
        <w:rPr>
          <w:rFonts w:cs="Arial"/>
          <w:lang w:val="it-IT"/>
        </w:rPr>
        <w:t>Energies 16, 1704. https://doi.org/10.3390/en16041704</w:t>
      </w:r>
    </w:p>
    <w:p w14:paraId="74114301" w14:textId="6F28511C" w:rsidR="00DA1701" w:rsidRPr="00DA1701" w:rsidRDefault="00DA1701" w:rsidP="00DA1701">
      <w:pPr>
        <w:pStyle w:val="Bibliografia"/>
        <w:rPr>
          <w:rFonts w:cs="Arial"/>
        </w:rPr>
      </w:pPr>
      <w:r w:rsidRPr="00ED1E23">
        <w:rPr>
          <w:rFonts w:cs="Arial"/>
          <w:lang w:val="it-IT"/>
        </w:rPr>
        <w:t xml:space="preserve">Galanopoulos C., Giuliano A., Barletta D., Zondervan E., 2020. </w:t>
      </w:r>
      <w:r w:rsidRPr="00DA1701">
        <w:rPr>
          <w:rFonts w:cs="Arial"/>
        </w:rPr>
        <w:t>An integrated methodology for the economic and environmental assessment of a biorefinery supply chain. Chemical Engineering Research and Design 160, 199–215. https://doi.org/10.1016/j.cherd.2020.05.016</w:t>
      </w:r>
    </w:p>
    <w:p w14:paraId="554483B5" w14:textId="2685C301" w:rsidR="00DA1701" w:rsidRPr="00DA1701" w:rsidRDefault="00DA1701" w:rsidP="00DA1701">
      <w:pPr>
        <w:pStyle w:val="Bibliografia"/>
        <w:rPr>
          <w:rFonts w:cs="Arial"/>
        </w:rPr>
      </w:pPr>
      <w:r w:rsidRPr="00DA1701">
        <w:rPr>
          <w:rFonts w:cs="Arial"/>
          <w:lang w:val="it-IT"/>
        </w:rPr>
        <w:t xml:space="preserve">Genovese A., Ortenzi F., Villante C., 2015. </w:t>
      </w:r>
      <w:r w:rsidRPr="00DA1701">
        <w:rPr>
          <w:rFonts w:cs="Arial"/>
        </w:rPr>
        <w:t>On the energy efficiency of quick DC vehicle battery charging. World Electric Vehicle Journal 7, 570–576. https://doi.org/10.3390/wevj7040570</w:t>
      </w:r>
    </w:p>
    <w:p w14:paraId="407DAAD1" w14:textId="6A34B228" w:rsidR="00DA1701" w:rsidRPr="00DA1701" w:rsidRDefault="00DA1701" w:rsidP="00DA1701">
      <w:pPr>
        <w:pStyle w:val="Bibliografia"/>
        <w:rPr>
          <w:rFonts w:cs="Arial"/>
        </w:rPr>
      </w:pPr>
      <w:r w:rsidRPr="00ED1E23">
        <w:rPr>
          <w:rFonts w:cs="Arial"/>
          <w:lang w:val="it-IT"/>
        </w:rPr>
        <w:t xml:space="preserve">Giuliano A., Stichnothe H., Pierro N., De Bari I., 2024. </w:t>
      </w:r>
      <w:r w:rsidRPr="00DA1701">
        <w:rPr>
          <w:rFonts w:cs="Arial"/>
        </w:rPr>
        <w:t>Techno-Economic Analysis of Territorial Case Studies for the Integration of Biorefineries and Green Hydrogen. Energies 17, 5966. https://doi.org/10.3390/en17235966</w:t>
      </w:r>
    </w:p>
    <w:p w14:paraId="300EFBA1" w14:textId="59765E06" w:rsidR="00DA1701" w:rsidRPr="00DA1701" w:rsidRDefault="00DA1701" w:rsidP="00DA1701">
      <w:pPr>
        <w:pStyle w:val="Bibliografia"/>
        <w:rPr>
          <w:rFonts w:cs="Arial"/>
        </w:rPr>
      </w:pPr>
      <w:r w:rsidRPr="00DA1701">
        <w:rPr>
          <w:rFonts w:cs="Arial"/>
        </w:rPr>
        <w:t>Gómez-Camacho C.E., Ruggeri B., 2019. Energy Sustainability Analysis (ESA) of Energy-Producing Processes: A Case Study on Distributed H2 Production. Sustainability 11, 4911. https://doi.org/10.3390/su11184911</w:t>
      </w:r>
    </w:p>
    <w:p w14:paraId="49D811F3" w14:textId="3CB43890" w:rsidR="00DA1701" w:rsidRPr="00DA1701" w:rsidRDefault="00DA1701" w:rsidP="00DA1701">
      <w:pPr>
        <w:pStyle w:val="Bibliografia"/>
        <w:rPr>
          <w:rFonts w:cs="Arial"/>
        </w:rPr>
      </w:pPr>
      <w:r w:rsidRPr="00DA1701">
        <w:rPr>
          <w:rFonts w:cs="Arial"/>
        </w:rPr>
        <w:t>Guzzella L., Sciarretta A., 2007. Vehicle Propulsion Systems: Introduction to Modeling and Optimization, Vehicle Propulsion Systems, by L. Guzzella and A. Sciarretta. ISBN: 978-3-540-74691-1 Berlin: Springer, 2007. https://doi.org/10.1007/978-3-642-35913-2</w:t>
      </w:r>
    </w:p>
    <w:p w14:paraId="0135758B" w14:textId="75EDAB69" w:rsidR="00DA1701" w:rsidRPr="00DA1701" w:rsidRDefault="00DA1701" w:rsidP="00DA1701">
      <w:pPr>
        <w:pStyle w:val="Bibliografia"/>
        <w:rPr>
          <w:rFonts w:cs="Arial"/>
        </w:rPr>
      </w:pPr>
      <w:r w:rsidRPr="00DA1701">
        <w:rPr>
          <w:rFonts w:cs="Arial"/>
        </w:rPr>
        <w:t>Khalid M.R., Alam M.S., Sarwar A., Jamil Asghar M.S., 2019. A Comprehensive review on electric vehicles charging infrastructures and their impacts on power-quality of the utility grid. eTransportation 1, 100006. https://doi.org/10.1016/j.etran.2019.100006</w:t>
      </w:r>
    </w:p>
    <w:p w14:paraId="7AEAF5F0" w14:textId="64788024" w:rsidR="00DA1701" w:rsidRPr="00DA1701" w:rsidRDefault="00DA1701" w:rsidP="00DA1701">
      <w:pPr>
        <w:pStyle w:val="Bibliografia"/>
        <w:rPr>
          <w:rFonts w:cs="Arial"/>
          <w:lang w:val="it-IT"/>
        </w:rPr>
      </w:pPr>
      <w:r w:rsidRPr="00DA1701">
        <w:rPr>
          <w:rFonts w:cs="Arial"/>
        </w:rPr>
        <w:t xml:space="preserve">McCaffery C., Zhu H., Sabbir Ahmed C.M., Canchola A., Chen J.Y., Li, C., Johnson K.C., Durbin T.D., Lin Y.-H., Karavalakis G., 2022. Effects of hydrogenated vegetable oil (HVO) and HVO/biodiesel blends on the physicochemical and toxicological properties of emissions from an off-road heavy-duty diesel engine. </w:t>
      </w:r>
      <w:r w:rsidRPr="00DA1701">
        <w:rPr>
          <w:rFonts w:cs="Arial"/>
          <w:lang w:val="it-IT"/>
        </w:rPr>
        <w:t>Fuel 323. https://doi.org/10.1016/j.fuel.2022.124283</w:t>
      </w:r>
    </w:p>
    <w:p w14:paraId="22E9EAFB" w14:textId="77777777" w:rsidR="00DA1701" w:rsidRPr="00DA1701" w:rsidRDefault="00DA1701" w:rsidP="00DA1701">
      <w:pPr>
        <w:pStyle w:val="Bibliografia"/>
        <w:rPr>
          <w:rFonts w:cs="Arial"/>
          <w:lang w:val="it-IT"/>
        </w:rPr>
      </w:pPr>
      <w:r w:rsidRPr="00DA1701">
        <w:rPr>
          <w:rFonts w:cs="Arial"/>
          <w:lang w:val="it-IT"/>
        </w:rPr>
        <w:t>Modello INGEREV®, 2024. https://www.ingeteam.com/it/it-it/energy/mobilita-elettrica/p15_58_164/ingerev-rapid.aspx.</w:t>
      </w:r>
    </w:p>
    <w:p w14:paraId="02E868B1" w14:textId="77777777" w:rsidR="00DA1701" w:rsidRPr="00DA1701" w:rsidRDefault="00DA1701" w:rsidP="00DA1701">
      <w:pPr>
        <w:pStyle w:val="Bibliografia"/>
        <w:rPr>
          <w:rFonts w:cs="Arial"/>
          <w:lang w:val="it-IT"/>
        </w:rPr>
      </w:pPr>
      <w:r w:rsidRPr="00DA1701">
        <w:rPr>
          <w:rFonts w:cs="Arial"/>
          <w:lang w:val="it-IT"/>
        </w:rPr>
        <w:t>Motore Perkins, 2024. Gruppo Elettrogeno Diesel Insonorizzato. https://www.venditanoleggiogeneratori.it/prezzo/gruppo-elettrogeno-diesel-insonorizzato-250-kva-200-kw-motore-perkins-cgm250p/.</w:t>
      </w:r>
    </w:p>
    <w:p w14:paraId="2905090C" w14:textId="3E964C44" w:rsidR="00DA1701" w:rsidRPr="00DA1701" w:rsidRDefault="00DA1701" w:rsidP="00DA1701">
      <w:pPr>
        <w:pStyle w:val="Bibliografia"/>
        <w:rPr>
          <w:rFonts w:cs="Arial"/>
        </w:rPr>
      </w:pPr>
      <w:r w:rsidRPr="00DA1701">
        <w:rPr>
          <w:rFonts w:cs="Arial"/>
        </w:rPr>
        <w:t>Ralon P., Taylor M., Ilas A., Diaz-Bone H., Kairies K., 2017. ELECTRICITY STORAGE AND RENEWABLES: COSTS AND MARKETS TO 2030. IRENA.</w:t>
      </w:r>
    </w:p>
    <w:p w14:paraId="4138D46C" w14:textId="13D8BB36" w:rsidR="00DA1701" w:rsidRPr="00DA1701" w:rsidRDefault="00DA1701" w:rsidP="00DA1701">
      <w:pPr>
        <w:pStyle w:val="Bibliografia"/>
        <w:rPr>
          <w:rFonts w:cs="Arial"/>
          <w:lang w:val="it-IT"/>
        </w:rPr>
      </w:pPr>
      <w:r w:rsidRPr="00ED1E23">
        <w:rPr>
          <w:rFonts w:cs="Arial"/>
          <w:lang w:val="it-IT"/>
        </w:rPr>
        <w:t xml:space="preserve">Tolomeo R., De Feo G., Adami R., Sesti Osséo L., 2020. </w:t>
      </w:r>
      <w:r w:rsidRPr="00DA1701">
        <w:rPr>
          <w:rFonts w:cs="Arial"/>
        </w:rPr>
        <w:t xml:space="preserve">Application of Life Cycle Assessment to Lithium Ion Batteries in the Automotive Sector. </w:t>
      </w:r>
      <w:r w:rsidRPr="00DA1701">
        <w:rPr>
          <w:rFonts w:cs="Arial"/>
          <w:lang w:val="it-IT"/>
        </w:rPr>
        <w:t>Sustainability 12, 4628. https://doi.org/10.3390/su12114628</w:t>
      </w:r>
    </w:p>
    <w:p w14:paraId="3C3A1385" w14:textId="77777777" w:rsidR="00DA1701" w:rsidRPr="00DA1701" w:rsidRDefault="00DA1701" w:rsidP="00DA1701">
      <w:pPr>
        <w:pStyle w:val="Bibliografia"/>
        <w:rPr>
          <w:rFonts w:cs="Arial"/>
          <w:lang w:val="it-IT"/>
        </w:rPr>
      </w:pPr>
      <w:r w:rsidRPr="00DA1701">
        <w:rPr>
          <w:rFonts w:cs="Arial"/>
          <w:lang w:val="it-IT"/>
        </w:rPr>
        <w:t>UNRAE, 2022. https://unrae.it/files/Studio%20UNRAE%20L_automobile%20Italiani%20a%20confronto_6336ab4170253.pdf. Unione Nazionale Rappresentanti Autoveicoli Esteri.</w:t>
      </w:r>
    </w:p>
    <w:p w14:paraId="1B0B9874" w14:textId="484FB332" w:rsidR="00DA1701" w:rsidRPr="00DA1701" w:rsidRDefault="00DA1701" w:rsidP="00DA1701">
      <w:pPr>
        <w:pStyle w:val="Bibliografia"/>
        <w:rPr>
          <w:rFonts w:cs="Arial"/>
        </w:rPr>
      </w:pPr>
      <w:r w:rsidRPr="00DA1701">
        <w:rPr>
          <w:rFonts w:cs="Arial"/>
          <w:lang w:val="it-IT"/>
        </w:rPr>
        <w:t xml:space="preserve">Viganò G., Michelangeli C., Rossi M., Moneta D., 2021. Confronto tecnico-economico delle alternative di sviluppo al 2030 della rete di distribuzione. </w:t>
      </w:r>
      <w:r w:rsidRPr="00DA1701">
        <w:rPr>
          <w:rFonts w:cs="Arial"/>
        </w:rPr>
        <w:t>RSE.</w:t>
      </w:r>
    </w:p>
    <w:p w14:paraId="19C4FC68" w14:textId="2EE2682B" w:rsidR="004628D2" w:rsidRPr="008A69BC" w:rsidRDefault="002A5992" w:rsidP="008C1875">
      <w:pPr>
        <w:pStyle w:val="CETReferencetext"/>
        <w:rPr>
          <w:lang w:val="it-IT"/>
        </w:rPr>
      </w:pPr>
      <w:r>
        <w:fldChar w:fldCharType="end"/>
      </w:r>
    </w:p>
    <w:sectPr w:rsidR="004628D2" w:rsidRPr="008A69BC"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6EDC1" w14:textId="77777777" w:rsidR="007B16BB" w:rsidRDefault="007B16BB" w:rsidP="004F5E36">
      <w:r>
        <w:separator/>
      </w:r>
    </w:p>
  </w:endnote>
  <w:endnote w:type="continuationSeparator" w:id="0">
    <w:p w14:paraId="075BB043" w14:textId="77777777" w:rsidR="007B16BB" w:rsidRDefault="007B16B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2AC17" w14:textId="77777777" w:rsidR="007B16BB" w:rsidRDefault="007B16BB" w:rsidP="004F5E36">
      <w:r>
        <w:separator/>
      </w:r>
    </w:p>
  </w:footnote>
  <w:footnote w:type="continuationSeparator" w:id="0">
    <w:p w14:paraId="5CD4A4D7" w14:textId="77777777" w:rsidR="007B16BB" w:rsidRDefault="007B16B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B1066"/>
    <w:multiLevelType w:val="hybridMultilevel"/>
    <w:tmpl w:val="9E267F80"/>
    <w:lvl w:ilvl="0" w:tplc="E57428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A7A0B4F"/>
    <w:multiLevelType w:val="multilevel"/>
    <w:tmpl w:val="21B69F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43675E3"/>
    <w:multiLevelType w:val="hybridMultilevel"/>
    <w:tmpl w:val="96CEDE54"/>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88744EB"/>
    <w:multiLevelType w:val="hybridMultilevel"/>
    <w:tmpl w:val="59F43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2197A99"/>
    <w:multiLevelType w:val="hybridMultilevel"/>
    <w:tmpl w:val="01A437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7861B71"/>
    <w:multiLevelType w:val="multilevel"/>
    <w:tmpl w:val="D3C01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EE40CC"/>
    <w:multiLevelType w:val="hybridMultilevel"/>
    <w:tmpl w:val="1CC89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9754329"/>
    <w:multiLevelType w:val="multilevel"/>
    <w:tmpl w:val="99388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6882765">
    <w:abstractNumId w:val="14"/>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1"/>
  </w:num>
  <w:num w:numId="13" w16cid:durableId="695733619">
    <w:abstractNumId w:val="16"/>
  </w:num>
  <w:num w:numId="14" w16cid:durableId="145903400">
    <w:abstractNumId w:val="22"/>
  </w:num>
  <w:num w:numId="15" w16cid:durableId="19162326">
    <w:abstractNumId w:val="24"/>
  </w:num>
  <w:num w:numId="16" w16cid:durableId="1977102699">
    <w:abstractNumId w:val="23"/>
  </w:num>
  <w:num w:numId="17" w16cid:durableId="860774865">
    <w:abstractNumId w:val="15"/>
  </w:num>
  <w:num w:numId="18" w16cid:durableId="313221457">
    <w:abstractNumId w:val="16"/>
    <w:lvlOverride w:ilvl="0">
      <w:startOverride w:val="1"/>
    </w:lvlOverride>
  </w:num>
  <w:num w:numId="19" w16cid:durableId="534971577">
    <w:abstractNumId w:val="20"/>
  </w:num>
  <w:num w:numId="20" w16cid:durableId="1150947773">
    <w:abstractNumId w:val="19"/>
  </w:num>
  <w:num w:numId="21" w16cid:durableId="124660497">
    <w:abstractNumId w:val="18"/>
  </w:num>
  <w:num w:numId="22" w16cid:durableId="2099861471">
    <w:abstractNumId w:val="17"/>
  </w:num>
  <w:num w:numId="23" w16cid:durableId="84351335">
    <w:abstractNumId w:val="12"/>
  </w:num>
  <w:num w:numId="24" w16cid:durableId="417560910">
    <w:abstractNumId w:val="10"/>
  </w:num>
  <w:num w:numId="25" w16cid:durableId="516506914">
    <w:abstractNumId w:val="28"/>
  </w:num>
  <w:num w:numId="26" w16cid:durableId="1746343616">
    <w:abstractNumId w:val="26"/>
  </w:num>
  <w:num w:numId="27" w16cid:durableId="2095853070">
    <w:abstractNumId w:val="29"/>
  </w:num>
  <w:num w:numId="28" w16cid:durableId="1395738437">
    <w:abstractNumId w:val="25"/>
  </w:num>
  <w:num w:numId="29" w16cid:durableId="293803220">
    <w:abstractNumId w:val="11"/>
  </w:num>
  <w:num w:numId="30" w16cid:durableId="1153106221">
    <w:abstractNumId w:val="13"/>
  </w:num>
  <w:num w:numId="31" w16cid:durableId="8257679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38A"/>
    <w:rsid w:val="000052FB"/>
    <w:rsid w:val="00005876"/>
    <w:rsid w:val="00005A19"/>
    <w:rsid w:val="00010050"/>
    <w:rsid w:val="000117CB"/>
    <w:rsid w:val="00017A91"/>
    <w:rsid w:val="00021F7A"/>
    <w:rsid w:val="000230E0"/>
    <w:rsid w:val="0003148D"/>
    <w:rsid w:val="00031EEC"/>
    <w:rsid w:val="00035D7F"/>
    <w:rsid w:val="00042C82"/>
    <w:rsid w:val="00046F81"/>
    <w:rsid w:val="00051566"/>
    <w:rsid w:val="000562A9"/>
    <w:rsid w:val="00056569"/>
    <w:rsid w:val="00062A9A"/>
    <w:rsid w:val="00065058"/>
    <w:rsid w:val="00086C39"/>
    <w:rsid w:val="00092FD6"/>
    <w:rsid w:val="000A03B2"/>
    <w:rsid w:val="000A2671"/>
    <w:rsid w:val="000C43EC"/>
    <w:rsid w:val="000D0268"/>
    <w:rsid w:val="000D34BE"/>
    <w:rsid w:val="000E0B3C"/>
    <w:rsid w:val="000E102F"/>
    <w:rsid w:val="000E323F"/>
    <w:rsid w:val="000E36F1"/>
    <w:rsid w:val="000E3A73"/>
    <w:rsid w:val="000E414A"/>
    <w:rsid w:val="000E75FD"/>
    <w:rsid w:val="000F093C"/>
    <w:rsid w:val="000F787B"/>
    <w:rsid w:val="00111BAA"/>
    <w:rsid w:val="0012091F"/>
    <w:rsid w:val="00126BC2"/>
    <w:rsid w:val="001308B6"/>
    <w:rsid w:val="0013121F"/>
    <w:rsid w:val="00131359"/>
    <w:rsid w:val="00131FE6"/>
    <w:rsid w:val="0013263F"/>
    <w:rsid w:val="001331DF"/>
    <w:rsid w:val="00134DE4"/>
    <w:rsid w:val="0014034D"/>
    <w:rsid w:val="00140FE3"/>
    <w:rsid w:val="00144D16"/>
    <w:rsid w:val="00150E59"/>
    <w:rsid w:val="0015239C"/>
    <w:rsid w:val="00152DE3"/>
    <w:rsid w:val="001545A3"/>
    <w:rsid w:val="00164CF9"/>
    <w:rsid w:val="001667A6"/>
    <w:rsid w:val="001748EA"/>
    <w:rsid w:val="0018171E"/>
    <w:rsid w:val="00184AD6"/>
    <w:rsid w:val="001A0C3E"/>
    <w:rsid w:val="001A4AF7"/>
    <w:rsid w:val="001B0349"/>
    <w:rsid w:val="001B1E93"/>
    <w:rsid w:val="001B65C1"/>
    <w:rsid w:val="001C23FB"/>
    <w:rsid w:val="001C260F"/>
    <w:rsid w:val="001C5C3A"/>
    <w:rsid w:val="001C684B"/>
    <w:rsid w:val="001D0CFB"/>
    <w:rsid w:val="001D21AF"/>
    <w:rsid w:val="001D53FC"/>
    <w:rsid w:val="001D7CD7"/>
    <w:rsid w:val="001E5355"/>
    <w:rsid w:val="001F42A5"/>
    <w:rsid w:val="001F7B9D"/>
    <w:rsid w:val="00201C93"/>
    <w:rsid w:val="00203F6B"/>
    <w:rsid w:val="002120AB"/>
    <w:rsid w:val="002224B4"/>
    <w:rsid w:val="002447EF"/>
    <w:rsid w:val="00251550"/>
    <w:rsid w:val="00263B05"/>
    <w:rsid w:val="00267D73"/>
    <w:rsid w:val="0027221A"/>
    <w:rsid w:val="00275B61"/>
    <w:rsid w:val="00280FAF"/>
    <w:rsid w:val="00282656"/>
    <w:rsid w:val="00296B83"/>
    <w:rsid w:val="002A00E8"/>
    <w:rsid w:val="002A5992"/>
    <w:rsid w:val="002B4015"/>
    <w:rsid w:val="002B78CE"/>
    <w:rsid w:val="002C2FB6"/>
    <w:rsid w:val="002E5FA7"/>
    <w:rsid w:val="002F3309"/>
    <w:rsid w:val="002F5B95"/>
    <w:rsid w:val="003008CE"/>
    <w:rsid w:val="003009B7"/>
    <w:rsid w:val="00300E56"/>
    <w:rsid w:val="0030152C"/>
    <w:rsid w:val="0030469C"/>
    <w:rsid w:val="00306AF6"/>
    <w:rsid w:val="003151F8"/>
    <w:rsid w:val="00321CA6"/>
    <w:rsid w:val="00323763"/>
    <w:rsid w:val="00323C5F"/>
    <w:rsid w:val="00330433"/>
    <w:rsid w:val="00334C09"/>
    <w:rsid w:val="003723D4"/>
    <w:rsid w:val="00373DDE"/>
    <w:rsid w:val="00381905"/>
    <w:rsid w:val="00384CC8"/>
    <w:rsid w:val="003871FD"/>
    <w:rsid w:val="003904D3"/>
    <w:rsid w:val="003A1E30"/>
    <w:rsid w:val="003A2829"/>
    <w:rsid w:val="003A7D1C"/>
    <w:rsid w:val="003B304B"/>
    <w:rsid w:val="003B3146"/>
    <w:rsid w:val="003B49CD"/>
    <w:rsid w:val="003B6B24"/>
    <w:rsid w:val="003D1E02"/>
    <w:rsid w:val="003D5D92"/>
    <w:rsid w:val="003F015E"/>
    <w:rsid w:val="003F75DB"/>
    <w:rsid w:val="00400414"/>
    <w:rsid w:val="0040747B"/>
    <w:rsid w:val="0041446B"/>
    <w:rsid w:val="0044071E"/>
    <w:rsid w:val="0044329C"/>
    <w:rsid w:val="00445425"/>
    <w:rsid w:val="004462A7"/>
    <w:rsid w:val="00453E24"/>
    <w:rsid w:val="00457456"/>
    <w:rsid w:val="004577FE"/>
    <w:rsid w:val="00457B9C"/>
    <w:rsid w:val="0046164A"/>
    <w:rsid w:val="004628D2"/>
    <w:rsid w:val="00462DCD"/>
    <w:rsid w:val="004648AD"/>
    <w:rsid w:val="004703A9"/>
    <w:rsid w:val="004760DE"/>
    <w:rsid w:val="004763D7"/>
    <w:rsid w:val="004A004E"/>
    <w:rsid w:val="004A24CF"/>
    <w:rsid w:val="004A6C8A"/>
    <w:rsid w:val="004C3D1D"/>
    <w:rsid w:val="004C3D84"/>
    <w:rsid w:val="004C7913"/>
    <w:rsid w:val="004E2B84"/>
    <w:rsid w:val="004E4DD6"/>
    <w:rsid w:val="004F5E36"/>
    <w:rsid w:val="00507B47"/>
    <w:rsid w:val="00507BEF"/>
    <w:rsid w:val="00507CC9"/>
    <w:rsid w:val="005119A5"/>
    <w:rsid w:val="005278B7"/>
    <w:rsid w:val="00532016"/>
    <w:rsid w:val="005346C8"/>
    <w:rsid w:val="00543E7D"/>
    <w:rsid w:val="00547A68"/>
    <w:rsid w:val="00550AD6"/>
    <w:rsid w:val="005531C9"/>
    <w:rsid w:val="00554879"/>
    <w:rsid w:val="00570C43"/>
    <w:rsid w:val="005849C0"/>
    <w:rsid w:val="00592274"/>
    <w:rsid w:val="005B2110"/>
    <w:rsid w:val="005B350B"/>
    <w:rsid w:val="005B61E6"/>
    <w:rsid w:val="005C77E1"/>
    <w:rsid w:val="005D668A"/>
    <w:rsid w:val="005D6A2F"/>
    <w:rsid w:val="005E0592"/>
    <w:rsid w:val="005E1A82"/>
    <w:rsid w:val="005E794C"/>
    <w:rsid w:val="005F0A28"/>
    <w:rsid w:val="005F0E5E"/>
    <w:rsid w:val="00600535"/>
    <w:rsid w:val="00610CD6"/>
    <w:rsid w:val="00612607"/>
    <w:rsid w:val="00620DEE"/>
    <w:rsid w:val="00621F92"/>
    <w:rsid w:val="0062280A"/>
    <w:rsid w:val="006231E1"/>
    <w:rsid w:val="00625639"/>
    <w:rsid w:val="00631B33"/>
    <w:rsid w:val="0064184D"/>
    <w:rsid w:val="006422CC"/>
    <w:rsid w:val="00642F15"/>
    <w:rsid w:val="006450FB"/>
    <w:rsid w:val="00651D18"/>
    <w:rsid w:val="00660E3E"/>
    <w:rsid w:val="00662E74"/>
    <w:rsid w:val="0067722B"/>
    <w:rsid w:val="00680C23"/>
    <w:rsid w:val="00683E23"/>
    <w:rsid w:val="00685594"/>
    <w:rsid w:val="00693766"/>
    <w:rsid w:val="00696525"/>
    <w:rsid w:val="006A3281"/>
    <w:rsid w:val="006A6DE5"/>
    <w:rsid w:val="006B4888"/>
    <w:rsid w:val="006C2E45"/>
    <w:rsid w:val="006C359C"/>
    <w:rsid w:val="006C5579"/>
    <w:rsid w:val="006D1B0B"/>
    <w:rsid w:val="006D5E5C"/>
    <w:rsid w:val="006D6E8B"/>
    <w:rsid w:val="006D7209"/>
    <w:rsid w:val="006E737D"/>
    <w:rsid w:val="006E7CB4"/>
    <w:rsid w:val="00707DD1"/>
    <w:rsid w:val="00713973"/>
    <w:rsid w:val="00720A24"/>
    <w:rsid w:val="00720F03"/>
    <w:rsid w:val="00731EBB"/>
    <w:rsid w:val="00732386"/>
    <w:rsid w:val="0073514D"/>
    <w:rsid w:val="007447F3"/>
    <w:rsid w:val="0075499F"/>
    <w:rsid w:val="007661C8"/>
    <w:rsid w:val="0077098D"/>
    <w:rsid w:val="00773C66"/>
    <w:rsid w:val="00785BF9"/>
    <w:rsid w:val="007931FA"/>
    <w:rsid w:val="007A4861"/>
    <w:rsid w:val="007A7BBA"/>
    <w:rsid w:val="007A7BDF"/>
    <w:rsid w:val="007B0C50"/>
    <w:rsid w:val="007B15A5"/>
    <w:rsid w:val="007B16BB"/>
    <w:rsid w:val="007B278C"/>
    <w:rsid w:val="007B48F9"/>
    <w:rsid w:val="007C1A43"/>
    <w:rsid w:val="007D0951"/>
    <w:rsid w:val="007D610D"/>
    <w:rsid w:val="007D7833"/>
    <w:rsid w:val="007F077D"/>
    <w:rsid w:val="007F323F"/>
    <w:rsid w:val="0080013E"/>
    <w:rsid w:val="00801759"/>
    <w:rsid w:val="00813288"/>
    <w:rsid w:val="008168FC"/>
    <w:rsid w:val="00830996"/>
    <w:rsid w:val="008345F1"/>
    <w:rsid w:val="00845DB2"/>
    <w:rsid w:val="00847B53"/>
    <w:rsid w:val="0085175A"/>
    <w:rsid w:val="00865B07"/>
    <w:rsid w:val="00865EF9"/>
    <w:rsid w:val="008667EA"/>
    <w:rsid w:val="0087637F"/>
    <w:rsid w:val="008832AA"/>
    <w:rsid w:val="00892AD5"/>
    <w:rsid w:val="008A1512"/>
    <w:rsid w:val="008A2B47"/>
    <w:rsid w:val="008A69BC"/>
    <w:rsid w:val="008C1875"/>
    <w:rsid w:val="008D32B9"/>
    <w:rsid w:val="008D433B"/>
    <w:rsid w:val="008D4A16"/>
    <w:rsid w:val="008E2514"/>
    <w:rsid w:val="008E5401"/>
    <w:rsid w:val="008E566E"/>
    <w:rsid w:val="00900870"/>
    <w:rsid w:val="0090161A"/>
    <w:rsid w:val="00901EB6"/>
    <w:rsid w:val="009041F8"/>
    <w:rsid w:val="00904C62"/>
    <w:rsid w:val="00922BA8"/>
    <w:rsid w:val="00924DAC"/>
    <w:rsid w:val="00927058"/>
    <w:rsid w:val="00927CCA"/>
    <w:rsid w:val="00942750"/>
    <w:rsid w:val="009450CE"/>
    <w:rsid w:val="009459BB"/>
    <w:rsid w:val="00947179"/>
    <w:rsid w:val="0095164B"/>
    <w:rsid w:val="00954090"/>
    <w:rsid w:val="009573E7"/>
    <w:rsid w:val="00963E05"/>
    <w:rsid w:val="00964A45"/>
    <w:rsid w:val="00967843"/>
    <w:rsid w:val="00967D54"/>
    <w:rsid w:val="00971028"/>
    <w:rsid w:val="009848DC"/>
    <w:rsid w:val="00985917"/>
    <w:rsid w:val="00993B84"/>
    <w:rsid w:val="00994C6A"/>
    <w:rsid w:val="00996483"/>
    <w:rsid w:val="00996F5A"/>
    <w:rsid w:val="009A1155"/>
    <w:rsid w:val="009A3B32"/>
    <w:rsid w:val="009B041A"/>
    <w:rsid w:val="009C37C3"/>
    <w:rsid w:val="009C7C86"/>
    <w:rsid w:val="009D0C31"/>
    <w:rsid w:val="009D2FF7"/>
    <w:rsid w:val="009E7884"/>
    <w:rsid w:val="009E788A"/>
    <w:rsid w:val="009E7FEE"/>
    <w:rsid w:val="009F0E08"/>
    <w:rsid w:val="009F3843"/>
    <w:rsid w:val="00A06FCC"/>
    <w:rsid w:val="00A079AE"/>
    <w:rsid w:val="00A1763D"/>
    <w:rsid w:val="00A17CEC"/>
    <w:rsid w:val="00A202D8"/>
    <w:rsid w:val="00A25292"/>
    <w:rsid w:val="00A2607A"/>
    <w:rsid w:val="00A27EF0"/>
    <w:rsid w:val="00A33265"/>
    <w:rsid w:val="00A42361"/>
    <w:rsid w:val="00A50B20"/>
    <w:rsid w:val="00A51390"/>
    <w:rsid w:val="00A60D13"/>
    <w:rsid w:val="00A7223D"/>
    <w:rsid w:val="00A72745"/>
    <w:rsid w:val="00A76EFC"/>
    <w:rsid w:val="00A87D50"/>
    <w:rsid w:val="00A91010"/>
    <w:rsid w:val="00A940FD"/>
    <w:rsid w:val="00A97F29"/>
    <w:rsid w:val="00AA702E"/>
    <w:rsid w:val="00AA7D26"/>
    <w:rsid w:val="00AB0964"/>
    <w:rsid w:val="00AB5011"/>
    <w:rsid w:val="00AC7368"/>
    <w:rsid w:val="00AD16B9"/>
    <w:rsid w:val="00AE377D"/>
    <w:rsid w:val="00AF0EBA"/>
    <w:rsid w:val="00AF2463"/>
    <w:rsid w:val="00AF37EE"/>
    <w:rsid w:val="00B02C8A"/>
    <w:rsid w:val="00B17FBD"/>
    <w:rsid w:val="00B315A6"/>
    <w:rsid w:val="00B31813"/>
    <w:rsid w:val="00B33365"/>
    <w:rsid w:val="00B5083E"/>
    <w:rsid w:val="00B57B36"/>
    <w:rsid w:val="00B57E6F"/>
    <w:rsid w:val="00B756AF"/>
    <w:rsid w:val="00B8062D"/>
    <w:rsid w:val="00B8686D"/>
    <w:rsid w:val="00B93F69"/>
    <w:rsid w:val="00B97928"/>
    <w:rsid w:val="00BA5822"/>
    <w:rsid w:val="00BB1DDC"/>
    <w:rsid w:val="00BC2BE0"/>
    <w:rsid w:val="00BC30C9"/>
    <w:rsid w:val="00BC7127"/>
    <w:rsid w:val="00BD077D"/>
    <w:rsid w:val="00BD70DD"/>
    <w:rsid w:val="00BE3E58"/>
    <w:rsid w:val="00BE44E0"/>
    <w:rsid w:val="00BF13CE"/>
    <w:rsid w:val="00BF1904"/>
    <w:rsid w:val="00C01616"/>
    <w:rsid w:val="00C0162B"/>
    <w:rsid w:val="00C068ED"/>
    <w:rsid w:val="00C22E0C"/>
    <w:rsid w:val="00C32C7D"/>
    <w:rsid w:val="00C345B1"/>
    <w:rsid w:val="00C40142"/>
    <w:rsid w:val="00C52C3C"/>
    <w:rsid w:val="00C57182"/>
    <w:rsid w:val="00C57863"/>
    <w:rsid w:val="00C623BB"/>
    <w:rsid w:val="00C62CE6"/>
    <w:rsid w:val="00C640AF"/>
    <w:rsid w:val="00C655FD"/>
    <w:rsid w:val="00C75407"/>
    <w:rsid w:val="00C81E7D"/>
    <w:rsid w:val="00C841C6"/>
    <w:rsid w:val="00C870A8"/>
    <w:rsid w:val="00C94434"/>
    <w:rsid w:val="00CA0D75"/>
    <w:rsid w:val="00CA1C95"/>
    <w:rsid w:val="00CA5A9C"/>
    <w:rsid w:val="00CC4C20"/>
    <w:rsid w:val="00CC617B"/>
    <w:rsid w:val="00CD3517"/>
    <w:rsid w:val="00CD5FE2"/>
    <w:rsid w:val="00CE7C68"/>
    <w:rsid w:val="00D02B4C"/>
    <w:rsid w:val="00D040C4"/>
    <w:rsid w:val="00D05646"/>
    <w:rsid w:val="00D20AD1"/>
    <w:rsid w:val="00D2582C"/>
    <w:rsid w:val="00D261DB"/>
    <w:rsid w:val="00D2721E"/>
    <w:rsid w:val="00D46B7E"/>
    <w:rsid w:val="00D47A0C"/>
    <w:rsid w:val="00D50894"/>
    <w:rsid w:val="00D57C84"/>
    <w:rsid w:val="00D6057D"/>
    <w:rsid w:val="00D70468"/>
    <w:rsid w:val="00D71640"/>
    <w:rsid w:val="00D73FD9"/>
    <w:rsid w:val="00D836C5"/>
    <w:rsid w:val="00D83BB0"/>
    <w:rsid w:val="00D84576"/>
    <w:rsid w:val="00DA1399"/>
    <w:rsid w:val="00DA1701"/>
    <w:rsid w:val="00DA1CF8"/>
    <w:rsid w:val="00DA24C6"/>
    <w:rsid w:val="00DA4D7B"/>
    <w:rsid w:val="00DA61D4"/>
    <w:rsid w:val="00DB00A9"/>
    <w:rsid w:val="00DC2840"/>
    <w:rsid w:val="00DC73EE"/>
    <w:rsid w:val="00DD271C"/>
    <w:rsid w:val="00DE264A"/>
    <w:rsid w:val="00DF5072"/>
    <w:rsid w:val="00DF5209"/>
    <w:rsid w:val="00E02D18"/>
    <w:rsid w:val="00E041E7"/>
    <w:rsid w:val="00E23CA1"/>
    <w:rsid w:val="00E401E1"/>
    <w:rsid w:val="00E409A8"/>
    <w:rsid w:val="00E50C12"/>
    <w:rsid w:val="00E5443F"/>
    <w:rsid w:val="00E65B91"/>
    <w:rsid w:val="00E66613"/>
    <w:rsid w:val="00E7209D"/>
    <w:rsid w:val="00E72EAD"/>
    <w:rsid w:val="00E77223"/>
    <w:rsid w:val="00E8528B"/>
    <w:rsid w:val="00E85B94"/>
    <w:rsid w:val="00E978D0"/>
    <w:rsid w:val="00EA4613"/>
    <w:rsid w:val="00EA7F91"/>
    <w:rsid w:val="00EB1523"/>
    <w:rsid w:val="00EC0E49"/>
    <w:rsid w:val="00EC101F"/>
    <w:rsid w:val="00EC1D9F"/>
    <w:rsid w:val="00ED1E23"/>
    <w:rsid w:val="00EE0131"/>
    <w:rsid w:val="00EE17B0"/>
    <w:rsid w:val="00EF06D9"/>
    <w:rsid w:val="00F1665B"/>
    <w:rsid w:val="00F20605"/>
    <w:rsid w:val="00F3049E"/>
    <w:rsid w:val="00F30C64"/>
    <w:rsid w:val="00F32BA2"/>
    <w:rsid w:val="00F32CDB"/>
    <w:rsid w:val="00F41EE4"/>
    <w:rsid w:val="00F51B62"/>
    <w:rsid w:val="00F565FE"/>
    <w:rsid w:val="00F63A70"/>
    <w:rsid w:val="00F63D8C"/>
    <w:rsid w:val="00F7534E"/>
    <w:rsid w:val="00F93EDF"/>
    <w:rsid w:val="00FA1802"/>
    <w:rsid w:val="00FA21D0"/>
    <w:rsid w:val="00FA5F5F"/>
    <w:rsid w:val="00FB4519"/>
    <w:rsid w:val="00FB499D"/>
    <w:rsid w:val="00FB730C"/>
    <w:rsid w:val="00FB7A5C"/>
    <w:rsid w:val="00FC2695"/>
    <w:rsid w:val="00FC3E03"/>
    <w:rsid w:val="00FC3FC1"/>
    <w:rsid w:val="00FF379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customStyle="1" w:styleId="apple-tab-span">
    <w:name w:val="apple-tab-span"/>
    <w:basedOn w:val="Carpredefinitoparagrafo"/>
    <w:rsid w:val="00A940FD"/>
  </w:style>
  <w:style w:type="paragraph" w:styleId="Revisione">
    <w:name w:val="Revision"/>
    <w:hidden/>
    <w:uiPriority w:val="99"/>
    <w:semiHidden/>
    <w:rsid w:val="001E5355"/>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72181">
      <w:bodyDiv w:val="1"/>
      <w:marLeft w:val="0"/>
      <w:marRight w:val="0"/>
      <w:marTop w:val="0"/>
      <w:marBottom w:val="0"/>
      <w:divBdr>
        <w:top w:val="none" w:sz="0" w:space="0" w:color="auto"/>
        <w:left w:val="none" w:sz="0" w:space="0" w:color="auto"/>
        <w:bottom w:val="none" w:sz="0" w:space="0" w:color="auto"/>
        <w:right w:val="none" w:sz="0" w:space="0" w:color="auto"/>
      </w:divBdr>
    </w:div>
    <w:div w:id="296492958">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74082174">
      <w:bodyDiv w:val="1"/>
      <w:marLeft w:val="0"/>
      <w:marRight w:val="0"/>
      <w:marTop w:val="0"/>
      <w:marBottom w:val="0"/>
      <w:divBdr>
        <w:top w:val="none" w:sz="0" w:space="0" w:color="auto"/>
        <w:left w:val="none" w:sz="0" w:space="0" w:color="auto"/>
        <w:bottom w:val="none" w:sz="0" w:space="0" w:color="auto"/>
        <w:right w:val="none" w:sz="0" w:space="0" w:color="auto"/>
      </w:divBdr>
    </w:div>
    <w:div w:id="385682950">
      <w:bodyDiv w:val="1"/>
      <w:marLeft w:val="0"/>
      <w:marRight w:val="0"/>
      <w:marTop w:val="0"/>
      <w:marBottom w:val="0"/>
      <w:divBdr>
        <w:top w:val="none" w:sz="0" w:space="0" w:color="auto"/>
        <w:left w:val="none" w:sz="0" w:space="0" w:color="auto"/>
        <w:bottom w:val="none" w:sz="0" w:space="0" w:color="auto"/>
        <w:right w:val="none" w:sz="0" w:space="0" w:color="auto"/>
      </w:divBdr>
    </w:div>
    <w:div w:id="590048080">
      <w:bodyDiv w:val="1"/>
      <w:marLeft w:val="0"/>
      <w:marRight w:val="0"/>
      <w:marTop w:val="0"/>
      <w:marBottom w:val="0"/>
      <w:divBdr>
        <w:top w:val="none" w:sz="0" w:space="0" w:color="auto"/>
        <w:left w:val="none" w:sz="0" w:space="0" w:color="auto"/>
        <w:bottom w:val="none" w:sz="0" w:space="0" w:color="auto"/>
        <w:right w:val="none" w:sz="0" w:space="0" w:color="auto"/>
      </w:divBdr>
    </w:div>
    <w:div w:id="68105493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60746">
      <w:bodyDiv w:val="1"/>
      <w:marLeft w:val="0"/>
      <w:marRight w:val="0"/>
      <w:marTop w:val="0"/>
      <w:marBottom w:val="0"/>
      <w:divBdr>
        <w:top w:val="none" w:sz="0" w:space="0" w:color="auto"/>
        <w:left w:val="none" w:sz="0" w:space="0" w:color="auto"/>
        <w:bottom w:val="none" w:sz="0" w:space="0" w:color="auto"/>
        <w:right w:val="none" w:sz="0" w:space="0" w:color="auto"/>
      </w:divBdr>
    </w:div>
    <w:div w:id="1163349362">
      <w:bodyDiv w:val="1"/>
      <w:marLeft w:val="0"/>
      <w:marRight w:val="0"/>
      <w:marTop w:val="0"/>
      <w:marBottom w:val="0"/>
      <w:divBdr>
        <w:top w:val="none" w:sz="0" w:space="0" w:color="auto"/>
        <w:left w:val="none" w:sz="0" w:space="0" w:color="auto"/>
        <w:bottom w:val="none" w:sz="0" w:space="0" w:color="auto"/>
        <w:right w:val="none" w:sz="0" w:space="0" w:color="auto"/>
      </w:divBdr>
    </w:div>
    <w:div w:id="1183741302">
      <w:bodyDiv w:val="1"/>
      <w:marLeft w:val="0"/>
      <w:marRight w:val="0"/>
      <w:marTop w:val="0"/>
      <w:marBottom w:val="0"/>
      <w:divBdr>
        <w:top w:val="none" w:sz="0" w:space="0" w:color="auto"/>
        <w:left w:val="none" w:sz="0" w:space="0" w:color="auto"/>
        <w:bottom w:val="none" w:sz="0" w:space="0" w:color="auto"/>
        <w:right w:val="none" w:sz="0" w:space="0" w:color="auto"/>
      </w:divBdr>
    </w:div>
    <w:div w:id="1251622600">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339706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72666">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922639479">
      <w:bodyDiv w:val="1"/>
      <w:marLeft w:val="0"/>
      <w:marRight w:val="0"/>
      <w:marTop w:val="0"/>
      <w:marBottom w:val="0"/>
      <w:divBdr>
        <w:top w:val="none" w:sz="0" w:space="0" w:color="auto"/>
        <w:left w:val="none" w:sz="0" w:space="0" w:color="auto"/>
        <w:bottom w:val="none" w:sz="0" w:space="0" w:color="auto"/>
        <w:right w:val="none" w:sz="0" w:space="0" w:color="auto"/>
      </w:divBdr>
    </w:div>
    <w:div w:id="1943105508">
      <w:bodyDiv w:val="1"/>
      <w:marLeft w:val="0"/>
      <w:marRight w:val="0"/>
      <w:marTop w:val="0"/>
      <w:marBottom w:val="0"/>
      <w:divBdr>
        <w:top w:val="none" w:sz="0" w:space="0" w:color="auto"/>
        <w:left w:val="none" w:sz="0" w:space="0" w:color="auto"/>
        <w:bottom w:val="none" w:sz="0" w:space="0" w:color="auto"/>
        <w:right w:val="none" w:sz="0" w:space="0" w:color="auto"/>
      </w:divBdr>
    </w:div>
    <w:div w:id="202566532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8908</Words>
  <Characters>50780</Characters>
  <Application>Microsoft Office Word</Application>
  <DocSecurity>0</DocSecurity>
  <Lines>423</Lines>
  <Paragraphs>119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59569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Aristide Giuliano</cp:lastModifiedBy>
  <cp:revision>2</cp:revision>
  <cp:lastPrinted>2015-05-12T18:31:00Z</cp:lastPrinted>
  <dcterms:created xsi:type="dcterms:W3CDTF">2025-05-20T09:15:00Z</dcterms:created>
  <dcterms:modified xsi:type="dcterms:W3CDTF">2025-05-20T09:15:00Z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id="A3a6CDkz"/&gt;&lt;style id="http://www.zotero.org/styles/computers-and-chemical-engineering" hasBibliography="1" bibliographyStyleHasBeenSet="1"/&gt;&lt;prefs&gt;&lt;pref name="fieldType" value="Field"/&gt;&lt;pref name</vt:lpwstr>
  </property>
  <property fmtid="{D5CDD505-2E9C-101B-9397-08002B2CF9AE}" pid="3" name="ZOTERO_PREF_2">
    <vt:lpwstr>="storeReferences" value="true"/&gt;&lt;/prefs&gt;&lt;/data&gt;</vt:lpwstr>
  </property>
</Properties>
</file>