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D45F9C" w14:paraId="2A131A54" w14:textId="77777777" w:rsidTr="001A3254">
        <w:trPr>
          <w:trHeight w:val="852"/>
          <w:jc w:val="center"/>
        </w:trPr>
        <w:tc>
          <w:tcPr>
            <w:tcW w:w="6940" w:type="dxa"/>
            <w:vMerge w:val="restart"/>
            <w:tcBorders>
              <w:right w:val="single" w:sz="4" w:space="0" w:color="auto"/>
            </w:tcBorders>
          </w:tcPr>
          <w:p w14:paraId="38C3D2BA" w14:textId="77777777" w:rsidR="000A03B2" w:rsidRPr="00D45F9C" w:rsidRDefault="000A03B2" w:rsidP="00DE264A">
            <w:pPr>
              <w:tabs>
                <w:tab w:val="left" w:pos="-108"/>
              </w:tabs>
              <w:ind w:left="-108"/>
              <w:jc w:val="left"/>
              <w:rPr>
                <w:rFonts w:cs="Arial"/>
                <w:b/>
                <w:bCs/>
                <w:i/>
                <w:iCs/>
                <w:color w:val="000066"/>
                <w:sz w:val="12"/>
                <w:szCs w:val="12"/>
                <w:lang w:eastAsia="it-IT"/>
              </w:rPr>
            </w:pPr>
            <w:bookmarkStart w:id="0" w:name="_Hlk145068772"/>
            <w:r w:rsidRPr="00D45F9C">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D45F9C">
              <w:rPr>
                <w:rFonts w:ascii="AdvP6960" w:hAnsi="AdvP6960" w:cs="AdvP6960"/>
                <w:color w:val="241F20"/>
                <w:szCs w:val="18"/>
                <w:lang w:eastAsia="it-IT"/>
              </w:rPr>
              <w:t xml:space="preserve"> </w:t>
            </w:r>
            <w:r w:rsidRPr="00D45F9C">
              <w:rPr>
                <w:rFonts w:cs="Arial"/>
                <w:b/>
                <w:bCs/>
                <w:i/>
                <w:iCs/>
                <w:color w:val="000066"/>
                <w:sz w:val="24"/>
                <w:szCs w:val="24"/>
                <w:lang w:eastAsia="it-IT"/>
              </w:rPr>
              <w:t>CHEMICAL ENGINEERING</w:t>
            </w:r>
            <w:r w:rsidRPr="00D45F9C">
              <w:rPr>
                <w:rFonts w:cs="Arial"/>
                <w:b/>
                <w:bCs/>
                <w:i/>
                <w:iCs/>
                <w:color w:val="0033FF"/>
                <w:sz w:val="24"/>
                <w:szCs w:val="24"/>
                <w:lang w:eastAsia="it-IT"/>
              </w:rPr>
              <w:t xml:space="preserve"> </w:t>
            </w:r>
            <w:r w:rsidRPr="00D45F9C">
              <w:rPr>
                <w:rFonts w:cs="Arial"/>
                <w:b/>
                <w:bCs/>
                <w:i/>
                <w:iCs/>
                <w:color w:val="666666"/>
                <w:sz w:val="24"/>
                <w:szCs w:val="24"/>
                <w:lang w:eastAsia="it-IT"/>
              </w:rPr>
              <w:t>TRANSACTIONS</w:t>
            </w:r>
            <w:r w:rsidRPr="00D45F9C">
              <w:rPr>
                <w:color w:val="333333"/>
                <w:sz w:val="24"/>
                <w:szCs w:val="24"/>
                <w:lang w:eastAsia="it-IT"/>
              </w:rPr>
              <w:t xml:space="preserve"> </w:t>
            </w:r>
            <w:r w:rsidRPr="00D45F9C">
              <w:rPr>
                <w:rFonts w:cs="Arial"/>
                <w:b/>
                <w:bCs/>
                <w:i/>
                <w:iCs/>
                <w:color w:val="000066"/>
                <w:sz w:val="27"/>
                <w:szCs w:val="27"/>
                <w:lang w:eastAsia="it-IT"/>
              </w:rPr>
              <w:br/>
            </w:r>
          </w:p>
          <w:p w14:paraId="4B780582" w14:textId="47EF826C" w:rsidR="000A03B2" w:rsidRPr="00D45F9C" w:rsidRDefault="00A76EFC" w:rsidP="001D21AF">
            <w:pPr>
              <w:tabs>
                <w:tab w:val="left" w:pos="-108"/>
              </w:tabs>
              <w:ind w:left="-108"/>
              <w:rPr>
                <w:rFonts w:cs="Arial"/>
                <w:b/>
                <w:bCs/>
                <w:i/>
                <w:iCs/>
                <w:color w:val="000066"/>
                <w:sz w:val="22"/>
                <w:szCs w:val="22"/>
                <w:lang w:eastAsia="it-IT"/>
              </w:rPr>
            </w:pPr>
            <w:r w:rsidRPr="00D45F9C">
              <w:rPr>
                <w:rFonts w:cs="Arial"/>
                <w:b/>
                <w:bCs/>
                <w:i/>
                <w:iCs/>
                <w:color w:val="000066"/>
                <w:sz w:val="22"/>
                <w:szCs w:val="22"/>
                <w:lang w:eastAsia="it-IT"/>
              </w:rPr>
              <w:t>VOL.</w:t>
            </w:r>
            <w:r w:rsidR="00785BF9" w:rsidRPr="00D45F9C">
              <w:rPr>
                <w:rFonts w:cs="Arial"/>
                <w:b/>
                <w:bCs/>
                <w:i/>
                <w:iCs/>
                <w:color w:val="000066"/>
                <w:sz w:val="22"/>
                <w:szCs w:val="22"/>
                <w:lang w:eastAsia="it-IT"/>
              </w:rPr>
              <w:t xml:space="preserve"> </w:t>
            </w:r>
            <w:r w:rsidR="00994C6A" w:rsidRPr="00D45F9C">
              <w:rPr>
                <w:rFonts w:cs="Arial"/>
                <w:b/>
                <w:bCs/>
                <w:i/>
                <w:iCs/>
                <w:color w:val="000066"/>
                <w:sz w:val="22"/>
                <w:szCs w:val="22"/>
                <w:lang w:eastAsia="it-IT"/>
              </w:rPr>
              <w:t>xxx</w:t>
            </w:r>
            <w:r w:rsidR="007B48F9" w:rsidRPr="00D45F9C">
              <w:rPr>
                <w:rFonts w:cs="Arial"/>
                <w:b/>
                <w:bCs/>
                <w:i/>
                <w:iCs/>
                <w:color w:val="000066"/>
                <w:sz w:val="22"/>
                <w:szCs w:val="22"/>
                <w:lang w:eastAsia="it-IT"/>
              </w:rPr>
              <w:t>,</w:t>
            </w:r>
            <w:r w:rsidR="00FA5F5F" w:rsidRPr="00D45F9C">
              <w:rPr>
                <w:rFonts w:cs="Arial"/>
                <w:b/>
                <w:bCs/>
                <w:i/>
                <w:iCs/>
                <w:color w:val="000066"/>
                <w:sz w:val="22"/>
                <w:szCs w:val="22"/>
                <w:lang w:eastAsia="it-IT"/>
              </w:rPr>
              <w:t xml:space="preserve"> </w:t>
            </w:r>
            <w:r w:rsidR="0030152C" w:rsidRPr="00D45F9C">
              <w:rPr>
                <w:rFonts w:cs="Arial"/>
                <w:b/>
                <w:bCs/>
                <w:i/>
                <w:iCs/>
                <w:color w:val="000066"/>
                <w:sz w:val="22"/>
                <w:szCs w:val="22"/>
                <w:lang w:eastAsia="it-IT"/>
              </w:rPr>
              <w:t>202</w:t>
            </w:r>
            <w:r w:rsidR="00994C6A" w:rsidRPr="00D45F9C">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D45F9C" w:rsidRDefault="000A03B2" w:rsidP="00CD5FE2">
            <w:pPr>
              <w:spacing w:line="140" w:lineRule="atLeast"/>
              <w:jc w:val="right"/>
              <w:rPr>
                <w:rFonts w:cs="Arial"/>
                <w:sz w:val="14"/>
                <w:szCs w:val="14"/>
              </w:rPr>
            </w:pPr>
            <w:r w:rsidRPr="00D45F9C">
              <w:rPr>
                <w:rFonts w:cs="Arial"/>
                <w:sz w:val="14"/>
                <w:szCs w:val="14"/>
              </w:rPr>
              <w:t>A publication of</w:t>
            </w:r>
          </w:p>
          <w:p w14:paraId="599E5441" w14:textId="77777777" w:rsidR="000A03B2" w:rsidRPr="00D45F9C" w:rsidRDefault="000A03B2" w:rsidP="00CD5FE2">
            <w:pPr>
              <w:jc w:val="right"/>
            </w:pPr>
            <w:r w:rsidRPr="00D45F9C">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205B57" w14:paraId="380FA3CD" w14:textId="77777777" w:rsidTr="001A3254">
        <w:trPr>
          <w:trHeight w:val="567"/>
          <w:jc w:val="center"/>
        </w:trPr>
        <w:tc>
          <w:tcPr>
            <w:tcW w:w="6940" w:type="dxa"/>
            <w:vMerge/>
            <w:tcBorders>
              <w:right w:val="single" w:sz="4" w:space="0" w:color="auto"/>
            </w:tcBorders>
          </w:tcPr>
          <w:p w14:paraId="39E5E4C1" w14:textId="77777777" w:rsidR="000A03B2" w:rsidRPr="00D45F9C"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D45F9C" w:rsidRDefault="000A03B2" w:rsidP="00CD5FE2">
            <w:pPr>
              <w:spacing w:line="140" w:lineRule="atLeast"/>
              <w:jc w:val="right"/>
              <w:rPr>
                <w:rFonts w:cs="Arial"/>
                <w:sz w:val="14"/>
                <w:szCs w:val="14"/>
              </w:rPr>
            </w:pPr>
            <w:r w:rsidRPr="00D45F9C">
              <w:rPr>
                <w:rFonts w:cs="Arial"/>
                <w:sz w:val="14"/>
                <w:szCs w:val="14"/>
              </w:rPr>
              <w:t>The Italian Association</w:t>
            </w:r>
          </w:p>
          <w:p w14:paraId="7522B1D2" w14:textId="77777777" w:rsidR="000A03B2" w:rsidRPr="00D45F9C" w:rsidRDefault="000A03B2" w:rsidP="00CD5FE2">
            <w:pPr>
              <w:spacing w:line="140" w:lineRule="atLeast"/>
              <w:jc w:val="right"/>
              <w:rPr>
                <w:rFonts w:cs="Arial"/>
                <w:sz w:val="14"/>
                <w:szCs w:val="14"/>
              </w:rPr>
            </w:pPr>
            <w:r w:rsidRPr="00D45F9C">
              <w:rPr>
                <w:rFonts w:cs="Arial"/>
                <w:sz w:val="14"/>
                <w:szCs w:val="14"/>
              </w:rPr>
              <w:t>of Chemical Engineering</w:t>
            </w:r>
          </w:p>
          <w:p w14:paraId="4F0CC5DE" w14:textId="47FDB2FC" w:rsidR="000A03B2" w:rsidRPr="00A530CB" w:rsidRDefault="000D0268" w:rsidP="00CD5FE2">
            <w:pPr>
              <w:spacing w:line="140" w:lineRule="atLeast"/>
              <w:jc w:val="right"/>
              <w:rPr>
                <w:rFonts w:cs="Arial"/>
                <w:sz w:val="13"/>
                <w:szCs w:val="13"/>
                <w:lang w:val="nb-NO"/>
              </w:rPr>
            </w:pPr>
            <w:r w:rsidRPr="00A530CB">
              <w:rPr>
                <w:rFonts w:cs="Arial"/>
                <w:sz w:val="13"/>
                <w:szCs w:val="13"/>
                <w:lang w:val="nb-NO"/>
              </w:rPr>
              <w:t>Online at www.cetjournal.it</w:t>
            </w:r>
          </w:p>
        </w:tc>
      </w:tr>
      <w:tr w:rsidR="000A03B2" w:rsidRPr="00D45F9C" w14:paraId="2D1B7169" w14:textId="77777777" w:rsidTr="001A3254">
        <w:trPr>
          <w:trHeight w:val="68"/>
          <w:jc w:val="center"/>
        </w:trPr>
        <w:tc>
          <w:tcPr>
            <w:tcW w:w="8782" w:type="dxa"/>
            <w:gridSpan w:val="2"/>
          </w:tcPr>
          <w:p w14:paraId="1D8DD3C9" w14:textId="0F721BB9" w:rsidR="00AA7D26" w:rsidRPr="00A530CB" w:rsidRDefault="00AA7D26" w:rsidP="008832AA">
            <w:pPr>
              <w:ind w:left="-107"/>
              <w:outlineLvl w:val="2"/>
              <w:rPr>
                <w:rFonts w:ascii="Aptos" w:eastAsiaTheme="minorHAnsi" w:hAnsi="Aptos" w:cs="Aptos"/>
                <w:sz w:val="22"/>
                <w:szCs w:val="22"/>
                <w:lang w:val="it-IT"/>
                <w14:ligatures w14:val="standardContextual"/>
              </w:rPr>
            </w:pPr>
            <w:r w:rsidRPr="00A530CB">
              <w:rPr>
                <w:rFonts w:ascii="Tahoma" w:hAnsi="Tahoma" w:cs="Tahoma"/>
                <w:iCs/>
                <w:color w:val="333333"/>
                <w:sz w:val="14"/>
                <w:szCs w:val="14"/>
                <w:lang w:val="it-IT" w:eastAsia="it-IT"/>
              </w:rPr>
              <w:t>Guest Editors:</w:t>
            </w:r>
            <w:r w:rsidR="008832AA" w:rsidRPr="00A530CB">
              <w:rPr>
                <w:rFonts w:ascii="Aptos" w:eastAsiaTheme="minorHAnsi" w:hAnsi="Aptos" w:cs="Aptos"/>
                <w:sz w:val="22"/>
                <w:szCs w:val="22"/>
                <w:lang w:val="it-IT"/>
              </w:rPr>
              <w:t xml:space="preserve"> </w:t>
            </w:r>
            <w:r w:rsidR="008832AA" w:rsidRPr="00A530CB">
              <w:rPr>
                <w:rFonts w:ascii="Tahoma" w:eastAsiaTheme="minorHAnsi" w:hAnsi="Tahoma" w:cs="Tahoma"/>
                <w:sz w:val="14"/>
                <w:szCs w:val="14"/>
                <w:lang w:val="it-IT"/>
                <w14:ligatures w14:val="standardContextual"/>
              </w:rPr>
              <w:t>David Bogle, Flavio Manenti, Piero Salatino</w:t>
            </w:r>
          </w:p>
          <w:p w14:paraId="1B0F1814" w14:textId="39433521" w:rsidR="000A03B2" w:rsidRPr="00D45F9C" w:rsidRDefault="00AA7D26" w:rsidP="00AA7D26">
            <w:pPr>
              <w:tabs>
                <w:tab w:val="left" w:pos="-108"/>
              </w:tabs>
              <w:spacing w:line="140" w:lineRule="atLeast"/>
              <w:ind w:left="-107"/>
              <w:jc w:val="left"/>
            </w:pPr>
            <w:r w:rsidRPr="00D45F9C">
              <w:rPr>
                <w:rFonts w:ascii="Tahoma" w:hAnsi="Tahoma" w:cs="Tahoma"/>
                <w:iCs/>
                <w:color w:val="333333"/>
                <w:sz w:val="14"/>
                <w:szCs w:val="14"/>
                <w:lang w:eastAsia="it-IT"/>
              </w:rPr>
              <w:t>Copyright © 202</w:t>
            </w:r>
            <w:r w:rsidR="00994C6A" w:rsidRPr="00D45F9C">
              <w:rPr>
                <w:rFonts w:ascii="Tahoma" w:hAnsi="Tahoma" w:cs="Tahoma"/>
                <w:iCs/>
                <w:color w:val="333333"/>
                <w:sz w:val="14"/>
                <w:szCs w:val="14"/>
                <w:lang w:eastAsia="it-IT"/>
              </w:rPr>
              <w:t>5</w:t>
            </w:r>
            <w:r w:rsidRPr="00D45F9C">
              <w:rPr>
                <w:rFonts w:ascii="Tahoma" w:hAnsi="Tahoma" w:cs="Tahoma"/>
                <w:iCs/>
                <w:color w:val="333333"/>
                <w:sz w:val="14"/>
                <w:szCs w:val="14"/>
                <w:lang w:eastAsia="it-IT"/>
              </w:rPr>
              <w:t xml:space="preserve">, AIDIC </w:t>
            </w:r>
            <w:proofErr w:type="spellStart"/>
            <w:r w:rsidRPr="00D45F9C">
              <w:rPr>
                <w:rFonts w:ascii="Tahoma" w:hAnsi="Tahoma" w:cs="Tahoma"/>
                <w:iCs/>
                <w:color w:val="333333"/>
                <w:sz w:val="14"/>
                <w:szCs w:val="14"/>
                <w:lang w:eastAsia="it-IT"/>
              </w:rPr>
              <w:t>Servizi</w:t>
            </w:r>
            <w:proofErr w:type="spellEnd"/>
            <w:r w:rsidRPr="00D45F9C">
              <w:rPr>
                <w:rFonts w:ascii="Tahoma" w:hAnsi="Tahoma" w:cs="Tahoma"/>
                <w:iCs/>
                <w:color w:val="333333"/>
                <w:sz w:val="14"/>
                <w:szCs w:val="14"/>
                <w:lang w:eastAsia="it-IT"/>
              </w:rPr>
              <w:t xml:space="preserve"> </w:t>
            </w:r>
            <w:proofErr w:type="spellStart"/>
            <w:r w:rsidRPr="00D45F9C">
              <w:rPr>
                <w:rFonts w:ascii="Tahoma" w:hAnsi="Tahoma" w:cs="Tahoma"/>
                <w:iCs/>
                <w:color w:val="333333"/>
                <w:sz w:val="14"/>
                <w:szCs w:val="14"/>
                <w:lang w:eastAsia="it-IT"/>
              </w:rPr>
              <w:t>S.r.l</w:t>
            </w:r>
            <w:proofErr w:type="spellEnd"/>
            <w:r w:rsidRPr="00D45F9C">
              <w:rPr>
                <w:rFonts w:ascii="Tahoma" w:hAnsi="Tahoma" w:cs="Tahoma"/>
                <w:iCs/>
                <w:color w:val="333333"/>
                <w:sz w:val="14"/>
                <w:szCs w:val="14"/>
                <w:lang w:eastAsia="it-IT"/>
              </w:rPr>
              <w:t>.</w:t>
            </w:r>
            <w:r w:rsidRPr="00D45F9C">
              <w:rPr>
                <w:rFonts w:ascii="Tahoma" w:hAnsi="Tahoma" w:cs="Tahoma"/>
                <w:iCs/>
                <w:color w:val="333333"/>
                <w:sz w:val="14"/>
                <w:szCs w:val="14"/>
                <w:lang w:eastAsia="it-IT"/>
              </w:rPr>
              <w:br/>
            </w:r>
            <w:r w:rsidRPr="00D45F9C">
              <w:rPr>
                <w:rFonts w:ascii="Tahoma" w:hAnsi="Tahoma" w:cs="Tahoma"/>
                <w:b/>
                <w:iCs/>
                <w:color w:val="000000"/>
                <w:sz w:val="14"/>
                <w:szCs w:val="14"/>
                <w:lang w:eastAsia="it-IT"/>
              </w:rPr>
              <w:t>ISBN</w:t>
            </w:r>
            <w:r w:rsidRPr="00D45F9C">
              <w:rPr>
                <w:rFonts w:ascii="Tahoma" w:hAnsi="Tahoma" w:cs="Tahoma"/>
                <w:iCs/>
                <w:color w:val="000000"/>
                <w:sz w:val="14"/>
                <w:szCs w:val="14"/>
                <w:lang w:eastAsia="it-IT"/>
              </w:rPr>
              <w:t xml:space="preserve"> </w:t>
            </w:r>
            <w:r w:rsidR="003B49CD" w:rsidRPr="00D45F9C">
              <w:rPr>
                <w:rFonts w:ascii="Tahoma" w:hAnsi="Tahoma" w:cs="Tahoma"/>
                <w:sz w:val="14"/>
                <w:szCs w:val="14"/>
              </w:rPr>
              <w:t>979-12-81206-</w:t>
            </w:r>
            <w:r w:rsidR="003904D3" w:rsidRPr="00D45F9C">
              <w:rPr>
                <w:rFonts w:ascii="Tahoma" w:hAnsi="Tahoma" w:cs="Tahoma"/>
                <w:sz w:val="14"/>
                <w:szCs w:val="14"/>
              </w:rPr>
              <w:t>21</w:t>
            </w:r>
            <w:r w:rsidR="003B49CD" w:rsidRPr="00D45F9C">
              <w:rPr>
                <w:rFonts w:ascii="Tahoma" w:hAnsi="Tahoma" w:cs="Tahoma"/>
                <w:sz w:val="14"/>
                <w:szCs w:val="14"/>
              </w:rPr>
              <w:t>-</w:t>
            </w:r>
            <w:r w:rsidR="003904D3" w:rsidRPr="00D45F9C">
              <w:rPr>
                <w:rFonts w:ascii="Tahoma" w:hAnsi="Tahoma" w:cs="Tahoma"/>
                <w:sz w:val="14"/>
                <w:szCs w:val="14"/>
              </w:rPr>
              <w:t>2</w:t>
            </w:r>
            <w:r w:rsidRPr="00D45F9C">
              <w:rPr>
                <w:rFonts w:ascii="Tahoma" w:hAnsi="Tahoma" w:cs="Tahoma"/>
                <w:iCs/>
                <w:color w:val="333333"/>
                <w:sz w:val="14"/>
                <w:szCs w:val="14"/>
                <w:lang w:eastAsia="it-IT"/>
              </w:rPr>
              <w:t xml:space="preserve">; </w:t>
            </w:r>
            <w:r w:rsidRPr="00D45F9C">
              <w:rPr>
                <w:rFonts w:ascii="Tahoma" w:hAnsi="Tahoma" w:cs="Tahoma"/>
                <w:b/>
                <w:iCs/>
                <w:color w:val="333333"/>
                <w:sz w:val="14"/>
                <w:szCs w:val="14"/>
                <w:lang w:eastAsia="it-IT"/>
              </w:rPr>
              <w:t>ISSN</w:t>
            </w:r>
            <w:r w:rsidRPr="00D45F9C">
              <w:rPr>
                <w:rFonts w:ascii="Tahoma" w:hAnsi="Tahoma" w:cs="Tahoma"/>
                <w:iCs/>
                <w:color w:val="333333"/>
                <w:sz w:val="14"/>
                <w:szCs w:val="14"/>
                <w:lang w:eastAsia="it-IT"/>
              </w:rPr>
              <w:t xml:space="preserve"> 2283-9216</w:t>
            </w:r>
          </w:p>
        </w:tc>
      </w:tr>
    </w:tbl>
    <w:bookmarkEnd w:id="0"/>
    <w:p w14:paraId="2E667253" w14:textId="21D4AD9A" w:rsidR="00E978D0" w:rsidRPr="00D45F9C" w:rsidRDefault="001A3254" w:rsidP="00E978D0">
      <w:pPr>
        <w:pStyle w:val="CETTitle"/>
      </w:pPr>
      <w:r w:rsidRPr="00D45F9C">
        <w:t xml:space="preserve">Analytical studies on the functional effect of sulfur-containing </w:t>
      </w:r>
      <w:r w:rsidR="001F67E3">
        <w:t>extreme pressure</w:t>
      </w:r>
      <w:r w:rsidR="001F67E3" w:rsidRPr="00D45F9C">
        <w:t xml:space="preserve"> </w:t>
      </w:r>
      <w:r w:rsidRPr="00D45F9C">
        <w:t>additives</w:t>
      </w:r>
    </w:p>
    <w:p w14:paraId="0488FED2" w14:textId="5FF6F76E" w:rsidR="00B57E6F" w:rsidRPr="00D45F9C" w:rsidRDefault="009F44F4" w:rsidP="00B57E6F">
      <w:pPr>
        <w:pStyle w:val="CETAuthors"/>
      </w:pPr>
      <w:r w:rsidRPr="00D45F9C">
        <w:t>Roland NAGY</w:t>
      </w:r>
      <w:r w:rsidR="00B57E6F" w:rsidRPr="00D45F9C">
        <w:rPr>
          <w:vertAlign w:val="superscript"/>
        </w:rPr>
        <w:t>a</w:t>
      </w:r>
      <w:r w:rsidRPr="00D45F9C">
        <w:rPr>
          <w:vertAlign w:val="superscript"/>
        </w:rPr>
        <w:t>,*</w:t>
      </w:r>
      <w:r w:rsidR="00B57E6F" w:rsidRPr="00D45F9C">
        <w:t xml:space="preserve">, </w:t>
      </w:r>
      <w:r w:rsidRPr="00D45F9C">
        <w:t>Gábor NAGY</w:t>
      </w:r>
      <w:r w:rsidRPr="00D45F9C">
        <w:rPr>
          <w:vertAlign w:val="superscript"/>
        </w:rPr>
        <w:t>a</w:t>
      </w:r>
    </w:p>
    <w:p w14:paraId="6B2D21B3" w14:textId="13751BEE" w:rsidR="00B57E6F" w:rsidRPr="00D45F9C" w:rsidRDefault="00B57E6F" w:rsidP="00B57E6F">
      <w:pPr>
        <w:pStyle w:val="CETAddress"/>
      </w:pPr>
      <w:r w:rsidRPr="00D45F9C">
        <w:rPr>
          <w:vertAlign w:val="superscript"/>
        </w:rPr>
        <w:t>a</w:t>
      </w:r>
      <w:r w:rsidR="00C723F8" w:rsidRPr="00D45F9C">
        <w:t>University of Pannonia, Faculty of Engineering, Department of MOL Hydrocarbon and Coal Processing; Egyetem u. 10., Veszprém, H-8200, Hungary</w:t>
      </w:r>
    </w:p>
    <w:p w14:paraId="73F1267A" w14:textId="08505478" w:rsidR="00B57E6F" w:rsidRPr="00D45F9C" w:rsidRDefault="00205B57" w:rsidP="00870D09">
      <w:pPr>
        <w:pStyle w:val="CETemail"/>
        <w:spacing w:after="160"/>
      </w:pPr>
      <w:hyperlink r:id="rId10" w:history="1">
        <w:r w:rsidR="00DB61C7" w:rsidRPr="00D45F9C">
          <w:rPr>
            <w:rStyle w:val="Hiperhivatkozs"/>
          </w:rPr>
          <w:t>nagy.roland.dr@mk.uni-pannon.hu</w:t>
        </w:r>
      </w:hyperlink>
    </w:p>
    <w:p w14:paraId="2E3E60F3" w14:textId="7DB6A389" w:rsidR="004612CE" w:rsidRPr="00D45F9C" w:rsidRDefault="004612CE" w:rsidP="004612CE">
      <w:pPr>
        <w:pStyle w:val="CETBodytext"/>
        <w:rPr>
          <w:lang w:val="en-GB"/>
        </w:rPr>
      </w:pPr>
      <w:r w:rsidRPr="00D45F9C">
        <w:rPr>
          <w:lang w:val="en-GB"/>
        </w:rPr>
        <w:t>Proper maintenance of machine components exposed to high pressure and temperature is essential for efficient and safe operation. One of the most important additives in these lubricants is the extreme pressure (EP) additive, which allows lubricants to perform effectively under high-stress conditions by forming a protective film that prevents metal-to-metal contact. Traditionally, EP additives are derived from sulfur-based raw materials, but there is an increasing shift towards using environmentally friendly, plant-based alternatives. Sulfurized vegetable oils, in particular, are gaining attention as renewable, biodegradable, and high-performing alternatives.</w:t>
      </w:r>
    </w:p>
    <w:p w14:paraId="1660B163" w14:textId="2A241B46" w:rsidR="006A005B" w:rsidRPr="00D45F9C" w:rsidRDefault="004612CE" w:rsidP="004612CE">
      <w:pPr>
        <w:pStyle w:val="CETBodytext"/>
        <w:rPr>
          <w:lang w:val="en-GB"/>
        </w:rPr>
      </w:pPr>
      <w:r w:rsidRPr="00D45F9C">
        <w:rPr>
          <w:lang w:val="en-GB"/>
        </w:rPr>
        <w:t xml:space="preserve">This study focuses on the synthesis and evaluation of sulfurized EP additives derived from various vegetable oils, analysing their effects on lubricant properties. The goal is to understand how different vegetable oil sources influence the functionality of lubricants, particularly in terms of their molecular weight distribution and wear protection efficiency. The analysis utilized </w:t>
      </w:r>
      <w:r w:rsidR="00153B3D" w:rsidRPr="00153B3D">
        <w:rPr>
          <w:lang w:val="en-GB"/>
        </w:rPr>
        <w:t>Gel Permeation Chromatography (GPC)</w:t>
      </w:r>
      <w:r w:rsidRPr="00D45F9C">
        <w:rPr>
          <w:lang w:val="en-GB"/>
        </w:rPr>
        <w:t xml:space="preserve"> to assess molecular weight distribution and polydispersity, revealing that additives synthesized from vegetable oils with higher molecular weights and broader distributions provided superior protection against wear. The study highlights the significance of sulfur content and molecular structure in optimizing lubricant performance under extreme conditions, providing insights into the development of environmentally friendly EP additives from renewable sources.</w:t>
      </w:r>
    </w:p>
    <w:p w14:paraId="118D5660" w14:textId="77777777" w:rsidR="006A005B" w:rsidRPr="00D45F9C" w:rsidRDefault="006A005B" w:rsidP="005D0446">
      <w:pPr>
        <w:pStyle w:val="CETHeading1"/>
        <w:tabs>
          <w:tab w:val="num" w:pos="360"/>
        </w:tabs>
        <w:rPr>
          <w:lang w:val="en-GB"/>
        </w:rPr>
      </w:pPr>
      <w:r w:rsidRPr="00D45F9C">
        <w:rPr>
          <w:lang w:val="en-GB"/>
        </w:rPr>
        <w:t>Introduction</w:t>
      </w:r>
    </w:p>
    <w:p w14:paraId="6971DF33" w14:textId="252A277C" w:rsidR="00AF12C1" w:rsidRPr="00D45F9C" w:rsidRDefault="00AF12C1" w:rsidP="00870D09">
      <w:pPr>
        <w:pStyle w:val="CETBodytext"/>
        <w:spacing w:after="60"/>
        <w:rPr>
          <w:lang w:val="en-GB"/>
        </w:rPr>
      </w:pPr>
      <w:r w:rsidRPr="00D45F9C">
        <w:rPr>
          <w:lang w:val="en-GB"/>
        </w:rPr>
        <w:t xml:space="preserve">Lubricants are essential for any moving device, machine or system used for an industrial process. Lubricants </w:t>
      </w:r>
      <w:r w:rsidR="00AD0B2E" w:rsidRPr="00D45F9C">
        <w:rPr>
          <w:lang w:val="en-GB"/>
        </w:rPr>
        <w:t>r</w:t>
      </w:r>
      <w:r w:rsidRPr="00D45F9C">
        <w:rPr>
          <w:lang w:val="en-GB"/>
        </w:rPr>
        <w:t>educ</w:t>
      </w:r>
      <w:r w:rsidR="00AD0B2E" w:rsidRPr="00D45F9C">
        <w:rPr>
          <w:lang w:val="en-GB"/>
        </w:rPr>
        <w:t>e</w:t>
      </w:r>
      <w:r w:rsidRPr="00D45F9C">
        <w:rPr>
          <w:lang w:val="en-GB"/>
        </w:rPr>
        <w:t xml:space="preserve"> friction by creating a film between two surfaces</w:t>
      </w:r>
      <w:r w:rsidR="00AD0B2E" w:rsidRPr="00D45F9C">
        <w:rPr>
          <w:lang w:val="en-GB"/>
        </w:rPr>
        <w:t xml:space="preserve"> and p</w:t>
      </w:r>
      <w:r w:rsidRPr="00D45F9C">
        <w:rPr>
          <w:lang w:val="en-GB"/>
        </w:rPr>
        <w:t>revent machine wear</w:t>
      </w:r>
      <w:r w:rsidR="003C5D00" w:rsidRPr="00D45F9C">
        <w:rPr>
          <w:lang w:val="en-GB"/>
        </w:rPr>
        <w:t>. Lubricant additives are used to add tribological functions to the lubricating oil</w:t>
      </w:r>
      <w:r w:rsidR="00870D09" w:rsidRPr="00D45F9C">
        <w:rPr>
          <w:lang w:val="en-GB"/>
        </w:rPr>
        <w:t>s.</w:t>
      </w:r>
    </w:p>
    <w:p w14:paraId="01BE3706" w14:textId="4EC53577" w:rsidR="00A04D94" w:rsidRPr="00D45F9C" w:rsidRDefault="00AF12C1" w:rsidP="00EC7B1E">
      <w:pPr>
        <w:pStyle w:val="CETBodytext"/>
        <w:spacing w:before="60"/>
        <w:rPr>
          <w:lang w:val="en-GB"/>
        </w:rPr>
      </w:pPr>
      <w:r w:rsidRPr="00D45F9C">
        <w:rPr>
          <w:lang w:val="en-GB"/>
        </w:rPr>
        <w:t xml:space="preserve">One of the key additives for lubricants is the Extreme Pressure (EP) additive. It enables lubricants to function effectively under high temperatures and pressures, forming a protective film to prevent metal-to-metal contact </w:t>
      </w:r>
      <w:r w:rsidR="009216F2" w:rsidRPr="00D45F9C">
        <w:rPr>
          <w:lang w:val="en-GB"/>
        </w:rPr>
        <w:t>(</w:t>
      </w:r>
      <w:proofErr w:type="spellStart"/>
      <w:r w:rsidR="00015A5B" w:rsidRPr="00D45F9C">
        <w:rPr>
          <w:lang w:val="en-GB"/>
        </w:rPr>
        <w:t>Azarhoushang</w:t>
      </w:r>
      <w:proofErr w:type="spellEnd"/>
      <w:r w:rsidR="009216F2" w:rsidRPr="00D45F9C">
        <w:rPr>
          <w:lang w:val="en-GB"/>
        </w:rPr>
        <w:t>, 20</w:t>
      </w:r>
      <w:r w:rsidR="00BE141B" w:rsidRPr="00D45F9C">
        <w:rPr>
          <w:lang w:val="en-GB"/>
        </w:rPr>
        <w:t>22</w:t>
      </w:r>
      <w:r w:rsidR="009216F2" w:rsidRPr="00D45F9C">
        <w:rPr>
          <w:lang w:val="en-GB"/>
        </w:rPr>
        <w:t>)</w:t>
      </w:r>
      <w:r w:rsidRPr="00D45F9C">
        <w:rPr>
          <w:lang w:val="en-GB"/>
        </w:rPr>
        <w:t>.</w:t>
      </w:r>
      <w:r w:rsidR="00A04D94" w:rsidRPr="00D45F9C">
        <w:rPr>
          <w:lang w:val="en-GB"/>
        </w:rPr>
        <w:t xml:space="preserve"> These additives are vital for preventing load and score of abrasive tool layers, ensuring lubricants possess key qualities like lubricity and high film strength </w:t>
      </w:r>
      <w:r w:rsidR="001B5145" w:rsidRPr="00D45F9C">
        <w:rPr>
          <w:lang w:val="en-GB"/>
        </w:rPr>
        <w:t>(</w:t>
      </w:r>
      <w:r w:rsidR="00E314AD" w:rsidRPr="00D45F9C">
        <w:rPr>
          <w:lang w:val="en-GB"/>
        </w:rPr>
        <w:t>Kish</w:t>
      </w:r>
      <w:r w:rsidR="00431589" w:rsidRPr="00D45F9C">
        <w:rPr>
          <w:lang w:val="en-GB"/>
        </w:rPr>
        <w:t>ore, 2000</w:t>
      </w:r>
      <w:r w:rsidR="001B5145" w:rsidRPr="00D45F9C">
        <w:rPr>
          <w:lang w:val="en-GB"/>
        </w:rPr>
        <w:t>)</w:t>
      </w:r>
      <w:r w:rsidR="00A04D94" w:rsidRPr="00D45F9C">
        <w:rPr>
          <w:lang w:val="en-GB"/>
        </w:rPr>
        <w:t>.</w:t>
      </w:r>
    </w:p>
    <w:p w14:paraId="38751F05" w14:textId="54D5042B" w:rsidR="00AF12C1" w:rsidRPr="00D45F9C" w:rsidRDefault="00AF12C1" w:rsidP="00BB06BE">
      <w:pPr>
        <w:pStyle w:val="CETBodytext"/>
        <w:spacing w:before="60"/>
        <w:rPr>
          <w:lang w:val="en-GB"/>
        </w:rPr>
      </w:pPr>
      <w:r w:rsidRPr="00D45F9C">
        <w:rPr>
          <w:lang w:val="en-GB"/>
        </w:rPr>
        <w:t xml:space="preserve">EP additives, typically derived from sulfur-based raw materials, are increasingly sourced from environmentally friendly vegetable oils due to industry trends </w:t>
      </w:r>
      <w:r w:rsidR="00721EC7" w:rsidRPr="00D45F9C">
        <w:rPr>
          <w:lang w:val="en-GB"/>
        </w:rPr>
        <w:t>(Bart et al.</w:t>
      </w:r>
      <w:r w:rsidR="005C261E" w:rsidRPr="00D45F9C">
        <w:rPr>
          <w:lang w:val="en-GB"/>
        </w:rPr>
        <w:t>, 2013</w:t>
      </w:r>
      <w:r w:rsidR="00721EC7" w:rsidRPr="00D45F9C">
        <w:rPr>
          <w:lang w:val="en-GB"/>
        </w:rPr>
        <w:t>)</w:t>
      </w:r>
      <w:r w:rsidRPr="00D45F9C">
        <w:rPr>
          <w:lang w:val="en-GB"/>
        </w:rPr>
        <w:t>.</w:t>
      </w:r>
      <w:r w:rsidR="00BB06BE" w:rsidRPr="00D45F9C">
        <w:rPr>
          <w:lang w:val="en-GB"/>
        </w:rPr>
        <w:t xml:space="preserve"> </w:t>
      </w:r>
      <w:r w:rsidRPr="00D45F9C">
        <w:rPr>
          <w:lang w:val="en-GB"/>
        </w:rPr>
        <w:t xml:space="preserve">Ensuring these raw materials meet technical standards is crucial for producing high-quality lubricants, particularly focusing on the fatty acid composition of vegetable-based materials </w:t>
      </w:r>
      <w:r w:rsidR="001B5145" w:rsidRPr="00D45F9C">
        <w:rPr>
          <w:lang w:val="en-GB"/>
        </w:rPr>
        <w:t>(</w:t>
      </w:r>
      <w:r w:rsidR="00A75193" w:rsidRPr="00D45F9C">
        <w:rPr>
          <w:lang w:val="en-GB"/>
        </w:rPr>
        <w:t xml:space="preserve">Abdulrahman et al., </w:t>
      </w:r>
      <w:r w:rsidR="00CB5641" w:rsidRPr="00D45F9C">
        <w:rPr>
          <w:lang w:val="en-GB"/>
        </w:rPr>
        <w:t>2019</w:t>
      </w:r>
      <w:r w:rsidR="001B5145" w:rsidRPr="00D45F9C">
        <w:rPr>
          <w:lang w:val="en-GB"/>
        </w:rPr>
        <w:t>)</w:t>
      </w:r>
      <w:r w:rsidRPr="00D45F9C">
        <w:rPr>
          <w:lang w:val="en-GB"/>
        </w:rPr>
        <w:t>.</w:t>
      </w:r>
      <w:r w:rsidR="00BB06BE" w:rsidRPr="00D45F9C">
        <w:rPr>
          <w:lang w:val="en-GB"/>
        </w:rPr>
        <w:t xml:space="preserve"> </w:t>
      </w:r>
      <w:r w:rsidRPr="00D45F9C">
        <w:rPr>
          <w:lang w:val="en-GB"/>
        </w:rPr>
        <w:t>Vegetable oils are favoured for synthesizing EP additives, with options such as rapeseed oil and sunflower oil being common choices in Europe.</w:t>
      </w:r>
      <w:r w:rsidR="00BB06BE" w:rsidRPr="00D45F9C">
        <w:rPr>
          <w:lang w:val="en-GB"/>
        </w:rPr>
        <w:t xml:space="preserve"> </w:t>
      </w:r>
      <w:r w:rsidR="00391C49" w:rsidRPr="00D45F9C">
        <w:rPr>
          <w:lang w:val="en-GB"/>
        </w:rPr>
        <w:t>(</w:t>
      </w:r>
      <w:r w:rsidR="00AC66ED" w:rsidRPr="00D45F9C">
        <w:rPr>
          <w:lang w:val="en-GB"/>
        </w:rPr>
        <w:t>Gabor</w:t>
      </w:r>
      <w:r w:rsidR="00391C49" w:rsidRPr="00D45F9C">
        <w:rPr>
          <w:lang w:val="en-GB"/>
        </w:rPr>
        <w:t xml:space="preserve"> et al., 2022) </w:t>
      </w:r>
      <w:r w:rsidRPr="00D45F9C">
        <w:rPr>
          <w:lang w:val="en-GB"/>
        </w:rPr>
        <w:t xml:space="preserve">However, their natural form lacks adequate oxidative stability for direct use in lubricants, necessitating modification through sulfurization to enhance properties like viscosity index and metal adherence </w:t>
      </w:r>
      <w:r w:rsidR="00F75C7C" w:rsidRPr="00D45F9C">
        <w:rPr>
          <w:lang w:val="en-GB"/>
        </w:rPr>
        <w:t>(</w:t>
      </w:r>
      <w:r w:rsidR="00391C49" w:rsidRPr="00D45F9C">
        <w:rPr>
          <w:lang w:val="en-GB"/>
        </w:rPr>
        <w:t>Frank</w:t>
      </w:r>
      <w:r w:rsidR="00164DA5" w:rsidRPr="00D45F9C">
        <w:rPr>
          <w:lang w:val="en-GB"/>
        </w:rPr>
        <w:t xml:space="preserve"> et al., </w:t>
      </w:r>
      <w:r w:rsidR="00391C49" w:rsidRPr="00D45F9C">
        <w:rPr>
          <w:lang w:val="en-GB"/>
        </w:rPr>
        <w:t>1979</w:t>
      </w:r>
      <w:r w:rsidR="00F75C7C" w:rsidRPr="00D45F9C">
        <w:rPr>
          <w:lang w:val="en-GB"/>
        </w:rPr>
        <w:t>)</w:t>
      </w:r>
      <w:r w:rsidRPr="00D45F9C">
        <w:rPr>
          <w:lang w:val="en-GB"/>
        </w:rPr>
        <w:t>.</w:t>
      </w:r>
    </w:p>
    <w:p w14:paraId="47148268" w14:textId="2B3DFF19" w:rsidR="00AF12C1" w:rsidRDefault="00AF12C1" w:rsidP="00BB06BE">
      <w:pPr>
        <w:pStyle w:val="CETBodytext"/>
        <w:spacing w:before="60"/>
        <w:rPr>
          <w:lang w:val="en-GB"/>
        </w:rPr>
      </w:pPr>
      <w:r w:rsidRPr="00D45F9C">
        <w:rPr>
          <w:lang w:val="en-GB"/>
        </w:rPr>
        <w:t xml:space="preserve">The experimental phase aims to evaluate selected vegetable oils as raw materials for EP additive synthesis and assess their effect on lubricating oil properties in relation </w:t>
      </w:r>
      <w:r w:rsidR="002A6454" w:rsidRPr="00D45F9C">
        <w:rPr>
          <w:lang w:val="en-GB"/>
        </w:rPr>
        <w:t>with</w:t>
      </w:r>
      <w:r w:rsidRPr="00D45F9C">
        <w:rPr>
          <w:lang w:val="en-GB"/>
        </w:rPr>
        <w:t xml:space="preserve"> molecular weight, using different analytical methods.</w:t>
      </w:r>
    </w:p>
    <w:p w14:paraId="39B28697" w14:textId="77777777" w:rsidR="00E75FF6" w:rsidRPr="00D45F9C" w:rsidRDefault="00E75FF6" w:rsidP="00E75FF6">
      <w:pPr>
        <w:pStyle w:val="CETHeading1"/>
        <w:tabs>
          <w:tab w:val="num" w:pos="360"/>
        </w:tabs>
        <w:rPr>
          <w:lang w:val="en-GB"/>
        </w:rPr>
      </w:pPr>
      <w:r w:rsidRPr="00D45F9C">
        <w:rPr>
          <w:lang w:val="en-GB"/>
        </w:rPr>
        <w:lastRenderedPageBreak/>
        <w:t>Materials</w:t>
      </w:r>
    </w:p>
    <w:p w14:paraId="10E2307D" w14:textId="43D32DC0" w:rsidR="00E75FF6" w:rsidRPr="00D45F9C" w:rsidRDefault="00FF31B3" w:rsidP="00E75FF6">
      <w:pPr>
        <w:pStyle w:val="CETBodytext"/>
        <w:spacing w:after="60"/>
        <w:rPr>
          <w:lang w:val="en-GB"/>
        </w:rPr>
      </w:pPr>
      <w:r w:rsidRPr="00D45F9C">
        <w:rPr>
          <w:lang w:val="en-GB"/>
        </w:rPr>
        <w:t>The</w:t>
      </w:r>
      <w:r w:rsidR="00E75FF6" w:rsidRPr="00D45F9C">
        <w:rPr>
          <w:lang w:val="en-GB"/>
        </w:rPr>
        <w:t xml:space="preserve"> data of the raw materials (</w:t>
      </w:r>
      <w:r w:rsidR="004C210E" w:rsidRPr="00D45F9C">
        <w:rPr>
          <w:lang w:val="en-GB"/>
        </w:rPr>
        <w:t>raw materials to be sulfurized</w:t>
      </w:r>
      <w:r w:rsidR="00E75FF6" w:rsidRPr="00D45F9C">
        <w:rPr>
          <w:lang w:val="en-GB"/>
        </w:rPr>
        <w:t xml:space="preserve"> and sulfur donor) used for the EP additives synthesis</w:t>
      </w:r>
      <w:r w:rsidR="001669FE" w:rsidRPr="00D45F9C">
        <w:rPr>
          <w:lang w:val="en-GB"/>
        </w:rPr>
        <w:t xml:space="preserve"> </w:t>
      </w:r>
      <w:r w:rsidR="004C055E" w:rsidRPr="00D45F9C">
        <w:rPr>
          <w:lang w:val="en-GB"/>
        </w:rPr>
        <w:t>are</w:t>
      </w:r>
      <w:r w:rsidR="001669FE" w:rsidRPr="00D45F9C">
        <w:rPr>
          <w:lang w:val="en-GB"/>
        </w:rPr>
        <w:t xml:space="preserve"> indicated in Tables 1-2.</w:t>
      </w:r>
    </w:p>
    <w:p w14:paraId="32DAEF43" w14:textId="281DC830" w:rsidR="00E75FF6" w:rsidRPr="00D45F9C" w:rsidRDefault="00E75FF6" w:rsidP="00870D09">
      <w:pPr>
        <w:pStyle w:val="CETTabletitle"/>
        <w:spacing w:before="120"/>
      </w:pPr>
      <w:r w:rsidRPr="00D45F9C">
        <w:t xml:space="preserve">Table 1: Characteristics of the </w:t>
      </w:r>
      <w:r w:rsidR="004C210E" w:rsidRPr="00D45F9C">
        <w:t>raw materials to be sulfurized</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560"/>
        <w:gridCol w:w="2551"/>
        <w:gridCol w:w="1134"/>
        <w:gridCol w:w="1134"/>
        <w:gridCol w:w="1276"/>
        <w:gridCol w:w="1132"/>
      </w:tblGrid>
      <w:tr w:rsidR="000D7B7B" w:rsidRPr="00D45F9C" w14:paraId="59258810" w14:textId="513A3CFF" w:rsidTr="00870D09">
        <w:tc>
          <w:tcPr>
            <w:tcW w:w="1560" w:type="dxa"/>
            <w:tcBorders>
              <w:top w:val="single" w:sz="12" w:space="0" w:color="008000"/>
              <w:bottom w:val="single" w:sz="6" w:space="0" w:color="008000"/>
            </w:tcBorders>
            <w:shd w:val="clear" w:color="auto" w:fill="FFFFFF"/>
            <w:vAlign w:val="center"/>
          </w:tcPr>
          <w:p w14:paraId="1419AC2B" w14:textId="3DFE08F5" w:rsidR="000D7B7B" w:rsidRPr="00D45F9C" w:rsidRDefault="000D7B7B" w:rsidP="00B13FE0">
            <w:pPr>
              <w:pStyle w:val="CETBodytext"/>
              <w:jc w:val="left"/>
              <w:rPr>
                <w:lang w:val="en-GB"/>
              </w:rPr>
            </w:pPr>
            <w:r w:rsidRPr="00D45F9C">
              <w:rPr>
                <w:lang w:val="en-GB"/>
              </w:rPr>
              <w:t>Raw material</w:t>
            </w:r>
          </w:p>
        </w:tc>
        <w:tc>
          <w:tcPr>
            <w:tcW w:w="2551" w:type="dxa"/>
            <w:tcBorders>
              <w:top w:val="single" w:sz="12" w:space="0" w:color="008000"/>
              <w:bottom w:val="single" w:sz="6" w:space="0" w:color="008000"/>
            </w:tcBorders>
            <w:shd w:val="clear" w:color="auto" w:fill="FFFFFF"/>
            <w:vAlign w:val="center"/>
          </w:tcPr>
          <w:p w14:paraId="37EEA465" w14:textId="28B91B2E" w:rsidR="000D7B7B" w:rsidRPr="00D45F9C" w:rsidRDefault="000D7B7B" w:rsidP="00B13FE0">
            <w:pPr>
              <w:pStyle w:val="CETBodytext"/>
              <w:jc w:val="left"/>
              <w:rPr>
                <w:lang w:val="en-GB"/>
              </w:rPr>
            </w:pPr>
            <w:r w:rsidRPr="00D45F9C">
              <w:rPr>
                <w:lang w:val="en-GB"/>
              </w:rPr>
              <w:t>Appearance</w:t>
            </w:r>
          </w:p>
        </w:tc>
        <w:tc>
          <w:tcPr>
            <w:tcW w:w="1134" w:type="dxa"/>
            <w:tcBorders>
              <w:top w:val="single" w:sz="12" w:space="0" w:color="008000"/>
              <w:bottom w:val="single" w:sz="6" w:space="0" w:color="008000"/>
            </w:tcBorders>
            <w:shd w:val="clear" w:color="auto" w:fill="FFFFFF"/>
            <w:vAlign w:val="center"/>
          </w:tcPr>
          <w:p w14:paraId="7463AC8C" w14:textId="04E3D8B6" w:rsidR="000D7B7B" w:rsidRPr="00D45F9C" w:rsidRDefault="000D7B7B" w:rsidP="00B13FE0">
            <w:pPr>
              <w:pStyle w:val="CETBodytext"/>
              <w:jc w:val="left"/>
              <w:rPr>
                <w:lang w:val="en-GB"/>
              </w:rPr>
            </w:pPr>
            <w:r w:rsidRPr="00D45F9C">
              <w:rPr>
                <w:lang w:val="en-GB"/>
              </w:rPr>
              <w:t>Density at 20°C, g/cm</w:t>
            </w:r>
            <w:r w:rsidRPr="00D45F9C">
              <w:rPr>
                <w:vertAlign w:val="superscript"/>
                <w:lang w:val="en-GB"/>
              </w:rPr>
              <w:t>3</w:t>
            </w:r>
          </w:p>
        </w:tc>
        <w:tc>
          <w:tcPr>
            <w:tcW w:w="1134" w:type="dxa"/>
            <w:tcBorders>
              <w:top w:val="single" w:sz="12" w:space="0" w:color="008000"/>
              <w:bottom w:val="single" w:sz="6" w:space="0" w:color="008000"/>
            </w:tcBorders>
            <w:shd w:val="clear" w:color="auto" w:fill="FFFFFF"/>
            <w:vAlign w:val="center"/>
          </w:tcPr>
          <w:p w14:paraId="50E556B9" w14:textId="6B5568FD" w:rsidR="000D7B7B" w:rsidRPr="00D45F9C" w:rsidRDefault="000D7B7B" w:rsidP="00B13FE0">
            <w:pPr>
              <w:pStyle w:val="CETBodytext"/>
              <w:jc w:val="left"/>
              <w:rPr>
                <w:lang w:val="en-GB"/>
              </w:rPr>
            </w:pPr>
            <w:r w:rsidRPr="00D45F9C">
              <w:rPr>
                <w:lang w:val="en-GB"/>
              </w:rPr>
              <w:t>Kinematic viscosity at 40°C, mm</w:t>
            </w:r>
            <w:r w:rsidRPr="00D45F9C">
              <w:rPr>
                <w:vertAlign w:val="superscript"/>
                <w:lang w:val="en-GB"/>
              </w:rPr>
              <w:t>2</w:t>
            </w:r>
            <w:r w:rsidRPr="00D45F9C">
              <w:rPr>
                <w:lang w:val="en-GB"/>
              </w:rPr>
              <w:t>/s</w:t>
            </w:r>
          </w:p>
        </w:tc>
        <w:tc>
          <w:tcPr>
            <w:tcW w:w="1276" w:type="dxa"/>
            <w:tcBorders>
              <w:top w:val="single" w:sz="12" w:space="0" w:color="008000"/>
              <w:bottom w:val="single" w:sz="6" w:space="0" w:color="008000"/>
            </w:tcBorders>
            <w:shd w:val="clear" w:color="auto" w:fill="FFFFFF"/>
            <w:vAlign w:val="center"/>
          </w:tcPr>
          <w:p w14:paraId="437F6A92" w14:textId="237D8554" w:rsidR="000D7B7B" w:rsidRPr="00D45F9C" w:rsidRDefault="000D7B7B" w:rsidP="00B13FE0">
            <w:pPr>
              <w:pStyle w:val="CETBodytext"/>
              <w:jc w:val="left"/>
              <w:rPr>
                <w:lang w:val="en-GB"/>
              </w:rPr>
            </w:pPr>
            <w:r w:rsidRPr="00D45F9C">
              <w:rPr>
                <w:lang w:val="en-GB"/>
              </w:rPr>
              <w:t>Kinematic viscosity at 100°C, mm</w:t>
            </w:r>
            <w:r w:rsidRPr="00D45F9C">
              <w:rPr>
                <w:vertAlign w:val="superscript"/>
                <w:lang w:val="en-GB"/>
              </w:rPr>
              <w:t>2</w:t>
            </w:r>
            <w:r w:rsidRPr="00D45F9C">
              <w:rPr>
                <w:lang w:val="en-GB"/>
              </w:rPr>
              <w:t>/s</w:t>
            </w:r>
          </w:p>
        </w:tc>
        <w:tc>
          <w:tcPr>
            <w:tcW w:w="1132" w:type="dxa"/>
            <w:tcBorders>
              <w:top w:val="single" w:sz="12" w:space="0" w:color="008000"/>
              <w:bottom w:val="single" w:sz="6" w:space="0" w:color="008000"/>
            </w:tcBorders>
            <w:shd w:val="clear" w:color="auto" w:fill="FFFFFF"/>
            <w:vAlign w:val="center"/>
          </w:tcPr>
          <w:p w14:paraId="4242D150" w14:textId="1791A725" w:rsidR="000D7B7B" w:rsidRPr="00D45F9C" w:rsidRDefault="000D7B7B" w:rsidP="00B13FE0">
            <w:pPr>
              <w:pStyle w:val="CETBodytext"/>
              <w:jc w:val="left"/>
              <w:rPr>
                <w:lang w:val="en-GB"/>
              </w:rPr>
            </w:pPr>
            <w:r w:rsidRPr="00D45F9C">
              <w:rPr>
                <w:lang w:val="en-GB"/>
              </w:rPr>
              <w:t>Iodine number, gI</w:t>
            </w:r>
            <w:r w:rsidRPr="00D45F9C">
              <w:rPr>
                <w:vertAlign w:val="subscript"/>
                <w:lang w:val="en-GB"/>
              </w:rPr>
              <w:t>2</w:t>
            </w:r>
            <w:r w:rsidRPr="00D45F9C">
              <w:rPr>
                <w:lang w:val="en-GB"/>
              </w:rPr>
              <w:t>/100g</w:t>
            </w:r>
          </w:p>
        </w:tc>
      </w:tr>
      <w:tr w:rsidR="000176D5" w:rsidRPr="00D45F9C" w14:paraId="783BE757" w14:textId="62DE2BC5" w:rsidTr="00870D09">
        <w:tc>
          <w:tcPr>
            <w:tcW w:w="1560" w:type="dxa"/>
            <w:shd w:val="clear" w:color="auto" w:fill="FFFFFF"/>
            <w:vAlign w:val="center"/>
          </w:tcPr>
          <w:p w14:paraId="0FE1B1B2" w14:textId="0208893E" w:rsidR="000176D5" w:rsidRPr="00D45F9C" w:rsidRDefault="000176D5" w:rsidP="00B13FE0">
            <w:pPr>
              <w:pStyle w:val="CETBodytext"/>
              <w:jc w:val="left"/>
              <w:rPr>
                <w:lang w:val="en-GB"/>
              </w:rPr>
            </w:pPr>
            <w:r w:rsidRPr="00D45F9C">
              <w:rPr>
                <w:lang w:val="en-GB"/>
              </w:rPr>
              <w:t>Rapeseed oil</w:t>
            </w:r>
          </w:p>
        </w:tc>
        <w:tc>
          <w:tcPr>
            <w:tcW w:w="2551" w:type="dxa"/>
            <w:shd w:val="clear" w:color="auto" w:fill="FFFFFF"/>
            <w:vAlign w:val="center"/>
          </w:tcPr>
          <w:p w14:paraId="606AB202" w14:textId="53F50F13" w:rsidR="000176D5" w:rsidRPr="00D45F9C" w:rsidRDefault="000176D5" w:rsidP="00B13FE0">
            <w:pPr>
              <w:pStyle w:val="CETBodytext"/>
              <w:jc w:val="left"/>
              <w:rPr>
                <w:lang w:val="en-GB"/>
              </w:rPr>
            </w:pPr>
            <w:r w:rsidRPr="00D45F9C">
              <w:rPr>
                <w:lang w:val="en-GB"/>
              </w:rPr>
              <w:t>Yellow, clear liquid</w:t>
            </w:r>
          </w:p>
        </w:tc>
        <w:tc>
          <w:tcPr>
            <w:tcW w:w="1134" w:type="dxa"/>
            <w:shd w:val="clear" w:color="auto" w:fill="FFFFFF"/>
            <w:vAlign w:val="center"/>
          </w:tcPr>
          <w:p w14:paraId="2B3270BB" w14:textId="67BD71FC" w:rsidR="000176D5" w:rsidRPr="00D45F9C" w:rsidRDefault="000176D5" w:rsidP="00B13FE0">
            <w:pPr>
              <w:pStyle w:val="CETBodytext"/>
              <w:jc w:val="left"/>
              <w:rPr>
                <w:lang w:val="en-GB"/>
              </w:rPr>
            </w:pPr>
            <w:r w:rsidRPr="00D45F9C">
              <w:rPr>
                <w:lang w:val="en-GB"/>
              </w:rPr>
              <w:t>0.9166</w:t>
            </w:r>
          </w:p>
        </w:tc>
        <w:tc>
          <w:tcPr>
            <w:tcW w:w="1134" w:type="dxa"/>
            <w:shd w:val="clear" w:color="auto" w:fill="FFFFFF"/>
            <w:vAlign w:val="center"/>
          </w:tcPr>
          <w:p w14:paraId="05629A47" w14:textId="5A21CECB" w:rsidR="000176D5" w:rsidRPr="00D45F9C" w:rsidRDefault="000176D5" w:rsidP="00B13FE0">
            <w:pPr>
              <w:pStyle w:val="CETBodytext"/>
              <w:jc w:val="left"/>
              <w:rPr>
                <w:lang w:val="en-GB"/>
              </w:rPr>
            </w:pPr>
            <w:r w:rsidRPr="00D45F9C">
              <w:rPr>
                <w:lang w:val="en-GB"/>
              </w:rPr>
              <w:t>35.44</w:t>
            </w:r>
          </w:p>
        </w:tc>
        <w:tc>
          <w:tcPr>
            <w:tcW w:w="1276" w:type="dxa"/>
            <w:shd w:val="clear" w:color="auto" w:fill="FFFFFF"/>
            <w:vAlign w:val="center"/>
          </w:tcPr>
          <w:p w14:paraId="30B8C42E" w14:textId="5E071584" w:rsidR="000176D5" w:rsidRPr="00D45F9C" w:rsidRDefault="000176D5" w:rsidP="00B13FE0">
            <w:pPr>
              <w:pStyle w:val="CETBodytext"/>
              <w:jc w:val="left"/>
              <w:rPr>
                <w:lang w:val="en-GB"/>
              </w:rPr>
            </w:pPr>
            <w:r w:rsidRPr="00D45F9C">
              <w:rPr>
                <w:lang w:val="en-GB"/>
              </w:rPr>
              <w:t>8.11</w:t>
            </w:r>
          </w:p>
        </w:tc>
        <w:tc>
          <w:tcPr>
            <w:tcW w:w="1132" w:type="dxa"/>
            <w:shd w:val="clear" w:color="auto" w:fill="FFFFFF"/>
            <w:vAlign w:val="center"/>
          </w:tcPr>
          <w:p w14:paraId="00420A66" w14:textId="2797F52F" w:rsidR="000176D5" w:rsidRPr="00D45F9C" w:rsidRDefault="000176D5" w:rsidP="00B13FE0">
            <w:pPr>
              <w:pStyle w:val="CETBodytext"/>
              <w:jc w:val="left"/>
              <w:rPr>
                <w:lang w:val="en-GB"/>
              </w:rPr>
            </w:pPr>
            <w:r w:rsidRPr="00D45F9C">
              <w:rPr>
                <w:lang w:val="en-GB"/>
              </w:rPr>
              <w:t>108.0</w:t>
            </w:r>
          </w:p>
        </w:tc>
      </w:tr>
      <w:tr w:rsidR="000176D5" w:rsidRPr="00D45F9C" w14:paraId="087193D1" w14:textId="05A2A274" w:rsidTr="00870D09">
        <w:tc>
          <w:tcPr>
            <w:tcW w:w="1560" w:type="dxa"/>
            <w:shd w:val="clear" w:color="auto" w:fill="FFFFFF"/>
            <w:vAlign w:val="center"/>
          </w:tcPr>
          <w:p w14:paraId="2D26F509" w14:textId="364B59A1" w:rsidR="000176D5" w:rsidRPr="00D45F9C" w:rsidRDefault="000176D5" w:rsidP="00B13FE0">
            <w:pPr>
              <w:pStyle w:val="CETBodytext"/>
              <w:ind w:right="-1"/>
              <w:jc w:val="left"/>
              <w:rPr>
                <w:rFonts w:cs="Arial"/>
                <w:szCs w:val="18"/>
                <w:lang w:val="en-GB"/>
              </w:rPr>
            </w:pPr>
            <w:r w:rsidRPr="00D45F9C">
              <w:rPr>
                <w:lang w:val="en-GB"/>
              </w:rPr>
              <w:t>Sunflower oil</w:t>
            </w:r>
          </w:p>
        </w:tc>
        <w:tc>
          <w:tcPr>
            <w:tcW w:w="2551" w:type="dxa"/>
            <w:shd w:val="clear" w:color="auto" w:fill="FFFFFF"/>
            <w:vAlign w:val="center"/>
          </w:tcPr>
          <w:p w14:paraId="4A931AA2" w14:textId="7B501F72" w:rsidR="000176D5" w:rsidRPr="00D45F9C" w:rsidRDefault="000176D5" w:rsidP="00B13FE0">
            <w:pPr>
              <w:pStyle w:val="CETBodytext"/>
              <w:ind w:right="-1"/>
              <w:jc w:val="left"/>
              <w:rPr>
                <w:rFonts w:cs="Arial"/>
                <w:szCs w:val="18"/>
                <w:lang w:val="en-GB"/>
              </w:rPr>
            </w:pPr>
            <w:r w:rsidRPr="00D45F9C">
              <w:rPr>
                <w:lang w:val="en-GB"/>
              </w:rPr>
              <w:t>Yellow, slightly opal liquid</w:t>
            </w:r>
          </w:p>
        </w:tc>
        <w:tc>
          <w:tcPr>
            <w:tcW w:w="1134" w:type="dxa"/>
            <w:shd w:val="clear" w:color="auto" w:fill="FFFFFF"/>
            <w:vAlign w:val="center"/>
          </w:tcPr>
          <w:p w14:paraId="545156CC" w14:textId="69CAB267" w:rsidR="000176D5" w:rsidRPr="00D45F9C" w:rsidRDefault="000176D5" w:rsidP="00B13FE0">
            <w:pPr>
              <w:pStyle w:val="CETBodytext"/>
              <w:ind w:right="-1"/>
              <w:jc w:val="left"/>
              <w:rPr>
                <w:rFonts w:cs="Arial"/>
                <w:szCs w:val="18"/>
                <w:lang w:val="en-GB"/>
              </w:rPr>
            </w:pPr>
            <w:r w:rsidRPr="00D45F9C">
              <w:rPr>
                <w:lang w:val="en-GB"/>
              </w:rPr>
              <w:t>0.9195</w:t>
            </w:r>
          </w:p>
        </w:tc>
        <w:tc>
          <w:tcPr>
            <w:tcW w:w="1134" w:type="dxa"/>
            <w:shd w:val="clear" w:color="auto" w:fill="FFFFFF"/>
            <w:vAlign w:val="center"/>
          </w:tcPr>
          <w:p w14:paraId="298EAB13" w14:textId="50D145A4" w:rsidR="000176D5" w:rsidRPr="00D45F9C" w:rsidRDefault="000176D5" w:rsidP="00B13FE0">
            <w:pPr>
              <w:pStyle w:val="CETBodytext"/>
              <w:ind w:right="-1"/>
              <w:jc w:val="left"/>
              <w:rPr>
                <w:rFonts w:cs="Arial"/>
                <w:szCs w:val="18"/>
                <w:lang w:val="en-GB"/>
              </w:rPr>
            </w:pPr>
            <w:r w:rsidRPr="00D45F9C">
              <w:rPr>
                <w:lang w:val="en-GB"/>
              </w:rPr>
              <w:t>33.21</w:t>
            </w:r>
          </w:p>
        </w:tc>
        <w:tc>
          <w:tcPr>
            <w:tcW w:w="1276" w:type="dxa"/>
            <w:shd w:val="clear" w:color="auto" w:fill="FFFFFF"/>
            <w:vAlign w:val="center"/>
          </w:tcPr>
          <w:p w14:paraId="34BFEADD" w14:textId="07697282" w:rsidR="000176D5" w:rsidRPr="00D45F9C" w:rsidRDefault="000176D5" w:rsidP="00B13FE0">
            <w:pPr>
              <w:pStyle w:val="CETBodytext"/>
              <w:ind w:right="-1"/>
              <w:jc w:val="left"/>
              <w:rPr>
                <w:rFonts w:cs="Arial"/>
                <w:szCs w:val="18"/>
                <w:lang w:val="en-GB"/>
              </w:rPr>
            </w:pPr>
            <w:r w:rsidRPr="00D45F9C">
              <w:rPr>
                <w:lang w:val="en-GB"/>
              </w:rPr>
              <w:t>7.81</w:t>
            </w:r>
          </w:p>
        </w:tc>
        <w:tc>
          <w:tcPr>
            <w:tcW w:w="1132" w:type="dxa"/>
            <w:shd w:val="clear" w:color="auto" w:fill="FFFFFF"/>
            <w:vAlign w:val="center"/>
          </w:tcPr>
          <w:p w14:paraId="4B3EDD55" w14:textId="0BA5D668" w:rsidR="000176D5" w:rsidRPr="00D45F9C" w:rsidRDefault="000176D5" w:rsidP="00B13FE0">
            <w:pPr>
              <w:pStyle w:val="CETBodytext"/>
              <w:ind w:right="-1"/>
              <w:jc w:val="left"/>
              <w:rPr>
                <w:rFonts w:cs="Arial"/>
                <w:szCs w:val="18"/>
                <w:lang w:val="en-GB"/>
              </w:rPr>
            </w:pPr>
            <w:r w:rsidRPr="00D45F9C">
              <w:rPr>
                <w:lang w:val="en-GB"/>
              </w:rPr>
              <w:t>122.0</w:t>
            </w:r>
          </w:p>
        </w:tc>
      </w:tr>
      <w:tr w:rsidR="000176D5" w:rsidRPr="00D45F9C" w14:paraId="205B141A" w14:textId="3C18E836" w:rsidTr="00870D09">
        <w:tc>
          <w:tcPr>
            <w:tcW w:w="1560" w:type="dxa"/>
            <w:shd w:val="clear" w:color="auto" w:fill="FFFFFF"/>
            <w:vAlign w:val="center"/>
          </w:tcPr>
          <w:p w14:paraId="08408009" w14:textId="6E2D177F" w:rsidR="000176D5" w:rsidRPr="00D45F9C" w:rsidRDefault="000176D5" w:rsidP="00B13FE0">
            <w:pPr>
              <w:pStyle w:val="CETBodytext"/>
              <w:ind w:right="-1"/>
              <w:jc w:val="left"/>
              <w:rPr>
                <w:rFonts w:cs="Arial"/>
                <w:szCs w:val="18"/>
                <w:lang w:val="en-GB"/>
              </w:rPr>
            </w:pPr>
            <w:r w:rsidRPr="00D45F9C">
              <w:rPr>
                <w:lang w:val="en-GB"/>
              </w:rPr>
              <w:t>Used cooking oil</w:t>
            </w:r>
          </w:p>
        </w:tc>
        <w:tc>
          <w:tcPr>
            <w:tcW w:w="2551" w:type="dxa"/>
            <w:shd w:val="clear" w:color="auto" w:fill="FFFFFF"/>
            <w:vAlign w:val="center"/>
          </w:tcPr>
          <w:p w14:paraId="2D7C9B35" w14:textId="4BD3468F" w:rsidR="000176D5" w:rsidRPr="00D45F9C" w:rsidRDefault="000176D5" w:rsidP="00B13FE0">
            <w:pPr>
              <w:pStyle w:val="CETBodytext"/>
              <w:ind w:right="-1"/>
              <w:jc w:val="left"/>
              <w:rPr>
                <w:rFonts w:cs="Arial"/>
                <w:szCs w:val="18"/>
                <w:lang w:val="en-GB"/>
              </w:rPr>
            </w:pPr>
            <w:r w:rsidRPr="00D45F9C">
              <w:rPr>
                <w:lang w:val="en-GB"/>
              </w:rPr>
              <w:t>Brown, clear liquid</w:t>
            </w:r>
          </w:p>
        </w:tc>
        <w:tc>
          <w:tcPr>
            <w:tcW w:w="1134" w:type="dxa"/>
            <w:shd w:val="clear" w:color="auto" w:fill="FFFFFF"/>
            <w:vAlign w:val="center"/>
          </w:tcPr>
          <w:p w14:paraId="05ECDD50" w14:textId="202AFBCD" w:rsidR="000176D5" w:rsidRPr="00D45F9C" w:rsidRDefault="000176D5" w:rsidP="00B13FE0">
            <w:pPr>
              <w:pStyle w:val="CETBodytext"/>
              <w:ind w:right="-1"/>
              <w:jc w:val="left"/>
              <w:rPr>
                <w:rFonts w:cs="Arial"/>
                <w:szCs w:val="18"/>
                <w:lang w:val="en-GB"/>
              </w:rPr>
            </w:pPr>
            <w:r w:rsidRPr="00D45F9C">
              <w:rPr>
                <w:lang w:val="en-GB"/>
              </w:rPr>
              <w:t>0.9202</w:t>
            </w:r>
          </w:p>
        </w:tc>
        <w:tc>
          <w:tcPr>
            <w:tcW w:w="1134" w:type="dxa"/>
            <w:shd w:val="clear" w:color="auto" w:fill="FFFFFF"/>
            <w:vAlign w:val="center"/>
          </w:tcPr>
          <w:p w14:paraId="46FCE09B" w14:textId="735A951A" w:rsidR="000176D5" w:rsidRPr="00D45F9C" w:rsidRDefault="000176D5" w:rsidP="00B13FE0">
            <w:pPr>
              <w:pStyle w:val="CETBodytext"/>
              <w:ind w:right="-1"/>
              <w:jc w:val="left"/>
              <w:rPr>
                <w:rFonts w:cs="Arial"/>
                <w:szCs w:val="18"/>
                <w:lang w:val="en-GB"/>
              </w:rPr>
            </w:pPr>
            <w:r w:rsidRPr="00D45F9C">
              <w:rPr>
                <w:lang w:val="en-GB"/>
              </w:rPr>
              <w:t>41.40</w:t>
            </w:r>
          </w:p>
        </w:tc>
        <w:tc>
          <w:tcPr>
            <w:tcW w:w="1276" w:type="dxa"/>
            <w:shd w:val="clear" w:color="auto" w:fill="FFFFFF"/>
            <w:vAlign w:val="center"/>
          </w:tcPr>
          <w:p w14:paraId="1EF1FC33" w14:textId="75170944" w:rsidR="000176D5" w:rsidRPr="00D45F9C" w:rsidRDefault="000176D5" w:rsidP="00B13FE0">
            <w:pPr>
              <w:pStyle w:val="CETBodytext"/>
              <w:ind w:right="-1"/>
              <w:jc w:val="left"/>
              <w:rPr>
                <w:rFonts w:cs="Arial"/>
                <w:szCs w:val="18"/>
                <w:lang w:val="en-GB"/>
              </w:rPr>
            </w:pPr>
            <w:r w:rsidRPr="00D45F9C">
              <w:rPr>
                <w:lang w:val="en-GB"/>
              </w:rPr>
              <w:t>8.84</w:t>
            </w:r>
          </w:p>
        </w:tc>
        <w:tc>
          <w:tcPr>
            <w:tcW w:w="1132" w:type="dxa"/>
            <w:shd w:val="clear" w:color="auto" w:fill="FFFFFF"/>
            <w:vAlign w:val="center"/>
          </w:tcPr>
          <w:p w14:paraId="22913AA8" w14:textId="741F0E72" w:rsidR="000176D5" w:rsidRPr="00D45F9C" w:rsidRDefault="000176D5" w:rsidP="00B13FE0">
            <w:pPr>
              <w:pStyle w:val="CETBodytext"/>
              <w:ind w:right="-1"/>
              <w:jc w:val="left"/>
              <w:rPr>
                <w:rFonts w:cs="Arial"/>
                <w:szCs w:val="18"/>
                <w:lang w:val="en-GB"/>
              </w:rPr>
            </w:pPr>
            <w:r w:rsidRPr="00D45F9C">
              <w:rPr>
                <w:lang w:val="en-GB"/>
              </w:rPr>
              <w:t>85.4</w:t>
            </w:r>
          </w:p>
        </w:tc>
      </w:tr>
      <w:tr w:rsidR="000176D5" w:rsidRPr="00D45F9C" w14:paraId="69A9A080" w14:textId="041AC622" w:rsidTr="00870D09">
        <w:tc>
          <w:tcPr>
            <w:tcW w:w="1560" w:type="dxa"/>
            <w:shd w:val="clear" w:color="auto" w:fill="FFFFFF"/>
            <w:vAlign w:val="center"/>
          </w:tcPr>
          <w:p w14:paraId="6DC62184" w14:textId="3B66BE5C" w:rsidR="000176D5" w:rsidRPr="00D45F9C" w:rsidRDefault="000176D5" w:rsidP="00B13FE0">
            <w:pPr>
              <w:pStyle w:val="CETBodytext"/>
              <w:ind w:right="-1"/>
              <w:jc w:val="left"/>
              <w:rPr>
                <w:rFonts w:cs="Arial"/>
                <w:szCs w:val="18"/>
                <w:lang w:val="en-GB"/>
              </w:rPr>
            </w:pPr>
            <w:r w:rsidRPr="00D45F9C">
              <w:rPr>
                <w:lang w:val="en-GB"/>
              </w:rPr>
              <w:t>Olive pomace oil</w:t>
            </w:r>
          </w:p>
        </w:tc>
        <w:tc>
          <w:tcPr>
            <w:tcW w:w="2551" w:type="dxa"/>
            <w:shd w:val="clear" w:color="auto" w:fill="FFFFFF"/>
            <w:vAlign w:val="center"/>
          </w:tcPr>
          <w:p w14:paraId="6500C59A" w14:textId="0346B664" w:rsidR="000176D5" w:rsidRPr="00D45F9C" w:rsidRDefault="000176D5" w:rsidP="00B13FE0">
            <w:pPr>
              <w:pStyle w:val="CETBodytext"/>
              <w:ind w:right="-1"/>
              <w:jc w:val="left"/>
              <w:rPr>
                <w:rFonts w:cs="Arial"/>
                <w:szCs w:val="18"/>
                <w:lang w:val="en-GB"/>
              </w:rPr>
            </w:pPr>
            <w:r w:rsidRPr="00D45F9C">
              <w:rPr>
                <w:lang w:val="en-GB"/>
              </w:rPr>
              <w:t>Yellow, clear liquid</w:t>
            </w:r>
          </w:p>
        </w:tc>
        <w:tc>
          <w:tcPr>
            <w:tcW w:w="1134" w:type="dxa"/>
            <w:shd w:val="clear" w:color="auto" w:fill="FFFFFF"/>
            <w:vAlign w:val="center"/>
          </w:tcPr>
          <w:p w14:paraId="59F349DB" w14:textId="2C0AADE8" w:rsidR="000176D5" w:rsidRPr="00D45F9C" w:rsidRDefault="000176D5" w:rsidP="00B13FE0">
            <w:pPr>
              <w:pStyle w:val="CETBodytext"/>
              <w:ind w:right="-1"/>
              <w:jc w:val="left"/>
              <w:rPr>
                <w:rFonts w:cs="Arial"/>
                <w:szCs w:val="18"/>
                <w:lang w:val="en-GB"/>
              </w:rPr>
            </w:pPr>
            <w:r w:rsidRPr="00D45F9C">
              <w:rPr>
                <w:lang w:val="en-GB"/>
              </w:rPr>
              <w:t>0.9141</w:t>
            </w:r>
          </w:p>
        </w:tc>
        <w:tc>
          <w:tcPr>
            <w:tcW w:w="1134" w:type="dxa"/>
            <w:shd w:val="clear" w:color="auto" w:fill="FFFFFF"/>
            <w:vAlign w:val="center"/>
          </w:tcPr>
          <w:p w14:paraId="68C9A478" w14:textId="0FCB7B9A" w:rsidR="000176D5" w:rsidRPr="00D45F9C" w:rsidRDefault="000176D5" w:rsidP="00B13FE0">
            <w:pPr>
              <w:pStyle w:val="CETBodytext"/>
              <w:ind w:right="-1"/>
              <w:jc w:val="left"/>
              <w:rPr>
                <w:rFonts w:cs="Arial"/>
                <w:szCs w:val="18"/>
                <w:lang w:val="en-GB"/>
              </w:rPr>
            </w:pPr>
            <w:r w:rsidRPr="00D45F9C">
              <w:rPr>
                <w:lang w:val="en-GB"/>
              </w:rPr>
              <w:t>40.42</w:t>
            </w:r>
          </w:p>
        </w:tc>
        <w:tc>
          <w:tcPr>
            <w:tcW w:w="1276" w:type="dxa"/>
            <w:shd w:val="clear" w:color="auto" w:fill="FFFFFF"/>
            <w:vAlign w:val="center"/>
          </w:tcPr>
          <w:p w14:paraId="59143478" w14:textId="0C518D34" w:rsidR="000176D5" w:rsidRPr="00D45F9C" w:rsidRDefault="000176D5" w:rsidP="00B13FE0">
            <w:pPr>
              <w:pStyle w:val="CETBodytext"/>
              <w:ind w:right="-1"/>
              <w:jc w:val="left"/>
              <w:rPr>
                <w:rFonts w:cs="Arial"/>
                <w:szCs w:val="18"/>
                <w:lang w:val="en-GB"/>
              </w:rPr>
            </w:pPr>
            <w:r w:rsidRPr="00D45F9C">
              <w:rPr>
                <w:lang w:val="en-GB"/>
              </w:rPr>
              <w:t>8.45</w:t>
            </w:r>
          </w:p>
        </w:tc>
        <w:tc>
          <w:tcPr>
            <w:tcW w:w="1132" w:type="dxa"/>
            <w:shd w:val="clear" w:color="auto" w:fill="FFFFFF"/>
            <w:vAlign w:val="center"/>
          </w:tcPr>
          <w:p w14:paraId="122FC020" w14:textId="667A343B" w:rsidR="000176D5" w:rsidRPr="00D45F9C" w:rsidRDefault="000176D5" w:rsidP="00B13FE0">
            <w:pPr>
              <w:pStyle w:val="CETBodytext"/>
              <w:ind w:right="-1"/>
              <w:jc w:val="left"/>
              <w:rPr>
                <w:rFonts w:cs="Arial"/>
                <w:szCs w:val="18"/>
                <w:lang w:val="en-GB"/>
              </w:rPr>
            </w:pPr>
            <w:r w:rsidRPr="00D45F9C">
              <w:rPr>
                <w:lang w:val="en-GB"/>
              </w:rPr>
              <w:t>72.0</w:t>
            </w:r>
          </w:p>
        </w:tc>
      </w:tr>
      <w:tr w:rsidR="00126E56" w:rsidRPr="00D45F9C" w14:paraId="0959B8C6" w14:textId="290FCDC6" w:rsidTr="00870D09">
        <w:tc>
          <w:tcPr>
            <w:tcW w:w="1560" w:type="dxa"/>
            <w:shd w:val="clear" w:color="auto" w:fill="FFFFFF"/>
            <w:vAlign w:val="center"/>
          </w:tcPr>
          <w:p w14:paraId="2B7F3C7F" w14:textId="60394361" w:rsidR="00126E56" w:rsidRPr="00D45F9C" w:rsidRDefault="00126E56" w:rsidP="00B13FE0">
            <w:pPr>
              <w:pStyle w:val="CETBodytext"/>
              <w:ind w:right="-1"/>
              <w:jc w:val="left"/>
              <w:rPr>
                <w:rFonts w:cs="Arial"/>
                <w:szCs w:val="18"/>
                <w:lang w:val="en-GB"/>
              </w:rPr>
            </w:pPr>
            <w:r w:rsidRPr="00D45F9C">
              <w:rPr>
                <w:lang w:val="en-GB"/>
              </w:rPr>
              <w:t>C14-C16 α-olefin</w:t>
            </w:r>
          </w:p>
        </w:tc>
        <w:tc>
          <w:tcPr>
            <w:tcW w:w="2551" w:type="dxa"/>
            <w:shd w:val="clear" w:color="auto" w:fill="FFFFFF"/>
            <w:vAlign w:val="center"/>
          </w:tcPr>
          <w:p w14:paraId="4B40A07D" w14:textId="0FDAD97A" w:rsidR="00126E56" w:rsidRPr="00D45F9C" w:rsidRDefault="00126E56" w:rsidP="00B13FE0">
            <w:pPr>
              <w:pStyle w:val="CETBodytext"/>
              <w:ind w:right="-1"/>
              <w:jc w:val="left"/>
              <w:rPr>
                <w:rFonts w:cs="Arial"/>
                <w:szCs w:val="18"/>
                <w:lang w:val="en-GB"/>
              </w:rPr>
            </w:pPr>
            <w:r w:rsidRPr="00D45F9C">
              <w:rPr>
                <w:lang w:val="en-GB"/>
              </w:rPr>
              <w:t>Colourless, clear liquid</w:t>
            </w:r>
          </w:p>
        </w:tc>
        <w:tc>
          <w:tcPr>
            <w:tcW w:w="1134" w:type="dxa"/>
            <w:shd w:val="clear" w:color="auto" w:fill="FFFFFF"/>
            <w:vAlign w:val="center"/>
          </w:tcPr>
          <w:p w14:paraId="1BFB6DEE" w14:textId="59D5CCC0" w:rsidR="00126E56" w:rsidRPr="00D45F9C" w:rsidRDefault="00126E56" w:rsidP="00B13FE0">
            <w:pPr>
              <w:pStyle w:val="CETBodytext"/>
              <w:ind w:right="-1"/>
              <w:jc w:val="left"/>
              <w:rPr>
                <w:rFonts w:cs="Arial"/>
                <w:szCs w:val="18"/>
                <w:lang w:val="en-GB"/>
              </w:rPr>
            </w:pPr>
            <w:r w:rsidRPr="00D45F9C">
              <w:rPr>
                <w:lang w:val="en-GB"/>
              </w:rPr>
              <w:t>0.7789</w:t>
            </w:r>
          </w:p>
        </w:tc>
        <w:tc>
          <w:tcPr>
            <w:tcW w:w="1134" w:type="dxa"/>
            <w:shd w:val="clear" w:color="auto" w:fill="FFFFFF"/>
            <w:vAlign w:val="center"/>
          </w:tcPr>
          <w:p w14:paraId="31D5E0D1" w14:textId="7A1CBAC3" w:rsidR="00126E56" w:rsidRPr="00D45F9C" w:rsidRDefault="00126E56" w:rsidP="00B13FE0">
            <w:pPr>
              <w:pStyle w:val="CETBodytext"/>
              <w:ind w:right="-1"/>
              <w:jc w:val="left"/>
              <w:rPr>
                <w:rFonts w:cs="Arial"/>
                <w:szCs w:val="18"/>
                <w:lang w:val="en-GB"/>
              </w:rPr>
            </w:pPr>
            <w:r w:rsidRPr="00D45F9C">
              <w:rPr>
                <w:lang w:val="en-GB"/>
              </w:rPr>
              <w:t>2.28</w:t>
            </w:r>
          </w:p>
        </w:tc>
        <w:tc>
          <w:tcPr>
            <w:tcW w:w="1276" w:type="dxa"/>
            <w:shd w:val="clear" w:color="auto" w:fill="FFFFFF"/>
            <w:vAlign w:val="center"/>
          </w:tcPr>
          <w:p w14:paraId="624B1237" w14:textId="3B35C2F3" w:rsidR="00126E56" w:rsidRPr="00D45F9C" w:rsidRDefault="00126E56" w:rsidP="00B13FE0">
            <w:pPr>
              <w:pStyle w:val="CETBodytext"/>
              <w:ind w:right="-1"/>
              <w:jc w:val="left"/>
              <w:rPr>
                <w:rFonts w:cs="Arial"/>
                <w:szCs w:val="18"/>
                <w:lang w:val="en-GB"/>
              </w:rPr>
            </w:pPr>
            <w:r w:rsidRPr="00D45F9C">
              <w:rPr>
                <w:lang w:val="en-GB"/>
              </w:rPr>
              <w:t>1.04</w:t>
            </w:r>
          </w:p>
        </w:tc>
        <w:tc>
          <w:tcPr>
            <w:tcW w:w="1132" w:type="dxa"/>
            <w:shd w:val="clear" w:color="auto" w:fill="FFFFFF"/>
            <w:vAlign w:val="center"/>
          </w:tcPr>
          <w:p w14:paraId="5E55FBC5" w14:textId="1884C4B6" w:rsidR="00126E56" w:rsidRPr="00D45F9C" w:rsidRDefault="00126E56" w:rsidP="00B13FE0">
            <w:pPr>
              <w:pStyle w:val="CETBodytext"/>
              <w:ind w:right="-1"/>
              <w:jc w:val="left"/>
              <w:rPr>
                <w:rFonts w:cs="Arial"/>
                <w:szCs w:val="18"/>
                <w:lang w:val="en-GB"/>
              </w:rPr>
            </w:pPr>
            <w:r w:rsidRPr="00D45F9C">
              <w:rPr>
                <w:lang w:val="en-GB"/>
              </w:rPr>
              <w:t>122.6</w:t>
            </w:r>
          </w:p>
        </w:tc>
      </w:tr>
      <w:tr w:rsidR="00D60915" w:rsidRPr="00D45F9C" w14:paraId="6F6AE59D" w14:textId="77777777" w:rsidTr="00870D09">
        <w:tc>
          <w:tcPr>
            <w:tcW w:w="1560" w:type="dxa"/>
            <w:shd w:val="clear" w:color="auto" w:fill="FFFFFF"/>
            <w:vAlign w:val="center"/>
          </w:tcPr>
          <w:p w14:paraId="4EABDBA9" w14:textId="7FC59FF7" w:rsidR="00D60915" w:rsidRPr="00D45F9C" w:rsidRDefault="00D60915" w:rsidP="00B13FE0">
            <w:pPr>
              <w:pStyle w:val="CETBodytext"/>
              <w:ind w:right="-1"/>
              <w:jc w:val="left"/>
              <w:rPr>
                <w:lang w:val="en-GB"/>
              </w:rPr>
            </w:pPr>
            <w:r w:rsidRPr="00D45F9C">
              <w:rPr>
                <w:lang w:val="en-GB"/>
              </w:rPr>
              <w:t>C12-C14 α-olefin</w:t>
            </w:r>
          </w:p>
        </w:tc>
        <w:tc>
          <w:tcPr>
            <w:tcW w:w="2551" w:type="dxa"/>
            <w:shd w:val="clear" w:color="auto" w:fill="FFFFFF"/>
            <w:vAlign w:val="center"/>
          </w:tcPr>
          <w:p w14:paraId="3216BCFC" w14:textId="5B96BC4B" w:rsidR="00D60915" w:rsidRPr="00D45F9C" w:rsidRDefault="00D60915" w:rsidP="00B13FE0">
            <w:pPr>
              <w:pStyle w:val="CETBodytext"/>
              <w:ind w:right="-1"/>
              <w:jc w:val="left"/>
              <w:rPr>
                <w:lang w:val="en-GB"/>
              </w:rPr>
            </w:pPr>
            <w:r w:rsidRPr="00D45F9C">
              <w:rPr>
                <w:lang w:val="en-GB"/>
              </w:rPr>
              <w:t>Colourless, clear liquid</w:t>
            </w:r>
          </w:p>
        </w:tc>
        <w:tc>
          <w:tcPr>
            <w:tcW w:w="1134" w:type="dxa"/>
            <w:shd w:val="clear" w:color="auto" w:fill="FFFFFF"/>
            <w:vAlign w:val="center"/>
          </w:tcPr>
          <w:p w14:paraId="2D5CDA2D" w14:textId="40C262EF" w:rsidR="00D60915" w:rsidRPr="00D45F9C" w:rsidRDefault="00D60915" w:rsidP="00B13FE0">
            <w:pPr>
              <w:pStyle w:val="CETBodytext"/>
              <w:ind w:right="-1"/>
              <w:jc w:val="left"/>
              <w:rPr>
                <w:lang w:val="en-GB"/>
              </w:rPr>
            </w:pPr>
            <w:r w:rsidRPr="00D45F9C">
              <w:rPr>
                <w:lang w:val="en-GB"/>
              </w:rPr>
              <w:t>0.7634</w:t>
            </w:r>
          </w:p>
        </w:tc>
        <w:tc>
          <w:tcPr>
            <w:tcW w:w="1134" w:type="dxa"/>
            <w:shd w:val="clear" w:color="auto" w:fill="FFFFFF"/>
            <w:vAlign w:val="center"/>
          </w:tcPr>
          <w:p w14:paraId="5E2AC6E3" w14:textId="7C5A54EB" w:rsidR="00D60915" w:rsidRPr="00D45F9C" w:rsidRDefault="00D60915" w:rsidP="00B13FE0">
            <w:pPr>
              <w:pStyle w:val="CETBodytext"/>
              <w:ind w:right="-1"/>
              <w:jc w:val="left"/>
              <w:rPr>
                <w:lang w:val="en-GB"/>
              </w:rPr>
            </w:pPr>
            <w:r w:rsidRPr="00D45F9C">
              <w:rPr>
                <w:lang w:val="en-GB"/>
              </w:rPr>
              <w:t>1.44</w:t>
            </w:r>
          </w:p>
        </w:tc>
        <w:tc>
          <w:tcPr>
            <w:tcW w:w="1276" w:type="dxa"/>
            <w:shd w:val="clear" w:color="auto" w:fill="FFFFFF"/>
            <w:vAlign w:val="center"/>
          </w:tcPr>
          <w:p w14:paraId="2A1CEACD" w14:textId="3078C35E" w:rsidR="00D60915" w:rsidRPr="00D45F9C" w:rsidRDefault="00D60915" w:rsidP="00B13FE0">
            <w:pPr>
              <w:pStyle w:val="CETBodytext"/>
              <w:ind w:right="-1"/>
              <w:jc w:val="left"/>
              <w:rPr>
                <w:lang w:val="en-GB"/>
              </w:rPr>
            </w:pPr>
            <w:r w:rsidRPr="00D45F9C">
              <w:rPr>
                <w:lang w:val="en-GB"/>
              </w:rPr>
              <w:t>0.74</w:t>
            </w:r>
          </w:p>
        </w:tc>
        <w:tc>
          <w:tcPr>
            <w:tcW w:w="1132" w:type="dxa"/>
            <w:shd w:val="clear" w:color="auto" w:fill="FFFFFF"/>
            <w:vAlign w:val="center"/>
          </w:tcPr>
          <w:p w14:paraId="32688960" w14:textId="23EBBAB4" w:rsidR="00D60915" w:rsidRPr="00D45F9C" w:rsidRDefault="00D60915" w:rsidP="00B13FE0">
            <w:pPr>
              <w:pStyle w:val="CETBodytext"/>
              <w:ind w:right="-1"/>
              <w:jc w:val="left"/>
              <w:rPr>
                <w:lang w:val="en-GB"/>
              </w:rPr>
            </w:pPr>
            <w:r w:rsidRPr="00D45F9C">
              <w:rPr>
                <w:lang w:val="en-GB"/>
              </w:rPr>
              <w:t>145.7</w:t>
            </w:r>
          </w:p>
        </w:tc>
      </w:tr>
      <w:tr w:rsidR="00D60915" w:rsidRPr="00D45F9C" w14:paraId="5F6B22EB" w14:textId="77777777" w:rsidTr="00870D09">
        <w:tc>
          <w:tcPr>
            <w:tcW w:w="1560" w:type="dxa"/>
            <w:shd w:val="clear" w:color="auto" w:fill="FFFFFF"/>
            <w:vAlign w:val="center"/>
          </w:tcPr>
          <w:p w14:paraId="08CF9688" w14:textId="1ED593B4" w:rsidR="00D60915" w:rsidRPr="00D45F9C" w:rsidRDefault="00D60915" w:rsidP="00B13FE0">
            <w:pPr>
              <w:pStyle w:val="CETBodytext"/>
              <w:ind w:right="-1"/>
              <w:jc w:val="left"/>
              <w:rPr>
                <w:lang w:val="en-GB"/>
              </w:rPr>
            </w:pPr>
            <w:r w:rsidRPr="00D45F9C">
              <w:rPr>
                <w:lang w:val="en-GB"/>
              </w:rPr>
              <w:t>Fatty acid methyl ester (FAME)</w:t>
            </w:r>
          </w:p>
        </w:tc>
        <w:tc>
          <w:tcPr>
            <w:tcW w:w="2551" w:type="dxa"/>
            <w:shd w:val="clear" w:color="auto" w:fill="FFFFFF"/>
            <w:vAlign w:val="center"/>
          </w:tcPr>
          <w:p w14:paraId="1ECEA577" w14:textId="02901658" w:rsidR="00D60915" w:rsidRPr="00D45F9C" w:rsidRDefault="00D60915" w:rsidP="00B13FE0">
            <w:pPr>
              <w:pStyle w:val="CETBodytext"/>
              <w:ind w:right="-1"/>
              <w:jc w:val="left"/>
              <w:rPr>
                <w:lang w:val="en-GB"/>
              </w:rPr>
            </w:pPr>
            <w:r w:rsidRPr="00D45F9C">
              <w:rPr>
                <w:lang w:val="en-GB"/>
              </w:rPr>
              <w:t>Brownish yellow, clear liquid</w:t>
            </w:r>
          </w:p>
        </w:tc>
        <w:tc>
          <w:tcPr>
            <w:tcW w:w="1134" w:type="dxa"/>
            <w:shd w:val="clear" w:color="auto" w:fill="FFFFFF"/>
            <w:vAlign w:val="center"/>
          </w:tcPr>
          <w:p w14:paraId="78AE99B3" w14:textId="6CB5D90D" w:rsidR="00D60915" w:rsidRPr="00D45F9C" w:rsidRDefault="00D60915" w:rsidP="00B13FE0">
            <w:pPr>
              <w:pStyle w:val="CETBodytext"/>
              <w:ind w:right="-1"/>
              <w:jc w:val="left"/>
              <w:rPr>
                <w:lang w:val="en-GB"/>
              </w:rPr>
            </w:pPr>
            <w:r w:rsidRPr="00D45F9C">
              <w:rPr>
                <w:lang w:val="en-GB"/>
              </w:rPr>
              <w:t>0.8797</w:t>
            </w:r>
          </w:p>
        </w:tc>
        <w:tc>
          <w:tcPr>
            <w:tcW w:w="1134" w:type="dxa"/>
            <w:shd w:val="clear" w:color="auto" w:fill="FFFFFF"/>
            <w:vAlign w:val="center"/>
          </w:tcPr>
          <w:p w14:paraId="5D4B4F34" w14:textId="1754B293" w:rsidR="00D60915" w:rsidRPr="00D45F9C" w:rsidRDefault="00D60915" w:rsidP="00B13FE0">
            <w:pPr>
              <w:pStyle w:val="CETBodytext"/>
              <w:ind w:right="-1"/>
              <w:jc w:val="left"/>
              <w:rPr>
                <w:lang w:val="en-GB"/>
              </w:rPr>
            </w:pPr>
            <w:r w:rsidRPr="00D45F9C">
              <w:rPr>
                <w:lang w:val="en-GB"/>
              </w:rPr>
              <w:t>4.36</w:t>
            </w:r>
          </w:p>
        </w:tc>
        <w:tc>
          <w:tcPr>
            <w:tcW w:w="1276" w:type="dxa"/>
            <w:shd w:val="clear" w:color="auto" w:fill="FFFFFF"/>
            <w:vAlign w:val="center"/>
          </w:tcPr>
          <w:p w14:paraId="27537CB5" w14:textId="77777777" w:rsidR="00D60915" w:rsidRPr="00D45F9C" w:rsidRDefault="00D60915" w:rsidP="00B13FE0">
            <w:pPr>
              <w:pStyle w:val="CETBodytext"/>
              <w:ind w:right="-1"/>
              <w:jc w:val="left"/>
              <w:rPr>
                <w:lang w:val="en-GB"/>
              </w:rPr>
            </w:pPr>
            <w:r w:rsidRPr="00D45F9C">
              <w:rPr>
                <w:lang w:val="en-GB"/>
              </w:rPr>
              <w:t>Not</w:t>
            </w:r>
          </w:p>
          <w:p w14:paraId="2D2A5C60" w14:textId="48E3F449" w:rsidR="00D60915" w:rsidRPr="00D45F9C" w:rsidRDefault="00D60915" w:rsidP="00B13FE0">
            <w:pPr>
              <w:pStyle w:val="CETBodytext"/>
              <w:ind w:right="-1"/>
              <w:jc w:val="left"/>
              <w:rPr>
                <w:lang w:val="en-GB"/>
              </w:rPr>
            </w:pPr>
            <w:r w:rsidRPr="00D45F9C">
              <w:rPr>
                <w:lang w:val="en-GB"/>
              </w:rPr>
              <w:t>measurable</w:t>
            </w:r>
          </w:p>
        </w:tc>
        <w:tc>
          <w:tcPr>
            <w:tcW w:w="1132" w:type="dxa"/>
            <w:shd w:val="clear" w:color="auto" w:fill="FFFFFF"/>
            <w:vAlign w:val="center"/>
          </w:tcPr>
          <w:p w14:paraId="4D26AA96" w14:textId="6C1F67C3" w:rsidR="00D60915" w:rsidRPr="00D45F9C" w:rsidRDefault="00D60915" w:rsidP="00B13FE0">
            <w:pPr>
              <w:pStyle w:val="CETBodytext"/>
              <w:ind w:right="-1"/>
              <w:jc w:val="left"/>
              <w:rPr>
                <w:lang w:val="en-GB"/>
              </w:rPr>
            </w:pPr>
            <w:r w:rsidRPr="00D45F9C">
              <w:rPr>
                <w:lang w:val="en-GB"/>
              </w:rPr>
              <w:t>95.9</w:t>
            </w:r>
          </w:p>
        </w:tc>
      </w:tr>
    </w:tbl>
    <w:p w14:paraId="23D3EF45" w14:textId="2D4E6405" w:rsidR="00A1728A" w:rsidRPr="00D45F9C" w:rsidRDefault="00D766AC" w:rsidP="003C62C3">
      <w:pPr>
        <w:pStyle w:val="CETBodytext"/>
        <w:spacing w:before="120" w:after="60"/>
        <w:rPr>
          <w:lang w:val="en-GB"/>
        </w:rPr>
      </w:pPr>
      <w:bookmarkStart w:id="1" w:name="_Hlk130236065"/>
      <w:r w:rsidRPr="00205B57">
        <w:rPr>
          <w:lang w:val="en-GB"/>
        </w:rPr>
        <w:t>The</w:t>
      </w:r>
      <w:r w:rsidR="004D0112" w:rsidRPr="00205B57">
        <w:rPr>
          <w:lang w:val="en-GB"/>
        </w:rPr>
        <w:t xml:space="preserve"> raw material mixture of the </w:t>
      </w:r>
      <w:r w:rsidRPr="00205B57">
        <w:rPr>
          <w:lang w:val="en-GB"/>
        </w:rPr>
        <w:t xml:space="preserve">fatty acid methyl ester used for the synthesises contains </w:t>
      </w:r>
      <w:r w:rsidR="004D0112" w:rsidRPr="00205B57">
        <w:rPr>
          <w:lang w:val="en-GB"/>
        </w:rPr>
        <w:t xml:space="preserve">average 30 wt% </w:t>
      </w:r>
      <w:r w:rsidR="00D471C6" w:rsidRPr="00205B57">
        <w:rPr>
          <w:lang w:val="en-GB"/>
        </w:rPr>
        <w:t xml:space="preserve">used cooking oil </w:t>
      </w:r>
      <w:r w:rsidR="00213BF0" w:rsidRPr="00205B57">
        <w:rPr>
          <w:lang w:val="en-GB"/>
        </w:rPr>
        <w:t xml:space="preserve">(UCO) </w:t>
      </w:r>
      <w:r w:rsidR="00D471C6" w:rsidRPr="00205B57">
        <w:rPr>
          <w:lang w:val="en-GB"/>
        </w:rPr>
        <w:t>raw material fraction.</w:t>
      </w:r>
      <w:r w:rsidR="002732E0" w:rsidRPr="00205B57">
        <w:rPr>
          <w:lang w:val="en-GB"/>
        </w:rPr>
        <w:t xml:space="preserve"> </w:t>
      </w:r>
      <w:r w:rsidR="00CE4EFC" w:rsidRPr="00205B57">
        <w:rPr>
          <w:lang w:val="en-GB"/>
        </w:rPr>
        <w:t>Used</w:t>
      </w:r>
      <w:r w:rsidR="003C62C3" w:rsidRPr="00205B57">
        <w:rPr>
          <w:lang w:val="en-GB"/>
        </w:rPr>
        <w:t xml:space="preserve"> cooking oil</w:t>
      </w:r>
      <w:r w:rsidR="00CA2B81" w:rsidRPr="00205B57">
        <w:rPr>
          <w:lang w:val="en-GB"/>
        </w:rPr>
        <w:t>s</w:t>
      </w:r>
      <w:r w:rsidR="003C62C3" w:rsidRPr="00205B57">
        <w:rPr>
          <w:lang w:val="en-GB"/>
        </w:rPr>
        <w:t xml:space="preserve"> contain</w:t>
      </w:r>
      <w:r w:rsidR="00CA2B81" w:rsidRPr="00205B57">
        <w:rPr>
          <w:lang w:val="en-GB"/>
        </w:rPr>
        <w:t xml:space="preserve"> water</w:t>
      </w:r>
      <w:r w:rsidR="00886133" w:rsidRPr="00205B57">
        <w:rPr>
          <w:lang w:val="en-GB"/>
        </w:rPr>
        <w:t xml:space="preserve">, </w:t>
      </w:r>
      <w:r w:rsidR="00B40A4F" w:rsidRPr="00205B57">
        <w:rPr>
          <w:lang w:val="en-GB"/>
        </w:rPr>
        <w:t>organic matters</w:t>
      </w:r>
      <w:r w:rsidR="003C62C3" w:rsidRPr="00205B57">
        <w:rPr>
          <w:lang w:val="en-GB"/>
        </w:rPr>
        <w:t xml:space="preserve"> </w:t>
      </w:r>
      <w:r w:rsidR="00886133" w:rsidRPr="00205B57">
        <w:rPr>
          <w:lang w:val="en-GB"/>
        </w:rPr>
        <w:t xml:space="preserve">and </w:t>
      </w:r>
      <w:r w:rsidR="003C62C3" w:rsidRPr="00205B57">
        <w:rPr>
          <w:lang w:val="en-GB"/>
        </w:rPr>
        <w:t xml:space="preserve">food residues produced during the food </w:t>
      </w:r>
      <w:r w:rsidR="00A437D8" w:rsidRPr="00205B57">
        <w:rPr>
          <w:lang w:val="en-GB"/>
        </w:rPr>
        <w:t xml:space="preserve">frying </w:t>
      </w:r>
      <w:r w:rsidR="003C62C3" w:rsidRPr="00205B57">
        <w:rPr>
          <w:lang w:val="en-GB"/>
        </w:rPr>
        <w:t xml:space="preserve">process. </w:t>
      </w:r>
      <w:r w:rsidR="001078CC" w:rsidRPr="00205B57">
        <w:rPr>
          <w:lang w:val="en-GB"/>
        </w:rPr>
        <w:t xml:space="preserve">Therefore a </w:t>
      </w:r>
      <w:r w:rsidR="00692C9B" w:rsidRPr="00205B57">
        <w:rPr>
          <w:lang w:val="en-GB"/>
        </w:rPr>
        <w:t xml:space="preserve">purification process </w:t>
      </w:r>
      <w:r w:rsidR="003E6B7E" w:rsidRPr="00205B57">
        <w:rPr>
          <w:lang w:val="en-GB"/>
        </w:rPr>
        <w:t>has to be executed before the employment of u</w:t>
      </w:r>
      <w:r w:rsidR="0002202E" w:rsidRPr="00205B57">
        <w:rPr>
          <w:lang w:val="en-GB"/>
        </w:rPr>
        <w:t>sed</w:t>
      </w:r>
      <w:r w:rsidR="00693174" w:rsidRPr="00205B57">
        <w:rPr>
          <w:lang w:val="en-GB"/>
        </w:rPr>
        <w:t xml:space="preserve"> cooking oils</w:t>
      </w:r>
      <w:r w:rsidR="003E6B7E" w:rsidRPr="00205B57">
        <w:rPr>
          <w:lang w:val="en-GB"/>
        </w:rPr>
        <w:t xml:space="preserve"> </w:t>
      </w:r>
      <w:r w:rsidR="00A437D8" w:rsidRPr="00205B57">
        <w:rPr>
          <w:lang w:val="en-GB"/>
        </w:rPr>
        <w:t xml:space="preserve">for avoiding operational problems </w:t>
      </w:r>
      <w:r w:rsidR="002732E0" w:rsidRPr="00205B57">
        <w:rPr>
          <w:lang w:val="en-GB"/>
        </w:rPr>
        <w:t>(Miguel et al</w:t>
      </w:r>
      <w:r w:rsidR="00F10C23" w:rsidRPr="00205B57">
        <w:rPr>
          <w:lang w:val="en-GB"/>
        </w:rPr>
        <w:t>., 2024).</w:t>
      </w:r>
    </w:p>
    <w:p w14:paraId="2EF0F6C6" w14:textId="7110B965" w:rsidR="00E75FF6" w:rsidRPr="00D45F9C" w:rsidRDefault="00E75FF6" w:rsidP="00870D09">
      <w:pPr>
        <w:pStyle w:val="CETTabletitle"/>
        <w:spacing w:before="120"/>
      </w:pPr>
      <w:r w:rsidRPr="00D45F9C">
        <w:t>Table 2: Characteristics of the sulfur donor used for the synthesis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313"/>
        <w:gridCol w:w="2302"/>
      </w:tblGrid>
      <w:tr w:rsidR="000176D5" w:rsidRPr="00D45F9C" w14:paraId="54B6D640" w14:textId="77777777" w:rsidTr="00B13FE0">
        <w:tc>
          <w:tcPr>
            <w:tcW w:w="2313" w:type="dxa"/>
            <w:tcBorders>
              <w:top w:val="single" w:sz="12" w:space="0" w:color="008000"/>
              <w:bottom w:val="single" w:sz="6" w:space="0" w:color="008000"/>
            </w:tcBorders>
            <w:shd w:val="clear" w:color="auto" w:fill="FFFFFF"/>
            <w:vAlign w:val="center"/>
          </w:tcPr>
          <w:p w14:paraId="6D37D4B5" w14:textId="77777777" w:rsidR="000176D5" w:rsidRPr="00D45F9C" w:rsidRDefault="000176D5" w:rsidP="00B13FE0">
            <w:pPr>
              <w:pStyle w:val="CETBodytext"/>
              <w:jc w:val="left"/>
              <w:rPr>
                <w:lang w:val="en-GB"/>
              </w:rPr>
            </w:pPr>
            <w:r w:rsidRPr="00D45F9C">
              <w:rPr>
                <w:lang w:val="en-GB"/>
              </w:rPr>
              <w:t>Properties</w:t>
            </w:r>
          </w:p>
        </w:tc>
        <w:tc>
          <w:tcPr>
            <w:tcW w:w="2302" w:type="dxa"/>
            <w:tcBorders>
              <w:top w:val="single" w:sz="12" w:space="0" w:color="008000"/>
              <w:bottom w:val="single" w:sz="6" w:space="0" w:color="008000"/>
            </w:tcBorders>
            <w:shd w:val="clear" w:color="auto" w:fill="FFFFFF"/>
            <w:vAlign w:val="center"/>
          </w:tcPr>
          <w:p w14:paraId="11E8083C" w14:textId="77777777" w:rsidR="000176D5" w:rsidRPr="00D45F9C" w:rsidRDefault="000176D5" w:rsidP="00B13FE0">
            <w:pPr>
              <w:pStyle w:val="CETBodytext"/>
              <w:jc w:val="left"/>
              <w:rPr>
                <w:lang w:val="en-GB"/>
              </w:rPr>
            </w:pPr>
            <w:r w:rsidRPr="00D45F9C">
              <w:rPr>
                <w:lang w:val="en-GB"/>
              </w:rPr>
              <w:t>Sulfur</w:t>
            </w:r>
          </w:p>
        </w:tc>
      </w:tr>
      <w:tr w:rsidR="000176D5" w:rsidRPr="00D45F9C" w14:paraId="43DFB35A" w14:textId="77777777" w:rsidTr="00B13FE0">
        <w:tc>
          <w:tcPr>
            <w:tcW w:w="2313" w:type="dxa"/>
            <w:vAlign w:val="center"/>
          </w:tcPr>
          <w:p w14:paraId="05464666" w14:textId="77777777" w:rsidR="000176D5" w:rsidRPr="00D45F9C" w:rsidRDefault="000176D5" w:rsidP="00B13FE0">
            <w:pPr>
              <w:pStyle w:val="CETBodytext"/>
              <w:jc w:val="left"/>
              <w:rPr>
                <w:lang w:val="en-GB"/>
              </w:rPr>
            </w:pPr>
            <w:r w:rsidRPr="00D45F9C">
              <w:rPr>
                <w:color w:val="000000"/>
                <w:lang w:val="en-GB"/>
              </w:rPr>
              <w:t>Consistency</w:t>
            </w:r>
          </w:p>
        </w:tc>
        <w:tc>
          <w:tcPr>
            <w:tcW w:w="2302" w:type="dxa"/>
            <w:vAlign w:val="center"/>
          </w:tcPr>
          <w:p w14:paraId="740765CF" w14:textId="77777777" w:rsidR="000176D5" w:rsidRPr="00D45F9C" w:rsidRDefault="000176D5" w:rsidP="00B13FE0">
            <w:pPr>
              <w:pStyle w:val="CETBodytext"/>
              <w:jc w:val="left"/>
              <w:rPr>
                <w:lang w:val="en-GB"/>
              </w:rPr>
            </w:pPr>
            <w:r w:rsidRPr="00D45F9C">
              <w:rPr>
                <w:lang w:val="en-GB"/>
              </w:rPr>
              <w:t>solid</w:t>
            </w:r>
          </w:p>
        </w:tc>
      </w:tr>
      <w:tr w:rsidR="000176D5" w:rsidRPr="00D45F9C" w14:paraId="2617B700" w14:textId="77777777" w:rsidTr="00B13FE0">
        <w:tc>
          <w:tcPr>
            <w:tcW w:w="2313" w:type="dxa"/>
            <w:vAlign w:val="center"/>
          </w:tcPr>
          <w:p w14:paraId="77F0695F" w14:textId="77777777" w:rsidR="000176D5" w:rsidRPr="00D45F9C" w:rsidRDefault="000176D5" w:rsidP="00B13FE0">
            <w:pPr>
              <w:pStyle w:val="CETBodytext"/>
              <w:ind w:right="-1"/>
              <w:jc w:val="left"/>
              <w:rPr>
                <w:rFonts w:cs="Arial"/>
                <w:szCs w:val="18"/>
                <w:lang w:val="en-GB"/>
              </w:rPr>
            </w:pPr>
            <w:r w:rsidRPr="00D45F9C">
              <w:rPr>
                <w:color w:val="000000"/>
                <w:lang w:val="en-GB"/>
              </w:rPr>
              <w:t>Colour, appearance</w:t>
            </w:r>
          </w:p>
        </w:tc>
        <w:tc>
          <w:tcPr>
            <w:tcW w:w="2302" w:type="dxa"/>
            <w:vAlign w:val="center"/>
          </w:tcPr>
          <w:p w14:paraId="5D074E02" w14:textId="647DC06E" w:rsidR="000176D5" w:rsidRPr="00D45F9C" w:rsidRDefault="000176D5" w:rsidP="00B13FE0">
            <w:pPr>
              <w:pStyle w:val="CETBodytext"/>
              <w:jc w:val="left"/>
              <w:rPr>
                <w:lang w:val="en-GB"/>
              </w:rPr>
            </w:pPr>
            <w:r w:rsidRPr="00D45F9C">
              <w:rPr>
                <w:lang w:val="en-GB"/>
              </w:rPr>
              <w:t>yellow</w:t>
            </w:r>
            <w:r w:rsidR="00A530CB">
              <w:rPr>
                <w:lang w:val="en-GB"/>
              </w:rPr>
              <w:t>, powder</w:t>
            </w:r>
          </w:p>
        </w:tc>
      </w:tr>
      <w:tr w:rsidR="000176D5" w:rsidRPr="00D45F9C" w14:paraId="43637B64" w14:textId="77777777" w:rsidTr="00B13FE0">
        <w:tc>
          <w:tcPr>
            <w:tcW w:w="2313" w:type="dxa"/>
            <w:vAlign w:val="center"/>
          </w:tcPr>
          <w:p w14:paraId="76D433CB" w14:textId="36B569CE" w:rsidR="000176D5" w:rsidRPr="00D45F9C" w:rsidRDefault="000176D5" w:rsidP="00B13FE0">
            <w:pPr>
              <w:pStyle w:val="CETBodytext"/>
              <w:ind w:right="-1"/>
              <w:jc w:val="left"/>
              <w:rPr>
                <w:rFonts w:cs="Arial"/>
                <w:szCs w:val="18"/>
                <w:lang w:val="en-GB"/>
              </w:rPr>
            </w:pPr>
            <w:r w:rsidRPr="00D45F9C">
              <w:rPr>
                <w:color w:val="000000"/>
                <w:lang w:val="en-GB"/>
              </w:rPr>
              <w:t xml:space="preserve">Density at </w:t>
            </w:r>
            <w:r w:rsidR="00A530CB">
              <w:rPr>
                <w:color w:val="000000"/>
                <w:lang w:val="en-GB"/>
              </w:rPr>
              <w:t>2</w:t>
            </w:r>
            <w:r w:rsidRPr="00D45F9C">
              <w:rPr>
                <w:color w:val="000000"/>
                <w:lang w:val="en-GB"/>
              </w:rPr>
              <w:t>5°C, kg/m</w:t>
            </w:r>
            <w:r w:rsidRPr="00D45F9C">
              <w:rPr>
                <w:color w:val="000000"/>
                <w:vertAlign w:val="superscript"/>
                <w:lang w:val="en-GB"/>
              </w:rPr>
              <w:t>3</w:t>
            </w:r>
          </w:p>
        </w:tc>
        <w:tc>
          <w:tcPr>
            <w:tcW w:w="2302" w:type="dxa"/>
            <w:vAlign w:val="center"/>
          </w:tcPr>
          <w:p w14:paraId="45D3E6CF" w14:textId="4DA522DE" w:rsidR="000176D5" w:rsidRPr="00D45F9C" w:rsidRDefault="000176D5" w:rsidP="00B13FE0">
            <w:pPr>
              <w:pStyle w:val="CETBodytext"/>
              <w:jc w:val="left"/>
              <w:rPr>
                <w:lang w:val="en-GB"/>
              </w:rPr>
            </w:pPr>
            <w:r w:rsidRPr="00D45F9C">
              <w:rPr>
                <w:lang w:val="en-GB"/>
              </w:rPr>
              <w:t>2 0</w:t>
            </w:r>
            <w:r w:rsidR="00A530CB">
              <w:rPr>
                <w:lang w:val="en-GB"/>
              </w:rPr>
              <w:t>7</w:t>
            </w:r>
            <w:r w:rsidRPr="00D45F9C">
              <w:rPr>
                <w:lang w:val="en-GB"/>
              </w:rPr>
              <w:t>0</w:t>
            </w:r>
          </w:p>
        </w:tc>
      </w:tr>
      <w:tr w:rsidR="000176D5" w:rsidRPr="00D45F9C" w14:paraId="7114D8FF" w14:textId="77777777" w:rsidTr="00B13FE0">
        <w:tc>
          <w:tcPr>
            <w:tcW w:w="2313" w:type="dxa"/>
            <w:vAlign w:val="center"/>
          </w:tcPr>
          <w:p w14:paraId="5A817282" w14:textId="77777777" w:rsidR="000176D5" w:rsidRPr="00D45F9C" w:rsidRDefault="000176D5" w:rsidP="00B13FE0">
            <w:pPr>
              <w:pStyle w:val="CETBodytext"/>
              <w:ind w:right="-1"/>
              <w:jc w:val="left"/>
              <w:rPr>
                <w:rFonts w:cs="Arial"/>
                <w:szCs w:val="18"/>
                <w:lang w:val="en-GB"/>
              </w:rPr>
            </w:pPr>
            <w:r w:rsidRPr="00D45F9C">
              <w:rPr>
                <w:color w:val="000000"/>
                <w:lang w:val="en-GB"/>
              </w:rPr>
              <w:t>Flashpoint, °C</w:t>
            </w:r>
          </w:p>
        </w:tc>
        <w:tc>
          <w:tcPr>
            <w:tcW w:w="2302" w:type="dxa"/>
            <w:vAlign w:val="center"/>
          </w:tcPr>
          <w:p w14:paraId="3312D47F" w14:textId="12BCDD96" w:rsidR="000176D5" w:rsidRPr="00D45F9C" w:rsidRDefault="00AB01F1" w:rsidP="00B13FE0">
            <w:pPr>
              <w:pStyle w:val="CETBodytext"/>
              <w:jc w:val="left"/>
              <w:rPr>
                <w:lang w:val="en-GB"/>
              </w:rPr>
            </w:pPr>
            <w:r w:rsidRPr="00D45F9C">
              <w:rPr>
                <w:lang w:val="en-GB"/>
              </w:rPr>
              <w:t>&gt;</w:t>
            </w:r>
            <w:r w:rsidR="000176D5" w:rsidRPr="00D45F9C">
              <w:rPr>
                <w:lang w:val="en-GB"/>
              </w:rPr>
              <w:t xml:space="preserve"> </w:t>
            </w:r>
            <w:r w:rsidR="00A530CB">
              <w:rPr>
                <w:lang w:val="en-GB"/>
              </w:rPr>
              <w:t>2</w:t>
            </w:r>
            <w:r w:rsidR="000176D5" w:rsidRPr="00D45F9C">
              <w:rPr>
                <w:lang w:val="en-GB"/>
              </w:rPr>
              <w:t>00</w:t>
            </w:r>
          </w:p>
        </w:tc>
      </w:tr>
    </w:tbl>
    <w:p w14:paraId="47D59DFB" w14:textId="277237E0" w:rsidR="00E75FF6" w:rsidRPr="00D45F9C" w:rsidRDefault="00F976F8" w:rsidP="00E75FF6">
      <w:pPr>
        <w:pStyle w:val="CETBodytext"/>
        <w:spacing w:before="120"/>
        <w:rPr>
          <w:lang w:val="en-GB"/>
        </w:rPr>
      </w:pPr>
      <w:r w:rsidRPr="00D45F9C">
        <w:rPr>
          <w:lang w:val="en-GB"/>
        </w:rPr>
        <w:t>Considering both their application scope and purity, the tested raw materials were found appropriate for further research.</w:t>
      </w:r>
    </w:p>
    <w:bookmarkEnd w:id="1"/>
    <w:p w14:paraId="691A7D06" w14:textId="27C39B85" w:rsidR="00E75FF6" w:rsidRPr="00D45F9C" w:rsidRDefault="00EA0EBF" w:rsidP="00E75FF6">
      <w:pPr>
        <w:pStyle w:val="CETHeading1"/>
        <w:tabs>
          <w:tab w:val="num" w:pos="360"/>
        </w:tabs>
        <w:rPr>
          <w:lang w:val="en-GB"/>
        </w:rPr>
      </w:pPr>
      <w:r w:rsidRPr="00D45F9C">
        <w:rPr>
          <w:lang w:val="en-GB"/>
        </w:rPr>
        <w:t>Methods</w:t>
      </w:r>
    </w:p>
    <w:p w14:paraId="502A397C" w14:textId="1B240335" w:rsidR="001F67E3" w:rsidRPr="001F67E3" w:rsidRDefault="001F67E3" w:rsidP="001F67E3">
      <w:pPr>
        <w:pStyle w:val="CETBodytext"/>
        <w:spacing w:after="60"/>
        <w:rPr>
          <w:lang w:val="en-GB"/>
        </w:rPr>
      </w:pPr>
      <w:r w:rsidRPr="001F67E3">
        <w:rPr>
          <w:lang w:val="en-GB"/>
        </w:rPr>
        <w:t xml:space="preserve">The sulfurized samples were made with the reaction of the above described raw materials, and elemental sulphur. The first step was the homogenization of the reagents in a 2 hours mixing process at </w:t>
      </w:r>
      <w:r w:rsidR="004C2B8A">
        <w:rPr>
          <w:lang w:val="en-GB"/>
        </w:rPr>
        <w:t>125</w:t>
      </w:r>
      <w:r w:rsidRPr="001F67E3">
        <w:rPr>
          <w:lang w:val="en-GB"/>
        </w:rPr>
        <w:t xml:space="preserve"> °C. The reaction was taken place at about 14</w:t>
      </w:r>
      <w:r w:rsidR="00A109E7">
        <w:rPr>
          <w:lang w:val="en-GB"/>
        </w:rPr>
        <w:t>0</w:t>
      </w:r>
      <w:r w:rsidRPr="001F67E3">
        <w:rPr>
          <w:lang w:val="en-GB"/>
        </w:rPr>
        <w:t xml:space="preserve"> °C and at 1 bar. To maximize the reaction yield, </w:t>
      </w:r>
      <w:r w:rsidR="00A109E7">
        <w:rPr>
          <w:lang w:val="en-GB"/>
        </w:rPr>
        <w:t>5</w:t>
      </w:r>
      <w:r w:rsidRPr="001F67E3">
        <w:rPr>
          <w:lang w:val="en-GB"/>
        </w:rPr>
        <w:t xml:space="preserve"> hours holding is necessary at the reaction temperature (Donald and John, 1979).</w:t>
      </w:r>
    </w:p>
    <w:p w14:paraId="23A739E0" w14:textId="47F60899" w:rsidR="001F67E3" w:rsidRDefault="001F67E3" w:rsidP="001F67E3">
      <w:pPr>
        <w:pStyle w:val="CETBodytext"/>
        <w:spacing w:after="60"/>
        <w:rPr>
          <w:lang w:val="en-GB"/>
        </w:rPr>
      </w:pPr>
      <w:r w:rsidRPr="001F67E3">
        <w:rPr>
          <w:lang w:val="en-GB"/>
        </w:rPr>
        <w:t xml:space="preserve">What is certain for all the sulfurized samples is that the sulfur donor was elemental sulfur, and the synthesis method was dark sulfurization. </w:t>
      </w:r>
      <w:r w:rsidR="0049761B">
        <w:rPr>
          <w:lang w:val="en-GB"/>
        </w:rPr>
        <w:t xml:space="preserve">The synthesises were executed in a </w:t>
      </w:r>
      <w:r w:rsidR="00B8014B">
        <w:rPr>
          <w:lang w:val="en-GB"/>
        </w:rPr>
        <w:t>five</w:t>
      </w:r>
      <w:r w:rsidR="00B8014B" w:rsidRPr="00B8014B">
        <w:rPr>
          <w:lang w:val="en-GB"/>
        </w:rPr>
        <w:t>-necked spherical flask with propeller stirrer and temperature regulator</w:t>
      </w:r>
      <w:r w:rsidR="00080789">
        <w:rPr>
          <w:lang w:val="en-GB"/>
        </w:rPr>
        <w:t xml:space="preserve">. </w:t>
      </w:r>
      <w:r w:rsidR="009A2F73">
        <w:rPr>
          <w:lang w:val="en-GB"/>
        </w:rPr>
        <w:t>The</w:t>
      </w:r>
      <w:r w:rsidRPr="001F67E3">
        <w:rPr>
          <w:lang w:val="en-GB"/>
        </w:rPr>
        <w:t xml:space="preserve"> ratio of </w:t>
      </w:r>
      <w:r w:rsidR="0049761B">
        <w:rPr>
          <w:lang w:val="en-GB"/>
        </w:rPr>
        <w:t xml:space="preserve">the </w:t>
      </w:r>
      <w:r w:rsidRPr="001F67E3">
        <w:rPr>
          <w:lang w:val="en-GB"/>
        </w:rPr>
        <w:t>sulfur in the</w:t>
      </w:r>
      <w:r w:rsidR="0063452A">
        <w:rPr>
          <w:lang w:val="en-GB"/>
        </w:rPr>
        <w:t xml:space="preserve"> </w:t>
      </w:r>
      <w:r w:rsidRPr="001F67E3">
        <w:rPr>
          <w:lang w:val="en-GB"/>
        </w:rPr>
        <w:t>reaction mixture</w:t>
      </w:r>
      <w:r w:rsidR="0063452A">
        <w:rPr>
          <w:lang w:val="en-GB"/>
        </w:rPr>
        <w:t>s</w:t>
      </w:r>
      <w:r w:rsidRPr="001F67E3">
        <w:rPr>
          <w:lang w:val="en-GB"/>
        </w:rPr>
        <w:t xml:space="preserve"> </w:t>
      </w:r>
      <w:r w:rsidR="0063452A">
        <w:rPr>
          <w:lang w:val="en-GB"/>
        </w:rPr>
        <w:t>are indicated in Table 3</w:t>
      </w:r>
      <w:r w:rsidRPr="001F67E3">
        <w:rPr>
          <w:lang w:val="en-GB"/>
        </w:rPr>
        <w:t>.</w:t>
      </w:r>
    </w:p>
    <w:p w14:paraId="383B3D06" w14:textId="1A04FD63" w:rsidR="00E75FF6" w:rsidRPr="00D45F9C" w:rsidRDefault="0033249A" w:rsidP="00DB41E9">
      <w:pPr>
        <w:pStyle w:val="CETBodytext"/>
        <w:rPr>
          <w:lang w:val="en-GB"/>
        </w:rPr>
      </w:pPr>
      <w:r w:rsidRPr="00D45F9C">
        <w:rPr>
          <w:lang w:val="en-GB"/>
        </w:rPr>
        <w:t xml:space="preserve">For the detailed physical and physico-chemical investigation of the examined raw materials, the following </w:t>
      </w:r>
      <w:r w:rsidR="008C65BC" w:rsidRPr="00D45F9C">
        <w:rPr>
          <w:lang w:val="en-GB"/>
        </w:rPr>
        <w:t xml:space="preserve">international standard </w:t>
      </w:r>
      <w:r w:rsidRPr="00D45F9C">
        <w:rPr>
          <w:lang w:val="en-GB"/>
        </w:rPr>
        <w:t>methods were applied</w:t>
      </w:r>
      <w:r w:rsidR="00E75FF6" w:rsidRPr="00D45F9C">
        <w:rPr>
          <w:lang w:val="en-GB"/>
        </w:rPr>
        <w:t>:</w:t>
      </w:r>
    </w:p>
    <w:p w14:paraId="19DBFFB1" w14:textId="77777777" w:rsidR="009A2F73" w:rsidRPr="009A2F73" w:rsidRDefault="00E75FF6" w:rsidP="00E44BFF">
      <w:pPr>
        <w:pStyle w:val="CETListbullets"/>
        <w:numPr>
          <w:ilvl w:val="0"/>
          <w:numId w:val="13"/>
        </w:numPr>
        <w:rPr>
          <w:lang w:val="en-US"/>
        </w:rPr>
      </w:pPr>
      <w:r w:rsidRPr="00D45F9C">
        <w:t>Appearance [Visual]</w:t>
      </w:r>
    </w:p>
    <w:p w14:paraId="3014C5FF" w14:textId="77777777" w:rsidR="009A2F73" w:rsidRDefault="00E75FF6" w:rsidP="00E44BFF">
      <w:pPr>
        <w:pStyle w:val="CETListbullets"/>
        <w:numPr>
          <w:ilvl w:val="0"/>
          <w:numId w:val="13"/>
        </w:numPr>
        <w:rPr>
          <w:lang w:val="en-US"/>
        </w:rPr>
      </w:pPr>
      <w:r w:rsidRPr="00425265">
        <w:rPr>
          <w:lang w:val="en-US"/>
        </w:rPr>
        <w:t>Density 20</w:t>
      </w:r>
      <w:r w:rsidR="00F50BEC" w:rsidRPr="00425265">
        <w:rPr>
          <w:lang w:val="en-US"/>
        </w:rPr>
        <w:t xml:space="preserve"> </w:t>
      </w:r>
      <w:r w:rsidRPr="00425265">
        <w:rPr>
          <w:lang w:val="en-US"/>
        </w:rPr>
        <w:t>°C [EN ISO 12185], g/cm</w:t>
      </w:r>
      <w:r w:rsidRPr="00425265">
        <w:rPr>
          <w:vertAlign w:val="superscript"/>
          <w:lang w:val="en-US"/>
        </w:rPr>
        <w:t>3</w:t>
      </w:r>
    </w:p>
    <w:p w14:paraId="539300EB" w14:textId="77777777" w:rsidR="009A2F73" w:rsidRPr="009A2F73" w:rsidRDefault="00E75FF6" w:rsidP="00E44BFF">
      <w:pPr>
        <w:pStyle w:val="CETListbullets"/>
        <w:numPr>
          <w:ilvl w:val="0"/>
          <w:numId w:val="13"/>
        </w:numPr>
        <w:rPr>
          <w:lang w:val="en-US"/>
        </w:rPr>
      </w:pPr>
      <w:r w:rsidRPr="00D45F9C">
        <w:t>Kinematic viscosity at 40</w:t>
      </w:r>
      <w:r w:rsidR="00F50BEC" w:rsidRPr="00D45F9C">
        <w:t xml:space="preserve"> </w:t>
      </w:r>
      <w:r w:rsidRPr="00D45F9C">
        <w:t>°C [EN ISO 3104]</w:t>
      </w:r>
      <w:r w:rsidR="009A2F73">
        <w:t xml:space="preserve">, </w:t>
      </w:r>
      <w:r w:rsidRPr="00D45F9C">
        <w:t>mm</w:t>
      </w:r>
      <w:r w:rsidRPr="00425265">
        <w:rPr>
          <w:vertAlign w:val="superscript"/>
        </w:rPr>
        <w:t>2</w:t>
      </w:r>
      <w:r w:rsidRPr="00D45F9C">
        <w:t>/s</w:t>
      </w:r>
    </w:p>
    <w:p w14:paraId="2D549C62" w14:textId="77777777" w:rsidR="009A2F73" w:rsidRPr="009A2F73" w:rsidRDefault="00E75FF6" w:rsidP="00E44BFF">
      <w:pPr>
        <w:pStyle w:val="CETListbullets"/>
        <w:numPr>
          <w:ilvl w:val="0"/>
          <w:numId w:val="13"/>
        </w:numPr>
        <w:rPr>
          <w:lang w:val="en-US"/>
        </w:rPr>
      </w:pPr>
      <w:r w:rsidRPr="00D45F9C">
        <w:t>Kinematic viscosity at 100</w:t>
      </w:r>
      <w:r w:rsidR="00F50BEC" w:rsidRPr="00D45F9C">
        <w:t xml:space="preserve"> </w:t>
      </w:r>
      <w:r w:rsidRPr="00D45F9C">
        <w:t>°C-on [EN ISO 3104], mm</w:t>
      </w:r>
      <w:r w:rsidRPr="00425265">
        <w:rPr>
          <w:vertAlign w:val="superscript"/>
        </w:rPr>
        <w:t>2</w:t>
      </w:r>
      <w:r w:rsidRPr="00D45F9C">
        <w:t>/s</w:t>
      </w:r>
    </w:p>
    <w:p w14:paraId="7C7C7496" w14:textId="22003631" w:rsidR="00E75FF6" w:rsidRPr="009A2F73" w:rsidRDefault="00E75FF6" w:rsidP="00E44BFF">
      <w:pPr>
        <w:pStyle w:val="CETListbullets"/>
        <w:numPr>
          <w:ilvl w:val="0"/>
          <w:numId w:val="13"/>
        </w:numPr>
        <w:rPr>
          <w:lang w:val="nb-NO"/>
        </w:rPr>
      </w:pPr>
      <w:r w:rsidRPr="009A2F73">
        <w:rPr>
          <w:lang w:val="nb-NO"/>
        </w:rPr>
        <w:t>Iodine value [EN ISO 3961], g I</w:t>
      </w:r>
      <w:r w:rsidRPr="009A2F73">
        <w:rPr>
          <w:vertAlign w:val="subscript"/>
          <w:lang w:val="nb-NO"/>
        </w:rPr>
        <w:t>2</w:t>
      </w:r>
      <w:r w:rsidRPr="009A2F73">
        <w:rPr>
          <w:lang w:val="nb-NO"/>
        </w:rPr>
        <w:t>/100g</w:t>
      </w:r>
    </w:p>
    <w:p w14:paraId="209E2C0D" w14:textId="0AEC76D2" w:rsidR="00C832AD" w:rsidRPr="00D45F9C" w:rsidRDefault="00C832AD" w:rsidP="00DB41E9">
      <w:pPr>
        <w:pStyle w:val="CETBodytext"/>
        <w:spacing w:before="60"/>
        <w:rPr>
          <w:lang w:val="en-GB"/>
        </w:rPr>
      </w:pPr>
      <w:r w:rsidRPr="00D45F9C">
        <w:rPr>
          <w:lang w:val="en-GB"/>
        </w:rPr>
        <w:t xml:space="preserve">In addition to the above listed methods, the following </w:t>
      </w:r>
      <w:r w:rsidR="00D50D18" w:rsidRPr="00D45F9C">
        <w:rPr>
          <w:lang w:val="en-GB"/>
        </w:rPr>
        <w:t>measurements</w:t>
      </w:r>
      <w:r w:rsidRPr="00D45F9C">
        <w:rPr>
          <w:lang w:val="en-GB"/>
        </w:rPr>
        <w:t xml:space="preserve"> were used to </w:t>
      </w:r>
      <w:r w:rsidR="00D50D18" w:rsidRPr="00D45F9C">
        <w:rPr>
          <w:lang w:val="en-GB"/>
        </w:rPr>
        <w:t>determine</w:t>
      </w:r>
      <w:r w:rsidRPr="00D45F9C">
        <w:rPr>
          <w:lang w:val="en-GB"/>
        </w:rPr>
        <w:t xml:space="preserve"> the amount and type of incorporated sulfur content in the synthesized additive samples</w:t>
      </w:r>
      <w:r w:rsidR="00391C49" w:rsidRPr="00D45F9C">
        <w:rPr>
          <w:lang w:val="en-GB"/>
        </w:rPr>
        <w:t xml:space="preserve"> (Leslie, 2017)</w:t>
      </w:r>
      <w:r w:rsidRPr="00D45F9C">
        <w:rPr>
          <w:lang w:val="en-GB"/>
        </w:rPr>
        <w:t>:</w:t>
      </w:r>
    </w:p>
    <w:p w14:paraId="38EBB083" w14:textId="77777777" w:rsidR="009A2F73" w:rsidRDefault="0003636C" w:rsidP="00DB41E9">
      <w:pPr>
        <w:pStyle w:val="CETListbullets"/>
        <w:numPr>
          <w:ilvl w:val="0"/>
          <w:numId w:val="13"/>
        </w:numPr>
        <w:rPr>
          <w:lang w:val="fr-FR"/>
        </w:rPr>
      </w:pPr>
      <w:r w:rsidRPr="00425265">
        <w:rPr>
          <w:lang w:val="fr-FR"/>
        </w:rPr>
        <w:t xml:space="preserve">Total sulphur content [ASTM D 5185], </w:t>
      </w:r>
      <w:r w:rsidR="005351C9" w:rsidRPr="00425265">
        <w:rPr>
          <w:lang w:val="fr-FR"/>
        </w:rPr>
        <w:t>wt</w:t>
      </w:r>
      <w:r w:rsidRPr="00425265">
        <w:rPr>
          <w:lang w:val="fr-FR"/>
        </w:rPr>
        <w:t>%</w:t>
      </w:r>
    </w:p>
    <w:p w14:paraId="5679C847" w14:textId="230CB0E9" w:rsidR="0003636C" w:rsidRPr="00425265" w:rsidRDefault="0003636C" w:rsidP="00DB41E9">
      <w:pPr>
        <w:pStyle w:val="CETListbullets"/>
        <w:numPr>
          <w:ilvl w:val="0"/>
          <w:numId w:val="13"/>
        </w:numPr>
        <w:rPr>
          <w:lang w:val="fr-FR"/>
        </w:rPr>
      </w:pPr>
      <w:r w:rsidRPr="00425265">
        <w:rPr>
          <w:lang w:val="fr-FR"/>
        </w:rPr>
        <w:t xml:space="preserve">Active sulphur content [ASTM D 1662], </w:t>
      </w:r>
      <w:r w:rsidR="005351C9" w:rsidRPr="00425265">
        <w:rPr>
          <w:lang w:val="fr-FR"/>
        </w:rPr>
        <w:t>wt</w:t>
      </w:r>
      <w:r w:rsidRPr="00425265">
        <w:rPr>
          <w:lang w:val="fr-FR"/>
        </w:rPr>
        <w:t>%</w:t>
      </w:r>
    </w:p>
    <w:p w14:paraId="30163FA8" w14:textId="3A8FA9E3" w:rsidR="00E75FF6" w:rsidRPr="00D45F9C" w:rsidRDefault="00E75FF6" w:rsidP="00DB41E9">
      <w:pPr>
        <w:pStyle w:val="CETBodytext"/>
        <w:spacing w:before="60"/>
        <w:rPr>
          <w:lang w:val="en-GB"/>
        </w:rPr>
      </w:pPr>
      <w:r w:rsidRPr="00D45F9C">
        <w:rPr>
          <w:lang w:val="en-GB"/>
        </w:rPr>
        <w:t xml:space="preserve">For the measurement of the functional effect of synthesized additives, </w:t>
      </w:r>
      <w:r w:rsidR="005665B7" w:rsidRPr="00D45F9C">
        <w:rPr>
          <w:lang w:val="en-GB"/>
        </w:rPr>
        <w:t>th</w:t>
      </w:r>
      <w:r w:rsidRPr="00D45F9C">
        <w:rPr>
          <w:lang w:val="en-GB"/>
        </w:rPr>
        <w:t xml:space="preserve">e following two methods were used to evaluate the extreme-pressure and anti-wear properties of </w:t>
      </w:r>
      <w:r w:rsidR="00F1697B" w:rsidRPr="00D45F9C">
        <w:rPr>
          <w:lang w:val="en-GB"/>
        </w:rPr>
        <w:t>the samples</w:t>
      </w:r>
      <w:r w:rsidRPr="00D45F9C">
        <w:rPr>
          <w:lang w:val="en-GB"/>
        </w:rPr>
        <w:t>:</w:t>
      </w:r>
    </w:p>
    <w:p w14:paraId="7C93F55F" w14:textId="77777777" w:rsidR="009A2F73" w:rsidRDefault="00E75FF6" w:rsidP="00DB41E9">
      <w:pPr>
        <w:pStyle w:val="CETListbullets"/>
        <w:numPr>
          <w:ilvl w:val="0"/>
          <w:numId w:val="13"/>
        </w:numPr>
      </w:pPr>
      <w:r w:rsidRPr="00D45F9C">
        <w:t>Four-ball test – weld load [DIN 51350-4], N</w:t>
      </w:r>
    </w:p>
    <w:p w14:paraId="474F5D6B" w14:textId="77777777" w:rsidR="009A2F73" w:rsidRDefault="00E75FF6" w:rsidP="00DB41E9">
      <w:pPr>
        <w:pStyle w:val="CETListbullets"/>
        <w:numPr>
          <w:ilvl w:val="0"/>
          <w:numId w:val="13"/>
        </w:numPr>
      </w:pPr>
      <w:r w:rsidRPr="00D45F9C">
        <w:t xml:space="preserve">Four-ball test – </w:t>
      </w:r>
      <w:r w:rsidR="00CB0202" w:rsidRPr="00D45F9C">
        <w:t xml:space="preserve">wear </w:t>
      </w:r>
      <w:r w:rsidRPr="00D45F9C">
        <w:t>scar diameter [DIN 51350-5], mm</w:t>
      </w:r>
    </w:p>
    <w:p w14:paraId="322FB64E" w14:textId="1FCAC86C" w:rsidR="00C43023" w:rsidRDefault="00907D56" w:rsidP="00C43023">
      <w:pPr>
        <w:pStyle w:val="CETListbullets"/>
        <w:numPr>
          <w:ilvl w:val="0"/>
          <w:numId w:val="13"/>
        </w:numPr>
      </w:pPr>
      <w:r w:rsidRPr="00D45F9C">
        <w:t>Copper corrosion test (100</w:t>
      </w:r>
      <w:r w:rsidR="00F50BEC" w:rsidRPr="00D45F9C">
        <w:t xml:space="preserve"> </w:t>
      </w:r>
      <w:r w:rsidRPr="00D45F9C">
        <w:t>°C, 3 h) [ASTM D 130]</w:t>
      </w:r>
    </w:p>
    <w:p w14:paraId="0D6F236F" w14:textId="77777777" w:rsidR="009D3943" w:rsidRDefault="00D46010" w:rsidP="00D46010">
      <w:pPr>
        <w:pStyle w:val="CETBodytext"/>
        <w:spacing w:before="60"/>
        <w:rPr>
          <w:lang w:val="en-GB"/>
        </w:rPr>
      </w:pPr>
      <w:r w:rsidRPr="00D45F9C">
        <w:rPr>
          <w:lang w:val="en-GB"/>
        </w:rPr>
        <w:lastRenderedPageBreak/>
        <w:t xml:space="preserve">For obtaining meaningful measurements that would allow a good evaluation of the sulfurized samples’ synthesis, performing a </w:t>
      </w:r>
      <w:r w:rsidR="000D468A" w:rsidRPr="000D468A">
        <w:rPr>
          <w:lang w:val="en-GB"/>
        </w:rPr>
        <w:t>Gel Permeation Chromatography (GPC)</w:t>
      </w:r>
      <w:r w:rsidRPr="00D45F9C">
        <w:rPr>
          <w:lang w:val="en-GB"/>
        </w:rPr>
        <w:t xml:space="preserve"> / Size Exclusion Chromatography (SEC) on the samples and the raw materials was chosen as the most appropriate method</w:t>
      </w:r>
      <w:r w:rsidR="007D6362" w:rsidRPr="00D45F9C">
        <w:rPr>
          <w:lang w:val="en-GB"/>
        </w:rPr>
        <w:t>.</w:t>
      </w:r>
    </w:p>
    <w:p w14:paraId="01BC6D57" w14:textId="147CA914" w:rsidR="00D46010" w:rsidRPr="00D45F9C" w:rsidRDefault="00D46010" w:rsidP="00D46010">
      <w:pPr>
        <w:pStyle w:val="CETBodytext"/>
        <w:spacing w:before="60"/>
        <w:rPr>
          <w:lang w:val="en-GB"/>
        </w:rPr>
      </w:pPr>
      <w:r w:rsidRPr="00D45F9C">
        <w:rPr>
          <w:lang w:val="en-GB"/>
        </w:rPr>
        <w:t>Different methodologies and instrumentation are employed to confirm and control the properties and quality of a lubricant such as NMR, FTIR, and GPC/SEC. If a certain batch of lubricant’s molecular size falls out of the desired range, it will fail specification and be rejected for the coating process.</w:t>
      </w:r>
    </w:p>
    <w:p w14:paraId="1A47AFDD" w14:textId="2E71ABE0" w:rsidR="00EA0EBF" w:rsidRPr="00D45F9C" w:rsidRDefault="00D46010" w:rsidP="00D46010">
      <w:pPr>
        <w:pStyle w:val="CETBodytext"/>
        <w:spacing w:before="60"/>
        <w:rPr>
          <w:lang w:val="en-GB"/>
        </w:rPr>
      </w:pPr>
      <w:r w:rsidRPr="00D45F9C">
        <w:rPr>
          <w:lang w:val="en-GB"/>
        </w:rPr>
        <w:t xml:space="preserve">The average molecular weight and its distribution were measured by </w:t>
      </w:r>
      <w:r w:rsidR="00096DD0" w:rsidRPr="00096DD0">
        <w:rPr>
          <w:lang w:val="en-GB"/>
        </w:rPr>
        <w:t>Gel Permeation Chromatography</w:t>
      </w:r>
      <w:r w:rsidRPr="00D45F9C">
        <w:rPr>
          <w:lang w:val="en-GB"/>
        </w:rPr>
        <w:t xml:space="preserve"> (Waters 2414GPC system fitted with RI detector, </w:t>
      </w:r>
      <w:proofErr w:type="spellStart"/>
      <w:r w:rsidRPr="00D45F9C">
        <w:rPr>
          <w:lang w:val="en-GB"/>
        </w:rPr>
        <w:t>Ultrastyragel</w:t>
      </w:r>
      <w:proofErr w:type="spellEnd"/>
      <w:r w:rsidRPr="00D45F9C">
        <w:rPr>
          <w:lang w:val="en-GB"/>
        </w:rPr>
        <w:t xml:space="preserve"> 1000Å, 500Å, 100Å columns). </w:t>
      </w:r>
      <w:r w:rsidR="00B60D43" w:rsidRPr="00D45F9C">
        <w:rPr>
          <w:lang w:val="en-GB"/>
        </w:rPr>
        <w:t xml:space="preserve">A basic schematic about the </w:t>
      </w:r>
      <w:r w:rsidR="00CF7080" w:rsidRPr="00D45F9C">
        <w:rPr>
          <w:lang w:val="en-GB"/>
        </w:rPr>
        <w:t xml:space="preserve">GPC system was </w:t>
      </w:r>
      <w:r w:rsidR="00B60D43" w:rsidRPr="00D45F9C">
        <w:rPr>
          <w:lang w:val="en-GB"/>
        </w:rPr>
        <w:t xml:space="preserve">used is indicated on Figure1. </w:t>
      </w:r>
      <w:r w:rsidRPr="00D45F9C">
        <w:rPr>
          <w:lang w:val="en-GB"/>
        </w:rPr>
        <w:t>Samples were dissolved in tetrahydrofuran (THF), then filtered with 0.2 μm Millipore (</w:t>
      </w:r>
      <w:proofErr w:type="spellStart"/>
      <w:r w:rsidRPr="00D45F9C">
        <w:rPr>
          <w:lang w:val="en-GB"/>
        </w:rPr>
        <w:t>Millex</w:t>
      </w:r>
      <w:proofErr w:type="spellEnd"/>
      <w:r w:rsidRPr="00D45F9C">
        <w:rPr>
          <w:lang w:val="en-GB"/>
        </w:rPr>
        <w:t xml:space="preserve"> filter) membrane. 1.0 cm</w:t>
      </w:r>
      <w:r w:rsidRPr="00D45F9C">
        <w:rPr>
          <w:vertAlign w:val="superscript"/>
          <w:lang w:val="en-GB"/>
        </w:rPr>
        <w:t>3</w:t>
      </w:r>
      <w:r w:rsidRPr="00D45F9C">
        <w:rPr>
          <w:lang w:val="en-GB"/>
        </w:rPr>
        <w:t>/min eluent flow rate was used and 100 μl of 0.1% sample solution was injected. The calibration was carried out by using polystyrene standards, and a 3</w:t>
      </w:r>
      <w:r w:rsidRPr="00D45F9C">
        <w:rPr>
          <w:vertAlign w:val="superscript"/>
          <w:lang w:val="en-GB"/>
        </w:rPr>
        <w:t>th</w:t>
      </w:r>
      <w:r w:rsidRPr="00D45F9C">
        <w:rPr>
          <w:lang w:val="en-GB"/>
        </w:rPr>
        <w:t xml:space="preserve"> order polynomial calibration curve was described.</w:t>
      </w:r>
    </w:p>
    <w:p w14:paraId="667BA814" w14:textId="10BAC4D1" w:rsidR="00EA0EBF" w:rsidRPr="00D45F9C" w:rsidRDefault="000A60B8" w:rsidP="005F30BC">
      <w:pPr>
        <w:pStyle w:val="CETBodytext"/>
        <w:spacing w:before="120" w:after="60"/>
        <w:jc w:val="left"/>
        <w:rPr>
          <w:lang w:val="en-GB"/>
        </w:rPr>
      </w:pPr>
      <w:r w:rsidRPr="00D45F9C">
        <w:rPr>
          <w:noProof/>
          <w:lang w:val="en-GB"/>
        </w:rPr>
        <w:drawing>
          <wp:inline distT="0" distB="0" distL="0" distR="0" wp14:anchorId="456D080E" wp14:editId="03E921AD">
            <wp:extent cx="4532440" cy="1620000"/>
            <wp:effectExtent l="0" t="0" r="1905"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2440" cy="1620000"/>
                    </a:xfrm>
                    <a:prstGeom prst="rect">
                      <a:avLst/>
                    </a:prstGeom>
                    <a:noFill/>
                  </pic:spPr>
                </pic:pic>
              </a:graphicData>
            </a:graphic>
          </wp:inline>
        </w:drawing>
      </w:r>
    </w:p>
    <w:p w14:paraId="698B5C67" w14:textId="02715B99" w:rsidR="00EA0EBF" w:rsidRPr="00D45F9C" w:rsidRDefault="00B2644D" w:rsidP="00870D09">
      <w:pPr>
        <w:pStyle w:val="CETCaption"/>
        <w:spacing w:before="80" w:after="120"/>
        <w:rPr>
          <w:rStyle w:val="CETCaptionCarattere"/>
          <w:i/>
        </w:rPr>
      </w:pPr>
      <w:r w:rsidRPr="00D45F9C">
        <w:rPr>
          <w:rStyle w:val="CETCaptionCarattere"/>
          <w:i/>
        </w:rPr>
        <w:t xml:space="preserve">Figure 1: </w:t>
      </w:r>
      <w:r w:rsidR="00B60D43" w:rsidRPr="00D45F9C">
        <w:rPr>
          <w:rStyle w:val="CETCaptionCarattere"/>
          <w:i/>
        </w:rPr>
        <w:t>Basic schematic of a GPC system</w:t>
      </w:r>
    </w:p>
    <w:p w14:paraId="1897DAC8" w14:textId="77777777" w:rsidR="00E75FF6" w:rsidRPr="00D45F9C" w:rsidRDefault="00E75FF6" w:rsidP="00E75FF6">
      <w:pPr>
        <w:pStyle w:val="CETHeading1"/>
        <w:tabs>
          <w:tab w:val="right" w:pos="7100"/>
        </w:tabs>
        <w:jc w:val="both"/>
        <w:rPr>
          <w:lang w:val="en-GB"/>
        </w:rPr>
      </w:pPr>
      <w:r w:rsidRPr="00D45F9C">
        <w:rPr>
          <w:lang w:val="en-GB"/>
        </w:rPr>
        <w:t>Results</w:t>
      </w:r>
    </w:p>
    <w:p w14:paraId="2A3F1584" w14:textId="309A01FA" w:rsidR="00674C9A" w:rsidRPr="00D45F9C" w:rsidRDefault="00F55FB7" w:rsidP="00F765B2">
      <w:pPr>
        <w:pStyle w:val="CETBodytext"/>
        <w:spacing w:after="60"/>
        <w:rPr>
          <w:lang w:val="en-GB"/>
        </w:rPr>
      </w:pPr>
      <w:r w:rsidRPr="00D45F9C">
        <w:rPr>
          <w:lang w:val="en-GB"/>
        </w:rPr>
        <w:t xml:space="preserve">The investigations </w:t>
      </w:r>
      <w:r w:rsidR="00C121D7">
        <w:rPr>
          <w:lang w:val="en-GB"/>
        </w:rPr>
        <w:t xml:space="preserve">had </w:t>
      </w:r>
      <w:r w:rsidRPr="00D45F9C">
        <w:rPr>
          <w:lang w:val="en-GB"/>
        </w:rPr>
        <w:t>beg</w:t>
      </w:r>
      <w:r w:rsidR="00C121D7">
        <w:rPr>
          <w:lang w:val="en-GB"/>
        </w:rPr>
        <w:t>u</w:t>
      </w:r>
      <w:r w:rsidRPr="00D45F9C">
        <w:rPr>
          <w:lang w:val="en-GB"/>
        </w:rPr>
        <w:t>n by determining the physico-chemical properties of the raw materials</w:t>
      </w:r>
      <w:r w:rsidR="001C4965" w:rsidRPr="00D45F9C">
        <w:rPr>
          <w:lang w:val="en-GB"/>
        </w:rPr>
        <w:t xml:space="preserve"> </w:t>
      </w:r>
      <w:r w:rsidR="00780943">
        <w:rPr>
          <w:lang w:val="en-GB"/>
        </w:rPr>
        <w:t>than</w:t>
      </w:r>
      <w:r w:rsidR="003F5BBD" w:rsidRPr="00D45F9C">
        <w:rPr>
          <w:lang w:val="en-GB"/>
        </w:rPr>
        <w:t xml:space="preserve"> the synthesized additive samples</w:t>
      </w:r>
      <w:r w:rsidR="00780943">
        <w:rPr>
          <w:lang w:val="en-GB"/>
        </w:rPr>
        <w:t xml:space="preserve"> were</w:t>
      </w:r>
      <w:r w:rsidR="00C121D7">
        <w:rPr>
          <w:lang w:val="en-GB"/>
        </w:rPr>
        <w:t xml:space="preserve"> </w:t>
      </w:r>
      <w:r w:rsidR="00850FE5">
        <w:rPr>
          <w:lang w:val="en-GB"/>
        </w:rPr>
        <w:t xml:space="preserve">examined. </w:t>
      </w:r>
      <w:r w:rsidR="00850FE5" w:rsidRPr="002071F2">
        <w:rPr>
          <w:lang w:val="en-GB"/>
        </w:rPr>
        <w:t>The</w:t>
      </w:r>
      <w:r w:rsidR="00850FE5">
        <w:rPr>
          <w:lang w:val="en-GB"/>
        </w:rPr>
        <w:t xml:space="preserve"> </w:t>
      </w:r>
      <w:r w:rsidR="00850FE5" w:rsidRPr="00D45F9C">
        <w:rPr>
          <w:lang w:val="en-GB"/>
        </w:rPr>
        <w:t>synthesized additive samples</w:t>
      </w:r>
      <w:r w:rsidR="00850FE5">
        <w:rPr>
          <w:lang w:val="en-GB"/>
        </w:rPr>
        <w:t xml:space="preserve"> </w:t>
      </w:r>
      <w:r w:rsidR="00850FE5" w:rsidRPr="002071F2">
        <w:rPr>
          <w:lang w:val="en-GB"/>
        </w:rPr>
        <w:t xml:space="preserve">were marked with </w:t>
      </w:r>
      <w:r w:rsidR="00850FE5">
        <w:rPr>
          <w:lang w:val="en-GB"/>
        </w:rPr>
        <w:t>“EP”</w:t>
      </w:r>
      <w:r w:rsidR="00850FE5" w:rsidRPr="002071F2">
        <w:rPr>
          <w:lang w:val="en-GB"/>
        </w:rPr>
        <w:t xml:space="preserve"> abbreviation</w:t>
      </w:r>
      <w:r w:rsidR="00850FE5">
        <w:rPr>
          <w:lang w:val="en-GB"/>
        </w:rPr>
        <w:t>.</w:t>
      </w:r>
      <w:r w:rsidR="001F67E3">
        <w:rPr>
          <w:lang w:val="en-GB"/>
        </w:rPr>
        <w:t xml:space="preserve"> </w:t>
      </w:r>
      <w:r w:rsidR="00230A6F" w:rsidRPr="00230A6F">
        <w:rPr>
          <w:lang w:val="en-GB"/>
        </w:rPr>
        <w:t>In Table 3, their physico-chemical properties are shown</w:t>
      </w:r>
      <w:r w:rsidR="007D231A" w:rsidRPr="00D45F9C">
        <w:rPr>
          <w:lang w:val="en-GB"/>
        </w:rPr>
        <w:t>.</w:t>
      </w:r>
      <w:r w:rsidR="00850FE5">
        <w:rPr>
          <w:lang w:val="en-GB"/>
        </w:rPr>
        <w:t xml:space="preserve"> </w:t>
      </w:r>
      <w:r w:rsidR="00B53771">
        <w:rPr>
          <w:lang w:val="en-GB"/>
        </w:rPr>
        <w:t>A</w:t>
      </w:r>
      <w:r w:rsidR="00B53771" w:rsidRPr="00B53771">
        <w:rPr>
          <w:lang w:val="en-GB"/>
        </w:rPr>
        <w:t>ll samples ha</w:t>
      </w:r>
      <w:r w:rsidR="00B53771">
        <w:rPr>
          <w:lang w:val="en-GB"/>
        </w:rPr>
        <w:t>d</w:t>
      </w:r>
      <w:r w:rsidR="00B53771" w:rsidRPr="00B53771">
        <w:rPr>
          <w:lang w:val="en-GB"/>
        </w:rPr>
        <w:t xml:space="preserve"> a dark appearance</w:t>
      </w:r>
      <w:r w:rsidR="00CF228D">
        <w:rPr>
          <w:lang w:val="en-GB"/>
        </w:rPr>
        <w:t>.</w:t>
      </w:r>
    </w:p>
    <w:p w14:paraId="70B4B1E8" w14:textId="57BB5558" w:rsidR="007D231A" w:rsidRPr="00D45F9C" w:rsidRDefault="007D231A" w:rsidP="002A09D9">
      <w:pPr>
        <w:pStyle w:val="CETTabletitle"/>
        <w:spacing w:before="120"/>
      </w:pPr>
      <w:r w:rsidRPr="00D45F9C">
        <w:t xml:space="preserve">Table </w:t>
      </w:r>
      <w:r w:rsidR="00F112C7" w:rsidRPr="00D45F9C">
        <w:t>3</w:t>
      </w:r>
      <w:r w:rsidRPr="00D45F9C">
        <w:t xml:space="preserve">: </w:t>
      </w:r>
      <w:r w:rsidR="00031977" w:rsidRPr="00D45F9C">
        <w:t>Physico-chemical properties of the sulfurized samples</w:t>
      </w:r>
      <w:r w:rsidR="00ED3B78" w:rsidRPr="00D45F9C">
        <w:t xml:space="preserve"> (EP)</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51"/>
        <w:gridCol w:w="1601"/>
        <w:gridCol w:w="1270"/>
        <w:gridCol w:w="907"/>
        <w:gridCol w:w="948"/>
        <w:gridCol w:w="948"/>
        <w:gridCol w:w="1137"/>
        <w:gridCol w:w="1025"/>
      </w:tblGrid>
      <w:tr w:rsidR="00905146" w:rsidRPr="00D45F9C" w14:paraId="14FC4757" w14:textId="12B7D29B" w:rsidTr="00C70C22">
        <w:tc>
          <w:tcPr>
            <w:tcW w:w="951" w:type="dxa"/>
            <w:tcBorders>
              <w:top w:val="single" w:sz="12" w:space="0" w:color="008000"/>
              <w:bottom w:val="single" w:sz="6" w:space="0" w:color="008000"/>
            </w:tcBorders>
            <w:shd w:val="clear" w:color="auto" w:fill="FFFFFF"/>
            <w:vAlign w:val="center"/>
          </w:tcPr>
          <w:p w14:paraId="5F1A1381" w14:textId="796F5FB7" w:rsidR="00905146" w:rsidRPr="00D45F9C" w:rsidRDefault="00905146" w:rsidP="00E12843">
            <w:pPr>
              <w:pStyle w:val="CETBodytext"/>
              <w:jc w:val="left"/>
              <w:rPr>
                <w:lang w:val="en-GB"/>
              </w:rPr>
            </w:pPr>
            <w:r w:rsidRPr="00D45F9C">
              <w:rPr>
                <w:lang w:val="en-GB"/>
              </w:rPr>
              <w:t>Sulfurized sample</w:t>
            </w:r>
          </w:p>
        </w:tc>
        <w:tc>
          <w:tcPr>
            <w:tcW w:w="1601" w:type="dxa"/>
            <w:tcBorders>
              <w:top w:val="single" w:sz="12" w:space="0" w:color="008000"/>
              <w:bottom w:val="single" w:sz="6" w:space="0" w:color="008000"/>
            </w:tcBorders>
            <w:shd w:val="clear" w:color="auto" w:fill="FFFFFF"/>
            <w:vAlign w:val="center"/>
          </w:tcPr>
          <w:p w14:paraId="066B3061" w14:textId="23C197FF" w:rsidR="00905146" w:rsidRPr="00D45F9C" w:rsidRDefault="00521232" w:rsidP="00E12843">
            <w:pPr>
              <w:pStyle w:val="CETBodytext"/>
              <w:jc w:val="left"/>
              <w:rPr>
                <w:lang w:val="en-GB"/>
              </w:rPr>
            </w:pPr>
            <w:r w:rsidRPr="00521232">
              <w:rPr>
                <w:lang w:val="en-GB"/>
              </w:rPr>
              <w:t>Raw material</w:t>
            </w:r>
          </w:p>
        </w:tc>
        <w:tc>
          <w:tcPr>
            <w:tcW w:w="1270" w:type="dxa"/>
            <w:tcBorders>
              <w:top w:val="single" w:sz="12" w:space="0" w:color="008000"/>
              <w:bottom w:val="single" w:sz="6" w:space="0" w:color="008000"/>
            </w:tcBorders>
            <w:shd w:val="clear" w:color="auto" w:fill="FFFFFF"/>
          </w:tcPr>
          <w:p w14:paraId="0AE83EF5" w14:textId="3E69F321" w:rsidR="00905146" w:rsidRPr="00D45F9C" w:rsidRDefault="008140AC" w:rsidP="00E12843">
            <w:pPr>
              <w:pStyle w:val="CETBodytext"/>
              <w:jc w:val="left"/>
              <w:rPr>
                <w:lang w:val="en-GB"/>
              </w:rPr>
            </w:pPr>
            <w:r w:rsidRPr="008140AC">
              <w:rPr>
                <w:lang w:val="en-GB"/>
              </w:rPr>
              <w:t>Amount of sulfur in the reaction mixture, wt%</w:t>
            </w:r>
          </w:p>
        </w:tc>
        <w:tc>
          <w:tcPr>
            <w:tcW w:w="907" w:type="dxa"/>
            <w:tcBorders>
              <w:top w:val="single" w:sz="12" w:space="0" w:color="008000"/>
              <w:bottom w:val="single" w:sz="6" w:space="0" w:color="008000"/>
            </w:tcBorders>
            <w:shd w:val="clear" w:color="auto" w:fill="FFFFFF"/>
          </w:tcPr>
          <w:p w14:paraId="13337CF2" w14:textId="02F4F85A" w:rsidR="00905146" w:rsidRPr="00D45F9C" w:rsidRDefault="00905146" w:rsidP="00E12843">
            <w:pPr>
              <w:pStyle w:val="CETBodytext"/>
              <w:jc w:val="left"/>
              <w:rPr>
                <w:lang w:val="en-GB"/>
              </w:rPr>
            </w:pPr>
            <w:r w:rsidRPr="00D45F9C">
              <w:rPr>
                <w:lang w:val="en-GB"/>
              </w:rPr>
              <w:t>Density at 20°C,</w:t>
            </w:r>
          </w:p>
          <w:p w14:paraId="592BBE05" w14:textId="4808C327" w:rsidR="00905146" w:rsidRPr="00D45F9C" w:rsidRDefault="00905146" w:rsidP="00E12843">
            <w:pPr>
              <w:pStyle w:val="CETBodytext"/>
              <w:jc w:val="left"/>
              <w:rPr>
                <w:lang w:val="en-GB"/>
              </w:rPr>
            </w:pPr>
            <w:r w:rsidRPr="00D45F9C">
              <w:rPr>
                <w:lang w:val="en-GB"/>
              </w:rPr>
              <w:t>g/cm</w:t>
            </w:r>
            <w:r w:rsidRPr="00D45F9C">
              <w:rPr>
                <w:vertAlign w:val="superscript"/>
                <w:lang w:val="en-GB"/>
              </w:rPr>
              <w:t>3</w:t>
            </w:r>
          </w:p>
        </w:tc>
        <w:tc>
          <w:tcPr>
            <w:tcW w:w="948" w:type="dxa"/>
            <w:tcBorders>
              <w:top w:val="single" w:sz="12" w:space="0" w:color="008000"/>
              <w:bottom w:val="single" w:sz="6" w:space="0" w:color="008000"/>
            </w:tcBorders>
            <w:shd w:val="clear" w:color="auto" w:fill="FFFFFF"/>
          </w:tcPr>
          <w:p w14:paraId="7E25BC46" w14:textId="77777777" w:rsidR="00905146" w:rsidRPr="00D45F9C" w:rsidRDefault="00905146" w:rsidP="00E12843">
            <w:pPr>
              <w:pStyle w:val="CETBodytext"/>
              <w:jc w:val="left"/>
              <w:rPr>
                <w:lang w:val="en-GB"/>
              </w:rPr>
            </w:pPr>
            <w:r w:rsidRPr="00D45F9C">
              <w:rPr>
                <w:lang w:val="en-GB"/>
              </w:rPr>
              <w:t>Kinematic viscosity at 40°C, mm</w:t>
            </w:r>
            <w:r w:rsidRPr="00D45F9C">
              <w:rPr>
                <w:vertAlign w:val="superscript"/>
                <w:lang w:val="en-GB"/>
              </w:rPr>
              <w:t>2</w:t>
            </w:r>
            <w:r w:rsidRPr="00D45F9C">
              <w:rPr>
                <w:lang w:val="en-GB"/>
              </w:rPr>
              <w:t>/s</w:t>
            </w:r>
          </w:p>
        </w:tc>
        <w:tc>
          <w:tcPr>
            <w:tcW w:w="948" w:type="dxa"/>
            <w:tcBorders>
              <w:top w:val="single" w:sz="12" w:space="0" w:color="008000"/>
              <w:bottom w:val="single" w:sz="6" w:space="0" w:color="008000"/>
            </w:tcBorders>
            <w:shd w:val="clear" w:color="auto" w:fill="FFFFFF"/>
          </w:tcPr>
          <w:p w14:paraId="08B4D04E" w14:textId="77777777" w:rsidR="00905146" w:rsidRPr="00D45F9C" w:rsidRDefault="00905146" w:rsidP="00E12843">
            <w:pPr>
              <w:pStyle w:val="CETBodytext"/>
              <w:jc w:val="left"/>
              <w:rPr>
                <w:lang w:val="en-GB"/>
              </w:rPr>
            </w:pPr>
            <w:r w:rsidRPr="00D45F9C">
              <w:rPr>
                <w:lang w:val="en-GB"/>
              </w:rPr>
              <w:t>Kinematic viscosity at 100°C, mm</w:t>
            </w:r>
            <w:r w:rsidRPr="00D45F9C">
              <w:rPr>
                <w:vertAlign w:val="superscript"/>
                <w:lang w:val="en-GB"/>
              </w:rPr>
              <w:t>2</w:t>
            </w:r>
            <w:r w:rsidRPr="00D45F9C">
              <w:rPr>
                <w:lang w:val="en-GB"/>
              </w:rPr>
              <w:t>/s</w:t>
            </w:r>
          </w:p>
        </w:tc>
        <w:tc>
          <w:tcPr>
            <w:tcW w:w="1137" w:type="dxa"/>
            <w:tcBorders>
              <w:top w:val="single" w:sz="12" w:space="0" w:color="008000"/>
              <w:bottom w:val="single" w:sz="6" w:space="0" w:color="008000"/>
            </w:tcBorders>
            <w:shd w:val="clear" w:color="auto" w:fill="FFFFFF"/>
          </w:tcPr>
          <w:p w14:paraId="1BA7F204" w14:textId="1C13F81B" w:rsidR="00905146" w:rsidRPr="00D45F9C" w:rsidRDefault="00905146" w:rsidP="00E12843">
            <w:pPr>
              <w:pStyle w:val="CETBodytext"/>
              <w:jc w:val="left"/>
              <w:rPr>
                <w:lang w:val="en-GB"/>
              </w:rPr>
            </w:pPr>
            <w:r w:rsidRPr="00D45F9C">
              <w:rPr>
                <w:lang w:val="en-GB"/>
              </w:rPr>
              <w:t>Total sulfur content, wt%</w:t>
            </w:r>
          </w:p>
        </w:tc>
        <w:tc>
          <w:tcPr>
            <w:tcW w:w="1025" w:type="dxa"/>
            <w:tcBorders>
              <w:top w:val="single" w:sz="12" w:space="0" w:color="008000"/>
              <w:bottom w:val="single" w:sz="6" w:space="0" w:color="008000"/>
            </w:tcBorders>
            <w:shd w:val="clear" w:color="auto" w:fill="FFFFFF"/>
          </w:tcPr>
          <w:p w14:paraId="311751C9" w14:textId="4521ED77" w:rsidR="00905146" w:rsidRPr="00D45F9C" w:rsidRDefault="00905146" w:rsidP="00E12843">
            <w:pPr>
              <w:pStyle w:val="CETBodytext"/>
              <w:jc w:val="left"/>
              <w:rPr>
                <w:lang w:val="en-GB"/>
              </w:rPr>
            </w:pPr>
            <w:r w:rsidRPr="00D45F9C">
              <w:rPr>
                <w:lang w:val="en-GB"/>
              </w:rPr>
              <w:t>Active sulfur content, wt%</w:t>
            </w:r>
          </w:p>
        </w:tc>
      </w:tr>
      <w:tr w:rsidR="003C4182" w:rsidRPr="00D45F9C" w14:paraId="36495F4B" w14:textId="4E5210E3" w:rsidTr="009D22CD">
        <w:tc>
          <w:tcPr>
            <w:tcW w:w="951" w:type="dxa"/>
            <w:shd w:val="clear" w:color="auto" w:fill="FFFFFF"/>
          </w:tcPr>
          <w:p w14:paraId="2D499DD0" w14:textId="5A6D1DE9" w:rsidR="003C4182" w:rsidRPr="00D45F9C" w:rsidRDefault="003C4182" w:rsidP="003C4182">
            <w:pPr>
              <w:pStyle w:val="CETBodytext"/>
              <w:jc w:val="left"/>
              <w:rPr>
                <w:lang w:val="en-GB"/>
              </w:rPr>
            </w:pPr>
            <w:r w:rsidRPr="00D45F9C">
              <w:rPr>
                <w:szCs w:val="16"/>
                <w:lang w:val="en-GB"/>
              </w:rPr>
              <w:t>EP-1</w:t>
            </w:r>
          </w:p>
        </w:tc>
        <w:tc>
          <w:tcPr>
            <w:tcW w:w="1601" w:type="dxa"/>
            <w:vAlign w:val="center"/>
          </w:tcPr>
          <w:p w14:paraId="7C37F9CB" w14:textId="6507D15D" w:rsidR="003C4182" w:rsidRPr="00D45F9C" w:rsidRDefault="003C4182" w:rsidP="003C4182">
            <w:pPr>
              <w:autoSpaceDE w:val="0"/>
              <w:autoSpaceDN w:val="0"/>
              <w:adjustRightInd w:val="0"/>
            </w:pPr>
            <w:r w:rsidRPr="00642A4F">
              <w:t>Rapeseed oil</w:t>
            </w:r>
          </w:p>
        </w:tc>
        <w:tc>
          <w:tcPr>
            <w:tcW w:w="1270" w:type="dxa"/>
            <w:vAlign w:val="center"/>
          </w:tcPr>
          <w:p w14:paraId="39E1A371" w14:textId="38DF0346" w:rsidR="003C4182" w:rsidRPr="00D45F9C" w:rsidRDefault="003C4182" w:rsidP="003C4182">
            <w:pPr>
              <w:pStyle w:val="CETBodytext"/>
              <w:jc w:val="left"/>
              <w:rPr>
                <w:lang w:val="en-GB"/>
              </w:rPr>
            </w:pPr>
            <w:r w:rsidRPr="00642A4F">
              <w:rPr>
                <w:lang w:val="en-GB"/>
              </w:rPr>
              <w:t>10</w:t>
            </w:r>
          </w:p>
        </w:tc>
        <w:tc>
          <w:tcPr>
            <w:tcW w:w="907" w:type="dxa"/>
            <w:shd w:val="clear" w:color="auto" w:fill="FFFFFF"/>
          </w:tcPr>
          <w:p w14:paraId="0A76DAA8" w14:textId="7F2497D4" w:rsidR="003C4182" w:rsidRPr="00D45F9C" w:rsidRDefault="003C4182" w:rsidP="003C4182">
            <w:pPr>
              <w:pStyle w:val="CETBodytext"/>
              <w:jc w:val="left"/>
              <w:rPr>
                <w:lang w:val="en-GB"/>
              </w:rPr>
            </w:pPr>
            <w:r w:rsidRPr="00D45F9C">
              <w:rPr>
                <w:lang w:val="en-GB"/>
              </w:rPr>
              <w:t>0.9892</w:t>
            </w:r>
          </w:p>
        </w:tc>
        <w:tc>
          <w:tcPr>
            <w:tcW w:w="948" w:type="dxa"/>
            <w:shd w:val="clear" w:color="auto" w:fill="FFFFFF"/>
          </w:tcPr>
          <w:p w14:paraId="0CAF26E4" w14:textId="0D8C560E" w:rsidR="003C4182" w:rsidRPr="00D45F9C" w:rsidRDefault="003C4182" w:rsidP="003C4182">
            <w:pPr>
              <w:pStyle w:val="CETBodytext"/>
              <w:jc w:val="left"/>
              <w:rPr>
                <w:lang w:val="en-GB"/>
              </w:rPr>
            </w:pPr>
            <w:r w:rsidRPr="00D45F9C">
              <w:rPr>
                <w:lang w:val="en-GB"/>
              </w:rPr>
              <w:t>734.00</w:t>
            </w:r>
          </w:p>
        </w:tc>
        <w:tc>
          <w:tcPr>
            <w:tcW w:w="948" w:type="dxa"/>
            <w:shd w:val="clear" w:color="auto" w:fill="FFFFFF"/>
          </w:tcPr>
          <w:p w14:paraId="3673B3B9" w14:textId="5BCE20AA" w:rsidR="003C4182" w:rsidRPr="00D45F9C" w:rsidRDefault="003C4182" w:rsidP="003C4182">
            <w:pPr>
              <w:pStyle w:val="CETBodytext"/>
              <w:jc w:val="left"/>
              <w:rPr>
                <w:lang w:val="en-GB"/>
              </w:rPr>
            </w:pPr>
            <w:r w:rsidRPr="00D45F9C">
              <w:rPr>
                <w:lang w:val="en-GB"/>
              </w:rPr>
              <w:t>75.65</w:t>
            </w:r>
          </w:p>
        </w:tc>
        <w:tc>
          <w:tcPr>
            <w:tcW w:w="1137" w:type="dxa"/>
            <w:shd w:val="clear" w:color="auto" w:fill="FFFFFF"/>
          </w:tcPr>
          <w:p w14:paraId="0FC29135" w14:textId="0E5DE9F4" w:rsidR="003C4182" w:rsidRPr="00D45F9C" w:rsidRDefault="003C4182" w:rsidP="003C4182">
            <w:pPr>
              <w:pStyle w:val="CETBodytext"/>
              <w:jc w:val="left"/>
              <w:rPr>
                <w:lang w:val="en-GB"/>
              </w:rPr>
            </w:pPr>
            <w:r w:rsidRPr="00D45F9C">
              <w:rPr>
                <w:lang w:val="en-GB"/>
              </w:rPr>
              <w:t>10.82</w:t>
            </w:r>
          </w:p>
        </w:tc>
        <w:tc>
          <w:tcPr>
            <w:tcW w:w="1025" w:type="dxa"/>
            <w:shd w:val="clear" w:color="auto" w:fill="FFFFFF"/>
          </w:tcPr>
          <w:p w14:paraId="3D5EA5D6" w14:textId="4CFB2DAE" w:rsidR="003C4182" w:rsidRPr="00D45F9C" w:rsidRDefault="003C4182" w:rsidP="003C4182">
            <w:pPr>
              <w:pStyle w:val="CETBodytext"/>
              <w:jc w:val="left"/>
              <w:rPr>
                <w:lang w:val="en-GB"/>
              </w:rPr>
            </w:pPr>
            <w:r w:rsidRPr="00D45F9C">
              <w:rPr>
                <w:lang w:val="en-GB"/>
              </w:rPr>
              <w:t>1.37</w:t>
            </w:r>
          </w:p>
        </w:tc>
      </w:tr>
      <w:tr w:rsidR="003C4182" w:rsidRPr="00D45F9C" w14:paraId="50C1D9D4" w14:textId="5ECE2C36" w:rsidTr="009D22CD">
        <w:tc>
          <w:tcPr>
            <w:tcW w:w="951" w:type="dxa"/>
            <w:shd w:val="clear" w:color="auto" w:fill="FFFFFF"/>
          </w:tcPr>
          <w:p w14:paraId="37D98D33" w14:textId="43A37FD9" w:rsidR="003C4182" w:rsidRPr="00D45F9C" w:rsidRDefault="003C4182" w:rsidP="003C4182">
            <w:pPr>
              <w:pStyle w:val="CETBodytext"/>
              <w:ind w:right="-1"/>
              <w:jc w:val="left"/>
              <w:rPr>
                <w:rFonts w:cs="Arial"/>
                <w:szCs w:val="18"/>
                <w:lang w:val="en-GB"/>
              </w:rPr>
            </w:pPr>
            <w:r w:rsidRPr="00D45F9C">
              <w:rPr>
                <w:szCs w:val="16"/>
                <w:lang w:val="en-GB"/>
              </w:rPr>
              <w:t>EP -2</w:t>
            </w:r>
          </w:p>
        </w:tc>
        <w:tc>
          <w:tcPr>
            <w:tcW w:w="1601" w:type="dxa"/>
            <w:vAlign w:val="center"/>
          </w:tcPr>
          <w:p w14:paraId="300AA5E9" w14:textId="77F7C049" w:rsidR="003C4182" w:rsidRPr="00D45F9C" w:rsidRDefault="003C4182" w:rsidP="003C4182">
            <w:pPr>
              <w:autoSpaceDE w:val="0"/>
              <w:autoSpaceDN w:val="0"/>
              <w:adjustRightInd w:val="0"/>
              <w:rPr>
                <w:rFonts w:cs="Arial"/>
                <w:szCs w:val="18"/>
              </w:rPr>
            </w:pPr>
            <w:r w:rsidRPr="00642A4F">
              <w:t>Sunflower oil</w:t>
            </w:r>
          </w:p>
        </w:tc>
        <w:tc>
          <w:tcPr>
            <w:tcW w:w="1270" w:type="dxa"/>
            <w:vAlign w:val="center"/>
          </w:tcPr>
          <w:p w14:paraId="2F9B71B1" w14:textId="5E8D7310" w:rsidR="003C4182" w:rsidRPr="00D45F9C" w:rsidRDefault="003C4182" w:rsidP="003C4182">
            <w:pPr>
              <w:pStyle w:val="CETBodytext"/>
              <w:ind w:right="-1"/>
              <w:jc w:val="left"/>
              <w:rPr>
                <w:lang w:val="en-GB"/>
              </w:rPr>
            </w:pPr>
            <w:r w:rsidRPr="00642A4F">
              <w:rPr>
                <w:rFonts w:cs="Arial"/>
                <w:szCs w:val="18"/>
                <w:lang w:val="en-GB"/>
              </w:rPr>
              <w:t>10</w:t>
            </w:r>
          </w:p>
        </w:tc>
        <w:tc>
          <w:tcPr>
            <w:tcW w:w="907" w:type="dxa"/>
            <w:shd w:val="clear" w:color="auto" w:fill="FFFFFF"/>
          </w:tcPr>
          <w:p w14:paraId="238BA0F5" w14:textId="55476931" w:rsidR="003C4182" w:rsidRPr="00D45F9C" w:rsidRDefault="003C4182" w:rsidP="003C4182">
            <w:pPr>
              <w:pStyle w:val="CETBodytext"/>
              <w:ind w:right="-1"/>
              <w:jc w:val="left"/>
              <w:rPr>
                <w:rFonts w:cs="Arial"/>
                <w:szCs w:val="18"/>
                <w:lang w:val="en-GB"/>
              </w:rPr>
            </w:pPr>
            <w:r w:rsidRPr="00D45F9C">
              <w:rPr>
                <w:lang w:val="en-GB"/>
              </w:rPr>
              <w:t>0.9929</w:t>
            </w:r>
          </w:p>
        </w:tc>
        <w:tc>
          <w:tcPr>
            <w:tcW w:w="948" w:type="dxa"/>
            <w:shd w:val="clear" w:color="auto" w:fill="FFFFFF"/>
          </w:tcPr>
          <w:p w14:paraId="3EAA8B28" w14:textId="37230C1D" w:rsidR="003C4182" w:rsidRPr="00D45F9C" w:rsidRDefault="003C4182" w:rsidP="003C4182">
            <w:pPr>
              <w:pStyle w:val="CETBodytext"/>
              <w:ind w:right="-1"/>
              <w:jc w:val="left"/>
              <w:rPr>
                <w:rFonts w:cs="Arial"/>
                <w:szCs w:val="18"/>
                <w:lang w:val="en-GB"/>
              </w:rPr>
            </w:pPr>
            <w:r w:rsidRPr="00D45F9C">
              <w:rPr>
                <w:lang w:val="en-GB"/>
              </w:rPr>
              <w:t>917.50</w:t>
            </w:r>
          </w:p>
        </w:tc>
        <w:tc>
          <w:tcPr>
            <w:tcW w:w="948" w:type="dxa"/>
            <w:shd w:val="clear" w:color="auto" w:fill="FFFFFF"/>
          </w:tcPr>
          <w:p w14:paraId="2FA94131" w14:textId="569495B7" w:rsidR="003C4182" w:rsidRPr="00D45F9C" w:rsidRDefault="003C4182" w:rsidP="003C4182">
            <w:pPr>
              <w:pStyle w:val="CETBodytext"/>
              <w:ind w:right="-1"/>
              <w:jc w:val="left"/>
              <w:rPr>
                <w:rFonts w:cs="Arial"/>
                <w:szCs w:val="18"/>
                <w:lang w:val="en-GB"/>
              </w:rPr>
            </w:pPr>
            <w:r w:rsidRPr="00D45F9C">
              <w:rPr>
                <w:lang w:val="en-GB"/>
              </w:rPr>
              <w:t>100.70</w:t>
            </w:r>
          </w:p>
        </w:tc>
        <w:tc>
          <w:tcPr>
            <w:tcW w:w="1137" w:type="dxa"/>
            <w:shd w:val="clear" w:color="auto" w:fill="FFFFFF"/>
          </w:tcPr>
          <w:p w14:paraId="0B36CF78" w14:textId="6290D2A0" w:rsidR="003C4182" w:rsidRPr="00D45F9C" w:rsidRDefault="003C4182" w:rsidP="003C4182">
            <w:pPr>
              <w:pStyle w:val="CETBodytext"/>
              <w:ind w:right="-1"/>
              <w:jc w:val="left"/>
              <w:rPr>
                <w:rFonts w:cs="Arial"/>
                <w:szCs w:val="18"/>
                <w:lang w:val="en-GB"/>
              </w:rPr>
            </w:pPr>
            <w:r w:rsidRPr="00D45F9C">
              <w:rPr>
                <w:lang w:val="en-GB"/>
              </w:rPr>
              <w:t>10.91</w:t>
            </w:r>
          </w:p>
        </w:tc>
        <w:tc>
          <w:tcPr>
            <w:tcW w:w="1025" w:type="dxa"/>
            <w:shd w:val="clear" w:color="auto" w:fill="FFFFFF"/>
          </w:tcPr>
          <w:p w14:paraId="2682EDAF" w14:textId="4E29BF89" w:rsidR="003C4182" w:rsidRPr="00D45F9C" w:rsidRDefault="003C4182" w:rsidP="003C4182">
            <w:pPr>
              <w:pStyle w:val="CETBodytext"/>
              <w:ind w:right="-1"/>
              <w:jc w:val="left"/>
              <w:rPr>
                <w:rFonts w:cs="Arial"/>
                <w:szCs w:val="18"/>
                <w:lang w:val="en-GB"/>
              </w:rPr>
            </w:pPr>
            <w:r w:rsidRPr="00D45F9C">
              <w:rPr>
                <w:lang w:val="en-GB"/>
              </w:rPr>
              <w:t>1.18</w:t>
            </w:r>
          </w:p>
        </w:tc>
      </w:tr>
      <w:tr w:rsidR="003C4182" w:rsidRPr="00D45F9C" w14:paraId="78DEF957" w14:textId="1D93377F" w:rsidTr="009D22CD">
        <w:tc>
          <w:tcPr>
            <w:tcW w:w="951" w:type="dxa"/>
            <w:shd w:val="clear" w:color="auto" w:fill="FFFFFF"/>
          </w:tcPr>
          <w:p w14:paraId="37CE6C70" w14:textId="48444ED2" w:rsidR="003C4182" w:rsidRPr="00D45F9C" w:rsidRDefault="003C4182" w:rsidP="003C4182">
            <w:pPr>
              <w:pStyle w:val="CETBodytext"/>
              <w:ind w:right="-1"/>
              <w:jc w:val="left"/>
              <w:rPr>
                <w:rFonts w:cs="Arial"/>
                <w:szCs w:val="18"/>
                <w:lang w:val="en-GB"/>
              </w:rPr>
            </w:pPr>
            <w:r w:rsidRPr="00D45F9C">
              <w:rPr>
                <w:szCs w:val="16"/>
                <w:lang w:val="en-GB"/>
              </w:rPr>
              <w:t>EP -3</w:t>
            </w:r>
          </w:p>
        </w:tc>
        <w:tc>
          <w:tcPr>
            <w:tcW w:w="1601" w:type="dxa"/>
            <w:vAlign w:val="center"/>
          </w:tcPr>
          <w:p w14:paraId="0522D70A" w14:textId="7698B91C" w:rsidR="003C4182" w:rsidRPr="00D45F9C" w:rsidRDefault="003C4182" w:rsidP="003C4182">
            <w:pPr>
              <w:autoSpaceDE w:val="0"/>
              <w:autoSpaceDN w:val="0"/>
              <w:adjustRightInd w:val="0"/>
              <w:rPr>
                <w:rFonts w:cs="Arial"/>
                <w:szCs w:val="18"/>
              </w:rPr>
            </w:pPr>
            <w:r w:rsidRPr="00642A4F">
              <w:t>Used cooking oil</w:t>
            </w:r>
          </w:p>
        </w:tc>
        <w:tc>
          <w:tcPr>
            <w:tcW w:w="1270" w:type="dxa"/>
            <w:vAlign w:val="center"/>
          </w:tcPr>
          <w:p w14:paraId="51D8C8EA" w14:textId="73841675" w:rsidR="003C4182" w:rsidRPr="00D45F9C" w:rsidRDefault="003C4182" w:rsidP="003C4182">
            <w:pPr>
              <w:pStyle w:val="CETBodytext"/>
              <w:ind w:right="-1"/>
              <w:jc w:val="left"/>
              <w:rPr>
                <w:lang w:val="en-GB"/>
              </w:rPr>
            </w:pPr>
            <w:r w:rsidRPr="00642A4F">
              <w:rPr>
                <w:rFonts w:cs="Arial"/>
                <w:szCs w:val="18"/>
                <w:lang w:val="en-GB"/>
              </w:rPr>
              <w:t>10</w:t>
            </w:r>
          </w:p>
        </w:tc>
        <w:tc>
          <w:tcPr>
            <w:tcW w:w="907" w:type="dxa"/>
            <w:shd w:val="clear" w:color="auto" w:fill="FFFFFF"/>
          </w:tcPr>
          <w:p w14:paraId="24A03FA6" w14:textId="1E202283" w:rsidR="003C4182" w:rsidRPr="00D45F9C" w:rsidRDefault="003C4182" w:rsidP="003C4182">
            <w:pPr>
              <w:pStyle w:val="CETBodytext"/>
              <w:ind w:right="-1"/>
              <w:jc w:val="left"/>
              <w:rPr>
                <w:rFonts w:cs="Arial"/>
                <w:szCs w:val="18"/>
                <w:lang w:val="en-GB"/>
              </w:rPr>
            </w:pPr>
            <w:r w:rsidRPr="00D45F9C">
              <w:rPr>
                <w:lang w:val="en-GB"/>
              </w:rPr>
              <w:t>0.9893</w:t>
            </w:r>
          </w:p>
        </w:tc>
        <w:tc>
          <w:tcPr>
            <w:tcW w:w="948" w:type="dxa"/>
            <w:shd w:val="clear" w:color="auto" w:fill="FFFFFF"/>
          </w:tcPr>
          <w:p w14:paraId="32B692CE" w14:textId="1A779D3D" w:rsidR="003C4182" w:rsidRPr="00D45F9C" w:rsidRDefault="003C4182" w:rsidP="003C4182">
            <w:pPr>
              <w:pStyle w:val="CETBodytext"/>
              <w:ind w:right="-1"/>
              <w:jc w:val="left"/>
              <w:rPr>
                <w:rFonts w:cs="Arial"/>
                <w:szCs w:val="18"/>
                <w:lang w:val="en-GB"/>
              </w:rPr>
            </w:pPr>
            <w:r w:rsidRPr="00D45F9C">
              <w:rPr>
                <w:lang w:val="en-GB"/>
              </w:rPr>
              <w:t>498.10</w:t>
            </w:r>
          </w:p>
        </w:tc>
        <w:tc>
          <w:tcPr>
            <w:tcW w:w="948" w:type="dxa"/>
            <w:shd w:val="clear" w:color="auto" w:fill="FFFFFF"/>
          </w:tcPr>
          <w:p w14:paraId="212AB7F6" w14:textId="79D7E0B5" w:rsidR="003C4182" w:rsidRPr="00D45F9C" w:rsidRDefault="003C4182" w:rsidP="003C4182">
            <w:pPr>
              <w:pStyle w:val="CETBodytext"/>
              <w:ind w:right="-1"/>
              <w:jc w:val="left"/>
              <w:rPr>
                <w:rFonts w:cs="Arial"/>
                <w:szCs w:val="18"/>
                <w:lang w:val="en-GB"/>
              </w:rPr>
            </w:pPr>
            <w:r w:rsidRPr="00D45F9C">
              <w:rPr>
                <w:lang w:val="en-GB"/>
              </w:rPr>
              <w:t>56.20</w:t>
            </w:r>
          </w:p>
        </w:tc>
        <w:tc>
          <w:tcPr>
            <w:tcW w:w="1137" w:type="dxa"/>
            <w:shd w:val="clear" w:color="auto" w:fill="FFFFFF"/>
          </w:tcPr>
          <w:p w14:paraId="7EE02B02" w14:textId="68ED3604" w:rsidR="003C4182" w:rsidRPr="00D45F9C" w:rsidRDefault="003C4182" w:rsidP="003C4182">
            <w:pPr>
              <w:pStyle w:val="CETBodytext"/>
              <w:ind w:right="-1"/>
              <w:jc w:val="left"/>
              <w:rPr>
                <w:rFonts w:cs="Arial"/>
                <w:szCs w:val="18"/>
                <w:lang w:val="en-GB"/>
              </w:rPr>
            </w:pPr>
            <w:r w:rsidRPr="00D45F9C">
              <w:rPr>
                <w:lang w:val="en-GB"/>
              </w:rPr>
              <w:t>9.71</w:t>
            </w:r>
          </w:p>
        </w:tc>
        <w:tc>
          <w:tcPr>
            <w:tcW w:w="1025" w:type="dxa"/>
            <w:shd w:val="clear" w:color="auto" w:fill="FFFFFF"/>
          </w:tcPr>
          <w:p w14:paraId="33C4C466" w14:textId="180FADD3" w:rsidR="003C4182" w:rsidRPr="00D45F9C" w:rsidRDefault="003C4182" w:rsidP="003C4182">
            <w:pPr>
              <w:pStyle w:val="CETBodytext"/>
              <w:ind w:right="-1"/>
              <w:jc w:val="left"/>
              <w:rPr>
                <w:rFonts w:cs="Arial"/>
                <w:szCs w:val="18"/>
                <w:lang w:val="en-GB"/>
              </w:rPr>
            </w:pPr>
            <w:r w:rsidRPr="00D45F9C">
              <w:rPr>
                <w:lang w:val="en-GB"/>
              </w:rPr>
              <w:t>3.48</w:t>
            </w:r>
          </w:p>
        </w:tc>
      </w:tr>
      <w:tr w:rsidR="003C4182" w:rsidRPr="00D45F9C" w14:paraId="5E8DA674" w14:textId="45F019FA" w:rsidTr="009D22CD">
        <w:tc>
          <w:tcPr>
            <w:tcW w:w="951" w:type="dxa"/>
            <w:shd w:val="clear" w:color="auto" w:fill="FFFFFF"/>
          </w:tcPr>
          <w:p w14:paraId="1D106423" w14:textId="69FC5DC3" w:rsidR="003C4182" w:rsidRPr="00D45F9C" w:rsidRDefault="003C4182" w:rsidP="003C4182">
            <w:pPr>
              <w:pStyle w:val="CETBodytext"/>
              <w:ind w:right="-1"/>
              <w:jc w:val="left"/>
              <w:rPr>
                <w:rFonts w:cs="Arial"/>
                <w:szCs w:val="18"/>
                <w:lang w:val="en-GB"/>
              </w:rPr>
            </w:pPr>
            <w:r w:rsidRPr="00D45F9C">
              <w:rPr>
                <w:szCs w:val="16"/>
                <w:lang w:val="en-GB"/>
              </w:rPr>
              <w:t>EP -4</w:t>
            </w:r>
          </w:p>
        </w:tc>
        <w:tc>
          <w:tcPr>
            <w:tcW w:w="1601" w:type="dxa"/>
            <w:vMerge w:val="restart"/>
            <w:shd w:val="clear" w:color="auto" w:fill="FFFFFF"/>
            <w:vAlign w:val="center"/>
          </w:tcPr>
          <w:p w14:paraId="18DE4AFD" w14:textId="005AFA81" w:rsidR="003C4182" w:rsidRPr="00D45F9C" w:rsidRDefault="003C4182" w:rsidP="003C4182">
            <w:pPr>
              <w:autoSpaceDE w:val="0"/>
              <w:autoSpaceDN w:val="0"/>
              <w:adjustRightInd w:val="0"/>
              <w:rPr>
                <w:rFonts w:cs="Arial"/>
                <w:szCs w:val="18"/>
              </w:rPr>
            </w:pPr>
            <w:r w:rsidRPr="00C478AE">
              <w:rPr>
                <w:rFonts w:cs="Arial"/>
                <w:szCs w:val="18"/>
              </w:rPr>
              <w:t>Olive pomace oil</w:t>
            </w:r>
          </w:p>
        </w:tc>
        <w:tc>
          <w:tcPr>
            <w:tcW w:w="1270" w:type="dxa"/>
            <w:vAlign w:val="center"/>
          </w:tcPr>
          <w:p w14:paraId="120D50E2" w14:textId="2D5E8B0E" w:rsidR="003C4182" w:rsidRPr="00D45F9C" w:rsidRDefault="003C4182" w:rsidP="003C4182">
            <w:pPr>
              <w:pStyle w:val="CETBodytext"/>
              <w:ind w:right="-1"/>
              <w:jc w:val="left"/>
              <w:rPr>
                <w:lang w:val="en-GB"/>
              </w:rPr>
            </w:pPr>
            <w:r w:rsidRPr="00642A4F">
              <w:rPr>
                <w:rFonts w:cs="Arial"/>
                <w:szCs w:val="18"/>
                <w:lang w:val="en-GB"/>
              </w:rPr>
              <w:t>10</w:t>
            </w:r>
          </w:p>
        </w:tc>
        <w:tc>
          <w:tcPr>
            <w:tcW w:w="907" w:type="dxa"/>
            <w:shd w:val="clear" w:color="auto" w:fill="FFFFFF"/>
          </w:tcPr>
          <w:p w14:paraId="22EF8F33" w14:textId="410904E3" w:rsidR="003C4182" w:rsidRPr="00D45F9C" w:rsidRDefault="003C4182" w:rsidP="003C4182">
            <w:pPr>
              <w:pStyle w:val="CETBodytext"/>
              <w:ind w:right="-1"/>
              <w:jc w:val="left"/>
              <w:rPr>
                <w:rFonts w:cs="Arial"/>
                <w:szCs w:val="18"/>
                <w:lang w:val="en-GB"/>
              </w:rPr>
            </w:pPr>
            <w:r w:rsidRPr="00D45F9C">
              <w:rPr>
                <w:lang w:val="en-GB"/>
              </w:rPr>
              <w:t>0.9807</w:t>
            </w:r>
          </w:p>
        </w:tc>
        <w:tc>
          <w:tcPr>
            <w:tcW w:w="948" w:type="dxa"/>
            <w:shd w:val="clear" w:color="auto" w:fill="FFFFFF"/>
          </w:tcPr>
          <w:p w14:paraId="5B554F59" w14:textId="17BB8A09" w:rsidR="003C4182" w:rsidRPr="00D45F9C" w:rsidRDefault="003C4182" w:rsidP="003C4182">
            <w:pPr>
              <w:pStyle w:val="CETBodytext"/>
              <w:ind w:right="-1"/>
              <w:jc w:val="left"/>
              <w:rPr>
                <w:rFonts w:cs="Arial"/>
                <w:szCs w:val="18"/>
                <w:lang w:val="en-GB"/>
              </w:rPr>
            </w:pPr>
            <w:r w:rsidRPr="00D45F9C">
              <w:rPr>
                <w:lang w:val="en-GB"/>
              </w:rPr>
              <w:t>392.40</w:t>
            </w:r>
          </w:p>
        </w:tc>
        <w:tc>
          <w:tcPr>
            <w:tcW w:w="948" w:type="dxa"/>
            <w:shd w:val="clear" w:color="auto" w:fill="FFFFFF"/>
          </w:tcPr>
          <w:p w14:paraId="72D1EF88" w14:textId="10AB3305" w:rsidR="003C4182" w:rsidRPr="00D45F9C" w:rsidRDefault="003C4182" w:rsidP="003C4182">
            <w:pPr>
              <w:pStyle w:val="CETBodytext"/>
              <w:ind w:right="-1"/>
              <w:jc w:val="left"/>
              <w:rPr>
                <w:rFonts w:cs="Arial"/>
                <w:szCs w:val="18"/>
                <w:lang w:val="en-GB"/>
              </w:rPr>
            </w:pPr>
            <w:r w:rsidRPr="00D45F9C">
              <w:rPr>
                <w:lang w:val="en-GB"/>
              </w:rPr>
              <w:t>44.67</w:t>
            </w:r>
          </w:p>
        </w:tc>
        <w:tc>
          <w:tcPr>
            <w:tcW w:w="1137" w:type="dxa"/>
            <w:shd w:val="clear" w:color="auto" w:fill="FFFFFF"/>
          </w:tcPr>
          <w:p w14:paraId="7ADF2B50" w14:textId="5C8ACF6C" w:rsidR="003C4182" w:rsidRPr="00D45F9C" w:rsidRDefault="003C4182" w:rsidP="003C4182">
            <w:pPr>
              <w:pStyle w:val="CETBodytext"/>
              <w:ind w:right="-1"/>
              <w:jc w:val="left"/>
              <w:rPr>
                <w:rFonts w:cs="Arial"/>
                <w:szCs w:val="18"/>
                <w:lang w:val="en-GB"/>
              </w:rPr>
            </w:pPr>
            <w:r w:rsidRPr="00D45F9C">
              <w:rPr>
                <w:lang w:val="en-GB"/>
              </w:rPr>
              <w:t>10.93</w:t>
            </w:r>
          </w:p>
        </w:tc>
        <w:tc>
          <w:tcPr>
            <w:tcW w:w="1025" w:type="dxa"/>
            <w:shd w:val="clear" w:color="auto" w:fill="FFFFFF"/>
          </w:tcPr>
          <w:p w14:paraId="27215BC5" w14:textId="76EDD79A" w:rsidR="003C4182" w:rsidRPr="00D45F9C" w:rsidRDefault="003C4182" w:rsidP="003C4182">
            <w:pPr>
              <w:pStyle w:val="CETBodytext"/>
              <w:ind w:right="-1"/>
              <w:jc w:val="left"/>
              <w:rPr>
                <w:rFonts w:cs="Arial"/>
                <w:szCs w:val="18"/>
                <w:lang w:val="en-GB"/>
              </w:rPr>
            </w:pPr>
            <w:r w:rsidRPr="00D45F9C">
              <w:rPr>
                <w:lang w:val="en-GB"/>
              </w:rPr>
              <w:t>3.78</w:t>
            </w:r>
          </w:p>
        </w:tc>
      </w:tr>
      <w:tr w:rsidR="003C4182" w:rsidRPr="00D45F9C" w14:paraId="19FE1B34" w14:textId="3431E523" w:rsidTr="009D22CD">
        <w:tc>
          <w:tcPr>
            <w:tcW w:w="951" w:type="dxa"/>
            <w:shd w:val="clear" w:color="auto" w:fill="FFFFFF"/>
          </w:tcPr>
          <w:p w14:paraId="7B379CDC" w14:textId="28D72F9A" w:rsidR="003C4182" w:rsidRPr="00D45F9C" w:rsidRDefault="003C4182" w:rsidP="003C4182">
            <w:pPr>
              <w:pStyle w:val="CETBodytext"/>
              <w:ind w:right="-1"/>
              <w:jc w:val="left"/>
              <w:rPr>
                <w:rFonts w:cs="Arial"/>
                <w:szCs w:val="18"/>
                <w:lang w:val="en-GB"/>
              </w:rPr>
            </w:pPr>
            <w:r w:rsidRPr="00D45F9C">
              <w:rPr>
                <w:szCs w:val="16"/>
                <w:lang w:val="en-GB"/>
              </w:rPr>
              <w:t>EP -5</w:t>
            </w:r>
          </w:p>
        </w:tc>
        <w:tc>
          <w:tcPr>
            <w:tcW w:w="1601" w:type="dxa"/>
            <w:vMerge/>
            <w:shd w:val="clear" w:color="auto" w:fill="FFFFFF"/>
            <w:vAlign w:val="center"/>
          </w:tcPr>
          <w:p w14:paraId="1F899345" w14:textId="5DED2099" w:rsidR="003C4182" w:rsidRPr="00D45F9C" w:rsidRDefault="003C4182" w:rsidP="003C4182">
            <w:pPr>
              <w:autoSpaceDE w:val="0"/>
              <w:autoSpaceDN w:val="0"/>
              <w:adjustRightInd w:val="0"/>
              <w:rPr>
                <w:rFonts w:cs="Arial"/>
                <w:szCs w:val="18"/>
              </w:rPr>
            </w:pPr>
          </w:p>
        </w:tc>
        <w:tc>
          <w:tcPr>
            <w:tcW w:w="1270" w:type="dxa"/>
            <w:vAlign w:val="center"/>
          </w:tcPr>
          <w:p w14:paraId="7C21E65D" w14:textId="1F095801" w:rsidR="003C4182" w:rsidRPr="00D45F9C" w:rsidRDefault="003C4182" w:rsidP="003C4182">
            <w:pPr>
              <w:pStyle w:val="CETBodytext"/>
              <w:ind w:right="-1"/>
              <w:jc w:val="left"/>
              <w:rPr>
                <w:lang w:val="en-GB"/>
              </w:rPr>
            </w:pPr>
            <w:r w:rsidRPr="00642A4F">
              <w:rPr>
                <w:rFonts w:cs="Arial"/>
                <w:szCs w:val="18"/>
                <w:lang w:val="en-GB"/>
              </w:rPr>
              <w:t>15</w:t>
            </w:r>
          </w:p>
        </w:tc>
        <w:tc>
          <w:tcPr>
            <w:tcW w:w="907" w:type="dxa"/>
            <w:shd w:val="clear" w:color="auto" w:fill="FFFFFF"/>
          </w:tcPr>
          <w:p w14:paraId="7BE36E8B" w14:textId="585CD345" w:rsidR="003C4182" w:rsidRPr="00D45F9C" w:rsidRDefault="003C4182" w:rsidP="003C4182">
            <w:pPr>
              <w:pStyle w:val="CETBodytext"/>
              <w:ind w:right="-1"/>
              <w:jc w:val="left"/>
              <w:rPr>
                <w:rFonts w:cs="Arial"/>
                <w:szCs w:val="18"/>
                <w:lang w:val="en-GB"/>
              </w:rPr>
            </w:pPr>
            <w:r w:rsidRPr="00D45F9C">
              <w:rPr>
                <w:lang w:val="en-GB"/>
              </w:rPr>
              <w:t>0.9980</w:t>
            </w:r>
          </w:p>
        </w:tc>
        <w:tc>
          <w:tcPr>
            <w:tcW w:w="948" w:type="dxa"/>
            <w:shd w:val="clear" w:color="auto" w:fill="FFFFFF"/>
          </w:tcPr>
          <w:p w14:paraId="5F14B857" w14:textId="4B6DC906" w:rsidR="003C4182" w:rsidRPr="00D45F9C" w:rsidRDefault="003C4182" w:rsidP="003C4182">
            <w:pPr>
              <w:pStyle w:val="CETBodytext"/>
              <w:ind w:right="-1"/>
              <w:jc w:val="left"/>
              <w:rPr>
                <w:rFonts w:cs="Arial"/>
                <w:szCs w:val="18"/>
                <w:lang w:val="en-GB"/>
              </w:rPr>
            </w:pPr>
            <w:r w:rsidRPr="00D45F9C">
              <w:rPr>
                <w:lang w:val="en-GB"/>
              </w:rPr>
              <w:t>1 035.97</w:t>
            </w:r>
          </w:p>
        </w:tc>
        <w:tc>
          <w:tcPr>
            <w:tcW w:w="948" w:type="dxa"/>
            <w:shd w:val="clear" w:color="auto" w:fill="FFFFFF"/>
          </w:tcPr>
          <w:p w14:paraId="38F0C689" w14:textId="65C4455D" w:rsidR="003C4182" w:rsidRPr="00D45F9C" w:rsidRDefault="003C4182" w:rsidP="003C4182">
            <w:pPr>
              <w:pStyle w:val="CETBodytext"/>
              <w:ind w:right="-1"/>
              <w:jc w:val="left"/>
              <w:rPr>
                <w:rFonts w:cs="Arial"/>
                <w:szCs w:val="18"/>
                <w:lang w:val="en-GB"/>
              </w:rPr>
            </w:pPr>
            <w:r w:rsidRPr="00D45F9C">
              <w:rPr>
                <w:lang w:val="en-GB"/>
              </w:rPr>
              <w:t>99.82</w:t>
            </w:r>
          </w:p>
        </w:tc>
        <w:tc>
          <w:tcPr>
            <w:tcW w:w="1137" w:type="dxa"/>
            <w:shd w:val="clear" w:color="auto" w:fill="FFFFFF"/>
          </w:tcPr>
          <w:p w14:paraId="07FD42F3" w14:textId="5444375A" w:rsidR="003C4182" w:rsidRPr="00D45F9C" w:rsidRDefault="003C4182" w:rsidP="003C4182">
            <w:pPr>
              <w:pStyle w:val="CETBodytext"/>
              <w:ind w:right="-1"/>
              <w:jc w:val="left"/>
              <w:rPr>
                <w:rFonts w:cs="Arial"/>
                <w:szCs w:val="18"/>
                <w:lang w:val="en-GB"/>
              </w:rPr>
            </w:pPr>
            <w:r w:rsidRPr="00D45F9C">
              <w:rPr>
                <w:lang w:val="en-GB"/>
              </w:rPr>
              <w:t>15.76</w:t>
            </w:r>
          </w:p>
        </w:tc>
        <w:tc>
          <w:tcPr>
            <w:tcW w:w="1025" w:type="dxa"/>
            <w:shd w:val="clear" w:color="auto" w:fill="FFFFFF"/>
          </w:tcPr>
          <w:p w14:paraId="79303FF6" w14:textId="3BB1C4E5" w:rsidR="003C4182" w:rsidRPr="00D45F9C" w:rsidRDefault="003C4182" w:rsidP="003C4182">
            <w:pPr>
              <w:pStyle w:val="CETBodytext"/>
              <w:ind w:right="-1"/>
              <w:jc w:val="left"/>
              <w:rPr>
                <w:rFonts w:cs="Arial"/>
                <w:szCs w:val="18"/>
                <w:lang w:val="en-GB"/>
              </w:rPr>
            </w:pPr>
            <w:r w:rsidRPr="00D45F9C">
              <w:rPr>
                <w:lang w:val="en-GB"/>
              </w:rPr>
              <w:t>6.86</w:t>
            </w:r>
          </w:p>
        </w:tc>
      </w:tr>
      <w:tr w:rsidR="003C4182" w:rsidRPr="00D45F9C" w14:paraId="1DCE9AA3" w14:textId="2EB16F93" w:rsidTr="009D22CD">
        <w:tc>
          <w:tcPr>
            <w:tcW w:w="951" w:type="dxa"/>
            <w:shd w:val="clear" w:color="auto" w:fill="FFFFFF"/>
          </w:tcPr>
          <w:p w14:paraId="0DEF5B73" w14:textId="6249E4C2" w:rsidR="003C4182" w:rsidRPr="00D45F9C" w:rsidRDefault="003C4182" w:rsidP="003C4182">
            <w:pPr>
              <w:pStyle w:val="CETBodytext"/>
              <w:ind w:right="-1"/>
              <w:jc w:val="left"/>
              <w:rPr>
                <w:lang w:val="en-GB"/>
              </w:rPr>
            </w:pPr>
            <w:r w:rsidRPr="00D45F9C">
              <w:rPr>
                <w:szCs w:val="16"/>
                <w:lang w:val="en-GB"/>
              </w:rPr>
              <w:t>EP -6</w:t>
            </w:r>
          </w:p>
        </w:tc>
        <w:tc>
          <w:tcPr>
            <w:tcW w:w="1601" w:type="dxa"/>
            <w:vAlign w:val="center"/>
          </w:tcPr>
          <w:p w14:paraId="3293F51D" w14:textId="31324494" w:rsidR="003C4182" w:rsidRPr="00D45F9C" w:rsidRDefault="003C4182" w:rsidP="003C4182">
            <w:pPr>
              <w:autoSpaceDE w:val="0"/>
              <w:autoSpaceDN w:val="0"/>
              <w:adjustRightInd w:val="0"/>
            </w:pPr>
            <w:r w:rsidRPr="00642A4F">
              <w:t>C14-C16 α-olefin</w:t>
            </w:r>
          </w:p>
        </w:tc>
        <w:tc>
          <w:tcPr>
            <w:tcW w:w="1270" w:type="dxa"/>
            <w:vAlign w:val="center"/>
          </w:tcPr>
          <w:p w14:paraId="345CB336" w14:textId="4481CF84" w:rsidR="003C4182" w:rsidRPr="00D45F9C" w:rsidRDefault="003C4182" w:rsidP="003C4182">
            <w:pPr>
              <w:pStyle w:val="CETBodytext"/>
              <w:ind w:right="-1"/>
              <w:jc w:val="left"/>
              <w:rPr>
                <w:lang w:val="en-GB"/>
              </w:rPr>
            </w:pPr>
            <w:r w:rsidRPr="00642A4F">
              <w:rPr>
                <w:rFonts w:cs="Arial"/>
                <w:szCs w:val="18"/>
                <w:lang w:val="en-GB"/>
              </w:rPr>
              <w:t>10</w:t>
            </w:r>
          </w:p>
        </w:tc>
        <w:tc>
          <w:tcPr>
            <w:tcW w:w="907" w:type="dxa"/>
            <w:shd w:val="clear" w:color="auto" w:fill="FFFFFF"/>
          </w:tcPr>
          <w:p w14:paraId="712F250F" w14:textId="04470A24" w:rsidR="003C4182" w:rsidRPr="00D45F9C" w:rsidRDefault="003C4182" w:rsidP="003C4182">
            <w:pPr>
              <w:pStyle w:val="CETBodytext"/>
              <w:ind w:right="-1"/>
              <w:jc w:val="left"/>
              <w:rPr>
                <w:lang w:val="en-GB"/>
              </w:rPr>
            </w:pPr>
            <w:r w:rsidRPr="00D45F9C">
              <w:rPr>
                <w:lang w:val="en-GB"/>
              </w:rPr>
              <w:t>0.8435</w:t>
            </w:r>
          </w:p>
        </w:tc>
        <w:tc>
          <w:tcPr>
            <w:tcW w:w="948" w:type="dxa"/>
            <w:shd w:val="clear" w:color="auto" w:fill="FFFFFF"/>
          </w:tcPr>
          <w:p w14:paraId="38ADB440" w14:textId="524159F1" w:rsidR="003C4182" w:rsidRPr="00D45F9C" w:rsidRDefault="003C4182" w:rsidP="003C4182">
            <w:pPr>
              <w:pStyle w:val="CETBodytext"/>
              <w:ind w:right="-1"/>
              <w:jc w:val="left"/>
              <w:rPr>
                <w:lang w:val="en-GB"/>
              </w:rPr>
            </w:pPr>
            <w:r w:rsidRPr="00D45F9C">
              <w:rPr>
                <w:lang w:val="en-GB"/>
              </w:rPr>
              <w:t>4.54</w:t>
            </w:r>
          </w:p>
        </w:tc>
        <w:tc>
          <w:tcPr>
            <w:tcW w:w="948" w:type="dxa"/>
            <w:shd w:val="clear" w:color="auto" w:fill="FFFFFF"/>
          </w:tcPr>
          <w:p w14:paraId="7AE8C234" w14:textId="302455AF" w:rsidR="003C4182" w:rsidRPr="00D45F9C" w:rsidRDefault="003C4182" w:rsidP="003C4182">
            <w:pPr>
              <w:pStyle w:val="CETBodytext"/>
              <w:ind w:right="-1"/>
              <w:jc w:val="left"/>
              <w:rPr>
                <w:lang w:val="en-GB"/>
              </w:rPr>
            </w:pPr>
            <w:r w:rsidRPr="00D45F9C">
              <w:rPr>
                <w:lang w:val="en-GB"/>
              </w:rPr>
              <w:t>1.74</w:t>
            </w:r>
          </w:p>
        </w:tc>
        <w:tc>
          <w:tcPr>
            <w:tcW w:w="1137" w:type="dxa"/>
            <w:shd w:val="clear" w:color="auto" w:fill="FFFFFF"/>
          </w:tcPr>
          <w:p w14:paraId="4E6F459E" w14:textId="580C5EB8" w:rsidR="003C4182" w:rsidRPr="00D45F9C" w:rsidRDefault="003C4182" w:rsidP="003C4182">
            <w:pPr>
              <w:pStyle w:val="CETBodytext"/>
              <w:ind w:right="-1"/>
              <w:jc w:val="left"/>
              <w:rPr>
                <w:lang w:val="en-GB"/>
              </w:rPr>
            </w:pPr>
            <w:r w:rsidRPr="00D45F9C">
              <w:rPr>
                <w:lang w:val="en-GB"/>
              </w:rPr>
              <w:t>11.04</w:t>
            </w:r>
          </w:p>
        </w:tc>
        <w:tc>
          <w:tcPr>
            <w:tcW w:w="1025" w:type="dxa"/>
            <w:shd w:val="clear" w:color="auto" w:fill="FFFFFF"/>
          </w:tcPr>
          <w:p w14:paraId="68121A77" w14:textId="4B71A5D5" w:rsidR="003C4182" w:rsidRPr="00D45F9C" w:rsidRDefault="003C4182" w:rsidP="003C4182">
            <w:pPr>
              <w:pStyle w:val="CETBodytext"/>
              <w:ind w:right="-1"/>
              <w:jc w:val="left"/>
              <w:rPr>
                <w:lang w:val="en-GB"/>
              </w:rPr>
            </w:pPr>
            <w:r w:rsidRPr="00D45F9C">
              <w:rPr>
                <w:lang w:val="en-GB"/>
              </w:rPr>
              <w:t>7.89</w:t>
            </w:r>
          </w:p>
        </w:tc>
      </w:tr>
      <w:tr w:rsidR="003C4182" w:rsidRPr="00D45F9C" w14:paraId="52531AF3" w14:textId="1FE6EB10" w:rsidTr="009D22CD">
        <w:tc>
          <w:tcPr>
            <w:tcW w:w="951" w:type="dxa"/>
            <w:shd w:val="clear" w:color="auto" w:fill="FFFFFF"/>
          </w:tcPr>
          <w:p w14:paraId="1A0F29B2" w14:textId="47D9E10F" w:rsidR="003C4182" w:rsidRPr="00D45F9C" w:rsidRDefault="003C4182" w:rsidP="003C4182">
            <w:pPr>
              <w:pStyle w:val="CETBodytext"/>
              <w:ind w:right="-1"/>
              <w:jc w:val="left"/>
              <w:rPr>
                <w:lang w:val="en-GB"/>
              </w:rPr>
            </w:pPr>
            <w:r w:rsidRPr="00D45F9C">
              <w:rPr>
                <w:szCs w:val="16"/>
                <w:lang w:val="en-GB"/>
              </w:rPr>
              <w:t>EP -7</w:t>
            </w:r>
          </w:p>
        </w:tc>
        <w:tc>
          <w:tcPr>
            <w:tcW w:w="1601" w:type="dxa"/>
            <w:vAlign w:val="center"/>
          </w:tcPr>
          <w:p w14:paraId="52BF5A45" w14:textId="707DAE91" w:rsidR="003C4182" w:rsidRPr="00D45F9C" w:rsidRDefault="003C4182" w:rsidP="003C4182">
            <w:pPr>
              <w:autoSpaceDE w:val="0"/>
              <w:autoSpaceDN w:val="0"/>
              <w:adjustRightInd w:val="0"/>
            </w:pPr>
            <w:r w:rsidRPr="00642A4F">
              <w:t>C12-C14 α-olefin</w:t>
            </w:r>
          </w:p>
        </w:tc>
        <w:tc>
          <w:tcPr>
            <w:tcW w:w="1270" w:type="dxa"/>
            <w:vAlign w:val="center"/>
          </w:tcPr>
          <w:p w14:paraId="0E454C78" w14:textId="4302DAC9" w:rsidR="003C4182" w:rsidRPr="00D45F9C" w:rsidRDefault="003C4182" w:rsidP="003C4182">
            <w:pPr>
              <w:pStyle w:val="CETBodytext"/>
              <w:ind w:right="-1"/>
              <w:jc w:val="left"/>
              <w:rPr>
                <w:lang w:val="en-GB"/>
              </w:rPr>
            </w:pPr>
            <w:r w:rsidRPr="00642A4F">
              <w:rPr>
                <w:rFonts w:cs="Arial"/>
                <w:szCs w:val="18"/>
                <w:lang w:val="en-GB"/>
              </w:rPr>
              <w:t>10</w:t>
            </w:r>
          </w:p>
        </w:tc>
        <w:tc>
          <w:tcPr>
            <w:tcW w:w="907" w:type="dxa"/>
            <w:shd w:val="clear" w:color="auto" w:fill="FFFFFF"/>
          </w:tcPr>
          <w:p w14:paraId="11F6E349" w14:textId="758F1C80" w:rsidR="003C4182" w:rsidRPr="00D45F9C" w:rsidRDefault="003C4182" w:rsidP="003C4182">
            <w:pPr>
              <w:pStyle w:val="CETBodytext"/>
              <w:ind w:right="-1"/>
              <w:jc w:val="left"/>
              <w:rPr>
                <w:lang w:val="en-GB"/>
              </w:rPr>
            </w:pPr>
            <w:r w:rsidRPr="00D45F9C">
              <w:rPr>
                <w:lang w:val="en-GB"/>
              </w:rPr>
              <w:t>0.8353</w:t>
            </w:r>
          </w:p>
        </w:tc>
        <w:tc>
          <w:tcPr>
            <w:tcW w:w="948" w:type="dxa"/>
            <w:shd w:val="clear" w:color="auto" w:fill="FFFFFF"/>
          </w:tcPr>
          <w:p w14:paraId="477A0F4E" w14:textId="5D1E19F7" w:rsidR="003C4182" w:rsidRPr="00D45F9C" w:rsidRDefault="003C4182" w:rsidP="003C4182">
            <w:pPr>
              <w:pStyle w:val="CETBodytext"/>
              <w:ind w:right="-1"/>
              <w:jc w:val="left"/>
              <w:rPr>
                <w:lang w:val="en-GB"/>
              </w:rPr>
            </w:pPr>
            <w:r w:rsidRPr="00D45F9C">
              <w:rPr>
                <w:lang w:val="en-GB"/>
              </w:rPr>
              <w:t>2.86</w:t>
            </w:r>
          </w:p>
        </w:tc>
        <w:tc>
          <w:tcPr>
            <w:tcW w:w="948" w:type="dxa"/>
            <w:shd w:val="clear" w:color="auto" w:fill="FFFFFF"/>
          </w:tcPr>
          <w:p w14:paraId="30AA0E7C" w14:textId="66D6EFDF" w:rsidR="003C4182" w:rsidRPr="00D45F9C" w:rsidRDefault="003C4182" w:rsidP="003C4182">
            <w:pPr>
              <w:pStyle w:val="CETBodytext"/>
              <w:ind w:right="-1"/>
              <w:jc w:val="left"/>
              <w:rPr>
                <w:lang w:val="en-GB"/>
              </w:rPr>
            </w:pPr>
            <w:r w:rsidRPr="00D45F9C">
              <w:rPr>
                <w:lang w:val="en-GB"/>
              </w:rPr>
              <w:t>1.18</w:t>
            </w:r>
          </w:p>
        </w:tc>
        <w:tc>
          <w:tcPr>
            <w:tcW w:w="1137" w:type="dxa"/>
            <w:shd w:val="clear" w:color="auto" w:fill="FFFFFF"/>
          </w:tcPr>
          <w:p w14:paraId="06FA7B26" w14:textId="6D9AAFAD" w:rsidR="003C4182" w:rsidRPr="00D45F9C" w:rsidRDefault="003C4182" w:rsidP="003C4182">
            <w:pPr>
              <w:pStyle w:val="CETBodytext"/>
              <w:ind w:right="-1"/>
              <w:jc w:val="left"/>
              <w:rPr>
                <w:lang w:val="en-GB"/>
              </w:rPr>
            </w:pPr>
            <w:r w:rsidRPr="00D45F9C">
              <w:rPr>
                <w:lang w:val="en-GB"/>
              </w:rPr>
              <w:t>11.87</w:t>
            </w:r>
          </w:p>
        </w:tc>
        <w:tc>
          <w:tcPr>
            <w:tcW w:w="1025" w:type="dxa"/>
            <w:shd w:val="clear" w:color="auto" w:fill="FFFFFF"/>
          </w:tcPr>
          <w:p w14:paraId="78D48061" w14:textId="18B5E772" w:rsidR="003C4182" w:rsidRPr="00D45F9C" w:rsidRDefault="003C4182" w:rsidP="003C4182">
            <w:pPr>
              <w:pStyle w:val="CETBodytext"/>
              <w:ind w:right="-1"/>
              <w:jc w:val="left"/>
              <w:rPr>
                <w:lang w:val="en-GB"/>
              </w:rPr>
            </w:pPr>
            <w:r w:rsidRPr="00D45F9C">
              <w:rPr>
                <w:lang w:val="en-GB"/>
              </w:rPr>
              <w:t>9.37</w:t>
            </w:r>
          </w:p>
        </w:tc>
      </w:tr>
      <w:tr w:rsidR="003C4182" w:rsidRPr="00D45F9C" w14:paraId="02790D58" w14:textId="3182FAB0" w:rsidTr="009D22CD">
        <w:tc>
          <w:tcPr>
            <w:tcW w:w="951" w:type="dxa"/>
            <w:shd w:val="clear" w:color="auto" w:fill="FFFFFF"/>
          </w:tcPr>
          <w:p w14:paraId="593DB451" w14:textId="0C9BDC96" w:rsidR="003C4182" w:rsidRPr="00D45F9C" w:rsidRDefault="003C4182" w:rsidP="003C4182">
            <w:pPr>
              <w:pStyle w:val="CETBodytext"/>
              <w:ind w:right="-1"/>
              <w:jc w:val="left"/>
              <w:rPr>
                <w:lang w:val="en-GB"/>
              </w:rPr>
            </w:pPr>
            <w:r w:rsidRPr="00D45F9C">
              <w:rPr>
                <w:szCs w:val="16"/>
                <w:lang w:val="en-GB"/>
              </w:rPr>
              <w:t>EP -8</w:t>
            </w:r>
          </w:p>
        </w:tc>
        <w:tc>
          <w:tcPr>
            <w:tcW w:w="1601" w:type="dxa"/>
            <w:vMerge w:val="restart"/>
            <w:shd w:val="clear" w:color="auto" w:fill="FFFFFF"/>
            <w:vAlign w:val="center"/>
          </w:tcPr>
          <w:p w14:paraId="2F3B71AD" w14:textId="40FB25C8" w:rsidR="003C4182" w:rsidRPr="00D45F9C" w:rsidRDefault="003C4182" w:rsidP="003C4182">
            <w:pPr>
              <w:pStyle w:val="CETBodytext"/>
              <w:ind w:right="-1"/>
              <w:jc w:val="left"/>
              <w:rPr>
                <w:lang w:val="en-GB"/>
              </w:rPr>
            </w:pPr>
            <w:r w:rsidRPr="0019524A">
              <w:rPr>
                <w:lang w:val="en-GB"/>
              </w:rPr>
              <w:t>FAME</w:t>
            </w:r>
          </w:p>
        </w:tc>
        <w:tc>
          <w:tcPr>
            <w:tcW w:w="1270" w:type="dxa"/>
            <w:vAlign w:val="center"/>
          </w:tcPr>
          <w:p w14:paraId="56DE3FBE" w14:textId="5F903712" w:rsidR="003C4182" w:rsidRPr="00D45F9C" w:rsidRDefault="003C4182" w:rsidP="003C4182">
            <w:pPr>
              <w:pStyle w:val="CETBodytext"/>
              <w:ind w:right="-1"/>
              <w:jc w:val="left"/>
              <w:rPr>
                <w:lang w:val="en-GB"/>
              </w:rPr>
            </w:pPr>
            <w:r w:rsidRPr="00642A4F">
              <w:rPr>
                <w:rFonts w:cs="Arial"/>
                <w:szCs w:val="18"/>
                <w:lang w:val="en-GB"/>
              </w:rPr>
              <w:t>10</w:t>
            </w:r>
          </w:p>
        </w:tc>
        <w:tc>
          <w:tcPr>
            <w:tcW w:w="907" w:type="dxa"/>
            <w:shd w:val="clear" w:color="auto" w:fill="FFFFFF"/>
          </w:tcPr>
          <w:p w14:paraId="1684C30E" w14:textId="7A63847A" w:rsidR="003C4182" w:rsidRPr="00D45F9C" w:rsidRDefault="003C4182" w:rsidP="003C4182">
            <w:pPr>
              <w:pStyle w:val="CETBodytext"/>
              <w:ind w:right="-1"/>
              <w:jc w:val="left"/>
              <w:rPr>
                <w:lang w:val="en-GB"/>
              </w:rPr>
            </w:pPr>
            <w:r w:rsidRPr="00D45F9C">
              <w:rPr>
                <w:lang w:val="en-GB"/>
              </w:rPr>
              <w:t>0.9531</w:t>
            </w:r>
          </w:p>
        </w:tc>
        <w:tc>
          <w:tcPr>
            <w:tcW w:w="948" w:type="dxa"/>
            <w:shd w:val="clear" w:color="auto" w:fill="FFFFFF"/>
          </w:tcPr>
          <w:p w14:paraId="7E3BB551" w14:textId="6E0ACC9B" w:rsidR="003C4182" w:rsidRPr="00D45F9C" w:rsidRDefault="003C4182" w:rsidP="003C4182">
            <w:pPr>
              <w:pStyle w:val="CETBodytext"/>
              <w:ind w:right="-1"/>
              <w:jc w:val="left"/>
              <w:rPr>
                <w:lang w:val="en-GB"/>
              </w:rPr>
            </w:pPr>
            <w:r w:rsidRPr="00D45F9C">
              <w:rPr>
                <w:lang w:val="en-GB"/>
              </w:rPr>
              <w:t>14.11</w:t>
            </w:r>
          </w:p>
        </w:tc>
        <w:tc>
          <w:tcPr>
            <w:tcW w:w="948" w:type="dxa"/>
            <w:shd w:val="clear" w:color="auto" w:fill="FFFFFF"/>
          </w:tcPr>
          <w:p w14:paraId="53A7DE55" w14:textId="2F58558A" w:rsidR="003C4182" w:rsidRPr="00D45F9C" w:rsidRDefault="003C4182" w:rsidP="003C4182">
            <w:pPr>
              <w:pStyle w:val="CETBodytext"/>
              <w:ind w:right="-1"/>
              <w:jc w:val="left"/>
              <w:rPr>
                <w:lang w:val="en-GB"/>
              </w:rPr>
            </w:pPr>
            <w:r w:rsidRPr="00D45F9C">
              <w:rPr>
                <w:lang w:val="en-GB"/>
              </w:rPr>
              <w:t>3.89</w:t>
            </w:r>
          </w:p>
        </w:tc>
        <w:tc>
          <w:tcPr>
            <w:tcW w:w="1137" w:type="dxa"/>
            <w:shd w:val="clear" w:color="auto" w:fill="FFFFFF"/>
          </w:tcPr>
          <w:p w14:paraId="6A095119" w14:textId="62528332" w:rsidR="003C4182" w:rsidRPr="00D45F9C" w:rsidRDefault="003C4182" w:rsidP="003C4182">
            <w:pPr>
              <w:pStyle w:val="CETBodytext"/>
              <w:ind w:right="-1"/>
              <w:jc w:val="left"/>
              <w:rPr>
                <w:lang w:val="en-GB"/>
              </w:rPr>
            </w:pPr>
            <w:r w:rsidRPr="00D45F9C">
              <w:rPr>
                <w:lang w:val="en-GB"/>
              </w:rPr>
              <w:t>10.95</w:t>
            </w:r>
          </w:p>
        </w:tc>
        <w:tc>
          <w:tcPr>
            <w:tcW w:w="1025" w:type="dxa"/>
            <w:shd w:val="clear" w:color="auto" w:fill="FFFFFF"/>
          </w:tcPr>
          <w:p w14:paraId="08D7F8C0" w14:textId="3B3E8FE5" w:rsidR="003C4182" w:rsidRPr="00D45F9C" w:rsidRDefault="003C4182" w:rsidP="003C4182">
            <w:pPr>
              <w:pStyle w:val="CETBodytext"/>
              <w:ind w:right="-1"/>
              <w:jc w:val="left"/>
              <w:rPr>
                <w:lang w:val="en-GB"/>
              </w:rPr>
            </w:pPr>
            <w:r w:rsidRPr="00D45F9C">
              <w:rPr>
                <w:lang w:val="en-GB"/>
              </w:rPr>
              <w:t>4.72</w:t>
            </w:r>
          </w:p>
        </w:tc>
      </w:tr>
      <w:tr w:rsidR="003C4182" w:rsidRPr="00D45F9C" w14:paraId="29447ACE" w14:textId="0EE65AFD" w:rsidTr="009D22CD">
        <w:tc>
          <w:tcPr>
            <w:tcW w:w="951" w:type="dxa"/>
            <w:shd w:val="clear" w:color="auto" w:fill="FFFFFF"/>
          </w:tcPr>
          <w:p w14:paraId="7901939A" w14:textId="526A1BB1" w:rsidR="003C4182" w:rsidRPr="00D45F9C" w:rsidRDefault="003C4182" w:rsidP="003C4182">
            <w:pPr>
              <w:pStyle w:val="CETBodytext"/>
              <w:ind w:right="-1"/>
              <w:jc w:val="left"/>
              <w:rPr>
                <w:lang w:val="en-GB"/>
              </w:rPr>
            </w:pPr>
            <w:r w:rsidRPr="00D45F9C">
              <w:rPr>
                <w:szCs w:val="16"/>
                <w:lang w:val="en-GB"/>
              </w:rPr>
              <w:t>EP -9</w:t>
            </w:r>
          </w:p>
        </w:tc>
        <w:tc>
          <w:tcPr>
            <w:tcW w:w="1601" w:type="dxa"/>
            <w:vMerge/>
            <w:shd w:val="clear" w:color="auto" w:fill="FFFFFF"/>
            <w:vAlign w:val="center"/>
          </w:tcPr>
          <w:p w14:paraId="4C886259" w14:textId="31B7D5C3" w:rsidR="003C4182" w:rsidRPr="00D45F9C" w:rsidRDefault="003C4182" w:rsidP="003C4182">
            <w:pPr>
              <w:pStyle w:val="CETBodytext"/>
              <w:ind w:right="-1"/>
              <w:jc w:val="left"/>
              <w:rPr>
                <w:lang w:val="en-GB"/>
              </w:rPr>
            </w:pPr>
          </w:p>
        </w:tc>
        <w:tc>
          <w:tcPr>
            <w:tcW w:w="1270" w:type="dxa"/>
            <w:vAlign w:val="center"/>
          </w:tcPr>
          <w:p w14:paraId="7D7A6F5D" w14:textId="3A9D9684" w:rsidR="003C4182" w:rsidRPr="00D45F9C" w:rsidRDefault="003C4182" w:rsidP="003C4182">
            <w:pPr>
              <w:pStyle w:val="CETBodytext"/>
              <w:ind w:right="-1"/>
              <w:jc w:val="left"/>
              <w:rPr>
                <w:lang w:val="en-GB"/>
              </w:rPr>
            </w:pPr>
            <w:r w:rsidRPr="00642A4F">
              <w:rPr>
                <w:rFonts w:cs="Arial"/>
                <w:szCs w:val="18"/>
                <w:lang w:val="en-GB"/>
              </w:rPr>
              <w:t>15</w:t>
            </w:r>
          </w:p>
        </w:tc>
        <w:tc>
          <w:tcPr>
            <w:tcW w:w="907" w:type="dxa"/>
            <w:shd w:val="clear" w:color="auto" w:fill="FFFFFF"/>
          </w:tcPr>
          <w:p w14:paraId="2731D45D" w14:textId="3C9D66B8" w:rsidR="003C4182" w:rsidRPr="00D45F9C" w:rsidRDefault="003C4182" w:rsidP="003C4182">
            <w:pPr>
              <w:pStyle w:val="CETBodytext"/>
              <w:ind w:right="-1"/>
              <w:jc w:val="left"/>
              <w:rPr>
                <w:lang w:val="en-GB"/>
              </w:rPr>
            </w:pPr>
            <w:r w:rsidRPr="00D45F9C">
              <w:rPr>
                <w:lang w:val="en-GB"/>
              </w:rPr>
              <w:t>0.9884</w:t>
            </w:r>
          </w:p>
        </w:tc>
        <w:tc>
          <w:tcPr>
            <w:tcW w:w="948" w:type="dxa"/>
            <w:shd w:val="clear" w:color="auto" w:fill="FFFFFF"/>
          </w:tcPr>
          <w:p w14:paraId="3DACBA12" w14:textId="5C9514FF" w:rsidR="003C4182" w:rsidRPr="00D45F9C" w:rsidRDefault="003C4182" w:rsidP="003C4182">
            <w:pPr>
              <w:pStyle w:val="CETBodytext"/>
              <w:ind w:right="-1"/>
              <w:jc w:val="left"/>
              <w:rPr>
                <w:lang w:val="en-GB"/>
              </w:rPr>
            </w:pPr>
            <w:r w:rsidRPr="00D45F9C">
              <w:rPr>
                <w:lang w:val="en-GB"/>
              </w:rPr>
              <w:t>24.72</w:t>
            </w:r>
          </w:p>
        </w:tc>
        <w:tc>
          <w:tcPr>
            <w:tcW w:w="948" w:type="dxa"/>
            <w:shd w:val="clear" w:color="auto" w:fill="FFFFFF"/>
          </w:tcPr>
          <w:p w14:paraId="266B068E" w14:textId="5E535D04" w:rsidR="003C4182" w:rsidRPr="00D45F9C" w:rsidRDefault="003C4182" w:rsidP="003C4182">
            <w:pPr>
              <w:pStyle w:val="CETBodytext"/>
              <w:ind w:right="-1"/>
              <w:jc w:val="left"/>
              <w:rPr>
                <w:lang w:val="en-GB"/>
              </w:rPr>
            </w:pPr>
            <w:r w:rsidRPr="00D45F9C">
              <w:rPr>
                <w:lang w:val="en-GB"/>
              </w:rPr>
              <w:t>5.46</w:t>
            </w:r>
          </w:p>
        </w:tc>
        <w:tc>
          <w:tcPr>
            <w:tcW w:w="1137" w:type="dxa"/>
            <w:shd w:val="clear" w:color="auto" w:fill="FFFFFF"/>
          </w:tcPr>
          <w:p w14:paraId="72E72A08" w14:textId="55567643" w:rsidR="003C4182" w:rsidRPr="00D45F9C" w:rsidRDefault="003C4182" w:rsidP="003C4182">
            <w:pPr>
              <w:pStyle w:val="CETBodytext"/>
              <w:ind w:right="-1"/>
              <w:jc w:val="left"/>
              <w:rPr>
                <w:lang w:val="en-GB"/>
              </w:rPr>
            </w:pPr>
            <w:r w:rsidRPr="00D45F9C">
              <w:rPr>
                <w:lang w:val="en-GB"/>
              </w:rPr>
              <w:t>16.39</w:t>
            </w:r>
          </w:p>
        </w:tc>
        <w:tc>
          <w:tcPr>
            <w:tcW w:w="1025" w:type="dxa"/>
            <w:shd w:val="clear" w:color="auto" w:fill="FFFFFF"/>
          </w:tcPr>
          <w:p w14:paraId="363D4D70" w14:textId="6F011A32" w:rsidR="003C4182" w:rsidRPr="00D45F9C" w:rsidRDefault="003C4182" w:rsidP="003C4182">
            <w:pPr>
              <w:pStyle w:val="CETBodytext"/>
              <w:ind w:right="-1"/>
              <w:jc w:val="left"/>
              <w:rPr>
                <w:lang w:val="en-GB"/>
              </w:rPr>
            </w:pPr>
            <w:r w:rsidRPr="00D45F9C">
              <w:rPr>
                <w:lang w:val="en-GB"/>
              </w:rPr>
              <w:t>7.89</w:t>
            </w:r>
          </w:p>
        </w:tc>
      </w:tr>
      <w:tr w:rsidR="003C4182" w:rsidRPr="00D45F9C" w14:paraId="2B6DC1B4" w14:textId="083DFB44" w:rsidTr="009D22CD">
        <w:tc>
          <w:tcPr>
            <w:tcW w:w="951" w:type="dxa"/>
            <w:shd w:val="clear" w:color="auto" w:fill="FFFFFF"/>
          </w:tcPr>
          <w:p w14:paraId="446652D6" w14:textId="00AA8C15" w:rsidR="003C4182" w:rsidRPr="00D45F9C" w:rsidRDefault="003C4182" w:rsidP="003C4182">
            <w:pPr>
              <w:pStyle w:val="CETBodytext"/>
              <w:ind w:right="-1"/>
              <w:jc w:val="left"/>
              <w:rPr>
                <w:lang w:val="en-GB"/>
              </w:rPr>
            </w:pPr>
            <w:r w:rsidRPr="00D45F9C">
              <w:rPr>
                <w:szCs w:val="16"/>
                <w:lang w:val="en-GB"/>
              </w:rPr>
              <w:t>EP -10</w:t>
            </w:r>
          </w:p>
        </w:tc>
        <w:tc>
          <w:tcPr>
            <w:tcW w:w="1601" w:type="dxa"/>
            <w:vMerge/>
            <w:shd w:val="clear" w:color="auto" w:fill="FFFFFF"/>
            <w:vAlign w:val="center"/>
          </w:tcPr>
          <w:p w14:paraId="2484B762" w14:textId="74907028" w:rsidR="003C4182" w:rsidRPr="00D45F9C" w:rsidRDefault="003C4182" w:rsidP="003C4182">
            <w:pPr>
              <w:autoSpaceDE w:val="0"/>
              <w:autoSpaceDN w:val="0"/>
              <w:adjustRightInd w:val="0"/>
              <w:rPr>
                <w:szCs w:val="16"/>
              </w:rPr>
            </w:pPr>
          </w:p>
        </w:tc>
        <w:tc>
          <w:tcPr>
            <w:tcW w:w="1270" w:type="dxa"/>
            <w:vAlign w:val="center"/>
          </w:tcPr>
          <w:p w14:paraId="737641BD" w14:textId="4AA40BC9" w:rsidR="003C4182" w:rsidRPr="00D45F9C" w:rsidRDefault="003C4182" w:rsidP="003C4182">
            <w:pPr>
              <w:pStyle w:val="CETBodytext"/>
              <w:ind w:right="-1"/>
              <w:jc w:val="left"/>
              <w:rPr>
                <w:lang w:val="en-GB"/>
              </w:rPr>
            </w:pPr>
            <w:r w:rsidRPr="00642A4F">
              <w:rPr>
                <w:rFonts w:cs="Arial"/>
                <w:szCs w:val="18"/>
                <w:lang w:val="en-GB"/>
              </w:rPr>
              <w:t>20</w:t>
            </w:r>
          </w:p>
        </w:tc>
        <w:tc>
          <w:tcPr>
            <w:tcW w:w="907" w:type="dxa"/>
            <w:shd w:val="clear" w:color="auto" w:fill="FFFFFF"/>
          </w:tcPr>
          <w:p w14:paraId="127BE3B3" w14:textId="59A6EA45" w:rsidR="003C4182" w:rsidRPr="00D45F9C" w:rsidRDefault="003C4182" w:rsidP="003C4182">
            <w:pPr>
              <w:pStyle w:val="CETBodytext"/>
              <w:ind w:right="-1"/>
              <w:jc w:val="left"/>
              <w:rPr>
                <w:lang w:val="en-GB"/>
              </w:rPr>
            </w:pPr>
            <w:r w:rsidRPr="00D45F9C">
              <w:rPr>
                <w:lang w:val="en-GB"/>
              </w:rPr>
              <w:t>1.0257</w:t>
            </w:r>
          </w:p>
        </w:tc>
        <w:tc>
          <w:tcPr>
            <w:tcW w:w="948" w:type="dxa"/>
            <w:shd w:val="clear" w:color="auto" w:fill="FFFFFF"/>
          </w:tcPr>
          <w:p w14:paraId="35DB0D3D" w14:textId="59394483" w:rsidR="003C4182" w:rsidRPr="00D45F9C" w:rsidRDefault="003C4182" w:rsidP="003C4182">
            <w:pPr>
              <w:pStyle w:val="CETBodytext"/>
              <w:ind w:right="-1"/>
              <w:jc w:val="left"/>
              <w:rPr>
                <w:lang w:val="en-GB"/>
              </w:rPr>
            </w:pPr>
            <w:r w:rsidRPr="00D45F9C">
              <w:rPr>
                <w:lang w:val="en-GB"/>
              </w:rPr>
              <w:t>44.95</w:t>
            </w:r>
          </w:p>
        </w:tc>
        <w:tc>
          <w:tcPr>
            <w:tcW w:w="948" w:type="dxa"/>
            <w:shd w:val="clear" w:color="auto" w:fill="FFFFFF"/>
          </w:tcPr>
          <w:p w14:paraId="2F97B461" w14:textId="05064D08" w:rsidR="003C4182" w:rsidRPr="00D45F9C" w:rsidRDefault="003C4182" w:rsidP="003C4182">
            <w:pPr>
              <w:pStyle w:val="CETBodytext"/>
              <w:ind w:right="-1"/>
              <w:jc w:val="left"/>
              <w:rPr>
                <w:lang w:val="en-GB"/>
              </w:rPr>
            </w:pPr>
            <w:r w:rsidRPr="00D45F9C">
              <w:rPr>
                <w:lang w:val="en-GB"/>
              </w:rPr>
              <w:t>7.82</w:t>
            </w:r>
          </w:p>
        </w:tc>
        <w:tc>
          <w:tcPr>
            <w:tcW w:w="1137" w:type="dxa"/>
            <w:shd w:val="clear" w:color="auto" w:fill="FFFFFF"/>
          </w:tcPr>
          <w:p w14:paraId="69EFB132" w14:textId="7103BA02" w:rsidR="003C4182" w:rsidRPr="00D45F9C" w:rsidRDefault="003C4182" w:rsidP="003C4182">
            <w:pPr>
              <w:pStyle w:val="CETBodytext"/>
              <w:ind w:right="-1"/>
              <w:jc w:val="left"/>
              <w:rPr>
                <w:lang w:val="en-GB"/>
              </w:rPr>
            </w:pPr>
            <w:r w:rsidRPr="00D45F9C">
              <w:rPr>
                <w:lang w:val="en-GB"/>
              </w:rPr>
              <w:t>19.21</w:t>
            </w:r>
          </w:p>
        </w:tc>
        <w:tc>
          <w:tcPr>
            <w:tcW w:w="1025" w:type="dxa"/>
            <w:shd w:val="clear" w:color="auto" w:fill="FFFFFF"/>
          </w:tcPr>
          <w:p w14:paraId="4CDD13ED" w14:textId="086B630F" w:rsidR="003C4182" w:rsidRPr="00D45F9C" w:rsidRDefault="003C4182" w:rsidP="003C4182">
            <w:pPr>
              <w:pStyle w:val="CETBodytext"/>
              <w:ind w:right="-1"/>
              <w:jc w:val="left"/>
              <w:rPr>
                <w:lang w:val="en-GB"/>
              </w:rPr>
            </w:pPr>
            <w:r w:rsidRPr="00D45F9C">
              <w:rPr>
                <w:lang w:val="en-GB"/>
              </w:rPr>
              <w:t>17.47</w:t>
            </w:r>
          </w:p>
        </w:tc>
      </w:tr>
      <w:tr w:rsidR="003C4182" w:rsidRPr="00D45F9C" w14:paraId="372E05FE" w14:textId="255FAD87" w:rsidTr="009D22CD">
        <w:tc>
          <w:tcPr>
            <w:tcW w:w="951" w:type="dxa"/>
            <w:shd w:val="clear" w:color="auto" w:fill="FFFFFF"/>
          </w:tcPr>
          <w:p w14:paraId="2CACD781" w14:textId="2CD9A3A8" w:rsidR="003C4182" w:rsidRPr="00D45F9C" w:rsidRDefault="003C4182" w:rsidP="003C4182">
            <w:pPr>
              <w:pStyle w:val="CETBodytext"/>
              <w:ind w:right="-1"/>
              <w:jc w:val="left"/>
              <w:rPr>
                <w:lang w:val="en-GB"/>
              </w:rPr>
            </w:pPr>
            <w:r w:rsidRPr="00D45F9C">
              <w:rPr>
                <w:szCs w:val="16"/>
                <w:lang w:val="en-GB"/>
              </w:rPr>
              <w:t>EP -11</w:t>
            </w:r>
          </w:p>
        </w:tc>
        <w:tc>
          <w:tcPr>
            <w:tcW w:w="1601" w:type="dxa"/>
            <w:vMerge/>
            <w:shd w:val="clear" w:color="auto" w:fill="FFFFFF"/>
            <w:vAlign w:val="center"/>
          </w:tcPr>
          <w:p w14:paraId="7DD443C8" w14:textId="642B91F6" w:rsidR="003C4182" w:rsidRPr="00D45F9C" w:rsidRDefault="003C4182" w:rsidP="003C4182">
            <w:pPr>
              <w:autoSpaceDE w:val="0"/>
              <w:autoSpaceDN w:val="0"/>
              <w:adjustRightInd w:val="0"/>
            </w:pPr>
          </w:p>
        </w:tc>
        <w:tc>
          <w:tcPr>
            <w:tcW w:w="1270" w:type="dxa"/>
            <w:vAlign w:val="center"/>
          </w:tcPr>
          <w:p w14:paraId="23B5C92B" w14:textId="126502F3" w:rsidR="003C4182" w:rsidRPr="00D45F9C" w:rsidRDefault="003C4182" w:rsidP="003C4182">
            <w:pPr>
              <w:pStyle w:val="CETBodytext"/>
              <w:ind w:right="-1"/>
              <w:jc w:val="left"/>
              <w:rPr>
                <w:lang w:val="en-GB"/>
              </w:rPr>
            </w:pPr>
            <w:r w:rsidRPr="00642A4F">
              <w:rPr>
                <w:rFonts w:cs="Arial"/>
                <w:szCs w:val="18"/>
                <w:lang w:val="en-GB"/>
              </w:rPr>
              <w:t>25</w:t>
            </w:r>
          </w:p>
        </w:tc>
        <w:tc>
          <w:tcPr>
            <w:tcW w:w="907" w:type="dxa"/>
            <w:shd w:val="clear" w:color="auto" w:fill="FFFFFF"/>
          </w:tcPr>
          <w:p w14:paraId="53393A47" w14:textId="517F8247" w:rsidR="003C4182" w:rsidRPr="00D45F9C" w:rsidRDefault="003C4182" w:rsidP="003C4182">
            <w:pPr>
              <w:pStyle w:val="CETBodytext"/>
              <w:ind w:right="-1"/>
              <w:jc w:val="left"/>
              <w:rPr>
                <w:lang w:val="en-GB"/>
              </w:rPr>
            </w:pPr>
            <w:r w:rsidRPr="00D45F9C">
              <w:rPr>
                <w:lang w:val="en-GB"/>
              </w:rPr>
              <w:t>1.0484</w:t>
            </w:r>
          </w:p>
        </w:tc>
        <w:tc>
          <w:tcPr>
            <w:tcW w:w="948" w:type="dxa"/>
            <w:shd w:val="clear" w:color="auto" w:fill="FFFFFF"/>
          </w:tcPr>
          <w:p w14:paraId="557DA1EA" w14:textId="66629841" w:rsidR="003C4182" w:rsidRPr="00D45F9C" w:rsidRDefault="003C4182" w:rsidP="003C4182">
            <w:pPr>
              <w:pStyle w:val="CETBodytext"/>
              <w:ind w:right="-1"/>
              <w:jc w:val="left"/>
              <w:rPr>
                <w:lang w:val="en-GB"/>
              </w:rPr>
            </w:pPr>
            <w:r w:rsidRPr="00D45F9C">
              <w:rPr>
                <w:lang w:val="en-GB"/>
              </w:rPr>
              <w:t>63.48</w:t>
            </w:r>
          </w:p>
        </w:tc>
        <w:tc>
          <w:tcPr>
            <w:tcW w:w="948" w:type="dxa"/>
            <w:shd w:val="clear" w:color="auto" w:fill="FFFFFF"/>
          </w:tcPr>
          <w:p w14:paraId="176FDA65" w14:textId="6F77E1E2" w:rsidR="003C4182" w:rsidRPr="00D45F9C" w:rsidRDefault="003C4182" w:rsidP="003C4182">
            <w:pPr>
              <w:pStyle w:val="CETBodytext"/>
              <w:ind w:right="-1"/>
              <w:jc w:val="left"/>
              <w:rPr>
                <w:lang w:val="en-GB"/>
              </w:rPr>
            </w:pPr>
            <w:r w:rsidRPr="00D45F9C">
              <w:rPr>
                <w:lang w:val="en-GB"/>
              </w:rPr>
              <w:t>9.61</w:t>
            </w:r>
          </w:p>
        </w:tc>
        <w:tc>
          <w:tcPr>
            <w:tcW w:w="1137" w:type="dxa"/>
            <w:shd w:val="clear" w:color="auto" w:fill="FFFFFF"/>
          </w:tcPr>
          <w:p w14:paraId="391A0B3D" w14:textId="3703DE7B" w:rsidR="003C4182" w:rsidRPr="00D45F9C" w:rsidRDefault="003C4182" w:rsidP="003C4182">
            <w:pPr>
              <w:pStyle w:val="CETBodytext"/>
              <w:ind w:right="-1"/>
              <w:jc w:val="left"/>
              <w:rPr>
                <w:lang w:val="en-GB"/>
              </w:rPr>
            </w:pPr>
            <w:r w:rsidRPr="00D45F9C">
              <w:rPr>
                <w:lang w:val="en-GB"/>
              </w:rPr>
              <w:t>22.76</w:t>
            </w:r>
          </w:p>
        </w:tc>
        <w:tc>
          <w:tcPr>
            <w:tcW w:w="1025" w:type="dxa"/>
            <w:shd w:val="clear" w:color="auto" w:fill="FFFFFF"/>
          </w:tcPr>
          <w:p w14:paraId="6290E2F1" w14:textId="5244D40E" w:rsidR="003C4182" w:rsidRPr="00D45F9C" w:rsidRDefault="003C4182" w:rsidP="003C4182">
            <w:pPr>
              <w:pStyle w:val="CETBodytext"/>
              <w:ind w:right="-1"/>
              <w:jc w:val="left"/>
              <w:rPr>
                <w:lang w:val="en-GB"/>
              </w:rPr>
            </w:pPr>
            <w:r w:rsidRPr="00D45F9C">
              <w:rPr>
                <w:lang w:val="en-GB"/>
              </w:rPr>
              <w:t>22.03</w:t>
            </w:r>
          </w:p>
        </w:tc>
      </w:tr>
    </w:tbl>
    <w:p w14:paraId="7FEFDB9A" w14:textId="313E139E" w:rsidR="00506589" w:rsidRPr="00D45F9C" w:rsidRDefault="00F803B1" w:rsidP="00EF43E7">
      <w:pPr>
        <w:pStyle w:val="CETBodytext"/>
        <w:spacing w:before="120" w:after="60"/>
        <w:rPr>
          <w:lang w:val="en-GB"/>
        </w:rPr>
      </w:pPr>
      <w:r w:rsidRPr="00D45F9C">
        <w:rPr>
          <w:lang w:val="en-GB"/>
        </w:rPr>
        <w:t xml:space="preserve">Once the sulfurized additives </w:t>
      </w:r>
      <w:r w:rsidR="0062073C">
        <w:rPr>
          <w:lang w:val="en-GB"/>
        </w:rPr>
        <w:t>had been</w:t>
      </w:r>
      <w:r w:rsidRPr="00D45F9C">
        <w:rPr>
          <w:lang w:val="en-GB"/>
        </w:rPr>
        <w:t xml:space="preserve"> synthesized and their properties </w:t>
      </w:r>
      <w:r w:rsidR="0062073C">
        <w:rPr>
          <w:lang w:val="en-GB"/>
        </w:rPr>
        <w:t>had been</w:t>
      </w:r>
      <w:r w:rsidRPr="00D45F9C">
        <w:rPr>
          <w:lang w:val="en-GB"/>
        </w:rPr>
        <w:t xml:space="preserve"> measured, </w:t>
      </w:r>
      <w:r w:rsidR="00592AD6" w:rsidRPr="00592AD6">
        <w:rPr>
          <w:lang w:val="en-GB"/>
        </w:rPr>
        <w:t xml:space="preserve">these additive samples </w:t>
      </w:r>
      <w:r w:rsidR="00813489">
        <w:rPr>
          <w:lang w:val="en-GB"/>
        </w:rPr>
        <w:t>were blended</w:t>
      </w:r>
      <w:r w:rsidRPr="00D45F9C">
        <w:rPr>
          <w:lang w:val="en-GB"/>
        </w:rPr>
        <w:t xml:space="preserve"> </w:t>
      </w:r>
      <w:r w:rsidR="00A15DCC">
        <w:rPr>
          <w:lang w:val="en-GB"/>
        </w:rPr>
        <w:t>in</w:t>
      </w:r>
      <w:r w:rsidR="00F90BC0">
        <w:rPr>
          <w:lang w:val="en-GB"/>
        </w:rPr>
        <w:t>to Group I dilution oil</w:t>
      </w:r>
      <w:r w:rsidR="008D49DA">
        <w:rPr>
          <w:lang w:val="en-GB"/>
        </w:rPr>
        <w:t xml:space="preserve"> in a concentration of </w:t>
      </w:r>
      <w:r w:rsidR="0076274E">
        <w:rPr>
          <w:lang w:val="en-GB"/>
        </w:rPr>
        <w:t xml:space="preserve">3 wt%. </w:t>
      </w:r>
      <w:r w:rsidR="0062073C" w:rsidRPr="002071F2">
        <w:rPr>
          <w:lang w:val="en-GB"/>
        </w:rPr>
        <w:t>The</w:t>
      </w:r>
      <w:r w:rsidR="0062073C">
        <w:rPr>
          <w:lang w:val="en-GB"/>
        </w:rPr>
        <w:t>se lubricating oil samples</w:t>
      </w:r>
      <w:r w:rsidR="0062073C" w:rsidRPr="002071F2">
        <w:rPr>
          <w:lang w:val="en-GB"/>
        </w:rPr>
        <w:t xml:space="preserve"> were marked with </w:t>
      </w:r>
      <w:r w:rsidR="0062073C">
        <w:rPr>
          <w:lang w:val="en-GB"/>
        </w:rPr>
        <w:t>“LO”</w:t>
      </w:r>
      <w:r w:rsidR="0062073C" w:rsidRPr="002071F2">
        <w:rPr>
          <w:lang w:val="en-GB"/>
        </w:rPr>
        <w:t xml:space="preserve"> abbreviation</w:t>
      </w:r>
      <w:r w:rsidR="0062073C">
        <w:rPr>
          <w:lang w:val="en-GB"/>
        </w:rPr>
        <w:t xml:space="preserve">. </w:t>
      </w:r>
      <w:r w:rsidR="00AE45CD">
        <w:rPr>
          <w:lang w:val="en-GB"/>
        </w:rPr>
        <w:t>T</w:t>
      </w:r>
      <w:r w:rsidRPr="00D45F9C">
        <w:rPr>
          <w:lang w:val="en-GB"/>
        </w:rPr>
        <w:t>he</w:t>
      </w:r>
      <w:r w:rsidR="003A2C85">
        <w:rPr>
          <w:lang w:val="en-GB"/>
        </w:rPr>
        <w:t>ir</w:t>
      </w:r>
      <w:r w:rsidRPr="00D45F9C">
        <w:rPr>
          <w:lang w:val="en-GB"/>
        </w:rPr>
        <w:t xml:space="preserve"> key-performance properties </w:t>
      </w:r>
      <w:r w:rsidR="003A2C85">
        <w:rPr>
          <w:lang w:val="en-GB"/>
        </w:rPr>
        <w:t>were measured and</w:t>
      </w:r>
      <w:r w:rsidRPr="00D45F9C">
        <w:rPr>
          <w:lang w:val="en-GB"/>
        </w:rPr>
        <w:t xml:space="preserve"> evaluat</w:t>
      </w:r>
      <w:r w:rsidR="003A2C85">
        <w:rPr>
          <w:lang w:val="en-GB"/>
        </w:rPr>
        <w:t>ed</w:t>
      </w:r>
      <w:r w:rsidRPr="00D45F9C">
        <w:rPr>
          <w:lang w:val="en-GB"/>
        </w:rPr>
        <w:t xml:space="preserve"> by comparing them with the industrial standards.</w:t>
      </w:r>
      <w:r w:rsidR="00883A82" w:rsidRPr="00D45F9C">
        <w:rPr>
          <w:lang w:val="en-GB"/>
        </w:rPr>
        <w:t xml:space="preserve"> </w:t>
      </w:r>
      <w:r w:rsidR="001D5140">
        <w:rPr>
          <w:lang w:val="en-GB"/>
        </w:rPr>
        <w:t>The p</w:t>
      </w:r>
      <w:r w:rsidR="001D5140" w:rsidRPr="001D5140">
        <w:rPr>
          <w:lang w:val="en-GB"/>
        </w:rPr>
        <w:t xml:space="preserve">hysico-chemical and functional properties of the lubricating oil samples </w:t>
      </w:r>
      <w:r w:rsidRPr="00D45F9C">
        <w:rPr>
          <w:lang w:val="en-GB"/>
        </w:rPr>
        <w:t xml:space="preserve">are described in Table </w:t>
      </w:r>
      <w:r w:rsidR="00024F1A" w:rsidRPr="00D45F9C">
        <w:rPr>
          <w:lang w:val="en-GB"/>
        </w:rPr>
        <w:t>4</w:t>
      </w:r>
      <w:r w:rsidR="00506589">
        <w:rPr>
          <w:lang w:val="en-GB"/>
        </w:rPr>
        <w:t>.</w:t>
      </w:r>
    </w:p>
    <w:p w14:paraId="4D020EF3" w14:textId="210D9F54" w:rsidR="000775A6" w:rsidRPr="00D45F9C" w:rsidRDefault="000775A6" w:rsidP="00024F1A">
      <w:pPr>
        <w:pStyle w:val="CETTabletitle"/>
        <w:spacing w:before="120"/>
      </w:pPr>
      <w:r w:rsidRPr="00D45F9C">
        <w:lastRenderedPageBreak/>
        <w:t xml:space="preserve">Table </w:t>
      </w:r>
      <w:r w:rsidR="00024F1A" w:rsidRPr="00D45F9C">
        <w:t>4</w:t>
      </w:r>
      <w:r w:rsidRPr="00D45F9C">
        <w:t xml:space="preserve">: Physico-chemical </w:t>
      </w:r>
      <w:r w:rsidR="002B3ECB" w:rsidRPr="00D45F9C">
        <w:t xml:space="preserve">and functional </w:t>
      </w:r>
      <w:r w:rsidRPr="00D45F9C">
        <w:t xml:space="preserve">properties of the </w:t>
      </w:r>
      <w:r w:rsidR="002B3ECB" w:rsidRPr="00D45F9C">
        <w:t>lubricating oil</w:t>
      </w:r>
      <w:r w:rsidRPr="00D45F9C">
        <w:t xml:space="preserve"> samples</w:t>
      </w:r>
      <w:r w:rsidR="00ED3B78" w:rsidRPr="00D45F9C">
        <w:t xml:space="preserve"> (LO)</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92"/>
        <w:gridCol w:w="993"/>
        <w:gridCol w:w="1241"/>
        <w:gridCol w:w="1112"/>
        <w:gridCol w:w="1332"/>
        <w:gridCol w:w="892"/>
        <w:gridCol w:w="1235"/>
        <w:gridCol w:w="990"/>
      </w:tblGrid>
      <w:tr w:rsidR="006A4F60" w:rsidRPr="00D45F9C" w14:paraId="32C25C7D" w14:textId="620A1617" w:rsidTr="009473A7">
        <w:tc>
          <w:tcPr>
            <w:tcW w:w="992" w:type="dxa"/>
            <w:tcBorders>
              <w:top w:val="single" w:sz="12" w:space="0" w:color="008000"/>
              <w:bottom w:val="single" w:sz="6" w:space="0" w:color="008000"/>
            </w:tcBorders>
            <w:shd w:val="clear" w:color="auto" w:fill="FFFFFF"/>
            <w:vAlign w:val="center"/>
          </w:tcPr>
          <w:p w14:paraId="75983C9C" w14:textId="5B6B7023" w:rsidR="006A4F60" w:rsidRPr="00D45F9C" w:rsidRDefault="006A4F60" w:rsidP="006A4F60">
            <w:pPr>
              <w:pStyle w:val="CETBodytext"/>
              <w:jc w:val="left"/>
              <w:rPr>
                <w:lang w:val="en-GB"/>
              </w:rPr>
            </w:pPr>
            <w:r w:rsidRPr="00D45F9C">
              <w:rPr>
                <w:lang w:val="en-GB"/>
              </w:rPr>
              <w:t>Lubricating oil sample</w:t>
            </w:r>
          </w:p>
        </w:tc>
        <w:tc>
          <w:tcPr>
            <w:tcW w:w="993" w:type="dxa"/>
            <w:tcBorders>
              <w:top w:val="single" w:sz="12" w:space="0" w:color="008000"/>
              <w:bottom w:val="single" w:sz="6" w:space="0" w:color="008000"/>
            </w:tcBorders>
            <w:shd w:val="clear" w:color="auto" w:fill="FFFFFF"/>
            <w:vAlign w:val="center"/>
          </w:tcPr>
          <w:p w14:paraId="63046727" w14:textId="050F235A" w:rsidR="006A4F60" w:rsidRPr="00D45F9C" w:rsidRDefault="00A05CA1" w:rsidP="006A4F60">
            <w:pPr>
              <w:pStyle w:val="CETBodytext"/>
              <w:jc w:val="left"/>
              <w:rPr>
                <w:lang w:val="en-GB"/>
              </w:rPr>
            </w:pPr>
            <w:r>
              <w:rPr>
                <w:lang w:val="en-GB"/>
              </w:rPr>
              <w:t>The u</w:t>
            </w:r>
            <w:r w:rsidR="0094089B">
              <w:rPr>
                <w:lang w:val="en-GB"/>
              </w:rPr>
              <w:t>sed s</w:t>
            </w:r>
            <w:r w:rsidR="006A4F60" w:rsidRPr="00D45F9C">
              <w:rPr>
                <w:lang w:val="en-GB"/>
              </w:rPr>
              <w:t>ulfurized sample</w:t>
            </w:r>
          </w:p>
        </w:tc>
        <w:tc>
          <w:tcPr>
            <w:tcW w:w="1241" w:type="dxa"/>
            <w:tcBorders>
              <w:top w:val="single" w:sz="12" w:space="0" w:color="008000"/>
              <w:bottom w:val="single" w:sz="6" w:space="0" w:color="008000"/>
            </w:tcBorders>
            <w:shd w:val="clear" w:color="auto" w:fill="FFFFFF"/>
            <w:vAlign w:val="center"/>
          </w:tcPr>
          <w:p w14:paraId="3AF62C11" w14:textId="77777777" w:rsidR="006A4F60" w:rsidRPr="00D45F9C" w:rsidRDefault="006A4F60" w:rsidP="006A4F60">
            <w:pPr>
              <w:pStyle w:val="CETBodytext"/>
              <w:jc w:val="left"/>
              <w:rPr>
                <w:lang w:val="en-GB"/>
              </w:rPr>
            </w:pPr>
            <w:r w:rsidRPr="00D45F9C">
              <w:rPr>
                <w:lang w:val="en-GB"/>
              </w:rPr>
              <w:t>Appearance</w:t>
            </w:r>
          </w:p>
        </w:tc>
        <w:tc>
          <w:tcPr>
            <w:tcW w:w="1112" w:type="dxa"/>
            <w:tcBorders>
              <w:top w:val="single" w:sz="12" w:space="0" w:color="008000"/>
              <w:bottom w:val="single" w:sz="6" w:space="0" w:color="008000"/>
            </w:tcBorders>
            <w:shd w:val="clear" w:color="auto" w:fill="FFFFFF"/>
            <w:vAlign w:val="center"/>
          </w:tcPr>
          <w:p w14:paraId="1842F178" w14:textId="77777777" w:rsidR="006A4F60" w:rsidRPr="00D45F9C" w:rsidRDefault="006A4F60" w:rsidP="006A4F60">
            <w:pPr>
              <w:pStyle w:val="CETBodytext"/>
              <w:jc w:val="left"/>
              <w:rPr>
                <w:lang w:val="en-GB"/>
              </w:rPr>
            </w:pPr>
            <w:r w:rsidRPr="00D45F9C">
              <w:rPr>
                <w:lang w:val="en-GB"/>
              </w:rPr>
              <w:t>Kinematic viscosity at 40°C, mm</w:t>
            </w:r>
            <w:r w:rsidRPr="00D45F9C">
              <w:rPr>
                <w:vertAlign w:val="superscript"/>
                <w:lang w:val="en-GB"/>
              </w:rPr>
              <w:t>2</w:t>
            </w:r>
            <w:r w:rsidRPr="00D45F9C">
              <w:rPr>
                <w:lang w:val="en-GB"/>
              </w:rPr>
              <w:t>/s</w:t>
            </w:r>
          </w:p>
        </w:tc>
        <w:tc>
          <w:tcPr>
            <w:tcW w:w="1332" w:type="dxa"/>
            <w:tcBorders>
              <w:top w:val="single" w:sz="12" w:space="0" w:color="008000"/>
              <w:bottom w:val="single" w:sz="6" w:space="0" w:color="008000"/>
            </w:tcBorders>
            <w:shd w:val="clear" w:color="auto" w:fill="FFFFFF"/>
            <w:vAlign w:val="center"/>
          </w:tcPr>
          <w:p w14:paraId="5B365565" w14:textId="77777777" w:rsidR="006A4F60" w:rsidRPr="00D45F9C" w:rsidRDefault="006A4F60" w:rsidP="006A4F60">
            <w:pPr>
              <w:pStyle w:val="CETBodytext"/>
              <w:jc w:val="left"/>
              <w:rPr>
                <w:lang w:val="en-GB"/>
              </w:rPr>
            </w:pPr>
            <w:r w:rsidRPr="00D45F9C">
              <w:rPr>
                <w:lang w:val="en-GB"/>
              </w:rPr>
              <w:t>Kinematic viscosity at 100°C, mm</w:t>
            </w:r>
            <w:r w:rsidRPr="00D45F9C">
              <w:rPr>
                <w:vertAlign w:val="superscript"/>
                <w:lang w:val="en-GB"/>
              </w:rPr>
              <w:t>2</w:t>
            </w:r>
            <w:r w:rsidRPr="00D45F9C">
              <w:rPr>
                <w:lang w:val="en-GB"/>
              </w:rPr>
              <w:t>/s</w:t>
            </w:r>
          </w:p>
        </w:tc>
        <w:tc>
          <w:tcPr>
            <w:tcW w:w="892" w:type="dxa"/>
            <w:tcBorders>
              <w:top w:val="single" w:sz="12" w:space="0" w:color="008000"/>
              <w:bottom w:val="single" w:sz="6" w:space="0" w:color="008000"/>
            </w:tcBorders>
            <w:shd w:val="clear" w:color="auto" w:fill="FFFFFF"/>
            <w:vAlign w:val="center"/>
          </w:tcPr>
          <w:p w14:paraId="2C4AA3AE" w14:textId="77777777" w:rsidR="009473A7" w:rsidRPr="00D45F9C" w:rsidRDefault="006A4F60" w:rsidP="006A4F60">
            <w:pPr>
              <w:pStyle w:val="CETBodytext"/>
              <w:jc w:val="left"/>
              <w:rPr>
                <w:lang w:val="en-GB"/>
              </w:rPr>
            </w:pPr>
            <w:r w:rsidRPr="00D45F9C">
              <w:rPr>
                <w:lang w:val="en-GB"/>
              </w:rPr>
              <w:t xml:space="preserve">Four-ball weld </w:t>
            </w:r>
            <w:r w:rsidR="00BB2E25" w:rsidRPr="00D45F9C">
              <w:rPr>
                <w:lang w:val="en-GB"/>
              </w:rPr>
              <w:t>l</w:t>
            </w:r>
            <w:r w:rsidRPr="00D45F9C">
              <w:rPr>
                <w:lang w:val="en-GB"/>
              </w:rPr>
              <w:t>oad,</w:t>
            </w:r>
          </w:p>
          <w:p w14:paraId="4E76E480" w14:textId="25258ACD" w:rsidR="006A4F60" w:rsidRPr="00D45F9C" w:rsidRDefault="006A4F60" w:rsidP="006A4F60">
            <w:pPr>
              <w:pStyle w:val="CETBodytext"/>
              <w:jc w:val="left"/>
              <w:rPr>
                <w:lang w:val="en-GB"/>
              </w:rPr>
            </w:pPr>
            <w:r w:rsidRPr="00D45F9C">
              <w:rPr>
                <w:lang w:val="en-GB"/>
              </w:rPr>
              <w:t>N</w:t>
            </w:r>
          </w:p>
        </w:tc>
        <w:tc>
          <w:tcPr>
            <w:tcW w:w="1235" w:type="dxa"/>
            <w:tcBorders>
              <w:top w:val="single" w:sz="12" w:space="0" w:color="008000"/>
              <w:bottom w:val="single" w:sz="6" w:space="0" w:color="008000"/>
            </w:tcBorders>
            <w:shd w:val="clear" w:color="auto" w:fill="FFFFFF"/>
            <w:vAlign w:val="center"/>
          </w:tcPr>
          <w:p w14:paraId="3DC9DE38" w14:textId="77777777" w:rsidR="009473A7" w:rsidRPr="00D45F9C" w:rsidRDefault="006A4F60" w:rsidP="006A4F60">
            <w:pPr>
              <w:pStyle w:val="CETBodytext"/>
              <w:jc w:val="left"/>
              <w:rPr>
                <w:lang w:val="en-GB"/>
              </w:rPr>
            </w:pPr>
            <w:r w:rsidRPr="00D45F9C">
              <w:rPr>
                <w:lang w:val="en-GB"/>
              </w:rPr>
              <w:t>Four-ball scar diameter,</w:t>
            </w:r>
          </w:p>
          <w:p w14:paraId="4228D00D" w14:textId="3EB4EBE1" w:rsidR="006A4F60" w:rsidRPr="00D45F9C" w:rsidRDefault="006A4F60" w:rsidP="006A4F60">
            <w:pPr>
              <w:pStyle w:val="CETBodytext"/>
              <w:jc w:val="left"/>
              <w:rPr>
                <w:lang w:val="en-GB"/>
              </w:rPr>
            </w:pPr>
            <w:r w:rsidRPr="00D45F9C">
              <w:rPr>
                <w:lang w:val="en-GB"/>
              </w:rPr>
              <w:t>mm</w:t>
            </w:r>
          </w:p>
        </w:tc>
        <w:tc>
          <w:tcPr>
            <w:tcW w:w="990" w:type="dxa"/>
            <w:tcBorders>
              <w:top w:val="single" w:sz="12" w:space="0" w:color="008000"/>
              <w:bottom w:val="single" w:sz="6" w:space="0" w:color="008000"/>
            </w:tcBorders>
            <w:shd w:val="clear" w:color="auto" w:fill="FFFFFF"/>
          </w:tcPr>
          <w:p w14:paraId="37FE6339" w14:textId="5587307A" w:rsidR="006A4F60" w:rsidRPr="00D45F9C" w:rsidRDefault="006A4F60" w:rsidP="006A4F60">
            <w:pPr>
              <w:pStyle w:val="CETBodytext"/>
              <w:jc w:val="left"/>
              <w:rPr>
                <w:lang w:val="en-GB"/>
              </w:rPr>
            </w:pPr>
            <w:r w:rsidRPr="00D45F9C">
              <w:rPr>
                <w:lang w:val="en-GB"/>
              </w:rPr>
              <w:t>Copper corrosion test, level</w:t>
            </w:r>
          </w:p>
        </w:tc>
      </w:tr>
      <w:tr w:rsidR="00DA4B6C" w:rsidRPr="00D45F9C" w14:paraId="304F3A84" w14:textId="64E2624C" w:rsidTr="00DA4B6C">
        <w:tc>
          <w:tcPr>
            <w:tcW w:w="992" w:type="dxa"/>
            <w:shd w:val="clear" w:color="auto" w:fill="FFFFFF"/>
            <w:vAlign w:val="center"/>
          </w:tcPr>
          <w:p w14:paraId="33995C01" w14:textId="6C85D20C" w:rsidR="00DA4B6C" w:rsidRPr="00D45F9C" w:rsidRDefault="00DA4B6C" w:rsidP="00DA4B6C">
            <w:pPr>
              <w:pStyle w:val="CETBodytext"/>
              <w:jc w:val="left"/>
              <w:rPr>
                <w:szCs w:val="16"/>
                <w:lang w:val="en-GB"/>
              </w:rPr>
            </w:pPr>
            <w:r w:rsidRPr="00D45F9C">
              <w:rPr>
                <w:szCs w:val="16"/>
                <w:lang w:val="en-GB"/>
              </w:rPr>
              <w:t>LO-1</w:t>
            </w:r>
          </w:p>
        </w:tc>
        <w:tc>
          <w:tcPr>
            <w:tcW w:w="993" w:type="dxa"/>
            <w:shd w:val="clear" w:color="auto" w:fill="FFFFFF"/>
            <w:vAlign w:val="center"/>
          </w:tcPr>
          <w:p w14:paraId="6562F21D" w14:textId="29B22DF2" w:rsidR="00DA4B6C" w:rsidRPr="00D45F9C" w:rsidRDefault="00DA4B6C" w:rsidP="00DA4B6C">
            <w:pPr>
              <w:pStyle w:val="CETBodytext"/>
              <w:jc w:val="left"/>
              <w:rPr>
                <w:lang w:val="en-GB"/>
              </w:rPr>
            </w:pPr>
            <w:r w:rsidRPr="00D45F9C">
              <w:rPr>
                <w:szCs w:val="16"/>
                <w:lang w:val="en-GB"/>
              </w:rPr>
              <w:t>EP-1</w:t>
            </w:r>
          </w:p>
        </w:tc>
        <w:tc>
          <w:tcPr>
            <w:tcW w:w="1241" w:type="dxa"/>
            <w:shd w:val="clear" w:color="auto" w:fill="FFFFFF"/>
            <w:vAlign w:val="center"/>
          </w:tcPr>
          <w:p w14:paraId="33AD3A36" w14:textId="21D3F36E" w:rsidR="00DA4B6C" w:rsidRPr="005202C8" w:rsidRDefault="00205D5B" w:rsidP="005202C8">
            <w:pPr>
              <w:autoSpaceDE w:val="0"/>
              <w:autoSpaceDN w:val="0"/>
              <w:adjustRightInd w:val="0"/>
              <w:jc w:val="left"/>
              <w:rPr>
                <w:szCs w:val="16"/>
              </w:rPr>
            </w:pPr>
            <w:r>
              <w:rPr>
                <w:szCs w:val="16"/>
              </w:rPr>
              <w:t>B</w:t>
            </w:r>
            <w:r w:rsidR="00DA4B6C" w:rsidRPr="00D45F9C">
              <w:rPr>
                <w:szCs w:val="16"/>
              </w:rPr>
              <w:t>rown</w:t>
            </w:r>
            <w:r>
              <w:rPr>
                <w:szCs w:val="16"/>
              </w:rPr>
              <w:t>, clear</w:t>
            </w:r>
            <w:r w:rsidR="00DA4B6C" w:rsidRPr="00D45F9C">
              <w:rPr>
                <w:szCs w:val="16"/>
              </w:rPr>
              <w:t xml:space="preserve"> liquid</w:t>
            </w:r>
          </w:p>
        </w:tc>
        <w:tc>
          <w:tcPr>
            <w:tcW w:w="1112" w:type="dxa"/>
            <w:shd w:val="clear" w:color="auto" w:fill="FFFFFF"/>
            <w:vAlign w:val="center"/>
          </w:tcPr>
          <w:p w14:paraId="48BF2369" w14:textId="2A7DA328" w:rsidR="00DA4B6C" w:rsidRPr="00D45F9C" w:rsidRDefault="00DA4B6C" w:rsidP="00DA4B6C">
            <w:pPr>
              <w:pStyle w:val="CETBodytext"/>
              <w:jc w:val="left"/>
              <w:rPr>
                <w:lang w:val="en-GB"/>
              </w:rPr>
            </w:pPr>
            <w:r w:rsidRPr="00D45F9C">
              <w:rPr>
                <w:szCs w:val="16"/>
                <w:lang w:val="en-GB"/>
              </w:rPr>
              <w:t>35.70</w:t>
            </w:r>
          </w:p>
        </w:tc>
        <w:tc>
          <w:tcPr>
            <w:tcW w:w="1332" w:type="dxa"/>
            <w:shd w:val="clear" w:color="auto" w:fill="FFFFFF"/>
            <w:vAlign w:val="center"/>
          </w:tcPr>
          <w:p w14:paraId="67BE5227" w14:textId="782A9F3E" w:rsidR="00DA4B6C" w:rsidRPr="00D45F9C" w:rsidRDefault="00DA4B6C" w:rsidP="00DA4B6C">
            <w:pPr>
              <w:pStyle w:val="CETBodytext"/>
              <w:jc w:val="left"/>
              <w:rPr>
                <w:lang w:val="en-GB"/>
              </w:rPr>
            </w:pPr>
            <w:r w:rsidRPr="00D45F9C">
              <w:rPr>
                <w:szCs w:val="16"/>
                <w:lang w:val="en-GB"/>
              </w:rPr>
              <w:t>5.90</w:t>
            </w:r>
          </w:p>
        </w:tc>
        <w:tc>
          <w:tcPr>
            <w:tcW w:w="892" w:type="dxa"/>
            <w:shd w:val="clear" w:color="auto" w:fill="FFFFFF"/>
            <w:vAlign w:val="center"/>
          </w:tcPr>
          <w:p w14:paraId="0B62884C" w14:textId="4DC5B9EE" w:rsidR="00DA4B6C" w:rsidRPr="00D45F9C" w:rsidRDefault="00DA4B6C" w:rsidP="00DA4B6C">
            <w:pPr>
              <w:pStyle w:val="CETBodytext"/>
              <w:jc w:val="left"/>
              <w:rPr>
                <w:lang w:val="en-GB"/>
              </w:rPr>
            </w:pPr>
            <w:r w:rsidRPr="00D45F9C">
              <w:rPr>
                <w:szCs w:val="16"/>
                <w:lang w:val="en-GB"/>
              </w:rPr>
              <w:t>2</w:t>
            </w:r>
            <w:r w:rsidR="00D0037B" w:rsidRPr="00D45F9C">
              <w:rPr>
                <w:szCs w:val="16"/>
                <w:lang w:val="en-GB"/>
              </w:rPr>
              <w:t xml:space="preserve"> </w:t>
            </w:r>
            <w:r w:rsidRPr="00D45F9C">
              <w:rPr>
                <w:szCs w:val="16"/>
                <w:lang w:val="en-GB"/>
              </w:rPr>
              <w:t>300</w:t>
            </w:r>
          </w:p>
        </w:tc>
        <w:tc>
          <w:tcPr>
            <w:tcW w:w="1235" w:type="dxa"/>
            <w:shd w:val="clear" w:color="auto" w:fill="FFFFFF"/>
            <w:vAlign w:val="center"/>
          </w:tcPr>
          <w:p w14:paraId="5E139530" w14:textId="1BF8DF8E" w:rsidR="00DA4B6C" w:rsidRPr="00D45F9C" w:rsidRDefault="00DA4B6C" w:rsidP="00DA4B6C">
            <w:pPr>
              <w:pStyle w:val="CETBodytext"/>
              <w:jc w:val="left"/>
              <w:rPr>
                <w:lang w:val="en-GB"/>
              </w:rPr>
            </w:pPr>
            <w:r w:rsidRPr="00D45F9C">
              <w:rPr>
                <w:szCs w:val="16"/>
                <w:lang w:val="en-GB"/>
              </w:rPr>
              <w:t>0.50</w:t>
            </w:r>
          </w:p>
        </w:tc>
        <w:tc>
          <w:tcPr>
            <w:tcW w:w="990" w:type="dxa"/>
            <w:shd w:val="clear" w:color="auto" w:fill="FFFFFF"/>
            <w:vAlign w:val="center"/>
          </w:tcPr>
          <w:p w14:paraId="5BE1FCC3" w14:textId="0DFEB901" w:rsidR="00DA4B6C" w:rsidRPr="00D45F9C" w:rsidRDefault="00DA4B6C" w:rsidP="00DA4B6C">
            <w:pPr>
              <w:pStyle w:val="CETBodytext"/>
              <w:jc w:val="left"/>
              <w:rPr>
                <w:lang w:val="en-GB"/>
              </w:rPr>
            </w:pPr>
            <w:r w:rsidRPr="00D45F9C">
              <w:rPr>
                <w:lang w:val="en-GB"/>
              </w:rPr>
              <w:t>3a</w:t>
            </w:r>
          </w:p>
        </w:tc>
      </w:tr>
      <w:tr w:rsidR="00205D5B" w:rsidRPr="00D45F9C" w14:paraId="604C7A7C" w14:textId="74254DD2" w:rsidTr="008E7AD2">
        <w:tc>
          <w:tcPr>
            <w:tcW w:w="992" w:type="dxa"/>
            <w:shd w:val="clear" w:color="auto" w:fill="FFFFFF"/>
            <w:vAlign w:val="center"/>
          </w:tcPr>
          <w:p w14:paraId="11B99289" w14:textId="4214EC2A" w:rsidR="00205D5B" w:rsidRPr="00D45F9C" w:rsidRDefault="00205D5B" w:rsidP="00205D5B">
            <w:pPr>
              <w:pStyle w:val="CETBodytext"/>
              <w:ind w:right="-1"/>
              <w:jc w:val="left"/>
              <w:rPr>
                <w:szCs w:val="16"/>
                <w:lang w:val="en-GB"/>
              </w:rPr>
            </w:pPr>
            <w:r w:rsidRPr="00D45F9C">
              <w:rPr>
                <w:szCs w:val="16"/>
                <w:lang w:val="en-GB"/>
              </w:rPr>
              <w:t>LO -2</w:t>
            </w:r>
          </w:p>
        </w:tc>
        <w:tc>
          <w:tcPr>
            <w:tcW w:w="993" w:type="dxa"/>
            <w:shd w:val="clear" w:color="auto" w:fill="FFFFFF"/>
            <w:vAlign w:val="center"/>
          </w:tcPr>
          <w:p w14:paraId="6A8498E4" w14:textId="109A7CFC" w:rsidR="00205D5B" w:rsidRPr="00D45F9C" w:rsidRDefault="00205D5B" w:rsidP="00205D5B">
            <w:pPr>
              <w:pStyle w:val="CETBodytext"/>
              <w:ind w:right="-1"/>
              <w:jc w:val="left"/>
              <w:rPr>
                <w:rFonts w:cs="Arial"/>
                <w:szCs w:val="18"/>
                <w:lang w:val="en-GB"/>
              </w:rPr>
            </w:pPr>
            <w:r w:rsidRPr="00D45F9C">
              <w:rPr>
                <w:szCs w:val="16"/>
                <w:lang w:val="en-GB"/>
              </w:rPr>
              <w:t>EP -2</w:t>
            </w:r>
          </w:p>
        </w:tc>
        <w:tc>
          <w:tcPr>
            <w:tcW w:w="1241" w:type="dxa"/>
            <w:shd w:val="clear" w:color="auto" w:fill="FFFFFF"/>
          </w:tcPr>
          <w:p w14:paraId="67791783" w14:textId="6C5A2772" w:rsidR="00205D5B" w:rsidRPr="00D45F9C" w:rsidRDefault="00205D5B" w:rsidP="00205D5B">
            <w:pPr>
              <w:pStyle w:val="CETBodytext"/>
              <w:ind w:right="-1"/>
              <w:jc w:val="left"/>
              <w:rPr>
                <w:rFonts w:cs="Arial"/>
                <w:szCs w:val="18"/>
                <w:lang w:val="en-GB"/>
              </w:rPr>
            </w:pPr>
            <w:r w:rsidRPr="004462A0">
              <w:rPr>
                <w:szCs w:val="16"/>
              </w:rPr>
              <w:t>Brown, clear liquid</w:t>
            </w:r>
          </w:p>
        </w:tc>
        <w:tc>
          <w:tcPr>
            <w:tcW w:w="1112" w:type="dxa"/>
            <w:shd w:val="clear" w:color="auto" w:fill="FFFFFF"/>
            <w:vAlign w:val="center"/>
          </w:tcPr>
          <w:p w14:paraId="16597EB4" w14:textId="1537E30C" w:rsidR="00205D5B" w:rsidRPr="00D45F9C" w:rsidRDefault="00205D5B" w:rsidP="00205D5B">
            <w:pPr>
              <w:pStyle w:val="CETBodytext"/>
              <w:ind w:right="-1"/>
              <w:jc w:val="left"/>
              <w:rPr>
                <w:rFonts w:cs="Arial"/>
                <w:szCs w:val="18"/>
                <w:lang w:val="en-GB"/>
              </w:rPr>
            </w:pPr>
            <w:r w:rsidRPr="00D45F9C">
              <w:rPr>
                <w:szCs w:val="16"/>
                <w:lang w:val="en-GB"/>
              </w:rPr>
              <w:t>36.12</w:t>
            </w:r>
          </w:p>
        </w:tc>
        <w:tc>
          <w:tcPr>
            <w:tcW w:w="1332" w:type="dxa"/>
            <w:shd w:val="clear" w:color="auto" w:fill="FFFFFF"/>
            <w:vAlign w:val="center"/>
          </w:tcPr>
          <w:p w14:paraId="025E7C50" w14:textId="62413931" w:rsidR="00205D5B" w:rsidRPr="00D45F9C" w:rsidRDefault="00205D5B" w:rsidP="00205D5B">
            <w:pPr>
              <w:pStyle w:val="CETBodytext"/>
              <w:ind w:right="-1"/>
              <w:jc w:val="left"/>
              <w:rPr>
                <w:rFonts w:cs="Arial"/>
                <w:szCs w:val="18"/>
                <w:lang w:val="en-GB"/>
              </w:rPr>
            </w:pPr>
            <w:r w:rsidRPr="00D45F9C">
              <w:rPr>
                <w:szCs w:val="16"/>
                <w:lang w:val="en-GB"/>
              </w:rPr>
              <w:t>5.91</w:t>
            </w:r>
          </w:p>
        </w:tc>
        <w:tc>
          <w:tcPr>
            <w:tcW w:w="892" w:type="dxa"/>
            <w:shd w:val="clear" w:color="auto" w:fill="FFFFFF"/>
            <w:vAlign w:val="center"/>
          </w:tcPr>
          <w:p w14:paraId="7DD3B006" w14:textId="357AB5A1" w:rsidR="00205D5B" w:rsidRPr="00D45F9C" w:rsidRDefault="00205D5B" w:rsidP="00205D5B">
            <w:pPr>
              <w:pStyle w:val="CETBodytext"/>
              <w:ind w:right="-1"/>
              <w:jc w:val="left"/>
              <w:rPr>
                <w:rFonts w:cs="Arial"/>
                <w:szCs w:val="18"/>
                <w:lang w:val="en-GB"/>
              </w:rPr>
            </w:pPr>
            <w:r w:rsidRPr="00D45F9C">
              <w:rPr>
                <w:szCs w:val="16"/>
                <w:lang w:val="en-GB"/>
              </w:rPr>
              <w:t>2 300</w:t>
            </w:r>
          </w:p>
        </w:tc>
        <w:tc>
          <w:tcPr>
            <w:tcW w:w="1235" w:type="dxa"/>
            <w:shd w:val="clear" w:color="auto" w:fill="FFFFFF"/>
            <w:vAlign w:val="center"/>
          </w:tcPr>
          <w:p w14:paraId="3D14C168" w14:textId="2740C8E6" w:rsidR="00205D5B" w:rsidRPr="00D45F9C" w:rsidRDefault="00205D5B" w:rsidP="00205D5B">
            <w:pPr>
              <w:pStyle w:val="CETBodytext"/>
              <w:ind w:right="-1"/>
              <w:jc w:val="left"/>
              <w:rPr>
                <w:rFonts w:cs="Arial"/>
                <w:szCs w:val="18"/>
                <w:lang w:val="en-GB"/>
              </w:rPr>
            </w:pPr>
            <w:r w:rsidRPr="00D45F9C">
              <w:rPr>
                <w:szCs w:val="16"/>
                <w:lang w:val="en-GB"/>
              </w:rPr>
              <w:t>0.44</w:t>
            </w:r>
          </w:p>
        </w:tc>
        <w:tc>
          <w:tcPr>
            <w:tcW w:w="990" w:type="dxa"/>
            <w:shd w:val="clear" w:color="auto" w:fill="FFFFFF"/>
            <w:vAlign w:val="center"/>
          </w:tcPr>
          <w:p w14:paraId="56276E58" w14:textId="000C1C41" w:rsidR="00205D5B" w:rsidRPr="00D45F9C" w:rsidRDefault="00205D5B" w:rsidP="00205D5B">
            <w:pPr>
              <w:pStyle w:val="CETBodytext"/>
              <w:ind w:right="-1"/>
              <w:jc w:val="left"/>
              <w:rPr>
                <w:lang w:val="en-GB"/>
              </w:rPr>
            </w:pPr>
            <w:r w:rsidRPr="00D45F9C">
              <w:rPr>
                <w:lang w:val="en-GB"/>
              </w:rPr>
              <w:t>1b</w:t>
            </w:r>
          </w:p>
        </w:tc>
      </w:tr>
      <w:tr w:rsidR="00205D5B" w:rsidRPr="00D45F9C" w14:paraId="255FDB6B" w14:textId="2C382470" w:rsidTr="008E7AD2">
        <w:tc>
          <w:tcPr>
            <w:tcW w:w="992" w:type="dxa"/>
            <w:shd w:val="clear" w:color="auto" w:fill="FFFFFF"/>
            <w:vAlign w:val="center"/>
          </w:tcPr>
          <w:p w14:paraId="0C4DD5FB" w14:textId="78A57137" w:rsidR="00205D5B" w:rsidRPr="00D45F9C" w:rsidRDefault="00205D5B" w:rsidP="00205D5B">
            <w:pPr>
              <w:pStyle w:val="CETBodytext"/>
              <w:ind w:right="-1"/>
              <w:jc w:val="left"/>
              <w:rPr>
                <w:szCs w:val="16"/>
                <w:lang w:val="en-GB"/>
              </w:rPr>
            </w:pPr>
            <w:r w:rsidRPr="00D45F9C">
              <w:rPr>
                <w:szCs w:val="16"/>
                <w:lang w:val="en-GB"/>
              </w:rPr>
              <w:t>LO -3</w:t>
            </w:r>
          </w:p>
        </w:tc>
        <w:tc>
          <w:tcPr>
            <w:tcW w:w="993" w:type="dxa"/>
            <w:shd w:val="clear" w:color="auto" w:fill="FFFFFF"/>
            <w:vAlign w:val="center"/>
          </w:tcPr>
          <w:p w14:paraId="7103E0BA" w14:textId="0DD054B2" w:rsidR="00205D5B" w:rsidRPr="00D45F9C" w:rsidRDefault="00205D5B" w:rsidP="00205D5B">
            <w:pPr>
              <w:pStyle w:val="CETBodytext"/>
              <w:ind w:right="-1"/>
              <w:jc w:val="left"/>
              <w:rPr>
                <w:rFonts w:cs="Arial"/>
                <w:szCs w:val="18"/>
                <w:lang w:val="en-GB"/>
              </w:rPr>
            </w:pPr>
            <w:r w:rsidRPr="00D45F9C">
              <w:rPr>
                <w:szCs w:val="16"/>
                <w:lang w:val="en-GB"/>
              </w:rPr>
              <w:t>EP -3</w:t>
            </w:r>
          </w:p>
        </w:tc>
        <w:tc>
          <w:tcPr>
            <w:tcW w:w="1241" w:type="dxa"/>
            <w:shd w:val="clear" w:color="auto" w:fill="FFFFFF"/>
          </w:tcPr>
          <w:p w14:paraId="427161B6" w14:textId="2399239E" w:rsidR="00205D5B" w:rsidRPr="00D45F9C" w:rsidRDefault="00205D5B" w:rsidP="00205D5B">
            <w:pPr>
              <w:pStyle w:val="CETBodytext"/>
              <w:ind w:right="-1"/>
              <w:jc w:val="left"/>
              <w:rPr>
                <w:rFonts w:cs="Arial"/>
                <w:szCs w:val="18"/>
                <w:lang w:val="en-GB"/>
              </w:rPr>
            </w:pPr>
            <w:r w:rsidRPr="004462A0">
              <w:rPr>
                <w:szCs w:val="16"/>
              </w:rPr>
              <w:t>Brown, clear liquid</w:t>
            </w:r>
          </w:p>
        </w:tc>
        <w:tc>
          <w:tcPr>
            <w:tcW w:w="1112" w:type="dxa"/>
            <w:shd w:val="clear" w:color="auto" w:fill="FFFFFF"/>
            <w:vAlign w:val="center"/>
          </w:tcPr>
          <w:p w14:paraId="2C2C12BD" w14:textId="5A98DA3F" w:rsidR="00205D5B" w:rsidRPr="00D45F9C" w:rsidRDefault="00205D5B" w:rsidP="00205D5B">
            <w:pPr>
              <w:pStyle w:val="CETBodytext"/>
              <w:ind w:right="-1"/>
              <w:jc w:val="left"/>
              <w:rPr>
                <w:rFonts w:cs="Arial"/>
                <w:szCs w:val="18"/>
                <w:lang w:val="en-GB"/>
              </w:rPr>
            </w:pPr>
            <w:r w:rsidRPr="00D45F9C">
              <w:rPr>
                <w:szCs w:val="16"/>
                <w:lang w:val="en-GB"/>
              </w:rPr>
              <w:t>34.72</w:t>
            </w:r>
          </w:p>
        </w:tc>
        <w:tc>
          <w:tcPr>
            <w:tcW w:w="1332" w:type="dxa"/>
            <w:shd w:val="clear" w:color="auto" w:fill="FFFFFF"/>
            <w:vAlign w:val="center"/>
          </w:tcPr>
          <w:p w14:paraId="31D79E99" w14:textId="659C95ED" w:rsidR="00205D5B" w:rsidRPr="00D45F9C" w:rsidRDefault="00205D5B" w:rsidP="00205D5B">
            <w:pPr>
              <w:pStyle w:val="CETBodytext"/>
              <w:ind w:right="-1"/>
              <w:jc w:val="left"/>
              <w:rPr>
                <w:rFonts w:cs="Arial"/>
                <w:szCs w:val="18"/>
                <w:lang w:val="en-GB"/>
              </w:rPr>
            </w:pPr>
            <w:r w:rsidRPr="00D45F9C">
              <w:rPr>
                <w:szCs w:val="16"/>
                <w:lang w:val="en-GB"/>
              </w:rPr>
              <w:t>5.70</w:t>
            </w:r>
          </w:p>
        </w:tc>
        <w:tc>
          <w:tcPr>
            <w:tcW w:w="892" w:type="dxa"/>
            <w:shd w:val="clear" w:color="auto" w:fill="FFFFFF"/>
            <w:vAlign w:val="center"/>
          </w:tcPr>
          <w:p w14:paraId="37EC276D" w14:textId="3F96B6FB" w:rsidR="00205D5B" w:rsidRPr="00D45F9C" w:rsidRDefault="00205D5B" w:rsidP="00205D5B">
            <w:pPr>
              <w:pStyle w:val="CETBodytext"/>
              <w:ind w:right="-1"/>
              <w:jc w:val="left"/>
              <w:rPr>
                <w:rFonts w:cs="Arial"/>
                <w:szCs w:val="18"/>
                <w:lang w:val="en-GB"/>
              </w:rPr>
            </w:pPr>
            <w:r w:rsidRPr="00D45F9C">
              <w:rPr>
                <w:szCs w:val="16"/>
                <w:lang w:val="en-GB"/>
              </w:rPr>
              <w:t>2 300</w:t>
            </w:r>
          </w:p>
        </w:tc>
        <w:tc>
          <w:tcPr>
            <w:tcW w:w="1235" w:type="dxa"/>
            <w:shd w:val="clear" w:color="auto" w:fill="FFFFFF"/>
            <w:vAlign w:val="center"/>
          </w:tcPr>
          <w:p w14:paraId="79B16440" w14:textId="413CA49C" w:rsidR="00205D5B" w:rsidRPr="00D45F9C" w:rsidRDefault="00205D5B" w:rsidP="00205D5B">
            <w:pPr>
              <w:pStyle w:val="CETBodytext"/>
              <w:ind w:right="-1"/>
              <w:jc w:val="left"/>
              <w:rPr>
                <w:rFonts w:cs="Arial"/>
                <w:szCs w:val="18"/>
                <w:lang w:val="en-GB"/>
              </w:rPr>
            </w:pPr>
            <w:r w:rsidRPr="00D45F9C">
              <w:rPr>
                <w:szCs w:val="16"/>
                <w:lang w:val="en-GB"/>
              </w:rPr>
              <w:t>0.49</w:t>
            </w:r>
          </w:p>
        </w:tc>
        <w:tc>
          <w:tcPr>
            <w:tcW w:w="990" w:type="dxa"/>
            <w:shd w:val="clear" w:color="auto" w:fill="FFFFFF"/>
            <w:vAlign w:val="center"/>
          </w:tcPr>
          <w:p w14:paraId="00DAA346" w14:textId="6BA4A8A0" w:rsidR="00205D5B" w:rsidRPr="00D45F9C" w:rsidRDefault="00205D5B" w:rsidP="00205D5B">
            <w:pPr>
              <w:pStyle w:val="CETBodytext"/>
              <w:ind w:right="-1"/>
              <w:jc w:val="left"/>
              <w:rPr>
                <w:lang w:val="en-GB"/>
              </w:rPr>
            </w:pPr>
            <w:r w:rsidRPr="00D45F9C">
              <w:rPr>
                <w:lang w:val="en-GB"/>
              </w:rPr>
              <w:t>4b</w:t>
            </w:r>
          </w:p>
        </w:tc>
      </w:tr>
      <w:tr w:rsidR="00205D5B" w:rsidRPr="00D45F9C" w14:paraId="095D2461" w14:textId="2EB4CB97" w:rsidTr="008E7AD2">
        <w:tc>
          <w:tcPr>
            <w:tcW w:w="992" w:type="dxa"/>
            <w:shd w:val="clear" w:color="auto" w:fill="FFFFFF"/>
            <w:vAlign w:val="center"/>
          </w:tcPr>
          <w:p w14:paraId="14770B5A" w14:textId="0B9670F6" w:rsidR="00205D5B" w:rsidRPr="00D45F9C" w:rsidRDefault="00205D5B" w:rsidP="00205D5B">
            <w:pPr>
              <w:pStyle w:val="CETBodytext"/>
              <w:ind w:right="-1"/>
              <w:jc w:val="left"/>
              <w:rPr>
                <w:szCs w:val="16"/>
                <w:lang w:val="en-GB"/>
              </w:rPr>
            </w:pPr>
            <w:r w:rsidRPr="00D45F9C">
              <w:rPr>
                <w:szCs w:val="16"/>
                <w:lang w:val="en-GB"/>
              </w:rPr>
              <w:t>LO -4</w:t>
            </w:r>
          </w:p>
        </w:tc>
        <w:tc>
          <w:tcPr>
            <w:tcW w:w="993" w:type="dxa"/>
            <w:shd w:val="clear" w:color="auto" w:fill="FFFFFF"/>
            <w:vAlign w:val="center"/>
          </w:tcPr>
          <w:p w14:paraId="69716E90" w14:textId="384399FB" w:rsidR="00205D5B" w:rsidRPr="00D45F9C" w:rsidRDefault="00205D5B" w:rsidP="00205D5B">
            <w:pPr>
              <w:pStyle w:val="CETBodytext"/>
              <w:ind w:right="-1"/>
              <w:jc w:val="left"/>
              <w:rPr>
                <w:rFonts w:cs="Arial"/>
                <w:szCs w:val="18"/>
                <w:lang w:val="en-GB"/>
              </w:rPr>
            </w:pPr>
            <w:r w:rsidRPr="00D45F9C">
              <w:rPr>
                <w:szCs w:val="16"/>
                <w:lang w:val="en-GB"/>
              </w:rPr>
              <w:t>EP -4</w:t>
            </w:r>
          </w:p>
        </w:tc>
        <w:tc>
          <w:tcPr>
            <w:tcW w:w="1241" w:type="dxa"/>
            <w:shd w:val="clear" w:color="auto" w:fill="FFFFFF"/>
          </w:tcPr>
          <w:p w14:paraId="2E16D35E" w14:textId="7F61FF65" w:rsidR="00205D5B" w:rsidRPr="00D45F9C" w:rsidRDefault="00205D5B" w:rsidP="00205D5B">
            <w:pPr>
              <w:pStyle w:val="CETBodytext"/>
              <w:ind w:right="-1"/>
              <w:jc w:val="left"/>
              <w:rPr>
                <w:rFonts w:cs="Arial"/>
                <w:szCs w:val="18"/>
                <w:lang w:val="en-GB"/>
              </w:rPr>
            </w:pPr>
            <w:r w:rsidRPr="004462A0">
              <w:rPr>
                <w:szCs w:val="16"/>
              </w:rPr>
              <w:t>Brown, clear liquid</w:t>
            </w:r>
          </w:p>
        </w:tc>
        <w:tc>
          <w:tcPr>
            <w:tcW w:w="1112" w:type="dxa"/>
            <w:shd w:val="clear" w:color="auto" w:fill="FFFFFF"/>
            <w:vAlign w:val="center"/>
          </w:tcPr>
          <w:p w14:paraId="660F08C9" w14:textId="79822749" w:rsidR="00205D5B" w:rsidRPr="00D45F9C" w:rsidRDefault="00205D5B" w:rsidP="00205D5B">
            <w:pPr>
              <w:pStyle w:val="CETBodytext"/>
              <w:ind w:right="-1"/>
              <w:jc w:val="left"/>
              <w:rPr>
                <w:rFonts w:cs="Arial"/>
                <w:szCs w:val="18"/>
                <w:lang w:val="en-GB"/>
              </w:rPr>
            </w:pPr>
            <w:r w:rsidRPr="00D45F9C">
              <w:rPr>
                <w:szCs w:val="16"/>
                <w:lang w:val="en-GB"/>
              </w:rPr>
              <w:t>35.12</w:t>
            </w:r>
          </w:p>
        </w:tc>
        <w:tc>
          <w:tcPr>
            <w:tcW w:w="1332" w:type="dxa"/>
            <w:shd w:val="clear" w:color="auto" w:fill="FFFFFF"/>
            <w:vAlign w:val="center"/>
          </w:tcPr>
          <w:p w14:paraId="69D0E86D" w14:textId="147F7C19" w:rsidR="00205D5B" w:rsidRPr="00D45F9C" w:rsidRDefault="00205D5B" w:rsidP="00205D5B">
            <w:pPr>
              <w:pStyle w:val="CETBodytext"/>
              <w:ind w:right="-1"/>
              <w:jc w:val="left"/>
              <w:rPr>
                <w:rFonts w:cs="Arial"/>
                <w:szCs w:val="18"/>
                <w:lang w:val="en-GB"/>
              </w:rPr>
            </w:pPr>
            <w:r w:rsidRPr="00D45F9C">
              <w:rPr>
                <w:szCs w:val="16"/>
                <w:lang w:val="en-GB"/>
              </w:rPr>
              <w:t>5.79</w:t>
            </w:r>
          </w:p>
        </w:tc>
        <w:tc>
          <w:tcPr>
            <w:tcW w:w="892" w:type="dxa"/>
            <w:shd w:val="clear" w:color="auto" w:fill="FFFFFF"/>
            <w:vAlign w:val="center"/>
          </w:tcPr>
          <w:p w14:paraId="0E717C89" w14:textId="13F69EB1" w:rsidR="00205D5B" w:rsidRPr="00D45F9C" w:rsidRDefault="00205D5B" w:rsidP="00205D5B">
            <w:pPr>
              <w:pStyle w:val="CETBodytext"/>
              <w:ind w:right="-1"/>
              <w:jc w:val="left"/>
              <w:rPr>
                <w:rFonts w:cs="Arial"/>
                <w:szCs w:val="18"/>
                <w:lang w:val="en-GB"/>
              </w:rPr>
            </w:pPr>
            <w:r w:rsidRPr="00D45F9C">
              <w:rPr>
                <w:szCs w:val="16"/>
                <w:lang w:val="en-GB"/>
              </w:rPr>
              <w:t>2 400</w:t>
            </w:r>
          </w:p>
        </w:tc>
        <w:tc>
          <w:tcPr>
            <w:tcW w:w="1235" w:type="dxa"/>
            <w:shd w:val="clear" w:color="auto" w:fill="FFFFFF"/>
            <w:vAlign w:val="center"/>
          </w:tcPr>
          <w:p w14:paraId="32C34C91" w14:textId="5BA03336" w:rsidR="00205D5B" w:rsidRPr="00D45F9C" w:rsidRDefault="00205D5B" w:rsidP="00205D5B">
            <w:pPr>
              <w:pStyle w:val="CETBodytext"/>
              <w:ind w:right="-1"/>
              <w:jc w:val="left"/>
              <w:rPr>
                <w:rFonts w:cs="Arial"/>
                <w:szCs w:val="18"/>
                <w:lang w:val="en-GB"/>
              </w:rPr>
            </w:pPr>
            <w:r w:rsidRPr="00D45F9C">
              <w:rPr>
                <w:szCs w:val="16"/>
                <w:lang w:val="en-GB"/>
              </w:rPr>
              <w:t>0.40</w:t>
            </w:r>
          </w:p>
        </w:tc>
        <w:tc>
          <w:tcPr>
            <w:tcW w:w="990" w:type="dxa"/>
            <w:shd w:val="clear" w:color="auto" w:fill="FFFFFF"/>
            <w:vAlign w:val="center"/>
          </w:tcPr>
          <w:p w14:paraId="68F33A4B" w14:textId="26E5F91D" w:rsidR="00205D5B" w:rsidRPr="00D45F9C" w:rsidRDefault="00205D5B" w:rsidP="00205D5B">
            <w:pPr>
              <w:pStyle w:val="CETBodytext"/>
              <w:ind w:right="-1"/>
              <w:jc w:val="left"/>
              <w:rPr>
                <w:lang w:val="en-GB"/>
              </w:rPr>
            </w:pPr>
            <w:r w:rsidRPr="00D45F9C">
              <w:rPr>
                <w:lang w:val="en-GB"/>
              </w:rPr>
              <w:t>4b</w:t>
            </w:r>
          </w:p>
        </w:tc>
      </w:tr>
      <w:tr w:rsidR="00205D5B" w:rsidRPr="00D45F9C" w14:paraId="51CE85ED" w14:textId="6818EDB2" w:rsidTr="008E7AD2">
        <w:tc>
          <w:tcPr>
            <w:tcW w:w="992" w:type="dxa"/>
            <w:shd w:val="clear" w:color="auto" w:fill="FFFFFF"/>
            <w:vAlign w:val="center"/>
          </w:tcPr>
          <w:p w14:paraId="0C0FE64E" w14:textId="0E32F6F0" w:rsidR="00205D5B" w:rsidRPr="00D45F9C" w:rsidRDefault="00205D5B" w:rsidP="00205D5B">
            <w:pPr>
              <w:pStyle w:val="CETBodytext"/>
              <w:ind w:right="-1"/>
              <w:jc w:val="left"/>
              <w:rPr>
                <w:szCs w:val="16"/>
                <w:lang w:val="en-GB"/>
              </w:rPr>
            </w:pPr>
            <w:r w:rsidRPr="00D45F9C">
              <w:rPr>
                <w:szCs w:val="16"/>
                <w:lang w:val="en-GB"/>
              </w:rPr>
              <w:t>LO -5</w:t>
            </w:r>
          </w:p>
        </w:tc>
        <w:tc>
          <w:tcPr>
            <w:tcW w:w="993" w:type="dxa"/>
            <w:shd w:val="clear" w:color="auto" w:fill="FFFFFF"/>
            <w:vAlign w:val="center"/>
          </w:tcPr>
          <w:p w14:paraId="55495E93" w14:textId="393D9F2A" w:rsidR="00205D5B" w:rsidRPr="00D45F9C" w:rsidRDefault="00205D5B" w:rsidP="00205D5B">
            <w:pPr>
              <w:pStyle w:val="CETBodytext"/>
              <w:ind w:right="-1"/>
              <w:jc w:val="left"/>
              <w:rPr>
                <w:rFonts w:cs="Arial"/>
                <w:szCs w:val="18"/>
                <w:lang w:val="en-GB"/>
              </w:rPr>
            </w:pPr>
            <w:r w:rsidRPr="00D45F9C">
              <w:rPr>
                <w:szCs w:val="16"/>
                <w:lang w:val="en-GB"/>
              </w:rPr>
              <w:t>EP -5</w:t>
            </w:r>
          </w:p>
        </w:tc>
        <w:tc>
          <w:tcPr>
            <w:tcW w:w="1241" w:type="dxa"/>
            <w:shd w:val="clear" w:color="auto" w:fill="FFFFFF"/>
          </w:tcPr>
          <w:p w14:paraId="69678D54" w14:textId="3CF2F32E" w:rsidR="00205D5B" w:rsidRPr="00D45F9C" w:rsidRDefault="00205D5B" w:rsidP="00205D5B">
            <w:pPr>
              <w:pStyle w:val="CETBodytext"/>
              <w:ind w:right="-1"/>
              <w:jc w:val="left"/>
              <w:rPr>
                <w:rFonts w:cs="Arial"/>
                <w:szCs w:val="18"/>
                <w:lang w:val="en-GB"/>
              </w:rPr>
            </w:pPr>
            <w:r w:rsidRPr="004462A0">
              <w:rPr>
                <w:szCs w:val="16"/>
              </w:rPr>
              <w:t>Brown, clear liquid</w:t>
            </w:r>
          </w:p>
        </w:tc>
        <w:tc>
          <w:tcPr>
            <w:tcW w:w="1112" w:type="dxa"/>
            <w:shd w:val="clear" w:color="auto" w:fill="FFFFFF"/>
            <w:vAlign w:val="center"/>
          </w:tcPr>
          <w:p w14:paraId="254A381C" w14:textId="54A9473D" w:rsidR="00205D5B" w:rsidRPr="00D45F9C" w:rsidRDefault="00205D5B" w:rsidP="00205D5B">
            <w:pPr>
              <w:pStyle w:val="CETBodytext"/>
              <w:ind w:right="-1"/>
              <w:jc w:val="left"/>
              <w:rPr>
                <w:rFonts w:cs="Arial"/>
                <w:szCs w:val="18"/>
                <w:lang w:val="en-GB"/>
              </w:rPr>
            </w:pPr>
            <w:r w:rsidRPr="00D45F9C">
              <w:rPr>
                <w:szCs w:val="16"/>
                <w:lang w:val="en-GB"/>
              </w:rPr>
              <w:t>34.45</w:t>
            </w:r>
          </w:p>
        </w:tc>
        <w:tc>
          <w:tcPr>
            <w:tcW w:w="1332" w:type="dxa"/>
            <w:shd w:val="clear" w:color="auto" w:fill="FFFFFF"/>
            <w:vAlign w:val="center"/>
          </w:tcPr>
          <w:p w14:paraId="2B573FE6" w14:textId="22EF0135" w:rsidR="00205D5B" w:rsidRPr="00D45F9C" w:rsidRDefault="00205D5B" w:rsidP="00205D5B">
            <w:pPr>
              <w:pStyle w:val="CETBodytext"/>
              <w:ind w:right="-1"/>
              <w:jc w:val="left"/>
              <w:rPr>
                <w:rFonts w:cs="Arial"/>
                <w:szCs w:val="18"/>
                <w:lang w:val="en-GB"/>
              </w:rPr>
            </w:pPr>
            <w:r w:rsidRPr="00D45F9C">
              <w:rPr>
                <w:szCs w:val="16"/>
                <w:lang w:val="en-GB"/>
              </w:rPr>
              <w:t>5.74</w:t>
            </w:r>
          </w:p>
        </w:tc>
        <w:tc>
          <w:tcPr>
            <w:tcW w:w="892" w:type="dxa"/>
            <w:shd w:val="clear" w:color="auto" w:fill="FFFFFF"/>
            <w:vAlign w:val="center"/>
          </w:tcPr>
          <w:p w14:paraId="4D3B1719" w14:textId="7732A82A" w:rsidR="00205D5B" w:rsidRPr="00D45F9C" w:rsidRDefault="00205D5B" w:rsidP="00205D5B">
            <w:pPr>
              <w:pStyle w:val="CETBodytext"/>
              <w:ind w:right="-1"/>
              <w:jc w:val="left"/>
              <w:rPr>
                <w:rFonts w:cs="Arial"/>
                <w:szCs w:val="18"/>
                <w:lang w:val="en-GB"/>
              </w:rPr>
            </w:pPr>
            <w:r w:rsidRPr="00D45F9C">
              <w:rPr>
                <w:szCs w:val="16"/>
                <w:lang w:val="en-GB"/>
              </w:rPr>
              <w:t>2 800</w:t>
            </w:r>
          </w:p>
        </w:tc>
        <w:tc>
          <w:tcPr>
            <w:tcW w:w="1235" w:type="dxa"/>
            <w:shd w:val="clear" w:color="auto" w:fill="FFFFFF"/>
            <w:vAlign w:val="center"/>
          </w:tcPr>
          <w:p w14:paraId="6EF1EAED" w14:textId="5EC76C79" w:rsidR="00205D5B" w:rsidRPr="00D45F9C" w:rsidRDefault="00205D5B" w:rsidP="00205D5B">
            <w:pPr>
              <w:pStyle w:val="CETBodytext"/>
              <w:ind w:right="-1"/>
              <w:jc w:val="left"/>
              <w:rPr>
                <w:rFonts w:cs="Arial"/>
                <w:szCs w:val="18"/>
                <w:lang w:val="en-GB"/>
              </w:rPr>
            </w:pPr>
            <w:r w:rsidRPr="00D45F9C">
              <w:rPr>
                <w:szCs w:val="16"/>
                <w:lang w:val="en-GB"/>
              </w:rPr>
              <w:t>0.52</w:t>
            </w:r>
          </w:p>
        </w:tc>
        <w:tc>
          <w:tcPr>
            <w:tcW w:w="990" w:type="dxa"/>
            <w:shd w:val="clear" w:color="auto" w:fill="FFFFFF"/>
            <w:vAlign w:val="center"/>
          </w:tcPr>
          <w:p w14:paraId="1F63C1F9" w14:textId="5F929FE1" w:rsidR="00205D5B" w:rsidRPr="00D45F9C" w:rsidRDefault="00205D5B" w:rsidP="00205D5B">
            <w:pPr>
              <w:pStyle w:val="CETBodytext"/>
              <w:ind w:right="-1"/>
              <w:jc w:val="left"/>
              <w:rPr>
                <w:lang w:val="en-GB"/>
              </w:rPr>
            </w:pPr>
            <w:r w:rsidRPr="00D45F9C">
              <w:rPr>
                <w:lang w:val="en-GB"/>
              </w:rPr>
              <w:t>4b</w:t>
            </w:r>
          </w:p>
        </w:tc>
      </w:tr>
      <w:tr w:rsidR="00205D5B" w:rsidRPr="00D45F9C" w14:paraId="575AEDCD" w14:textId="382F3E65" w:rsidTr="008E7AD2">
        <w:tc>
          <w:tcPr>
            <w:tcW w:w="992" w:type="dxa"/>
            <w:shd w:val="clear" w:color="auto" w:fill="FFFFFF"/>
            <w:vAlign w:val="center"/>
          </w:tcPr>
          <w:p w14:paraId="1CC2D781" w14:textId="79CB285B" w:rsidR="00205D5B" w:rsidRPr="00D45F9C" w:rsidRDefault="00205D5B" w:rsidP="00205D5B">
            <w:pPr>
              <w:pStyle w:val="CETBodytext"/>
              <w:ind w:right="-1"/>
              <w:jc w:val="left"/>
              <w:rPr>
                <w:szCs w:val="16"/>
                <w:lang w:val="en-GB"/>
              </w:rPr>
            </w:pPr>
            <w:r w:rsidRPr="00D45F9C">
              <w:rPr>
                <w:szCs w:val="16"/>
                <w:lang w:val="en-GB"/>
              </w:rPr>
              <w:t>LO -6</w:t>
            </w:r>
          </w:p>
        </w:tc>
        <w:tc>
          <w:tcPr>
            <w:tcW w:w="993" w:type="dxa"/>
            <w:shd w:val="clear" w:color="auto" w:fill="FFFFFF"/>
            <w:vAlign w:val="center"/>
          </w:tcPr>
          <w:p w14:paraId="7AF4AA70" w14:textId="67B4C3A7" w:rsidR="00205D5B" w:rsidRPr="00D45F9C" w:rsidRDefault="00205D5B" w:rsidP="00205D5B">
            <w:pPr>
              <w:pStyle w:val="CETBodytext"/>
              <w:ind w:right="-1"/>
              <w:jc w:val="left"/>
              <w:rPr>
                <w:lang w:val="en-GB"/>
              </w:rPr>
            </w:pPr>
            <w:r w:rsidRPr="00D45F9C">
              <w:rPr>
                <w:szCs w:val="16"/>
                <w:lang w:val="en-GB"/>
              </w:rPr>
              <w:t>EP -6</w:t>
            </w:r>
          </w:p>
        </w:tc>
        <w:tc>
          <w:tcPr>
            <w:tcW w:w="1241" w:type="dxa"/>
            <w:shd w:val="clear" w:color="auto" w:fill="FFFFFF"/>
          </w:tcPr>
          <w:p w14:paraId="61A84605" w14:textId="660E33DB" w:rsidR="00205D5B" w:rsidRPr="00CD67F8" w:rsidRDefault="00205D5B" w:rsidP="00205D5B">
            <w:pPr>
              <w:pStyle w:val="CETBodytext"/>
              <w:ind w:right="-1"/>
              <w:jc w:val="left"/>
              <w:rPr>
                <w:lang w:val="en-GB"/>
              </w:rPr>
            </w:pPr>
            <w:r w:rsidRPr="004462A0">
              <w:rPr>
                <w:szCs w:val="16"/>
              </w:rPr>
              <w:t>Brown, clear liquid</w:t>
            </w:r>
          </w:p>
        </w:tc>
        <w:tc>
          <w:tcPr>
            <w:tcW w:w="1112" w:type="dxa"/>
            <w:shd w:val="clear" w:color="auto" w:fill="FFFFFF"/>
            <w:vAlign w:val="center"/>
          </w:tcPr>
          <w:p w14:paraId="19540A48" w14:textId="49A7CBA4" w:rsidR="00205D5B" w:rsidRPr="00D45F9C" w:rsidRDefault="00205D5B" w:rsidP="00205D5B">
            <w:pPr>
              <w:pStyle w:val="CETBodytext"/>
              <w:ind w:right="-1"/>
              <w:jc w:val="left"/>
              <w:rPr>
                <w:lang w:val="en-GB"/>
              </w:rPr>
            </w:pPr>
            <w:r w:rsidRPr="00D45F9C">
              <w:rPr>
                <w:szCs w:val="16"/>
                <w:lang w:val="en-GB"/>
              </w:rPr>
              <w:t>29.39</w:t>
            </w:r>
          </w:p>
        </w:tc>
        <w:tc>
          <w:tcPr>
            <w:tcW w:w="1332" w:type="dxa"/>
            <w:shd w:val="clear" w:color="auto" w:fill="FFFFFF"/>
            <w:vAlign w:val="center"/>
          </w:tcPr>
          <w:p w14:paraId="481B1B36" w14:textId="31051098" w:rsidR="00205D5B" w:rsidRPr="00D45F9C" w:rsidRDefault="00205D5B" w:rsidP="00205D5B">
            <w:pPr>
              <w:pStyle w:val="CETBodytext"/>
              <w:ind w:right="-1"/>
              <w:jc w:val="left"/>
              <w:rPr>
                <w:lang w:val="en-GB"/>
              </w:rPr>
            </w:pPr>
            <w:r w:rsidRPr="00D45F9C">
              <w:rPr>
                <w:szCs w:val="16"/>
                <w:lang w:val="en-GB"/>
              </w:rPr>
              <w:t>5.118</w:t>
            </w:r>
          </w:p>
        </w:tc>
        <w:tc>
          <w:tcPr>
            <w:tcW w:w="892" w:type="dxa"/>
            <w:shd w:val="clear" w:color="auto" w:fill="FFFFFF"/>
            <w:vAlign w:val="center"/>
          </w:tcPr>
          <w:p w14:paraId="52EFC327" w14:textId="6D6A587A" w:rsidR="00205D5B" w:rsidRPr="00D45F9C" w:rsidRDefault="00205D5B" w:rsidP="00205D5B">
            <w:pPr>
              <w:pStyle w:val="CETBodytext"/>
              <w:ind w:right="-1"/>
              <w:jc w:val="left"/>
              <w:rPr>
                <w:lang w:val="en-GB"/>
              </w:rPr>
            </w:pPr>
            <w:r w:rsidRPr="00D45F9C">
              <w:rPr>
                <w:szCs w:val="16"/>
                <w:lang w:val="en-GB"/>
              </w:rPr>
              <w:t>2 300</w:t>
            </w:r>
          </w:p>
        </w:tc>
        <w:tc>
          <w:tcPr>
            <w:tcW w:w="1235" w:type="dxa"/>
            <w:shd w:val="clear" w:color="auto" w:fill="FFFFFF"/>
            <w:vAlign w:val="center"/>
          </w:tcPr>
          <w:p w14:paraId="531E9585" w14:textId="04C9ADD7" w:rsidR="00205D5B" w:rsidRPr="00D45F9C" w:rsidRDefault="00205D5B" w:rsidP="00205D5B">
            <w:pPr>
              <w:pStyle w:val="CETBodytext"/>
              <w:ind w:right="-1"/>
              <w:jc w:val="left"/>
              <w:rPr>
                <w:lang w:val="en-GB"/>
              </w:rPr>
            </w:pPr>
            <w:r w:rsidRPr="00D45F9C">
              <w:rPr>
                <w:szCs w:val="16"/>
                <w:lang w:val="en-GB"/>
              </w:rPr>
              <w:t>0.52</w:t>
            </w:r>
          </w:p>
        </w:tc>
        <w:tc>
          <w:tcPr>
            <w:tcW w:w="990" w:type="dxa"/>
            <w:shd w:val="clear" w:color="auto" w:fill="FFFFFF"/>
            <w:vAlign w:val="center"/>
          </w:tcPr>
          <w:p w14:paraId="07796BC2" w14:textId="170C6C7B" w:rsidR="00205D5B" w:rsidRPr="00D45F9C" w:rsidRDefault="00205D5B" w:rsidP="00205D5B">
            <w:pPr>
              <w:pStyle w:val="CETBodytext"/>
              <w:ind w:right="-1"/>
              <w:jc w:val="left"/>
              <w:rPr>
                <w:lang w:val="en-GB"/>
              </w:rPr>
            </w:pPr>
            <w:r w:rsidRPr="00D45F9C">
              <w:rPr>
                <w:lang w:val="en-GB"/>
              </w:rPr>
              <w:t>4b</w:t>
            </w:r>
          </w:p>
        </w:tc>
      </w:tr>
      <w:tr w:rsidR="00205D5B" w:rsidRPr="00D45F9C" w14:paraId="5AB1F87E" w14:textId="74FFCA9D" w:rsidTr="008E7AD2">
        <w:tc>
          <w:tcPr>
            <w:tcW w:w="992" w:type="dxa"/>
            <w:shd w:val="clear" w:color="auto" w:fill="FFFFFF"/>
            <w:vAlign w:val="center"/>
          </w:tcPr>
          <w:p w14:paraId="62A8A864" w14:textId="41BFF1A2" w:rsidR="00205D5B" w:rsidRPr="00D45F9C" w:rsidRDefault="00205D5B" w:rsidP="00205D5B">
            <w:pPr>
              <w:pStyle w:val="CETBodytext"/>
              <w:ind w:right="-1"/>
              <w:jc w:val="left"/>
              <w:rPr>
                <w:szCs w:val="16"/>
                <w:lang w:val="en-GB"/>
              </w:rPr>
            </w:pPr>
            <w:r w:rsidRPr="00D45F9C">
              <w:rPr>
                <w:szCs w:val="16"/>
                <w:lang w:val="en-GB"/>
              </w:rPr>
              <w:t>LO -7</w:t>
            </w:r>
          </w:p>
        </w:tc>
        <w:tc>
          <w:tcPr>
            <w:tcW w:w="993" w:type="dxa"/>
            <w:shd w:val="clear" w:color="auto" w:fill="FFFFFF"/>
            <w:vAlign w:val="center"/>
          </w:tcPr>
          <w:p w14:paraId="5661AD2F" w14:textId="5DC827B8" w:rsidR="00205D5B" w:rsidRPr="00D45F9C" w:rsidRDefault="00205D5B" w:rsidP="00205D5B">
            <w:pPr>
              <w:pStyle w:val="CETBodytext"/>
              <w:ind w:right="-1"/>
              <w:jc w:val="left"/>
              <w:rPr>
                <w:lang w:val="en-GB"/>
              </w:rPr>
            </w:pPr>
            <w:r w:rsidRPr="00D45F9C">
              <w:rPr>
                <w:szCs w:val="16"/>
                <w:lang w:val="en-GB"/>
              </w:rPr>
              <w:t>EP -7</w:t>
            </w:r>
          </w:p>
        </w:tc>
        <w:tc>
          <w:tcPr>
            <w:tcW w:w="1241" w:type="dxa"/>
            <w:shd w:val="clear" w:color="auto" w:fill="FFFFFF"/>
          </w:tcPr>
          <w:p w14:paraId="698E75F3" w14:textId="6FB9587F" w:rsidR="00205D5B" w:rsidRPr="00CD67F8" w:rsidRDefault="00205D5B" w:rsidP="00205D5B">
            <w:pPr>
              <w:pStyle w:val="CETBodytext"/>
              <w:ind w:right="-1"/>
              <w:jc w:val="left"/>
              <w:rPr>
                <w:lang w:val="en-GB"/>
              </w:rPr>
            </w:pPr>
            <w:r w:rsidRPr="004462A0">
              <w:rPr>
                <w:szCs w:val="16"/>
              </w:rPr>
              <w:t>Brown, clear liquid</w:t>
            </w:r>
          </w:p>
        </w:tc>
        <w:tc>
          <w:tcPr>
            <w:tcW w:w="1112" w:type="dxa"/>
            <w:shd w:val="clear" w:color="auto" w:fill="FFFFFF"/>
            <w:vAlign w:val="center"/>
          </w:tcPr>
          <w:p w14:paraId="29B922FA" w14:textId="5D2C5389" w:rsidR="00205D5B" w:rsidRPr="00D45F9C" w:rsidRDefault="00205D5B" w:rsidP="00205D5B">
            <w:pPr>
              <w:pStyle w:val="CETBodytext"/>
              <w:ind w:right="-1"/>
              <w:jc w:val="left"/>
              <w:rPr>
                <w:lang w:val="en-GB"/>
              </w:rPr>
            </w:pPr>
            <w:r w:rsidRPr="00D45F9C">
              <w:rPr>
                <w:szCs w:val="16"/>
                <w:lang w:val="en-GB"/>
              </w:rPr>
              <w:t>28.37</w:t>
            </w:r>
          </w:p>
        </w:tc>
        <w:tc>
          <w:tcPr>
            <w:tcW w:w="1332" w:type="dxa"/>
            <w:shd w:val="clear" w:color="auto" w:fill="FFFFFF"/>
            <w:vAlign w:val="center"/>
          </w:tcPr>
          <w:p w14:paraId="3E7FAA83" w14:textId="3AD82229" w:rsidR="00205D5B" w:rsidRPr="00D45F9C" w:rsidRDefault="00205D5B" w:rsidP="00205D5B">
            <w:pPr>
              <w:pStyle w:val="CETBodytext"/>
              <w:ind w:right="-1"/>
              <w:jc w:val="left"/>
              <w:rPr>
                <w:lang w:val="en-GB"/>
              </w:rPr>
            </w:pPr>
            <w:r w:rsidRPr="00D45F9C">
              <w:rPr>
                <w:szCs w:val="16"/>
                <w:lang w:val="en-GB"/>
              </w:rPr>
              <w:t>5.016</w:t>
            </w:r>
          </w:p>
        </w:tc>
        <w:tc>
          <w:tcPr>
            <w:tcW w:w="892" w:type="dxa"/>
            <w:shd w:val="clear" w:color="auto" w:fill="FFFFFF"/>
            <w:vAlign w:val="center"/>
          </w:tcPr>
          <w:p w14:paraId="42BD2753" w14:textId="23D13F07" w:rsidR="00205D5B" w:rsidRPr="00D45F9C" w:rsidRDefault="00205D5B" w:rsidP="00205D5B">
            <w:pPr>
              <w:pStyle w:val="CETBodytext"/>
              <w:ind w:right="-1"/>
              <w:jc w:val="left"/>
              <w:rPr>
                <w:lang w:val="en-GB"/>
              </w:rPr>
            </w:pPr>
            <w:r w:rsidRPr="00D45F9C">
              <w:rPr>
                <w:szCs w:val="16"/>
                <w:lang w:val="en-GB"/>
              </w:rPr>
              <w:t>2 600</w:t>
            </w:r>
          </w:p>
        </w:tc>
        <w:tc>
          <w:tcPr>
            <w:tcW w:w="1235" w:type="dxa"/>
            <w:shd w:val="clear" w:color="auto" w:fill="FFFFFF"/>
            <w:vAlign w:val="center"/>
          </w:tcPr>
          <w:p w14:paraId="6D9A7CC8" w14:textId="1170DCEF" w:rsidR="00205D5B" w:rsidRPr="00D45F9C" w:rsidRDefault="00205D5B" w:rsidP="00205D5B">
            <w:pPr>
              <w:pStyle w:val="CETBodytext"/>
              <w:ind w:right="-1"/>
              <w:jc w:val="left"/>
              <w:rPr>
                <w:lang w:val="en-GB"/>
              </w:rPr>
            </w:pPr>
            <w:r w:rsidRPr="00D45F9C">
              <w:rPr>
                <w:szCs w:val="16"/>
                <w:lang w:val="en-GB"/>
              </w:rPr>
              <w:t>0.56</w:t>
            </w:r>
          </w:p>
        </w:tc>
        <w:tc>
          <w:tcPr>
            <w:tcW w:w="990" w:type="dxa"/>
            <w:shd w:val="clear" w:color="auto" w:fill="FFFFFF"/>
            <w:vAlign w:val="center"/>
          </w:tcPr>
          <w:p w14:paraId="140CD78F" w14:textId="52AA7A2F" w:rsidR="00205D5B" w:rsidRPr="00D45F9C" w:rsidRDefault="00205D5B" w:rsidP="00205D5B">
            <w:pPr>
              <w:pStyle w:val="CETBodytext"/>
              <w:ind w:right="-1"/>
              <w:jc w:val="left"/>
              <w:rPr>
                <w:lang w:val="en-GB"/>
              </w:rPr>
            </w:pPr>
            <w:r w:rsidRPr="00D45F9C">
              <w:rPr>
                <w:lang w:val="en-GB"/>
              </w:rPr>
              <w:t>4b</w:t>
            </w:r>
          </w:p>
        </w:tc>
      </w:tr>
      <w:tr w:rsidR="00205D5B" w:rsidRPr="00D45F9C" w14:paraId="73A135CC" w14:textId="24349EFE" w:rsidTr="008E7AD2">
        <w:tc>
          <w:tcPr>
            <w:tcW w:w="992" w:type="dxa"/>
            <w:shd w:val="clear" w:color="auto" w:fill="FFFFFF"/>
            <w:vAlign w:val="center"/>
          </w:tcPr>
          <w:p w14:paraId="7C7B28DA" w14:textId="5571B975" w:rsidR="00205D5B" w:rsidRPr="00D45F9C" w:rsidRDefault="00205D5B" w:rsidP="00205D5B">
            <w:pPr>
              <w:pStyle w:val="CETBodytext"/>
              <w:ind w:right="-1"/>
              <w:jc w:val="left"/>
              <w:rPr>
                <w:szCs w:val="16"/>
                <w:lang w:val="en-GB"/>
              </w:rPr>
            </w:pPr>
            <w:r w:rsidRPr="00D45F9C">
              <w:rPr>
                <w:szCs w:val="16"/>
                <w:lang w:val="en-GB"/>
              </w:rPr>
              <w:t>LO -8</w:t>
            </w:r>
          </w:p>
        </w:tc>
        <w:tc>
          <w:tcPr>
            <w:tcW w:w="993" w:type="dxa"/>
            <w:shd w:val="clear" w:color="auto" w:fill="FFFFFF"/>
            <w:vAlign w:val="center"/>
          </w:tcPr>
          <w:p w14:paraId="7896F314" w14:textId="12AFC73D" w:rsidR="00205D5B" w:rsidRPr="00D444CF" w:rsidRDefault="00205D5B" w:rsidP="00205D5B">
            <w:pPr>
              <w:pStyle w:val="CETBodytext"/>
              <w:ind w:right="-1"/>
              <w:jc w:val="left"/>
              <w:rPr>
                <w:lang w:val="en-GB"/>
              </w:rPr>
            </w:pPr>
            <w:r w:rsidRPr="00D444CF">
              <w:rPr>
                <w:szCs w:val="16"/>
                <w:lang w:val="en-GB"/>
              </w:rPr>
              <w:t>EP -8</w:t>
            </w:r>
          </w:p>
        </w:tc>
        <w:tc>
          <w:tcPr>
            <w:tcW w:w="1241" w:type="dxa"/>
            <w:shd w:val="clear" w:color="auto" w:fill="FFFFFF"/>
          </w:tcPr>
          <w:p w14:paraId="51F84964" w14:textId="691B0D03" w:rsidR="00205D5B" w:rsidRPr="009C1B4C" w:rsidRDefault="00205D5B" w:rsidP="00205D5B">
            <w:pPr>
              <w:pStyle w:val="CETBodytext"/>
              <w:ind w:right="-1"/>
              <w:jc w:val="left"/>
              <w:rPr>
                <w:lang w:val="fr-FR"/>
              </w:rPr>
            </w:pPr>
            <w:r w:rsidRPr="004462A0">
              <w:rPr>
                <w:szCs w:val="16"/>
              </w:rPr>
              <w:t>Brown, clear liquid</w:t>
            </w:r>
          </w:p>
        </w:tc>
        <w:tc>
          <w:tcPr>
            <w:tcW w:w="1112" w:type="dxa"/>
            <w:shd w:val="clear" w:color="auto" w:fill="FFFFFF"/>
            <w:vAlign w:val="center"/>
          </w:tcPr>
          <w:p w14:paraId="36125A92" w14:textId="5927D6D2" w:rsidR="00205D5B" w:rsidRPr="00D45F9C" w:rsidRDefault="00205D5B" w:rsidP="00205D5B">
            <w:pPr>
              <w:pStyle w:val="CETBodytext"/>
              <w:ind w:right="-1"/>
              <w:jc w:val="left"/>
              <w:rPr>
                <w:lang w:val="en-GB"/>
              </w:rPr>
            </w:pPr>
            <w:r w:rsidRPr="00D45F9C">
              <w:rPr>
                <w:szCs w:val="16"/>
                <w:lang w:val="en-GB"/>
              </w:rPr>
              <w:t>32.00</w:t>
            </w:r>
          </w:p>
        </w:tc>
        <w:tc>
          <w:tcPr>
            <w:tcW w:w="1332" w:type="dxa"/>
            <w:shd w:val="clear" w:color="auto" w:fill="FFFFFF"/>
            <w:vAlign w:val="center"/>
          </w:tcPr>
          <w:p w14:paraId="792967A1" w14:textId="259905C0" w:rsidR="00205D5B" w:rsidRPr="00D45F9C" w:rsidRDefault="00205D5B" w:rsidP="00205D5B">
            <w:pPr>
              <w:pStyle w:val="CETBodytext"/>
              <w:ind w:right="-1"/>
              <w:jc w:val="left"/>
              <w:rPr>
                <w:lang w:val="en-GB"/>
              </w:rPr>
            </w:pPr>
            <w:r w:rsidRPr="00D45F9C">
              <w:rPr>
                <w:szCs w:val="16"/>
                <w:lang w:val="en-GB"/>
              </w:rPr>
              <w:t>5.39</w:t>
            </w:r>
          </w:p>
        </w:tc>
        <w:tc>
          <w:tcPr>
            <w:tcW w:w="892" w:type="dxa"/>
            <w:shd w:val="clear" w:color="auto" w:fill="FFFFFF"/>
            <w:vAlign w:val="center"/>
          </w:tcPr>
          <w:p w14:paraId="44798E77" w14:textId="2D6BA904" w:rsidR="00205D5B" w:rsidRPr="00D45F9C" w:rsidRDefault="00205D5B" w:rsidP="00205D5B">
            <w:pPr>
              <w:pStyle w:val="CETBodytext"/>
              <w:ind w:right="-1"/>
              <w:jc w:val="left"/>
              <w:rPr>
                <w:lang w:val="en-GB"/>
              </w:rPr>
            </w:pPr>
            <w:r w:rsidRPr="00D45F9C">
              <w:rPr>
                <w:szCs w:val="16"/>
                <w:lang w:val="en-GB"/>
              </w:rPr>
              <w:t>2 100</w:t>
            </w:r>
          </w:p>
        </w:tc>
        <w:tc>
          <w:tcPr>
            <w:tcW w:w="1235" w:type="dxa"/>
            <w:shd w:val="clear" w:color="auto" w:fill="FFFFFF"/>
            <w:vAlign w:val="center"/>
          </w:tcPr>
          <w:p w14:paraId="065B3231" w14:textId="6BB7C736" w:rsidR="00205D5B" w:rsidRPr="00D45F9C" w:rsidRDefault="00205D5B" w:rsidP="00205D5B">
            <w:pPr>
              <w:pStyle w:val="CETBodytext"/>
              <w:ind w:right="-1"/>
              <w:jc w:val="left"/>
              <w:rPr>
                <w:lang w:val="en-GB"/>
              </w:rPr>
            </w:pPr>
            <w:r w:rsidRPr="00D45F9C">
              <w:rPr>
                <w:szCs w:val="16"/>
                <w:lang w:val="en-GB"/>
              </w:rPr>
              <w:t>0.56</w:t>
            </w:r>
          </w:p>
        </w:tc>
        <w:tc>
          <w:tcPr>
            <w:tcW w:w="990" w:type="dxa"/>
            <w:shd w:val="clear" w:color="auto" w:fill="FFFFFF"/>
            <w:vAlign w:val="center"/>
          </w:tcPr>
          <w:p w14:paraId="11C448D9" w14:textId="711E2C32" w:rsidR="00205D5B" w:rsidRPr="00D45F9C" w:rsidRDefault="00205D5B" w:rsidP="00205D5B">
            <w:pPr>
              <w:pStyle w:val="CETBodytext"/>
              <w:ind w:right="-1"/>
              <w:jc w:val="left"/>
              <w:rPr>
                <w:lang w:val="en-GB"/>
              </w:rPr>
            </w:pPr>
            <w:r w:rsidRPr="00D45F9C">
              <w:rPr>
                <w:lang w:val="en-GB"/>
              </w:rPr>
              <w:t>4b</w:t>
            </w:r>
          </w:p>
        </w:tc>
      </w:tr>
      <w:tr w:rsidR="00205D5B" w:rsidRPr="00D45F9C" w14:paraId="4C3C0A99" w14:textId="31961080" w:rsidTr="008E7AD2">
        <w:tc>
          <w:tcPr>
            <w:tcW w:w="992" w:type="dxa"/>
            <w:shd w:val="clear" w:color="auto" w:fill="FFFFFF"/>
            <w:vAlign w:val="center"/>
          </w:tcPr>
          <w:p w14:paraId="4E17684A" w14:textId="30B4DB58" w:rsidR="00205D5B" w:rsidRPr="00D45F9C" w:rsidRDefault="00205D5B" w:rsidP="00205D5B">
            <w:pPr>
              <w:pStyle w:val="CETBodytext"/>
              <w:ind w:right="-1"/>
              <w:jc w:val="left"/>
              <w:rPr>
                <w:szCs w:val="16"/>
                <w:lang w:val="en-GB"/>
              </w:rPr>
            </w:pPr>
            <w:r w:rsidRPr="00D45F9C">
              <w:rPr>
                <w:szCs w:val="16"/>
                <w:lang w:val="en-GB"/>
              </w:rPr>
              <w:t>LO -9</w:t>
            </w:r>
          </w:p>
        </w:tc>
        <w:tc>
          <w:tcPr>
            <w:tcW w:w="993" w:type="dxa"/>
            <w:shd w:val="clear" w:color="auto" w:fill="FFFFFF"/>
            <w:vAlign w:val="center"/>
          </w:tcPr>
          <w:p w14:paraId="0A99D590" w14:textId="39BE217C" w:rsidR="00205D5B" w:rsidRPr="00D444CF" w:rsidRDefault="00205D5B" w:rsidP="00205D5B">
            <w:pPr>
              <w:pStyle w:val="CETBodytext"/>
              <w:ind w:right="-1"/>
              <w:jc w:val="left"/>
              <w:rPr>
                <w:lang w:val="en-GB"/>
              </w:rPr>
            </w:pPr>
            <w:r w:rsidRPr="00D444CF">
              <w:rPr>
                <w:szCs w:val="16"/>
                <w:lang w:val="en-GB"/>
              </w:rPr>
              <w:t>EP -9</w:t>
            </w:r>
          </w:p>
        </w:tc>
        <w:tc>
          <w:tcPr>
            <w:tcW w:w="1241" w:type="dxa"/>
            <w:shd w:val="clear" w:color="auto" w:fill="FFFFFF"/>
          </w:tcPr>
          <w:p w14:paraId="4AA2B1EE" w14:textId="1C8D5155" w:rsidR="00205D5B" w:rsidRPr="009C1B4C" w:rsidRDefault="00205D5B" w:rsidP="00205D5B">
            <w:pPr>
              <w:pStyle w:val="CETBodytext"/>
              <w:ind w:right="-1"/>
              <w:jc w:val="left"/>
              <w:rPr>
                <w:lang w:val="fr-FR"/>
              </w:rPr>
            </w:pPr>
            <w:r w:rsidRPr="004462A0">
              <w:rPr>
                <w:szCs w:val="16"/>
              </w:rPr>
              <w:t>Brown, clear liquid</w:t>
            </w:r>
          </w:p>
        </w:tc>
        <w:tc>
          <w:tcPr>
            <w:tcW w:w="1112" w:type="dxa"/>
            <w:shd w:val="clear" w:color="auto" w:fill="FFFFFF"/>
            <w:vAlign w:val="center"/>
          </w:tcPr>
          <w:p w14:paraId="746CAC22" w14:textId="4A11D6A2" w:rsidR="00205D5B" w:rsidRPr="00D45F9C" w:rsidRDefault="00205D5B" w:rsidP="00205D5B">
            <w:pPr>
              <w:pStyle w:val="CETBodytext"/>
              <w:ind w:right="-1"/>
              <w:jc w:val="left"/>
              <w:rPr>
                <w:lang w:val="en-GB"/>
              </w:rPr>
            </w:pPr>
            <w:r w:rsidRPr="00D45F9C">
              <w:rPr>
                <w:szCs w:val="16"/>
                <w:lang w:val="en-GB"/>
              </w:rPr>
              <w:t>31.58</w:t>
            </w:r>
          </w:p>
        </w:tc>
        <w:tc>
          <w:tcPr>
            <w:tcW w:w="1332" w:type="dxa"/>
            <w:shd w:val="clear" w:color="auto" w:fill="FFFFFF"/>
            <w:vAlign w:val="center"/>
          </w:tcPr>
          <w:p w14:paraId="08149049" w14:textId="74FEB984" w:rsidR="00205D5B" w:rsidRPr="00D45F9C" w:rsidRDefault="00205D5B" w:rsidP="00205D5B">
            <w:pPr>
              <w:pStyle w:val="CETBodytext"/>
              <w:ind w:right="-1"/>
              <w:jc w:val="left"/>
              <w:rPr>
                <w:lang w:val="en-GB"/>
              </w:rPr>
            </w:pPr>
            <w:r w:rsidRPr="00D45F9C">
              <w:rPr>
                <w:szCs w:val="16"/>
                <w:lang w:val="en-GB"/>
              </w:rPr>
              <w:t>5.33</w:t>
            </w:r>
          </w:p>
        </w:tc>
        <w:tc>
          <w:tcPr>
            <w:tcW w:w="892" w:type="dxa"/>
            <w:shd w:val="clear" w:color="auto" w:fill="FFFFFF"/>
            <w:vAlign w:val="center"/>
          </w:tcPr>
          <w:p w14:paraId="17F004C8" w14:textId="163FBE25" w:rsidR="00205D5B" w:rsidRPr="00D45F9C" w:rsidRDefault="00205D5B" w:rsidP="00205D5B">
            <w:pPr>
              <w:pStyle w:val="CETBodytext"/>
              <w:ind w:right="-1"/>
              <w:jc w:val="left"/>
              <w:rPr>
                <w:lang w:val="en-GB"/>
              </w:rPr>
            </w:pPr>
            <w:r w:rsidRPr="00D45F9C">
              <w:rPr>
                <w:szCs w:val="16"/>
                <w:lang w:val="en-GB"/>
              </w:rPr>
              <w:t>2 300</w:t>
            </w:r>
          </w:p>
        </w:tc>
        <w:tc>
          <w:tcPr>
            <w:tcW w:w="1235" w:type="dxa"/>
            <w:shd w:val="clear" w:color="auto" w:fill="FFFFFF"/>
            <w:vAlign w:val="center"/>
          </w:tcPr>
          <w:p w14:paraId="6DF43256" w14:textId="16964FAB" w:rsidR="00205D5B" w:rsidRPr="00D45F9C" w:rsidRDefault="00205D5B" w:rsidP="00205D5B">
            <w:pPr>
              <w:pStyle w:val="CETBodytext"/>
              <w:ind w:right="-1"/>
              <w:jc w:val="left"/>
              <w:rPr>
                <w:lang w:val="en-GB"/>
              </w:rPr>
            </w:pPr>
            <w:r w:rsidRPr="00D45F9C">
              <w:rPr>
                <w:szCs w:val="16"/>
                <w:lang w:val="en-GB"/>
              </w:rPr>
              <w:t>0.56</w:t>
            </w:r>
          </w:p>
        </w:tc>
        <w:tc>
          <w:tcPr>
            <w:tcW w:w="990" w:type="dxa"/>
            <w:shd w:val="clear" w:color="auto" w:fill="FFFFFF"/>
            <w:vAlign w:val="center"/>
          </w:tcPr>
          <w:p w14:paraId="6503C694" w14:textId="2D92732D" w:rsidR="00205D5B" w:rsidRPr="00D45F9C" w:rsidRDefault="00205D5B" w:rsidP="00205D5B">
            <w:pPr>
              <w:pStyle w:val="CETBodytext"/>
              <w:ind w:right="-1"/>
              <w:jc w:val="left"/>
              <w:rPr>
                <w:lang w:val="en-GB"/>
              </w:rPr>
            </w:pPr>
            <w:r w:rsidRPr="00D45F9C">
              <w:rPr>
                <w:lang w:val="en-GB"/>
              </w:rPr>
              <w:t>4b</w:t>
            </w:r>
          </w:p>
        </w:tc>
      </w:tr>
      <w:tr w:rsidR="00205D5B" w:rsidRPr="00D45F9C" w14:paraId="6DFA5A93" w14:textId="26532D3F" w:rsidTr="008E7AD2">
        <w:tc>
          <w:tcPr>
            <w:tcW w:w="992" w:type="dxa"/>
            <w:shd w:val="clear" w:color="auto" w:fill="FFFFFF"/>
            <w:vAlign w:val="center"/>
          </w:tcPr>
          <w:p w14:paraId="4596362E" w14:textId="360CAD40" w:rsidR="00205D5B" w:rsidRPr="00D45F9C" w:rsidRDefault="00205D5B" w:rsidP="00205D5B">
            <w:pPr>
              <w:pStyle w:val="CETBodytext"/>
              <w:ind w:right="-1"/>
              <w:jc w:val="left"/>
              <w:rPr>
                <w:szCs w:val="16"/>
                <w:lang w:val="en-GB"/>
              </w:rPr>
            </w:pPr>
            <w:r w:rsidRPr="00D45F9C">
              <w:rPr>
                <w:szCs w:val="16"/>
                <w:lang w:val="en-GB"/>
              </w:rPr>
              <w:t>LO -10</w:t>
            </w:r>
          </w:p>
        </w:tc>
        <w:tc>
          <w:tcPr>
            <w:tcW w:w="993" w:type="dxa"/>
            <w:shd w:val="clear" w:color="auto" w:fill="FFFFFF"/>
            <w:vAlign w:val="center"/>
          </w:tcPr>
          <w:p w14:paraId="366F6513" w14:textId="1AB5A561" w:rsidR="00205D5B" w:rsidRPr="00D444CF" w:rsidRDefault="00205D5B" w:rsidP="00205D5B">
            <w:pPr>
              <w:pStyle w:val="CETBodytext"/>
              <w:ind w:right="-1"/>
              <w:jc w:val="left"/>
              <w:rPr>
                <w:lang w:val="en-GB"/>
              </w:rPr>
            </w:pPr>
            <w:r w:rsidRPr="00D444CF">
              <w:rPr>
                <w:szCs w:val="16"/>
                <w:lang w:val="en-GB"/>
              </w:rPr>
              <w:t>EP -10</w:t>
            </w:r>
          </w:p>
        </w:tc>
        <w:tc>
          <w:tcPr>
            <w:tcW w:w="1241" w:type="dxa"/>
            <w:shd w:val="clear" w:color="auto" w:fill="FFFFFF"/>
          </w:tcPr>
          <w:p w14:paraId="25707EF3" w14:textId="681BA4D7" w:rsidR="00205D5B" w:rsidRPr="009C1B4C" w:rsidRDefault="00205D5B" w:rsidP="00205D5B">
            <w:pPr>
              <w:pStyle w:val="CETBodytext"/>
              <w:ind w:right="-1"/>
              <w:jc w:val="left"/>
              <w:rPr>
                <w:lang w:val="fr-FR"/>
              </w:rPr>
            </w:pPr>
            <w:r w:rsidRPr="004462A0">
              <w:rPr>
                <w:szCs w:val="16"/>
              </w:rPr>
              <w:t>Brown, clear liquid</w:t>
            </w:r>
          </w:p>
        </w:tc>
        <w:tc>
          <w:tcPr>
            <w:tcW w:w="1112" w:type="dxa"/>
            <w:shd w:val="clear" w:color="auto" w:fill="FFFFFF"/>
            <w:vAlign w:val="center"/>
          </w:tcPr>
          <w:p w14:paraId="4028B56A" w14:textId="519B8082" w:rsidR="00205D5B" w:rsidRPr="00D45F9C" w:rsidRDefault="00205D5B" w:rsidP="00205D5B">
            <w:pPr>
              <w:pStyle w:val="CETBodytext"/>
              <w:ind w:right="-1"/>
              <w:jc w:val="left"/>
              <w:rPr>
                <w:lang w:val="en-GB"/>
              </w:rPr>
            </w:pPr>
            <w:r w:rsidRPr="00D45F9C">
              <w:rPr>
                <w:szCs w:val="16"/>
                <w:lang w:val="en-GB"/>
              </w:rPr>
              <w:t>31.89</w:t>
            </w:r>
          </w:p>
        </w:tc>
        <w:tc>
          <w:tcPr>
            <w:tcW w:w="1332" w:type="dxa"/>
            <w:shd w:val="clear" w:color="auto" w:fill="FFFFFF"/>
            <w:vAlign w:val="center"/>
          </w:tcPr>
          <w:p w14:paraId="74C48AD5" w14:textId="21FB4ABF" w:rsidR="00205D5B" w:rsidRPr="00D45F9C" w:rsidRDefault="00205D5B" w:rsidP="00205D5B">
            <w:pPr>
              <w:pStyle w:val="CETBodytext"/>
              <w:ind w:right="-1"/>
              <w:jc w:val="left"/>
              <w:rPr>
                <w:lang w:val="en-GB"/>
              </w:rPr>
            </w:pPr>
            <w:r w:rsidRPr="00D45F9C">
              <w:rPr>
                <w:szCs w:val="16"/>
                <w:lang w:val="en-GB"/>
              </w:rPr>
              <w:t>5.41</w:t>
            </w:r>
          </w:p>
        </w:tc>
        <w:tc>
          <w:tcPr>
            <w:tcW w:w="892" w:type="dxa"/>
            <w:shd w:val="clear" w:color="auto" w:fill="FFFFFF"/>
            <w:vAlign w:val="center"/>
          </w:tcPr>
          <w:p w14:paraId="330EF9BA" w14:textId="266E540E" w:rsidR="00205D5B" w:rsidRPr="00D45F9C" w:rsidRDefault="00205D5B" w:rsidP="00205D5B">
            <w:pPr>
              <w:pStyle w:val="CETBodytext"/>
              <w:ind w:right="-1"/>
              <w:jc w:val="left"/>
              <w:rPr>
                <w:lang w:val="en-GB"/>
              </w:rPr>
            </w:pPr>
            <w:r w:rsidRPr="00D45F9C">
              <w:rPr>
                <w:szCs w:val="16"/>
                <w:lang w:val="en-GB"/>
              </w:rPr>
              <w:t>3 000</w:t>
            </w:r>
          </w:p>
        </w:tc>
        <w:tc>
          <w:tcPr>
            <w:tcW w:w="1235" w:type="dxa"/>
            <w:shd w:val="clear" w:color="auto" w:fill="FFFFFF"/>
            <w:vAlign w:val="center"/>
          </w:tcPr>
          <w:p w14:paraId="608F2138" w14:textId="26C0A65A" w:rsidR="00205D5B" w:rsidRPr="00D45F9C" w:rsidRDefault="00205D5B" w:rsidP="00205D5B">
            <w:pPr>
              <w:pStyle w:val="CETBodytext"/>
              <w:ind w:right="-1"/>
              <w:jc w:val="left"/>
              <w:rPr>
                <w:lang w:val="en-GB"/>
              </w:rPr>
            </w:pPr>
            <w:r w:rsidRPr="00D45F9C">
              <w:rPr>
                <w:szCs w:val="16"/>
                <w:lang w:val="en-GB"/>
              </w:rPr>
              <w:t>0.64</w:t>
            </w:r>
          </w:p>
        </w:tc>
        <w:tc>
          <w:tcPr>
            <w:tcW w:w="990" w:type="dxa"/>
            <w:shd w:val="clear" w:color="auto" w:fill="FFFFFF"/>
            <w:vAlign w:val="center"/>
          </w:tcPr>
          <w:p w14:paraId="5FFB8C46" w14:textId="6659464F" w:rsidR="00205D5B" w:rsidRPr="00D45F9C" w:rsidRDefault="00205D5B" w:rsidP="00205D5B">
            <w:pPr>
              <w:pStyle w:val="CETBodytext"/>
              <w:ind w:right="-1"/>
              <w:jc w:val="left"/>
              <w:rPr>
                <w:lang w:val="en-GB"/>
              </w:rPr>
            </w:pPr>
            <w:r w:rsidRPr="00D45F9C">
              <w:rPr>
                <w:lang w:val="en-GB"/>
              </w:rPr>
              <w:t>4b</w:t>
            </w:r>
          </w:p>
        </w:tc>
      </w:tr>
      <w:tr w:rsidR="00205D5B" w:rsidRPr="00D45F9C" w14:paraId="7CC2C17B" w14:textId="0F3A9CEC" w:rsidTr="008E7AD2">
        <w:tc>
          <w:tcPr>
            <w:tcW w:w="992" w:type="dxa"/>
            <w:shd w:val="clear" w:color="auto" w:fill="FFFFFF"/>
            <w:vAlign w:val="center"/>
          </w:tcPr>
          <w:p w14:paraId="03B352CD" w14:textId="365799D4" w:rsidR="00205D5B" w:rsidRPr="00D45F9C" w:rsidRDefault="00205D5B" w:rsidP="00205D5B">
            <w:pPr>
              <w:pStyle w:val="CETBodytext"/>
              <w:ind w:right="-1"/>
              <w:jc w:val="left"/>
              <w:rPr>
                <w:szCs w:val="16"/>
                <w:lang w:val="en-GB"/>
              </w:rPr>
            </w:pPr>
            <w:r w:rsidRPr="00D45F9C">
              <w:rPr>
                <w:szCs w:val="16"/>
                <w:lang w:val="en-GB"/>
              </w:rPr>
              <w:t>LO -11</w:t>
            </w:r>
          </w:p>
        </w:tc>
        <w:tc>
          <w:tcPr>
            <w:tcW w:w="993" w:type="dxa"/>
            <w:shd w:val="clear" w:color="auto" w:fill="FFFFFF"/>
            <w:vAlign w:val="center"/>
          </w:tcPr>
          <w:p w14:paraId="3871B58F" w14:textId="3C577F16" w:rsidR="00205D5B" w:rsidRPr="00D444CF" w:rsidRDefault="00205D5B" w:rsidP="00205D5B">
            <w:pPr>
              <w:pStyle w:val="CETBodytext"/>
              <w:ind w:right="-1"/>
              <w:jc w:val="left"/>
              <w:rPr>
                <w:lang w:val="en-GB"/>
              </w:rPr>
            </w:pPr>
            <w:r w:rsidRPr="00D444CF">
              <w:rPr>
                <w:szCs w:val="16"/>
                <w:lang w:val="en-GB"/>
              </w:rPr>
              <w:t>EP -11</w:t>
            </w:r>
          </w:p>
        </w:tc>
        <w:tc>
          <w:tcPr>
            <w:tcW w:w="1241" w:type="dxa"/>
            <w:shd w:val="clear" w:color="auto" w:fill="FFFFFF"/>
          </w:tcPr>
          <w:p w14:paraId="44557292" w14:textId="32084B19" w:rsidR="00205D5B" w:rsidRPr="009C1B4C" w:rsidRDefault="00205D5B" w:rsidP="00205D5B">
            <w:pPr>
              <w:pStyle w:val="CETBodytext"/>
              <w:ind w:right="-1"/>
              <w:jc w:val="left"/>
              <w:rPr>
                <w:lang w:val="fr-FR"/>
              </w:rPr>
            </w:pPr>
            <w:r w:rsidRPr="004462A0">
              <w:rPr>
                <w:szCs w:val="16"/>
              </w:rPr>
              <w:t>Brown, clear liquid</w:t>
            </w:r>
          </w:p>
        </w:tc>
        <w:tc>
          <w:tcPr>
            <w:tcW w:w="1112" w:type="dxa"/>
            <w:shd w:val="clear" w:color="auto" w:fill="FFFFFF"/>
            <w:vAlign w:val="center"/>
          </w:tcPr>
          <w:p w14:paraId="665B57EB" w14:textId="5C80C1E0" w:rsidR="00205D5B" w:rsidRPr="00D45F9C" w:rsidRDefault="00205D5B" w:rsidP="00205D5B">
            <w:pPr>
              <w:pStyle w:val="CETBodytext"/>
              <w:ind w:right="-1"/>
              <w:jc w:val="left"/>
              <w:rPr>
                <w:lang w:val="en-GB"/>
              </w:rPr>
            </w:pPr>
            <w:r w:rsidRPr="00D45F9C">
              <w:rPr>
                <w:szCs w:val="16"/>
                <w:lang w:val="en-GB"/>
              </w:rPr>
              <w:t>32.04</w:t>
            </w:r>
          </w:p>
        </w:tc>
        <w:tc>
          <w:tcPr>
            <w:tcW w:w="1332" w:type="dxa"/>
            <w:shd w:val="clear" w:color="auto" w:fill="FFFFFF"/>
            <w:vAlign w:val="center"/>
          </w:tcPr>
          <w:p w14:paraId="5948D2F2" w14:textId="0D2EFA3E" w:rsidR="00205D5B" w:rsidRPr="00D45F9C" w:rsidRDefault="00205D5B" w:rsidP="00205D5B">
            <w:pPr>
              <w:pStyle w:val="CETBodytext"/>
              <w:ind w:right="-1"/>
              <w:jc w:val="left"/>
              <w:rPr>
                <w:lang w:val="en-GB"/>
              </w:rPr>
            </w:pPr>
            <w:r w:rsidRPr="00D45F9C">
              <w:rPr>
                <w:szCs w:val="16"/>
                <w:lang w:val="en-GB"/>
              </w:rPr>
              <w:t>5.46</w:t>
            </w:r>
          </w:p>
        </w:tc>
        <w:tc>
          <w:tcPr>
            <w:tcW w:w="892" w:type="dxa"/>
            <w:shd w:val="clear" w:color="auto" w:fill="FFFFFF"/>
            <w:vAlign w:val="center"/>
          </w:tcPr>
          <w:p w14:paraId="59D1826D" w14:textId="719B62EB" w:rsidR="00205D5B" w:rsidRPr="00D45F9C" w:rsidRDefault="00205D5B" w:rsidP="00205D5B">
            <w:pPr>
              <w:pStyle w:val="CETBodytext"/>
              <w:ind w:right="-1"/>
              <w:jc w:val="left"/>
              <w:rPr>
                <w:lang w:val="en-GB"/>
              </w:rPr>
            </w:pPr>
            <w:r w:rsidRPr="00D45F9C">
              <w:rPr>
                <w:szCs w:val="16"/>
                <w:lang w:val="en-GB"/>
              </w:rPr>
              <w:t>3 000</w:t>
            </w:r>
          </w:p>
        </w:tc>
        <w:tc>
          <w:tcPr>
            <w:tcW w:w="1235" w:type="dxa"/>
            <w:shd w:val="clear" w:color="auto" w:fill="FFFFFF"/>
            <w:vAlign w:val="center"/>
          </w:tcPr>
          <w:p w14:paraId="55857ABE" w14:textId="36D939CB" w:rsidR="00205D5B" w:rsidRPr="00D45F9C" w:rsidRDefault="00205D5B" w:rsidP="00205D5B">
            <w:pPr>
              <w:pStyle w:val="CETBodytext"/>
              <w:ind w:right="-1"/>
              <w:jc w:val="left"/>
              <w:rPr>
                <w:lang w:val="en-GB"/>
              </w:rPr>
            </w:pPr>
            <w:r w:rsidRPr="00D45F9C">
              <w:rPr>
                <w:szCs w:val="16"/>
                <w:lang w:val="en-GB"/>
              </w:rPr>
              <w:t>0.70</w:t>
            </w:r>
          </w:p>
        </w:tc>
        <w:tc>
          <w:tcPr>
            <w:tcW w:w="990" w:type="dxa"/>
            <w:shd w:val="clear" w:color="auto" w:fill="FFFFFF"/>
            <w:vAlign w:val="center"/>
          </w:tcPr>
          <w:p w14:paraId="56A2C933" w14:textId="09EB310D" w:rsidR="00205D5B" w:rsidRPr="00D45F9C" w:rsidRDefault="00205D5B" w:rsidP="00205D5B">
            <w:pPr>
              <w:pStyle w:val="CETBodytext"/>
              <w:ind w:right="-1"/>
              <w:jc w:val="left"/>
              <w:rPr>
                <w:lang w:val="en-GB"/>
              </w:rPr>
            </w:pPr>
            <w:r w:rsidRPr="00D45F9C">
              <w:rPr>
                <w:lang w:val="en-GB"/>
              </w:rPr>
              <w:t>4c</w:t>
            </w:r>
          </w:p>
        </w:tc>
      </w:tr>
    </w:tbl>
    <w:p w14:paraId="47FA9157" w14:textId="0FEB7309" w:rsidR="00674C9A" w:rsidRPr="00D45F9C" w:rsidRDefault="00300972" w:rsidP="00E75FF6">
      <w:pPr>
        <w:pStyle w:val="CETBodytext"/>
        <w:spacing w:before="120" w:after="60"/>
        <w:rPr>
          <w:lang w:val="en-GB"/>
        </w:rPr>
      </w:pPr>
      <w:r w:rsidRPr="00D45F9C">
        <w:rPr>
          <w:lang w:val="en-GB"/>
        </w:rPr>
        <w:t xml:space="preserve">To understand how different vegetable oil sources </w:t>
      </w:r>
      <w:r w:rsidR="00613785" w:rsidRPr="00D45F9C">
        <w:rPr>
          <w:lang w:val="en-GB"/>
        </w:rPr>
        <w:t xml:space="preserve">and sulfur content in the additive samples </w:t>
      </w:r>
      <w:r w:rsidRPr="00D45F9C">
        <w:rPr>
          <w:lang w:val="en-GB"/>
        </w:rPr>
        <w:t xml:space="preserve">influence </w:t>
      </w:r>
      <w:r w:rsidR="00613785" w:rsidRPr="00D45F9C">
        <w:rPr>
          <w:lang w:val="en-GB"/>
        </w:rPr>
        <w:t xml:space="preserve">the </w:t>
      </w:r>
      <w:r w:rsidRPr="00D45F9C">
        <w:rPr>
          <w:lang w:val="en-GB"/>
        </w:rPr>
        <w:t xml:space="preserve">molecular weight distribution </w:t>
      </w:r>
      <w:r w:rsidR="00096DD0" w:rsidRPr="00096DD0">
        <w:rPr>
          <w:lang w:val="en-GB"/>
        </w:rPr>
        <w:t>Gel Permeation Chromatography</w:t>
      </w:r>
      <w:r w:rsidR="00096DD0">
        <w:rPr>
          <w:lang w:val="en-GB"/>
        </w:rPr>
        <w:t xml:space="preserve"> </w:t>
      </w:r>
      <w:r w:rsidR="00613785" w:rsidRPr="00D45F9C">
        <w:rPr>
          <w:lang w:val="en-GB"/>
        </w:rPr>
        <w:t xml:space="preserve">analyses </w:t>
      </w:r>
      <w:r w:rsidR="00C41B23" w:rsidRPr="00D45F9C">
        <w:rPr>
          <w:lang w:val="en-GB"/>
        </w:rPr>
        <w:t xml:space="preserve">was performed. </w:t>
      </w:r>
      <w:r w:rsidR="00824B77" w:rsidRPr="00D45F9C">
        <w:rPr>
          <w:lang w:val="en-GB"/>
        </w:rPr>
        <w:t xml:space="preserve">In Figure 2. </w:t>
      </w:r>
      <w:r w:rsidR="00806AEA" w:rsidRPr="00D45F9C">
        <w:rPr>
          <w:lang w:val="en-GB"/>
        </w:rPr>
        <w:t xml:space="preserve">an example of </w:t>
      </w:r>
      <w:r w:rsidR="000D7B9C" w:rsidRPr="00D45F9C">
        <w:rPr>
          <w:lang w:val="en-GB"/>
        </w:rPr>
        <w:t>a distribution curve</w:t>
      </w:r>
      <w:r w:rsidR="00806AEA" w:rsidRPr="00D45F9C">
        <w:rPr>
          <w:lang w:val="en-GB"/>
        </w:rPr>
        <w:t xml:space="preserve"> obtained from the GPC </w:t>
      </w:r>
      <w:r w:rsidR="001A6114">
        <w:rPr>
          <w:lang w:val="en-GB"/>
        </w:rPr>
        <w:t>measure</w:t>
      </w:r>
      <w:r w:rsidR="001A6114" w:rsidRPr="00D45F9C">
        <w:rPr>
          <w:lang w:val="en-GB"/>
        </w:rPr>
        <w:t xml:space="preserve">ment </w:t>
      </w:r>
      <w:r w:rsidR="003569D0">
        <w:rPr>
          <w:lang w:val="en-GB"/>
        </w:rPr>
        <w:t>r</w:t>
      </w:r>
      <w:r w:rsidR="001A6114">
        <w:rPr>
          <w:lang w:val="en-GB"/>
        </w:rPr>
        <w:t xml:space="preserve">elated to EP-4 sample </w:t>
      </w:r>
      <w:r w:rsidR="003C73E4" w:rsidRPr="00D45F9C">
        <w:rPr>
          <w:lang w:val="en-GB"/>
        </w:rPr>
        <w:t xml:space="preserve">can </w:t>
      </w:r>
      <w:r w:rsidR="00824B77" w:rsidRPr="00D45F9C">
        <w:rPr>
          <w:lang w:val="en-GB"/>
        </w:rPr>
        <w:t>be observed.</w:t>
      </w:r>
    </w:p>
    <w:p w14:paraId="044E701A" w14:textId="676D5D54" w:rsidR="003C73E4" w:rsidRPr="00D45F9C" w:rsidRDefault="007A5865" w:rsidP="008F3CF6">
      <w:pPr>
        <w:pStyle w:val="CETBodytext"/>
        <w:spacing w:before="120" w:after="60"/>
        <w:jc w:val="left"/>
        <w:rPr>
          <w:lang w:val="en-GB"/>
        </w:rPr>
      </w:pPr>
      <w:r>
        <w:rPr>
          <w:noProof/>
          <w:lang w:val="en-GB"/>
        </w:rPr>
        <w:drawing>
          <wp:inline distT="0" distB="0" distL="0" distR="0" wp14:anchorId="1146A749" wp14:editId="0B004AA7">
            <wp:extent cx="5544000" cy="1622526"/>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4000" cy="1622526"/>
                    </a:xfrm>
                    <a:prstGeom prst="rect">
                      <a:avLst/>
                    </a:prstGeom>
                    <a:noFill/>
                    <a:ln>
                      <a:noFill/>
                    </a:ln>
                  </pic:spPr>
                </pic:pic>
              </a:graphicData>
            </a:graphic>
          </wp:inline>
        </w:drawing>
      </w:r>
    </w:p>
    <w:p w14:paraId="502F53DC" w14:textId="39D92A0E" w:rsidR="003C73E4" w:rsidRPr="00D45F9C" w:rsidRDefault="003C73E4" w:rsidP="00024F1A">
      <w:pPr>
        <w:pStyle w:val="CETCaption"/>
        <w:spacing w:before="80" w:after="120"/>
        <w:rPr>
          <w:rStyle w:val="CETCaptionCarattere"/>
          <w:i/>
        </w:rPr>
      </w:pPr>
      <w:r w:rsidRPr="00D45F9C">
        <w:rPr>
          <w:rStyle w:val="CETCaptionCarattere"/>
          <w:i/>
        </w:rPr>
        <w:t xml:space="preserve">Figure 2: </w:t>
      </w:r>
      <w:r w:rsidR="004C5B3C" w:rsidRPr="00D45F9C">
        <w:rPr>
          <w:rStyle w:val="CETCaptionCarattere"/>
          <w:i/>
        </w:rPr>
        <w:t>An e</w:t>
      </w:r>
      <w:r w:rsidR="00C34411" w:rsidRPr="00D45F9C">
        <w:rPr>
          <w:rStyle w:val="CETCaptionCarattere"/>
          <w:i/>
        </w:rPr>
        <w:t>xample of</w:t>
      </w:r>
      <w:r w:rsidR="000D7B9C" w:rsidRPr="00D45F9C">
        <w:rPr>
          <w:rStyle w:val="CETCaptionCarattere"/>
          <w:i/>
        </w:rPr>
        <w:t xml:space="preserve"> a</w:t>
      </w:r>
      <w:r w:rsidR="00C34411" w:rsidRPr="00D45F9C">
        <w:rPr>
          <w:rStyle w:val="CETCaptionCarattere"/>
          <w:i/>
        </w:rPr>
        <w:t xml:space="preserve"> </w:t>
      </w:r>
      <w:r w:rsidR="000D7B9C" w:rsidRPr="00D45F9C">
        <w:rPr>
          <w:rStyle w:val="CETCaptionCarattere"/>
          <w:i/>
        </w:rPr>
        <w:t>distribution curve</w:t>
      </w:r>
      <w:r w:rsidR="001A6114">
        <w:rPr>
          <w:rStyle w:val="CETCaptionCarattere"/>
          <w:i/>
        </w:rPr>
        <w:t xml:space="preserve"> (EP-4 sample)</w:t>
      </w:r>
    </w:p>
    <w:p w14:paraId="79932782" w14:textId="40A65285" w:rsidR="00674C9A" w:rsidRPr="00D45F9C" w:rsidRDefault="00E26698" w:rsidP="00F765B2">
      <w:pPr>
        <w:pStyle w:val="CETBodytext"/>
        <w:spacing w:before="120" w:after="60"/>
        <w:rPr>
          <w:lang w:val="en-GB"/>
        </w:rPr>
      </w:pPr>
      <w:r w:rsidRPr="00D45F9C">
        <w:rPr>
          <w:lang w:val="en-GB"/>
        </w:rPr>
        <w:t>Each sample that was subject of the GPC analysis was run for 40 minutes in the equipment and the chromatogram peaks are graphed on the comparison of time and voltage.</w:t>
      </w:r>
    </w:p>
    <w:p w14:paraId="64751E2F" w14:textId="5B71A8A8" w:rsidR="003C2394" w:rsidRDefault="00B6619D" w:rsidP="00F765B2">
      <w:pPr>
        <w:pStyle w:val="CETBodytext"/>
        <w:spacing w:after="60"/>
        <w:rPr>
          <w:lang w:val="en-GB"/>
        </w:rPr>
      </w:pPr>
      <w:r w:rsidRPr="00D45F9C">
        <w:rPr>
          <w:lang w:val="en-GB"/>
        </w:rPr>
        <w:t xml:space="preserve">The values in Table </w:t>
      </w:r>
      <w:r w:rsidR="00024F1A" w:rsidRPr="00D45F9C">
        <w:rPr>
          <w:lang w:val="en-GB"/>
        </w:rPr>
        <w:t>5</w:t>
      </w:r>
      <w:r w:rsidRPr="00D45F9C">
        <w:rPr>
          <w:lang w:val="en-GB"/>
        </w:rPr>
        <w:t xml:space="preserve"> indicate the different molecular weights and the polydispersity index </w:t>
      </w:r>
      <w:r w:rsidR="00734E78" w:rsidRPr="00D45F9C">
        <w:rPr>
          <w:lang w:val="en-GB"/>
        </w:rPr>
        <w:t>of</w:t>
      </w:r>
      <w:r w:rsidRPr="00D45F9C">
        <w:rPr>
          <w:lang w:val="en-GB"/>
        </w:rPr>
        <w:t xml:space="preserve"> each samples</w:t>
      </w:r>
      <w:r w:rsidR="00734E78" w:rsidRPr="00D45F9C">
        <w:rPr>
          <w:lang w:val="en-GB"/>
        </w:rPr>
        <w:t>, observed after the GPC measurement</w:t>
      </w:r>
      <w:r w:rsidRPr="00D45F9C">
        <w:rPr>
          <w:lang w:val="en-GB"/>
        </w:rPr>
        <w:t>. Knowing these molecular weight values and the polydispersity index is helpful when doing the corresponding analysis regarding the tribological properties of the synthesized additives and lubricating oils.</w:t>
      </w:r>
    </w:p>
    <w:p w14:paraId="32600BCD" w14:textId="77777777" w:rsidR="003C2394" w:rsidRDefault="003C2394">
      <w:pPr>
        <w:tabs>
          <w:tab w:val="clear" w:pos="7100"/>
        </w:tabs>
        <w:spacing w:after="200" w:line="276" w:lineRule="auto"/>
        <w:jc w:val="left"/>
      </w:pPr>
      <w:r>
        <w:br w:type="page"/>
      </w:r>
    </w:p>
    <w:p w14:paraId="42949E6B" w14:textId="2A17E55F" w:rsidR="00F60F15" w:rsidRPr="00D45F9C" w:rsidRDefault="00F60F15" w:rsidP="00024F1A">
      <w:pPr>
        <w:pStyle w:val="CETTabletitle"/>
        <w:spacing w:before="120"/>
      </w:pPr>
      <w:r w:rsidRPr="00D45F9C">
        <w:lastRenderedPageBreak/>
        <w:t xml:space="preserve">Table </w:t>
      </w:r>
      <w:r w:rsidR="00024F1A" w:rsidRPr="00D45F9C">
        <w:t>5</w:t>
      </w:r>
      <w:r w:rsidRPr="00D45F9C">
        <w:t xml:space="preserve">: </w:t>
      </w:r>
      <w:r w:rsidR="008D1DBA" w:rsidRPr="00D45F9C">
        <w:t>Results of the GPC analysis of the sulfurized samples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1181"/>
        <w:gridCol w:w="1181"/>
        <w:gridCol w:w="1181"/>
        <w:gridCol w:w="1181"/>
        <w:gridCol w:w="1181"/>
        <w:gridCol w:w="1181"/>
      </w:tblGrid>
      <w:tr w:rsidR="00EE43D0" w:rsidRPr="00D45F9C" w14:paraId="71169790" w14:textId="77777777" w:rsidTr="00945EB9">
        <w:tc>
          <w:tcPr>
            <w:tcW w:w="1701" w:type="dxa"/>
            <w:tcBorders>
              <w:top w:val="single" w:sz="12" w:space="0" w:color="008000"/>
              <w:bottom w:val="single" w:sz="6" w:space="0" w:color="008000"/>
            </w:tcBorders>
            <w:shd w:val="clear" w:color="auto" w:fill="FFFFFF"/>
            <w:vAlign w:val="center"/>
          </w:tcPr>
          <w:p w14:paraId="5A8E42A4" w14:textId="77777777" w:rsidR="00EE43D0" w:rsidRPr="00D45F9C" w:rsidRDefault="00EE43D0" w:rsidP="00EE43D0">
            <w:pPr>
              <w:pStyle w:val="CETBodytext"/>
              <w:jc w:val="left"/>
              <w:rPr>
                <w:lang w:val="en-GB"/>
              </w:rPr>
            </w:pPr>
            <w:r w:rsidRPr="00D45F9C">
              <w:rPr>
                <w:lang w:val="en-GB"/>
              </w:rPr>
              <w:t>Sulfurized sample</w:t>
            </w:r>
          </w:p>
        </w:tc>
        <w:tc>
          <w:tcPr>
            <w:tcW w:w="1181" w:type="dxa"/>
            <w:tcBorders>
              <w:top w:val="single" w:sz="12" w:space="0" w:color="008000"/>
              <w:bottom w:val="single" w:sz="6" w:space="0" w:color="008000"/>
            </w:tcBorders>
            <w:shd w:val="clear" w:color="auto" w:fill="FFFFFF"/>
            <w:vAlign w:val="center"/>
          </w:tcPr>
          <w:p w14:paraId="1E9F6A44" w14:textId="112CA862" w:rsidR="00EE43D0" w:rsidRPr="00D45F9C" w:rsidRDefault="00EE43D0" w:rsidP="00EE43D0">
            <w:pPr>
              <w:pStyle w:val="CETBodytext"/>
              <w:jc w:val="left"/>
              <w:rPr>
                <w:lang w:val="en-GB"/>
              </w:rPr>
            </w:pPr>
            <w:r w:rsidRPr="00D45F9C">
              <w:rPr>
                <w:lang w:val="en-GB"/>
              </w:rPr>
              <w:t>M</w:t>
            </w:r>
            <w:r w:rsidRPr="00D45F9C">
              <w:rPr>
                <w:vertAlign w:val="subscript"/>
                <w:lang w:val="en-GB"/>
              </w:rPr>
              <w:t>p</w:t>
            </w:r>
          </w:p>
        </w:tc>
        <w:tc>
          <w:tcPr>
            <w:tcW w:w="1181" w:type="dxa"/>
            <w:tcBorders>
              <w:top w:val="single" w:sz="12" w:space="0" w:color="008000"/>
              <w:bottom w:val="single" w:sz="6" w:space="0" w:color="008000"/>
            </w:tcBorders>
            <w:shd w:val="clear" w:color="auto" w:fill="FFFFFF"/>
            <w:vAlign w:val="center"/>
          </w:tcPr>
          <w:p w14:paraId="64BC80A0" w14:textId="7944690D" w:rsidR="00EE43D0" w:rsidRPr="00D45F9C" w:rsidRDefault="00EE43D0" w:rsidP="00EE43D0">
            <w:pPr>
              <w:pStyle w:val="CETBodytext"/>
              <w:jc w:val="left"/>
              <w:rPr>
                <w:lang w:val="en-GB"/>
              </w:rPr>
            </w:pPr>
            <w:r w:rsidRPr="00D45F9C">
              <w:rPr>
                <w:lang w:val="en-GB"/>
              </w:rPr>
              <w:t>M</w:t>
            </w:r>
            <w:r w:rsidRPr="00D45F9C">
              <w:rPr>
                <w:vertAlign w:val="subscript"/>
                <w:lang w:val="en-GB"/>
              </w:rPr>
              <w:t>n</w:t>
            </w:r>
          </w:p>
        </w:tc>
        <w:tc>
          <w:tcPr>
            <w:tcW w:w="1181" w:type="dxa"/>
            <w:tcBorders>
              <w:top w:val="single" w:sz="12" w:space="0" w:color="008000"/>
              <w:bottom w:val="single" w:sz="6" w:space="0" w:color="008000"/>
            </w:tcBorders>
            <w:shd w:val="clear" w:color="auto" w:fill="FFFFFF"/>
            <w:vAlign w:val="center"/>
          </w:tcPr>
          <w:p w14:paraId="2E9F76BB" w14:textId="507F136E" w:rsidR="00EE43D0" w:rsidRPr="00D45F9C" w:rsidRDefault="00EE43D0" w:rsidP="00EE43D0">
            <w:pPr>
              <w:pStyle w:val="CETBodytext"/>
              <w:jc w:val="left"/>
              <w:rPr>
                <w:lang w:val="en-GB"/>
              </w:rPr>
            </w:pPr>
            <w:r w:rsidRPr="00D45F9C">
              <w:rPr>
                <w:lang w:val="en-GB"/>
              </w:rPr>
              <w:t>M</w:t>
            </w:r>
            <w:r w:rsidRPr="00D45F9C">
              <w:rPr>
                <w:vertAlign w:val="subscript"/>
                <w:lang w:val="en-GB"/>
              </w:rPr>
              <w:t>w</w:t>
            </w:r>
          </w:p>
        </w:tc>
        <w:tc>
          <w:tcPr>
            <w:tcW w:w="1181" w:type="dxa"/>
            <w:tcBorders>
              <w:top w:val="single" w:sz="12" w:space="0" w:color="008000"/>
              <w:bottom w:val="single" w:sz="6" w:space="0" w:color="008000"/>
            </w:tcBorders>
            <w:shd w:val="clear" w:color="auto" w:fill="FFFFFF"/>
            <w:vAlign w:val="center"/>
          </w:tcPr>
          <w:p w14:paraId="369AC065" w14:textId="3619389B" w:rsidR="00EE43D0" w:rsidRPr="00D45F9C" w:rsidRDefault="00EE43D0" w:rsidP="00EE43D0">
            <w:pPr>
              <w:pStyle w:val="CETBodytext"/>
              <w:jc w:val="left"/>
              <w:rPr>
                <w:lang w:val="en-GB"/>
              </w:rPr>
            </w:pPr>
            <w:r w:rsidRPr="00D45F9C">
              <w:rPr>
                <w:lang w:val="en-GB"/>
              </w:rPr>
              <w:t>M</w:t>
            </w:r>
            <w:r w:rsidRPr="00D45F9C">
              <w:rPr>
                <w:vertAlign w:val="subscript"/>
                <w:lang w:val="en-GB"/>
              </w:rPr>
              <w:t>z</w:t>
            </w:r>
          </w:p>
        </w:tc>
        <w:tc>
          <w:tcPr>
            <w:tcW w:w="1181" w:type="dxa"/>
            <w:tcBorders>
              <w:top w:val="single" w:sz="12" w:space="0" w:color="008000"/>
              <w:bottom w:val="single" w:sz="6" w:space="0" w:color="008000"/>
            </w:tcBorders>
            <w:shd w:val="clear" w:color="auto" w:fill="FFFFFF"/>
            <w:vAlign w:val="center"/>
          </w:tcPr>
          <w:p w14:paraId="69D3C213" w14:textId="009D5D64" w:rsidR="00EE43D0" w:rsidRPr="00D45F9C" w:rsidRDefault="00EE43D0" w:rsidP="00EE43D0">
            <w:pPr>
              <w:pStyle w:val="CETBodytext"/>
              <w:jc w:val="left"/>
              <w:rPr>
                <w:lang w:val="en-GB"/>
              </w:rPr>
            </w:pPr>
            <w:r w:rsidRPr="00D45F9C">
              <w:rPr>
                <w:lang w:val="en-GB"/>
              </w:rPr>
              <w:t>M</w:t>
            </w:r>
            <w:r w:rsidRPr="00D45F9C">
              <w:rPr>
                <w:vertAlign w:val="subscript"/>
                <w:lang w:val="en-GB"/>
              </w:rPr>
              <w:t>z+1</w:t>
            </w:r>
          </w:p>
        </w:tc>
        <w:tc>
          <w:tcPr>
            <w:tcW w:w="1181" w:type="dxa"/>
            <w:tcBorders>
              <w:top w:val="single" w:sz="12" w:space="0" w:color="008000"/>
              <w:bottom w:val="single" w:sz="6" w:space="0" w:color="008000"/>
            </w:tcBorders>
            <w:shd w:val="clear" w:color="auto" w:fill="FFFFFF"/>
            <w:vAlign w:val="center"/>
          </w:tcPr>
          <w:p w14:paraId="7BC93581" w14:textId="301478F4" w:rsidR="00EE43D0" w:rsidRPr="00D45F9C" w:rsidRDefault="00EE43D0" w:rsidP="00EE43D0">
            <w:pPr>
              <w:pStyle w:val="CETBodytext"/>
              <w:jc w:val="left"/>
              <w:rPr>
                <w:lang w:val="en-GB"/>
              </w:rPr>
            </w:pPr>
            <w:r w:rsidRPr="00D45F9C">
              <w:rPr>
                <w:lang w:val="en-GB"/>
              </w:rPr>
              <w:t>PD</w:t>
            </w:r>
          </w:p>
        </w:tc>
      </w:tr>
      <w:tr w:rsidR="003039E1" w:rsidRPr="00D45F9C" w14:paraId="48534AD2" w14:textId="77777777" w:rsidTr="00945EB9">
        <w:tc>
          <w:tcPr>
            <w:tcW w:w="1701" w:type="dxa"/>
            <w:shd w:val="clear" w:color="auto" w:fill="FFFFFF"/>
            <w:vAlign w:val="center"/>
          </w:tcPr>
          <w:p w14:paraId="0AC15957" w14:textId="77777777" w:rsidR="003039E1" w:rsidRPr="00D45F9C" w:rsidRDefault="003039E1" w:rsidP="00945EB9">
            <w:pPr>
              <w:pStyle w:val="CETBodytext"/>
              <w:jc w:val="left"/>
              <w:rPr>
                <w:lang w:val="en-GB"/>
              </w:rPr>
            </w:pPr>
            <w:r w:rsidRPr="00D45F9C">
              <w:rPr>
                <w:szCs w:val="16"/>
                <w:lang w:val="en-GB"/>
              </w:rPr>
              <w:t>EP-1</w:t>
            </w:r>
          </w:p>
        </w:tc>
        <w:tc>
          <w:tcPr>
            <w:tcW w:w="1181" w:type="dxa"/>
            <w:shd w:val="clear" w:color="auto" w:fill="FFFFFF"/>
            <w:vAlign w:val="center"/>
          </w:tcPr>
          <w:p w14:paraId="5D1DFFBF" w14:textId="310F6CDA" w:rsidR="003039E1" w:rsidRPr="00D45F9C" w:rsidRDefault="003039E1" w:rsidP="00945EB9">
            <w:pPr>
              <w:pStyle w:val="CETBodytext"/>
              <w:jc w:val="left"/>
              <w:rPr>
                <w:lang w:val="en-GB"/>
              </w:rPr>
            </w:pPr>
            <w:r w:rsidRPr="00D45F9C">
              <w:rPr>
                <w:lang w:val="en-GB"/>
              </w:rPr>
              <w:t>5054</w:t>
            </w:r>
          </w:p>
        </w:tc>
        <w:tc>
          <w:tcPr>
            <w:tcW w:w="1181" w:type="dxa"/>
            <w:shd w:val="clear" w:color="auto" w:fill="FFFFFF"/>
            <w:vAlign w:val="center"/>
          </w:tcPr>
          <w:p w14:paraId="62E9370C" w14:textId="37CFB1AD" w:rsidR="003039E1" w:rsidRPr="00D45F9C" w:rsidRDefault="003039E1" w:rsidP="00945EB9">
            <w:pPr>
              <w:pStyle w:val="CETBodytext"/>
              <w:jc w:val="left"/>
              <w:rPr>
                <w:lang w:val="en-GB"/>
              </w:rPr>
            </w:pPr>
            <w:r w:rsidRPr="00D45F9C">
              <w:rPr>
                <w:lang w:val="en-GB"/>
              </w:rPr>
              <w:t>7390</w:t>
            </w:r>
          </w:p>
        </w:tc>
        <w:tc>
          <w:tcPr>
            <w:tcW w:w="1181" w:type="dxa"/>
            <w:shd w:val="clear" w:color="auto" w:fill="FFFFFF"/>
            <w:vAlign w:val="center"/>
          </w:tcPr>
          <w:p w14:paraId="27F1C072" w14:textId="35E00274" w:rsidR="003039E1" w:rsidRPr="00D45F9C" w:rsidRDefault="003039E1" w:rsidP="00945EB9">
            <w:pPr>
              <w:pStyle w:val="CETBodytext"/>
              <w:jc w:val="left"/>
              <w:rPr>
                <w:lang w:val="en-GB"/>
              </w:rPr>
            </w:pPr>
            <w:r w:rsidRPr="00D45F9C">
              <w:rPr>
                <w:lang w:val="en-GB"/>
              </w:rPr>
              <w:t>25191</w:t>
            </w:r>
          </w:p>
        </w:tc>
        <w:tc>
          <w:tcPr>
            <w:tcW w:w="1181" w:type="dxa"/>
            <w:shd w:val="clear" w:color="auto" w:fill="FFFFFF"/>
            <w:vAlign w:val="center"/>
          </w:tcPr>
          <w:p w14:paraId="00709D46" w14:textId="6DCAF65A" w:rsidR="003039E1" w:rsidRPr="00D45F9C" w:rsidRDefault="003039E1" w:rsidP="00945EB9">
            <w:pPr>
              <w:pStyle w:val="CETBodytext"/>
              <w:jc w:val="left"/>
              <w:rPr>
                <w:lang w:val="en-GB"/>
              </w:rPr>
            </w:pPr>
            <w:r w:rsidRPr="00D45F9C">
              <w:rPr>
                <w:lang w:val="en-GB"/>
              </w:rPr>
              <w:t>59751</w:t>
            </w:r>
          </w:p>
        </w:tc>
        <w:tc>
          <w:tcPr>
            <w:tcW w:w="1181" w:type="dxa"/>
            <w:shd w:val="clear" w:color="auto" w:fill="FFFFFF"/>
            <w:vAlign w:val="center"/>
          </w:tcPr>
          <w:p w14:paraId="7B4E4152" w14:textId="1E59CF36" w:rsidR="003039E1" w:rsidRPr="00D45F9C" w:rsidRDefault="003039E1" w:rsidP="00945EB9">
            <w:pPr>
              <w:pStyle w:val="CETBodytext"/>
              <w:jc w:val="left"/>
              <w:rPr>
                <w:lang w:val="en-GB"/>
              </w:rPr>
            </w:pPr>
            <w:r w:rsidRPr="00D45F9C">
              <w:rPr>
                <w:lang w:val="en-GB"/>
              </w:rPr>
              <w:t>86159</w:t>
            </w:r>
          </w:p>
        </w:tc>
        <w:tc>
          <w:tcPr>
            <w:tcW w:w="1181" w:type="dxa"/>
            <w:shd w:val="clear" w:color="auto" w:fill="FFFFFF"/>
            <w:vAlign w:val="center"/>
          </w:tcPr>
          <w:p w14:paraId="042CDE28" w14:textId="766F0F79" w:rsidR="003039E1" w:rsidRPr="00D45F9C" w:rsidRDefault="003039E1" w:rsidP="00945EB9">
            <w:pPr>
              <w:pStyle w:val="CETBodytext"/>
              <w:jc w:val="left"/>
              <w:rPr>
                <w:lang w:val="en-GB"/>
              </w:rPr>
            </w:pPr>
            <w:r w:rsidRPr="00D45F9C">
              <w:rPr>
                <w:lang w:val="en-GB"/>
              </w:rPr>
              <w:t>3.4089</w:t>
            </w:r>
          </w:p>
        </w:tc>
      </w:tr>
      <w:tr w:rsidR="001D1211" w:rsidRPr="00D45F9C" w14:paraId="0F8AE9FC" w14:textId="77777777" w:rsidTr="00DC24A6">
        <w:tc>
          <w:tcPr>
            <w:tcW w:w="1701" w:type="dxa"/>
            <w:shd w:val="clear" w:color="auto" w:fill="FFFFFF"/>
            <w:vAlign w:val="center"/>
          </w:tcPr>
          <w:p w14:paraId="3E6A2D29" w14:textId="77777777" w:rsidR="001D1211" w:rsidRPr="00D45F9C" w:rsidRDefault="001D1211" w:rsidP="001D1211">
            <w:pPr>
              <w:pStyle w:val="CETBodytext"/>
              <w:ind w:right="-1"/>
              <w:jc w:val="left"/>
              <w:rPr>
                <w:rFonts w:cs="Arial"/>
                <w:szCs w:val="18"/>
                <w:lang w:val="en-GB"/>
              </w:rPr>
            </w:pPr>
            <w:r w:rsidRPr="00D45F9C">
              <w:rPr>
                <w:szCs w:val="16"/>
                <w:lang w:val="en-GB"/>
              </w:rPr>
              <w:t>EP -2</w:t>
            </w:r>
          </w:p>
        </w:tc>
        <w:tc>
          <w:tcPr>
            <w:tcW w:w="1181" w:type="dxa"/>
            <w:shd w:val="clear" w:color="auto" w:fill="FFFFFF"/>
            <w:vAlign w:val="center"/>
          </w:tcPr>
          <w:p w14:paraId="39BE5FF4" w14:textId="0D3C9C31" w:rsidR="001D1211" w:rsidRPr="00D45F9C" w:rsidRDefault="00C925F7" w:rsidP="001D1211">
            <w:pPr>
              <w:pStyle w:val="CETBodytext"/>
              <w:ind w:right="-1"/>
              <w:jc w:val="left"/>
              <w:rPr>
                <w:rFonts w:cs="Arial"/>
                <w:szCs w:val="18"/>
                <w:lang w:val="en-GB"/>
              </w:rPr>
            </w:pPr>
            <w:r w:rsidRPr="00D45F9C">
              <w:rPr>
                <w:lang w:val="en-GB"/>
              </w:rPr>
              <w:t>4</w:t>
            </w:r>
            <w:r w:rsidR="001D1211" w:rsidRPr="00D45F9C">
              <w:rPr>
                <w:lang w:val="en-GB"/>
              </w:rPr>
              <w:t>479</w:t>
            </w:r>
          </w:p>
        </w:tc>
        <w:tc>
          <w:tcPr>
            <w:tcW w:w="1181" w:type="dxa"/>
            <w:shd w:val="clear" w:color="auto" w:fill="FFFFFF"/>
          </w:tcPr>
          <w:p w14:paraId="5773E563" w14:textId="426B8AE7" w:rsidR="001D1211" w:rsidRPr="00D45F9C" w:rsidRDefault="001D1211" w:rsidP="001D1211">
            <w:pPr>
              <w:pStyle w:val="CETBodytext"/>
              <w:ind w:right="-1"/>
              <w:jc w:val="left"/>
              <w:rPr>
                <w:rFonts w:cs="Arial"/>
                <w:szCs w:val="18"/>
                <w:lang w:val="en-GB"/>
              </w:rPr>
            </w:pPr>
            <w:r w:rsidRPr="00D45F9C">
              <w:rPr>
                <w:lang w:val="en-GB"/>
              </w:rPr>
              <w:t>4559</w:t>
            </w:r>
          </w:p>
        </w:tc>
        <w:tc>
          <w:tcPr>
            <w:tcW w:w="1181" w:type="dxa"/>
            <w:shd w:val="clear" w:color="auto" w:fill="FFFFFF"/>
          </w:tcPr>
          <w:p w14:paraId="1433E753" w14:textId="088BB757" w:rsidR="001D1211" w:rsidRPr="00D45F9C" w:rsidRDefault="001D1211" w:rsidP="001D1211">
            <w:pPr>
              <w:pStyle w:val="CETBodytext"/>
              <w:ind w:right="-1"/>
              <w:jc w:val="left"/>
              <w:rPr>
                <w:rFonts w:cs="Arial"/>
                <w:szCs w:val="18"/>
                <w:lang w:val="en-GB"/>
              </w:rPr>
            </w:pPr>
            <w:r w:rsidRPr="00D45F9C">
              <w:rPr>
                <w:lang w:val="en-GB"/>
              </w:rPr>
              <w:t>22781</w:t>
            </w:r>
          </w:p>
        </w:tc>
        <w:tc>
          <w:tcPr>
            <w:tcW w:w="1181" w:type="dxa"/>
            <w:shd w:val="clear" w:color="auto" w:fill="FFFFFF"/>
            <w:vAlign w:val="center"/>
          </w:tcPr>
          <w:p w14:paraId="263E2542" w14:textId="46C6F244" w:rsidR="001D1211" w:rsidRPr="00D45F9C" w:rsidRDefault="00C925F7" w:rsidP="001D1211">
            <w:pPr>
              <w:pStyle w:val="CETBodytext"/>
              <w:ind w:right="-1"/>
              <w:jc w:val="left"/>
              <w:rPr>
                <w:rFonts w:cs="Arial"/>
                <w:szCs w:val="18"/>
                <w:lang w:val="en-GB"/>
              </w:rPr>
            </w:pPr>
            <w:r w:rsidRPr="00D45F9C">
              <w:rPr>
                <w:lang w:val="en-GB"/>
              </w:rPr>
              <w:t>5</w:t>
            </w:r>
            <w:r w:rsidR="001D1211" w:rsidRPr="00D45F9C">
              <w:rPr>
                <w:lang w:val="en-GB"/>
              </w:rPr>
              <w:t>8996</w:t>
            </w:r>
          </w:p>
        </w:tc>
        <w:tc>
          <w:tcPr>
            <w:tcW w:w="1181" w:type="dxa"/>
            <w:shd w:val="clear" w:color="auto" w:fill="FFFFFF"/>
            <w:vAlign w:val="center"/>
          </w:tcPr>
          <w:p w14:paraId="3928211B" w14:textId="60F991B9" w:rsidR="001D1211" w:rsidRPr="00D45F9C" w:rsidRDefault="00C925F7" w:rsidP="001D1211">
            <w:pPr>
              <w:pStyle w:val="CETBodytext"/>
              <w:ind w:right="-1"/>
              <w:jc w:val="left"/>
              <w:rPr>
                <w:rFonts w:cs="Arial"/>
                <w:szCs w:val="18"/>
                <w:lang w:val="en-GB"/>
              </w:rPr>
            </w:pPr>
            <w:r w:rsidRPr="00D45F9C">
              <w:rPr>
                <w:lang w:val="en-GB"/>
              </w:rPr>
              <w:t>8</w:t>
            </w:r>
            <w:r w:rsidR="001D1211" w:rsidRPr="00D45F9C">
              <w:rPr>
                <w:lang w:val="en-GB"/>
              </w:rPr>
              <w:t>5728</w:t>
            </w:r>
          </w:p>
        </w:tc>
        <w:tc>
          <w:tcPr>
            <w:tcW w:w="1181" w:type="dxa"/>
            <w:shd w:val="clear" w:color="auto" w:fill="FFFFFF"/>
            <w:vAlign w:val="center"/>
          </w:tcPr>
          <w:p w14:paraId="538AD143" w14:textId="5F245123" w:rsidR="001D1211" w:rsidRPr="00D45F9C" w:rsidRDefault="001D1211" w:rsidP="001D1211">
            <w:pPr>
              <w:pStyle w:val="CETBodytext"/>
              <w:ind w:right="-1"/>
              <w:jc w:val="left"/>
              <w:rPr>
                <w:rFonts w:cs="Arial"/>
                <w:szCs w:val="18"/>
                <w:lang w:val="en-GB"/>
              </w:rPr>
            </w:pPr>
            <w:r w:rsidRPr="00D45F9C">
              <w:rPr>
                <w:lang w:val="en-GB"/>
              </w:rPr>
              <w:t>4.9982</w:t>
            </w:r>
          </w:p>
        </w:tc>
      </w:tr>
      <w:tr w:rsidR="001E433B" w:rsidRPr="00D45F9C" w14:paraId="3909B81B" w14:textId="77777777" w:rsidTr="00945EB9">
        <w:tc>
          <w:tcPr>
            <w:tcW w:w="1701" w:type="dxa"/>
            <w:shd w:val="clear" w:color="auto" w:fill="FFFFFF"/>
            <w:vAlign w:val="center"/>
          </w:tcPr>
          <w:p w14:paraId="5F3F1893" w14:textId="77777777" w:rsidR="001E433B" w:rsidRPr="00D45F9C" w:rsidRDefault="001E433B" w:rsidP="00945EB9">
            <w:pPr>
              <w:pStyle w:val="CETBodytext"/>
              <w:ind w:right="-1"/>
              <w:jc w:val="left"/>
              <w:rPr>
                <w:rFonts w:cs="Arial"/>
                <w:szCs w:val="18"/>
                <w:lang w:val="en-GB"/>
              </w:rPr>
            </w:pPr>
            <w:r w:rsidRPr="00D45F9C">
              <w:rPr>
                <w:szCs w:val="16"/>
                <w:lang w:val="en-GB"/>
              </w:rPr>
              <w:t>EP -3</w:t>
            </w:r>
          </w:p>
        </w:tc>
        <w:tc>
          <w:tcPr>
            <w:tcW w:w="1181" w:type="dxa"/>
            <w:shd w:val="clear" w:color="auto" w:fill="FFFFFF"/>
            <w:vAlign w:val="center"/>
          </w:tcPr>
          <w:p w14:paraId="6BE4F49D" w14:textId="341D1CD8" w:rsidR="001E433B" w:rsidRPr="00D45F9C" w:rsidRDefault="001E433B" w:rsidP="00945EB9">
            <w:pPr>
              <w:pStyle w:val="CETBodytext"/>
              <w:ind w:right="-1"/>
              <w:jc w:val="left"/>
              <w:rPr>
                <w:rFonts w:cs="Arial"/>
                <w:szCs w:val="18"/>
                <w:lang w:val="en-GB"/>
              </w:rPr>
            </w:pPr>
            <w:r w:rsidRPr="00D45F9C">
              <w:rPr>
                <w:lang w:val="en-GB"/>
              </w:rPr>
              <w:t>4929</w:t>
            </w:r>
          </w:p>
        </w:tc>
        <w:tc>
          <w:tcPr>
            <w:tcW w:w="1181" w:type="dxa"/>
            <w:shd w:val="clear" w:color="auto" w:fill="FFFFFF"/>
            <w:vAlign w:val="center"/>
          </w:tcPr>
          <w:p w14:paraId="49890E64" w14:textId="5BE84B6E" w:rsidR="001E433B" w:rsidRPr="00D45F9C" w:rsidRDefault="001E433B" w:rsidP="00945EB9">
            <w:pPr>
              <w:pStyle w:val="CETBodytext"/>
              <w:ind w:right="-1"/>
              <w:jc w:val="left"/>
              <w:rPr>
                <w:rFonts w:cs="Arial"/>
                <w:szCs w:val="18"/>
                <w:lang w:val="en-GB"/>
              </w:rPr>
            </w:pPr>
            <w:r w:rsidRPr="00D45F9C">
              <w:rPr>
                <w:lang w:val="en-GB"/>
              </w:rPr>
              <w:t>3724</w:t>
            </w:r>
          </w:p>
        </w:tc>
        <w:tc>
          <w:tcPr>
            <w:tcW w:w="1181" w:type="dxa"/>
            <w:shd w:val="clear" w:color="auto" w:fill="FFFFFF"/>
            <w:vAlign w:val="center"/>
          </w:tcPr>
          <w:p w14:paraId="29F9E6C6" w14:textId="79A2A74E" w:rsidR="001E433B" w:rsidRPr="00D45F9C" w:rsidRDefault="001E433B" w:rsidP="00945EB9">
            <w:pPr>
              <w:pStyle w:val="CETBodytext"/>
              <w:ind w:right="-1"/>
              <w:jc w:val="left"/>
              <w:rPr>
                <w:rFonts w:cs="Arial"/>
                <w:szCs w:val="18"/>
                <w:lang w:val="en-GB"/>
              </w:rPr>
            </w:pPr>
            <w:r w:rsidRPr="00D45F9C">
              <w:rPr>
                <w:lang w:val="en-GB"/>
              </w:rPr>
              <w:t>18342</w:t>
            </w:r>
          </w:p>
        </w:tc>
        <w:tc>
          <w:tcPr>
            <w:tcW w:w="1181" w:type="dxa"/>
            <w:shd w:val="clear" w:color="auto" w:fill="FFFFFF"/>
            <w:vAlign w:val="center"/>
          </w:tcPr>
          <w:p w14:paraId="7317089A" w14:textId="6FF94E33" w:rsidR="001E433B" w:rsidRPr="00D45F9C" w:rsidRDefault="001E433B" w:rsidP="00945EB9">
            <w:pPr>
              <w:pStyle w:val="CETBodytext"/>
              <w:ind w:right="-1"/>
              <w:jc w:val="left"/>
              <w:rPr>
                <w:rFonts w:cs="Arial"/>
                <w:szCs w:val="18"/>
                <w:lang w:val="en-GB"/>
              </w:rPr>
            </w:pPr>
            <w:r w:rsidRPr="00D45F9C">
              <w:rPr>
                <w:lang w:val="en-GB"/>
              </w:rPr>
              <w:t>53862</w:t>
            </w:r>
          </w:p>
        </w:tc>
        <w:tc>
          <w:tcPr>
            <w:tcW w:w="1181" w:type="dxa"/>
            <w:shd w:val="clear" w:color="auto" w:fill="FFFFFF"/>
            <w:vAlign w:val="center"/>
          </w:tcPr>
          <w:p w14:paraId="55B1F182" w14:textId="4A39E5E6" w:rsidR="001E433B" w:rsidRPr="00D45F9C" w:rsidRDefault="001E433B" w:rsidP="00945EB9">
            <w:pPr>
              <w:pStyle w:val="CETBodytext"/>
              <w:ind w:right="-1"/>
              <w:jc w:val="left"/>
              <w:rPr>
                <w:rFonts w:cs="Arial"/>
                <w:szCs w:val="18"/>
                <w:lang w:val="en-GB"/>
              </w:rPr>
            </w:pPr>
            <w:r w:rsidRPr="00D45F9C">
              <w:rPr>
                <w:lang w:val="en-GB"/>
              </w:rPr>
              <w:t>87374</w:t>
            </w:r>
          </w:p>
        </w:tc>
        <w:tc>
          <w:tcPr>
            <w:tcW w:w="1181" w:type="dxa"/>
            <w:shd w:val="clear" w:color="auto" w:fill="FFFFFF"/>
            <w:vAlign w:val="center"/>
          </w:tcPr>
          <w:p w14:paraId="268AE1EB" w14:textId="2A358DA2" w:rsidR="001E433B" w:rsidRPr="00D45F9C" w:rsidRDefault="001E433B" w:rsidP="00945EB9">
            <w:pPr>
              <w:pStyle w:val="CETBodytext"/>
              <w:ind w:right="-1"/>
              <w:jc w:val="left"/>
              <w:rPr>
                <w:rFonts w:cs="Arial"/>
                <w:szCs w:val="18"/>
                <w:lang w:val="en-GB"/>
              </w:rPr>
            </w:pPr>
            <w:r w:rsidRPr="00D45F9C">
              <w:rPr>
                <w:lang w:val="en-GB"/>
              </w:rPr>
              <w:t>4.9254</w:t>
            </w:r>
          </w:p>
        </w:tc>
      </w:tr>
      <w:tr w:rsidR="00C925F7" w:rsidRPr="00D45F9C" w14:paraId="162DC501" w14:textId="77777777" w:rsidTr="00DC24A6">
        <w:tc>
          <w:tcPr>
            <w:tcW w:w="1701" w:type="dxa"/>
            <w:shd w:val="clear" w:color="auto" w:fill="FFFFFF"/>
            <w:vAlign w:val="center"/>
          </w:tcPr>
          <w:p w14:paraId="44E8C571" w14:textId="77777777" w:rsidR="00C925F7" w:rsidRPr="00D45F9C" w:rsidRDefault="00C925F7" w:rsidP="00C925F7">
            <w:pPr>
              <w:pStyle w:val="CETBodytext"/>
              <w:ind w:right="-1"/>
              <w:jc w:val="left"/>
              <w:rPr>
                <w:rFonts w:cs="Arial"/>
                <w:szCs w:val="18"/>
                <w:lang w:val="en-GB"/>
              </w:rPr>
            </w:pPr>
            <w:r w:rsidRPr="00D45F9C">
              <w:rPr>
                <w:szCs w:val="16"/>
                <w:lang w:val="en-GB"/>
              </w:rPr>
              <w:t>EP -4</w:t>
            </w:r>
          </w:p>
        </w:tc>
        <w:tc>
          <w:tcPr>
            <w:tcW w:w="1181" w:type="dxa"/>
            <w:shd w:val="clear" w:color="auto" w:fill="FFFFFF"/>
            <w:vAlign w:val="center"/>
          </w:tcPr>
          <w:p w14:paraId="4E0A06D7" w14:textId="11BB38DC" w:rsidR="00C925F7" w:rsidRPr="00D45F9C" w:rsidRDefault="00C925F7" w:rsidP="00C925F7">
            <w:pPr>
              <w:pStyle w:val="CETBodytext"/>
              <w:ind w:right="-1"/>
              <w:jc w:val="left"/>
              <w:rPr>
                <w:rFonts w:cs="Arial"/>
                <w:szCs w:val="18"/>
                <w:lang w:val="en-GB"/>
              </w:rPr>
            </w:pPr>
            <w:r w:rsidRPr="00D45F9C">
              <w:rPr>
                <w:lang w:val="en-GB"/>
              </w:rPr>
              <w:t>4</w:t>
            </w:r>
            <w:r w:rsidR="008655A7" w:rsidRPr="00D45F9C">
              <w:rPr>
                <w:lang w:val="en-GB"/>
              </w:rPr>
              <w:t>5</w:t>
            </w:r>
            <w:r w:rsidRPr="00D45F9C">
              <w:rPr>
                <w:lang w:val="en-GB"/>
              </w:rPr>
              <w:t>06</w:t>
            </w:r>
          </w:p>
        </w:tc>
        <w:tc>
          <w:tcPr>
            <w:tcW w:w="1181" w:type="dxa"/>
            <w:shd w:val="clear" w:color="auto" w:fill="FFFFFF"/>
          </w:tcPr>
          <w:p w14:paraId="71B534ED" w14:textId="45F5E694" w:rsidR="00C925F7" w:rsidRPr="00D45F9C" w:rsidRDefault="00C925F7" w:rsidP="00C925F7">
            <w:pPr>
              <w:pStyle w:val="CETBodytext"/>
              <w:ind w:right="-1"/>
              <w:jc w:val="left"/>
              <w:rPr>
                <w:rFonts w:cs="Arial"/>
                <w:szCs w:val="18"/>
                <w:lang w:val="en-GB"/>
              </w:rPr>
            </w:pPr>
            <w:r w:rsidRPr="00D45F9C">
              <w:rPr>
                <w:lang w:val="en-GB"/>
              </w:rPr>
              <w:t>3826</w:t>
            </w:r>
          </w:p>
        </w:tc>
        <w:tc>
          <w:tcPr>
            <w:tcW w:w="1181" w:type="dxa"/>
            <w:shd w:val="clear" w:color="auto" w:fill="FFFFFF"/>
          </w:tcPr>
          <w:p w14:paraId="4FBC6B99" w14:textId="3AD8C33A" w:rsidR="00C925F7" w:rsidRPr="00D45F9C" w:rsidRDefault="00C925F7" w:rsidP="00C925F7">
            <w:pPr>
              <w:pStyle w:val="CETBodytext"/>
              <w:ind w:right="-1"/>
              <w:jc w:val="left"/>
              <w:rPr>
                <w:rFonts w:cs="Arial"/>
                <w:szCs w:val="18"/>
                <w:lang w:val="en-GB"/>
              </w:rPr>
            </w:pPr>
            <w:r w:rsidRPr="00D45F9C">
              <w:rPr>
                <w:lang w:val="en-GB"/>
              </w:rPr>
              <w:t>17066</w:t>
            </w:r>
          </w:p>
        </w:tc>
        <w:tc>
          <w:tcPr>
            <w:tcW w:w="1181" w:type="dxa"/>
            <w:shd w:val="clear" w:color="auto" w:fill="FFFFFF"/>
            <w:vAlign w:val="center"/>
          </w:tcPr>
          <w:p w14:paraId="0A789E08" w14:textId="30747A52" w:rsidR="00C925F7" w:rsidRPr="00D45F9C" w:rsidRDefault="008655A7" w:rsidP="00C925F7">
            <w:pPr>
              <w:pStyle w:val="CETBodytext"/>
              <w:ind w:right="-1"/>
              <w:jc w:val="left"/>
              <w:rPr>
                <w:rFonts w:cs="Arial"/>
                <w:szCs w:val="18"/>
                <w:lang w:val="en-GB"/>
              </w:rPr>
            </w:pPr>
            <w:r w:rsidRPr="00D45F9C">
              <w:rPr>
                <w:lang w:val="en-GB"/>
              </w:rPr>
              <w:t>5</w:t>
            </w:r>
            <w:r w:rsidR="00C925F7" w:rsidRPr="00D45F9C">
              <w:rPr>
                <w:lang w:val="en-GB"/>
              </w:rPr>
              <w:t>0094</w:t>
            </w:r>
          </w:p>
        </w:tc>
        <w:tc>
          <w:tcPr>
            <w:tcW w:w="1181" w:type="dxa"/>
            <w:shd w:val="clear" w:color="auto" w:fill="FFFFFF"/>
            <w:vAlign w:val="center"/>
          </w:tcPr>
          <w:p w14:paraId="50535D64" w14:textId="0687F11E" w:rsidR="00C925F7" w:rsidRPr="00D45F9C" w:rsidRDefault="00F75C7C" w:rsidP="00C925F7">
            <w:pPr>
              <w:pStyle w:val="CETBodytext"/>
              <w:ind w:right="-1"/>
              <w:jc w:val="left"/>
              <w:rPr>
                <w:rFonts w:cs="Arial"/>
                <w:szCs w:val="18"/>
                <w:lang w:val="en-GB"/>
              </w:rPr>
            </w:pPr>
            <w:r w:rsidRPr="00D45F9C">
              <w:rPr>
                <w:lang w:val="en-GB"/>
              </w:rPr>
              <w:t>84</w:t>
            </w:r>
            <w:r w:rsidR="00C925F7" w:rsidRPr="00D45F9C">
              <w:rPr>
                <w:lang w:val="en-GB"/>
              </w:rPr>
              <w:t>351</w:t>
            </w:r>
          </w:p>
        </w:tc>
        <w:tc>
          <w:tcPr>
            <w:tcW w:w="1181" w:type="dxa"/>
            <w:shd w:val="clear" w:color="auto" w:fill="FFFFFF"/>
            <w:vAlign w:val="center"/>
          </w:tcPr>
          <w:p w14:paraId="29329FEB" w14:textId="7859EDB3" w:rsidR="00C925F7" w:rsidRPr="00D45F9C" w:rsidRDefault="00C925F7" w:rsidP="00C925F7">
            <w:pPr>
              <w:pStyle w:val="CETBodytext"/>
              <w:ind w:right="-1"/>
              <w:jc w:val="left"/>
              <w:rPr>
                <w:rFonts w:cs="Arial"/>
                <w:szCs w:val="18"/>
                <w:lang w:val="en-GB"/>
              </w:rPr>
            </w:pPr>
            <w:r w:rsidRPr="00D45F9C">
              <w:rPr>
                <w:lang w:val="en-GB"/>
              </w:rPr>
              <w:t>4.4617</w:t>
            </w:r>
          </w:p>
        </w:tc>
      </w:tr>
      <w:tr w:rsidR="00AF07B6" w:rsidRPr="00D45F9C" w14:paraId="0C2F5ED9" w14:textId="77777777" w:rsidTr="00945EB9">
        <w:tc>
          <w:tcPr>
            <w:tcW w:w="1701" w:type="dxa"/>
            <w:shd w:val="clear" w:color="auto" w:fill="FFFFFF"/>
            <w:vAlign w:val="center"/>
          </w:tcPr>
          <w:p w14:paraId="74EB678A" w14:textId="77777777" w:rsidR="00AF07B6" w:rsidRPr="00D45F9C" w:rsidRDefault="00AF07B6" w:rsidP="00945EB9">
            <w:pPr>
              <w:pStyle w:val="CETBodytext"/>
              <w:ind w:right="-1"/>
              <w:jc w:val="left"/>
              <w:rPr>
                <w:rFonts w:cs="Arial"/>
                <w:szCs w:val="18"/>
                <w:lang w:val="en-GB"/>
              </w:rPr>
            </w:pPr>
            <w:r w:rsidRPr="00D45F9C">
              <w:rPr>
                <w:szCs w:val="16"/>
                <w:lang w:val="en-GB"/>
              </w:rPr>
              <w:t>EP -5</w:t>
            </w:r>
          </w:p>
        </w:tc>
        <w:tc>
          <w:tcPr>
            <w:tcW w:w="1181" w:type="dxa"/>
            <w:shd w:val="clear" w:color="auto" w:fill="FFFFFF"/>
            <w:vAlign w:val="center"/>
          </w:tcPr>
          <w:p w14:paraId="65DAF7A4" w14:textId="217E2F32" w:rsidR="00AF07B6" w:rsidRPr="00D45F9C" w:rsidRDefault="00AF07B6" w:rsidP="00945EB9">
            <w:pPr>
              <w:pStyle w:val="CETBodytext"/>
              <w:ind w:right="-1"/>
              <w:jc w:val="left"/>
              <w:rPr>
                <w:rFonts w:cs="Arial"/>
                <w:szCs w:val="18"/>
                <w:lang w:val="en-GB"/>
              </w:rPr>
            </w:pPr>
            <w:r w:rsidRPr="00D45F9C">
              <w:rPr>
                <w:lang w:val="en-GB"/>
              </w:rPr>
              <w:t>4381</w:t>
            </w:r>
          </w:p>
        </w:tc>
        <w:tc>
          <w:tcPr>
            <w:tcW w:w="1181" w:type="dxa"/>
            <w:shd w:val="clear" w:color="auto" w:fill="FFFFFF"/>
            <w:vAlign w:val="center"/>
          </w:tcPr>
          <w:p w14:paraId="1C5B409F" w14:textId="00E54FCF" w:rsidR="00AF07B6" w:rsidRPr="00D45F9C" w:rsidRDefault="00AF07B6" w:rsidP="00945EB9">
            <w:pPr>
              <w:pStyle w:val="CETBodytext"/>
              <w:ind w:right="-1"/>
              <w:jc w:val="left"/>
              <w:rPr>
                <w:rFonts w:cs="Arial"/>
                <w:szCs w:val="18"/>
                <w:lang w:val="en-GB"/>
              </w:rPr>
            </w:pPr>
            <w:r w:rsidRPr="00D45F9C">
              <w:rPr>
                <w:lang w:val="en-GB"/>
              </w:rPr>
              <w:t>4760</w:t>
            </w:r>
          </w:p>
        </w:tc>
        <w:tc>
          <w:tcPr>
            <w:tcW w:w="1181" w:type="dxa"/>
            <w:shd w:val="clear" w:color="auto" w:fill="FFFFFF"/>
            <w:vAlign w:val="center"/>
          </w:tcPr>
          <w:p w14:paraId="73CAD8C5" w14:textId="783365FA" w:rsidR="00AF07B6" w:rsidRPr="00D45F9C" w:rsidRDefault="00AF07B6" w:rsidP="00945EB9">
            <w:pPr>
              <w:pStyle w:val="CETBodytext"/>
              <w:ind w:right="-1"/>
              <w:jc w:val="left"/>
              <w:rPr>
                <w:rFonts w:cs="Arial"/>
                <w:szCs w:val="18"/>
                <w:lang w:val="en-GB"/>
              </w:rPr>
            </w:pPr>
            <w:r w:rsidRPr="00D45F9C">
              <w:rPr>
                <w:lang w:val="en-GB"/>
              </w:rPr>
              <w:t>21416</w:t>
            </w:r>
          </w:p>
        </w:tc>
        <w:tc>
          <w:tcPr>
            <w:tcW w:w="1181" w:type="dxa"/>
            <w:shd w:val="clear" w:color="auto" w:fill="FFFFFF"/>
            <w:vAlign w:val="center"/>
          </w:tcPr>
          <w:p w14:paraId="47EAE292" w14:textId="66DC2759" w:rsidR="00AF07B6" w:rsidRPr="00D45F9C" w:rsidRDefault="00AF07B6" w:rsidP="00945EB9">
            <w:pPr>
              <w:pStyle w:val="CETBodytext"/>
              <w:ind w:right="-1"/>
              <w:jc w:val="left"/>
              <w:rPr>
                <w:rFonts w:cs="Arial"/>
                <w:szCs w:val="18"/>
                <w:lang w:val="en-GB"/>
              </w:rPr>
            </w:pPr>
            <w:r w:rsidRPr="00D45F9C">
              <w:rPr>
                <w:lang w:val="en-GB"/>
              </w:rPr>
              <w:t>58023</w:t>
            </w:r>
          </w:p>
        </w:tc>
        <w:tc>
          <w:tcPr>
            <w:tcW w:w="1181" w:type="dxa"/>
            <w:shd w:val="clear" w:color="auto" w:fill="FFFFFF"/>
            <w:vAlign w:val="center"/>
          </w:tcPr>
          <w:p w14:paraId="1902CF30" w14:textId="26DE6C8E" w:rsidR="00AF07B6" w:rsidRPr="00D45F9C" w:rsidRDefault="00AF07B6" w:rsidP="00945EB9">
            <w:pPr>
              <w:pStyle w:val="CETBodytext"/>
              <w:ind w:right="-1"/>
              <w:jc w:val="left"/>
              <w:rPr>
                <w:rFonts w:cs="Arial"/>
                <w:szCs w:val="18"/>
                <w:lang w:val="en-GB"/>
              </w:rPr>
            </w:pPr>
            <w:r w:rsidRPr="00D45F9C">
              <w:rPr>
                <w:lang w:val="en-GB"/>
              </w:rPr>
              <w:t>85923</w:t>
            </w:r>
          </w:p>
        </w:tc>
        <w:tc>
          <w:tcPr>
            <w:tcW w:w="1181" w:type="dxa"/>
            <w:shd w:val="clear" w:color="auto" w:fill="FFFFFF"/>
            <w:vAlign w:val="center"/>
          </w:tcPr>
          <w:p w14:paraId="1BD3173E" w14:textId="3DF75AA7" w:rsidR="00AF07B6" w:rsidRPr="00D45F9C" w:rsidRDefault="00AF07B6" w:rsidP="00945EB9">
            <w:pPr>
              <w:pStyle w:val="CETBodytext"/>
              <w:ind w:right="-1"/>
              <w:jc w:val="left"/>
              <w:rPr>
                <w:rFonts w:cs="Arial"/>
                <w:szCs w:val="18"/>
                <w:lang w:val="en-GB"/>
              </w:rPr>
            </w:pPr>
            <w:r w:rsidRPr="00D45F9C">
              <w:rPr>
                <w:lang w:val="en-GB"/>
              </w:rPr>
              <w:t>4.4992</w:t>
            </w:r>
          </w:p>
        </w:tc>
      </w:tr>
      <w:tr w:rsidR="0081587F" w:rsidRPr="00D45F9C" w14:paraId="44ADEE20" w14:textId="77777777" w:rsidTr="00945EB9">
        <w:tc>
          <w:tcPr>
            <w:tcW w:w="1701" w:type="dxa"/>
            <w:shd w:val="clear" w:color="auto" w:fill="FFFFFF"/>
            <w:vAlign w:val="center"/>
          </w:tcPr>
          <w:p w14:paraId="10565C96" w14:textId="77777777" w:rsidR="0081587F" w:rsidRPr="00D45F9C" w:rsidRDefault="0081587F" w:rsidP="00945EB9">
            <w:pPr>
              <w:pStyle w:val="CETBodytext"/>
              <w:ind w:right="-1"/>
              <w:jc w:val="left"/>
              <w:rPr>
                <w:lang w:val="en-GB"/>
              </w:rPr>
            </w:pPr>
            <w:r w:rsidRPr="00D45F9C">
              <w:rPr>
                <w:szCs w:val="16"/>
                <w:lang w:val="en-GB"/>
              </w:rPr>
              <w:t>EP -6</w:t>
            </w:r>
          </w:p>
        </w:tc>
        <w:tc>
          <w:tcPr>
            <w:tcW w:w="1181" w:type="dxa"/>
            <w:shd w:val="clear" w:color="auto" w:fill="FFFFFF"/>
            <w:vAlign w:val="center"/>
          </w:tcPr>
          <w:p w14:paraId="6CE2686A" w14:textId="6A7EC90B" w:rsidR="0081587F" w:rsidRPr="00D45F9C" w:rsidRDefault="0081587F" w:rsidP="00945EB9">
            <w:pPr>
              <w:pStyle w:val="CETBodytext"/>
              <w:ind w:right="-1"/>
              <w:jc w:val="left"/>
              <w:rPr>
                <w:lang w:val="en-GB"/>
              </w:rPr>
            </w:pPr>
            <w:r w:rsidRPr="00D45F9C">
              <w:rPr>
                <w:lang w:val="en-GB"/>
              </w:rPr>
              <w:t>661</w:t>
            </w:r>
          </w:p>
        </w:tc>
        <w:tc>
          <w:tcPr>
            <w:tcW w:w="1181" w:type="dxa"/>
            <w:shd w:val="clear" w:color="auto" w:fill="FFFFFF"/>
            <w:vAlign w:val="center"/>
          </w:tcPr>
          <w:p w14:paraId="44CC967B" w14:textId="1CF39BEA" w:rsidR="0081587F" w:rsidRPr="00D45F9C" w:rsidRDefault="0081587F" w:rsidP="00945EB9">
            <w:pPr>
              <w:pStyle w:val="CETBodytext"/>
              <w:ind w:right="-1"/>
              <w:jc w:val="left"/>
              <w:rPr>
                <w:lang w:val="en-GB"/>
              </w:rPr>
            </w:pPr>
            <w:r w:rsidRPr="00D45F9C">
              <w:rPr>
                <w:lang w:val="en-GB"/>
              </w:rPr>
              <w:t>813</w:t>
            </w:r>
          </w:p>
        </w:tc>
        <w:tc>
          <w:tcPr>
            <w:tcW w:w="1181" w:type="dxa"/>
            <w:shd w:val="clear" w:color="auto" w:fill="FFFFFF"/>
            <w:vAlign w:val="center"/>
          </w:tcPr>
          <w:p w14:paraId="77B5BCC7" w14:textId="48B12F95" w:rsidR="0081587F" w:rsidRPr="00D45F9C" w:rsidRDefault="0081587F" w:rsidP="00945EB9">
            <w:pPr>
              <w:pStyle w:val="CETBodytext"/>
              <w:ind w:right="-1"/>
              <w:jc w:val="left"/>
              <w:rPr>
                <w:lang w:val="en-GB"/>
              </w:rPr>
            </w:pPr>
            <w:r w:rsidRPr="00D45F9C">
              <w:rPr>
                <w:lang w:val="en-GB"/>
              </w:rPr>
              <w:t>2353</w:t>
            </w:r>
          </w:p>
        </w:tc>
        <w:tc>
          <w:tcPr>
            <w:tcW w:w="1181" w:type="dxa"/>
            <w:shd w:val="clear" w:color="auto" w:fill="FFFFFF"/>
            <w:vAlign w:val="center"/>
          </w:tcPr>
          <w:p w14:paraId="1218252B" w14:textId="507B3D39" w:rsidR="0081587F" w:rsidRPr="00D45F9C" w:rsidRDefault="0081587F" w:rsidP="00945EB9">
            <w:pPr>
              <w:pStyle w:val="CETBodytext"/>
              <w:ind w:right="-1"/>
              <w:jc w:val="left"/>
              <w:rPr>
                <w:lang w:val="en-GB"/>
              </w:rPr>
            </w:pPr>
            <w:r w:rsidRPr="00D45F9C">
              <w:rPr>
                <w:lang w:val="en-GB"/>
              </w:rPr>
              <w:t>5467</w:t>
            </w:r>
          </w:p>
        </w:tc>
        <w:tc>
          <w:tcPr>
            <w:tcW w:w="1181" w:type="dxa"/>
            <w:shd w:val="clear" w:color="auto" w:fill="FFFFFF"/>
            <w:vAlign w:val="center"/>
          </w:tcPr>
          <w:p w14:paraId="4356944C" w14:textId="22E8823C" w:rsidR="0081587F" w:rsidRPr="00D45F9C" w:rsidRDefault="0081587F" w:rsidP="00945EB9">
            <w:pPr>
              <w:pStyle w:val="CETBodytext"/>
              <w:ind w:right="-1"/>
              <w:jc w:val="left"/>
              <w:rPr>
                <w:lang w:val="en-GB"/>
              </w:rPr>
            </w:pPr>
            <w:r w:rsidRPr="00D45F9C">
              <w:rPr>
                <w:lang w:val="en-GB"/>
              </w:rPr>
              <w:t>8393</w:t>
            </w:r>
          </w:p>
        </w:tc>
        <w:tc>
          <w:tcPr>
            <w:tcW w:w="1181" w:type="dxa"/>
            <w:shd w:val="clear" w:color="auto" w:fill="FFFFFF"/>
            <w:vAlign w:val="center"/>
          </w:tcPr>
          <w:p w14:paraId="6B8411DB" w14:textId="4CD8F90F" w:rsidR="0081587F" w:rsidRPr="00D45F9C" w:rsidRDefault="0081587F" w:rsidP="00945EB9">
            <w:pPr>
              <w:pStyle w:val="CETBodytext"/>
              <w:ind w:right="-1"/>
              <w:jc w:val="left"/>
              <w:rPr>
                <w:lang w:val="en-GB"/>
              </w:rPr>
            </w:pPr>
            <w:r w:rsidRPr="00D45F9C">
              <w:rPr>
                <w:lang w:val="en-GB"/>
              </w:rPr>
              <w:t>2.8954</w:t>
            </w:r>
          </w:p>
        </w:tc>
      </w:tr>
      <w:tr w:rsidR="001B541B" w:rsidRPr="00D45F9C" w14:paraId="44BEB933" w14:textId="77777777" w:rsidTr="00945EB9">
        <w:tc>
          <w:tcPr>
            <w:tcW w:w="1701" w:type="dxa"/>
            <w:shd w:val="clear" w:color="auto" w:fill="FFFFFF"/>
            <w:vAlign w:val="center"/>
          </w:tcPr>
          <w:p w14:paraId="5F952D4C" w14:textId="77777777" w:rsidR="001B541B" w:rsidRPr="00D45F9C" w:rsidRDefault="001B541B" w:rsidP="00945EB9">
            <w:pPr>
              <w:pStyle w:val="CETBodytext"/>
              <w:ind w:right="-1"/>
              <w:jc w:val="left"/>
              <w:rPr>
                <w:lang w:val="en-GB"/>
              </w:rPr>
            </w:pPr>
            <w:r w:rsidRPr="00D45F9C">
              <w:rPr>
                <w:szCs w:val="16"/>
                <w:lang w:val="en-GB"/>
              </w:rPr>
              <w:t>EP -7</w:t>
            </w:r>
          </w:p>
        </w:tc>
        <w:tc>
          <w:tcPr>
            <w:tcW w:w="1181" w:type="dxa"/>
            <w:shd w:val="clear" w:color="auto" w:fill="FFFFFF"/>
            <w:vAlign w:val="center"/>
          </w:tcPr>
          <w:p w14:paraId="4D6D6A49" w14:textId="2CF30E23" w:rsidR="001B541B" w:rsidRPr="00D45F9C" w:rsidRDefault="001B541B" w:rsidP="00945EB9">
            <w:pPr>
              <w:pStyle w:val="CETBodytext"/>
              <w:ind w:right="-1"/>
              <w:jc w:val="left"/>
              <w:rPr>
                <w:lang w:val="en-GB"/>
              </w:rPr>
            </w:pPr>
            <w:r w:rsidRPr="00D45F9C">
              <w:rPr>
                <w:lang w:val="en-GB"/>
              </w:rPr>
              <w:t>1830</w:t>
            </w:r>
          </w:p>
        </w:tc>
        <w:tc>
          <w:tcPr>
            <w:tcW w:w="1181" w:type="dxa"/>
            <w:shd w:val="clear" w:color="auto" w:fill="FFFFFF"/>
            <w:vAlign w:val="center"/>
          </w:tcPr>
          <w:p w14:paraId="79934D41" w14:textId="03721289" w:rsidR="001B541B" w:rsidRPr="00D45F9C" w:rsidRDefault="001B541B" w:rsidP="00945EB9">
            <w:pPr>
              <w:pStyle w:val="CETBodytext"/>
              <w:ind w:right="-1"/>
              <w:jc w:val="left"/>
              <w:rPr>
                <w:lang w:val="en-GB"/>
              </w:rPr>
            </w:pPr>
            <w:r w:rsidRPr="00D45F9C">
              <w:rPr>
                <w:lang w:val="en-GB"/>
              </w:rPr>
              <w:t>2154</w:t>
            </w:r>
          </w:p>
        </w:tc>
        <w:tc>
          <w:tcPr>
            <w:tcW w:w="1181" w:type="dxa"/>
            <w:shd w:val="clear" w:color="auto" w:fill="FFFFFF"/>
            <w:vAlign w:val="center"/>
          </w:tcPr>
          <w:p w14:paraId="2307B58B" w14:textId="4A3DBFA0" w:rsidR="001B541B" w:rsidRPr="00D45F9C" w:rsidRDefault="001B541B" w:rsidP="00945EB9">
            <w:pPr>
              <w:pStyle w:val="CETBodytext"/>
              <w:ind w:right="-1"/>
              <w:jc w:val="left"/>
              <w:rPr>
                <w:lang w:val="en-GB"/>
              </w:rPr>
            </w:pPr>
            <w:r w:rsidRPr="00D45F9C">
              <w:rPr>
                <w:lang w:val="en-GB"/>
              </w:rPr>
              <w:t>3040</w:t>
            </w:r>
          </w:p>
        </w:tc>
        <w:tc>
          <w:tcPr>
            <w:tcW w:w="1181" w:type="dxa"/>
            <w:shd w:val="clear" w:color="auto" w:fill="FFFFFF"/>
            <w:vAlign w:val="center"/>
          </w:tcPr>
          <w:p w14:paraId="79CC63F1" w14:textId="3DED3D42" w:rsidR="001B541B" w:rsidRPr="00D45F9C" w:rsidRDefault="001B541B" w:rsidP="00945EB9">
            <w:pPr>
              <w:pStyle w:val="CETBodytext"/>
              <w:ind w:right="-1"/>
              <w:jc w:val="left"/>
              <w:rPr>
                <w:lang w:val="en-GB"/>
              </w:rPr>
            </w:pPr>
            <w:r w:rsidRPr="00D45F9C">
              <w:rPr>
                <w:lang w:val="en-GB"/>
              </w:rPr>
              <w:t>4268</w:t>
            </w:r>
          </w:p>
        </w:tc>
        <w:tc>
          <w:tcPr>
            <w:tcW w:w="1181" w:type="dxa"/>
            <w:shd w:val="clear" w:color="auto" w:fill="FFFFFF"/>
            <w:vAlign w:val="center"/>
          </w:tcPr>
          <w:p w14:paraId="31231B93" w14:textId="5153E88A" w:rsidR="001B541B" w:rsidRPr="00D45F9C" w:rsidRDefault="001B541B" w:rsidP="00945EB9">
            <w:pPr>
              <w:pStyle w:val="CETBodytext"/>
              <w:ind w:right="-1"/>
              <w:jc w:val="left"/>
              <w:rPr>
                <w:lang w:val="en-GB"/>
              </w:rPr>
            </w:pPr>
            <w:r w:rsidRPr="00D45F9C">
              <w:rPr>
                <w:lang w:val="en-GB"/>
              </w:rPr>
              <w:t>5535</w:t>
            </w:r>
          </w:p>
        </w:tc>
        <w:tc>
          <w:tcPr>
            <w:tcW w:w="1181" w:type="dxa"/>
            <w:shd w:val="clear" w:color="auto" w:fill="FFFFFF"/>
            <w:vAlign w:val="center"/>
          </w:tcPr>
          <w:p w14:paraId="2AE5962B" w14:textId="1B0CCEA0" w:rsidR="001B541B" w:rsidRPr="00D45F9C" w:rsidRDefault="001B541B" w:rsidP="00945EB9">
            <w:pPr>
              <w:pStyle w:val="CETBodytext"/>
              <w:ind w:right="-1"/>
              <w:jc w:val="left"/>
              <w:rPr>
                <w:lang w:val="en-GB"/>
              </w:rPr>
            </w:pPr>
            <w:r w:rsidRPr="00D45F9C">
              <w:rPr>
                <w:lang w:val="en-GB"/>
              </w:rPr>
              <w:t>1.4113</w:t>
            </w:r>
          </w:p>
        </w:tc>
      </w:tr>
      <w:tr w:rsidR="00565E88" w:rsidRPr="00D45F9C" w14:paraId="514A3D81" w14:textId="77777777" w:rsidTr="00945EB9">
        <w:tc>
          <w:tcPr>
            <w:tcW w:w="1701" w:type="dxa"/>
            <w:shd w:val="clear" w:color="auto" w:fill="FFFFFF"/>
            <w:vAlign w:val="center"/>
          </w:tcPr>
          <w:p w14:paraId="63D3C19A" w14:textId="77777777" w:rsidR="00565E88" w:rsidRPr="00D45F9C" w:rsidRDefault="00565E88" w:rsidP="00945EB9">
            <w:pPr>
              <w:pStyle w:val="CETBodytext"/>
              <w:ind w:right="-1"/>
              <w:jc w:val="left"/>
              <w:rPr>
                <w:lang w:val="en-GB"/>
              </w:rPr>
            </w:pPr>
            <w:r w:rsidRPr="00D45F9C">
              <w:rPr>
                <w:szCs w:val="16"/>
                <w:lang w:val="en-GB"/>
              </w:rPr>
              <w:t>EP -8</w:t>
            </w:r>
          </w:p>
        </w:tc>
        <w:tc>
          <w:tcPr>
            <w:tcW w:w="1181" w:type="dxa"/>
            <w:shd w:val="clear" w:color="auto" w:fill="FFFFFF"/>
            <w:vAlign w:val="center"/>
          </w:tcPr>
          <w:p w14:paraId="4DB7163F" w14:textId="2F87BDFF" w:rsidR="00565E88" w:rsidRPr="00D45F9C" w:rsidRDefault="00565E88" w:rsidP="00945EB9">
            <w:pPr>
              <w:pStyle w:val="CETBodytext"/>
              <w:ind w:right="-1"/>
              <w:jc w:val="left"/>
              <w:rPr>
                <w:lang w:val="en-GB"/>
              </w:rPr>
            </w:pPr>
            <w:r w:rsidRPr="00D45F9C">
              <w:rPr>
                <w:lang w:val="en-GB"/>
              </w:rPr>
              <w:t>508</w:t>
            </w:r>
          </w:p>
        </w:tc>
        <w:tc>
          <w:tcPr>
            <w:tcW w:w="1181" w:type="dxa"/>
            <w:shd w:val="clear" w:color="auto" w:fill="FFFFFF"/>
            <w:vAlign w:val="center"/>
          </w:tcPr>
          <w:p w14:paraId="03DD5EE9" w14:textId="0590AEFD" w:rsidR="00565E88" w:rsidRPr="00D45F9C" w:rsidRDefault="00565E88" w:rsidP="00945EB9">
            <w:pPr>
              <w:pStyle w:val="CETBodytext"/>
              <w:ind w:right="-1"/>
              <w:jc w:val="left"/>
              <w:rPr>
                <w:lang w:val="en-GB"/>
              </w:rPr>
            </w:pPr>
            <w:r w:rsidRPr="00D45F9C">
              <w:rPr>
                <w:lang w:val="en-GB"/>
              </w:rPr>
              <w:t>498</w:t>
            </w:r>
          </w:p>
        </w:tc>
        <w:tc>
          <w:tcPr>
            <w:tcW w:w="1181" w:type="dxa"/>
            <w:shd w:val="clear" w:color="auto" w:fill="FFFFFF"/>
            <w:vAlign w:val="center"/>
          </w:tcPr>
          <w:p w14:paraId="5E8EB2F6" w14:textId="1A95E11A" w:rsidR="00565E88" w:rsidRPr="00D45F9C" w:rsidRDefault="00565E88" w:rsidP="00945EB9">
            <w:pPr>
              <w:pStyle w:val="CETBodytext"/>
              <w:ind w:right="-1"/>
              <w:jc w:val="left"/>
              <w:rPr>
                <w:lang w:val="en-GB"/>
              </w:rPr>
            </w:pPr>
            <w:r w:rsidRPr="00D45F9C">
              <w:rPr>
                <w:lang w:val="en-GB"/>
              </w:rPr>
              <w:t>1175</w:t>
            </w:r>
          </w:p>
        </w:tc>
        <w:tc>
          <w:tcPr>
            <w:tcW w:w="1181" w:type="dxa"/>
            <w:shd w:val="clear" w:color="auto" w:fill="FFFFFF"/>
            <w:vAlign w:val="center"/>
          </w:tcPr>
          <w:p w14:paraId="2374688D" w14:textId="02E956F9" w:rsidR="00565E88" w:rsidRPr="00D45F9C" w:rsidRDefault="00565E88" w:rsidP="00945EB9">
            <w:pPr>
              <w:pStyle w:val="CETBodytext"/>
              <w:ind w:right="-1"/>
              <w:jc w:val="left"/>
              <w:rPr>
                <w:lang w:val="en-GB"/>
              </w:rPr>
            </w:pPr>
            <w:r w:rsidRPr="00D45F9C">
              <w:rPr>
                <w:lang w:val="en-GB"/>
              </w:rPr>
              <w:t>2491</w:t>
            </w:r>
          </w:p>
        </w:tc>
        <w:tc>
          <w:tcPr>
            <w:tcW w:w="1181" w:type="dxa"/>
            <w:shd w:val="clear" w:color="auto" w:fill="FFFFFF"/>
            <w:vAlign w:val="center"/>
          </w:tcPr>
          <w:p w14:paraId="43DBB340" w14:textId="4CBA4E98" w:rsidR="00565E88" w:rsidRPr="00D45F9C" w:rsidRDefault="00565E88" w:rsidP="00945EB9">
            <w:pPr>
              <w:pStyle w:val="CETBodytext"/>
              <w:ind w:right="-1"/>
              <w:jc w:val="left"/>
              <w:rPr>
                <w:lang w:val="en-GB"/>
              </w:rPr>
            </w:pPr>
            <w:r w:rsidRPr="00D45F9C">
              <w:rPr>
                <w:lang w:val="en-GB"/>
              </w:rPr>
              <w:t>3994</w:t>
            </w:r>
          </w:p>
        </w:tc>
        <w:tc>
          <w:tcPr>
            <w:tcW w:w="1181" w:type="dxa"/>
            <w:shd w:val="clear" w:color="auto" w:fill="FFFFFF"/>
            <w:vAlign w:val="center"/>
          </w:tcPr>
          <w:p w14:paraId="5E7889C5" w14:textId="226609A5" w:rsidR="00565E88" w:rsidRPr="00D45F9C" w:rsidRDefault="00565E88" w:rsidP="00945EB9">
            <w:pPr>
              <w:pStyle w:val="CETBodytext"/>
              <w:ind w:right="-1"/>
              <w:jc w:val="left"/>
              <w:rPr>
                <w:lang w:val="en-GB"/>
              </w:rPr>
            </w:pPr>
            <w:r w:rsidRPr="00D45F9C">
              <w:rPr>
                <w:lang w:val="en-GB"/>
              </w:rPr>
              <w:t>2.3608</w:t>
            </w:r>
          </w:p>
        </w:tc>
      </w:tr>
      <w:tr w:rsidR="002D6948" w:rsidRPr="00D45F9C" w14:paraId="2C6569DE" w14:textId="77777777" w:rsidTr="00945EB9">
        <w:tc>
          <w:tcPr>
            <w:tcW w:w="1701" w:type="dxa"/>
            <w:shd w:val="clear" w:color="auto" w:fill="FFFFFF"/>
            <w:vAlign w:val="center"/>
          </w:tcPr>
          <w:p w14:paraId="28267021" w14:textId="77777777" w:rsidR="002D6948" w:rsidRPr="00D45F9C" w:rsidRDefault="002D6948" w:rsidP="00945EB9">
            <w:pPr>
              <w:pStyle w:val="CETBodytext"/>
              <w:ind w:right="-1"/>
              <w:jc w:val="left"/>
              <w:rPr>
                <w:lang w:val="en-GB"/>
              </w:rPr>
            </w:pPr>
            <w:r w:rsidRPr="00D45F9C">
              <w:rPr>
                <w:szCs w:val="16"/>
                <w:lang w:val="en-GB"/>
              </w:rPr>
              <w:t>EP -9</w:t>
            </w:r>
          </w:p>
        </w:tc>
        <w:tc>
          <w:tcPr>
            <w:tcW w:w="1181" w:type="dxa"/>
            <w:shd w:val="clear" w:color="auto" w:fill="FFFFFF"/>
            <w:vAlign w:val="center"/>
          </w:tcPr>
          <w:p w14:paraId="65A87BE6" w14:textId="7828EEFE" w:rsidR="002D6948" w:rsidRPr="00D45F9C" w:rsidRDefault="002D6948" w:rsidP="00945EB9">
            <w:pPr>
              <w:pStyle w:val="CETBodytext"/>
              <w:ind w:right="-1"/>
              <w:jc w:val="left"/>
              <w:rPr>
                <w:lang w:val="en-GB"/>
              </w:rPr>
            </w:pPr>
            <w:r w:rsidRPr="00D45F9C">
              <w:rPr>
                <w:lang w:val="en-GB"/>
              </w:rPr>
              <w:t>815</w:t>
            </w:r>
          </w:p>
        </w:tc>
        <w:tc>
          <w:tcPr>
            <w:tcW w:w="1181" w:type="dxa"/>
            <w:shd w:val="clear" w:color="auto" w:fill="FFFFFF"/>
            <w:vAlign w:val="center"/>
          </w:tcPr>
          <w:p w14:paraId="0BA62590" w14:textId="55656FB2" w:rsidR="002D6948" w:rsidRPr="00D45F9C" w:rsidRDefault="002D6948" w:rsidP="00945EB9">
            <w:pPr>
              <w:pStyle w:val="CETBodytext"/>
              <w:ind w:right="-1"/>
              <w:jc w:val="left"/>
              <w:rPr>
                <w:lang w:val="en-GB"/>
              </w:rPr>
            </w:pPr>
            <w:r w:rsidRPr="00D45F9C">
              <w:rPr>
                <w:lang w:val="en-GB"/>
              </w:rPr>
              <w:t>1034</w:t>
            </w:r>
          </w:p>
        </w:tc>
        <w:tc>
          <w:tcPr>
            <w:tcW w:w="1181" w:type="dxa"/>
            <w:shd w:val="clear" w:color="auto" w:fill="FFFFFF"/>
            <w:vAlign w:val="center"/>
          </w:tcPr>
          <w:p w14:paraId="7FFBB437" w14:textId="2F7AEF62" w:rsidR="002D6948" w:rsidRPr="00D45F9C" w:rsidRDefault="002D6948" w:rsidP="00945EB9">
            <w:pPr>
              <w:pStyle w:val="CETBodytext"/>
              <w:ind w:right="-1"/>
              <w:jc w:val="left"/>
              <w:rPr>
                <w:lang w:val="en-GB"/>
              </w:rPr>
            </w:pPr>
            <w:r w:rsidRPr="00D45F9C">
              <w:rPr>
                <w:lang w:val="en-GB"/>
              </w:rPr>
              <w:t>2597</w:t>
            </w:r>
          </w:p>
        </w:tc>
        <w:tc>
          <w:tcPr>
            <w:tcW w:w="1181" w:type="dxa"/>
            <w:shd w:val="clear" w:color="auto" w:fill="FFFFFF"/>
            <w:vAlign w:val="center"/>
          </w:tcPr>
          <w:p w14:paraId="763D96F1" w14:textId="1A3E55C6" w:rsidR="002D6948" w:rsidRPr="00D45F9C" w:rsidRDefault="002D6948" w:rsidP="00945EB9">
            <w:pPr>
              <w:pStyle w:val="CETBodytext"/>
              <w:ind w:right="-1"/>
              <w:jc w:val="left"/>
              <w:rPr>
                <w:lang w:val="en-GB"/>
              </w:rPr>
            </w:pPr>
            <w:r w:rsidRPr="00D45F9C">
              <w:rPr>
                <w:lang w:val="en-GB"/>
              </w:rPr>
              <w:t>4994</w:t>
            </w:r>
          </w:p>
        </w:tc>
        <w:tc>
          <w:tcPr>
            <w:tcW w:w="1181" w:type="dxa"/>
            <w:shd w:val="clear" w:color="auto" w:fill="FFFFFF"/>
            <w:vAlign w:val="center"/>
          </w:tcPr>
          <w:p w14:paraId="33D48A39" w14:textId="646D583B" w:rsidR="002D6948" w:rsidRPr="00D45F9C" w:rsidRDefault="002D6948" w:rsidP="00945EB9">
            <w:pPr>
              <w:pStyle w:val="CETBodytext"/>
              <w:ind w:right="-1"/>
              <w:jc w:val="left"/>
              <w:rPr>
                <w:lang w:val="en-GB"/>
              </w:rPr>
            </w:pPr>
            <w:r w:rsidRPr="00D45F9C">
              <w:rPr>
                <w:lang w:val="en-GB"/>
              </w:rPr>
              <w:t>7164</w:t>
            </w:r>
          </w:p>
        </w:tc>
        <w:tc>
          <w:tcPr>
            <w:tcW w:w="1181" w:type="dxa"/>
            <w:shd w:val="clear" w:color="auto" w:fill="FFFFFF"/>
            <w:vAlign w:val="center"/>
          </w:tcPr>
          <w:p w14:paraId="7BC76B1E" w14:textId="51DEBE54" w:rsidR="002D6948" w:rsidRPr="00D45F9C" w:rsidRDefault="002D6948" w:rsidP="00945EB9">
            <w:pPr>
              <w:pStyle w:val="CETBodytext"/>
              <w:ind w:right="-1"/>
              <w:jc w:val="left"/>
              <w:rPr>
                <w:lang w:val="en-GB"/>
              </w:rPr>
            </w:pPr>
            <w:r w:rsidRPr="00D45F9C">
              <w:rPr>
                <w:lang w:val="en-GB"/>
              </w:rPr>
              <w:t>2.5117</w:t>
            </w:r>
          </w:p>
        </w:tc>
      </w:tr>
      <w:tr w:rsidR="00687805" w:rsidRPr="00D45F9C" w14:paraId="2DA4D29E" w14:textId="77777777" w:rsidTr="00945EB9">
        <w:tc>
          <w:tcPr>
            <w:tcW w:w="1701" w:type="dxa"/>
            <w:shd w:val="clear" w:color="auto" w:fill="FFFFFF"/>
            <w:vAlign w:val="center"/>
          </w:tcPr>
          <w:p w14:paraId="499B28D0" w14:textId="77777777" w:rsidR="00687805" w:rsidRPr="00D45F9C" w:rsidRDefault="00687805" w:rsidP="00945EB9">
            <w:pPr>
              <w:pStyle w:val="CETBodytext"/>
              <w:ind w:right="-1"/>
              <w:jc w:val="left"/>
              <w:rPr>
                <w:lang w:val="en-GB"/>
              </w:rPr>
            </w:pPr>
            <w:r w:rsidRPr="00D45F9C">
              <w:rPr>
                <w:szCs w:val="16"/>
                <w:lang w:val="en-GB"/>
              </w:rPr>
              <w:t>EP -10</w:t>
            </w:r>
          </w:p>
        </w:tc>
        <w:tc>
          <w:tcPr>
            <w:tcW w:w="1181" w:type="dxa"/>
            <w:shd w:val="clear" w:color="auto" w:fill="FFFFFF"/>
            <w:vAlign w:val="center"/>
          </w:tcPr>
          <w:p w14:paraId="78D6ACDB" w14:textId="5DF12450" w:rsidR="00687805" w:rsidRPr="00D45F9C" w:rsidRDefault="00687805" w:rsidP="00945EB9">
            <w:pPr>
              <w:pStyle w:val="CETBodytext"/>
              <w:ind w:right="-1"/>
              <w:jc w:val="left"/>
              <w:rPr>
                <w:lang w:val="en-GB"/>
              </w:rPr>
            </w:pPr>
            <w:r w:rsidRPr="00D45F9C">
              <w:rPr>
                <w:lang w:val="en-GB"/>
              </w:rPr>
              <w:t>2934</w:t>
            </w:r>
          </w:p>
        </w:tc>
        <w:tc>
          <w:tcPr>
            <w:tcW w:w="1181" w:type="dxa"/>
            <w:shd w:val="clear" w:color="auto" w:fill="FFFFFF"/>
            <w:vAlign w:val="center"/>
          </w:tcPr>
          <w:p w14:paraId="5EB23362" w14:textId="070AFCE3" w:rsidR="00687805" w:rsidRPr="00D45F9C" w:rsidRDefault="00687805" w:rsidP="00945EB9">
            <w:pPr>
              <w:pStyle w:val="CETBodytext"/>
              <w:ind w:right="-1"/>
              <w:jc w:val="left"/>
              <w:rPr>
                <w:lang w:val="en-GB"/>
              </w:rPr>
            </w:pPr>
            <w:r w:rsidRPr="00D45F9C">
              <w:rPr>
                <w:lang w:val="en-GB"/>
              </w:rPr>
              <w:t>1476</w:t>
            </w:r>
          </w:p>
        </w:tc>
        <w:tc>
          <w:tcPr>
            <w:tcW w:w="1181" w:type="dxa"/>
            <w:shd w:val="clear" w:color="auto" w:fill="FFFFFF"/>
            <w:vAlign w:val="center"/>
          </w:tcPr>
          <w:p w14:paraId="756A311B" w14:textId="4B94528D" w:rsidR="00687805" w:rsidRPr="00D45F9C" w:rsidRDefault="00687805" w:rsidP="00945EB9">
            <w:pPr>
              <w:pStyle w:val="CETBodytext"/>
              <w:ind w:right="-1"/>
              <w:jc w:val="left"/>
              <w:rPr>
                <w:lang w:val="en-GB"/>
              </w:rPr>
            </w:pPr>
            <w:r w:rsidRPr="00D45F9C">
              <w:rPr>
                <w:lang w:val="en-GB"/>
              </w:rPr>
              <w:t>3582</w:t>
            </w:r>
          </w:p>
        </w:tc>
        <w:tc>
          <w:tcPr>
            <w:tcW w:w="1181" w:type="dxa"/>
            <w:shd w:val="clear" w:color="auto" w:fill="FFFFFF"/>
            <w:vAlign w:val="center"/>
          </w:tcPr>
          <w:p w14:paraId="05EAD857" w14:textId="142FCD02" w:rsidR="00687805" w:rsidRPr="00D45F9C" w:rsidRDefault="00687805" w:rsidP="00945EB9">
            <w:pPr>
              <w:pStyle w:val="CETBodytext"/>
              <w:ind w:right="-1"/>
              <w:jc w:val="left"/>
              <w:rPr>
                <w:lang w:val="en-GB"/>
              </w:rPr>
            </w:pPr>
            <w:r w:rsidRPr="00D45F9C">
              <w:rPr>
                <w:lang w:val="en-GB"/>
              </w:rPr>
              <w:t>6340</w:t>
            </w:r>
          </w:p>
        </w:tc>
        <w:tc>
          <w:tcPr>
            <w:tcW w:w="1181" w:type="dxa"/>
            <w:shd w:val="clear" w:color="auto" w:fill="FFFFFF"/>
            <w:vAlign w:val="center"/>
          </w:tcPr>
          <w:p w14:paraId="1D7A3B14" w14:textId="08D87AC8" w:rsidR="00687805" w:rsidRPr="00D45F9C" w:rsidRDefault="00687805" w:rsidP="00945EB9">
            <w:pPr>
              <w:pStyle w:val="CETBodytext"/>
              <w:ind w:right="-1"/>
              <w:jc w:val="left"/>
              <w:rPr>
                <w:lang w:val="en-GB"/>
              </w:rPr>
            </w:pPr>
            <w:r w:rsidRPr="00D45F9C">
              <w:rPr>
                <w:lang w:val="en-GB"/>
              </w:rPr>
              <w:t>8556</w:t>
            </w:r>
          </w:p>
        </w:tc>
        <w:tc>
          <w:tcPr>
            <w:tcW w:w="1181" w:type="dxa"/>
            <w:shd w:val="clear" w:color="auto" w:fill="FFFFFF"/>
            <w:vAlign w:val="center"/>
          </w:tcPr>
          <w:p w14:paraId="75392DF4" w14:textId="73EAEED8" w:rsidR="00687805" w:rsidRPr="00D45F9C" w:rsidRDefault="00687805" w:rsidP="00945EB9">
            <w:pPr>
              <w:pStyle w:val="CETBodytext"/>
              <w:ind w:right="-1"/>
              <w:jc w:val="left"/>
              <w:rPr>
                <w:lang w:val="en-GB"/>
              </w:rPr>
            </w:pPr>
            <w:r w:rsidRPr="00D45F9C">
              <w:rPr>
                <w:lang w:val="en-GB"/>
              </w:rPr>
              <w:t>2.4271</w:t>
            </w:r>
          </w:p>
        </w:tc>
      </w:tr>
      <w:tr w:rsidR="001F590B" w:rsidRPr="00D45F9C" w14:paraId="7973AAE4" w14:textId="77777777" w:rsidTr="00DC24A6">
        <w:tc>
          <w:tcPr>
            <w:tcW w:w="1701" w:type="dxa"/>
            <w:shd w:val="clear" w:color="auto" w:fill="FFFFFF"/>
            <w:vAlign w:val="center"/>
          </w:tcPr>
          <w:p w14:paraId="2730BD4F" w14:textId="77777777" w:rsidR="001F590B" w:rsidRPr="00D45F9C" w:rsidRDefault="001F590B" w:rsidP="001F590B">
            <w:pPr>
              <w:pStyle w:val="CETBodytext"/>
              <w:ind w:right="-1"/>
              <w:jc w:val="left"/>
              <w:rPr>
                <w:lang w:val="en-GB"/>
              </w:rPr>
            </w:pPr>
            <w:r w:rsidRPr="00D45F9C">
              <w:rPr>
                <w:szCs w:val="16"/>
                <w:lang w:val="en-GB"/>
              </w:rPr>
              <w:t>EP -11</w:t>
            </w:r>
          </w:p>
        </w:tc>
        <w:tc>
          <w:tcPr>
            <w:tcW w:w="1181" w:type="dxa"/>
            <w:shd w:val="clear" w:color="auto" w:fill="FFFFFF"/>
            <w:vAlign w:val="center"/>
          </w:tcPr>
          <w:p w14:paraId="2194A3DC" w14:textId="127F8831" w:rsidR="001F590B" w:rsidRPr="00D45F9C" w:rsidRDefault="001F590B" w:rsidP="001F590B">
            <w:pPr>
              <w:pStyle w:val="CETBodytext"/>
              <w:ind w:right="-1"/>
              <w:jc w:val="left"/>
              <w:rPr>
                <w:lang w:val="en-GB"/>
              </w:rPr>
            </w:pPr>
            <w:r w:rsidRPr="00D45F9C">
              <w:rPr>
                <w:lang w:val="en-GB"/>
              </w:rPr>
              <w:t>3714</w:t>
            </w:r>
          </w:p>
        </w:tc>
        <w:tc>
          <w:tcPr>
            <w:tcW w:w="1181" w:type="dxa"/>
            <w:shd w:val="clear" w:color="auto" w:fill="FFFFFF"/>
          </w:tcPr>
          <w:p w14:paraId="5E5EE458" w14:textId="3062AC00" w:rsidR="001F590B" w:rsidRPr="00D45F9C" w:rsidRDefault="001F590B" w:rsidP="001F590B">
            <w:pPr>
              <w:pStyle w:val="CETBodytext"/>
              <w:ind w:right="-1"/>
              <w:jc w:val="left"/>
              <w:rPr>
                <w:lang w:val="en-GB"/>
              </w:rPr>
            </w:pPr>
            <w:r w:rsidRPr="00D45F9C">
              <w:rPr>
                <w:lang w:val="en-GB"/>
              </w:rPr>
              <w:t>1537</w:t>
            </w:r>
          </w:p>
        </w:tc>
        <w:tc>
          <w:tcPr>
            <w:tcW w:w="1181" w:type="dxa"/>
            <w:shd w:val="clear" w:color="auto" w:fill="FFFFFF"/>
          </w:tcPr>
          <w:p w14:paraId="796AF15C" w14:textId="7E163238" w:rsidR="001F590B" w:rsidRPr="00D45F9C" w:rsidRDefault="001F590B" w:rsidP="001F590B">
            <w:pPr>
              <w:pStyle w:val="CETBodytext"/>
              <w:ind w:right="-1"/>
              <w:jc w:val="left"/>
              <w:rPr>
                <w:lang w:val="en-GB"/>
              </w:rPr>
            </w:pPr>
            <w:r w:rsidRPr="00D45F9C">
              <w:rPr>
                <w:lang w:val="en-GB"/>
              </w:rPr>
              <w:t>4708</w:t>
            </w:r>
          </w:p>
        </w:tc>
        <w:tc>
          <w:tcPr>
            <w:tcW w:w="1181" w:type="dxa"/>
            <w:shd w:val="clear" w:color="auto" w:fill="FFFFFF"/>
            <w:vAlign w:val="center"/>
          </w:tcPr>
          <w:p w14:paraId="16BA5E1F" w14:textId="168EAD03" w:rsidR="001F590B" w:rsidRPr="00D45F9C" w:rsidRDefault="00FB0D19" w:rsidP="001F590B">
            <w:pPr>
              <w:pStyle w:val="CETBodytext"/>
              <w:ind w:right="-1"/>
              <w:jc w:val="left"/>
              <w:rPr>
                <w:lang w:val="en-GB"/>
              </w:rPr>
            </w:pPr>
            <w:r w:rsidRPr="00D45F9C">
              <w:rPr>
                <w:lang w:val="en-GB"/>
              </w:rPr>
              <w:t>7</w:t>
            </w:r>
            <w:r w:rsidR="001F590B" w:rsidRPr="00D45F9C">
              <w:rPr>
                <w:lang w:val="en-GB"/>
              </w:rPr>
              <w:t>038</w:t>
            </w:r>
          </w:p>
        </w:tc>
        <w:tc>
          <w:tcPr>
            <w:tcW w:w="1181" w:type="dxa"/>
            <w:shd w:val="clear" w:color="auto" w:fill="FFFFFF"/>
            <w:vAlign w:val="center"/>
          </w:tcPr>
          <w:p w14:paraId="06B97CF1" w14:textId="045A0C2D" w:rsidR="001F590B" w:rsidRPr="00D45F9C" w:rsidRDefault="00FB0D19" w:rsidP="001F590B">
            <w:pPr>
              <w:pStyle w:val="CETBodytext"/>
              <w:ind w:right="-1"/>
              <w:jc w:val="left"/>
              <w:rPr>
                <w:lang w:val="en-GB"/>
              </w:rPr>
            </w:pPr>
            <w:r w:rsidRPr="00D45F9C">
              <w:rPr>
                <w:lang w:val="en-GB"/>
              </w:rPr>
              <w:t>9</w:t>
            </w:r>
            <w:r w:rsidR="001F590B" w:rsidRPr="00D45F9C">
              <w:rPr>
                <w:lang w:val="en-GB"/>
              </w:rPr>
              <w:t>437</w:t>
            </w:r>
          </w:p>
        </w:tc>
        <w:tc>
          <w:tcPr>
            <w:tcW w:w="1181" w:type="dxa"/>
            <w:shd w:val="clear" w:color="auto" w:fill="FFFFFF"/>
            <w:vAlign w:val="center"/>
          </w:tcPr>
          <w:p w14:paraId="14FAED70" w14:textId="6CA85AC0" w:rsidR="001F590B" w:rsidRPr="00D45F9C" w:rsidRDefault="001F590B" w:rsidP="001F590B">
            <w:pPr>
              <w:pStyle w:val="CETBodytext"/>
              <w:ind w:right="-1"/>
              <w:jc w:val="left"/>
              <w:rPr>
                <w:lang w:val="en-GB"/>
              </w:rPr>
            </w:pPr>
            <w:r w:rsidRPr="00D45F9C">
              <w:rPr>
                <w:lang w:val="en-GB"/>
              </w:rPr>
              <w:t>3.0637</w:t>
            </w:r>
          </w:p>
        </w:tc>
      </w:tr>
    </w:tbl>
    <w:p w14:paraId="10037754" w14:textId="3F1EDD57" w:rsidR="001A6114" w:rsidRDefault="001A6114" w:rsidP="005846AE">
      <w:pPr>
        <w:pStyle w:val="CETBodytext"/>
        <w:spacing w:before="120" w:after="60"/>
        <w:rPr>
          <w:lang w:val="en-GB"/>
        </w:rPr>
      </w:pPr>
      <w:r w:rsidRPr="001A6114">
        <w:rPr>
          <w:lang w:val="en-GB"/>
        </w:rPr>
        <w:t xml:space="preserve">From Table </w:t>
      </w:r>
      <w:r>
        <w:rPr>
          <w:lang w:val="en-GB"/>
        </w:rPr>
        <w:t>5</w:t>
      </w:r>
      <w:r w:rsidRPr="001A6114">
        <w:rPr>
          <w:lang w:val="en-GB"/>
        </w:rPr>
        <w:t>, the values written in the first row correspond to the following concepts:</w:t>
      </w:r>
      <w:r w:rsidR="005846AE">
        <w:rPr>
          <w:lang w:val="en-GB"/>
        </w:rPr>
        <w:t xml:space="preserve"> </w:t>
      </w:r>
      <w:r w:rsidRPr="001A6114">
        <w:rPr>
          <w:lang w:val="en-GB"/>
        </w:rPr>
        <w:t>M</w:t>
      </w:r>
      <w:r w:rsidRPr="00F0397D">
        <w:rPr>
          <w:vertAlign w:val="subscript"/>
          <w:lang w:val="en-GB"/>
        </w:rPr>
        <w:t>p</w:t>
      </w:r>
      <w:r w:rsidRPr="001A6114">
        <w:rPr>
          <w:lang w:val="en-GB"/>
        </w:rPr>
        <w:t xml:space="preserve"> – molecular weight of the highest peak</w:t>
      </w:r>
      <w:r>
        <w:rPr>
          <w:lang w:val="en-GB"/>
        </w:rPr>
        <w:t xml:space="preserve">, </w:t>
      </w:r>
      <w:r w:rsidRPr="001A6114">
        <w:rPr>
          <w:lang w:val="en-GB"/>
        </w:rPr>
        <w:t>M</w:t>
      </w:r>
      <w:r w:rsidRPr="00F0397D">
        <w:rPr>
          <w:vertAlign w:val="subscript"/>
          <w:lang w:val="en-GB"/>
        </w:rPr>
        <w:t>n</w:t>
      </w:r>
      <w:r w:rsidRPr="001A6114">
        <w:rPr>
          <w:lang w:val="en-GB"/>
        </w:rPr>
        <w:t xml:space="preserve"> – number average molecular weight</w:t>
      </w:r>
      <w:r>
        <w:rPr>
          <w:lang w:val="en-GB"/>
        </w:rPr>
        <w:t xml:space="preserve">, </w:t>
      </w:r>
      <w:r w:rsidRPr="001A6114">
        <w:rPr>
          <w:lang w:val="en-GB"/>
        </w:rPr>
        <w:t>M</w:t>
      </w:r>
      <w:r w:rsidRPr="00F0397D">
        <w:rPr>
          <w:vertAlign w:val="subscript"/>
          <w:lang w:val="en-GB"/>
        </w:rPr>
        <w:t>w</w:t>
      </w:r>
      <w:r w:rsidRPr="001A6114">
        <w:rPr>
          <w:lang w:val="en-GB"/>
        </w:rPr>
        <w:t xml:space="preserve"> – weight average molecular weight</w:t>
      </w:r>
      <w:r>
        <w:rPr>
          <w:lang w:val="en-GB"/>
        </w:rPr>
        <w:t xml:space="preserve">, </w:t>
      </w:r>
      <w:r w:rsidRPr="001A6114">
        <w:rPr>
          <w:lang w:val="en-GB"/>
        </w:rPr>
        <w:t>M</w:t>
      </w:r>
      <w:r w:rsidRPr="00F0397D">
        <w:rPr>
          <w:vertAlign w:val="subscript"/>
          <w:lang w:val="en-GB"/>
        </w:rPr>
        <w:t>z</w:t>
      </w:r>
      <w:r w:rsidRPr="001A6114">
        <w:rPr>
          <w:lang w:val="en-GB"/>
        </w:rPr>
        <w:t xml:space="preserve"> – size average molecular weight</w:t>
      </w:r>
      <w:r>
        <w:rPr>
          <w:lang w:val="en-GB"/>
        </w:rPr>
        <w:t xml:space="preserve">, </w:t>
      </w:r>
      <w:r w:rsidRPr="001A6114">
        <w:rPr>
          <w:lang w:val="en-GB"/>
        </w:rPr>
        <w:t>M</w:t>
      </w:r>
      <w:r w:rsidRPr="00F0397D">
        <w:rPr>
          <w:vertAlign w:val="subscript"/>
          <w:lang w:val="en-GB"/>
        </w:rPr>
        <w:t>z+1</w:t>
      </w:r>
      <w:r w:rsidRPr="001A6114">
        <w:rPr>
          <w:lang w:val="en-GB"/>
        </w:rPr>
        <w:t xml:space="preserve"> – z+1 average molecular weight</w:t>
      </w:r>
      <w:r>
        <w:rPr>
          <w:lang w:val="en-GB"/>
        </w:rPr>
        <w:t xml:space="preserve">, </w:t>
      </w:r>
      <w:r w:rsidRPr="001A6114">
        <w:rPr>
          <w:lang w:val="en-GB"/>
        </w:rPr>
        <w:t>PD</w:t>
      </w:r>
      <w:r>
        <w:rPr>
          <w:lang w:val="en-GB"/>
        </w:rPr>
        <w:t>:</w:t>
      </w:r>
      <w:r w:rsidRPr="001A6114">
        <w:rPr>
          <w:lang w:val="en-GB"/>
        </w:rPr>
        <w:t xml:space="preserve"> polydispersity index</w:t>
      </w:r>
      <w:r w:rsidR="00320779">
        <w:rPr>
          <w:lang w:val="en-GB"/>
        </w:rPr>
        <w:t>.</w:t>
      </w:r>
    </w:p>
    <w:p w14:paraId="18AC1A76" w14:textId="7D94E3B8" w:rsidR="006079DA" w:rsidRPr="00D45F9C" w:rsidRDefault="00383F3A" w:rsidP="00F0397D">
      <w:pPr>
        <w:pStyle w:val="CETBodytext"/>
        <w:spacing w:after="60"/>
        <w:rPr>
          <w:lang w:val="en-GB"/>
        </w:rPr>
      </w:pPr>
      <w:r w:rsidRPr="00D45F9C">
        <w:rPr>
          <w:lang w:val="en-GB"/>
        </w:rPr>
        <w:t xml:space="preserve">It was determined that the applied </w:t>
      </w:r>
      <w:r w:rsidR="004226CD">
        <w:rPr>
          <w:lang w:val="en-GB"/>
        </w:rPr>
        <w:t>GPC</w:t>
      </w:r>
      <w:r w:rsidR="00096DD0">
        <w:rPr>
          <w:lang w:val="en-GB"/>
        </w:rPr>
        <w:t xml:space="preserve"> </w:t>
      </w:r>
      <w:r w:rsidRPr="00D45F9C">
        <w:rPr>
          <w:lang w:val="en-GB"/>
        </w:rPr>
        <w:t xml:space="preserve">system is suitable for the examination of sulfurized vegetable oil-based EP additives. Based on the analysis of the results of the </w:t>
      </w:r>
      <w:r w:rsidR="007F4FC4">
        <w:rPr>
          <w:lang w:val="en-GB"/>
        </w:rPr>
        <w:t>GPC</w:t>
      </w:r>
      <w:r w:rsidR="00096DD0" w:rsidRPr="00096DD0">
        <w:rPr>
          <w:lang w:val="en-GB"/>
        </w:rPr>
        <w:t xml:space="preserve"> </w:t>
      </w:r>
      <w:r w:rsidRPr="00D45F9C">
        <w:rPr>
          <w:lang w:val="en-GB"/>
        </w:rPr>
        <w:t>tests, it was determined that sulfur was not incorporated in the samples EP-6</w:t>
      </w:r>
      <w:r w:rsidR="00217F3F" w:rsidRPr="00D45F9C">
        <w:rPr>
          <w:lang w:val="en-GB"/>
        </w:rPr>
        <w:t>, EP-8</w:t>
      </w:r>
      <w:r w:rsidRPr="00D45F9C">
        <w:rPr>
          <w:lang w:val="en-GB"/>
        </w:rPr>
        <w:t xml:space="preserve"> and EP-9 based on the molecular weight values.</w:t>
      </w:r>
      <w:r w:rsidR="00217F3F" w:rsidRPr="00D45F9C">
        <w:rPr>
          <w:lang w:val="en-GB"/>
        </w:rPr>
        <w:t xml:space="preserve"> Furthermore, it was found that the tested samples basically have a broad molecular weight distribution</w:t>
      </w:r>
      <w:r w:rsidR="007F4FC4">
        <w:rPr>
          <w:lang w:val="en-GB"/>
        </w:rPr>
        <w:t>, except</w:t>
      </w:r>
      <w:r w:rsidR="00217F3F" w:rsidRPr="00D45F9C">
        <w:rPr>
          <w:lang w:val="en-GB"/>
        </w:rPr>
        <w:t xml:space="preserve"> additive EP-7.</w:t>
      </w:r>
    </w:p>
    <w:p w14:paraId="4A290C52" w14:textId="600756E9" w:rsidR="00E4696A" w:rsidRPr="00D45F9C" w:rsidRDefault="00FD70C0" w:rsidP="00CB6E6A">
      <w:pPr>
        <w:pStyle w:val="CETBodytext"/>
        <w:spacing w:after="120"/>
        <w:rPr>
          <w:lang w:val="en-GB"/>
        </w:rPr>
      </w:pPr>
      <w:r w:rsidRPr="00D45F9C">
        <w:rPr>
          <w:lang w:val="en-GB"/>
        </w:rPr>
        <w:t>The active sulfur content is the amount of sulfur in a sulfurized additive that easily chemisorb</w:t>
      </w:r>
      <w:r w:rsidR="00044060" w:rsidRPr="00D45F9C">
        <w:rPr>
          <w:lang w:val="en-GB"/>
        </w:rPr>
        <w:t>s</w:t>
      </w:r>
      <w:r w:rsidRPr="00D45F9C">
        <w:rPr>
          <w:lang w:val="en-GB"/>
        </w:rPr>
        <w:t xml:space="preserve"> to the metal surface under the test conditions. Typically, additives whose molecules contain a higher amount of sulfur atoms linked to polysulfide chains have high</w:t>
      </w:r>
      <w:r w:rsidR="00A82BF0" w:rsidRPr="00D45F9C">
        <w:rPr>
          <w:lang w:val="en-GB"/>
        </w:rPr>
        <w:t>er</w:t>
      </w:r>
      <w:r w:rsidRPr="00D45F9C">
        <w:rPr>
          <w:lang w:val="en-GB"/>
        </w:rPr>
        <w:t xml:space="preserve"> active sulfur content (Wilfried </w:t>
      </w:r>
      <w:r w:rsidR="00BD3B25" w:rsidRPr="00D45F9C">
        <w:rPr>
          <w:lang w:val="en-GB"/>
        </w:rPr>
        <w:t>and Theo</w:t>
      </w:r>
      <w:r w:rsidRPr="00D45F9C">
        <w:rPr>
          <w:lang w:val="en-GB"/>
        </w:rPr>
        <w:t>, 2017)</w:t>
      </w:r>
      <w:r w:rsidR="00044060" w:rsidRPr="00D45F9C">
        <w:rPr>
          <w:lang w:val="en-GB"/>
        </w:rPr>
        <w:t>.</w:t>
      </w:r>
    </w:p>
    <w:p w14:paraId="795DFC92" w14:textId="77777777" w:rsidR="00CB6E6A" w:rsidRPr="00D45F9C" w:rsidRDefault="00CB6E6A" w:rsidP="00CB6E6A">
      <w:pPr>
        <w:pStyle w:val="CETBodytext"/>
        <w:spacing w:before="120" w:after="60"/>
        <w:rPr>
          <w:lang w:val="en-GB"/>
        </w:rPr>
      </w:pPr>
      <w:r w:rsidRPr="00D45F9C">
        <w:rPr>
          <w:noProof/>
          <w:lang w:val="en-GB"/>
        </w:rPr>
        <w:drawing>
          <wp:inline distT="0" distB="0" distL="0" distR="0" wp14:anchorId="564691F6" wp14:editId="61B48C36">
            <wp:extent cx="3301405" cy="216000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1405" cy="2160000"/>
                    </a:xfrm>
                    <a:prstGeom prst="rect">
                      <a:avLst/>
                    </a:prstGeom>
                    <a:noFill/>
                  </pic:spPr>
                </pic:pic>
              </a:graphicData>
            </a:graphic>
          </wp:inline>
        </w:drawing>
      </w:r>
    </w:p>
    <w:p w14:paraId="25AF6F1E" w14:textId="77777777" w:rsidR="00CB6E6A" w:rsidRPr="00D45F9C" w:rsidRDefault="00CB6E6A" w:rsidP="00CB6E6A">
      <w:pPr>
        <w:pStyle w:val="CETCaption"/>
        <w:spacing w:before="80" w:after="120"/>
        <w:rPr>
          <w:rStyle w:val="CETCaptionCarattere"/>
        </w:rPr>
      </w:pPr>
      <w:r w:rsidRPr="00D45F9C">
        <w:rPr>
          <w:rStyle w:val="CETCaptionCarattere"/>
          <w:i/>
        </w:rPr>
        <w:t>Figure 3: The active sulfur content and the weight average molecular weight of the synthesized additives</w:t>
      </w:r>
    </w:p>
    <w:p w14:paraId="5EB23AC2" w14:textId="60EAA982" w:rsidR="004F5DE6" w:rsidRPr="00D45F9C" w:rsidRDefault="00FA7513" w:rsidP="00F765B2">
      <w:pPr>
        <w:pStyle w:val="CETBodytext"/>
        <w:spacing w:after="60"/>
        <w:rPr>
          <w:lang w:val="en-GB"/>
        </w:rPr>
      </w:pPr>
      <w:r w:rsidRPr="00D45F9C">
        <w:rPr>
          <w:lang w:val="en-GB"/>
        </w:rPr>
        <w:t xml:space="preserve">Figure 3 shows that in the case of triglyceride-type raw materials, the active sulfur content is lower, and the weight-average molecular weight of the sulfurized additives produced using them is in a higher range. Based on </w:t>
      </w:r>
      <w:r w:rsidR="00F337AC" w:rsidRPr="00D45F9C">
        <w:rPr>
          <w:lang w:val="en-GB"/>
        </w:rPr>
        <w:t>these phenomena</w:t>
      </w:r>
      <w:r w:rsidRPr="00D45F9C">
        <w:rPr>
          <w:lang w:val="en-GB"/>
        </w:rPr>
        <w:t xml:space="preserve">, it can be concluded that in the case of vegetable oil raw materials, mono- and disulfide chains are mostly formed in the molecules of the sulfurized additive, and these intermolecular sulfur chains also form connections between several triglyceride molecules. As a result, the molecular weight of these molecules increases compared to </w:t>
      </w:r>
      <w:r w:rsidR="004A4437" w:rsidRPr="00D45F9C">
        <w:rPr>
          <w:lang w:val="en-GB"/>
        </w:rPr>
        <w:t>the</w:t>
      </w:r>
      <w:r w:rsidR="00E4107F" w:rsidRPr="00D45F9C">
        <w:rPr>
          <w:lang w:val="en-GB"/>
        </w:rPr>
        <w:t xml:space="preserve"> used</w:t>
      </w:r>
      <w:r w:rsidRPr="00D45F9C">
        <w:rPr>
          <w:lang w:val="en-GB"/>
        </w:rPr>
        <w:t xml:space="preserve"> raw material</w:t>
      </w:r>
      <w:r w:rsidR="00E4107F" w:rsidRPr="00D45F9C">
        <w:rPr>
          <w:lang w:val="en-GB"/>
        </w:rPr>
        <w:t>s molecular weight</w:t>
      </w:r>
      <w:r w:rsidRPr="00D45F9C">
        <w:rPr>
          <w:lang w:val="en-GB"/>
        </w:rPr>
        <w:t>, and their active sulfur content will be lower.</w:t>
      </w:r>
    </w:p>
    <w:p w14:paraId="5DB5AB6F" w14:textId="09B1AB7B" w:rsidR="00BE240D" w:rsidRPr="00D45F9C" w:rsidRDefault="00FC0092" w:rsidP="00F765B2">
      <w:pPr>
        <w:pStyle w:val="CETBodytext"/>
        <w:spacing w:after="60"/>
        <w:rPr>
          <w:lang w:val="en-GB"/>
        </w:rPr>
      </w:pPr>
      <w:r w:rsidRPr="00D45F9C">
        <w:rPr>
          <w:lang w:val="en-GB"/>
        </w:rPr>
        <w:t xml:space="preserve">In the case of alpha-olefin and FAME raw materials, a significant increase in the average molecular weight is not observed. Based on this, it can be concluded that a smaller number of molecules are connected by sulfur bridges. In addition, </w:t>
      </w:r>
      <w:r w:rsidR="008572B5" w:rsidRPr="00D45F9C">
        <w:rPr>
          <w:lang w:val="en-GB"/>
        </w:rPr>
        <w:t xml:space="preserve">the </w:t>
      </w:r>
      <w:r w:rsidR="0078516F" w:rsidRPr="00D45F9C">
        <w:rPr>
          <w:lang w:val="en-GB"/>
        </w:rPr>
        <w:t>additives</w:t>
      </w:r>
      <w:r w:rsidRPr="00D45F9C">
        <w:rPr>
          <w:lang w:val="en-GB"/>
        </w:rPr>
        <w:t xml:space="preserve"> synthesized from these types of raw materials </w:t>
      </w:r>
      <w:r w:rsidR="00B15530" w:rsidRPr="00D45F9C">
        <w:rPr>
          <w:lang w:val="en-GB"/>
        </w:rPr>
        <w:t>h</w:t>
      </w:r>
      <w:r w:rsidR="00B1375E" w:rsidRPr="00D45F9C">
        <w:rPr>
          <w:lang w:val="en-GB"/>
        </w:rPr>
        <w:t>ave</w:t>
      </w:r>
      <w:r w:rsidRPr="00D45F9C">
        <w:rPr>
          <w:lang w:val="en-GB"/>
        </w:rPr>
        <w:t xml:space="preserve"> higher</w:t>
      </w:r>
      <w:r w:rsidR="00B15530" w:rsidRPr="00D45F9C">
        <w:rPr>
          <w:lang w:val="en-GB"/>
        </w:rPr>
        <w:t xml:space="preserve"> active sulfur content </w:t>
      </w:r>
      <w:r w:rsidRPr="00D45F9C">
        <w:rPr>
          <w:lang w:val="en-GB"/>
        </w:rPr>
        <w:t>than th</w:t>
      </w:r>
      <w:r w:rsidR="008572B5" w:rsidRPr="00D45F9C">
        <w:rPr>
          <w:lang w:val="en-GB"/>
        </w:rPr>
        <w:t xml:space="preserve">e </w:t>
      </w:r>
      <w:r w:rsidRPr="00D45F9C">
        <w:rPr>
          <w:lang w:val="en-GB"/>
        </w:rPr>
        <w:t xml:space="preserve">additives </w:t>
      </w:r>
      <w:r w:rsidR="008572B5" w:rsidRPr="00D45F9C">
        <w:rPr>
          <w:lang w:val="en-GB"/>
        </w:rPr>
        <w:t>that</w:t>
      </w:r>
      <w:r w:rsidR="00B15530" w:rsidRPr="00D45F9C">
        <w:rPr>
          <w:lang w:val="en-GB"/>
        </w:rPr>
        <w:t xml:space="preserve"> </w:t>
      </w:r>
      <w:r w:rsidRPr="00D45F9C">
        <w:rPr>
          <w:lang w:val="en-GB"/>
        </w:rPr>
        <w:t>formed from vegetable oil raw materials</w:t>
      </w:r>
      <w:r w:rsidR="00B1375E" w:rsidRPr="00D45F9C">
        <w:rPr>
          <w:lang w:val="en-GB"/>
        </w:rPr>
        <w:t xml:space="preserve"> have</w:t>
      </w:r>
      <w:r w:rsidRPr="00D45F9C">
        <w:rPr>
          <w:lang w:val="en-GB"/>
        </w:rPr>
        <w:t>. This implies that the number of sulfur atoms in the intermolecular sulfur chains connecting their molecules is 3 or higher.</w:t>
      </w:r>
    </w:p>
    <w:p w14:paraId="7B9E1360" w14:textId="3DC8FD90" w:rsidR="008867CD" w:rsidRPr="00D45F9C" w:rsidRDefault="003561F4" w:rsidP="00E75FF6">
      <w:pPr>
        <w:pStyle w:val="CETBodytext"/>
        <w:spacing w:before="120" w:after="60"/>
        <w:rPr>
          <w:lang w:val="en-GB"/>
        </w:rPr>
      </w:pPr>
      <w:r w:rsidRPr="00D45F9C">
        <w:rPr>
          <w:lang w:val="en-GB"/>
        </w:rPr>
        <w:t xml:space="preserve">The four-ball wear scar diameter measurements were determined from the base oil solution of the synthesized additive samples. The </w:t>
      </w:r>
      <w:r w:rsidR="00F13AF0" w:rsidRPr="00D45F9C">
        <w:rPr>
          <w:lang w:val="en-GB"/>
        </w:rPr>
        <w:t>diameter</w:t>
      </w:r>
      <w:r w:rsidRPr="00D45F9C">
        <w:rPr>
          <w:lang w:val="en-GB"/>
        </w:rPr>
        <w:t xml:space="preserve"> of the wear scar is affected by the chain length and active sulfur content of the molecules that </w:t>
      </w:r>
      <w:r w:rsidR="00F13AF0" w:rsidRPr="00D45F9C">
        <w:rPr>
          <w:lang w:val="en-GB"/>
        </w:rPr>
        <w:t>build</w:t>
      </w:r>
      <w:r w:rsidRPr="00D45F9C">
        <w:rPr>
          <w:lang w:val="en-GB"/>
        </w:rPr>
        <w:t xml:space="preserve"> up the additive molecule. Additive molecules containing longer carbon chain compounds have a positive effect on the </w:t>
      </w:r>
      <w:r w:rsidR="00F73CC5" w:rsidRPr="00D45F9C">
        <w:rPr>
          <w:lang w:val="en-GB"/>
        </w:rPr>
        <w:t>extent</w:t>
      </w:r>
      <w:r w:rsidRPr="00D45F9C">
        <w:rPr>
          <w:lang w:val="en-GB"/>
        </w:rPr>
        <w:t xml:space="preserve"> of wear. Also, additives with a lower active sulfur content </w:t>
      </w:r>
      <w:r w:rsidR="00DD058C" w:rsidRPr="00D45F9C">
        <w:rPr>
          <w:lang w:val="en-GB"/>
        </w:rPr>
        <w:t xml:space="preserve">also </w:t>
      </w:r>
      <w:r w:rsidRPr="00D45F9C">
        <w:rPr>
          <w:lang w:val="en-GB"/>
        </w:rPr>
        <w:t>have a better anti-wear effect.</w:t>
      </w:r>
      <w:r w:rsidR="00D615B2" w:rsidRPr="00D45F9C">
        <w:rPr>
          <w:lang w:val="en-GB"/>
        </w:rPr>
        <w:t xml:space="preserve"> (</w:t>
      </w:r>
      <w:r w:rsidR="0083527F" w:rsidRPr="00D45F9C">
        <w:rPr>
          <w:lang w:val="en-GB"/>
        </w:rPr>
        <w:t>Endre</w:t>
      </w:r>
      <w:r w:rsidR="00D615B2" w:rsidRPr="00D45F9C">
        <w:rPr>
          <w:lang w:val="en-GB"/>
        </w:rPr>
        <w:t>, 19</w:t>
      </w:r>
      <w:r w:rsidR="00FC4C74" w:rsidRPr="00D45F9C">
        <w:rPr>
          <w:lang w:val="en-GB"/>
        </w:rPr>
        <w:t>83</w:t>
      </w:r>
      <w:r w:rsidR="00D615B2" w:rsidRPr="00D45F9C">
        <w:rPr>
          <w:lang w:val="en-GB"/>
        </w:rPr>
        <w:t>).</w:t>
      </w:r>
    </w:p>
    <w:p w14:paraId="3646AEC6" w14:textId="3A5E3F3C" w:rsidR="008867CD" w:rsidRPr="00D45F9C" w:rsidRDefault="006079DA" w:rsidP="00E75FF6">
      <w:pPr>
        <w:pStyle w:val="CETBodytext"/>
        <w:spacing w:before="120" w:after="60"/>
        <w:rPr>
          <w:lang w:val="en-GB"/>
        </w:rPr>
      </w:pPr>
      <w:r w:rsidRPr="00D45F9C">
        <w:rPr>
          <w:noProof/>
          <w:lang w:val="en-GB"/>
        </w:rPr>
        <w:lastRenderedPageBreak/>
        <w:drawing>
          <wp:inline distT="0" distB="0" distL="0" distR="0" wp14:anchorId="7E1A7E02" wp14:editId="231207FC">
            <wp:extent cx="3301405" cy="2160000"/>
            <wp:effectExtent l="0" t="0" r="0" b="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01405" cy="2160000"/>
                    </a:xfrm>
                    <a:prstGeom prst="rect">
                      <a:avLst/>
                    </a:prstGeom>
                    <a:noFill/>
                  </pic:spPr>
                </pic:pic>
              </a:graphicData>
            </a:graphic>
          </wp:inline>
        </w:drawing>
      </w:r>
    </w:p>
    <w:p w14:paraId="6941CF42" w14:textId="17D3EF9A" w:rsidR="00492A0D" w:rsidRPr="00D45F9C" w:rsidRDefault="00492A0D" w:rsidP="00657840">
      <w:pPr>
        <w:pStyle w:val="CETCaption"/>
        <w:spacing w:before="80" w:after="120"/>
        <w:rPr>
          <w:rStyle w:val="CETCaptionCarattere"/>
          <w:i/>
        </w:rPr>
      </w:pPr>
      <w:r w:rsidRPr="00D45F9C">
        <w:rPr>
          <w:rStyle w:val="CETCaptionCarattere"/>
          <w:i/>
        </w:rPr>
        <w:t xml:space="preserve">Figure </w:t>
      </w:r>
      <w:r w:rsidR="007D55F4" w:rsidRPr="00D45F9C">
        <w:rPr>
          <w:rStyle w:val="CETCaptionCarattere"/>
          <w:i/>
        </w:rPr>
        <w:t>4</w:t>
      </w:r>
      <w:r w:rsidRPr="00D45F9C">
        <w:rPr>
          <w:rStyle w:val="CETCaptionCarattere"/>
          <w:i/>
        </w:rPr>
        <w:t xml:space="preserve">: </w:t>
      </w:r>
      <w:r w:rsidR="009D2E6A" w:rsidRPr="00D45F9C">
        <w:rPr>
          <w:rStyle w:val="CETCaptionCarattere"/>
          <w:i/>
        </w:rPr>
        <w:t xml:space="preserve">The four-ball </w:t>
      </w:r>
      <w:r w:rsidR="00CB0202" w:rsidRPr="00D45F9C">
        <w:rPr>
          <w:rStyle w:val="CETCaptionCarattere"/>
          <w:i/>
        </w:rPr>
        <w:t xml:space="preserve">wear scar diameter </w:t>
      </w:r>
      <w:r w:rsidR="009D2E6A" w:rsidRPr="00D45F9C">
        <w:rPr>
          <w:rStyle w:val="CETCaptionCarattere"/>
          <w:i/>
        </w:rPr>
        <w:t xml:space="preserve">results of the base oil solutions of the synthesized additives and the </w:t>
      </w:r>
      <w:r w:rsidR="00F30324" w:rsidRPr="00D45F9C">
        <w:rPr>
          <w:rStyle w:val="CETCaptionCarattere"/>
          <w:i/>
        </w:rPr>
        <w:t>weight average molecular weight of the synthesized additives</w:t>
      </w:r>
    </w:p>
    <w:p w14:paraId="459C861A" w14:textId="730BD9A0" w:rsidR="00F337AC" w:rsidRPr="00D45F9C" w:rsidRDefault="00CB6E6A" w:rsidP="00A65EAB">
      <w:pPr>
        <w:pStyle w:val="CETBodytext"/>
        <w:spacing w:after="60"/>
        <w:rPr>
          <w:lang w:val="en-GB"/>
        </w:rPr>
      </w:pPr>
      <w:r w:rsidRPr="00D45F9C">
        <w:rPr>
          <w:lang w:val="en-GB"/>
        </w:rPr>
        <w:t>Figure 4 shows that the wear scar diameter is lower for larger additive molecules with higher weight average molecular weight than for additives with lower weight average molecular weight.</w:t>
      </w:r>
      <w:r w:rsidR="006D1701">
        <w:rPr>
          <w:lang w:val="en-GB"/>
        </w:rPr>
        <w:t xml:space="preserve"> </w:t>
      </w:r>
      <w:r w:rsidR="00F337AC" w:rsidRPr="00D45F9C">
        <w:rPr>
          <w:lang w:val="en-GB"/>
        </w:rPr>
        <w:t>Based on this, it can be concluded that both the higher weight average molecular weight and the lower active sulfur content have a positive effect on the wear scar diameter.</w:t>
      </w:r>
    </w:p>
    <w:p w14:paraId="130D5E9F" w14:textId="77777777" w:rsidR="00E75FF6" w:rsidRPr="00D45F9C" w:rsidRDefault="00E75FF6" w:rsidP="00E75FF6">
      <w:pPr>
        <w:pStyle w:val="CETHeading1"/>
        <w:rPr>
          <w:lang w:val="en-GB"/>
        </w:rPr>
      </w:pPr>
      <w:r w:rsidRPr="00D45F9C">
        <w:rPr>
          <w:lang w:val="en-GB"/>
        </w:rPr>
        <w:t>Conclusions</w:t>
      </w:r>
    </w:p>
    <w:p w14:paraId="3646E9D8" w14:textId="47E9A6EA" w:rsidR="00E75FF6" w:rsidRPr="00D45F9C" w:rsidRDefault="00D22943" w:rsidP="00037B36">
      <w:pPr>
        <w:pStyle w:val="CETBodytext"/>
        <w:spacing w:before="120" w:after="60"/>
        <w:rPr>
          <w:lang w:val="en-GB"/>
        </w:rPr>
      </w:pPr>
      <w:r w:rsidRPr="00D45F9C">
        <w:rPr>
          <w:lang w:val="en-GB"/>
        </w:rPr>
        <w:t>Our experiments showed that the primary physicochemical properties and functional characteristics of the synthesized samples are closely linked to the composition of the vegetable oils used. Additives derived from olive pomace oil provided the most desirable functional effects, yet for broader applicability, the use of sunflower and rapeseed oils proves more advantageous.</w:t>
      </w:r>
    </w:p>
    <w:p w14:paraId="2C71DAD3" w14:textId="188E3639" w:rsidR="00F337AC" w:rsidRPr="00D45F9C" w:rsidRDefault="00F337AC" w:rsidP="00037B36">
      <w:pPr>
        <w:pStyle w:val="CETListbullets"/>
        <w:numPr>
          <w:ilvl w:val="0"/>
          <w:numId w:val="13"/>
        </w:numPr>
      </w:pPr>
      <w:r w:rsidRPr="00D45F9C">
        <w:t>Additives containing molecules with longer carbon chains have a beneficial impact on wear resistance. Additionally, those with lower active sulfur content demonstrate superior anti-wear properties.</w:t>
      </w:r>
    </w:p>
    <w:p w14:paraId="42505475" w14:textId="2712BB9F" w:rsidR="00FF5EAD" w:rsidRPr="00D45F9C" w:rsidRDefault="003A78FA" w:rsidP="00037B36">
      <w:pPr>
        <w:pStyle w:val="CETListbullets"/>
        <w:numPr>
          <w:ilvl w:val="0"/>
          <w:numId w:val="13"/>
        </w:numPr>
      </w:pPr>
      <w:r w:rsidRPr="00D45F9C">
        <w:t>It was identified that t</w:t>
      </w:r>
      <w:r w:rsidR="00FF5EAD" w:rsidRPr="00D45F9C">
        <w:t>he most favourable wear scar diameter results were obtained for additive samples synthesized from triglyceride raw materials.</w:t>
      </w:r>
    </w:p>
    <w:p w14:paraId="26E4AC97" w14:textId="453786D2" w:rsidR="00F337AC" w:rsidRPr="00D45F9C" w:rsidRDefault="00F337AC" w:rsidP="00037B36">
      <w:pPr>
        <w:pStyle w:val="CETListbullets"/>
        <w:numPr>
          <w:ilvl w:val="0"/>
          <w:numId w:val="13"/>
        </w:numPr>
      </w:pPr>
      <w:r w:rsidRPr="00D45F9C">
        <w:t xml:space="preserve">The </w:t>
      </w:r>
      <w:r w:rsidR="00096DD0" w:rsidRPr="00096DD0">
        <w:t xml:space="preserve">Gel Permeation Chromatography </w:t>
      </w:r>
      <w:r w:rsidRPr="00D45F9C">
        <w:t>system employed in this study was found to be highly suitable for the analysis of sulfurized vegetable oil-based EP additives.</w:t>
      </w:r>
    </w:p>
    <w:p w14:paraId="2DBDF1D3" w14:textId="44009814" w:rsidR="00F337AC" w:rsidRPr="00D45F9C" w:rsidRDefault="00F337AC" w:rsidP="00037B36">
      <w:pPr>
        <w:pStyle w:val="CETListbullets"/>
        <w:numPr>
          <w:ilvl w:val="0"/>
          <w:numId w:val="13"/>
        </w:numPr>
      </w:pPr>
      <w:r w:rsidRPr="00D45F9C">
        <w:t xml:space="preserve">Analysis of the </w:t>
      </w:r>
      <w:r w:rsidR="00096DD0" w:rsidRPr="00096DD0">
        <w:t>Gel Permeation Chromatography</w:t>
      </w:r>
      <w:r w:rsidRPr="00D45F9C">
        <w:t xml:space="preserve"> results revealed that sulfur was not incorporated into the EP-6 and EP</w:t>
      </w:r>
      <w:r w:rsidR="000B7B40">
        <w:noBreakHyphen/>
      </w:r>
      <w:r w:rsidRPr="00D45F9C">
        <w:t>9 samples, as indicated by their molecular weight values.</w:t>
      </w:r>
    </w:p>
    <w:p w14:paraId="5985CB06" w14:textId="77777777" w:rsidR="00E75FF6" w:rsidRPr="00D45F9C" w:rsidRDefault="00E75FF6" w:rsidP="00E75FF6">
      <w:pPr>
        <w:pStyle w:val="CETReference"/>
      </w:pPr>
      <w:r w:rsidRPr="00D45F9C">
        <w:t>References</w:t>
      </w:r>
    </w:p>
    <w:p w14:paraId="6B082CC6" w14:textId="1FBD8C33" w:rsidR="005E322A" w:rsidRPr="00D45F9C" w:rsidRDefault="005E322A" w:rsidP="00E75FF6">
      <w:pPr>
        <w:pStyle w:val="CETReferencetext"/>
      </w:pPr>
      <w:r w:rsidRPr="00D45F9C">
        <w:t>Abdulrahman A</w:t>
      </w:r>
      <w:r w:rsidR="004F5704">
        <w:t>.</w:t>
      </w:r>
      <w:r w:rsidRPr="00D45F9C">
        <w:t>S</w:t>
      </w:r>
      <w:r w:rsidR="004F5704">
        <w:t>.</w:t>
      </w:r>
      <w:r w:rsidR="00881B70" w:rsidRPr="00D45F9C">
        <w:t>,</w:t>
      </w:r>
      <w:r w:rsidRPr="00D45F9C">
        <w:t xml:space="preserve"> Lawal S</w:t>
      </w:r>
      <w:r w:rsidR="004F5704">
        <w:t>.</w:t>
      </w:r>
      <w:r w:rsidRPr="00D45F9C">
        <w:t>A</w:t>
      </w:r>
      <w:r w:rsidR="004F5704">
        <w:t>.</w:t>
      </w:r>
      <w:r w:rsidR="00881B70" w:rsidRPr="00D45F9C">
        <w:t>,</w:t>
      </w:r>
      <w:r w:rsidRPr="00D45F9C">
        <w:t xml:space="preserve"> Ojapah, M</w:t>
      </w:r>
      <w:r w:rsidR="004F5704">
        <w:t>.</w:t>
      </w:r>
      <w:r w:rsidRPr="00D45F9C">
        <w:t>M</w:t>
      </w:r>
      <w:r w:rsidR="004F5704">
        <w:t>.</w:t>
      </w:r>
      <w:r w:rsidR="00881B70" w:rsidRPr="00D45F9C">
        <w:t>,</w:t>
      </w:r>
      <w:r w:rsidRPr="00D45F9C">
        <w:t xml:space="preserve"> Olutoye M</w:t>
      </w:r>
      <w:r w:rsidR="004F5704">
        <w:t>.</w:t>
      </w:r>
      <w:r w:rsidRPr="00D45F9C">
        <w:t>A</w:t>
      </w:r>
      <w:r w:rsidR="004F5704">
        <w:t>.</w:t>
      </w:r>
      <w:r w:rsidR="00881B70" w:rsidRPr="00D45F9C">
        <w:t>,</w:t>
      </w:r>
      <w:r w:rsidRPr="00D45F9C">
        <w:t xml:space="preserve"> Woma T</w:t>
      </w:r>
      <w:r w:rsidR="004F5704">
        <w:t>.</w:t>
      </w:r>
      <w:r w:rsidRPr="00D45F9C">
        <w:t>Y</w:t>
      </w:r>
      <w:r w:rsidR="004F5704">
        <w:t xml:space="preserve">., 2019, </w:t>
      </w:r>
      <w:r w:rsidR="004F6A70" w:rsidRPr="00D45F9C">
        <w:t xml:space="preserve"> </w:t>
      </w:r>
      <w:r w:rsidRPr="00D45F9C">
        <w:t>Vegetable Oil Lubricants: Challenges and Prospects</w:t>
      </w:r>
      <w:r w:rsidR="004F6A70" w:rsidRPr="00D45F9C">
        <w:t>,</w:t>
      </w:r>
      <w:r w:rsidRPr="00D45F9C">
        <w:t xml:space="preserve"> Japanese Society of Tribologists, Vol. 14, No. 2, 60-70.</w:t>
      </w:r>
    </w:p>
    <w:p w14:paraId="00C1C0B4" w14:textId="77777777" w:rsidR="004F5704" w:rsidRDefault="004F5704" w:rsidP="004F5704">
      <w:pPr>
        <w:pStyle w:val="CETReferencetext"/>
      </w:pPr>
      <w:proofErr w:type="spellStart"/>
      <w:r>
        <w:t>Azarhoushang</w:t>
      </w:r>
      <w:proofErr w:type="spellEnd"/>
      <w:r>
        <w:t xml:space="preserve"> B., 2022, Tribology and Fundamentals of Abrasive Machining Processes, Third Edition, Chapter 17, 615-652.</w:t>
      </w:r>
    </w:p>
    <w:p w14:paraId="3C7B6F4A" w14:textId="77777777" w:rsidR="004F5704" w:rsidRDefault="004F5704" w:rsidP="004F5704">
      <w:pPr>
        <w:pStyle w:val="CETReferencetext"/>
      </w:pPr>
      <w:r>
        <w:t xml:space="preserve">Bart J., </w:t>
      </w:r>
      <w:proofErr w:type="spellStart"/>
      <w:r>
        <w:t>Gucciardi</w:t>
      </w:r>
      <w:proofErr w:type="spellEnd"/>
      <w:r>
        <w:t xml:space="preserve"> S., Cavallaro S., 2013, Biolubricants, Science, and Technology, Woodhead Publishing Series in Energy, Chapter 7, 351-395.</w:t>
      </w:r>
    </w:p>
    <w:p w14:paraId="715BDAB3" w14:textId="77777777" w:rsidR="004F5704" w:rsidRDefault="004F5704" w:rsidP="004F5704">
      <w:pPr>
        <w:pStyle w:val="CETReferencetext"/>
      </w:pPr>
      <w:r>
        <w:t>Donald A.L., John A.B., 1979, Extreme pressure additives for lubricants, US4149982, USA.</w:t>
      </w:r>
    </w:p>
    <w:p w14:paraId="57C487A1" w14:textId="77777777" w:rsidR="004F5704" w:rsidRDefault="004F5704" w:rsidP="004F5704">
      <w:pPr>
        <w:pStyle w:val="CETReferencetext"/>
      </w:pPr>
      <w:r>
        <w:t>Endre V., 1983, Tribological Handbook, Friction, Wear and Lubrication of Machines and Machine Parts, Technical Publishing House, Budapest, Hungary, 36-116.</w:t>
      </w:r>
    </w:p>
    <w:p w14:paraId="3097226D" w14:textId="77777777" w:rsidR="004F5704" w:rsidRDefault="004F5704" w:rsidP="004F5704">
      <w:pPr>
        <w:pStyle w:val="CETReferencetext"/>
      </w:pPr>
      <w:r>
        <w:t>Frank L.E., Phillip S.L., Robert E.A., 1979, Vegetable oil derivatives as lubricant additives, EP0353872A1, USA.</w:t>
      </w:r>
    </w:p>
    <w:p w14:paraId="62EE19ED" w14:textId="77777777" w:rsidR="004F5704" w:rsidRDefault="004F5704" w:rsidP="004F5704">
      <w:pPr>
        <w:pStyle w:val="CETReferencetext"/>
      </w:pPr>
      <w:r>
        <w:t xml:space="preserve">Gábor Z.N., </w:t>
      </w:r>
      <w:proofErr w:type="spellStart"/>
      <w:r>
        <w:t>Nikoletta</w:t>
      </w:r>
      <w:proofErr w:type="spellEnd"/>
      <w:r>
        <w:t xml:space="preserve"> L., Roland N., 2022, Investigation of vegetable oil raw materials for sulfurized vegetable oil-based lubricant additives, Technical Scientific Publications, 17.</w:t>
      </w:r>
    </w:p>
    <w:p w14:paraId="48B4934E" w14:textId="77777777" w:rsidR="004F5704" w:rsidRDefault="004F5704" w:rsidP="004F5704">
      <w:pPr>
        <w:pStyle w:val="CETReferencetext"/>
      </w:pPr>
      <w:r>
        <w:t>Kishore N., 2000, Determination of Sulfur in Petroleum Products and Lubricants: A Critical Review of Test Performance, American Laboratory, November.</w:t>
      </w:r>
    </w:p>
    <w:p w14:paraId="29806BC4" w14:textId="77777777" w:rsidR="004F5704" w:rsidRDefault="004F5704" w:rsidP="004F5704">
      <w:pPr>
        <w:pStyle w:val="CETReferencetext"/>
      </w:pPr>
      <w:r>
        <w:t>Leslie R.R., 2017, Lubricant Additives. Chemistry and Applications, Third Edition, CRC Press, Boca Raton, FL, 211-278.</w:t>
      </w:r>
    </w:p>
    <w:p w14:paraId="7347625C" w14:textId="524A35D7" w:rsidR="004F5704" w:rsidRDefault="00AE7964" w:rsidP="00AD214B">
      <w:pPr>
        <w:pStyle w:val="CETReferencetext"/>
      </w:pPr>
      <w:r w:rsidRPr="000822AD">
        <w:rPr>
          <w:lang w:val="en-US"/>
        </w:rPr>
        <w:t>Miguel A.</w:t>
      </w:r>
      <w:r w:rsidR="00A354D7" w:rsidRPr="000822AD">
        <w:rPr>
          <w:lang w:val="en-US"/>
        </w:rPr>
        <w:t>,</w:t>
      </w:r>
      <w:r w:rsidRPr="000822AD">
        <w:rPr>
          <w:lang w:val="en-US"/>
        </w:rPr>
        <w:t xml:space="preserve"> Karla E.</w:t>
      </w:r>
      <w:r w:rsidR="00A354D7" w:rsidRPr="000822AD">
        <w:rPr>
          <w:lang w:val="en-US"/>
        </w:rPr>
        <w:t>,</w:t>
      </w:r>
      <w:r w:rsidRPr="000822AD">
        <w:rPr>
          <w:lang w:val="en-US"/>
        </w:rPr>
        <w:t xml:space="preserve"> José J.</w:t>
      </w:r>
      <w:r w:rsidR="00A354D7" w:rsidRPr="000822AD">
        <w:rPr>
          <w:lang w:val="en-US"/>
        </w:rPr>
        <w:t>,</w:t>
      </w:r>
      <w:r w:rsidRPr="000822AD">
        <w:rPr>
          <w:lang w:val="en-US"/>
        </w:rPr>
        <w:t xml:space="preserve"> Salvador </w:t>
      </w:r>
      <w:r>
        <w:t>H</w:t>
      </w:r>
      <w:r w:rsidR="000822AD">
        <w:t>.</w:t>
      </w:r>
      <w:r>
        <w:t>, Fabricio O.</w:t>
      </w:r>
      <w:r w:rsidR="000822AD">
        <w:t>,</w:t>
      </w:r>
      <w:r w:rsidR="004F5704">
        <w:t xml:space="preserve"> 20</w:t>
      </w:r>
      <w:r w:rsidR="00873310">
        <w:t>24</w:t>
      </w:r>
      <w:r w:rsidR="004F5704">
        <w:t xml:space="preserve">, </w:t>
      </w:r>
      <w:r w:rsidR="00AD214B">
        <w:t>Simulation of the Purification Process of Waste Cooking Oil</w:t>
      </w:r>
      <w:r w:rsidR="009D24E7">
        <w:t xml:space="preserve"> </w:t>
      </w:r>
      <w:r w:rsidR="00AD214B">
        <w:t>as a Feedstock for Biodiesel Production</w:t>
      </w:r>
      <w:r w:rsidR="004F5704">
        <w:t xml:space="preserve">, </w:t>
      </w:r>
      <w:r w:rsidR="00FF3AB5">
        <w:t>Chemical Engineering Transactions</w:t>
      </w:r>
      <w:r w:rsidR="00466E02">
        <w:t>, 110</w:t>
      </w:r>
      <w:r w:rsidR="004F5704">
        <w:t xml:space="preserve">, </w:t>
      </w:r>
      <w:r w:rsidR="00357D92">
        <w:t>55-60</w:t>
      </w:r>
      <w:r w:rsidR="004F5704">
        <w:t>.</w:t>
      </w:r>
    </w:p>
    <w:p w14:paraId="3E80D477" w14:textId="5E2EBC41" w:rsidR="00DB072B" w:rsidRPr="00AF1636" w:rsidRDefault="004F5704" w:rsidP="00DB072B">
      <w:pPr>
        <w:pStyle w:val="CETReferencetext"/>
      </w:pPr>
      <w:r>
        <w:t>Wilfried D., Theo M., 2017, Lubricants and Lubrication, Third Edition, Wiley, Weinheim, 138-144.</w:t>
      </w:r>
    </w:p>
    <w:sectPr w:rsidR="00DB072B" w:rsidRPr="00AF1636"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F9528" w14:textId="77777777" w:rsidR="00DD05B4" w:rsidRDefault="00DD05B4" w:rsidP="004F5E36">
      <w:r>
        <w:separator/>
      </w:r>
    </w:p>
  </w:endnote>
  <w:endnote w:type="continuationSeparator" w:id="0">
    <w:p w14:paraId="39DA78BA" w14:textId="77777777" w:rsidR="00DD05B4" w:rsidRDefault="00DD05B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E8595" w14:textId="77777777" w:rsidR="00DD05B4" w:rsidRDefault="00DD05B4" w:rsidP="004F5E36">
      <w:r>
        <w:separator/>
      </w:r>
    </w:p>
  </w:footnote>
  <w:footnote w:type="continuationSeparator" w:id="0">
    <w:p w14:paraId="49612B69" w14:textId="77777777" w:rsidR="00DD05B4" w:rsidRDefault="00DD05B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Szmozottlist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Szmozottlist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Szmozottlist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Szmozottlist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Felsorol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Felsorol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Felsorol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Felsorol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Szmozottlist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Felsorols"/>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Egyszertblzat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B9ACA944"/>
    <w:lvl w:ilvl="0" w:tplc="47447030">
      <w:start w:val="1"/>
      <w:numFmt w:val="bullet"/>
      <w:pStyle w:val="CETnumberingbullets"/>
      <w:lvlText w:val=""/>
      <w:lvlJc w:val="left"/>
      <w:pPr>
        <w:ind w:left="340" w:hanging="227"/>
      </w:pPr>
      <w:rPr>
        <w:rFonts w:ascii="Symbol" w:hAnsi="Symbol" w:hint="default"/>
        <w:lang w:val="en-U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94988167">
    <w:abstractNumId w:val="11"/>
  </w:num>
  <w:num w:numId="2" w16cid:durableId="2007592157">
    <w:abstractNumId w:val="8"/>
  </w:num>
  <w:num w:numId="3" w16cid:durableId="1126582946">
    <w:abstractNumId w:val="3"/>
  </w:num>
  <w:num w:numId="4" w16cid:durableId="1176724289">
    <w:abstractNumId w:val="2"/>
  </w:num>
  <w:num w:numId="5" w16cid:durableId="894582558">
    <w:abstractNumId w:val="1"/>
  </w:num>
  <w:num w:numId="6" w16cid:durableId="508300820">
    <w:abstractNumId w:val="0"/>
  </w:num>
  <w:num w:numId="7" w16cid:durableId="300354270">
    <w:abstractNumId w:val="9"/>
  </w:num>
  <w:num w:numId="8" w16cid:durableId="1681854292">
    <w:abstractNumId w:val="7"/>
  </w:num>
  <w:num w:numId="9" w16cid:durableId="452595163">
    <w:abstractNumId w:val="6"/>
  </w:num>
  <w:num w:numId="10" w16cid:durableId="2090418645">
    <w:abstractNumId w:val="5"/>
  </w:num>
  <w:num w:numId="11" w16cid:durableId="1080523044">
    <w:abstractNumId w:val="4"/>
  </w:num>
  <w:num w:numId="12" w16cid:durableId="844974373">
    <w:abstractNumId w:val="18"/>
  </w:num>
  <w:num w:numId="13" w16cid:durableId="2046247968">
    <w:abstractNumId w:val="13"/>
  </w:num>
  <w:num w:numId="14" w16cid:durableId="1479880511">
    <w:abstractNumId w:val="19"/>
  </w:num>
  <w:num w:numId="15" w16cid:durableId="359354646">
    <w:abstractNumId w:val="21"/>
  </w:num>
  <w:num w:numId="16" w16cid:durableId="831408301">
    <w:abstractNumId w:val="20"/>
  </w:num>
  <w:num w:numId="17" w16cid:durableId="2078433073">
    <w:abstractNumId w:val="12"/>
  </w:num>
  <w:num w:numId="18" w16cid:durableId="1014107961">
    <w:abstractNumId w:val="13"/>
    <w:lvlOverride w:ilvl="0">
      <w:startOverride w:val="1"/>
    </w:lvlOverride>
  </w:num>
  <w:num w:numId="19" w16cid:durableId="125054553">
    <w:abstractNumId w:val="17"/>
  </w:num>
  <w:num w:numId="20" w16cid:durableId="1659381365">
    <w:abstractNumId w:val="16"/>
  </w:num>
  <w:num w:numId="21" w16cid:durableId="39789889">
    <w:abstractNumId w:val="15"/>
  </w:num>
  <w:num w:numId="22" w16cid:durableId="1205757055">
    <w:abstractNumId w:val="14"/>
  </w:num>
  <w:num w:numId="23" w16cid:durableId="141049092">
    <w:abstractNumId w:val="10"/>
  </w:num>
  <w:num w:numId="24" w16cid:durableId="916478222">
    <w:abstractNumId w:val="11"/>
  </w:num>
  <w:num w:numId="25" w16cid:durableId="2086217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2A25"/>
    <w:rsid w:val="000052FB"/>
    <w:rsid w:val="00005A19"/>
    <w:rsid w:val="00011646"/>
    <w:rsid w:val="000117CB"/>
    <w:rsid w:val="00015A5B"/>
    <w:rsid w:val="000176D5"/>
    <w:rsid w:val="00021F65"/>
    <w:rsid w:val="0002202E"/>
    <w:rsid w:val="00022289"/>
    <w:rsid w:val="00024242"/>
    <w:rsid w:val="000245AB"/>
    <w:rsid w:val="000247EC"/>
    <w:rsid w:val="00024F1A"/>
    <w:rsid w:val="00026216"/>
    <w:rsid w:val="0003148D"/>
    <w:rsid w:val="00031977"/>
    <w:rsid w:val="00031EEC"/>
    <w:rsid w:val="0003636C"/>
    <w:rsid w:val="00037A36"/>
    <w:rsid w:val="00037B36"/>
    <w:rsid w:val="00044060"/>
    <w:rsid w:val="0005044C"/>
    <w:rsid w:val="00051566"/>
    <w:rsid w:val="000562A9"/>
    <w:rsid w:val="00056DE2"/>
    <w:rsid w:val="00062A9A"/>
    <w:rsid w:val="00065058"/>
    <w:rsid w:val="00065E61"/>
    <w:rsid w:val="000722A2"/>
    <w:rsid w:val="000775A6"/>
    <w:rsid w:val="00080789"/>
    <w:rsid w:val="000822AD"/>
    <w:rsid w:val="00086C39"/>
    <w:rsid w:val="00096DD0"/>
    <w:rsid w:val="000A03B2"/>
    <w:rsid w:val="000A2289"/>
    <w:rsid w:val="000A50A9"/>
    <w:rsid w:val="000A60B8"/>
    <w:rsid w:val="000A7617"/>
    <w:rsid w:val="000B0274"/>
    <w:rsid w:val="000B73F2"/>
    <w:rsid w:val="000B7B40"/>
    <w:rsid w:val="000D0268"/>
    <w:rsid w:val="000D2DEB"/>
    <w:rsid w:val="000D34BE"/>
    <w:rsid w:val="000D468A"/>
    <w:rsid w:val="000D515B"/>
    <w:rsid w:val="000D7B7B"/>
    <w:rsid w:val="000D7B9C"/>
    <w:rsid w:val="000E0B3C"/>
    <w:rsid w:val="000E102F"/>
    <w:rsid w:val="000E323F"/>
    <w:rsid w:val="000E36F1"/>
    <w:rsid w:val="000E3A73"/>
    <w:rsid w:val="000E414A"/>
    <w:rsid w:val="000E6050"/>
    <w:rsid w:val="000E75FD"/>
    <w:rsid w:val="000F093C"/>
    <w:rsid w:val="000F4978"/>
    <w:rsid w:val="000F787B"/>
    <w:rsid w:val="00101C8F"/>
    <w:rsid w:val="001078CC"/>
    <w:rsid w:val="0011760A"/>
    <w:rsid w:val="0012091F"/>
    <w:rsid w:val="00120CB5"/>
    <w:rsid w:val="001257EF"/>
    <w:rsid w:val="00126BC2"/>
    <w:rsid w:val="00126E56"/>
    <w:rsid w:val="001308B6"/>
    <w:rsid w:val="0013121F"/>
    <w:rsid w:val="00131FE6"/>
    <w:rsid w:val="0013263F"/>
    <w:rsid w:val="001331DF"/>
    <w:rsid w:val="00134DE4"/>
    <w:rsid w:val="00134E66"/>
    <w:rsid w:val="0014034D"/>
    <w:rsid w:val="00140FE3"/>
    <w:rsid w:val="00144D16"/>
    <w:rsid w:val="00150E59"/>
    <w:rsid w:val="00152DE3"/>
    <w:rsid w:val="00153B3D"/>
    <w:rsid w:val="001545A3"/>
    <w:rsid w:val="00155BBE"/>
    <w:rsid w:val="00163BA9"/>
    <w:rsid w:val="00164CF9"/>
    <w:rsid w:val="00164DA5"/>
    <w:rsid w:val="001667A6"/>
    <w:rsid w:val="001669FE"/>
    <w:rsid w:val="00172781"/>
    <w:rsid w:val="00172E7D"/>
    <w:rsid w:val="001735DC"/>
    <w:rsid w:val="00174069"/>
    <w:rsid w:val="00175330"/>
    <w:rsid w:val="0018171E"/>
    <w:rsid w:val="00184917"/>
    <w:rsid w:val="00184AD6"/>
    <w:rsid w:val="00194AD8"/>
    <w:rsid w:val="0019524A"/>
    <w:rsid w:val="001A0B99"/>
    <w:rsid w:val="001A145F"/>
    <w:rsid w:val="001A3254"/>
    <w:rsid w:val="001A4AF7"/>
    <w:rsid w:val="001A6114"/>
    <w:rsid w:val="001A6560"/>
    <w:rsid w:val="001B0349"/>
    <w:rsid w:val="001B1E93"/>
    <w:rsid w:val="001B5145"/>
    <w:rsid w:val="001B541B"/>
    <w:rsid w:val="001B65C1"/>
    <w:rsid w:val="001C260F"/>
    <w:rsid w:val="001C32DC"/>
    <w:rsid w:val="001C4965"/>
    <w:rsid w:val="001C5C3A"/>
    <w:rsid w:val="001C61D9"/>
    <w:rsid w:val="001C684B"/>
    <w:rsid w:val="001D0CFB"/>
    <w:rsid w:val="001D1211"/>
    <w:rsid w:val="001D21AF"/>
    <w:rsid w:val="001D5140"/>
    <w:rsid w:val="001D53FC"/>
    <w:rsid w:val="001E427B"/>
    <w:rsid w:val="001E433B"/>
    <w:rsid w:val="001E6634"/>
    <w:rsid w:val="001F42A5"/>
    <w:rsid w:val="001F590B"/>
    <w:rsid w:val="001F67E3"/>
    <w:rsid w:val="001F7B9D"/>
    <w:rsid w:val="00201C93"/>
    <w:rsid w:val="00203449"/>
    <w:rsid w:val="00205B57"/>
    <w:rsid w:val="00205D5B"/>
    <w:rsid w:val="002071F2"/>
    <w:rsid w:val="00212A36"/>
    <w:rsid w:val="00213BF0"/>
    <w:rsid w:val="00217F3F"/>
    <w:rsid w:val="00221382"/>
    <w:rsid w:val="002224B4"/>
    <w:rsid w:val="0022527B"/>
    <w:rsid w:val="00226FDB"/>
    <w:rsid w:val="00230A6F"/>
    <w:rsid w:val="0024215A"/>
    <w:rsid w:val="002447EF"/>
    <w:rsid w:val="00251550"/>
    <w:rsid w:val="002523F0"/>
    <w:rsid w:val="00260C1F"/>
    <w:rsid w:val="00261F20"/>
    <w:rsid w:val="00263B05"/>
    <w:rsid w:val="002658F0"/>
    <w:rsid w:val="00265FE7"/>
    <w:rsid w:val="0027221A"/>
    <w:rsid w:val="002732E0"/>
    <w:rsid w:val="00275B61"/>
    <w:rsid w:val="00280FAF"/>
    <w:rsid w:val="00282656"/>
    <w:rsid w:val="00296B83"/>
    <w:rsid w:val="002A09D9"/>
    <w:rsid w:val="002A217B"/>
    <w:rsid w:val="002A6454"/>
    <w:rsid w:val="002B1804"/>
    <w:rsid w:val="002B3ECB"/>
    <w:rsid w:val="002B4015"/>
    <w:rsid w:val="002B78CE"/>
    <w:rsid w:val="002C0251"/>
    <w:rsid w:val="002C2FB6"/>
    <w:rsid w:val="002C3833"/>
    <w:rsid w:val="002D5DCC"/>
    <w:rsid w:val="002D6948"/>
    <w:rsid w:val="002E4819"/>
    <w:rsid w:val="002E5FA7"/>
    <w:rsid w:val="002F3309"/>
    <w:rsid w:val="002F39DF"/>
    <w:rsid w:val="002F64C3"/>
    <w:rsid w:val="003008CE"/>
    <w:rsid w:val="00300972"/>
    <w:rsid w:val="003009B7"/>
    <w:rsid w:val="00300E56"/>
    <w:rsid w:val="0030152C"/>
    <w:rsid w:val="003039E1"/>
    <w:rsid w:val="0030469C"/>
    <w:rsid w:val="00320779"/>
    <w:rsid w:val="00321CA6"/>
    <w:rsid w:val="00323763"/>
    <w:rsid w:val="00323C5F"/>
    <w:rsid w:val="00326A72"/>
    <w:rsid w:val="0033249A"/>
    <w:rsid w:val="00333FAB"/>
    <w:rsid w:val="00334C09"/>
    <w:rsid w:val="003353C2"/>
    <w:rsid w:val="00340277"/>
    <w:rsid w:val="00342AEC"/>
    <w:rsid w:val="003455A9"/>
    <w:rsid w:val="0034619D"/>
    <w:rsid w:val="003528B3"/>
    <w:rsid w:val="00353F63"/>
    <w:rsid w:val="003561F4"/>
    <w:rsid w:val="003569D0"/>
    <w:rsid w:val="00357D92"/>
    <w:rsid w:val="003621F9"/>
    <w:rsid w:val="003723D4"/>
    <w:rsid w:val="0037591A"/>
    <w:rsid w:val="00376926"/>
    <w:rsid w:val="00381905"/>
    <w:rsid w:val="00383F3A"/>
    <w:rsid w:val="00384CC8"/>
    <w:rsid w:val="003871FD"/>
    <w:rsid w:val="003904D3"/>
    <w:rsid w:val="00391C49"/>
    <w:rsid w:val="003A1E30"/>
    <w:rsid w:val="003A2829"/>
    <w:rsid w:val="003A2C85"/>
    <w:rsid w:val="003A78FA"/>
    <w:rsid w:val="003A7D1C"/>
    <w:rsid w:val="003B304B"/>
    <w:rsid w:val="003B3146"/>
    <w:rsid w:val="003B49CD"/>
    <w:rsid w:val="003B50BA"/>
    <w:rsid w:val="003C2394"/>
    <w:rsid w:val="003C2F85"/>
    <w:rsid w:val="003C4182"/>
    <w:rsid w:val="003C5D00"/>
    <w:rsid w:val="003C62C3"/>
    <w:rsid w:val="003C73E4"/>
    <w:rsid w:val="003D1E02"/>
    <w:rsid w:val="003E2649"/>
    <w:rsid w:val="003E6B7E"/>
    <w:rsid w:val="003F015E"/>
    <w:rsid w:val="003F5BBD"/>
    <w:rsid w:val="00400414"/>
    <w:rsid w:val="0041446B"/>
    <w:rsid w:val="00421FDD"/>
    <w:rsid w:val="004226CD"/>
    <w:rsid w:val="00423E54"/>
    <w:rsid w:val="00425265"/>
    <w:rsid w:val="004253F5"/>
    <w:rsid w:val="00431589"/>
    <w:rsid w:val="0044071E"/>
    <w:rsid w:val="0044329C"/>
    <w:rsid w:val="0044550C"/>
    <w:rsid w:val="00453E24"/>
    <w:rsid w:val="00454B26"/>
    <w:rsid w:val="00457456"/>
    <w:rsid w:val="004577FE"/>
    <w:rsid w:val="00457B9C"/>
    <w:rsid w:val="00460B02"/>
    <w:rsid w:val="004612CE"/>
    <w:rsid w:val="0046164A"/>
    <w:rsid w:val="004628D2"/>
    <w:rsid w:val="00462DCD"/>
    <w:rsid w:val="004648AD"/>
    <w:rsid w:val="00466093"/>
    <w:rsid w:val="00466E02"/>
    <w:rsid w:val="004703A9"/>
    <w:rsid w:val="004760DE"/>
    <w:rsid w:val="004760E2"/>
    <w:rsid w:val="004763D7"/>
    <w:rsid w:val="00492A0D"/>
    <w:rsid w:val="0049761B"/>
    <w:rsid w:val="004A004E"/>
    <w:rsid w:val="004A179C"/>
    <w:rsid w:val="004A24CF"/>
    <w:rsid w:val="004A4437"/>
    <w:rsid w:val="004A7EB0"/>
    <w:rsid w:val="004C055E"/>
    <w:rsid w:val="004C210E"/>
    <w:rsid w:val="004C2B8A"/>
    <w:rsid w:val="004C3D1D"/>
    <w:rsid w:val="004C3D84"/>
    <w:rsid w:val="004C5B3C"/>
    <w:rsid w:val="004C7913"/>
    <w:rsid w:val="004D0112"/>
    <w:rsid w:val="004E2B84"/>
    <w:rsid w:val="004E4DD6"/>
    <w:rsid w:val="004E61DC"/>
    <w:rsid w:val="004F5704"/>
    <w:rsid w:val="004F5DE6"/>
    <w:rsid w:val="004F5E36"/>
    <w:rsid w:val="004F6A70"/>
    <w:rsid w:val="00503223"/>
    <w:rsid w:val="00506589"/>
    <w:rsid w:val="00507B47"/>
    <w:rsid w:val="00507BEF"/>
    <w:rsid w:val="00507CC9"/>
    <w:rsid w:val="005119A5"/>
    <w:rsid w:val="005202C8"/>
    <w:rsid w:val="00521232"/>
    <w:rsid w:val="005238B9"/>
    <w:rsid w:val="005278B7"/>
    <w:rsid w:val="00532016"/>
    <w:rsid w:val="00532674"/>
    <w:rsid w:val="00532931"/>
    <w:rsid w:val="005346C8"/>
    <w:rsid w:val="005351C9"/>
    <w:rsid w:val="005423FA"/>
    <w:rsid w:val="00543E7D"/>
    <w:rsid w:val="00547A68"/>
    <w:rsid w:val="005531C9"/>
    <w:rsid w:val="00554879"/>
    <w:rsid w:val="00560A81"/>
    <w:rsid w:val="00565E88"/>
    <w:rsid w:val="005665B7"/>
    <w:rsid w:val="00570C43"/>
    <w:rsid w:val="0057424E"/>
    <w:rsid w:val="00575349"/>
    <w:rsid w:val="005846AE"/>
    <w:rsid w:val="005849C0"/>
    <w:rsid w:val="00587ED7"/>
    <w:rsid w:val="00592274"/>
    <w:rsid w:val="00592AD6"/>
    <w:rsid w:val="005B2110"/>
    <w:rsid w:val="005B350B"/>
    <w:rsid w:val="005B61E6"/>
    <w:rsid w:val="005C261E"/>
    <w:rsid w:val="005C5F86"/>
    <w:rsid w:val="005C74B9"/>
    <w:rsid w:val="005C77E1"/>
    <w:rsid w:val="005C7FDC"/>
    <w:rsid w:val="005D0446"/>
    <w:rsid w:val="005D0764"/>
    <w:rsid w:val="005D3156"/>
    <w:rsid w:val="005D668A"/>
    <w:rsid w:val="005D6A2F"/>
    <w:rsid w:val="005E0592"/>
    <w:rsid w:val="005E1A82"/>
    <w:rsid w:val="005E2440"/>
    <w:rsid w:val="005E322A"/>
    <w:rsid w:val="005E6F5E"/>
    <w:rsid w:val="005E746A"/>
    <w:rsid w:val="005E794C"/>
    <w:rsid w:val="005F0A28"/>
    <w:rsid w:val="005F0E5E"/>
    <w:rsid w:val="005F30BC"/>
    <w:rsid w:val="00600535"/>
    <w:rsid w:val="006079DA"/>
    <w:rsid w:val="00610CD6"/>
    <w:rsid w:val="006111DE"/>
    <w:rsid w:val="00613785"/>
    <w:rsid w:val="0062073C"/>
    <w:rsid w:val="00620DEE"/>
    <w:rsid w:val="00621F92"/>
    <w:rsid w:val="0062280A"/>
    <w:rsid w:val="00622BCF"/>
    <w:rsid w:val="006231E1"/>
    <w:rsid w:val="00625639"/>
    <w:rsid w:val="00631B33"/>
    <w:rsid w:val="00632982"/>
    <w:rsid w:val="0063452A"/>
    <w:rsid w:val="0063774D"/>
    <w:rsid w:val="0064184D"/>
    <w:rsid w:val="006422CC"/>
    <w:rsid w:val="00642A4F"/>
    <w:rsid w:val="00646426"/>
    <w:rsid w:val="00651D18"/>
    <w:rsid w:val="006539E0"/>
    <w:rsid w:val="00657840"/>
    <w:rsid w:val="00660E3E"/>
    <w:rsid w:val="00662E74"/>
    <w:rsid w:val="00670676"/>
    <w:rsid w:val="00674C9A"/>
    <w:rsid w:val="00680C23"/>
    <w:rsid w:val="0068237F"/>
    <w:rsid w:val="00683E23"/>
    <w:rsid w:val="00687805"/>
    <w:rsid w:val="00690029"/>
    <w:rsid w:val="00692C9B"/>
    <w:rsid w:val="00693174"/>
    <w:rsid w:val="00693766"/>
    <w:rsid w:val="00697503"/>
    <w:rsid w:val="006A005B"/>
    <w:rsid w:val="006A3281"/>
    <w:rsid w:val="006A4F60"/>
    <w:rsid w:val="006A6DE5"/>
    <w:rsid w:val="006B4888"/>
    <w:rsid w:val="006C2E45"/>
    <w:rsid w:val="006C359C"/>
    <w:rsid w:val="006C5579"/>
    <w:rsid w:val="006D0C8C"/>
    <w:rsid w:val="006D0E84"/>
    <w:rsid w:val="006D1611"/>
    <w:rsid w:val="006D1701"/>
    <w:rsid w:val="006D6E8B"/>
    <w:rsid w:val="006D7209"/>
    <w:rsid w:val="006E1D7A"/>
    <w:rsid w:val="006E4BED"/>
    <w:rsid w:val="006E737D"/>
    <w:rsid w:val="006F04C8"/>
    <w:rsid w:val="006F46E9"/>
    <w:rsid w:val="00707DD1"/>
    <w:rsid w:val="00713973"/>
    <w:rsid w:val="00714FD9"/>
    <w:rsid w:val="00720A24"/>
    <w:rsid w:val="00721EC7"/>
    <w:rsid w:val="00732386"/>
    <w:rsid w:val="00734E78"/>
    <w:rsid w:val="0073514D"/>
    <w:rsid w:val="007447F3"/>
    <w:rsid w:val="00744A44"/>
    <w:rsid w:val="0075499F"/>
    <w:rsid w:val="0076274E"/>
    <w:rsid w:val="007661C8"/>
    <w:rsid w:val="0077098D"/>
    <w:rsid w:val="00780943"/>
    <w:rsid w:val="0078516F"/>
    <w:rsid w:val="00785BF9"/>
    <w:rsid w:val="007907D4"/>
    <w:rsid w:val="007931FA"/>
    <w:rsid w:val="00795BE9"/>
    <w:rsid w:val="007965C9"/>
    <w:rsid w:val="007A322B"/>
    <w:rsid w:val="007A4861"/>
    <w:rsid w:val="007A5865"/>
    <w:rsid w:val="007A7BBA"/>
    <w:rsid w:val="007B0C50"/>
    <w:rsid w:val="007B48F9"/>
    <w:rsid w:val="007C1A43"/>
    <w:rsid w:val="007D0951"/>
    <w:rsid w:val="007D231A"/>
    <w:rsid w:val="007D42B8"/>
    <w:rsid w:val="007D55F4"/>
    <w:rsid w:val="007D610D"/>
    <w:rsid w:val="007D6362"/>
    <w:rsid w:val="007D7750"/>
    <w:rsid w:val="007E0467"/>
    <w:rsid w:val="007F0A3B"/>
    <w:rsid w:val="007F4FC4"/>
    <w:rsid w:val="007F513E"/>
    <w:rsid w:val="0080013E"/>
    <w:rsid w:val="0080155C"/>
    <w:rsid w:val="00801759"/>
    <w:rsid w:val="00806AEA"/>
    <w:rsid w:val="00813288"/>
    <w:rsid w:val="00813489"/>
    <w:rsid w:val="008140AC"/>
    <w:rsid w:val="0081587F"/>
    <w:rsid w:val="008168FC"/>
    <w:rsid w:val="00824B77"/>
    <w:rsid w:val="00830996"/>
    <w:rsid w:val="008345F1"/>
    <w:rsid w:val="0083527F"/>
    <w:rsid w:val="00840314"/>
    <w:rsid w:val="00844BD3"/>
    <w:rsid w:val="008451FC"/>
    <w:rsid w:val="00850FE5"/>
    <w:rsid w:val="008572B5"/>
    <w:rsid w:val="00857A16"/>
    <w:rsid w:val="00861359"/>
    <w:rsid w:val="008631E9"/>
    <w:rsid w:val="008655A7"/>
    <w:rsid w:val="00865B07"/>
    <w:rsid w:val="008667EA"/>
    <w:rsid w:val="00870D09"/>
    <w:rsid w:val="00873310"/>
    <w:rsid w:val="0087637F"/>
    <w:rsid w:val="00876B9E"/>
    <w:rsid w:val="00880611"/>
    <w:rsid w:val="00881B70"/>
    <w:rsid w:val="008832AA"/>
    <w:rsid w:val="00883A82"/>
    <w:rsid w:val="00886133"/>
    <w:rsid w:val="008867CD"/>
    <w:rsid w:val="00892AD5"/>
    <w:rsid w:val="0089332C"/>
    <w:rsid w:val="00894A1B"/>
    <w:rsid w:val="00897573"/>
    <w:rsid w:val="008A1512"/>
    <w:rsid w:val="008C5766"/>
    <w:rsid w:val="008C65BC"/>
    <w:rsid w:val="008D1DBA"/>
    <w:rsid w:val="008D32B9"/>
    <w:rsid w:val="008D433B"/>
    <w:rsid w:val="008D49DA"/>
    <w:rsid w:val="008D4A16"/>
    <w:rsid w:val="008E5401"/>
    <w:rsid w:val="008E566E"/>
    <w:rsid w:val="008E7F06"/>
    <w:rsid w:val="008F3CF6"/>
    <w:rsid w:val="0090161A"/>
    <w:rsid w:val="00901EB6"/>
    <w:rsid w:val="009041F8"/>
    <w:rsid w:val="00904C62"/>
    <w:rsid w:val="00905146"/>
    <w:rsid w:val="00907D56"/>
    <w:rsid w:val="0091129E"/>
    <w:rsid w:val="009216F2"/>
    <w:rsid w:val="00922BA8"/>
    <w:rsid w:val="00924C27"/>
    <w:rsid w:val="00924DAC"/>
    <w:rsid w:val="009268FF"/>
    <w:rsid w:val="00927058"/>
    <w:rsid w:val="0092766C"/>
    <w:rsid w:val="0094089B"/>
    <w:rsid w:val="00942750"/>
    <w:rsid w:val="009448DB"/>
    <w:rsid w:val="009450CE"/>
    <w:rsid w:val="009459BB"/>
    <w:rsid w:val="00945EB9"/>
    <w:rsid w:val="00947179"/>
    <w:rsid w:val="009473A7"/>
    <w:rsid w:val="0095164B"/>
    <w:rsid w:val="00954090"/>
    <w:rsid w:val="009573E7"/>
    <w:rsid w:val="00963E05"/>
    <w:rsid w:val="00964A45"/>
    <w:rsid w:val="00967843"/>
    <w:rsid w:val="00967D54"/>
    <w:rsid w:val="00971028"/>
    <w:rsid w:val="009763C2"/>
    <w:rsid w:val="00982E16"/>
    <w:rsid w:val="009875B9"/>
    <w:rsid w:val="00991DC1"/>
    <w:rsid w:val="00993B84"/>
    <w:rsid w:val="00994C6A"/>
    <w:rsid w:val="00996483"/>
    <w:rsid w:val="00996F5A"/>
    <w:rsid w:val="009A2F73"/>
    <w:rsid w:val="009A578C"/>
    <w:rsid w:val="009A68D1"/>
    <w:rsid w:val="009A7653"/>
    <w:rsid w:val="009B041A"/>
    <w:rsid w:val="009B1F19"/>
    <w:rsid w:val="009B2973"/>
    <w:rsid w:val="009C1B4C"/>
    <w:rsid w:val="009C37C3"/>
    <w:rsid w:val="009C4018"/>
    <w:rsid w:val="009C7C86"/>
    <w:rsid w:val="009D24E7"/>
    <w:rsid w:val="009D2E6A"/>
    <w:rsid w:val="009D2FF7"/>
    <w:rsid w:val="009D3943"/>
    <w:rsid w:val="009D78AA"/>
    <w:rsid w:val="009E4A85"/>
    <w:rsid w:val="009E7884"/>
    <w:rsid w:val="009E788A"/>
    <w:rsid w:val="009F0E08"/>
    <w:rsid w:val="009F44F4"/>
    <w:rsid w:val="009F6656"/>
    <w:rsid w:val="00A04D94"/>
    <w:rsid w:val="00A05CA1"/>
    <w:rsid w:val="00A079AE"/>
    <w:rsid w:val="00A109E7"/>
    <w:rsid w:val="00A112A5"/>
    <w:rsid w:val="00A15DCC"/>
    <w:rsid w:val="00A1728A"/>
    <w:rsid w:val="00A1763D"/>
    <w:rsid w:val="00A17CEC"/>
    <w:rsid w:val="00A2349B"/>
    <w:rsid w:val="00A27EF0"/>
    <w:rsid w:val="00A3305D"/>
    <w:rsid w:val="00A354D7"/>
    <w:rsid w:val="00A42361"/>
    <w:rsid w:val="00A437D8"/>
    <w:rsid w:val="00A46662"/>
    <w:rsid w:val="00A50B20"/>
    <w:rsid w:val="00A51390"/>
    <w:rsid w:val="00A530CB"/>
    <w:rsid w:val="00A60D13"/>
    <w:rsid w:val="00A65EAB"/>
    <w:rsid w:val="00A7223D"/>
    <w:rsid w:val="00A72745"/>
    <w:rsid w:val="00A75193"/>
    <w:rsid w:val="00A7623B"/>
    <w:rsid w:val="00A76EFC"/>
    <w:rsid w:val="00A82BF0"/>
    <w:rsid w:val="00A85565"/>
    <w:rsid w:val="00A87D50"/>
    <w:rsid w:val="00A91010"/>
    <w:rsid w:val="00A92E7F"/>
    <w:rsid w:val="00A97846"/>
    <w:rsid w:val="00A97F29"/>
    <w:rsid w:val="00AA4D84"/>
    <w:rsid w:val="00AA702E"/>
    <w:rsid w:val="00AA7D26"/>
    <w:rsid w:val="00AB01F1"/>
    <w:rsid w:val="00AB0964"/>
    <w:rsid w:val="00AB5011"/>
    <w:rsid w:val="00AC477D"/>
    <w:rsid w:val="00AC564C"/>
    <w:rsid w:val="00AC66ED"/>
    <w:rsid w:val="00AC7368"/>
    <w:rsid w:val="00AD0B2E"/>
    <w:rsid w:val="00AD16B9"/>
    <w:rsid w:val="00AD1A23"/>
    <w:rsid w:val="00AD214B"/>
    <w:rsid w:val="00AD249E"/>
    <w:rsid w:val="00AE377D"/>
    <w:rsid w:val="00AE45CD"/>
    <w:rsid w:val="00AE7964"/>
    <w:rsid w:val="00AF07B6"/>
    <w:rsid w:val="00AF0EBA"/>
    <w:rsid w:val="00AF12C1"/>
    <w:rsid w:val="00AF1636"/>
    <w:rsid w:val="00AF1C34"/>
    <w:rsid w:val="00AF2463"/>
    <w:rsid w:val="00AF36AE"/>
    <w:rsid w:val="00B02C8A"/>
    <w:rsid w:val="00B13334"/>
    <w:rsid w:val="00B1375E"/>
    <w:rsid w:val="00B13EE1"/>
    <w:rsid w:val="00B13FE0"/>
    <w:rsid w:val="00B15530"/>
    <w:rsid w:val="00B17FBD"/>
    <w:rsid w:val="00B2644D"/>
    <w:rsid w:val="00B315A6"/>
    <w:rsid w:val="00B31813"/>
    <w:rsid w:val="00B33365"/>
    <w:rsid w:val="00B33A8C"/>
    <w:rsid w:val="00B40A4F"/>
    <w:rsid w:val="00B45E17"/>
    <w:rsid w:val="00B53771"/>
    <w:rsid w:val="00B56B8A"/>
    <w:rsid w:val="00B57B36"/>
    <w:rsid w:val="00B57C93"/>
    <w:rsid w:val="00B57E6F"/>
    <w:rsid w:val="00B60D43"/>
    <w:rsid w:val="00B6619D"/>
    <w:rsid w:val="00B71CC3"/>
    <w:rsid w:val="00B8014B"/>
    <w:rsid w:val="00B8686D"/>
    <w:rsid w:val="00B922C7"/>
    <w:rsid w:val="00B93F69"/>
    <w:rsid w:val="00BB06BE"/>
    <w:rsid w:val="00BB1DDC"/>
    <w:rsid w:val="00BB2E25"/>
    <w:rsid w:val="00BC30C9"/>
    <w:rsid w:val="00BD077D"/>
    <w:rsid w:val="00BD3B25"/>
    <w:rsid w:val="00BD67F8"/>
    <w:rsid w:val="00BE141B"/>
    <w:rsid w:val="00BE240D"/>
    <w:rsid w:val="00BE3E58"/>
    <w:rsid w:val="00BE44E0"/>
    <w:rsid w:val="00BF13CE"/>
    <w:rsid w:val="00BF1CE6"/>
    <w:rsid w:val="00BF2938"/>
    <w:rsid w:val="00BF2AA4"/>
    <w:rsid w:val="00BF4CEF"/>
    <w:rsid w:val="00BF67CD"/>
    <w:rsid w:val="00C01616"/>
    <w:rsid w:val="00C0162B"/>
    <w:rsid w:val="00C068ED"/>
    <w:rsid w:val="00C121D7"/>
    <w:rsid w:val="00C22E0C"/>
    <w:rsid w:val="00C24A7B"/>
    <w:rsid w:val="00C32C7D"/>
    <w:rsid w:val="00C34411"/>
    <w:rsid w:val="00C345B1"/>
    <w:rsid w:val="00C40142"/>
    <w:rsid w:val="00C41B23"/>
    <w:rsid w:val="00C43023"/>
    <w:rsid w:val="00C478AE"/>
    <w:rsid w:val="00C52C3C"/>
    <w:rsid w:val="00C57182"/>
    <w:rsid w:val="00C57863"/>
    <w:rsid w:val="00C62380"/>
    <w:rsid w:val="00C640AF"/>
    <w:rsid w:val="00C65029"/>
    <w:rsid w:val="00C655FD"/>
    <w:rsid w:val="00C70C22"/>
    <w:rsid w:val="00C723F8"/>
    <w:rsid w:val="00C75407"/>
    <w:rsid w:val="00C81C99"/>
    <w:rsid w:val="00C81E7D"/>
    <w:rsid w:val="00C832AD"/>
    <w:rsid w:val="00C841C6"/>
    <w:rsid w:val="00C84C60"/>
    <w:rsid w:val="00C870A8"/>
    <w:rsid w:val="00C90F7D"/>
    <w:rsid w:val="00C925F7"/>
    <w:rsid w:val="00C94434"/>
    <w:rsid w:val="00C97848"/>
    <w:rsid w:val="00CA045C"/>
    <w:rsid w:val="00CA0D75"/>
    <w:rsid w:val="00CA1C95"/>
    <w:rsid w:val="00CA2401"/>
    <w:rsid w:val="00CA2B81"/>
    <w:rsid w:val="00CA5A9C"/>
    <w:rsid w:val="00CA5F17"/>
    <w:rsid w:val="00CB0202"/>
    <w:rsid w:val="00CB53A0"/>
    <w:rsid w:val="00CB5641"/>
    <w:rsid w:val="00CB6E6A"/>
    <w:rsid w:val="00CC24CB"/>
    <w:rsid w:val="00CC429D"/>
    <w:rsid w:val="00CC4C20"/>
    <w:rsid w:val="00CD3517"/>
    <w:rsid w:val="00CD4C8D"/>
    <w:rsid w:val="00CD5FE2"/>
    <w:rsid w:val="00CD67F8"/>
    <w:rsid w:val="00CD6874"/>
    <w:rsid w:val="00CE27EB"/>
    <w:rsid w:val="00CE29C4"/>
    <w:rsid w:val="00CE4EFC"/>
    <w:rsid w:val="00CE7C68"/>
    <w:rsid w:val="00CF228D"/>
    <w:rsid w:val="00CF4FB4"/>
    <w:rsid w:val="00CF7080"/>
    <w:rsid w:val="00D0037B"/>
    <w:rsid w:val="00D013B6"/>
    <w:rsid w:val="00D02B4C"/>
    <w:rsid w:val="00D040C4"/>
    <w:rsid w:val="00D067D2"/>
    <w:rsid w:val="00D10CF0"/>
    <w:rsid w:val="00D11047"/>
    <w:rsid w:val="00D14801"/>
    <w:rsid w:val="00D20AD1"/>
    <w:rsid w:val="00D22943"/>
    <w:rsid w:val="00D22A92"/>
    <w:rsid w:val="00D2582C"/>
    <w:rsid w:val="00D3014F"/>
    <w:rsid w:val="00D339BF"/>
    <w:rsid w:val="00D444CF"/>
    <w:rsid w:val="00D44F7E"/>
    <w:rsid w:val="00D45F9C"/>
    <w:rsid w:val="00D46010"/>
    <w:rsid w:val="00D46B7E"/>
    <w:rsid w:val="00D471C6"/>
    <w:rsid w:val="00D47A0C"/>
    <w:rsid w:val="00D50D18"/>
    <w:rsid w:val="00D57C84"/>
    <w:rsid w:val="00D6057D"/>
    <w:rsid w:val="00D60915"/>
    <w:rsid w:val="00D615B2"/>
    <w:rsid w:val="00D71640"/>
    <w:rsid w:val="00D734A4"/>
    <w:rsid w:val="00D73FD9"/>
    <w:rsid w:val="00D74BE6"/>
    <w:rsid w:val="00D766AC"/>
    <w:rsid w:val="00D836C5"/>
    <w:rsid w:val="00D84576"/>
    <w:rsid w:val="00D8474F"/>
    <w:rsid w:val="00D84997"/>
    <w:rsid w:val="00D943B7"/>
    <w:rsid w:val="00D950D7"/>
    <w:rsid w:val="00DA1399"/>
    <w:rsid w:val="00DA1CF8"/>
    <w:rsid w:val="00DA24C6"/>
    <w:rsid w:val="00DA4B6C"/>
    <w:rsid w:val="00DA4D7B"/>
    <w:rsid w:val="00DB072B"/>
    <w:rsid w:val="00DB24A2"/>
    <w:rsid w:val="00DB3192"/>
    <w:rsid w:val="00DB41E9"/>
    <w:rsid w:val="00DB61C7"/>
    <w:rsid w:val="00DB70AF"/>
    <w:rsid w:val="00DC24A6"/>
    <w:rsid w:val="00DC2840"/>
    <w:rsid w:val="00DC5856"/>
    <w:rsid w:val="00DC73EE"/>
    <w:rsid w:val="00DC774D"/>
    <w:rsid w:val="00DD058C"/>
    <w:rsid w:val="00DD05B4"/>
    <w:rsid w:val="00DD271C"/>
    <w:rsid w:val="00DD3683"/>
    <w:rsid w:val="00DE264A"/>
    <w:rsid w:val="00DE7656"/>
    <w:rsid w:val="00DF132C"/>
    <w:rsid w:val="00DF5072"/>
    <w:rsid w:val="00DF57A2"/>
    <w:rsid w:val="00E02D18"/>
    <w:rsid w:val="00E041E7"/>
    <w:rsid w:val="00E12843"/>
    <w:rsid w:val="00E13562"/>
    <w:rsid w:val="00E1701A"/>
    <w:rsid w:val="00E21D2B"/>
    <w:rsid w:val="00E23CA1"/>
    <w:rsid w:val="00E26698"/>
    <w:rsid w:val="00E30C20"/>
    <w:rsid w:val="00E314AD"/>
    <w:rsid w:val="00E364D2"/>
    <w:rsid w:val="00E377EA"/>
    <w:rsid w:val="00E409A8"/>
    <w:rsid w:val="00E41062"/>
    <w:rsid w:val="00E4107F"/>
    <w:rsid w:val="00E4217C"/>
    <w:rsid w:val="00E45A10"/>
    <w:rsid w:val="00E4696A"/>
    <w:rsid w:val="00E50C12"/>
    <w:rsid w:val="00E553D8"/>
    <w:rsid w:val="00E572C5"/>
    <w:rsid w:val="00E6029D"/>
    <w:rsid w:val="00E60C3C"/>
    <w:rsid w:val="00E62360"/>
    <w:rsid w:val="00E65B91"/>
    <w:rsid w:val="00E7209D"/>
    <w:rsid w:val="00E72EAD"/>
    <w:rsid w:val="00E72F77"/>
    <w:rsid w:val="00E75FF6"/>
    <w:rsid w:val="00E77223"/>
    <w:rsid w:val="00E8528B"/>
    <w:rsid w:val="00E85B94"/>
    <w:rsid w:val="00E940B3"/>
    <w:rsid w:val="00E978D0"/>
    <w:rsid w:val="00EA0EBF"/>
    <w:rsid w:val="00EA4613"/>
    <w:rsid w:val="00EA7F91"/>
    <w:rsid w:val="00EB0F0D"/>
    <w:rsid w:val="00EB1523"/>
    <w:rsid w:val="00EB4B34"/>
    <w:rsid w:val="00EC0E49"/>
    <w:rsid w:val="00EC101F"/>
    <w:rsid w:val="00EC1D9F"/>
    <w:rsid w:val="00EC4AAD"/>
    <w:rsid w:val="00EC7B1E"/>
    <w:rsid w:val="00ED3B78"/>
    <w:rsid w:val="00EE0131"/>
    <w:rsid w:val="00EE17B0"/>
    <w:rsid w:val="00EE43D0"/>
    <w:rsid w:val="00EF02D5"/>
    <w:rsid w:val="00EF06D9"/>
    <w:rsid w:val="00EF28A4"/>
    <w:rsid w:val="00EF43E7"/>
    <w:rsid w:val="00EF6A69"/>
    <w:rsid w:val="00F0397D"/>
    <w:rsid w:val="00F10C23"/>
    <w:rsid w:val="00F112C7"/>
    <w:rsid w:val="00F13382"/>
    <w:rsid w:val="00F13AF0"/>
    <w:rsid w:val="00F1697B"/>
    <w:rsid w:val="00F17654"/>
    <w:rsid w:val="00F30324"/>
    <w:rsid w:val="00F3049E"/>
    <w:rsid w:val="00F30C64"/>
    <w:rsid w:val="00F3273A"/>
    <w:rsid w:val="00F32BA2"/>
    <w:rsid w:val="00F32CDB"/>
    <w:rsid w:val="00F337AC"/>
    <w:rsid w:val="00F41EE4"/>
    <w:rsid w:val="00F50BEC"/>
    <w:rsid w:val="00F55FB7"/>
    <w:rsid w:val="00F565FE"/>
    <w:rsid w:val="00F60F15"/>
    <w:rsid w:val="00F63A70"/>
    <w:rsid w:val="00F63D8C"/>
    <w:rsid w:val="00F63E47"/>
    <w:rsid w:val="00F666EF"/>
    <w:rsid w:val="00F711AF"/>
    <w:rsid w:val="00F73CC5"/>
    <w:rsid w:val="00F7534E"/>
    <w:rsid w:val="00F75C7C"/>
    <w:rsid w:val="00F765B2"/>
    <w:rsid w:val="00F803B1"/>
    <w:rsid w:val="00F90BC0"/>
    <w:rsid w:val="00F93EDF"/>
    <w:rsid w:val="00F976F8"/>
    <w:rsid w:val="00FA1802"/>
    <w:rsid w:val="00FA21D0"/>
    <w:rsid w:val="00FA5F5F"/>
    <w:rsid w:val="00FA6AE5"/>
    <w:rsid w:val="00FA7513"/>
    <w:rsid w:val="00FB0D19"/>
    <w:rsid w:val="00FB15A7"/>
    <w:rsid w:val="00FB174A"/>
    <w:rsid w:val="00FB730C"/>
    <w:rsid w:val="00FC0092"/>
    <w:rsid w:val="00FC1DE2"/>
    <w:rsid w:val="00FC2695"/>
    <w:rsid w:val="00FC3E03"/>
    <w:rsid w:val="00FC3FC1"/>
    <w:rsid w:val="00FC4C74"/>
    <w:rsid w:val="00FD70C0"/>
    <w:rsid w:val="00FE75D6"/>
    <w:rsid w:val="00FF31B3"/>
    <w:rsid w:val="00FF375C"/>
    <w:rsid w:val="00FF390C"/>
    <w:rsid w:val="00FF3AB5"/>
    <w:rsid w:val="00FF3CC6"/>
    <w:rsid w:val="00FF5EAD"/>
    <w:rsid w:val="00FF785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Cmsor1">
    <w:name w:val="heading 1"/>
    <w:basedOn w:val="CETHeading1"/>
    <w:next w:val="Norml"/>
    <w:link w:val="Cmsor1Char"/>
    <w:uiPriority w:val="9"/>
    <w:rsid w:val="004F5E36"/>
    <w:pPr>
      <w:tabs>
        <w:tab w:val="right" w:pos="7100"/>
      </w:tabs>
      <w:jc w:val="both"/>
      <w:outlineLvl w:val="0"/>
    </w:pPr>
    <w:rPr>
      <w:lang w:val="en-GB"/>
    </w:rPr>
  </w:style>
  <w:style w:type="paragraph" w:styleId="Cmsor2">
    <w:name w:val="heading 2"/>
    <w:basedOn w:val="Norml"/>
    <w:next w:val="Norml"/>
    <w:link w:val="Cmsor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Cmsor9">
    <w:name w:val="heading 9"/>
    <w:basedOn w:val="Norml"/>
    <w:next w:val="Norml"/>
    <w:link w:val="Cmsor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Egyszertblzat1">
    <w:name w:val="Table Simple 1"/>
    <w:basedOn w:val="Normltblzat"/>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Jegyzethivatkozs">
    <w:name w:val="annotation reference"/>
    <w:basedOn w:val="Bekezdsalapbettpusa"/>
    <w:uiPriority w:val="99"/>
    <w:semiHidden/>
    <w:unhideWhenUsed/>
    <w:rsid w:val="004577FE"/>
    <w:rPr>
      <w:sz w:val="16"/>
      <w:szCs w:val="16"/>
    </w:rPr>
  </w:style>
  <w:style w:type="paragraph" w:styleId="Buborkszveg">
    <w:name w:val="Balloon Text"/>
    <w:basedOn w:val="Norml"/>
    <w:link w:val="BuborkszvegChar"/>
    <w:uiPriority w:val="99"/>
    <w:semiHidden/>
    <w:unhideWhenUsed/>
    <w:rsid w:val="000D34BE"/>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D34BE"/>
    <w:rPr>
      <w:rFonts w:ascii="Tahoma" w:hAnsi="Tahoma" w:cs="Tahoma"/>
      <w:sz w:val="16"/>
      <w:szCs w:val="16"/>
    </w:rPr>
  </w:style>
  <w:style w:type="paragraph" w:styleId="Irodalomjegyzk">
    <w:name w:val="Bibliography"/>
    <w:basedOn w:val="CETReferencetext"/>
    <w:uiPriority w:val="37"/>
    <w:unhideWhenUsed/>
    <w:rsid w:val="00631B33"/>
    <w:pPr>
      <w:spacing w:line="240" w:lineRule="auto"/>
      <w:ind w:left="720" w:hanging="720"/>
    </w:pPr>
  </w:style>
  <w:style w:type="paragraph" w:styleId="Szvegtrzs2">
    <w:name w:val="Body Text 2"/>
    <w:basedOn w:val="Norml"/>
    <w:link w:val="Szvegtrzs2Char"/>
    <w:uiPriority w:val="99"/>
    <w:semiHidden/>
    <w:unhideWhenUsed/>
    <w:rsid w:val="0003148D"/>
    <w:pPr>
      <w:spacing w:after="120" w:line="480" w:lineRule="auto"/>
    </w:pPr>
  </w:style>
  <w:style w:type="character" w:customStyle="1" w:styleId="Szvegtrzs2Char">
    <w:name w:val="Szövegtörzs 2 Char"/>
    <w:basedOn w:val="Bekezdsalapbettpusa"/>
    <w:link w:val="Szvegtrzs2"/>
    <w:uiPriority w:val="99"/>
    <w:semiHidden/>
    <w:rsid w:val="0003148D"/>
  </w:style>
  <w:style w:type="paragraph" w:styleId="Szvegtrzs3">
    <w:name w:val="Body Text 3"/>
    <w:basedOn w:val="Norml"/>
    <w:link w:val="Szvegtrzs3Char"/>
    <w:uiPriority w:val="99"/>
    <w:semiHidden/>
    <w:unhideWhenUsed/>
    <w:rsid w:val="0003148D"/>
    <w:pPr>
      <w:spacing w:after="120"/>
    </w:pPr>
    <w:rPr>
      <w:sz w:val="16"/>
      <w:szCs w:val="16"/>
    </w:rPr>
  </w:style>
  <w:style w:type="character" w:customStyle="1" w:styleId="Szvegtrzs3Char">
    <w:name w:val="Szövegtörzs 3 Char"/>
    <w:basedOn w:val="Bekezdsalapbettpusa"/>
    <w:link w:val="Szvegtrzs3"/>
    <w:uiPriority w:val="99"/>
    <w:semiHidden/>
    <w:rsid w:val="0003148D"/>
    <w:rPr>
      <w:sz w:val="16"/>
      <w:szCs w:val="16"/>
    </w:rPr>
  </w:style>
  <w:style w:type="paragraph" w:styleId="Szvegtrzs">
    <w:name w:val="Body Text"/>
    <w:basedOn w:val="Norml"/>
    <w:link w:val="SzvegtrzsChar"/>
    <w:uiPriority w:val="99"/>
    <w:semiHidden/>
    <w:unhideWhenUsed/>
    <w:rsid w:val="0003148D"/>
    <w:pPr>
      <w:spacing w:after="120"/>
    </w:pPr>
  </w:style>
  <w:style w:type="character" w:customStyle="1" w:styleId="SzvegtrzsChar">
    <w:name w:val="Szövegtörzs Char"/>
    <w:basedOn w:val="Bekezdsalapbettpusa"/>
    <w:link w:val="Szvegtrzs"/>
    <w:uiPriority w:val="99"/>
    <w:semiHidden/>
    <w:rsid w:val="0003148D"/>
  </w:style>
  <w:style w:type="paragraph" w:styleId="Dtum">
    <w:name w:val="Date"/>
    <w:basedOn w:val="Norml"/>
    <w:next w:val="Norml"/>
    <w:link w:val="DtumChar"/>
    <w:uiPriority w:val="99"/>
    <w:semiHidden/>
    <w:unhideWhenUsed/>
    <w:rsid w:val="0003148D"/>
  </w:style>
  <w:style w:type="character" w:customStyle="1" w:styleId="DtumChar">
    <w:name w:val="Dátum Char"/>
    <w:basedOn w:val="Bekezdsalapbettpusa"/>
    <w:link w:val="Dtum"/>
    <w:uiPriority w:val="99"/>
    <w:semiHidden/>
    <w:rsid w:val="0003148D"/>
  </w:style>
  <w:style w:type="paragraph" w:styleId="Kpalrs">
    <w:name w:val="caption"/>
    <w:basedOn w:val="Norml"/>
    <w:next w:val="Norml"/>
    <w:uiPriority w:val="35"/>
    <w:semiHidden/>
    <w:unhideWhenUsed/>
    <w:qFormat/>
    <w:rsid w:val="0003148D"/>
    <w:pPr>
      <w:spacing w:line="240" w:lineRule="auto"/>
    </w:pPr>
    <w:rPr>
      <w:b/>
      <w:bCs/>
      <w:color w:val="4F81BD" w:themeColor="accent1"/>
      <w:szCs w:val="18"/>
    </w:rPr>
  </w:style>
  <w:style w:type="paragraph" w:styleId="Lista">
    <w:name w:val="List"/>
    <w:basedOn w:val="Norml"/>
    <w:uiPriority w:val="99"/>
    <w:semiHidden/>
    <w:unhideWhenUsed/>
    <w:rsid w:val="0003148D"/>
    <w:pPr>
      <w:ind w:left="283" w:hanging="283"/>
      <w:contextualSpacing/>
    </w:pPr>
  </w:style>
  <w:style w:type="paragraph" w:styleId="Lista2">
    <w:name w:val="List 2"/>
    <w:basedOn w:val="Norml"/>
    <w:uiPriority w:val="99"/>
    <w:semiHidden/>
    <w:unhideWhenUsed/>
    <w:rsid w:val="0003148D"/>
    <w:pPr>
      <w:ind w:left="566" w:hanging="283"/>
      <w:contextualSpacing/>
    </w:pPr>
  </w:style>
  <w:style w:type="paragraph" w:styleId="Lista3">
    <w:name w:val="List 3"/>
    <w:basedOn w:val="Norml"/>
    <w:uiPriority w:val="99"/>
    <w:semiHidden/>
    <w:unhideWhenUsed/>
    <w:rsid w:val="0003148D"/>
    <w:pPr>
      <w:ind w:left="849" w:hanging="283"/>
      <w:contextualSpacing/>
    </w:pPr>
  </w:style>
  <w:style w:type="paragraph" w:styleId="Lista4">
    <w:name w:val="List 4"/>
    <w:basedOn w:val="Norml"/>
    <w:uiPriority w:val="99"/>
    <w:semiHidden/>
    <w:unhideWhenUsed/>
    <w:rsid w:val="0003148D"/>
    <w:pPr>
      <w:ind w:left="1132" w:hanging="283"/>
      <w:contextualSpacing/>
    </w:pPr>
  </w:style>
  <w:style w:type="paragraph" w:styleId="Lista5">
    <w:name w:val="List 5"/>
    <w:basedOn w:val="Norml"/>
    <w:uiPriority w:val="99"/>
    <w:semiHidden/>
    <w:unhideWhenUsed/>
    <w:rsid w:val="0003148D"/>
    <w:pPr>
      <w:ind w:left="1415" w:hanging="283"/>
      <w:contextualSpacing/>
    </w:pPr>
  </w:style>
  <w:style w:type="paragraph" w:styleId="Listafolytatsa">
    <w:name w:val="List Continue"/>
    <w:basedOn w:val="Norml"/>
    <w:uiPriority w:val="99"/>
    <w:semiHidden/>
    <w:unhideWhenUsed/>
    <w:rsid w:val="0003148D"/>
    <w:pPr>
      <w:spacing w:after="120"/>
      <w:ind w:left="283"/>
      <w:contextualSpacing/>
    </w:pPr>
  </w:style>
  <w:style w:type="paragraph" w:styleId="Listafolytatsa2">
    <w:name w:val="List Continue 2"/>
    <w:basedOn w:val="Norml"/>
    <w:uiPriority w:val="99"/>
    <w:semiHidden/>
    <w:unhideWhenUsed/>
    <w:rsid w:val="0003148D"/>
    <w:pPr>
      <w:spacing w:after="120"/>
      <w:ind w:left="566"/>
      <w:contextualSpacing/>
    </w:pPr>
  </w:style>
  <w:style w:type="paragraph" w:styleId="Listafolytatsa3">
    <w:name w:val="List Continue 3"/>
    <w:basedOn w:val="Norml"/>
    <w:uiPriority w:val="99"/>
    <w:semiHidden/>
    <w:unhideWhenUsed/>
    <w:rsid w:val="0003148D"/>
    <w:pPr>
      <w:spacing w:after="120"/>
      <w:ind w:left="849"/>
      <w:contextualSpacing/>
    </w:pPr>
  </w:style>
  <w:style w:type="paragraph" w:styleId="Listafolytatsa4">
    <w:name w:val="List Continue 4"/>
    <w:basedOn w:val="Norml"/>
    <w:uiPriority w:val="99"/>
    <w:semiHidden/>
    <w:unhideWhenUsed/>
    <w:rsid w:val="0003148D"/>
    <w:pPr>
      <w:spacing w:after="120"/>
      <w:ind w:left="1132"/>
      <w:contextualSpacing/>
    </w:pPr>
  </w:style>
  <w:style w:type="paragraph" w:styleId="Listafolytatsa5">
    <w:name w:val="List Continue 5"/>
    <w:basedOn w:val="Norml"/>
    <w:uiPriority w:val="99"/>
    <w:semiHidden/>
    <w:unhideWhenUsed/>
    <w:rsid w:val="0003148D"/>
    <w:pPr>
      <w:spacing w:after="120"/>
      <w:ind w:left="1415"/>
      <w:contextualSpacing/>
    </w:pPr>
  </w:style>
  <w:style w:type="paragraph" w:styleId="Alrs">
    <w:name w:val="Signature"/>
    <w:basedOn w:val="Norml"/>
    <w:link w:val="AlrsChar"/>
    <w:uiPriority w:val="99"/>
    <w:semiHidden/>
    <w:unhideWhenUsed/>
    <w:rsid w:val="0003148D"/>
    <w:pPr>
      <w:spacing w:line="240" w:lineRule="auto"/>
      <w:ind w:left="4252"/>
    </w:pPr>
  </w:style>
  <w:style w:type="character" w:customStyle="1" w:styleId="AlrsChar">
    <w:name w:val="Aláírás Char"/>
    <w:basedOn w:val="Bekezdsalapbettpusa"/>
    <w:link w:val="Alrs"/>
    <w:uiPriority w:val="99"/>
    <w:semiHidden/>
    <w:rsid w:val="0003148D"/>
  </w:style>
  <w:style w:type="paragraph" w:styleId="E-mail-alrs">
    <w:name w:val="E-mail Signature"/>
    <w:basedOn w:val="Norml"/>
    <w:link w:val="E-mail-alrsChar"/>
    <w:uiPriority w:val="99"/>
    <w:semiHidden/>
    <w:unhideWhenUsed/>
    <w:rsid w:val="0003148D"/>
    <w:pPr>
      <w:spacing w:line="240" w:lineRule="auto"/>
    </w:pPr>
  </w:style>
  <w:style w:type="character" w:customStyle="1" w:styleId="E-mail-alrsChar">
    <w:name w:val="E-mail-aláírás Char"/>
    <w:basedOn w:val="Bekezdsalapbettpusa"/>
    <w:link w:val="E-mail-alrs"/>
    <w:uiPriority w:val="99"/>
    <w:semiHidden/>
    <w:rsid w:val="0003148D"/>
  </w:style>
  <w:style w:type="paragraph" w:styleId="Megszlts">
    <w:name w:val="Salutation"/>
    <w:basedOn w:val="Norml"/>
    <w:next w:val="Norml"/>
    <w:link w:val="MegszltsChar"/>
    <w:uiPriority w:val="99"/>
    <w:semiHidden/>
    <w:unhideWhenUsed/>
    <w:rsid w:val="0003148D"/>
  </w:style>
  <w:style w:type="character" w:customStyle="1" w:styleId="MegszltsChar">
    <w:name w:val="Megszólítás Char"/>
    <w:basedOn w:val="Bekezdsalapbettpusa"/>
    <w:link w:val="Megszlts"/>
    <w:uiPriority w:val="99"/>
    <w:semiHidden/>
    <w:rsid w:val="0003148D"/>
  </w:style>
  <w:style w:type="paragraph" w:styleId="Befejezs">
    <w:name w:val="Closing"/>
    <w:basedOn w:val="Norml"/>
    <w:link w:val="BefejezsChar"/>
    <w:uiPriority w:val="99"/>
    <w:semiHidden/>
    <w:unhideWhenUsed/>
    <w:rsid w:val="0003148D"/>
    <w:pPr>
      <w:spacing w:line="240" w:lineRule="auto"/>
      <w:ind w:left="4252"/>
    </w:pPr>
  </w:style>
  <w:style w:type="character" w:customStyle="1" w:styleId="BefejezsChar">
    <w:name w:val="Befejezés Char"/>
    <w:basedOn w:val="Bekezdsalapbettpusa"/>
    <w:link w:val="Befejezs"/>
    <w:uiPriority w:val="99"/>
    <w:semiHidden/>
    <w:rsid w:val="0003148D"/>
  </w:style>
  <w:style w:type="paragraph" w:styleId="Trgymutat1">
    <w:name w:val="index 1"/>
    <w:basedOn w:val="Norml"/>
    <w:next w:val="Norml"/>
    <w:autoRedefine/>
    <w:uiPriority w:val="99"/>
    <w:semiHidden/>
    <w:unhideWhenUsed/>
    <w:rsid w:val="0003148D"/>
    <w:pPr>
      <w:spacing w:line="240" w:lineRule="auto"/>
      <w:ind w:left="220" w:hanging="220"/>
    </w:pPr>
  </w:style>
  <w:style w:type="paragraph" w:styleId="Trgymutat2">
    <w:name w:val="index 2"/>
    <w:basedOn w:val="Norml"/>
    <w:next w:val="Norml"/>
    <w:autoRedefine/>
    <w:uiPriority w:val="99"/>
    <w:semiHidden/>
    <w:unhideWhenUsed/>
    <w:rsid w:val="0003148D"/>
    <w:pPr>
      <w:spacing w:line="240" w:lineRule="auto"/>
      <w:ind w:left="440" w:hanging="220"/>
    </w:pPr>
  </w:style>
  <w:style w:type="paragraph" w:styleId="Trgymutat3">
    <w:name w:val="index 3"/>
    <w:basedOn w:val="Norml"/>
    <w:next w:val="Norml"/>
    <w:autoRedefine/>
    <w:uiPriority w:val="99"/>
    <w:semiHidden/>
    <w:unhideWhenUsed/>
    <w:rsid w:val="0003148D"/>
    <w:pPr>
      <w:spacing w:line="240" w:lineRule="auto"/>
      <w:ind w:left="660" w:hanging="220"/>
    </w:pPr>
  </w:style>
  <w:style w:type="paragraph" w:styleId="Trgymutat4">
    <w:name w:val="index 4"/>
    <w:basedOn w:val="Norml"/>
    <w:next w:val="Norml"/>
    <w:autoRedefine/>
    <w:uiPriority w:val="99"/>
    <w:semiHidden/>
    <w:unhideWhenUsed/>
    <w:rsid w:val="0003148D"/>
    <w:pPr>
      <w:spacing w:line="240" w:lineRule="auto"/>
      <w:ind w:left="880" w:hanging="220"/>
    </w:pPr>
  </w:style>
  <w:style w:type="paragraph" w:styleId="Trgymutat5">
    <w:name w:val="index 5"/>
    <w:basedOn w:val="Norml"/>
    <w:next w:val="Norml"/>
    <w:autoRedefine/>
    <w:uiPriority w:val="99"/>
    <w:semiHidden/>
    <w:unhideWhenUsed/>
    <w:rsid w:val="0003148D"/>
    <w:pPr>
      <w:spacing w:line="240" w:lineRule="auto"/>
      <w:ind w:left="1100" w:hanging="220"/>
    </w:pPr>
  </w:style>
  <w:style w:type="paragraph" w:styleId="Trgymutat6">
    <w:name w:val="index 6"/>
    <w:basedOn w:val="Norml"/>
    <w:next w:val="Norml"/>
    <w:autoRedefine/>
    <w:uiPriority w:val="99"/>
    <w:semiHidden/>
    <w:unhideWhenUsed/>
    <w:rsid w:val="0003148D"/>
    <w:pPr>
      <w:spacing w:line="240" w:lineRule="auto"/>
      <w:ind w:left="1320" w:hanging="220"/>
    </w:pPr>
  </w:style>
  <w:style w:type="paragraph" w:styleId="Trgymutat7">
    <w:name w:val="index 7"/>
    <w:basedOn w:val="Norml"/>
    <w:next w:val="Norml"/>
    <w:autoRedefine/>
    <w:uiPriority w:val="99"/>
    <w:semiHidden/>
    <w:unhideWhenUsed/>
    <w:rsid w:val="0003148D"/>
    <w:pPr>
      <w:spacing w:line="240" w:lineRule="auto"/>
      <w:ind w:left="1540" w:hanging="220"/>
    </w:pPr>
  </w:style>
  <w:style w:type="paragraph" w:styleId="Trgymutat8">
    <w:name w:val="index 8"/>
    <w:basedOn w:val="Norml"/>
    <w:next w:val="Norml"/>
    <w:autoRedefine/>
    <w:uiPriority w:val="99"/>
    <w:semiHidden/>
    <w:unhideWhenUsed/>
    <w:rsid w:val="0003148D"/>
    <w:pPr>
      <w:spacing w:line="240" w:lineRule="auto"/>
      <w:ind w:left="1760" w:hanging="220"/>
    </w:pPr>
  </w:style>
  <w:style w:type="paragraph" w:styleId="Trgymutat9">
    <w:name w:val="index 9"/>
    <w:basedOn w:val="Norml"/>
    <w:next w:val="Norml"/>
    <w:autoRedefine/>
    <w:uiPriority w:val="99"/>
    <w:semiHidden/>
    <w:unhideWhenUsed/>
    <w:rsid w:val="0003148D"/>
    <w:pPr>
      <w:spacing w:line="240" w:lineRule="auto"/>
      <w:ind w:left="1980" w:hanging="220"/>
    </w:pPr>
  </w:style>
  <w:style w:type="paragraph" w:styleId="brajegyzk">
    <w:name w:val="table of figures"/>
    <w:basedOn w:val="Norml"/>
    <w:next w:val="Norml"/>
    <w:uiPriority w:val="99"/>
    <w:semiHidden/>
    <w:unhideWhenUsed/>
    <w:rsid w:val="0003148D"/>
  </w:style>
  <w:style w:type="paragraph" w:styleId="Hivatkozsjegyzk">
    <w:name w:val="table of authorities"/>
    <w:basedOn w:val="Norml"/>
    <w:next w:val="Norml"/>
    <w:uiPriority w:val="99"/>
    <w:semiHidden/>
    <w:unhideWhenUsed/>
    <w:rsid w:val="0003148D"/>
    <w:pPr>
      <w:ind w:left="220" w:hanging="220"/>
    </w:pPr>
  </w:style>
  <w:style w:type="paragraph" w:styleId="Bortkcm">
    <w:name w:val="envelope address"/>
    <w:basedOn w:val="Norm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cm">
    <w:name w:val="HTML Address"/>
    <w:basedOn w:val="Norml"/>
    <w:link w:val="HTML-cmChar"/>
    <w:uiPriority w:val="99"/>
    <w:semiHidden/>
    <w:unhideWhenUsed/>
    <w:rsid w:val="0003148D"/>
    <w:pPr>
      <w:spacing w:line="240" w:lineRule="auto"/>
    </w:pPr>
    <w:rPr>
      <w:i/>
      <w:iCs/>
    </w:rPr>
  </w:style>
  <w:style w:type="character" w:customStyle="1" w:styleId="HTML-cmChar">
    <w:name w:val="HTML-cím Char"/>
    <w:basedOn w:val="Bekezdsalapbettpusa"/>
    <w:link w:val="HTML-cm"/>
    <w:uiPriority w:val="99"/>
    <w:semiHidden/>
    <w:rsid w:val="0003148D"/>
    <w:rPr>
      <w:i/>
      <w:iCs/>
    </w:rPr>
  </w:style>
  <w:style w:type="paragraph" w:styleId="Feladcmebortkon">
    <w:name w:val="envelope return"/>
    <w:basedOn w:val="Norml"/>
    <w:uiPriority w:val="99"/>
    <w:semiHidden/>
    <w:unhideWhenUsed/>
    <w:rsid w:val="0003148D"/>
    <w:pPr>
      <w:spacing w:line="240" w:lineRule="auto"/>
    </w:pPr>
    <w:rPr>
      <w:rFonts w:asciiTheme="majorHAnsi" w:eastAsiaTheme="majorEastAsia" w:hAnsiTheme="majorHAnsi" w:cstheme="majorBidi"/>
    </w:rPr>
  </w:style>
  <w:style w:type="paragraph" w:styleId="zenetfej">
    <w:name w:val="Message Header"/>
    <w:basedOn w:val="Norml"/>
    <w:link w:val="zenetfej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enetfejChar">
    <w:name w:val="Üzenetfej Char"/>
    <w:basedOn w:val="Bekezdsalapbettpusa"/>
    <w:link w:val="zenetfej"/>
    <w:uiPriority w:val="99"/>
    <w:semiHidden/>
    <w:rsid w:val="0003148D"/>
    <w:rPr>
      <w:rFonts w:asciiTheme="majorHAnsi" w:eastAsiaTheme="majorEastAsia" w:hAnsiTheme="majorHAnsi" w:cstheme="majorBidi"/>
      <w:sz w:val="24"/>
      <w:szCs w:val="24"/>
      <w:shd w:val="pct20" w:color="auto" w:fill="auto"/>
    </w:rPr>
  </w:style>
  <w:style w:type="paragraph" w:styleId="Megjegyzsfej">
    <w:name w:val="Note Heading"/>
    <w:basedOn w:val="Norml"/>
    <w:next w:val="Norml"/>
    <w:link w:val="MegjegyzsfejChar"/>
    <w:uiPriority w:val="99"/>
    <w:semiHidden/>
    <w:unhideWhenUsed/>
    <w:rsid w:val="0003148D"/>
    <w:pPr>
      <w:spacing w:line="240" w:lineRule="auto"/>
    </w:pPr>
  </w:style>
  <w:style w:type="character" w:customStyle="1" w:styleId="MegjegyzsfejChar">
    <w:name w:val="Megjegyzésfej Char"/>
    <w:basedOn w:val="Bekezdsalapbettpusa"/>
    <w:link w:val="Megjegyzsfej"/>
    <w:uiPriority w:val="99"/>
    <w:semiHidden/>
    <w:rsid w:val="0003148D"/>
  </w:style>
  <w:style w:type="paragraph" w:styleId="Dokumentumtrkp">
    <w:name w:val="Document Map"/>
    <w:basedOn w:val="Norml"/>
    <w:link w:val="DokumentumtrkpChar"/>
    <w:uiPriority w:val="99"/>
    <w:semiHidden/>
    <w:unhideWhenUsed/>
    <w:rsid w:val="0003148D"/>
    <w:pPr>
      <w:spacing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03148D"/>
    <w:rPr>
      <w:rFonts w:ascii="Tahoma" w:hAnsi="Tahoma" w:cs="Tahoma"/>
      <w:sz w:val="16"/>
      <w:szCs w:val="16"/>
    </w:rPr>
  </w:style>
  <w:style w:type="paragraph" w:styleId="NormlWeb">
    <w:name w:val="Normal (Web)"/>
    <w:basedOn w:val="Norml"/>
    <w:uiPriority w:val="99"/>
    <w:semiHidden/>
    <w:unhideWhenUsed/>
    <w:rsid w:val="0003148D"/>
    <w:rPr>
      <w:sz w:val="24"/>
      <w:szCs w:val="24"/>
    </w:rPr>
  </w:style>
  <w:style w:type="paragraph" w:styleId="Szmozottlista">
    <w:name w:val="List Number"/>
    <w:basedOn w:val="Norml"/>
    <w:uiPriority w:val="99"/>
    <w:semiHidden/>
    <w:unhideWhenUsed/>
    <w:rsid w:val="0003148D"/>
    <w:pPr>
      <w:numPr>
        <w:numId w:val="2"/>
      </w:numPr>
      <w:contextualSpacing/>
    </w:pPr>
  </w:style>
  <w:style w:type="paragraph" w:styleId="Szmozottlista2">
    <w:name w:val="List Number 2"/>
    <w:basedOn w:val="Norml"/>
    <w:uiPriority w:val="99"/>
    <w:semiHidden/>
    <w:unhideWhenUsed/>
    <w:rsid w:val="0003148D"/>
    <w:pPr>
      <w:numPr>
        <w:numId w:val="3"/>
      </w:numPr>
      <w:contextualSpacing/>
    </w:pPr>
  </w:style>
  <w:style w:type="paragraph" w:styleId="Szmozottlista3">
    <w:name w:val="List Number 3"/>
    <w:basedOn w:val="Norml"/>
    <w:uiPriority w:val="99"/>
    <w:semiHidden/>
    <w:unhideWhenUsed/>
    <w:rsid w:val="0003148D"/>
    <w:pPr>
      <w:numPr>
        <w:numId w:val="4"/>
      </w:numPr>
      <w:contextualSpacing/>
    </w:pPr>
  </w:style>
  <w:style w:type="paragraph" w:styleId="Szmozottlista4">
    <w:name w:val="List Number 4"/>
    <w:basedOn w:val="Norml"/>
    <w:uiPriority w:val="99"/>
    <w:semiHidden/>
    <w:unhideWhenUsed/>
    <w:rsid w:val="0003148D"/>
    <w:pPr>
      <w:numPr>
        <w:numId w:val="5"/>
      </w:numPr>
      <w:contextualSpacing/>
    </w:pPr>
  </w:style>
  <w:style w:type="paragraph" w:styleId="Szmozottlista5">
    <w:name w:val="List Number 5"/>
    <w:basedOn w:val="Norml"/>
    <w:uiPriority w:val="99"/>
    <w:semiHidden/>
    <w:unhideWhenUsed/>
    <w:rsid w:val="0003148D"/>
    <w:pPr>
      <w:numPr>
        <w:numId w:val="6"/>
      </w:numPr>
      <w:contextualSpacing/>
    </w:pPr>
  </w:style>
  <w:style w:type="paragraph" w:styleId="HTML-kntformzott">
    <w:name w:val="HTML Preformatted"/>
    <w:basedOn w:val="Norml"/>
    <w:link w:val="HTML-kntformzottChar"/>
    <w:uiPriority w:val="99"/>
    <w:semiHidden/>
    <w:unhideWhenUsed/>
    <w:rsid w:val="0003148D"/>
    <w:pPr>
      <w:spacing w:line="240" w:lineRule="auto"/>
    </w:pPr>
    <w:rPr>
      <w:rFonts w:ascii="Consolas" w:hAnsi="Consolas" w:cs="Consolas"/>
    </w:rPr>
  </w:style>
  <w:style w:type="character" w:customStyle="1" w:styleId="HTML-kntformzottChar">
    <w:name w:val="HTML-ként formázott Char"/>
    <w:basedOn w:val="Bekezdsalapbettpusa"/>
    <w:link w:val="HTML-kntformzott"/>
    <w:uiPriority w:val="99"/>
    <w:semiHidden/>
    <w:rsid w:val="0003148D"/>
    <w:rPr>
      <w:rFonts w:ascii="Consolas" w:hAnsi="Consolas" w:cs="Consolas"/>
      <w:sz w:val="20"/>
      <w:szCs w:val="20"/>
    </w:rPr>
  </w:style>
  <w:style w:type="paragraph" w:styleId="Szvegtrzselssora">
    <w:name w:val="Body Text First Indent"/>
    <w:basedOn w:val="Szvegtrzs"/>
    <w:link w:val="SzvegtrzselssoraChar"/>
    <w:uiPriority w:val="99"/>
    <w:semiHidden/>
    <w:unhideWhenUsed/>
    <w:rsid w:val="0003148D"/>
    <w:pPr>
      <w:spacing w:after="200"/>
      <w:ind w:firstLine="360"/>
    </w:pPr>
  </w:style>
  <w:style w:type="character" w:customStyle="1" w:styleId="SzvegtrzselssoraChar">
    <w:name w:val="Szövegtörzs első sora Char"/>
    <w:basedOn w:val="SzvegtrzsChar"/>
    <w:link w:val="Szvegtrzselssora"/>
    <w:uiPriority w:val="99"/>
    <w:semiHidden/>
    <w:rsid w:val="0003148D"/>
  </w:style>
  <w:style w:type="paragraph" w:styleId="Szvegtrzsbehzssal">
    <w:name w:val="Body Text Indent"/>
    <w:basedOn w:val="Norml"/>
    <w:link w:val="SzvegtrzsbehzssalChar"/>
    <w:uiPriority w:val="99"/>
    <w:semiHidden/>
    <w:unhideWhenUsed/>
    <w:rsid w:val="0003148D"/>
    <w:pPr>
      <w:spacing w:after="120"/>
      <w:ind w:left="283"/>
    </w:pPr>
  </w:style>
  <w:style w:type="character" w:customStyle="1" w:styleId="SzvegtrzsbehzssalChar">
    <w:name w:val="Szövegtörzs behúzással Char"/>
    <w:basedOn w:val="Bekezdsalapbettpusa"/>
    <w:link w:val="Szvegtrzsbehzssal"/>
    <w:uiPriority w:val="99"/>
    <w:semiHidden/>
    <w:rsid w:val="0003148D"/>
  </w:style>
  <w:style w:type="paragraph" w:styleId="Szvegtrzselssora2">
    <w:name w:val="Body Text First Indent 2"/>
    <w:basedOn w:val="Szvegtrzsbehzssal"/>
    <w:link w:val="Szvegtrzselssora2Char"/>
    <w:uiPriority w:val="99"/>
    <w:semiHidden/>
    <w:unhideWhenUsed/>
    <w:rsid w:val="0003148D"/>
    <w:pPr>
      <w:spacing w:after="200"/>
      <w:ind w:left="360" w:firstLine="360"/>
    </w:pPr>
  </w:style>
  <w:style w:type="character" w:customStyle="1" w:styleId="Szvegtrzselssora2Char">
    <w:name w:val="Szövegtörzs első sora 2 Char"/>
    <w:basedOn w:val="SzvegtrzsbehzssalChar"/>
    <w:link w:val="Szvegtrzselssora2"/>
    <w:uiPriority w:val="99"/>
    <w:semiHidden/>
    <w:rsid w:val="0003148D"/>
  </w:style>
  <w:style w:type="paragraph" w:styleId="Felsorols">
    <w:name w:val="List Bullet"/>
    <w:basedOn w:val="Norml"/>
    <w:uiPriority w:val="99"/>
    <w:semiHidden/>
    <w:unhideWhenUsed/>
    <w:rsid w:val="0003148D"/>
    <w:pPr>
      <w:numPr>
        <w:numId w:val="7"/>
      </w:numPr>
      <w:contextualSpacing/>
    </w:pPr>
  </w:style>
  <w:style w:type="paragraph" w:styleId="Felsorols2">
    <w:name w:val="List Bullet 2"/>
    <w:basedOn w:val="Norml"/>
    <w:uiPriority w:val="99"/>
    <w:semiHidden/>
    <w:unhideWhenUsed/>
    <w:rsid w:val="0003148D"/>
    <w:pPr>
      <w:numPr>
        <w:numId w:val="8"/>
      </w:numPr>
      <w:contextualSpacing/>
    </w:pPr>
  </w:style>
  <w:style w:type="paragraph" w:styleId="Felsorols3">
    <w:name w:val="List Bullet 3"/>
    <w:basedOn w:val="Norml"/>
    <w:uiPriority w:val="99"/>
    <w:semiHidden/>
    <w:unhideWhenUsed/>
    <w:rsid w:val="0003148D"/>
    <w:pPr>
      <w:numPr>
        <w:numId w:val="9"/>
      </w:numPr>
      <w:contextualSpacing/>
    </w:pPr>
  </w:style>
  <w:style w:type="paragraph" w:styleId="Felsorols4">
    <w:name w:val="List Bullet 4"/>
    <w:basedOn w:val="Norml"/>
    <w:uiPriority w:val="99"/>
    <w:semiHidden/>
    <w:unhideWhenUsed/>
    <w:rsid w:val="0003148D"/>
    <w:pPr>
      <w:numPr>
        <w:numId w:val="10"/>
      </w:numPr>
      <w:contextualSpacing/>
    </w:pPr>
  </w:style>
  <w:style w:type="paragraph" w:styleId="Felsorols5">
    <w:name w:val="List Bullet 5"/>
    <w:basedOn w:val="Norml"/>
    <w:uiPriority w:val="99"/>
    <w:semiHidden/>
    <w:unhideWhenUsed/>
    <w:rsid w:val="0003148D"/>
    <w:pPr>
      <w:numPr>
        <w:numId w:val="11"/>
      </w:numPr>
      <w:contextualSpacing/>
    </w:pPr>
  </w:style>
  <w:style w:type="paragraph" w:styleId="Szvegtrzsbehzssal2">
    <w:name w:val="Body Text Indent 2"/>
    <w:basedOn w:val="Norml"/>
    <w:link w:val="Szvegtrzsbehzssal2Char"/>
    <w:uiPriority w:val="99"/>
    <w:semiHidden/>
    <w:unhideWhenUsed/>
    <w:rsid w:val="0003148D"/>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03148D"/>
  </w:style>
  <w:style w:type="paragraph" w:styleId="Szvegtrzsbehzssal3">
    <w:name w:val="Body Text Indent 3"/>
    <w:basedOn w:val="Norml"/>
    <w:link w:val="Szvegtrzsbehzssal3Char"/>
    <w:uiPriority w:val="99"/>
    <w:semiHidden/>
    <w:unhideWhenUsed/>
    <w:rsid w:val="0003148D"/>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03148D"/>
    <w:rPr>
      <w:sz w:val="16"/>
      <w:szCs w:val="16"/>
    </w:rPr>
  </w:style>
  <w:style w:type="paragraph" w:styleId="Normlbehzs">
    <w:name w:val="Normal Indent"/>
    <w:basedOn w:val="Norml"/>
    <w:uiPriority w:val="99"/>
    <w:semiHidden/>
    <w:unhideWhenUsed/>
    <w:rsid w:val="0003148D"/>
    <w:pPr>
      <w:ind w:left="720"/>
    </w:pPr>
  </w:style>
  <w:style w:type="paragraph" w:styleId="Jegyzetszveg">
    <w:name w:val="annotation text"/>
    <w:basedOn w:val="Norml"/>
    <w:link w:val="JegyzetszvegChar"/>
    <w:uiPriority w:val="99"/>
    <w:unhideWhenUsed/>
    <w:rsid w:val="0003148D"/>
    <w:pPr>
      <w:spacing w:line="240" w:lineRule="auto"/>
    </w:pPr>
  </w:style>
  <w:style w:type="character" w:customStyle="1" w:styleId="JegyzetszvegChar">
    <w:name w:val="Jegyzetszöveg Char"/>
    <w:basedOn w:val="Bekezdsalapbettpusa"/>
    <w:link w:val="Jegyzetszveg"/>
    <w:uiPriority w:val="99"/>
    <w:rsid w:val="0003148D"/>
    <w:rPr>
      <w:sz w:val="20"/>
      <w:szCs w:val="20"/>
    </w:rPr>
  </w:style>
  <w:style w:type="paragraph" w:styleId="Megjegyzstrgya">
    <w:name w:val="annotation subject"/>
    <w:basedOn w:val="Jegyzetszveg"/>
    <w:next w:val="Jegyzetszveg"/>
    <w:link w:val="MegjegyzstrgyaChar"/>
    <w:uiPriority w:val="99"/>
    <w:semiHidden/>
    <w:unhideWhenUsed/>
    <w:rsid w:val="0003148D"/>
    <w:rPr>
      <w:b/>
      <w:bCs/>
    </w:rPr>
  </w:style>
  <w:style w:type="character" w:customStyle="1" w:styleId="MegjegyzstrgyaChar">
    <w:name w:val="Megjegyzés tárgya Char"/>
    <w:basedOn w:val="JegyzetszvegChar"/>
    <w:link w:val="Megjegyzstrgya"/>
    <w:uiPriority w:val="99"/>
    <w:semiHidden/>
    <w:rsid w:val="0003148D"/>
    <w:rPr>
      <w:b/>
      <w:bCs/>
      <w:sz w:val="20"/>
      <w:szCs w:val="20"/>
    </w:rPr>
  </w:style>
  <w:style w:type="paragraph" w:styleId="TJ1">
    <w:name w:val="toc 1"/>
    <w:basedOn w:val="Norml"/>
    <w:next w:val="Norml"/>
    <w:autoRedefine/>
    <w:uiPriority w:val="39"/>
    <w:semiHidden/>
    <w:unhideWhenUsed/>
    <w:rsid w:val="0003148D"/>
    <w:pPr>
      <w:spacing w:after="100"/>
    </w:pPr>
  </w:style>
  <w:style w:type="paragraph" w:styleId="TJ2">
    <w:name w:val="toc 2"/>
    <w:basedOn w:val="Norml"/>
    <w:next w:val="Norml"/>
    <w:autoRedefine/>
    <w:uiPriority w:val="39"/>
    <w:semiHidden/>
    <w:unhideWhenUsed/>
    <w:rsid w:val="0003148D"/>
    <w:pPr>
      <w:spacing w:after="100"/>
      <w:ind w:left="220"/>
    </w:pPr>
  </w:style>
  <w:style w:type="paragraph" w:styleId="TJ3">
    <w:name w:val="toc 3"/>
    <w:basedOn w:val="Norml"/>
    <w:next w:val="Norml"/>
    <w:autoRedefine/>
    <w:uiPriority w:val="39"/>
    <w:semiHidden/>
    <w:unhideWhenUsed/>
    <w:rsid w:val="0003148D"/>
    <w:pPr>
      <w:spacing w:after="100"/>
      <w:ind w:left="440"/>
    </w:pPr>
  </w:style>
  <w:style w:type="paragraph" w:styleId="TJ4">
    <w:name w:val="toc 4"/>
    <w:basedOn w:val="Norml"/>
    <w:next w:val="Norml"/>
    <w:autoRedefine/>
    <w:uiPriority w:val="39"/>
    <w:semiHidden/>
    <w:unhideWhenUsed/>
    <w:rsid w:val="0003148D"/>
    <w:pPr>
      <w:spacing w:after="100"/>
      <w:ind w:left="660"/>
    </w:pPr>
  </w:style>
  <w:style w:type="paragraph" w:styleId="TJ5">
    <w:name w:val="toc 5"/>
    <w:basedOn w:val="Norml"/>
    <w:next w:val="Norml"/>
    <w:autoRedefine/>
    <w:uiPriority w:val="39"/>
    <w:semiHidden/>
    <w:unhideWhenUsed/>
    <w:rsid w:val="0003148D"/>
    <w:pPr>
      <w:spacing w:after="100"/>
      <w:ind w:left="880"/>
    </w:pPr>
  </w:style>
  <w:style w:type="paragraph" w:styleId="TJ6">
    <w:name w:val="toc 6"/>
    <w:basedOn w:val="Norml"/>
    <w:next w:val="Norml"/>
    <w:autoRedefine/>
    <w:uiPriority w:val="39"/>
    <w:semiHidden/>
    <w:unhideWhenUsed/>
    <w:rsid w:val="0003148D"/>
    <w:pPr>
      <w:spacing w:after="100"/>
      <w:ind w:left="1100"/>
    </w:pPr>
  </w:style>
  <w:style w:type="paragraph" w:styleId="TJ7">
    <w:name w:val="toc 7"/>
    <w:basedOn w:val="Norml"/>
    <w:next w:val="Norml"/>
    <w:autoRedefine/>
    <w:uiPriority w:val="39"/>
    <w:semiHidden/>
    <w:unhideWhenUsed/>
    <w:rsid w:val="0003148D"/>
    <w:pPr>
      <w:spacing w:after="100"/>
      <w:ind w:left="1320"/>
    </w:pPr>
  </w:style>
  <w:style w:type="paragraph" w:styleId="TJ8">
    <w:name w:val="toc 8"/>
    <w:basedOn w:val="Norml"/>
    <w:next w:val="Norml"/>
    <w:autoRedefine/>
    <w:uiPriority w:val="39"/>
    <w:semiHidden/>
    <w:unhideWhenUsed/>
    <w:rsid w:val="0003148D"/>
    <w:pPr>
      <w:spacing w:after="100"/>
      <w:ind w:left="1540"/>
    </w:pPr>
  </w:style>
  <w:style w:type="paragraph" w:styleId="TJ9">
    <w:name w:val="toc 9"/>
    <w:basedOn w:val="Norml"/>
    <w:next w:val="Norml"/>
    <w:autoRedefine/>
    <w:uiPriority w:val="39"/>
    <w:semiHidden/>
    <w:unhideWhenUsed/>
    <w:rsid w:val="0003148D"/>
    <w:pPr>
      <w:spacing w:after="100"/>
      <w:ind w:left="1760"/>
    </w:pPr>
  </w:style>
  <w:style w:type="paragraph" w:styleId="Szvegblokk">
    <w:name w:val="Block Text"/>
    <w:basedOn w:val="Norm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szvege">
    <w:name w:val="macro"/>
    <w:link w:val="Makrszvege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szvegeChar">
    <w:name w:val="Makró szövege Char"/>
    <w:basedOn w:val="Bekezdsalapbettpusa"/>
    <w:link w:val="Makrszvege"/>
    <w:uiPriority w:val="99"/>
    <w:semiHidden/>
    <w:rsid w:val="0003148D"/>
    <w:rPr>
      <w:rFonts w:ascii="Consolas" w:hAnsi="Consolas" w:cs="Consolas"/>
      <w:sz w:val="20"/>
      <w:szCs w:val="20"/>
    </w:rPr>
  </w:style>
  <w:style w:type="paragraph" w:styleId="Csakszveg">
    <w:name w:val="Plain Text"/>
    <w:basedOn w:val="Norml"/>
    <w:link w:val="CsakszvegChar"/>
    <w:uiPriority w:val="99"/>
    <w:semiHidden/>
    <w:unhideWhenUsed/>
    <w:rsid w:val="0003148D"/>
    <w:pPr>
      <w:spacing w:line="240" w:lineRule="auto"/>
    </w:pPr>
    <w:rPr>
      <w:rFonts w:ascii="Consolas" w:hAnsi="Consolas" w:cs="Consolas"/>
      <w:sz w:val="21"/>
      <w:szCs w:val="21"/>
    </w:rPr>
  </w:style>
  <w:style w:type="character" w:customStyle="1" w:styleId="CsakszvegChar">
    <w:name w:val="Csak szöveg Char"/>
    <w:basedOn w:val="Bekezdsalapbettpusa"/>
    <w:link w:val="Csakszveg"/>
    <w:uiPriority w:val="99"/>
    <w:semiHidden/>
    <w:rsid w:val="0003148D"/>
    <w:rPr>
      <w:rFonts w:ascii="Consolas" w:hAnsi="Consolas" w:cs="Consolas"/>
      <w:sz w:val="21"/>
      <w:szCs w:val="21"/>
    </w:rPr>
  </w:style>
  <w:style w:type="paragraph" w:styleId="Lbjegyzetszveg">
    <w:name w:val="footnote text"/>
    <w:basedOn w:val="Norml"/>
    <w:link w:val="LbjegyzetszvegChar"/>
    <w:uiPriority w:val="99"/>
    <w:semiHidden/>
    <w:unhideWhenUsed/>
    <w:rsid w:val="0003148D"/>
    <w:pPr>
      <w:spacing w:line="240" w:lineRule="auto"/>
    </w:pPr>
  </w:style>
  <w:style w:type="character" w:customStyle="1" w:styleId="LbjegyzetszvegChar">
    <w:name w:val="Lábjegyzetszöveg Char"/>
    <w:basedOn w:val="Bekezdsalapbettpusa"/>
    <w:link w:val="Lbjegyzetszveg"/>
    <w:uiPriority w:val="99"/>
    <w:semiHidden/>
    <w:rsid w:val="0003148D"/>
    <w:rPr>
      <w:sz w:val="20"/>
      <w:szCs w:val="20"/>
    </w:rPr>
  </w:style>
  <w:style w:type="paragraph" w:styleId="Vgjegyzetszvege">
    <w:name w:val="endnote text"/>
    <w:basedOn w:val="Norml"/>
    <w:link w:val="VgjegyzetszvegeChar"/>
    <w:uiPriority w:val="99"/>
    <w:semiHidden/>
    <w:unhideWhenUsed/>
    <w:rsid w:val="0003148D"/>
    <w:pPr>
      <w:spacing w:line="240" w:lineRule="auto"/>
    </w:pPr>
  </w:style>
  <w:style w:type="character" w:customStyle="1" w:styleId="VgjegyzetszvegeChar">
    <w:name w:val="Végjegyzet szövege Char"/>
    <w:basedOn w:val="Bekezdsalapbettpusa"/>
    <w:link w:val="Vgjegyzetszvege"/>
    <w:uiPriority w:val="99"/>
    <w:semiHidden/>
    <w:rsid w:val="0003148D"/>
    <w:rPr>
      <w:sz w:val="20"/>
      <w:szCs w:val="20"/>
    </w:rPr>
  </w:style>
  <w:style w:type="character" w:customStyle="1" w:styleId="Cmsor1Char">
    <w:name w:val="Címsor 1 Char"/>
    <w:basedOn w:val="Bekezdsalapbettpusa"/>
    <w:link w:val="Cmsor1"/>
    <w:uiPriority w:val="9"/>
    <w:rsid w:val="004F5E36"/>
    <w:rPr>
      <w:rFonts w:ascii="Arial" w:eastAsia="Times New Roman" w:hAnsi="Arial" w:cs="Times New Roman"/>
      <w:b/>
      <w:sz w:val="20"/>
      <w:szCs w:val="20"/>
      <w:lang w:val="en-GB"/>
    </w:rPr>
  </w:style>
  <w:style w:type="character" w:customStyle="1" w:styleId="Cmsor2Char">
    <w:name w:val="Címsor 2 Char"/>
    <w:basedOn w:val="Bekezdsalapbettpusa"/>
    <w:link w:val="Cmsor2"/>
    <w:uiPriority w:val="9"/>
    <w:semiHidden/>
    <w:rsid w:val="0003148D"/>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semiHidden/>
    <w:rsid w:val="0003148D"/>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semiHidden/>
    <w:rsid w:val="0003148D"/>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03148D"/>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03148D"/>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03148D"/>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uiPriority w:val="9"/>
    <w:semiHidden/>
    <w:rsid w:val="0003148D"/>
    <w:rPr>
      <w:rFonts w:asciiTheme="majorHAnsi" w:eastAsiaTheme="majorEastAsia" w:hAnsiTheme="majorHAnsi" w:cstheme="majorBidi"/>
      <w:i/>
      <w:iCs/>
      <w:color w:val="404040" w:themeColor="text1" w:themeTint="BF"/>
      <w:sz w:val="20"/>
      <w:szCs w:val="20"/>
    </w:rPr>
  </w:style>
  <w:style w:type="paragraph" w:styleId="Trgymutatcm">
    <w:name w:val="index heading"/>
    <w:basedOn w:val="Norml"/>
    <w:next w:val="Trgymutat1"/>
    <w:uiPriority w:val="99"/>
    <w:semiHidden/>
    <w:unhideWhenUsed/>
    <w:rsid w:val="0003148D"/>
    <w:rPr>
      <w:rFonts w:asciiTheme="majorHAnsi" w:eastAsiaTheme="majorEastAsia" w:hAnsiTheme="majorHAnsi" w:cstheme="majorBidi"/>
      <w:b/>
      <w:bCs/>
    </w:rPr>
  </w:style>
  <w:style w:type="paragraph" w:styleId="Hivatkozsjegyzk-fej">
    <w:name w:val="toa heading"/>
    <w:basedOn w:val="Norml"/>
    <w:next w:val="Norml"/>
    <w:uiPriority w:val="99"/>
    <w:semiHidden/>
    <w:unhideWhenUsed/>
    <w:rsid w:val="0003148D"/>
    <w:pPr>
      <w:spacing w:before="120"/>
    </w:pPr>
    <w:rPr>
      <w:rFonts w:asciiTheme="majorHAnsi" w:eastAsiaTheme="majorEastAsia" w:hAnsiTheme="majorHAnsi" w:cstheme="majorBidi"/>
      <w:b/>
      <w:bCs/>
      <w:sz w:val="24"/>
      <w:szCs w:val="24"/>
    </w:rPr>
  </w:style>
  <w:style w:type="paragraph" w:styleId="Tartalomjegyzkcmsora">
    <w:name w:val="TOC Heading"/>
    <w:basedOn w:val="Cmsor1"/>
    <w:next w:val="Norm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Bekezdsalapbettpusa"/>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lfej">
    <w:name w:val="header"/>
    <w:basedOn w:val="Norml"/>
    <w:link w:val="lfejChar"/>
    <w:uiPriority w:val="99"/>
    <w:unhideWhenUsed/>
    <w:rsid w:val="005278B7"/>
    <w:pPr>
      <w:tabs>
        <w:tab w:val="clear" w:pos="7100"/>
        <w:tab w:val="center" w:pos="4819"/>
        <w:tab w:val="right" w:pos="9638"/>
      </w:tabs>
      <w:spacing w:line="240" w:lineRule="auto"/>
    </w:pPr>
  </w:style>
  <w:style w:type="character" w:customStyle="1" w:styleId="lfejChar">
    <w:name w:val="Élőfej Char"/>
    <w:basedOn w:val="Bekezdsalapbettpusa"/>
    <w:link w:val="lfej"/>
    <w:uiPriority w:val="99"/>
    <w:rsid w:val="005278B7"/>
    <w:rPr>
      <w:rFonts w:ascii="Arial" w:eastAsia="Times New Roman" w:hAnsi="Arial" w:cs="Times New Roman"/>
      <w:sz w:val="18"/>
      <w:szCs w:val="20"/>
      <w:lang w:val="en-GB"/>
    </w:rPr>
  </w:style>
  <w:style w:type="paragraph" w:styleId="llb">
    <w:name w:val="footer"/>
    <w:basedOn w:val="Norml"/>
    <w:link w:val="llbChar"/>
    <w:uiPriority w:val="99"/>
    <w:unhideWhenUsed/>
    <w:rsid w:val="005278B7"/>
    <w:pPr>
      <w:tabs>
        <w:tab w:val="clear" w:pos="7100"/>
        <w:tab w:val="center" w:pos="4819"/>
        <w:tab w:val="right" w:pos="9638"/>
      </w:tabs>
      <w:spacing w:line="240" w:lineRule="auto"/>
    </w:pPr>
  </w:style>
  <w:style w:type="character" w:customStyle="1" w:styleId="llbChar">
    <w:name w:val="Élőláb Char"/>
    <w:basedOn w:val="Bekezdsalapbettpusa"/>
    <w:link w:val="llb"/>
    <w:uiPriority w:val="99"/>
    <w:rsid w:val="005278B7"/>
    <w:rPr>
      <w:rFonts w:ascii="Arial" w:eastAsia="Times New Roman" w:hAnsi="Arial" w:cs="Times New Roman"/>
      <w:sz w:val="18"/>
      <w:szCs w:val="20"/>
      <w:lang w:val="en-GB"/>
    </w:rPr>
  </w:style>
  <w:style w:type="table" w:styleId="Rcsostblzat">
    <w:name w:val="Table Grid"/>
    <w:basedOn w:val="Normltblzat"/>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904C62"/>
    <w:rPr>
      <w:color w:val="0000FF" w:themeColor="hyperlink"/>
      <w:u w:val="single"/>
    </w:rPr>
  </w:style>
  <w:style w:type="character" w:customStyle="1" w:styleId="eudoraheader">
    <w:name w:val="eudoraheader"/>
    <w:basedOn w:val="Bekezdsalapbettpusa"/>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aszerbekezds">
    <w:name w:val="List Paragraph"/>
    <w:basedOn w:val="Norml"/>
    <w:uiPriority w:val="34"/>
    <w:rsid w:val="00280FAF"/>
    <w:pPr>
      <w:ind w:left="720"/>
      <w:contextualSpacing/>
    </w:pPr>
  </w:style>
  <w:style w:type="character" w:customStyle="1" w:styleId="gmail-apple-converted-space">
    <w:name w:val="gmail-apple-converted-space"/>
    <w:basedOn w:val="Bekezdsalapbettpusa"/>
    <w:rsid w:val="00005A19"/>
  </w:style>
  <w:style w:type="character" w:customStyle="1" w:styleId="hwtze">
    <w:name w:val="hwtze"/>
    <w:basedOn w:val="Bekezdsalapbettpusa"/>
    <w:rsid w:val="00E75FF6"/>
  </w:style>
  <w:style w:type="character" w:customStyle="1" w:styleId="rynqvb">
    <w:name w:val="rynqvb"/>
    <w:basedOn w:val="Bekezdsalapbettpusa"/>
    <w:rsid w:val="00E75FF6"/>
  </w:style>
  <w:style w:type="paragraph" w:styleId="Vltozat">
    <w:name w:val="Revision"/>
    <w:hidden/>
    <w:uiPriority w:val="99"/>
    <w:semiHidden/>
    <w:rsid w:val="00CD4C8D"/>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2028558752">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agy.roland.dr@mk.uni-pannon.h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74014-75E4-477C-8906-B06F2413B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2324</Words>
  <Characters>16038</Characters>
  <Application>Microsoft Office Word</Application>
  <DocSecurity>0</DocSecurity>
  <Lines>133</Lines>
  <Paragraphs>36</Paragraphs>
  <ScaleCrop>false</ScaleCrop>
  <HeadingPairs>
    <vt:vector size="6" baseType="variant">
      <vt:variant>
        <vt:lpstr>Cím</vt:lpstr>
      </vt:variant>
      <vt:variant>
        <vt:i4>1</vt:i4>
      </vt:variant>
      <vt:variant>
        <vt:lpstr>Titolo</vt:lpstr>
      </vt:variant>
      <vt:variant>
        <vt:i4>1</vt:i4>
      </vt:variant>
      <vt:variant>
        <vt:lpstr>Title</vt:lpstr>
      </vt:variant>
      <vt:variant>
        <vt:i4>1</vt:i4>
      </vt:variant>
    </vt:vector>
  </HeadingPairs>
  <TitlesOfParts>
    <vt:vector size="3" baseType="lpstr">
      <vt:lpstr>58Nagy</vt:lpstr>
      <vt:lpstr/>
      <vt:lpstr/>
    </vt:vector>
  </TitlesOfParts>
  <Company>Dipartimento CMIC - Politecnico di Milano</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58Nagy</dc:title>
  <dc:creator>raffaella</dc:creator>
  <cp:keywords>sulfurized vegetable oil type additives, EP additives, analysis, gel permeation chromatography, molecule weight distribution</cp:keywords>
  <cp:lastModifiedBy>Nagy Gábor Zoltán (MOL-LUB Kft.)</cp:lastModifiedBy>
  <cp:revision>3</cp:revision>
  <cp:lastPrinted>2015-05-12T18:31:00Z</cp:lastPrinted>
  <dcterms:created xsi:type="dcterms:W3CDTF">2025-05-04T14:08:00Z</dcterms:created>
  <dcterms:modified xsi:type="dcterms:W3CDTF">2025-05-04T14:08:00Z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