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4E521E">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626D3A" w14:paraId="380FA3CD" w14:textId="77777777" w:rsidTr="004E521E">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C93B7C" w:rsidRDefault="000D0268" w:rsidP="00CD5FE2">
            <w:pPr>
              <w:spacing w:line="140" w:lineRule="atLeast"/>
              <w:jc w:val="right"/>
              <w:rPr>
                <w:rFonts w:cs="Arial"/>
                <w:sz w:val="13"/>
                <w:szCs w:val="13"/>
                <w:lang w:val="nb-NO"/>
              </w:rPr>
            </w:pPr>
            <w:r w:rsidRPr="00C93B7C">
              <w:rPr>
                <w:rFonts w:cs="Arial"/>
                <w:sz w:val="13"/>
                <w:szCs w:val="13"/>
                <w:lang w:val="nb-NO"/>
              </w:rPr>
              <w:t>Online at www.cetjournal.it</w:t>
            </w:r>
          </w:p>
        </w:tc>
      </w:tr>
      <w:tr w:rsidR="000A03B2" w:rsidRPr="00B57B36" w14:paraId="2D1B7169" w14:textId="77777777" w:rsidTr="004E521E">
        <w:trPr>
          <w:trHeight w:val="68"/>
          <w:jc w:val="center"/>
        </w:trPr>
        <w:tc>
          <w:tcPr>
            <w:tcW w:w="8782" w:type="dxa"/>
            <w:gridSpan w:val="2"/>
          </w:tcPr>
          <w:p w14:paraId="1D8DD3C9" w14:textId="0F721BB9" w:rsidR="00AA7D26" w:rsidRPr="008832AA" w:rsidRDefault="00AA7D26" w:rsidP="008832AA">
            <w:pPr>
              <w:ind w:left="-107"/>
              <w:outlineLvl w:val="2"/>
              <w:rPr>
                <w:rFonts w:ascii="Aptos" w:eastAsiaTheme="minorHAnsi" w:hAnsi="Aptos" w:cs="Aptos"/>
                <w:sz w:val="22"/>
                <w:szCs w:val="22"/>
                <w:lang w:val="it-IT"/>
                <w14:ligatures w14:val="standardContextual"/>
              </w:rPr>
            </w:pPr>
            <w:r w:rsidRPr="007D610D">
              <w:rPr>
                <w:rFonts w:ascii="Tahoma" w:hAnsi="Tahoma" w:cs="Tahoma"/>
                <w:iCs/>
                <w:color w:val="333333"/>
                <w:sz w:val="14"/>
                <w:szCs w:val="14"/>
                <w:lang w:val="it-IT" w:eastAsia="it-IT"/>
              </w:rPr>
              <w:t>Guest Editors:</w:t>
            </w:r>
            <w:r w:rsidR="008832AA" w:rsidRPr="008832AA">
              <w:rPr>
                <w:rFonts w:ascii="Aptos" w:eastAsiaTheme="minorHAnsi" w:hAnsi="Aptos" w:cs="Aptos"/>
                <w:sz w:val="22"/>
                <w:szCs w:val="22"/>
                <w:lang w:val="it-IT"/>
              </w:rPr>
              <w:t xml:space="preserve"> </w:t>
            </w:r>
            <w:r w:rsidR="008832AA" w:rsidRPr="008832AA">
              <w:rPr>
                <w:rFonts w:ascii="Tahoma" w:eastAsiaTheme="minorHAnsi" w:hAnsi="Tahoma" w:cs="Tahoma"/>
                <w:sz w:val="14"/>
                <w:szCs w:val="14"/>
                <w:lang w:val="it-IT"/>
                <w14:ligatures w14:val="standardContextual"/>
              </w:rPr>
              <w:t>David Bogle, Flavio Manenti, Piero Salatino</w:t>
            </w:r>
          </w:p>
          <w:p w14:paraId="1B0F1814" w14:textId="39433521"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3904D3">
              <w:rPr>
                <w:rFonts w:ascii="Tahoma" w:hAnsi="Tahoma" w:cs="Tahoma"/>
                <w:sz w:val="14"/>
                <w:szCs w:val="14"/>
              </w:rPr>
              <w:t>21</w:t>
            </w:r>
            <w:r w:rsidR="003B49CD" w:rsidRPr="003904D3">
              <w:rPr>
                <w:rFonts w:ascii="Tahoma" w:hAnsi="Tahoma" w:cs="Tahoma"/>
                <w:sz w:val="14"/>
                <w:szCs w:val="14"/>
              </w:rPr>
              <w:t>-</w:t>
            </w:r>
            <w:r w:rsidR="003904D3">
              <w:rPr>
                <w:rFonts w:ascii="Tahoma" w:hAnsi="Tahoma" w:cs="Tahoma"/>
                <w:sz w:val="14"/>
                <w:szCs w:val="14"/>
              </w:rPr>
              <w:t>2</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6178D4FF" w:rsidR="00E978D0" w:rsidRPr="00B57B36" w:rsidRDefault="004E521E" w:rsidP="00E978D0">
      <w:pPr>
        <w:pStyle w:val="CETTitle"/>
      </w:pPr>
      <w:r w:rsidRPr="004E521E">
        <w:t xml:space="preserve">Study on the catalytic synthesis of sulfurized vegetable oil type </w:t>
      </w:r>
      <w:r w:rsidR="00211C29">
        <w:t>extreme pressure</w:t>
      </w:r>
      <w:r w:rsidRPr="004E521E">
        <w:t xml:space="preserve"> additives</w:t>
      </w:r>
    </w:p>
    <w:p w14:paraId="0488FED2" w14:textId="138BA9EB" w:rsidR="00B57E6F" w:rsidRPr="00B57B36" w:rsidRDefault="000A3DE2" w:rsidP="00B57E6F">
      <w:pPr>
        <w:pStyle w:val="CETAuthors"/>
      </w:pPr>
      <w:r w:rsidRPr="000A3DE2">
        <w:t>Gábor Zoltán NAGY</w:t>
      </w:r>
      <w:r w:rsidR="00B57E6F" w:rsidRPr="00B57B36">
        <w:rPr>
          <w:vertAlign w:val="superscript"/>
        </w:rPr>
        <w:t>a</w:t>
      </w:r>
      <w:r w:rsidR="00272E04">
        <w:rPr>
          <w:vertAlign w:val="superscript"/>
        </w:rPr>
        <w:t>*</w:t>
      </w:r>
      <w:r w:rsidR="00B57E6F" w:rsidRPr="00B57B36">
        <w:t xml:space="preserve">, </w:t>
      </w:r>
      <w:r w:rsidR="003866FC" w:rsidRPr="003866FC">
        <w:t>Roland NAGY</w:t>
      </w:r>
      <w:r w:rsidR="00272E04">
        <w:rPr>
          <w:vertAlign w:val="superscript"/>
        </w:rPr>
        <w:t>a</w:t>
      </w:r>
    </w:p>
    <w:p w14:paraId="6B2D21B3" w14:textId="556D4D83" w:rsidR="00B57E6F" w:rsidRPr="00B57B36" w:rsidRDefault="00B57E6F" w:rsidP="00B57E6F">
      <w:pPr>
        <w:pStyle w:val="CETAddress"/>
      </w:pPr>
      <w:r w:rsidRPr="00B57B36">
        <w:rPr>
          <w:vertAlign w:val="superscript"/>
        </w:rPr>
        <w:t>a</w:t>
      </w:r>
      <w:r w:rsidR="00D461AF" w:rsidRPr="00D461AF">
        <w:t>University of Pannonia, Faculty of Engineering, Department of MOL Hydrocarbon and Coal Processing; Egyetem u. 10., Veszprém, H-8200, Hungary</w:t>
      </w:r>
    </w:p>
    <w:p w14:paraId="73F1267A" w14:textId="2755C30A" w:rsidR="00B57E6F" w:rsidRPr="00D461AF" w:rsidRDefault="00000000" w:rsidP="00B57E6F">
      <w:pPr>
        <w:pStyle w:val="CETemail"/>
      </w:pPr>
      <w:hyperlink r:id="rId10" w:history="1">
        <w:r w:rsidR="00D461AF" w:rsidRPr="00714A37">
          <w:rPr>
            <w:rStyle w:val="Hiperhivatkozs"/>
          </w:rPr>
          <w:t>gznagy@phd.uni-pannon.hu</w:t>
        </w:r>
      </w:hyperlink>
    </w:p>
    <w:p w14:paraId="1FECFBD4" w14:textId="34AE6384" w:rsidR="00901274" w:rsidRPr="00FE47D4" w:rsidRDefault="00BD43E5" w:rsidP="00901274">
      <w:pPr>
        <w:pStyle w:val="CETBodytext"/>
        <w:rPr>
          <w:lang w:val="en-GB"/>
        </w:rPr>
      </w:pPr>
      <w:r w:rsidRPr="00FE47D4">
        <w:rPr>
          <w:lang w:val="en-GB"/>
        </w:rPr>
        <w:t xml:space="preserve">The development of extreme pressure (EP) additives is increasingly important for improving the performance of lubricants under high temperature and pressure. Due to the growing focus on environmental sustainability, sulfurized vegetable oils are being studied as renewable sources for EP additive production. These bio-based alternatives have a smaller environmental impact compared to traditional synthetic additives. The success of the synthesis depends on key factors such as reaction temperature, sulfur content, and the natural composition of the </w:t>
      </w:r>
      <w:r w:rsidR="004A270B" w:rsidRPr="00FE47D4">
        <w:rPr>
          <w:lang w:val="en-GB"/>
        </w:rPr>
        <w:t xml:space="preserve">used </w:t>
      </w:r>
      <w:r w:rsidRPr="00FE47D4">
        <w:rPr>
          <w:lang w:val="en-GB"/>
        </w:rPr>
        <w:t xml:space="preserve">vegetable oil. These parameters need to be carefully controlled to achieve </w:t>
      </w:r>
      <w:r w:rsidR="001E2970" w:rsidRPr="00FE47D4">
        <w:rPr>
          <w:lang w:val="en-GB"/>
        </w:rPr>
        <w:t>better</w:t>
      </w:r>
      <w:r w:rsidRPr="00FE47D4">
        <w:rPr>
          <w:lang w:val="en-GB"/>
        </w:rPr>
        <w:t xml:space="preserve"> lubricating properties. The use of appropriate catalysts can help improve product stability and quality.</w:t>
      </w:r>
    </w:p>
    <w:p w14:paraId="1A3009A5" w14:textId="154D4D25" w:rsidR="0084164B" w:rsidRPr="004C6F93" w:rsidRDefault="00901274" w:rsidP="00901274">
      <w:pPr>
        <w:pStyle w:val="CETBodytext"/>
        <w:rPr>
          <w:lang w:val="en-GB"/>
        </w:rPr>
      </w:pPr>
      <w:r w:rsidRPr="00901274">
        <w:rPr>
          <w:lang w:val="en-GB"/>
        </w:rPr>
        <w:t>In the current phase of the research, additive</w:t>
      </w:r>
      <w:r w:rsidR="00B351BB">
        <w:rPr>
          <w:lang w:val="en-GB"/>
        </w:rPr>
        <w:t xml:space="preserve"> samples</w:t>
      </w:r>
      <w:r w:rsidRPr="00901274">
        <w:rPr>
          <w:lang w:val="en-GB"/>
        </w:rPr>
        <w:t xml:space="preserve"> </w:t>
      </w:r>
      <w:r w:rsidR="00E01963">
        <w:rPr>
          <w:lang w:val="en-GB"/>
        </w:rPr>
        <w:t xml:space="preserve">were produced </w:t>
      </w:r>
      <w:r w:rsidR="00490760">
        <w:rPr>
          <w:lang w:val="en-GB"/>
        </w:rPr>
        <w:t>in</w:t>
      </w:r>
      <w:r w:rsidRPr="00901274">
        <w:rPr>
          <w:lang w:val="en-GB"/>
        </w:rPr>
        <w:t xml:space="preserve"> catalytic synthesis</w:t>
      </w:r>
      <w:r w:rsidR="00490760">
        <w:rPr>
          <w:lang w:val="en-GB"/>
        </w:rPr>
        <w:t>es</w:t>
      </w:r>
      <w:r w:rsidR="00261864">
        <w:rPr>
          <w:lang w:val="en-GB"/>
        </w:rPr>
        <w:t xml:space="preserve"> </w:t>
      </w:r>
      <w:r w:rsidRPr="00901274">
        <w:rPr>
          <w:lang w:val="en-GB"/>
        </w:rPr>
        <w:t xml:space="preserve">using </w:t>
      </w:r>
      <w:r w:rsidR="00253F6D">
        <w:rPr>
          <w:lang w:val="en-GB"/>
        </w:rPr>
        <w:t xml:space="preserve">the selected </w:t>
      </w:r>
      <w:r w:rsidRPr="00901274">
        <w:rPr>
          <w:lang w:val="en-GB"/>
        </w:rPr>
        <w:t>sulfur donor and technolog</w:t>
      </w:r>
      <w:r w:rsidR="001F5A45">
        <w:rPr>
          <w:lang w:val="en-GB"/>
        </w:rPr>
        <w:t>y</w:t>
      </w:r>
      <w:r w:rsidRPr="00901274">
        <w:rPr>
          <w:lang w:val="en-GB"/>
        </w:rPr>
        <w:t xml:space="preserve">. The physico-chemical properties of the samples were investigated and standard testing procedures were executed, including application-specific tests. Based on the results of the </w:t>
      </w:r>
      <w:r w:rsidR="006E231D" w:rsidRPr="006E231D">
        <w:rPr>
          <w:lang w:val="en-GB"/>
        </w:rPr>
        <w:t xml:space="preserve">physico-chemical </w:t>
      </w:r>
      <w:r w:rsidR="006E231D">
        <w:rPr>
          <w:lang w:val="en-GB"/>
        </w:rPr>
        <w:t xml:space="preserve">and </w:t>
      </w:r>
      <w:r w:rsidRPr="00901274">
        <w:rPr>
          <w:lang w:val="en-GB"/>
        </w:rPr>
        <w:t xml:space="preserve">application tests, it was found that the synthesized </w:t>
      </w:r>
      <w:r w:rsidR="0074390E">
        <w:rPr>
          <w:lang w:val="en-GB"/>
        </w:rPr>
        <w:t xml:space="preserve">bio-based </w:t>
      </w:r>
      <w:r w:rsidRPr="00901274">
        <w:rPr>
          <w:lang w:val="en-GB"/>
        </w:rPr>
        <w:t>additive</w:t>
      </w:r>
      <w:r w:rsidR="0074390E">
        <w:rPr>
          <w:lang w:val="en-GB"/>
        </w:rPr>
        <w:t>s</w:t>
      </w:r>
      <w:r w:rsidRPr="00901274">
        <w:rPr>
          <w:lang w:val="en-GB"/>
        </w:rPr>
        <w:t xml:space="preserve"> </w:t>
      </w:r>
      <w:r w:rsidR="0074390E">
        <w:rPr>
          <w:lang w:val="en-GB"/>
        </w:rPr>
        <w:t>are suitable for use</w:t>
      </w:r>
      <w:r w:rsidRPr="00901274">
        <w:rPr>
          <w:lang w:val="en-GB"/>
        </w:rPr>
        <w:t xml:space="preserve"> in modern industrial lubricants.</w:t>
      </w:r>
    </w:p>
    <w:p w14:paraId="68BD501F" w14:textId="77777777" w:rsidR="00500B84" w:rsidRPr="00B57B36" w:rsidRDefault="00500B84" w:rsidP="00500B84">
      <w:pPr>
        <w:pStyle w:val="CETHeading1"/>
        <w:rPr>
          <w:lang w:val="en-GB"/>
        </w:rPr>
      </w:pPr>
      <w:r w:rsidRPr="00B57B36">
        <w:rPr>
          <w:lang w:val="en-GB"/>
        </w:rPr>
        <w:t>Introduction</w:t>
      </w:r>
    </w:p>
    <w:p w14:paraId="3569C5D6" w14:textId="56433899" w:rsidR="00433051" w:rsidRDefault="00936B1B" w:rsidP="0039324B">
      <w:pPr>
        <w:pStyle w:val="CETBodytext"/>
        <w:spacing w:after="60"/>
        <w:rPr>
          <w:lang w:val="en-GB"/>
        </w:rPr>
      </w:pPr>
      <w:r w:rsidRPr="00936B1B">
        <w:rPr>
          <w:lang w:val="en-GB"/>
        </w:rPr>
        <w:t xml:space="preserve">The lubricant industry plays a crucial role in optimizing </w:t>
      </w:r>
      <w:r w:rsidR="000962B4" w:rsidRPr="000962B4">
        <w:rPr>
          <w:lang w:val="en-GB"/>
        </w:rPr>
        <w:t>machine performance</w:t>
      </w:r>
      <w:r w:rsidR="000962B4">
        <w:rPr>
          <w:lang w:val="en-GB"/>
        </w:rPr>
        <w:t xml:space="preserve"> </w:t>
      </w:r>
      <w:r w:rsidRPr="00936B1B">
        <w:rPr>
          <w:lang w:val="en-GB"/>
        </w:rPr>
        <w:t>within the global industrial sector</w:t>
      </w:r>
      <w:r w:rsidR="000962B4">
        <w:rPr>
          <w:lang w:val="en-GB"/>
        </w:rPr>
        <w:t>.</w:t>
      </w:r>
      <w:r w:rsidR="00961ED2">
        <w:rPr>
          <w:lang w:val="en-GB"/>
        </w:rPr>
        <w:t xml:space="preserve"> </w:t>
      </w:r>
      <w:r w:rsidR="00635A51" w:rsidRPr="00635A51">
        <w:rPr>
          <w:lang w:val="en-GB"/>
        </w:rPr>
        <w:t>Lubricants always contain functional additives that give them new properties or improve their existing properties.</w:t>
      </w:r>
      <w:r w:rsidR="00961ED2">
        <w:rPr>
          <w:lang w:val="en-GB"/>
        </w:rPr>
        <w:t xml:space="preserve"> </w:t>
      </w:r>
      <w:r w:rsidR="00AA6A2D" w:rsidRPr="00AA6A2D">
        <w:rPr>
          <w:lang w:val="en-GB"/>
        </w:rPr>
        <w:t xml:space="preserve">Key additives include dispersants, viscosity index improvers, detergents, anti-wear </w:t>
      </w:r>
      <w:r w:rsidR="001D4B16">
        <w:rPr>
          <w:lang w:val="en-GB"/>
        </w:rPr>
        <w:t xml:space="preserve">(AW) </w:t>
      </w:r>
      <w:r w:rsidR="00AA6A2D" w:rsidRPr="00AA6A2D">
        <w:rPr>
          <w:lang w:val="en-GB"/>
        </w:rPr>
        <w:t xml:space="preserve">agents, antioxidants, corrosion inhibitors, friction modifiers, and emulsifiers. EP additives are used to extend the lifespan of mechanical equipment </w:t>
      </w:r>
      <w:r w:rsidR="00345E1D">
        <w:rPr>
          <w:lang w:val="en-GB"/>
        </w:rPr>
        <w:t>(Leslie, 2017)</w:t>
      </w:r>
      <w:r w:rsidR="006E528C" w:rsidRPr="006E528C">
        <w:rPr>
          <w:lang w:val="en-GB"/>
        </w:rPr>
        <w:t>.</w:t>
      </w:r>
    </w:p>
    <w:p w14:paraId="505A824A" w14:textId="03ECB118" w:rsidR="00A11A9B" w:rsidRDefault="008A0B79" w:rsidP="00CA4033">
      <w:pPr>
        <w:pStyle w:val="CETBodytext"/>
        <w:spacing w:after="60"/>
        <w:rPr>
          <w:lang w:val="en-GB"/>
        </w:rPr>
      </w:pPr>
      <w:r w:rsidRPr="008A0B79">
        <w:rPr>
          <w:lang w:val="en-GB"/>
        </w:rPr>
        <w:t xml:space="preserve">The effectiveness of sulfur compounds as EP additives in lubricants has long been recognized and proven. Sulfur-containing additives are employed in gear oils, metalworking fluids, greases, and engine oils as EP/AW additives. Most of these additives consist of modified triglycerides, esters, or olefins </w:t>
      </w:r>
      <w:r w:rsidR="00277BD1">
        <w:rPr>
          <w:lang w:val="en-GB"/>
        </w:rPr>
        <w:t>(Nicole and Xavier</w:t>
      </w:r>
      <w:r w:rsidR="00B65171">
        <w:rPr>
          <w:lang w:val="en-GB"/>
        </w:rPr>
        <w:t>, 2018</w:t>
      </w:r>
      <w:r w:rsidR="00277BD1">
        <w:rPr>
          <w:lang w:val="en-GB"/>
        </w:rPr>
        <w:t>)</w:t>
      </w:r>
      <w:r w:rsidRPr="008A0B79">
        <w:rPr>
          <w:lang w:val="en-GB"/>
        </w:rPr>
        <w:t xml:space="preserve">. Although sulfur-based EP additives derived from vegetable oils are environmentally friendly and biodegradable, their oxidative stability and corrosiveness remain unsatisfactory </w:t>
      </w:r>
      <w:r w:rsidR="00445A56">
        <w:rPr>
          <w:lang w:val="en-GB"/>
        </w:rPr>
        <w:t>(Wilfried and Theo</w:t>
      </w:r>
      <w:r w:rsidR="00B65171">
        <w:rPr>
          <w:lang w:val="en-GB"/>
        </w:rPr>
        <w:t>, 2017</w:t>
      </w:r>
      <w:r w:rsidR="00445A56">
        <w:rPr>
          <w:lang w:val="en-GB"/>
        </w:rPr>
        <w:t>)</w:t>
      </w:r>
      <w:r w:rsidRPr="008A0B79">
        <w:rPr>
          <w:lang w:val="en-GB"/>
        </w:rPr>
        <w:t>.</w:t>
      </w:r>
    </w:p>
    <w:p w14:paraId="5BAF8A8C" w14:textId="77777777" w:rsidR="00922CA7" w:rsidRDefault="009E1FA1" w:rsidP="007947E8">
      <w:pPr>
        <w:pStyle w:val="CETBodytext"/>
        <w:widowControl w:val="0"/>
        <w:spacing w:after="60"/>
        <w:rPr>
          <w:lang w:val="en-GB"/>
        </w:rPr>
      </w:pPr>
      <w:r w:rsidRPr="009E1FA1">
        <w:rPr>
          <w:lang w:val="en-GB"/>
        </w:rPr>
        <w:t xml:space="preserve">The sulfurization reaction requires a sulfurizable </w:t>
      </w:r>
      <w:r w:rsidR="00B65ADF">
        <w:rPr>
          <w:lang w:val="en-GB"/>
        </w:rPr>
        <w:t>raw material</w:t>
      </w:r>
      <w:r w:rsidRPr="009E1FA1">
        <w:rPr>
          <w:lang w:val="en-GB"/>
        </w:rPr>
        <w:t xml:space="preserve"> containing a double bond </w:t>
      </w:r>
      <w:r w:rsidR="00B65ADF">
        <w:rPr>
          <w:lang w:val="en-GB"/>
        </w:rPr>
        <w:t>and</w:t>
      </w:r>
      <w:r w:rsidRPr="009E1FA1">
        <w:rPr>
          <w:lang w:val="en-GB"/>
        </w:rPr>
        <w:t xml:space="preserve"> a sulfur donor, which can be elemental sulfur, hydrogen sulfide, mercaptan, sulfide, etc. In industrial applications, batch technologies are used. Usually, the amount of sulfur </w:t>
      </w:r>
      <w:r w:rsidR="0048329B">
        <w:rPr>
          <w:lang w:val="en-GB"/>
        </w:rPr>
        <w:t>donor</w:t>
      </w:r>
      <w:r w:rsidRPr="009E1FA1">
        <w:rPr>
          <w:lang w:val="en-GB"/>
        </w:rPr>
        <w:t xml:space="preserve"> is calculated based on the total olefinic unsaturation of the </w:t>
      </w:r>
      <w:r w:rsidR="00086437">
        <w:rPr>
          <w:lang w:val="en-GB"/>
        </w:rPr>
        <w:t xml:space="preserve">raw material </w:t>
      </w:r>
      <w:r w:rsidRPr="009E1FA1">
        <w:rPr>
          <w:lang w:val="en-GB"/>
        </w:rPr>
        <w:t>mixture (Kirk, 1980). The literature distinguishes three types of processes based on the colo</w:t>
      </w:r>
      <w:r w:rsidR="00086437">
        <w:rPr>
          <w:lang w:val="en-GB"/>
        </w:rPr>
        <w:t>u</w:t>
      </w:r>
      <w:r w:rsidRPr="009E1FA1">
        <w:rPr>
          <w:lang w:val="en-GB"/>
        </w:rPr>
        <w:t>r of the product</w:t>
      </w:r>
      <w:r w:rsidR="00086437">
        <w:rPr>
          <w:lang w:val="en-GB"/>
        </w:rPr>
        <w:t>:</w:t>
      </w:r>
      <w:r w:rsidRPr="009E1FA1">
        <w:rPr>
          <w:lang w:val="en-GB"/>
        </w:rPr>
        <w:t xml:space="preserve"> the dark sulfurization process, the lighter sulfurization process and the light sulfurization process (Leslie, 2017). The sulfurization reaction can also be carried out in the presence of various catalysts, which can be ammonia, but amines, metal dithiocarbamates</w:t>
      </w:r>
      <w:r w:rsidR="008D12DB">
        <w:rPr>
          <w:lang w:val="en-GB"/>
        </w:rPr>
        <w:t>,</w:t>
      </w:r>
      <w:r w:rsidR="009905E3">
        <w:rPr>
          <w:lang w:val="en-GB"/>
        </w:rPr>
        <w:t xml:space="preserve"> sulfides</w:t>
      </w:r>
      <w:r w:rsidRPr="009E1FA1">
        <w:rPr>
          <w:lang w:val="en-GB"/>
        </w:rPr>
        <w:t xml:space="preserve"> or transition metal oxides are more commonly used</w:t>
      </w:r>
      <w:r w:rsidR="007A46EA">
        <w:rPr>
          <w:lang w:val="en-GB"/>
        </w:rPr>
        <w:t>.</w:t>
      </w:r>
      <w:r w:rsidRPr="009E1FA1">
        <w:rPr>
          <w:lang w:val="en-GB"/>
        </w:rPr>
        <w:t xml:space="preserve"> In addition, the use of acid catalyst is also known in the literature (James, 1990).</w:t>
      </w:r>
    </w:p>
    <w:p w14:paraId="2899A5C1" w14:textId="50655D0D" w:rsidR="004E3EED" w:rsidRDefault="007A7D20" w:rsidP="00550F19">
      <w:pPr>
        <w:pStyle w:val="CETBodytext"/>
        <w:widowControl w:val="0"/>
        <w:rPr>
          <w:lang w:val="en-GB"/>
        </w:rPr>
      </w:pPr>
      <w:r w:rsidRPr="007A7D20">
        <w:rPr>
          <w:lang w:val="en-GB"/>
        </w:rPr>
        <w:t xml:space="preserve">The </w:t>
      </w:r>
      <w:r>
        <w:rPr>
          <w:lang w:val="en-GB"/>
        </w:rPr>
        <w:t>current</w:t>
      </w:r>
      <w:r w:rsidRPr="007A7D20">
        <w:rPr>
          <w:lang w:val="en-GB"/>
        </w:rPr>
        <w:t xml:space="preserve"> phase of th</w:t>
      </w:r>
      <w:r w:rsidR="0099793B">
        <w:rPr>
          <w:lang w:val="en-GB"/>
        </w:rPr>
        <w:t>e</w:t>
      </w:r>
      <w:r w:rsidRPr="007A7D20">
        <w:rPr>
          <w:lang w:val="en-GB"/>
        </w:rPr>
        <w:t xml:space="preserve"> research is </w:t>
      </w:r>
      <w:r w:rsidR="00A27129">
        <w:rPr>
          <w:lang w:val="en-GB"/>
        </w:rPr>
        <w:t>aimed</w:t>
      </w:r>
      <w:r w:rsidRPr="007A7D20">
        <w:rPr>
          <w:lang w:val="en-GB"/>
        </w:rPr>
        <w:t xml:space="preserve"> </w:t>
      </w:r>
      <w:r w:rsidR="00AE7BDC">
        <w:rPr>
          <w:lang w:val="en-GB"/>
        </w:rPr>
        <w:t>a</w:t>
      </w:r>
      <w:r w:rsidR="007173E7">
        <w:rPr>
          <w:lang w:val="en-GB"/>
        </w:rPr>
        <w:t>t</w:t>
      </w:r>
      <w:r w:rsidRPr="007A7D20">
        <w:rPr>
          <w:lang w:val="en-GB"/>
        </w:rPr>
        <w:t xml:space="preserve"> exploring the array of catalysts that can be employed for the production of sulfurized vegetable oil additives. Furthermore, a primary objective is to identify those catalysts that are most effective for synthesizing EP additives derived from vegetable oils.</w:t>
      </w:r>
    </w:p>
    <w:p w14:paraId="4CF1B395" w14:textId="77777777" w:rsidR="009F7C63" w:rsidRPr="00642A4F" w:rsidRDefault="009F7C63" w:rsidP="009F7C63">
      <w:pPr>
        <w:pStyle w:val="CETHeading1"/>
        <w:rPr>
          <w:lang w:val="en-GB"/>
        </w:rPr>
      </w:pPr>
      <w:r w:rsidRPr="00642A4F">
        <w:rPr>
          <w:lang w:val="en-GB"/>
        </w:rPr>
        <w:lastRenderedPageBreak/>
        <w:t>Materials</w:t>
      </w:r>
    </w:p>
    <w:p w14:paraId="6F833F4E" w14:textId="6760F214" w:rsidR="009F7C63" w:rsidRPr="008E7087" w:rsidRDefault="009F7C63" w:rsidP="009F7C63">
      <w:pPr>
        <w:pStyle w:val="CETBodytext"/>
        <w:spacing w:after="60"/>
        <w:rPr>
          <w:lang w:val="en-GB"/>
        </w:rPr>
      </w:pPr>
      <w:r w:rsidRPr="008E7087">
        <w:rPr>
          <w:lang w:val="en-GB"/>
        </w:rPr>
        <w:t>The data of the raw materials to be sulfurized</w:t>
      </w:r>
      <w:r w:rsidR="00CE4BBA" w:rsidRPr="008E7087">
        <w:rPr>
          <w:lang w:val="en-GB"/>
        </w:rPr>
        <w:t>, the sulfur donor</w:t>
      </w:r>
      <w:r w:rsidRPr="008E7087">
        <w:rPr>
          <w:lang w:val="en-GB"/>
        </w:rPr>
        <w:t xml:space="preserve"> and </w:t>
      </w:r>
      <w:r w:rsidR="00CE4BBA" w:rsidRPr="008E7087">
        <w:rPr>
          <w:lang w:val="en-GB"/>
        </w:rPr>
        <w:t xml:space="preserve">the applied </w:t>
      </w:r>
      <w:r w:rsidR="009B3E7C">
        <w:rPr>
          <w:lang w:val="en-GB"/>
        </w:rPr>
        <w:t>catalyst</w:t>
      </w:r>
      <w:r w:rsidR="00CE4BBA" w:rsidRPr="008E7087">
        <w:rPr>
          <w:lang w:val="en-GB"/>
        </w:rPr>
        <w:t>s</w:t>
      </w:r>
      <w:r w:rsidRPr="008E7087">
        <w:rPr>
          <w:lang w:val="en-GB"/>
        </w:rPr>
        <w:t xml:space="preserve"> used for the </w:t>
      </w:r>
      <w:r w:rsidR="008900AD" w:rsidRPr="008E7087">
        <w:rPr>
          <w:lang w:val="en-GB"/>
        </w:rPr>
        <w:t xml:space="preserve">synthesis of the </w:t>
      </w:r>
      <w:r w:rsidRPr="008E7087">
        <w:rPr>
          <w:lang w:val="en-GB"/>
        </w:rPr>
        <w:t xml:space="preserve">EP additives </w:t>
      </w:r>
      <w:r w:rsidR="00BD1B66" w:rsidRPr="008E7087">
        <w:rPr>
          <w:lang w:val="en-GB"/>
        </w:rPr>
        <w:t>are</w:t>
      </w:r>
      <w:r w:rsidRPr="008E7087">
        <w:rPr>
          <w:lang w:val="en-GB"/>
        </w:rPr>
        <w:t xml:space="preserve"> indicated in Tables 1-</w:t>
      </w:r>
      <w:r w:rsidR="0000017D">
        <w:rPr>
          <w:lang w:val="en-GB"/>
        </w:rPr>
        <w:t>3</w:t>
      </w:r>
      <w:r w:rsidRPr="008E7087">
        <w:rPr>
          <w:lang w:val="en-GB"/>
        </w:rPr>
        <w:t>.</w:t>
      </w:r>
    </w:p>
    <w:p w14:paraId="19208DEC" w14:textId="77777777" w:rsidR="009F7C63" w:rsidRPr="008E7087" w:rsidRDefault="009F7C63" w:rsidP="00E6588B">
      <w:pPr>
        <w:pStyle w:val="CETTabletitle"/>
        <w:spacing w:before="60"/>
      </w:pPr>
      <w:r w:rsidRPr="008E7087">
        <w:t>Table 1: Characteristics of the raw materials to be sulfurized</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560"/>
        <w:gridCol w:w="1701"/>
        <w:gridCol w:w="1134"/>
        <w:gridCol w:w="1559"/>
        <w:gridCol w:w="1559"/>
        <w:gridCol w:w="1274"/>
      </w:tblGrid>
      <w:tr w:rsidR="008E7087" w:rsidRPr="008E7087" w14:paraId="588F145D" w14:textId="77777777" w:rsidTr="0097708A">
        <w:tc>
          <w:tcPr>
            <w:tcW w:w="1560" w:type="dxa"/>
            <w:tcBorders>
              <w:top w:val="single" w:sz="12" w:space="0" w:color="008000"/>
              <w:bottom w:val="single" w:sz="6" w:space="0" w:color="008000"/>
            </w:tcBorders>
            <w:shd w:val="clear" w:color="auto" w:fill="FFFFFF"/>
            <w:vAlign w:val="center"/>
          </w:tcPr>
          <w:p w14:paraId="10F15082" w14:textId="77777777" w:rsidR="009F7C63" w:rsidRPr="008E7087" w:rsidRDefault="009F7C63" w:rsidP="00AF7B07">
            <w:pPr>
              <w:pStyle w:val="CETBodytext"/>
              <w:jc w:val="left"/>
              <w:rPr>
                <w:lang w:val="en-GB"/>
              </w:rPr>
            </w:pPr>
            <w:r w:rsidRPr="008E7087">
              <w:rPr>
                <w:lang w:val="en-GB"/>
              </w:rPr>
              <w:t>Raw material</w:t>
            </w:r>
          </w:p>
        </w:tc>
        <w:tc>
          <w:tcPr>
            <w:tcW w:w="1701" w:type="dxa"/>
            <w:tcBorders>
              <w:top w:val="single" w:sz="12" w:space="0" w:color="008000"/>
              <w:bottom w:val="single" w:sz="6" w:space="0" w:color="008000"/>
            </w:tcBorders>
            <w:shd w:val="clear" w:color="auto" w:fill="FFFFFF"/>
            <w:vAlign w:val="center"/>
          </w:tcPr>
          <w:p w14:paraId="14AA406E" w14:textId="77777777" w:rsidR="009F7C63" w:rsidRPr="008E7087" w:rsidRDefault="009F7C63" w:rsidP="00AF7B07">
            <w:pPr>
              <w:pStyle w:val="CETBodytext"/>
              <w:jc w:val="left"/>
              <w:rPr>
                <w:lang w:val="en-GB"/>
              </w:rPr>
            </w:pPr>
            <w:r w:rsidRPr="008E7087">
              <w:rPr>
                <w:lang w:val="en-GB"/>
              </w:rPr>
              <w:t>Appearance</w:t>
            </w:r>
          </w:p>
        </w:tc>
        <w:tc>
          <w:tcPr>
            <w:tcW w:w="1134" w:type="dxa"/>
            <w:tcBorders>
              <w:top w:val="single" w:sz="12" w:space="0" w:color="008000"/>
              <w:bottom w:val="single" w:sz="6" w:space="0" w:color="008000"/>
            </w:tcBorders>
            <w:shd w:val="clear" w:color="auto" w:fill="FFFFFF"/>
            <w:vAlign w:val="center"/>
          </w:tcPr>
          <w:p w14:paraId="62766E16" w14:textId="77777777" w:rsidR="009F7C63" w:rsidRPr="008E7087" w:rsidRDefault="009F7C63" w:rsidP="00AF7B07">
            <w:pPr>
              <w:pStyle w:val="CETBodytext"/>
              <w:jc w:val="left"/>
              <w:rPr>
                <w:lang w:val="en-GB"/>
              </w:rPr>
            </w:pPr>
            <w:r w:rsidRPr="008E7087">
              <w:rPr>
                <w:lang w:val="en-GB"/>
              </w:rPr>
              <w:t>Density at 20°C, g/cm</w:t>
            </w:r>
            <w:r w:rsidRPr="008E7087">
              <w:rPr>
                <w:vertAlign w:val="superscript"/>
                <w:lang w:val="en-GB"/>
              </w:rPr>
              <w:t>3</w:t>
            </w:r>
          </w:p>
        </w:tc>
        <w:tc>
          <w:tcPr>
            <w:tcW w:w="1559" w:type="dxa"/>
            <w:tcBorders>
              <w:top w:val="single" w:sz="12" w:space="0" w:color="008000"/>
              <w:bottom w:val="single" w:sz="6" w:space="0" w:color="008000"/>
            </w:tcBorders>
            <w:shd w:val="clear" w:color="auto" w:fill="FFFFFF"/>
            <w:vAlign w:val="center"/>
          </w:tcPr>
          <w:p w14:paraId="746A2FAF" w14:textId="77777777" w:rsidR="009F7C63" w:rsidRPr="008E7087" w:rsidRDefault="009F7C63" w:rsidP="00AF7B07">
            <w:pPr>
              <w:pStyle w:val="CETBodytext"/>
              <w:jc w:val="left"/>
              <w:rPr>
                <w:lang w:val="en-GB"/>
              </w:rPr>
            </w:pPr>
            <w:r w:rsidRPr="008E7087">
              <w:rPr>
                <w:lang w:val="en-GB"/>
              </w:rPr>
              <w:t>Kinematic viscosity at 40°C, mm</w:t>
            </w:r>
            <w:r w:rsidRPr="008E7087">
              <w:rPr>
                <w:vertAlign w:val="superscript"/>
                <w:lang w:val="en-GB"/>
              </w:rPr>
              <w:t>2</w:t>
            </w:r>
            <w:r w:rsidRPr="008E7087">
              <w:rPr>
                <w:lang w:val="en-GB"/>
              </w:rPr>
              <w:t>/s</w:t>
            </w:r>
          </w:p>
        </w:tc>
        <w:tc>
          <w:tcPr>
            <w:tcW w:w="1559" w:type="dxa"/>
            <w:tcBorders>
              <w:top w:val="single" w:sz="12" w:space="0" w:color="008000"/>
              <w:bottom w:val="single" w:sz="6" w:space="0" w:color="008000"/>
            </w:tcBorders>
            <w:shd w:val="clear" w:color="auto" w:fill="FFFFFF"/>
            <w:vAlign w:val="center"/>
          </w:tcPr>
          <w:p w14:paraId="28B449C8" w14:textId="77777777" w:rsidR="009F7C63" w:rsidRPr="008E7087" w:rsidRDefault="009F7C63" w:rsidP="00AF7B07">
            <w:pPr>
              <w:pStyle w:val="CETBodytext"/>
              <w:jc w:val="left"/>
              <w:rPr>
                <w:lang w:val="en-GB"/>
              </w:rPr>
            </w:pPr>
            <w:r w:rsidRPr="008E7087">
              <w:rPr>
                <w:lang w:val="en-GB"/>
              </w:rPr>
              <w:t>Kinematic viscosity at 100°C, mm</w:t>
            </w:r>
            <w:r w:rsidRPr="008E7087">
              <w:rPr>
                <w:vertAlign w:val="superscript"/>
                <w:lang w:val="en-GB"/>
              </w:rPr>
              <w:t>2</w:t>
            </w:r>
            <w:r w:rsidRPr="008E7087">
              <w:rPr>
                <w:lang w:val="en-GB"/>
              </w:rPr>
              <w:t>/s</w:t>
            </w:r>
          </w:p>
        </w:tc>
        <w:tc>
          <w:tcPr>
            <w:tcW w:w="1274" w:type="dxa"/>
            <w:tcBorders>
              <w:top w:val="single" w:sz="12" w:space="0" w:color="008000"/>
              <w:bottom w:val="single" w:sz="6" w:space="0" w:color="008000"/>
            </w:tcBorders>
            <w:shd w:val="clear" w:color="auto" w:fill="FFFFFF"/>
            <w:vAlign w:val="center"/>
          </w:tcPr>
          <w:p w14:paraId="277F4537" w14:textId="77777777" w:rsidR="009F7C63" w:rsidRPr="008E7087" w:rsidRDefault="009F7C63" w:rsidP="00AF7B07">
            <w:pPr>
              <w:pStyle w:val="CETBodytext"/>
              <w:jc w:val="left"/>
              <w:rPr>
                <w:lang w:val="en-GB"/>
              </w:rPr>
            </w:pPr>
            <w:r w:rsidRPr="008E7087">
              <w:rPr>
                <w:lang w:val="en-GB"/>
              </w:rPr>
              <w:t>Iodine number, gI</w:t>
            </w:r>
            <w:r w:rsidRPr="008E7087">
              <w:rPr>
                <w:vertAlign w:val="subscript"/>
                <w:lang w:val="en-GB"/>
              </w:rPr>
              <w:t>2</w:t>
            </w:r>
            <w:r w:rsidRPr="008E7087">
              <w:rPr>
                <w:lang w:val="en-GB"/>
              </w:rPr>
              <w:t>/100g</w:t>
            </w:r>
          </w:p>
        </w:tc>
      </w:tr>
      <w:tr w:rsidR="008E7087" w:rsidRPr="008E7087" w14:paraId="2F7ED7DA" w14:textId="77777777" w:rsidTr="0097708A">
        <w:tc>
          <w:tcPr>
            <w:tcW w:w="1560" w:type="dxa"/>
            <w:shd w:val="clear" w:color="auto" w:fill="FFFFFF"/>
            <w:vAlign w:val="center"/>
          </w:tcPr>
          <w:p w14:paraId="686FC410" w14:textId="77777777" w:rsidR="009F7C63" w:rsidRPr="008E7087" w:rsidRDefault="009F7C63" w:rsidP="00AF7B07">
            <w:pPr>
              <w:pStyle w:val="CETBodytext"/>
              <w:ind w:right="-1"/>
              <w:jc w:val="left"/>
              <w:rPr>
                <w:rFonts w:cs="Arial"/>
                <w:szCs w:val="18"/>
                <w:lang w:val="en-GB"/>
              </w:rPr>
            </w:pPr>
            <w:r w:rsidRPr="008E7087">
              <w:rPr>
                <w:lang w:val="en-GB"/>
              </w:rPr>
              <w:t>Used cooking oil</w:t>
            </w:r>
          </w:p>
        </w:tc>
        <w:tc>
          <w:tcPr>
            <w:tcW w:w="1701" w:type="dxa"/>
            <w:shd w:val="clear" w:color="auto" w:fill="FFFFFF"/>
            <w:vAlign w:val="center"/>
          </w:tcPr>
          <w:p w14:paraId="22C1881C" w14:textId="0B9006B7" w:rsidR="009F7C63" w:rsidRPr="008E7087" w:rsidRDefault="009F7C63" w:rsidP="00AF7B07">
            <w:pPr>
              <w:pStyle w:val="CETBodytext"/>
              <w:ind w:right="-1"/>
              <w:jc w:val="left"/>
              <w:rPr>
                <w:rFonts w:cs="Arial"/>
                <w:szCs w:val="18"/>
                <w:lang w:val="en-GB"/>
              </w:rPr>
            </w:pPr>
            <w:r w:rsidRPr="008E7087">
              <w:rPr>
                <w:lang w:val="en-GB"/>
              </w:rPr>
              <w:t>Brown</w:t>
            </w:r>
            <w:r w:rsidR="004E7912" w:rsidRPr="008E7087">
              <w:rPr>
                <w:lang w:val="en-GB"/>
              </w:rPr>
              <w:t xml:space="preserve"> </w:t>
            </w:r>
            <w:r w:rsidRPr="008E7087">
              <w:rPr>
                <w:lang w:val="en-GB"/>
              </w:rPr>
              <w:t>liquid</w:t>
            </w:r>
          </w:p>
        </w:tc>
        <w:tc>
          <w:tcPr>
            <w:tcW w:w="1134" w:type="dxa"/>
            <w:shd w:val="clear" w:color="auto" w:fill="FFFFFF"/>
            <w:vAlign w:val="center"/>
          </w:tcPr>
          <w:p w14:paraId="758F5C08" w14:textId="597285D1" w:rsidR="009F7C63" w:rsidRPr="008E7087" w:rsidRDefault="009F7C63" w:rsidP="00AF7B07">
            <w:pPr>
              <w:pStyle w:val="CETBodytext"/>
              <w:ind w:right="-1"/>
              <w:jc w:val="left"/>
              <w:rPr>
                <w:rFonts w:cs="Arial"/>
                <w:szCs w:val="18"/>
                <w:lang w:val="en-GB"/>
              </w:rPr>
            </w:pPr>
            <w:r w:rsidRPr="008E7087">
              <w:rPr>
                <w:lang w:val="en-GB"/>
              </w:rPr>
              <w:t>0.9</w:t>
            </w:r>
            <w:r w:rsidR="004E7912" w:rsidRPr="008E7087">
              <w:rPr>
                <w:lang w:val="en-GB"/>
              </w:rPr>
              <w:t>195</w:t>
            </w:r>
          </w:p>
        </w:tc>
        <w:tc>
          <w:tcPr>
            <w:tcW w:w="1559" w:type="dxa"/>
            <w:shd w:val="clear" w:color="auto" w:fill="FFFFFF"/>
            <w:vAlign w:val="center"/>
          </w:tcPr>
          <w:p w14:paraId="17CA9226" w14:textId="1AC33A3A" w:rsidR="009F7C63" w:rsidRPr="008E7087" w:rsidRDefault="009F7C63" w:rsidP="00AF7B07">
            <w:pPr>
              <w:pStyle w:val="CETBodytext"/>
              <w:ind w:right="-1"/>
              <w:jc w:val="left"/>
              <w:rPr>
                <w:rFonts w:cs="Arial"/>
                <w:szCs w:val="18"/>
                <w:lang w:val="en-GB"/>
              </w:rPr>
            </w:pPr>
            <w:r w:rsidRPr="008E7087">
              <w:rPr>
                <w:lang w:val="en-GB"/>
              </w:rPr>
              <w:t>4</w:t>
            </w:r>
            <w:r w:rsidR="00945C68" w:rsidRPr="008E7087">
              <w:rPr>
                <w:lang w:val="en-GB"/>
              </w:rPr>
              <w:t>0</w:t>
            </w:r>
            <w:r w:rsidRPr="008E7087">
              <w:rPr>
                <w:lang w:val="en-GB"/>
              </w:rPr>
              <w:t>.</w:t>
            </w:r>
            <w:r w:rsidR="00945C68" w:rsidRPr="008E7087">
              <w:rPr>
                <w:lang w:val="en-GB"/>
              </w:rPr>
              <w:t>24</w:t>
            </w:r>
          </w:p>
        </w:tc>
        <w:tc>
          <w:tcPr>
            <w:tcW w:w="1559" w:type="dxa"/>
            <w:shd w:val="clear" w:color="auto" w:fill="FFFFFF"/>
            <w:vAlign w:val="center"/>
          </w:tcPr>
          <w:p w14:paraId="51557D5E" w14:textId="78310D17" w:rsidR="009F7C63" w:rsidRPr="008E7087" w:rsidRDefault="009F7C63" w:rsidP="00AF7B07">
            <w:pPr>
              <w:pStyle w:val="CETBodytext"/>
              <w:ind w:right="-1"/>
              <w:jc w:val="left"/>
              <w:rPr>
                <w:rFonts w:cs="Arial"/>
                <w:szCs w:val="18"/>
                <w:lang w:val="en-GB"/>
              </w:rPr>
            </w:pPr>
            <w:r w:rsidRPr="008E7087">
              <w:rPr>
                <w:lang w:val="en-GB"/>
              </w:rPr>
              <w:t>8.</w:t>
            </w:r>
            <w:r w:rsidR="007B064B" w:rsidRPr="008E7087">
              <w:rPr>
                <w:lang w:val="en-GB"/>
              </w:rPr>
              <w:t>71</w:t>
            </w:r>
          </w:p>
        </w:tc>
        <w:tc>
          <w:tcPr>
            <w:tcW w:w="1274" w:type="dxa"/>
            <w:shd w:val="clear" w:color="auto" w:fill="FFFFFF"/>
            <w:vAlign w:val="center"/>
          </w:tcPr>
          <w:p w14:paraId="57B75684" w14:textId="55E01772" w:rsidR="009F7C63" w:rsidRPr="008E7087" w:rsidRDefault="007B064B" w:rsidP="00AF7B07">
            <w:pPr>
              <w:pStyle w:val="CETBodytext"/>
              <w:ind w:right="-1"/>
              <w:jc w:val="left"/>
              <w:rPr>
                <w:rFonts w:cs="Arial"/>
                <w:szCs w:val="18"/>
                <w:lang w:val="en-GB"/>
              </w:rPr>
            </w:pPr>
            <w:r w:rsidRPr="008E7087">
              <w:rPr>
                <w:lang w:val="en-GB"/>
              </w:rPr>
              <w:t>7</w:t>
            </w:r>
            <w:r w:rsidR="009F7C63" w:rsidRPr="008E7087">
              <w:rPr>
                <w:lang w:val="en-GB"/>
              </w:rPr>
              <w:t>5.</w:t>
            </w:r>
            <w:r w:rsidRPr="008E7087">
              <w:rPr>
                <w:lang w:val="en-GB"/>
              </w:rPr>
              <w:t>7</w:t>
            </w:r>
          </w:p>
        </w:tc>
      </w:tr>
      <w:tr w:rsidR="008E7087" w:rsidRPr="008E7087" w14:paraId="28B0FE1A" w14:textId="77777777" w:rsidTr="0097708A">
        <w:tc>
          <w:tcPr>
            <w:tcW w:w="1560" w:type="dxa"/>
            <w:shd w:val="clear" w:color="auto" w:fill="FFFFFF"/>
            <w:vAlign w:val="center"/>
          </w:tcPr>
          <w:p w14:paraId="302B8E21" w14:textId="77777777" w:rsidR="009F7C63" w:rsidRPr="008E7087" w:rsidRDefault="009F7C63" w:rsidP="00AF7B07">
            <w:pPr>
              <w:pStyle w:val="CETBodytext"/>
              <w:ind w:right="-1"/>
              <w:jc w:val="left"/>
              <w:rPr>
                <w:rFonts w:cs="Arial"/>
                <w:szCs w:val="18"/>
                <w:lang w:val="en-GB"/>
              </w:rPr>
            </w:pPr>
            <w:r w:rsidRPr="008E7087">
              <w:rPr>
                <w:lang w:val="en-GB"/>
              </w:rPr>
              <w:t>Olive pomace oil</w:t>
            </w:r>
          </w:p>
        </w:tc>
        <w:tc>
          <w:tcPr>
            <w:tcW w:w="1701" w:type="dxa"/>
            <w:shd w:val="clear" w:color="auto" w:fill="FFFFFF"/>
            <w:vAlign w:val="center"/>
          </w:tcPr>
          <w:p w14:paraId="11F849DA" w14:textId="6040B4B6" w:rsidR="009F7C63" w:rsidRPr="00D47C1A" w:rsidRDefault="009F7C63" w:rsidP="00AF7B07">
            <w:pPr>
              <w:pStyle w:val="CETBodytext"/>
              <w:ind w:right="-1"/>
              <w:jc w:val="left"/>
              <w:rPr>
                <w:lang w:val="en-GB"/>
              </w:rPr>
            </w:pPr>
            <w:r w:rsidRPr="008E7087">
              <w:rPr>
                <w:lang w:val="en-GB"/>
              </w:rPr>
              <w:t>Yellow</w:t>
            </w:r>
            <w:r w:rsidR="0097708A">
              <w:rPr>
                <w:lang w:val="en-GB"/>
              </w:rPr>
              <w:t>-</w:t>
            </w:r>
            <w:r w:rsidR="005C5067" w:rsidRPr="008E7087">
              <w:rPr>
                <w:lang w:val="en-GB"/>
              </w:rPr>
              <w:t>green</w:t>
            </w:r>
            <w:r w:rsidR="004E7912" w:rsidRPr="008E7087">
              <w:rPr>
                <w:lang w:val="en-GB"/>
              </w:rPr>
              <w:t xml:space="preserve"> </w:t>
            </w:r>
            <w:r w:rsidRPr="008E7087">
              <w:rPr>
                <w:lang w:val="en-GB"/>
              </w:rPr>
              <w:t>liquid</w:t>
            </w:r>
          </w:p>
        </w:tc>
        <w:tc>
          <w:tcPr>
            <w:tcW w:w="1134" w:type="dxa"/>
            <w:shd w:val="clear" w:color="auto" w:fill="FFFFFF"/>
            <w:vAlign w:val="center"/>
          </w:tcPr>
          <w:p w14:paraId="7D35FD11" w14:textId="4381E603" w:rsidR="009F7C63" w:rsidRPr="008E7087" w:rsidRDefault="009F7C63" w:rsidP="00AF7B07">
            <w:pPr>
              <w:pStyle w:val="CETBodytext"/>
              <w:ind w:right="-1"/>
              <w:jc w:val="left"/>
              <w:rPr>
                <w:rFonts w:cs="Arial"/>
                <w:szCs w:val="18"/>
                <w:lang w:val="en-GB"/>
              </w:rPr>
            </w:pPr>
            <w:r w:rsidRPr="008E7087">
              <w:rPr>
                <w:lang w:val="en-GB"/>
              </w:rPr>
              <w:t>0.9</w:t>
            </w:r>
            <w:r w:rsidR="00945C68" w:rsidRPr="008E7087">
              <w:rPr>
                <w:lang w:val="en-GB"/>
              </w:rPr>
              <w:t>137</w:t>
            </w:r>
          </w:p>
        </w:tc>
        <w:tc>
          <w:tcPr>
            <w:tcW w:w="1559" w:type="dxa"/>
            <w:shd w:val="clear" w:color="auto" w:fill="FFFFFF"/>
            <w:vAlign w:val="center"/>
          </w:tcPr>
          <w:p w14:paraId="1B3A8351" w14:textId="29176CF2" w:rsidR="009F7C63" w:rsidRPr="008E7087" w:rsidRDefault="00945C68" w:rsidP="00AF7B07">
            <w:pPr>
              <w:pStyle w:val="CETBodytext"/>
              <w:ind w:right="-1"/>
              <w:jc w:val="left"/>
              <w:rPr>
                <w:rFonts w:cs="Arial"/>
                <w:szCs w:val="18"/>
                <w:lang w:val="en-GB"/>
              </w:rPr>
            </w:pPr>
            <w:r w:rsidRPr="008E7087">
              <w:rPr>
                <w:lang w:val="en-GB"/>
              </w:rPr>
              <w:t>39.54</w:t>
            </w:r>
          </w:p>
        </w:tc>
        <w:tc>
          <w:tcPr>
            <w:tcW w:w="1559" w:type="dxa"/>
            <w:shd w:val="clear" w:color="auto" w:fill="FFFFFF"/>
            <w:vAlign w:val="center"/>
          </w:tcPr>
          <w:p w14:paraId="2ECC83EF" w14:textId="6791513C" w:rsidR="009F7C63" w:rsidRPr="008E7087" w:rsidRDefault="009F7C63" w:rsidP="00AF7B07">
            <w:pPr>
              <w:pStyle w:val="CETBodytext"/>
              <w:ind w:right="-1"/>
              <w:jc w:val="left"/>
              <w:rPr>
                <w:rFonts w:cs="Arial"/>
                <w:szCs w:val="18"/>
                <w:lang w:val="en-GB"/>
              </w:rPr>
            </w:pPr>
            <w:r w:rsidRPr="008E7087">
              <w:rPr>
                <w:lang w:val="en-GB"/>
              </w:rPr>
              <w:t>8.</w:t>
            </w:r>
            <w:r w:rsidR="007B064B" w:rsidRPr="008E7087">
              <w:rPr>
                <w:lang w:val="en-GB"/>
              </w:rPr>
              <w:t>36</w:t>
            </w:r>
          </w:p>
        </w:tc>
        <w:tc>
          <w:tcPr>
            <w:tcW w:w="1274" w:type="dxa"/>
            <w:shd w:val="clear" w:color="auto" w:fill="FFFFFF"/>
            <w:vAlign w:val="center"/>
          </w:tcPr>
          <w:p w14:paraId="76EE2291" w14:textId="26CA1DEA" w:rsidR="009F7C63" w:rsidRPr="008E7087" w:rsidRDefault="009F7C63" w:rsidP="00AF7B07">
            <w:pPr>
              <w:pStyle w:val="CETBodytext"/>
              <w:ind w:right="-1"/>
              <w:jc w:val="left"/>
              <w:rPr>
                <w:rFonts w:cs="Arial"/>
                <w:szCs w:val="18"/>
                <w:lang w:val="en-GB"/>
              </w:rPr>
            </w:pPr>
            <w:r w:rsidRPr="008E7087">
              <w:rPr>
                <w:lang w:val="en-GB"/>
              </w:rPr>
              <w:t>7</w:t>
            </w:r>
            <w:r w:rsidR="007B064B" w:rsidRPr="008E7087">
              <w:rPr>
                <w:lang w:val="en-GB"/>
              </w:rPr>
              <w:t>3</w:t>
            </w:r>
            <w:r w:rsidRPr="008E7087">
              <w:rPr>
                <w:lang w:val="en-GB"/>
              </w:rPr>
              <w:t>.</w:t>
            </w:r>
            <w:r w:rsidR="007B064B" w:rsidRPr="008E7087">
              <w:rPr>
                <w:lang w:val="en-GB"/>
              </w:rPr>
              <w:t>3</w:t>
            </w:r>
          </w:p>
        </w:tc>
      </w:tr>
    </w:tbl>
    <w:p w14:paraId="2A0C2E37" w14:textId="289C3A11" w:rsidR="00683962" w:rsidRPr="00683962" w:rsidRDefault="00683962" w:rsidP="0066595C">
      <w:pPr>
        <w:pStyle w:val="CETBodytext"/>
        <w:spacing w:before="60"/>
        <w:rPr>
          <w:lang w:val="en-GB"/>
        </w:rPr>
      </w:pPr>
      <w:bookmarkStart w:id="1" w:name="_Hlk130236065"/>
      <w:r w:rsidRPr="00683962">
        <w:rPr>
          <w:lang w:val="en-GB"/>
        </w:rPr>
        <w:t>Used cooking oils comprise water, organic impurities, and food-derived residues accumulated during the frying process. Consequently, a purification step is essential prior to their utilization to mitigate potential operational complications</w:t>
      </w:r>
      <w:r w:rsidR="00844B62">
        <w:rPr>
          <w:lang w:val="en-GB"/>
        </w:rPr>
        <w:t xml:space="preserve"> </w:t>
      </w:r>
      <w:r w:rsidR="00844B62" w:rsidRPr="00844B62">
        <w:rPr>
          <w:lang w:val="en-GB"/>
        </w:rPr>
        <w:t>(Miguel et al., 2024)</w:t>
      </w:r>
      <w:r w:rsidRPr="00683962">
        <w:rPr>
          <w:lang w:val="en-GB"/>
        </w:rPr>
        <w:t>.</w:t>
      </w:r>
    </w:p>
    <w:p w14:paraId="0AD3BC28" w14:textId="0FD64470" w:rsidR="009F7C63" w:rsidRPr="008E7087" w:rsidRDefault="009F7C63" w:rsidP="00E45EF8">
      <w:pPr>
        <w:pStyle w:val="CETTabletitle"/>
        <w:spacing w:before="120"/>
      </w:pPr>
      <w:r w:rsidRPr="008E7087">
        <w:t xml:space="preserve">Table 2: Characteristics of the sulfur donor used for the </w:t>
      </w:r>
      <w:r w:rsidR="008E7087" w:rsidRPr="008E7087">
        <w:t>synthesis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313"/>
        <w:gridCol w:w="2302"/>
      </w:tblGrid>
      <w:tr w:rsidR="008E7087" w:rsidRPr="008E7087" w14:paraId="27E3458B" w14:textId="77777777" w:rsidTr="00AF7B07">
        <w:tc>
          <w:tcPr>
            <w:tcW w:w="2313" w:type="dxa"/>
            <w:tcBorders>
              <w:top w:val="single" w:sz="12" w:space="0" w:color="008000"/>
              <w:bottom w:val="single" w:sz="6" w:space="0" w:color="008000"/>
            </w:tcBorders>
            <w:shd w:val="clear" w:color="auto" w:fill="FFFFFF"/>
            <w:vAlign w:val="center"/>
          </w:tcPr>
          <w:p w14:paraId="77E606D8" w14:textId="77777777" w:rsidR="009F7C63" w:rsidRPr="008E7087" w:rsidRDefault="009F7C63" w:rsidP="00AF7B07">
            <w:pPr>
              <w:pStyle w:val="CETBodytext"/>
              <w:jc w:val="left"/>
              <w:rPr>
                <w:lang w:val="en-GB"/>
              </w:rPr>
            </w:pPr>
            <w:r w:rsidRPr="008E7087">
              <w:rPr>
                <w:lang w:val="en-GB"/>
              </w:rPr>
              <w:t>Properties</w:t>
            </w:r>
          </w:p>
        </w:tc>
        <w:tc>
          <w:tcPr>
            <w:tcW w:w="2302" w:type="dxa"/>
            <w:tcBorders>
              <w:top w:val="single" w:sz="12" w:space="0" w:color="008000"/>
              <w:bottom w:val="single" w:sz="6" w:space="0" w:color="008000"/>
            </w:tcBorders>
            <w:shd w:val="clear" w:color="auto" w:fill="FFFFFF"/>
            <w:vAlign w:val="center"/>
          </w:tcPr>
          <w:p w14:paraId="4EA19523" w14:textId="311EC789" w:rsidR="009F7C63" w:rsidRPr="008E7087" w:rsidRDefault="009F7C63" w:rsidP="00AF7B07">
            <w:pPr>
              <w:pStyle w:val="CETBodytext"/>
              <w:jc w:val="left"/>
              <w:rPr>
                <w:lang w:val="en-GB"/>
              </w:rPr>
            </w:pPr>
            <w:r w:rsidRPr="008E7087">
              <w:rPr>
                <w:lang w:val="en-GB"/>
              </w:rPr>
              <w:t>Sulfur</w:t>
            </w:r>
            <w:r w:rsidR="007231CC">
              <w:rPr>
                <w:lang w:val="en-GB"/>
              </w:rPr>
              <w:t xml:space="preserve"> (</w:t>
            </w:r>
            <w:r w:rsidR="004C65FC" w:rsidRPr="004C65FC">
              <w:rPr>
                <w:lang w:val="en-GB"/>
              </w:rPr>
              <w:t>orthorhombic</w:t>
            </w:r>
            <w:r w:rsidR="007231CC">
              <w:rPr>
                <w:lang w:val="en-GB"/>
              </w:rPr>
              <w:t>)</w:t>
            </w:r>
          </w:p>
        </w:tc>
      </w:tr>
      <w:tr w:rsidR="008E7087" w:rsidRPr="008E7087" w14:paraId="4A506BD1" w14:textId="77777777" w:rsidTr="00AF7B07">
        <w:tc>
          <w:tcPr>
            <w:tcW w:w="2313" w:type="dxa"/>
            <w:vAlign w:val="center"/>
          </w:tcPr>
          <w:p w14:paraId="54EFB991" w14:textId="77777777" w:rsidR="009F7C63" w:rsidRPr="008E7087" w:rsidRDefault="009F7C63" w:rsidP="00AF7B07">
            <w:pPr>
              <w:pStyle w:val="CETBodytext"/>
              <w:jc w:val="left"/>
              <w:rPr>
                <w:lang w:val="en-GB"/>
              </w:rPr>
            </w:pPr>
            <w:r w:rsidRPr="008E7087">
              <w:rPr>
                <w:lang w:val="en-GB"/>
              </w:rPr>
              <w:t>Consistency</w:t>
            </w:r>
          </w:p>
        </w:tc>
        <w:tc>
          <w:tcPr>
            <w:tcW w:w="2302" w:type="dxa"/>
            <w:vAlign w:val="center"/>
          </w:tcPr>
          <w:p w14:paraId="0BAEC1E0" w14:textId="77777777" w:rsidR="009F7C63" w:rsidRPr="008E7087" w:rsidRDefault="009F7C63" w:rsidP="00AF7B07">
            <w:pPr>
              <w:pStyle w:val="CETBodytext"/>
              <w:jc w:val="left"/>
              <w:rPr>
                <w:lang w:val="en-GB"/>
              </w:rPr>
            </w:pPr>
            <w:r w:rsidRPr="008E7087">
              <w:rPr>
                <w:lang w:val="en-GB"/>
              </w:rPr>
              <w:t>solid</w:t>
            </w:r>
          </w:p>
        </w:tc>
      </w:tr>
      <w:tr w:rsidR="008E7087" w:rsidRPr="008E7087" w14:paraId="2B851FD4" w14:textId="77777777" w:rsidTr="00AF7B07">
        <w:tc>
          <w:tcPr>
            <w:tcW w:w="2313" w:type="dxa"/>
            <w:vAlign w:val="center"/>
          </w:tcPr>
          <w:p w14:paraId="0A4508AC" w14:textId="77777777" w:rsidR="009F7C63" w:rsidRPr="008E7087" w:rsidRDefault="009F7C63" w:rsidP="00AF7B07">
            <w:pPr>
              <w:pStyle w:val="CETBodytext"/>
              <w:ind w:right="-1"/>
              <w:jc w:val="left"/>
              <w:rPr>
                <w:rFonts w:cs="Arial"/>
                <w:szCs w:val="18"/>
                <w:lang w:val="en-GB"/>
              </w:rPr>
            </w:pPr>
            <w:r w:rsidRPr="008E7087">
              <w:rPr>
                <w:lang w:val="en-GB"/>
              </w:rPr>
              <w:t>Colour, appearance</w:t>
            </w:r>
          </w:p>
        </w:tc>
        <w:tc>
          <w:tcPr>
            <w:tcW w:w="2302" w:type="dxa"/>
            <w:vAlign w:val="center"/>
          </w:tcPr>
          <w:p w14:paraId="156A5680" w14:textId="19E0420E" w:rsidR="009F7C63" w:rsidRPr="008E7087" w:rsidRDefault="009F7C63" w:rsidP="00AF7B07">
            <w:pPr>
              <w:pStyle w:val="CETBodytext"/>
              <w:jc w:val="left"/>
              <w:rPr>
                <w:lang w:val="en-GB"/>
              </w:rPr>
            </w:pPr>
            <w:r w:rsidRPr="008E7087">
              <w:rPr>
                <w:lang w:val="en-GB"/>
              </w:rPr>
              <w:t>yellow</w:t>
            </w:r>
            <w:r w:rsidR="00B473FB">
              <w:rPr>
                <w:lang w:val="en-GB"/>
              </w:rPr>
              <w:t>, powder</w:t>
            </w:r>
          </w:p>
        </w:tc>
      </w:tr>
      <w:tr w:rsidR="008E7087" w:rsidRPr="008E7087" w14:paraId="3D378B14" w14:textId="77777777" w:rsidTr="00AF7B07">
        <w:tc>
          <w:tcPr>
            <w:tcW w:w="2313" w:type="dxa"/>
            <w:vAlign w:val="center"/>
          </w:tcPr>
          <w:p w14:paraId="2D22CBC1" w14:textId="4333C9C9" w:rsidR="009F7C63" w:rsidRPr="008E7087" w:rsidRDefault="009F7C63" w:rsidP="00AF7B07">
            <w:pPr>
              <w:pStyle w:val="CETBodytext"/>
              <w:ind w:right="-1"/>
              <w:jc w:val="left"/>
              <w:rPr>
                <w:rFonts w:cs="Arial"/>
                <w:szCs w:val="18"/>
                <w:lang w:val="en-GB"/>
              </w:rPr>
            </w:pPr>
            <w:r w:rsidRPr="008E7087">
              <w:rPr>
                <w:lang w:val="en-GB"/>
              </w:rPr>
              <w:t xml:space="preserve">Density at </w:t>
            </w:r>
            <w:r w:rsidR="005C7D28">
              <w:rPr>
                <w:lang w:val="en-GB"/>
              </w:rPr>
              <w:t>2</w:t>
            </w:r>
            <w:r w:rsidRPr="008E7087">
              <w:rPr>
                <w:lang w:val="en-GB"/>
              </w:rPr>
              <w:t>5°C, g/</w:t>
            </w:r>
            <w:r w:rsidR="009403A1">
              <w:rPr>
                <w:lang w:val="en-GB"/>
              </w:rPr>
              <w:t>c</w:t>
            </w:r>
            <w:r w:rsidRPr="008E7087">
              <w:rPr>
                <w:lang w:val="en-GB"/>
              </w:rPr>
              <w:t>m</w:t>
            </w:r>
            <w:r w:rsidRPr="008E7087">
              <w:rPr>
                <w:vertAlign w:val="superscript"/>
                <w:lang w:val="en-GB"/>
              </w:rPr>
              <w:t>3</w:t>
            </w:r>
          </w:p>
        </w:tc>
        <w:tc>
          <w:tcPr>
            <w:tcW w:w="2302" w:type="dxa"/>
            <w:vAlign w:val="center"/>
          </w:tcPr>
          <w:p w14:paraId="2AEF6662" w14:textId="057E9370" w:rsidR="009F7C63" w:rsidRPr="008E7087" w:rsidRDefault="009F7C63" w:rsidP="00AF7B07">
            <w:pPr>
              <w:pStyle w:val="CETBodytext"/>
              <w:jc w:val="left"/>
              <w:rPr>
                <w:lang w:val="en-GB"/>
              </w:rPr>
            </w:pPr>
            <w:r w:rsidRPr="008E7087">
              <w:rPr>
                <w:lang w:val="en-GB"/>
              </w:rPr>
              <w:t>2</w:t>
            </w:r>
            <w:r w:rsidR="009403A1">
              <w:rPr>
                <w:lang w:val="en-GB"/>
              </w:rPr>
              <w:t>.</w:t>
            </w:r>
            <w:r w:rsidRPr="008E7087">
              <w:rPr>
                <w:lang w:val="en-GB"/>
              </w:rPr>
              <w:t>0</w:t>
            </w:r>
            <w:r w:rsidR="005C7D28">
              <w:rPr>
                <w:lang w:val="en-GB"/>
              </w:rPr>
              <w:t>7</w:t>
            </w:r>
          </w:p>
        </w:tc>
      </w:tr>
      <w:tr w:rsidR="008E7087" w:rsidRPr="008E7087" w14:paraId="7486C759" w14:textId="77777777" w:rsidTr="00AF7B07">
        <w:tc>
          <w:tcPr>
            <w:tcW w:w="2313" w:type="dxa"/>
            <w:vAlign w:val="center"/>
          </w:tcPr>
          <w:p w14:paraId="16DF5110" w14:textId="77777777" w:rsidR="009F7C63" w:rsidRPr="008E7087" w:rsidRDefault="009F7C63" w:rsidP="00AF7B07">
            <w:pPr>
              <w:pStyle w:val="CETBodytext"/>
              <w:ind w:right="-1"/>
              <w:jc w:val="left"/>
              <w:rPr>
                <w:rFonts w:cs="Arial"/>
                <w:szCs w:val="18"/>
                <w:lang w:val="en-GB"/>
              </w:rPr>
            </w:pPr>
            <w:r w:rsidRPr="008E7087">
              <w:rPr>
                <w:lang w:val="en-GB"/>
              </w:rPr>
              <w:t>Flashpoint, °C</w:t>
            </w:r>
          </w:p>
        </w:tc>
        <w:tc>
          <w:tcPr>
            <w:tcW w:w="2302" w:type="dxa"/>
            <w:vAlign w:val="center"/>
          </w:tcPr>
          <w:p w14:paraId="1035A1A4" w14:textId="51798927" w:rsidR="009F7C63" w:rsidRPr="008E7087" w:rsidRDefault="009F7C63" w:rsidP="00AF7B07">
            <w:pPr>
              <w:pStyle w:val="CETBodytext"/>
              <w:jc w:val="left"/>
              <w:rPr>
                <w:lang w:val="en-GB"/>
              </w:rPr>
            </w:pPr>
            <w:r w:rsidRPr="008E7087">
              <w:rPr>
                <w:lang w:val="en-GB"/>
              </w:rPr>
              <w:t xml:space="preserve">&gt; </w:t>
            </w:r>
            <w:r w:rsidR="005C7D28">
              <w:rPr>
                <w:lang w:val="en-GB"/>
              </w:rPr>
              <w:t>2</w:t>
            </w:r>
            <w:r w:rsidRPr="008E7087">
              <w:rPr>
                <w:lang w:val="en-GB"/>
              </w:rPr>
              <w:t>00</w:t>
            </w:r>
          </w:p>
        </w:tc>
      </w:tr>
    </w:tbl>
    <w:p w14:paraId="6F79AAB0" w14:textId="18C4B278" w:rsidR="00EB7015" w:rsidRPr="008E7087" w:rsidRDefault="00EB7015" w:rsidP="00E45EF8">
      <w:pPr>
        <w:pStyle w:val="CETTabletitle"/>
        <w:spacing w:before="120"/>
      </w:pPr>
      <w:r w:rsidRPr="008E7087">
        <w:t xml:space="preserve">Table </w:t>
      </w:r>
      <w:r w:rsidR="0000017D">
        <w:t>3</w:t>
      </w:r>
      <w:r w:rsidRPr="008E7087">
        <w:t xml:space="preserve">: Characteristics of the </w:t>
      </w:r>
      <w:r w:rsidR="009B3E7C">
        <w:t>catalyst</w:t>
      </w:r>
      <w:r w:rsidR="002B1ACD">
        <w:t>s</w:t>
      </w:r>
      <w:r w:rsidRPr="008E7087">
        <w:t xml:space="preserve"> used for the synthesis</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313"/>
        <w:gridCol w:w="1295"/>
        <w:gridCol w:w="1295"/>
        <w:gridCol w:w="1295"/>
        <w:gridCol w:w="1295"/>
        <w:gridCol w:w="1296"/>
      </w:tblGrid>
      <w:tr w:rsidR="00EB7015" w:rsidRPr="008E7087" w14:paraId="1488664B" w14:textId="760AD2D4" w:rsidTr="00AF7B07">
        <w:tc>
          <w:tcPr>
            <w:tcW w:w="2313" w:type="dxa"/>
            <w:tcBorders>
              <w:top w:val="single" w:sz="12" w:space="0" w:color="008000"/>
              <w:bottom w:val="single" w:sz="6" w:space="0" w:color="008000"/>
            </w:tcBorders>
            <w:shd w:val="clear" w:color="auto" w:fill="FFFFFF"/>
            <w:vAlign w:val="center"/>
          </w:tcPr>
          <w:p w14:paraId="29961FE5" w14:textId="77777777" w:rsidR="00EB7015" w:rsidRPr="008E7087" w:rsidRDefault="00EB7015" w:rsidP="00AF7B07">
            <w:pPr>
              <w:pStyle w:val="CETBodytext"/>
              <w:jc w:val="left"/>
              <w:rPr>
                <w:lang w:val="en-GB"/>
              </w:rPr>
            </w:pPr>
            <w:r w:rsidRPr="008E7087">
              <w:rPr>
                <w:lang w:val="en-GB"/>
              </w:rPr>
              <w:t>Properties</w:t>
            </w:r>
          </w:p>
        </w:tc>
        <w:tc>
          <w:tcPr>
            <w:tcW w:w="1295" w:type="dxa"/>
            <w:tcBorders>
              <w:top w:val="single" w:sz="12" w:space="0" w:color="008000"/>
              <w:bottom w:val="single" w:sz="6" w:space="0" w:color="008000"/>
            </w:tcBorders>
            <w:shd w:val="clear" w:color="auto" w:fill="FFFFFF"/>
            <w:vAlign w:val="center"/>
          </w:tcPr>
          <w:p w14:paraId="7F5254B3" w14:textId="00F5C733" w:rsidR="00EB7015" w:rsidRPr="008E7087" w:rsidRDefault="00CD5FDF" w:rsidP="00AF7B07">
            <w:pPr>
              <w:pStyle w:val="CETBodytext"/>
              <w:jc w:val="left"/>
              <w:rPr>
                <w:lang w:val="en-GB"/>
              </w:rPr>
            </w:pPr>
            <w:r>
              <w:rPr>
                <w:lang w:val="en-GB"/>
              </w:rPr>
              <w:t>Acid</w:t>
            </w:r>
          </w:p>
        </w:tc>
        <w:tc>
          <w:tcPr>
            <w:tcW w:w="1295" w:type="dxa"/>
            <w:tcBorders>
              <w:top w:val="single" w:sz="12" w:space="0" w:color="008000"/>
              <w:bottom w:val="single" w:sz="6" w:space="0" w:color="008000"/>
            </w:tcBorders>
            <w:shd w:val="clear" w:color="auto" w:fill="FFFFFF"/>
            <w:vAlign w:val="center"/>
          </w:tcPr>
          <w:p w14:paraId="7F2D2C01" w14:textId="2B15603E" w:rsidR="00EB7015" w:rsidRPr="008E7087" w:rsidRDefault="00CD5FDF" w:rsidP="00AF7B07">
            <w:pPr>
              <w:pStyle w:val="CETBodytext"/>
              <w:jc w:val="left"/>
              <w:rPr>
                <w:lang w:val="en-GB"/>
              </w:rPr>
            </w:pPr>
            <w:r w:rsidRPr="00CD5FDF">
              <w:rPr>
                <w:lang w:val="en-GB"/>
              </w:rPr>
              <w:t>Organic peroxide</w:t>
            </w:r>
          </w:p>
        </w:tc>
        <w:tc>
          <w:tcPr>
            <w:tcW w:w="1295" w:type="dxa"/>
            <w:tcBorders>
              <w:top w:val="single" w:sz="12" w:space="0" w:color="008000"/>
              <w:bottom w:val="single" w:sz="6" w:space="0" w:color="008000"/>
            </w:tcBorders>
            <w:shd w:val="clear" w:color="auto" w:fill="FFFFFF"/>
            <w:vAlign w:val="center"/>
          </w:tcPr>
          <w:p w14:paraId="3D5F8880" w14:textId="15D4F3D8" w:rsidR="00EB7015" w:rsidRPr="008E7087" w:rsidRDefault="00CD5FDF" w:rsidP="00AF7B07">
            <w:pPr>
              <w:pStyle w:val="CETBodytext"/>
              <w:jc w:val="left"/>
              <w:rPr>
                <w:lang w:val="en-GB"/>
              </w:rPr>
            </w:pPr>
            <w:r>
              <w:rPr>
                <w:lang w:val="en-GB"/>
              </w:rPr>
              <w:t>Amine 1</w:t>
            </w:r>
          </w:p>
        </w:tc>
        <w:tc>
          <w:tcPr>
            <w:tcW w:w="1295" w:type="dxa"/>
            <w:tcBorders>
              <w:top w:val="single" w:sz="12" w:space="0" w:color="008000"/>
              <w:bottom w:val="single" w:sz="6" w:space="0" w:color="008000"/>
            </w:tcBorders>
            <w:shd w:val="clear" w:color="auto" w:fill="FFFFFF"/>
            <w:vAlign w:val="center"/>
          </w:tcPr>
          <w:p w14:paraId="402CE0BF" w14:textId="35B165F8" w:rsidR="00EB7015" w:rsidRPr="008E7087" w:rsidRDefault="00885CFB" w:rsidP="00AF7B07">
            <w:pPr>
              <w:pStyle w:val="CETBodytext"/>
              <w:jc w:val="left"/>
              <w:rPr>
                <w:lang w:val="en-GB"/>
              </w:rPr>
            </w:pPr>
            <w:r>
              <w:rPr>
                <w:lang w:val="en-GB"/>
              </w:rPr>
              <w:t>Sul</w:t>
            </w:r>
            <w:r w:rsidR="00345E37">
              <w:rPr>
                <w:lang w:val="en-GB"/>
              </w:rPr>
              <w:t>f</w:t>
            </w:r>
            <w:r>
              <w:rPr>
                <w:lang w:val="en-GB"/>
              </w:rPr>
              <w:t>ide</w:t>
            </w:r>
          </w:p>
        </w:tc>
        <w:tc>
          <w:tcPr>
            <w:tcW w:w="1296" w:type="dxa"/>
            <w:tcBorders>
              <w:top w:val="single" w:sz="12" w:space="0" w:color="008000"/>
              <w:bottom w:val="single" w:sz="6" w:space="0" w:color="008000"/>
            </w:tcBorders>
            <w:shd w:val="clear" w:color="auto" w:fill="FFFFFF"/>
            <w:vAlign w:val="center"/>
          </w:tcPr>
          <w:p w14:paraId="18471810" w14:textId="18D57222" w:rsidR="00EB7015" w:rsidRPr="008E7087" w:rsidRDefault="00885CFB" w:rsidP="00AF7B07">
            <w:pPr>
              <w:pStyle w:val="CETBodytext"/>
              <w:jc w:val="left"/>
              <w:rPr>
                <w:lang w:val="en-GB"/>
              </w:rPr>
            </w:pPr>
            <w:r>
              <w:rPr>
                <w:lang w:val="en-GB"/>
              </w:rPr>
              <w:t>Amine 2</w:t>
            </w:r>
          </w:p>
        </w:tc>
      </w:tr>
      <w:tr w:rsidR="000916B0" w:rsidRPr="008E7087" w14:paraId="01890083" w14:textId="720FA982" w:rsidTr="00AF7B07">
        <w:tc>
          <w:tcPr>
            <w:tcW w:w="2313" w:type="dxa"/>
            <w:vAlign w:val="center"/>
          </w:tcPr>
          <w:p w14:paraId="4FC90A1C" w14:textId="77777777" w:rsidR="000916B0" w:rsidRPr="008E7087" w:rsidRDefault="000916B0" w:rsidP="00AF7B07">
            <w:pPr>
              <w:pStyle w:val="CETBodytext"/>
              <w:jc w:val="left"/>
              <w:rPr>
                <w:lang w:val="en-GB"/>
              </w:rPr>
            </w:pPr>
            <w:r w:rsidRPr="008E7087">
              <w:rPr>
                <w:lang w:val="en-GB"/>
              </w:rPr>
              <w:t>Consistency</w:t>
            </w:r>
          </w:p>
        </w:tc>
        <w:tc>
          <w:tcPr>
            <w:tcW w:w="1295" w:type="dxa"/>
            <w:vAlign w:val="center"/>
          </w:tcPr>
          <w:p w14:paraId="6E95BD38" w14:textId="357309B4" w:rsidR="000916B0" w:rsidRPr="008E7087" w:rsidRDefault="000916B0" w:rsidP="00AF7B07">
            <w:pPr>
              <w:pStyle w:val="CETBodytext"/>
              <w:jc w:val="left"/>
              <w:rPr>
                <w:lang w:val="en-GB"/>
              </w:rPr>
            </w:pPr>
            <w:r>
              <w:rPr>
                <w:lang w:val="en-GB"/>
              </w:rPr>
              <w:t>liquid</w:t>
            </w:r>
          </w:p>
        </w:tc>
        <w:tc>
          <w:tcPr>
            <w:tcW w:w="1295" w:type="dxa"/>
            <w:vAlign w:val="center"/>
          </w:tcPr>
          <w:p w14:paraId="7C6E66C7" w14:textId="175510D2" w:rsidR="000916B0" w:rsidRPr="008E7087" w:rsidRDefault="000916B0" w:rsidP="00AF7B07">
            <w:pPr>
              <w:pStyle w:val="CETBodytext"/>
              <w:jc w:val="left"/>
              <w:rPr>
                <w:lang w:val="en-GB"/>
              </w:rPr>
            </w:pPr>
            <w:r>
              <w:rPr>
                <w:lang w:val="en-GB"/>
              </w:rPr>
              <w:t>liquid</w:t>
            </w:r>
          </w:p>
        </w:tc>
        <w:tc>
          <w:tcPr>
            <w:tcW w:w="1295" w:type="dxa"/>
            <w:vAlign w:val="center"/>
          </w:tcPr>
          <w:p w14:paraId="60B084E9" w14:textId="23330C26" w:rsidR="000916B0" w:rsidRPr="008E7087" w:rsidRDefault="000916B0" w:rsidP="00AF7B07">
            <w:pPr>
              <w:pStyle w:val="CETBodytext"/>
              <w:jc w:val="left"/>
              <w:rPr>
                <w:lang w:val="en-GB"/>
              </w:rPr>
            </w:pPr>
            <w:r>
              <w:rPr>
                <w:lang w:val="en-GB"/>
              </w:rPr>
              <w:t>liquid</w:t>
            </w:r>
          </w:p>
        </w:tc>
        <w:tc>
          <w:tcPr>
            <w:tcW w:w="1295" w:type="dxa"/>
            <w:vAlign w:val="center"/>
          </w:tcPr>
          <w:p w14:paraId="7B12B318" w14:textId="2D9F4C0A" w:rsidR="000916B0" w:rsidRPr="008E7087" w:rsidRDefault="000916B0" w:rsidP="00AF7B07">
            <w:pPr>
              <w:pStyle w:val="CETBodytext"/>
              <w:jc w:val="left"/>
              <w:rPr>
                <w:lang w:val="en-GB"/>
              </w:rPr>
            </w:pPr>
            <w:r>
              <w:rPr>
                <w:lang w:val="en-GB"/>
              </w:rPr>
              <w:t>solid</w:t>
            </w:r>
          </w:p>
        </w:tc>
        <w:tc>
          <w:tcPr>
            <w:tcW w:w="1296" w:type="dxa"/>
            <w:vAlign w:val="center"/>
          </w:tcPr>
          <w:p w14:paraId="5DE6D929" w14:textId="4D100136" w:rsidR="000916B0" w:rsidRPr="008E7087" w:rsidRDefault="007B44E5" w:rsidP="00AF7B07">
            <w:pPr>
              <w:pStyle w:val="CETBodytext"/>
              <w:jc w:val="left"/>
              <w:rPr>
                <w:lang w:val="en-GB"/>
              </w:rPr>
            </w:pPr>
            <w:r>
              <w:rPr>
                <w:lang w:val="en-GB"/>
              </w:rPr>
              <w:t>solid</w:t>
            </w:r>
          </w:p>
        </w:tc>
      </w:tr>
      <w:tr w:rsidR="000916B0" w:rsidRPr="008E7087" w14:paraId="5B3BD17B" w14:textId="4A51FE03" w:rsidTr="00AF7B07">
        <w:tc>
          <w:tcPr>
            <w:tcW w:w="2313" w:type="dxa"/>
            <w:vAlign w:val="center"/>
          </w:tcPr>
          <w:p w14:paraId="7FE55C1B" w14:textId="5341DB77" w:rsidR="000916B0" w:rsidRPr="008E7087" w:rsidRDefault="000916B0" w:rsidP="00AF7B07">
            <w:pPr>
              <w:pStyle w:val="CETBodytext"/>
              <w:ind w:right="-1"/>
              <w:jc w:val="left"/>
              <w:rPr>
                <w:rFonts w:cs="Arial"/>
                <w:szCs w:val="18"/>
                <w:lang w:val="en-GB"/>
              </w:rPr>
            </w:pPr>
            <w:r w:rsidRPr="008E7087">
              <w:rPr>
                <w:lang w:val="en-GB"/>
              </w:rPr>
              <w:t>Colour</w:t>
            </w:r>
          </w:p>
        </w:tc>
        <w:tc>
          <w:tcPr>
            <w:tcW w:w="1295" w:type="dxa"/>
            <w:vAlign w:val="center"/>
          </w:tcPr>
          <w:p w14:paraId="1D0B72B2" w14:textId="0364E5BA" w:rsidR="000916B0" w:rsidRPr="008E7087" w:rsidRDefault="000916B0" w:rsidP="00AF7B07">
            <w:pPr>
              <w:pStyle w:val="CETBodytext"/>
              <w:jc w:val="left"/>
              <w:rPr>
                <w:lang w:val="en-GB"/>
              </w:rPr>
            </w:pPr>
            <w:r>
              <w:rPr>
                <w:lang w:val="en-GB"/>
              </w:rPr>
              <w:t>transparent</w:t>
            </w:r>
          </w:p>
        </w:tc>
        <w:tc>
          <w:tcPr>
            <w:tcW w:w="1295" w:type="dxa"/>
            <w:vAlign w:val="center"/>
          </w:tcPr>
          <w:p w14:paraId="240212A1" w14:textId="43BCBBDA" w:rsidR="000916B0" w:rsidRPr="008E7087" w:rsidRDefault="000916B0" w:rsidP="00AF7B07">
            <w:pPr>
              <w:pStyle w:val="CETBodytext"/>
              <w:jc w:val="left"/>
              <w:rPr>
                <w:lang w:val="en-GB"/>
              </w:rPr>
            </w:pPr>
            <w:r>
              <w:rPr>
                <w:lang w:val="en-GB"/>
              </w:rPr>
              <w:t>transparent</w:t>
            </w:r>
          </w:p>
        </w:tc>
        <w:tc>
          <w:tcPr>
            <w:tcW w:w="1295" w:type="dxa"/>
            <w:vAlign w:val="center"/>
          </w:tcPr>
          <w:p w14:paraId="2032207F" w14:textId="5962FB01" w:rsidR="000916B0" w:rsidRPr="008E7087" w:rsidRDefault="000916B0" w:rsidP="00AF7B07">
            <w:pPr>
              <w:pStyle w:val="CETBodytext"/>
              <w:jc w:val="left"/>
              <w:rPr>
                <w:lang w:val="en-GB"/>
              </w:rPr>
            </w:pPr>
            <w:r>
              <w:rPr>
                <w:lang w:val="en-GB"/>
              </w:rPr>
              <w:t>transparent</w:t>
            </w:r>
          </w:p>
        </w:tc>
        <w:tc>
          <w:tcPr>
            <w:tcW w:w="1295" w:type="dxa"/>
            <w:vAlign w:val="center"/>
          </w:tcPr>
          <w:p w14:paraId="1FBD1B5F" w14:textId="4FE7CA7B" w:rsidR="000916B0" w:rsidRPr="008E7087" w:rsidRDefault="000916B0" w:rsidP="00AF7B07">
            <w:pPr>
              <w:pStyle w:val="CETBodytext"/>
              <w:jc w:val="left"/>
              <w:rPr>
                <w:lang w:val="en-GB"/>
              </w:rPr>
            </w:pPr>
            <w:r>
              <w:rPr>
                <w:lang w:val="en-GB"/>
              </w:rPr>
              <w:t>white</w:t>
            </w:r>
          </w:p>
        </w:tc>
        <w:tc>
          <w:tcPr>
            <w:tcW w:w="1296" w:type="dxa"/>
            <w:vAlign w:val="center"/>
          </w:tcPr>
          <w:p w14:paraId="468A8FDB" w14:textId="1220E987" w:rsidR="000916B0" w:rsidRPr="008E7087" w:rsidRDefault="007B44E5" w:rsidP="00AF7B07">
            <w:pPr>
              <w:pStyle w:val="CETBodytext"/>
              <w:jc w:val="left"/>
              <w:rPr>
                <w:lang w:val="en-GB"/>
              </w:rPr>
            </w:pPr>
            <w:r>
              <w:rPr>
                <w:lang w:val="en-GB"/>
              </w:rPr>
              <w:t>white</w:t>
            </w:r>
          </w:p>
        </w:tc>
      </w:tr>
      <w:tr w:rsidR="00EB7015" w:rsidRPr="008E7087" w14:paraId="6327022C" w14:textId="349D31F0" w:rsidTr="00AF7B07">
        <w:tc>
          <w:tcPr>
            <w:tcW w:w="2313" w:type="dxa"/>
            <w:vAlign w:val="center"/>
          </w:tcPr>
          <w:p w14:paraId="20E04C14" w14:textId="103C2094" w:rsidR="00EB7015" w:rsidRPr="008E7087" w:rsidRDefault="00E3605E" w:rsidP="00AF7B07">
            <w:pPr>
              <w:pStyle w:val="CETBodytext"/>
              <w:ind w:right="-1"/>
              <w:jc w:val="left"/>
              <w:rPr>
                <w:rFonts w:cs="Arial"/>
                <w:szCs w:val="18"/>
                <w:lang w:val="en-GB"/>
              </w:rPr>
            </w:pPr>
            <w:r>
              <w:rPr>
                <w:rFonts w:cs="Arial"/>
                <w:szCs w:val="18"/>
                <w:lang w:val="en-GB"/>
              </w:rPr>
              <w:t>Purity</w:t>
            </w:r>
          </w:p>
        </w:tc>
        <w:tc>
          <w:tcPr>
            <w:tcW w:w="1295" w:type="dxa"/>
            <w:vAlign w:val="center"/>
          </w:tcPr>
          <w:p w14:paraId="57D3606C" w14:textId="2264B250" w:rsidR="00EB7015" w:rsidRPr="008E7087" w:rsidRDefault="00E12B95" w:rsidP="00AF7B07">
            <w:pPr>
              <w:pStyle w:val="CETBodytext"/>
              <w:jc w:val="left"/>
              <w:rPr>
                <w:lang w:val="en-GB"/>
              </w:rPr>
            </w:pPr>
            <w:r>
              <w:rPr>
                <w:rFonts w:cs="Arial"/>
                <w:lang w:val="en-GB"/>
              </w:rPr>
              <w:t>≥</w:t>
            </w:r>
            <w:r w:rsidR="000916B0">
              <w:rPr>
                <w:lang w:val="en-GB"/>
              </w:rPr>
              <w:t>95</w:t>
            </w:r>
            <w:r w:rsidR="00D214A2">
              <w:rPr>
                <w:lang w:val="en-GB"/>
              </w:rPr>
              <w:t>%</w:t>
            </w:r>
          </w:p>
        </w:tc>
        <w:tc>
          <w:tcPr>
            <w:tcW w:w="1295" w:type="dxa"/>
            <w:vAlign w:val="center"/>
          </w:tcPr>
          <w:p w14:paraId="34208DC7" w14:textId="4ABF27BF" w:rsidR="00EB7015" w:rsidRPr="008E7087" w:rsidRDefault="00D214A2" w:rsidP="00AF7B07">
            <w:pPr>
              <w:pStyle w:val="CETBodytext"/>
              <w:jc w:val="left"/>
              <w:rPr>
                <w:lang w:val="en-GB"/>
              </w:rPr>
            </w:pPr>
            <w:r>
              <w:rPr>
                <w:rFonts w:cs="Arial"/>
                <w:lang w:val="en-GB"/>
              </w:rPr>
              <w:t>≥</w:t>
            </w:r>
            <w:r>
              <w:rPr>
                <w:lang w:val="en-GB"/>
              </w:rPr>
              <w:t>98%</w:t>
            </w:r>
          </w:p>
        </w:tc>
        <w:tc>
          <w:tcPr>
            <w:tcW w:w="1295" w:type="dxa"/>
            <w:vAlign w:val="center"/>
          </w:tcPr>
          <w:p w14:paraId="13F90D44" w14:textId="1D6B96ED" w:rsidR="00EB7015" w:rsidRPr="008E7087" w:rsidRDefault="00412CF2" w:rsidP="00AF7B07">
            <w:pPr>
              <w:pStyle w:val="CETBodytext"/>
              <w:jc w:val="left"/>
              <w:rPr>
                <w:lang w:val="en-GB"/>
              </w:rPr>
            </w:pPr>
            <w:r>
              <w:rPr>
                <w:rFonts w:cs="Arial"/>
                <w:lang w:val="en-GB"/>
              </w:rPr>
              <w:t>≥</w:t>
            </w:r>
            <w:r>
              <w:rPr>
                <w:lang w:val="en-GB"/>
              </w:rPr>
              <w:t>99%</w:t>
            </w:r>
          </w:p>
        </w:tc>
        <w:tc>
          <w:tcPr>
            <w:tcW w:w="1295" w:type="dxa"/>
            <w:vAlign w:val="center"/>
          </w:tcPr>
          <w:p w14:paraId="446C739C" w14:textId="5FD7DEA1" w:rsidR="00EB7015" w:rsidRPr="008E7087" w:rsidRDefault="00E008FA" w:rsidP="00AF7B07">
            <w:pPr>
              <w:pStyle w:val="CETBodytext"/>
              <w:jc w:val="left"/>
              <w:rPr>
                <w:lang w:val="en-GB"/>
              </w:rPr>
            </w:pPr>
            <w:r>
              <w:rPr>
                <w:rFonts w:cs="Arial"/>
                <w:lang w:val="en-GB"/>
              </w:rPr>
              <w:t>≥</w:t>
            </w:r>
            <w:r>
              <w:rPr>
                <w:lang w:val="en-GB"/>
              </w:rPr>
              <w:t>98%</w:t>
            </w:r>
          </w:p>
        </w:tc>
        <w:tc>
          <w:tcPr>
            <w:tcW w:w="1296" w:type="dxa"/>
            <w:vAlign w:val="center"/>
          </w:tcPr>
          <w:p w14:paraId="0D9186E1" w14:textId="03D09EFB" w:rsidR="00EB7015" w:rsidRPr="008E7087" w:rsidRDefault="00427639" w:rsidP="00AF7B07">
            <w:pPr>
              <w:pStyle w:val="CETBodytext"/>
              <w:jc w:val="left"/>
              <w:rPr>
                <w:lang w:val="en-GB"/>
              </w:rPr>
            </w:pPr>
            <w:r>
              <w:rPr>
                <w:rFonts w:cs="Arial"/>
                <w:lang w:val="en-GB"/>
              </w:rPr>
              <w:t>≥</w:t>
            </w:r>
            <w:r>
              <w:rPr>
                <w:lang w:val="en-GB"/>
              </w:rPr>
              <w:t>97%</w:t>
            </w:r>
          </w:p>
        </w:tc>
      </w:tr>
      <w:tr w:rsidR="00E3605E" w:rsidRPr="008E7087" w14:paraId="6A79269F" w14:textId="77777777" w:rsidTr="00AF7B07">
        <w:tc>
          <w:tcPr>
            <w:tcW w:w="2313" w:type="dxa"/>
            <w:vAlign w:val="center"/>
          </w:tcPr>
          <w:p w14:paraId="7DA9D5FD" w14:textId="5DCA9301" w:rsidR="00E3605E" w:rsidRPr="008E7087" w:rsidRDefault="00E3605E" w:rsidP="00AF7B07">
            <w:pPr>
              <w:pStyle w:val="CETBodytext"/>
              <w:ind w:right="-1"/>
              <w:jc w:val="left"/>
              <w:rPr>
                <w:lang w:val="en-GB"/>
              </w:rPr>
            </w:pPr>
            <w:r w:rsidRPr="008E7087">
              <w:rPr>
                <w:lang w:val="en-GB"/>
              </w:rPr>
              <w:t xml:space="preserve">Density at </w:t>
            </w:r>
            <w:r w:rsidR="00E12B95">
              <w:rPr>
                <w:lang w:val="en-GB"/>
              </w:rPr>
              <w:t>20</w:t>
            </w:r>
            <w:r w:rsidRPr="008E7087">
              <w:rPr>
                <w:lang w:val="en-GB"/>
              </w:rPr>
              <w:t>°C, g/</w:t>
            </w:r>
            <w:r w:rsidR="00E12B95">
              <w:rPr>
                <w:lang w:val="en-GB"/>
              </w:rPr>
              <w:t>c</w:t>
            </w:r>
            <w:r w:rsidRPr="008E7087">
              <w:rPr>
                <w:lang w:val="en-GB"/>
              </w:rPr>
              <w:t>m</w:t>
            </w:r>
            <w:r w:rsidRPr="008E7087">
              <w:rPr>
                <w:vertAlign w:val="superscript"/>
                <w:lang w:val="en-GB"/>
              </w:rPr>
              <w:t>3</w:t>
            </w:r>
          </w:p>
        </w:tc>
        <w:tc>
          <w:tcPr>
            <w:tcW w:w="1295" w:type="dxa"/>
            <w:vAlign w:val="center"/>
          </w:tcPr>
          <w:p w14:paraId="77834FC1" w14:textId="6DA68CFF" w:rsidR="00E3605E" w:rsidRPr="008E7087" w:rsidRDefault="00E12B95" w:rsidP="00AF7B07">
            <w:pPr>
              <w:pStyle w:val="CETBodytext"/>
              <w:jc w:val="left"/>
              <w:rPr>
                <w:lang w:val="en-GB"/>
              </w:rPr>
            </w:pPr>
            <w:r>
              <w:rPr>
                <w:lang w:val="en-GB"/>
              </w:rPr>
              <w:t>1.84</w:t>
            </w:r>
          </w:p>
        </w:tc>
        <w:tc>
          <w:tcPr>
            <w:tcW w:w="1295" w:type="dxa"/>
            <w:vAlign w:val="center"/>
          </w:tcPr>
          <w:p w14:paraId="0397A145" w14:textId="0A600657" w:rsidR="00E3605E" w:rsidRPr="008E7087" w:rsidRDefault="00344988" w:rsidP="00AF7B07">
            <w:pPr>
              <w:pStyle w:val="CETBodytext"/>
              <w:jc w:val="left"/>
              <w:rPr>
                <w:lang w:val="en-GB"/>
              </w:rPr>
            </w:pPr>
            <w:r>
              <w:rPr>
                <w:lang w:val="en-GB"/>
              </w:rPr>
              <w:t>0.79</w:t>
            </w:r>
          </w:p>
        </w:tc>
        <w:tc>
          <w:tcPr>
            <w:tcW w:w="1295" w:type="dxa"/>
            <w:vAlign w:val="center"/>
          </w:tcPr>
          <w:p w14:paraId="6B1274CF" w14:textId="4AAC389A" w:rsidR="00E3605E" w:rsidRPr="008E7087" w:rsidRDefault="007E2690" w:rsidP="00AF7B07">
            <w:pPr>
              <w:pStyle w:val="CETBodytext"/>
              <w:jc w:val="left"/>
              <w:rPr>
                <w:lang w:val="en-GB"/>
              </w:rPr>
            </w:pPr>
            <w:r>
              <w:rPr>
                <w:lang w:val="en-GB"/>
              </w:rPr>
              <w:t>0.74</w:t>
            </w:r>
          </w:p>
        </w:tc>
        <w:tc>
          <w:tcPr>
            <w:tcW w:w="1295" w:type="dxa"/>
            <w:vAlign w:val="center"/>
          </w:tcPr>
          <w:p w14:paraId="3E181180" w14:textId="4A03317A" w:rsidR="00E3605E" w:rsidRPr="008E7087" w:rsidRDefault="00B5314D" w:rsidP="00AF7B07">
            <w:pPr>
              <w:pStyle w:val="CETBodytext"/>
              <w:jc w:val="left"/>
              <w:rPr>
                <w:lang w:val="en-GB"/>
              </w:rPr>
            </w:pPr>
            <w:r>
              <w:rPr>
                <w:lang w:val="en-GB"/>
              </w:rPr>
              <w:t>n</w:t>
            </w:r>
            <w:r w:rsidR="00E50E6D">
              <w:rPr>
                <w:lang w:val="en-GB"/>
              </w:rPr>
              <w:t>.</w:t>
            </w:r>
            <w:r>
              <w:rPr>
                <w:lang w:val="en-GB"/>
              </w:rPr>
              <w:t>a</w:t>
            </w:r>
            <w:r w:rsidR="00E50E6D">
              <w:rPr>
                <w:lang w:val="en-GB"/>
              </w:rPr>
              <w:t>.</w:t>
            </w:r>
          </w:p>
        </w:tc>
        <w:tc>
          <w:tcPr>
            <w:tcW w:w="1296" w:type="dxa"/>
            <w:vAlign w:val="center"/>
          </w:tcPr>
          <w:p w14:paraId="3C642F58" w14:textId="3F0E482E" w:rsidR="00E3605E" w:rsidRPr="008E7087" w:rsidRDefault="001069A0" w:rsidP="00AF7B07">
            <w:pPr>
              <w:pStyle w:val="CETBodytext"/>
              <w:jc w:val="left"/>
              <w:rPr>
                <w:lang w:val="en-GB"/>
              </w:rPr>
            </w:pPr>
            <w:r>
              <w:rPr>
                <w:lang w:val="en-GB"/>
              </w:rPr>
              <w:t>0.81 at 25°C</w:t>
            </w:r>
          </w:p>
        </w:tc>
      </w:tr>
    </w:tbl>
    <w:p w14:paraId="719A9911" w14:textId="2602AC3C" w:rsidR="009F7C63" w:rsidRPr="0094166B" w:rsidRDefault="00BC013C" w:rsidP="009F7C63">
      <w:pPr>
        <w:pStyle w:val="CETBodytext"/>
        <w:spacing w:before="120"/>
        <w:rPr>
          <w:lang w:val="en-GB"/>
        </w:rPr>
      </w:pPr>
      <w:r w:rsidRPr="0094166B">
        <w:rPr>
          <w:lang w:val="en-GB"/>
        </w:rPr>
        <w:t>All of t</w:t>
      </w:r>
      <w:r w:rsidR="009F7C63" w:rsidRPr="0094166B">
        <w:rPr>
          <w:lang w:val="en-GB"/>
        </w:rPr>
        <w:t>he tested raw materials were found appropriate for further research</w:t>
      </w:r>
      <w:r w:rsidRPr="0094166B">
        <w:rPr>
          <w:lang w:val="en-GB"/>
        </w:rPr>
        <w:t xml:space="preserve"> in accordance with the </w:t>
      </w:r>
      <w:r w:rsidR="00D72A97" w:rsidRPr="0094166B">
        <w:rPr>
          <w:lang w:val="en-GB"/>
        </w:rPr>
        <w:t>objectives</w:t>
      </w:r>
      <w:r w:rsidRPr="0094166B">
        <w:rPr>
          <w:lang w:val="en-GB"/>
        </w:rPr>
        <w:t xml:space="preserve"> of the synthesises</w:t>
      </w:r>
      <w:r w:rsidR="009F7C63" w:rsidRPr="0094166B">
        <w:rPr>
          <w:lang w:val="en-GB"/>
        </w:rPr>
        <w:t>.</w:t>
      </w:r>
    </w:p>
    <w:bookmarkEnd w:id="1"/>
    <w:p w14:paraId="52EF0534" w14:textId="77777777" w:rsidR="009F7C63" w:rsidRPr="004B7C8D" w:rsidRDefault="009F7C63" w:rsidP="004B7C8D">
      <w:pPr>
        <w:pStyle w:val="CETHeading1"/>
        <w:tabs>
          <w:tab w:val="num" w:pos="360"/>
        </w:tabs>
        <w:rPr>
          <w:lang w:val="en-GB"/>
        </w:rPr>
      </w:pPr>
      <w:r w:rsidRPr="004B7C8D">
        <w:rPr>
          <w:lang w:val="en-GB"/>
        </w:rPr>
        <w:t>Methods</w:t>
      </w:r>
    </w:p>
    <w:p w14:paraId="2E2ECFCF" w14:textId="480125CA" w:rsidR="003910D5" w:rsidRPr="00D45F9C" w:rsidRDefault="00A4376A" w:rsidP="00C256EF">
      <w:pPr>
        <w:pStyle w:val="CETBodytext"/>
        <w:spacing w:after="60"/>
        <w:rPr>
          <w:lang w:val="en-GB"/>
        </w:rPr>
      </w:pPr>
      <w:r w:rsidRPr="00A4376A">
        <w:rPr>
          <w:lang w:val="en-GB"/>
        </w:rPr>
        <w:t xml:space="preserve">In order to define the results in a more precise and uniform </w:t>
      </w:r>
      <w:r>
        <w:rPr>
          <w:lang w:val="en-GB"/>
        </w:rPr>
        <w:t>way</w:t>
      </w:r>
      <w:r w:rsidRPr="00A4376A">
        <w:rPr>
          <w:lang w:val="en-GB"/>
        </w:rPr>
        <w:t xml:space="preserve">, the </w:t>
      </w:r>
      <w:r w:rsidR="00640AE2">
        <w:rPr>
          <w:lang w:val="en-GB"/>
        </w:rPr>
        <w:t>below listed</w:t>
      </w:r>
      <w:r w:rsidRPr="00A4376A">
        <w:rPr>
          <w:lang w:val="en-GB"/>
        </w:rPr>
        <w:t xml:space="preserve"> international standards were applied during the tests</w:t>
      </w:r>
      <w:r>
        <w:rPr>
          <w:lang w:val="en-GB"/>
        </w:rPr>
        <w:t xml:space="preserve">. </w:t>
      </w:r>
      <w:r w:rsidR="00640AE2">
        <w:rPr>
          <w:lang w:val="en-GB"/>
        </w:rPr>
        <w:t xml:space="preserve">To </w:t>
      </w:r>
      <w:r w:rsidR="003910D5" w:rsidRPr="00D45F9C">
        <w:rPr>
          <w:lang w:val="en-GB"/>
        </w:rPr>
        <w:t>investigat</w:t>
      </w:r>
      <w:r w:rsidR="00640AE2">
        <w:rPr>
          <w:lang w:val="en-GB"/>
        </w:rPr>
        <w:t xml:space="preserve">e the </w:t>
      </w:r>
      <w:r w:rsidR="00640AE2" w:rsidRPr="00D45F9C">
        <w:rPr>
          <w:lang w:val="en-GB"/>
        </w:rPr>
        <w:t>physico-chemical</w:t>
      </w:r>
      <w:r w:rsidR="003910D5" w:rsidRPr="00D45F9C">
        <w:rPr>
          <w:lang w:val="en-GB"/>
        </w:rPr>
        <w:t xml:space="preserve"> </w:t>
      </w:r>
      <w:r w:rsidR="00F24DDF">
        <w:rPr>
          <w:lang w:val="en-GB"/>
        </w:rPr>
        <w:t xml:space="preserve">properties </w:t>
      </w:r>
      <w:r w:rsidR="003910D5" w:rsidRPr="00D45F9C">
        <w:rPr>
          <w:lang w:val="en-GB"/>
        </w:rPr>
        <w:t xml:space="preserve">of the </w:t>
      </w:r>
      <w:r w:rsidR="00F24DDF">
        <w:rPr>
          <w:lang w:val="en-GB"/>
        </w:rPr>
        <w:t xml:space="preserve">vegetable origin </w:t>
      </w:r>
      <w:r w:rsidR="003910D5" w:rsidRPr="00D45F9C">
        <w:rPr>
          <w:lang w:val="en-GB"/>
        </w:rPr>
        <w:t xml:space="preserve">raw materials, the following methods were </w:t>
      </w:r>
      <w:r w:rsidR="004653CB">
        <w:rPr>
          <w:lang w:val="en-GB"/>
        </w:rPr>
        <w:t>used</w:t>
      </w:r>
      <w:r w:rsidR="00AB7F84">
        <w:rPr>
          <w:lang w:val="en-GB"/>
        </w:rPr>
        <w:t>.</w:t>
      </w:r>
    </w:p>
    <w:p w14:paraId="54E6FD22" w14:textId="77777777" w:rsidR="003910D5" w:rsidRPr="00D45F9C" w:rsidRDefault="003910D5" w:rsidP="003910D5">
      <w:pPr>
        <w:pStyle w:val="CETListbullets"/>
        <w:numPr>
          <w:ilvl w:val="0"/>
          <w:numId w:val="13"/>
        </w:numPr>
      </w:pPr>
      <w:r w:rsidRPr="00D45F9C">
        <w:t>Appearance [Visual]</w:t>
      </w:r>
    </w:p>
    <w:p w14:paraId="3C89DF63" w14:textId="77777777" w:rsidR="003910D5" w:rsidRPr="00A530CB" w:rsidRDefault="003910D5" w:rsidP="003910D5">
      <w:pPr>
        <w:pStyle w:val="CETListbullets"/>
        <w:numPr>
          <w:ilvl w:val="0"/>
          <w:numId w:val="13"/>
        </w:numPr>
        <w:rPr>
          <w:lang w:val="de-DE"/>
        </w:rPr>
      </w:pPr>
      <w:r w:rsidRPr="00A530CB">
        <w:rPr>
          <w:lang w:val="de-DE"/>
        </w:rPr>
        <w:t>Density 20 °C, [EN ISO 12185], g/cm</w:t>
      </w:r>
      <w:r w:rsidRPr="00A530CB">
        <w:rPr>
          <w:vertAlign w:val="superscript"/>
          <w:lang w:val="de-DE"/>
        </w:rPr>
        <w:t>3</w:t>
      </w:r>
    </w:p>
    <w:p w14:paraId="104BB13C" w14:textId="77777777" w:rsidR="003910D5" w:rsidRPr="00D45F9C" w:rsidRDefault="003910D5" w:rsidP="003910D5">
      <w:pPr>
        <w:pStyle w:val="CETListbullets"/>
        <w:numPr>
          <w:ilvl w:val="0"/>
          <w:numId w:val="13"/>
        </w:numPr>
      </w:pPr>
      <w:r w:rsidRPr="00D45F9C">
        <w:t>Kinematic viscosity at 40 °C [EN ISO 3104], mm</w:t>
      </w:r>
      <w:r w:rsidRPr="00D45F9C">
        <w:rPr>
          <w:vertAlign w:val="superscript"/>
        </w:rPr>
        <w:t>2</w:t>
      </w:r>
      <w:r w:rsidRPr="00D45F9C">
        <w:t>/s</w:t>
      </w:r>
    </w:p>
    <w:p w14:paraId="42DAFD39" w14:textId="77777777" w:rsidR="003910D5" w:rsidRPr="00D45F9C" w:rsidRDefault="003910D5" w:rsidP="003910D5">
      <w:pPr>
        <w:pStyle w:val="CETListbullets"/>
        <w:numPr>
          <w:ilvl w:val="0"/>
          <w:numId w:val="13"/>
        </w:numPr>
      </w:pPr>
      <w:r w:rsidRPr="00D45F9C">
        <w:t>Kinematic viscosity at 100 °C-on [EN ISO 3104], mm</w:t>
      </w:r>
      <w:r w:rsidRPr="00D45F9C">
        <w:rPr>
          <w:vertAlign w:val="superscript"/>
        </w:rPr>
        <w:t>2</w:t>
      </w:r>
      <w:r w:rsidRPr="00D45F9C">
        <w:t>/s</w:t>
      </w:r>
    </w:p>
    <w:p w14:paraId="663156E9" w14:textId="77777777" w:rsidR="003910D5" w:rsidRPr="00A530CB" w:rsidRDefault="003910D5" w:rsidP="003910D5">
      <w:pPr>
        <w:pStyle w:val="CETListbullets"/>
        <w:numPr>
          <w:ilvl w:val="0"/>
          <w:numId w:val="13"/>
        </w:numPr>
        <w:rPr>
          <w:lang w:val="nb-NO"/>
        </w:rPr>
      </w:pPr>
      <w:r w:rsidRPr="00A530CB">
        <w:rPr>
          <w:lang w:val="nb-NO"/>
        </w:rPr>
        <w:t>Iodine value [EN ISO 3961], g I</w:t>
      </w:r>
      <w:r w:rsidRPr="00A530CB">
        <w:rPr>
          <w:vertAlign w:val="subscript"/>
          <w:lang w:val="nb-NO"/>
        </w:rPr>
        <w:t>2</w:t>
      </w:r>
      <w:r w:rsidRPr="00A530CB">
        <w:rPr>
          <w:lang w:val="nb-NO"/>
        </w:rPr>
        <w:t>/100g</w:t>
      </w:r>
    </w:p>
    <w:p w14:paraId="0DE0155E" w14:textId="02C352D5" w:rsidR="003910D5" w:rsidRPr="00D45F9C" w:rsidRDefault="00893144" w:rsidP="00C256EF">
      <w:pPr>
        <w:pStyle w:val="CETBodytext"/>
        <w:spacing w:before="120" w:after="60"/>
        <w:rPr>
          <w:lang w:val="en-GB"/>
        </w:rPr>
      </w:pPr>
      <w:r>
        <w:rPr>
          <w:lang w:val="en-GB"/>
        </w:rPr>
        <w:t>T</w:t>
      </w:r>
      <w:r w:rsidR="00484603">
        <w:rPr>
          <w:lang w:val="en-GB"/>
        </w:rPr>
        <w:t xml:space="preserve">o </w:t>
      </w:r>
      <w:r w:rsidR="00124116">
        <w:rPr>
          <w:lang w:val="en-GB"/>
        </w:rPr>
        <w:t>determine</w:t>
      </w:r>
      <w:r w:rsidR="00484603">
        <w:rPr>
          <w:lang w:val="en-GB"/>
        </w:rPr>
        <w:t xml:space="preserve"> the </w:t>
      </w:r>
      <w:r w:rsidR="00124116" w:rsidRPr="00D45F9C">
        <w:rPr>
          <w:lang w:val="en-GB"/>
        </w:rPr>
        <w:t>amount and type of incorporated sulfur content in the synthesized additive samples</w:t>
      </w:r>
      <w:r w:rsidR="00124116">
        <w:rPr>
          <w:lang w:val="en-GB"/>
        </w:rPr>
        <w:t xml:space="preserve">, </w:t>
      </w:r>
      <w:r w:rsidR="00DF42F5" w:rsidRPr="00DF42F5">
        <w:rPr>
          <w:lang w:val="en-GB"/>
        </w:rPr>
        <w:t xml:space="preserve">the relevant </w:t>
      </w:r>
      <w:r w:rsidR="00DF42F5">
        <w:rPr>
          <w:lang w:val="en-GB"/>
        </w:rPr>
        <w:t xml:space="preserve">ASTM </w:t>
      </w:r>
      <w:r w:rsidR="00DF42F5" w:rsidRPr="00DF42F5">
        <w:rPr>
          <w:lang w:val="en-GB"/>
        </w:rPr>
        <w:t>standard</w:t>
      </w:r>
      <w:r w:rsidR="006C1B59">
        <w:rPr>
          <w:lang w:val="en-GB"/>
        </w:rPr>
        <w:t xml:space="preserve"> methods</w:t>
      </w:r>
      <w:r w:rsidR="00DF42F5" w:rsidRPr="00DF42F5">
        <w:rPr>
          <w:lang w:val="en-GB"/>
        </w:rPr>
        <w:t xml:space="preserve"> have been used</w:t>
      </w:r>
      <w:r w:rsidR="00124116" w:rsidRPr="00D45F9C">
        <w:rPr>
          <w:lang w:val="en-GB"/>
        </w:rPr>
        <w:t xml:space="preserve"> (</w:t>
      </w:r>
      <w:r w:rsidR="00124116">
        <w:rPr>
          <w:lang w:val="en-GB"/>
        </w:rPr>
        <w:t>Kishore</w:t>
      </w:r>
      <w:r w:rsidR="00124116" w:rsidRPr="00D45F9C">
        <w:rPr>
          <w:lang w:val="en-GB"/>
        </w:rPr>
        <w:t>, 20</w:t>
      </w:r>
      <w:r w:rsidR="00124116">
        <w:rPr>
          <w:lang w:val="en-GB"/>
        </w:rPr>
        <w:t>00</w:t>
      </w:r>
      <w:r w:rsidR="00124116" w:rsidRPr="00D45F9C">
        <w:rPr>
          <w:lang w:val="en-GB"/>
        </w:rPr>
        <w:t>)</w:t>
      </w:r>
      <w:r w:rsidR="00DF42F5">
        <w:rPr>
          <w:lang w:val="en-GB"/>
        </w:rPr>
        <w:t>.</w:t>
      </w:r>
      <w:r w:rsidR="00124116">
        <w:rPr>
          <w:lang w:val="en-GB"/>
        </w:rPr>
        <w:t xml:space="preserve"> </w:t>
      </w:r>
      <w:r w:rsidR="00122017">
        <w:rPr>
          <w:lang w:val="en-GB"/>
        </w:rPr>
        <w:t>In addition</w:t>
      </w:r>
      <w:r w:rsidR="007B5058">
        <w:rPr>
          <w:lang w:val="en-GB"/>
        </w:rPr>
        <w:t>,</w:t>
      </w:r>
      <w:r w:rsidR="00122017">
        <w:rPr>
          <w:lang w:val="en-GB"/>
        </w:rPr>
        <w:t xml:space="preserve"> the </w:t>
      </w:r>
      <w:r w:rsidR="007B5058">
        <w:rPr>
          <w:lang w:val="en-GB"/>
        </w:rPr>
        <w:t>colour shade of the synthesized samples was also measured with an ASTM st</w:t>
      </w:r>
      <w:r w:rsidR="006C1B59">
        <w:rPr>
          <w:lang w:val="en-GB"/>
        </w:rPr>
        <w:t>andard method.</w:t>
      </w:r>
    </w:p>
    <w:p w14:paraId="68A08020" w14:textId="3C5F463E" w:rsidR="003910D5" w:rsidRPr="00A530CB" w:rsidRDefault="003910D5" w:rsidP="003910D5">
      <w:pPr>
        <w:pStyle w:val="CETListbullets"/>
        <w:numPr>
          <w:ilvl w:val="0"/>
          <w:numId w:val="13"/>
        </w:numPr>
        <w:rPr>
          <w:lang w:val="fr-FR"/>
        </w:rPr>
      </w:pPr>
      <w:r w:rsidRPr="00A530CB">
        <w:rPr>
          <w:lang w:val="fr-FR"/>
        </w:rPr>
        <w:t xml:space="preserve">Total sulphur content [ASTM D 5185], </w:t>
      </w:r>
      <w:r w:rsidR="00484603">
        <w:rPr>
          <w:lang w:val="fr-FR"/>
        </w:rPr>
        <w:t>wt</w:t>
      </w:r>
      <w:r w:rsidRPr="00A530CB">
        <w:rPr>
          <w:lang w:val="fr-FR"/>
        </w:rPr>
        <w:t>%</w:t>
      </w:r>
    </w:p>
    <w:p w14:paraId="706048AD" w14:textId="29CD7769" w:rsidR="003910D5" w:rsidRDefault="003910D5" w:rsidP="003910D5">
      <w:pPr>
        <w:pStyle w:val="CETListbullets"/>
        <w:numPr>
          <w:ilvl w:val="0"/>
          <w:numId w:val="13"/>
        </w:numPr>
        <w:rPr>
          <w:lang w:val="fr-FR"/>
        </w:rPr>
      </w:pPr>
      <w:r w:rsidRPr="00A530CB">
        <w:rPr>
          <w:lang w:val="fr-FR"/>
        </w:rPr>
        <w:t xml:space="preserve">Active sulphur content [ASTM D 1662], </w:t>
      </w:r>
      <w:r w:rsidR="00484603">
        <w:rPr>
          <w:lang w:val="fr-FR"/>
        </w:rPr>
        <w:t>wt</w:t>
      </w:r>
      <w:r w:rsidRPr="00A530CB">
        <w:rPr>
          <w:lang w:val="fr-FR"/>
        </w:rPr>
        <w:t>%</w:t>
      </w:r>
    </w:p>
    <w:p w14:paraId="26E1C98E" w14:textId="41DCF247" w:rsidR="006C1B59" w:rsidRPr="00C86C2A" w:rsidRDefault="00F7370D" w:rsidP="003910D5">
      <w:pPr>
        <w:pStyle w:val="CETListbullets"/>
        <w:numPr>
          <w:ilvl w:val="0"/>
          <w:numId w:val="13"/>
        </w:numPr>
        <w:rPr>
          <w:lang w:val="en-US"/>
        </w:rPr>
      </w:pPr>
      <w:r w:rsidRPr="00C86C2A">
        <w:rPr>
          <w:lang w:val="en-US"/>
        </w:rPr>
        <w:t>ASTM Color Scale</w:t>
      </w:r>
      <w:r w:rsidR="00C86C2A" w:rsidRPr="00C86C2A">
        <w:rPr>
          <w:lang w:val="en-US"/>
        </w:rPr>
        <w:t xml:space="preserve"> [ASTM D</w:t>
      </w:r>
      <w:r w:rsidR="00C86C2A">
        <w:rPr>
          <w:lang w:val="en-US"/>
        </w:rPr>
        <w:t xml:space="preserve"> 1500]</w:t>
      </w:r>
    </w:p>
    <w:p w14:paraId="38D11B1F" w14:textId="7D417852" w:rsidR="003910D5" w:rsidRPr="00D45F9C" w:rsidRDefault="00335C68" w:rsidP="00C256EF">
      <w:pPr>
        <w:pStyle w:val="CETBodytext"/>
        <w:spacing w:before="120" w:after="60"/>
        <w:rPr>
          <w:lang w:val="en-GB"/>
        </w:rPr>
      </w:pPr>
      <w:r>
        <w:rPr>
          <w:lang w:val="en-GB"/>
        </w:rPr>
        <w:t>To</w:t>
      </w:r>
      <w:r w:rsidR="00207A72" w:rsidRPr="00207A72">
        <w:rPr>
          <w:lang w:val="en-GB"/>
        </w:rPr>
        <w:t xml:space="preserve"> assess</w:t>
      </w:r>
      <w:r w:rsidR="003E63E9">
        <w:rPr>
          <w:lang w:val="en-GB"/>
        </w:rPr>
        <w:t xml:space="preserve"> </w:t>
      </w:r>
      <w:r w:rsidR="00207A72" w:rsidRPr="00207A72">
        <w:rPr>
          <w:lang w:val="en-GB"/>
        </w:rPr>
        <w:t xml:space="preserve">the functional </w:t>
      </w:r>
      <w:r w:rsidR="003E63E9">
        <w:rPr>
          <w:lang w:val="en-GB"/>
        </w:rPr>
        <w:t xml:space="preserve">parameters </w:t>
      </w:r>
      <w:r w:rsidR="00207A72" w:rsidRPr="00207A72">
        <w:rPr>
          <w:lang w:val="en-GB"/>
        </w:rPr>
        <w:t xml:space="preserve">of the synthesized additives, two distinct methods were employed. </w:t>
      </w:r>
      <w:r w:rsidR="00F518BD">
        <w:rPr>
          <w:lang w:val="en-GB"/>
        </w:rPr>
        <w:t>Four-ball weld load measurement</w:t>
      </w:r>
      <w:r w:rsidR="00207A72" w:rsidRPr="00207A72">
        <w:rPr>
          <w:lang w:val="en-GB"/>
        </w:rPr>
        <w:t xml:space="preserve"> evaluate</w:t>
      </w:r>
      <w:r w:rsidR="00F518BD">
        <w:rPr>
          <w:lang w:val="en-GB"/>
        </w:rPr>
        <w:t xml:space="preserve">s </w:t>
      </w:r>
      <w:r w:rsidR="00207A72" w:rsidRPr="00207A72">
        <w:rPr>
          <w:lang w:val="en-GB"/>
        </w:rPr>
        <w:t>the extreme-pressure propert</w:t>
      </w:r>
      <w:r w:rsidR="00F518BD">
        <w:rPr>
          <w:lang w:val="en-GB"/>
        </w:rPr>
        <w:t>y</w:t>
      </w:r>
      <w:r w:rsidR="00207A72" w:rsidRPr="00207A72">
        <w:rPr>
          <w:lang w:val="en-GB"/>
        </w:rPr>
        <w:t xml:space="preserve"> of the samples under high-load conditions</w:t>
      </w:r>
      <w:r w:rsidR="00F518BD">
        <w:rPr>
          <w:lang w:val="en-GB"/>
        </w:rPr>
        <w:t>.</w:t>
      </w:r>
      <w:r w:rsidR="008152A1">
        <w:rPr>
          <w:lang w:val="en-GB"/>
        </w:rPr>
        <w:t xml:space="preserve"> The wear scar diameter measurement</w:t>
      </w:r>
      <w:r w:rsidR="00207A72" w:rsidRPr="00207A72">
        <w:rPr>
          <w:lang w:val="en-GB"/>
        </w:rPr>
        <w:t xml:space="preserve"> focuse</w:t>
      </w:r>
      <w:r w:rsidR="008152A1">
        <w:rPr>
          <w:lang w:val="en-GB"/>
        </w:rPr>
        <w:t>s</w:t>
      </w:r>
      <w:r w:rsidR="00207A72" w:rsidRPr="00207A72">
        <w:rPr>
          <w:lang w:val="en-GB"/>
        </w:rPr>
        <w:t xml:space="preserve"> on the anti-wear characteristics </w:t>
      </w:r>
      <w:r w:rsidR="008152A1">
        <w:rPr>
          <w:lang w:val="en-GB"/>
        </w:rPr>
        <w:t>of the additive samples.</w:t>
      </w:r>
      <w:r w:rsidR="00207A72" w:rsidRPr="00207A72">
        <w:rPr>
          <w:lang w:val="en-GB"/>
        </w:rPr>
        <w:t xml:space="preserve"> Additionally, a</w:t>
      </w:r>
      <w:r w:rsidR="008964AA">
        <w:rPr>
          <w:lang w:val="en-GB"/>
        </w:rPr>
        <w:t>n</w:t>
      </w:r>
      <w:r w:rsidR="00207A72" w:rsidRPr="00207A72">
        <w:rPr>
          <w:lang w:val="en-GB"/>
        </w:rPr>
        <w:t xml:space="preserve"> examination was conducted to explore the additives' effects on copper corrosion, </w:t>
      </w:r>
      <w:r w:rsidR="000D43C0">
        <w:rPr>
          <w:lang w:val="en-GB"/>
        </w:rPr>
        <w:t>determini</w:t>
      </w:r>
      <w:r w:rsidR="00DE178C">
        <w:rPr>
          <w:lang w:val="en-GB"/>
        </w:rPr>
        <w:t>ng</w:t>
      </w:r>
      <w:r w:rsidR="00721078">
        <w:rPr>
          <w:lang w:val="en-GB"/>
        </w:rPr>
        <w:t xml:space="preserve"> </w:t>
      </w:r>
      <w:r w:rsidR="00DE178C">
        <w:rPr>
          <w:lang w:val="en-GB"/>
        </w:rPr>
        <w:t>what extent</w:t>
      </w:r>
      <w:r w:rsidR="004B1F58">
        <w:rPr>
          <w:lang w:val="en-GB"/>
        </w:rPr>
        <w:t xml:space="preserve"> this</w:t>
      </w:r>
      <w:r w:rsidR="00DE178C">
        <w:rPr>
          <w:lang w:val="en-GB"/>
        </w:rPr>
        <w:t xml:space="preserve"> influences </w:t>
      </w:r>
      <w:r w:rsidR="00207A72" w:rsidRPr="00207A72">
        <w:rPr>
          <w:lang w:val="en-GB"/>
        </w:rPr>
        <w:t xml:space="preserve">their application </w:t>
      </w:r>
      <w:r w:rsidR="003910D5" w:rsidRPr="00D45F9C">
        <w:rPr>
          <w:lang w:val="en-GB"/>
        </w:rPr>
        <w:t>(Theo et al.,</w:t>
      </w:r>
      <w:r w:rsidR="00924350">
        <w:rPr>
          <w:lang w:val="en-GB"/>
        </w:rPr>
        <w:t xml:space="preserve"> </w:t>
      </w:r>
      <w:r w:rsidR="003910D5" w:rsidRPr="00D45F9C">
        <w:rPr>
          <w:lang w:val="en-GB"/>
        </w:rPr>
        <w:t>2011)</w:t>
      </w:r>
      <w:r w:rsidR="00AB7F84">
        <w:rPr>
          <w:lang w:val="en-GB"/>
        </w:rPr>
        <w:t>.</w:t>
      </w:r>
    </w:p>
    <w:p w14:paraId="490A3AEB" w14:textId="77777777" w:rsidR="003910D5" w:rsidRPr="00D45F9C" w:rsidRDefault="003910D5" w:rsidP="003910D5">
      <w:pPr>
        <w:pStyle w:val="CETListbullets"/>
        <w:numPr>
          <w:ilvl w:val="0"/>
          <w:numId w:val="13"/>
        </w:numPr>
      </w:pPr>
      <w:r w:rsidRPr="00D45F9C">
        <w:t>Four-ball test – weld load [DIN 51350-4], N</w:t>
      </w:r>
    </w:p>
    <w:p w14:paraId="28832E3A" w14:textId="77777777" w:rsidR="003910D5" w:rsidRPr="00D45F9C" w:rsidRDefault="003910D5" w:rsidP="003910D5">
      <w:pPr>
        <w:pStyle w:val="CETListbullets"/>
        <w:numPr>
          <w:ilvl w:val="0"/>
          <w:numId w:val="13"/>
        </w:numPr>
      </w:pPr>
      <w:r w:rsidRPr="00D45F9C">
        <w:t>Four-ball test – wear scar diameter [DIN 51350-5], mm</w:t>
      </w:r>
    </w:p>
    <w:p w14:paraId="1A9997E8" w14:textId="1B4FA237" w:rsidR="00557F55" w:rsidRPr="00D45F9C" w:rsidRDefault="003910D5" w:rsidP="00557F55">
      <w:pPr>
        <w:pStyle w:val="CETListbullets"/>
        <w:numPr>
          <w:ilvl w:val="0"/>
          <w:numId w:val="13"/>
        </w:numPr>
      </w:pPr>
      <w:r w:rsidRPr="00D45F9C">
        <w:t>Copper corrosion test (100 °C, 3 h) [ASTM D 130]</w:t>
      </w:r>
    </w:p>
    <w:p w14:paraId="5F759088" w14:textId="77777777" w:rsidR="009F7C63" w:rsidRPr="00642A4F" w:rsidRDefault="009F7C63" w:rsidP="009F7C63">
      <w:pPr>
        <w:pStyle w:val="CETHeading1"/>
        <w:tabs>
          <w:tab w:val="right" w:pos="7100"/>
        </w:tabs>
        <w:jc w:val="both"/>
        <w:rPr>
          <w:lang w:val="en-GB"/>
        </w:rPr>
      </w:pPr>
      <w:r w:rsidRPr="00642A4F">
        <w:rPr>
          <w:lang w:val="en-GB"/>
        </w:rPr>
        <w:lastRenderedPageBreak/>
        <w:t>Results</w:t>
      </w:r>
    </w:p>
    <w:p w14:paraId="73311C29" w14:textId="71F8258B" w:rsidR="00730A46" w:rsidRDefault="00730A46" w:rsidP="009F7C63">
      <w:pPr>
        <w:pStyle w:val="CETBodytext"/>
        <w:spacing w:after="60"/>
        <w:rPr>
          <w:lang w:val="en-GB"/>
        </w:rPr>
      </w:pPr>
      <w:r w:rsidRPr="00730A46">
        <w:rPr>
          <w:lang w:val="en-GB"/>
        </w:rPr>
        <w:t xml:space="preserve">The sulfurized samples were produced by reacting the previously </w:t>
      </w:r>
      <w:r w:rsidR="00623191">
        <w:rPr>
          <w:lang w:val="en-GB"/>
        </w:rPr>
        <w:t>listed</w:t>
      </w:r>
      <w:r w:rsidR="0088416E">
        <w:rPr>
          <w:lang w:val="en-GB"/>
        </w:rPr>
        <w:t xml:space="preserve"> vegetable origin</w:t>
      </w:r>
      <w:r w:rsidRPr="00730A46">
        <w:rPr>
          <w:lang w:val="en-GB"/>
        </w:rPr>
        <w:t xml:space="preserve"> raw materials with elemental sulfur</w:t>
      </w:r>
      <w:r w:rsidR="00A45D5D">
        <w:rPr>
          <w:lang w:val="en-GB"/>
        </w:rPr>
        <w:t xml:space="preserve"> (Frank et al., 1979)</w:t>
      </w:r>
      <w:r w:rsidRPr="00730A46">
        <w:rPr>
          <w:lang w:val="en-GB"/>
        </w:rPr>
        <w:t>. Initially, the reagents were homogenized through a mixing process lasting 1–2 hours at approximately 1</w:t>
      </w:r>
      <w:r w:rsidR="00990583">
        <w:rPr>
          <w:lang w:val="en-GB"/>
        </w:rPr>
        <w:t>20</w:t>
      </w:r>
      <w:r w:rsidRPr="00730A46">
        <w:rPr>
          <w:lang w:val="en-GB"/>
        </w:rPr>
        <w:t>–13</w:t>
      </w:r>
      <w:r w:rsidR="00990583">
        <w:rPr>
          <w:lang w:val="en-GB"/>
        </w:rPr>
        <w:t>0</w:t>
      </w:r>
      <w:r w:rsidRPr="00730A46">
        <w:rPr>
          <w:lang w:val="en-GB"/>
        </w:rPr>
        <w:t> °C</w:t>
      </w:r>
      <w:r w:rsidR="00197C4D">
        <w:rPr>
          <w:lang w:val="en-GB"/>
        </w:rPr>
        <w:t xml:space="preserve"> (Emile, 1974)</w:t>
      </w:r>
      <w:r w:rsidRPr="00730A46">
        <w:rPr>
          <w:lang w:val="en-GB"/>
        </w:rPr>
        <w:t xml:space="preserve">. </w:t>
      </w:r>
      <w:r w:rsidR="00190A78">
        <w:rPr>
          <w:lang w:val="en-GB"/>
        </w:rPr>
        <w:t>W</w:t>
      </w:r>
      <w:r w:rsidR="00190A78" w:rsidRPr="00190A78">
        <w:rPr>
          <w:lang w:val="en-GB"/>
        </w:rPr>
        <w:t xml:space="preserve">hile the temperature was raised to the reaction temperature, the catalyst was added </w:t>
      </w:r>
      <w:r w:rsidR="00190A78">
        <w:rPr>
          <w:lang w:val="en-GB"/>
        </w:rPr>
        <w:t xml:space="preserve">into the reaction mixture </w:t>
      </w:r>
      <w:r w:rsidR="00190A78" w:rsidRPr="00190A78">
        <w:rPr>
          <w:lang w:val="en-GB"/>
        </w:rPr>
        <w:t xml:space="preserve">in </w:t>
      </w:r>
      <w:r w:rsidR="00190A78">
        <w:rPr>
          <w:lang w:val="en-GB"/>
        </w:rPr>
        <w:t xml:space="preserve">equal </w:t>
      </w:r>
      <w:r w:rsidR="00190A78" w:rsidRPr="00190A78">
        <w:rPr>
          <w:lang w:val="en-GB"/>
        </w:rPr>
        <w:t>portions</w:t>
      </w:r>
      <w:r w:rsidR="00C7566C">
        <w:rPr>
          <w:lang w:val="en-GB"/>
        </w:rPr>
        <w:t xml:space="preserve"> (Roger, 1995)</w:t>
      </w:r>
      <w:r w:rsidR="00190A78">
        <w:rPr>
          <w:lang w:val="en-GB"/>
        </w:rPr>
        <w:t xml:space="preserve">. </w:t>
      </w:r>
      <w:r w:rsidRPr="00730A46">
        <w:rPr>
          <w:lang w:val="en-GB"/>
        </w:rPr>
        <w:t>The reaction was carried out at around 140–15</w:t>
      </w:r>
      <w:r w:rsidR="00C24D17">
        <w:rPr>
          <w:lang w:val="en-GB"/>
        </w:rPr>
        <w:t>0</w:t>
      </w:r>
      <w:r w:rsidRPr="00730A46">
        <w:rPr>
          <w:lang w:val="en-GB"/>
        </w:rPr>
        <w:t xml:space="preserve"> °C under a pressure of </w:t>
      </w:r>
      <w:r w:rsidR="00C24D17">
        <w:rPr>
          <w:lang w:val="en-GB"/>
        </w:rPr>
        <w:t xml:space="preserve">maximum </w:t>
      </w:r>
      <w:r w:rsidRPr="00730A46">
        <w:rPr>
          <w:lang w:val="en-GB"/>
        </w:rPr>
        <w:t xml:space="preserve">2 bar, with a holding time of </w:t>
      </w:r>
      <w:r w:rsidR="004F278E">
        <w:rPr>
          <w:lang w:val="en-GB"/>
        </w:rPr>
        <w:t>1</w:t>
      </w:r>
      <w:r w:rsidRPr="00730A46">
        <w:rPr>
          <w:lang w:val="en-GB"/>
        </w:rPr>
        <w:t>–</w:t>
      </w:r>
      <w:r w:rsidR="004F278E">
        <w:rPr>
          <w:lang w:val="en-GB"/>
        </w:rPr>
        <w:t>3</w:t>
      </w:r>
      <w:r w:rsidRPr="00730A46">
        <w:rPr>
          <w:lang w:val="en-GB"/>
        </w:rPr>
        <w:t xml:space="preserve"> hours</w:t>
      </w:r>
      <w:r w:rsidR="00172633">
        <w:rPr>
          <w:lang w:val="en-GB"/>
        </w:rPr>
        <w:t xml:space="preserve"> </w:t>
      </w:r>
      <w:r w:rsidR="00172633" w:rsidRPr="00730A46">
        <w:rPr>
          <w:lang w:val="en-GB"/>
        </w:rPr>
        <w:t>(</w:t>
      </w:r>
      <w:r w:rsidR="007A6D85">
        <w:rPr>
          <w:lang w:val="en-GB"/>
        </w:rPr>
        <w:t>Davis</w:t>
      </w:r>
      <w:r w:rsidR="00172633" w:rsidRPr="00730A46">
        <w:rPr>
          <w:lang w:val="en-GB"/>
        </w:rPr>
        <w:t xml:space="preserve"> et al., 19</w:t>
      </w:r>
      <w:r w:rsidR="00172633">
        <w:rPr>
          <w:lang w:val="en-GB"/>
        </w:rPr>
        <w:t>8</w:t>
      </w:r>
      <w:r w:rsidR="007A6D85">
        <w:rPr>
          <w:lang w:val="en-GB"/>
        </w:rPr>
        <w:t>8</w:t>
      </w:r>
      <w:r w:rsidR="00172633" w:rsidRPr="00730A46">
        <w:rPr>
          <w:lang w:val="en-GB"/>
        </w:rPr>
        <w:t>)</w:t>
      </w:r>
      <w:r w:rsidR="00EA6B13">
        <w:rPr>
          <w:lang w:val="en-GB"/>
        </w:rPr>
        <w:t xml:space="preserve">. </w:t>
      </w:r>
      <w:r w:rsidR="004F53B8">
        <w:rPr>
          <w:lang w:val="en-GB"/>
        </w:rPr>
        <w:t xml:space="preserve">In the case of the samples synthesized without </w:t>
      </w:r>
      <w:r w:rsidR="009B3E7C">
        <w:rPr>
          <w:lang w:val="en-GB"/>
        </w:rPr>
        <w:t>catalyst</w:t>
      </w:r>
      <w:r w:rsidR="00F579E0">
        <w:rPr>
          <w:lang w:val="en-GB"/>
        </w:rPr>
        <w:t>, the holding time at reaction temperature was 2-4 hours</w:t>
      </w:r>
      <w:r w:rsidR="000E4B3F">
        <w:rPr>
          <w:lang w:val="en-GB"/>
        </w:rPr>
        <w:t xml:space="preserve"> (Donald and John, 1979)</w:t>
      </w:r>
      <w:r w:rsidR="00F579E0">
        <w:rPr>
          <w:lang w:val="en-GB"/>
        </w:rPr>
        <w:t xml:space="preserve">. </w:t>
      </w:r>
      <w:r w:rsidR="00D70947">
        <w:rPr>
          <w:lang w:val="en-GB"/>
        </w:rPr>
        <w:t>T</w:t>
      </w:r>
      <w:r w:rsidR="00D70947" w:rsidRPr="00D70947">
        <w:rPr>
          <w:lang w:val="en-GB"/>
        </w:rPr>
        <w:t>hen the sample</w:t>
      </w:r>
      <w:r w:rsidR="00D70947">
        <w:rPr>
          <w:lang w:val="en-GB"/>
        </w:rPr>
        <w:t>s</w:t>
      </w:r>
      <w:r w:rsidR="00D70947" w:rsidRPr="00D70947">
        <w:rPr>
          <w:lang w:val="en-GB"/>
        </w:rPr>
        <w:t xml:space="preserve"> w</w:t>
      </w:r>
      <w:r w:rsidR="00D70947">
        <w:rPr>
          <w:lang w:val="en-GB"/>
        </w:rPr>
        <w:t>ere</w:t>
      </w:r>
      <w:r w:rsidR="00D70947" w:rsidRPr="00D70947">
        <w:rPr>
          <w:lang w:val="en-GB"/>
        </w:rPr>
        <w:t xml:space="preserve"> cooled to </w:t>
      </w:r>
      <w:r w:rsidR="00D70947">
        <w:rPr>
          <w:lang w:val="en-GB"/>
        </w:rPr>
        <w:t>60-</w:t>
      </w:r>
      <w:r w:rsidR="00D70947" w:rsidRPr="00D70947">
        <w:rPr>
          <w:lang w:val="en-GB"/>
        </w:rPr>
        <w:t>70°C</w:t>
      </w:r>
      <w:r w:rsidR="00924350">
        <w:rPr>
          <w:lang w:val="en-GB"/>
        </w:rPr>
        <w:t>.</w:t>
      </w:r>
      <w:r w:rsidR="0062778B">
        <w:rPr>
          <w:lang w:val="en-GB"/>
        </w:rPr>
        <w:t xml:space="preserve"> </w:t>
      </w:r>
      <w:r w:rsidR="00EA6B13">
        <w:rPr>
          <w:lang w:val="en-GB"/>
        </w:rPr>
        <w:t>The applied reaction parameters have been previously optimized</w:t>
      </w:r>
      <w:r w:rsidRPr="00730A46">
        <w:rPr>
          <w:lang w:val="en-GB"/>
        </w:rPr>
        <w:t xml:space="preserve"> to maximize the </w:t>
      </w:r>
      <w:r w:rsidR="00CE1926">
        <w:rPr>
          <w:lang w:val="en-GB"/>
        </w:rPr>
        <w:t>connection</w:t>
      </w:r>
      <w:r w:rsidR="00FA263C">
        <w:rPr>
          <w:lang w:val="en-GB"/>
        </w:rPr>
        <w:t xml:space="preserve"> rate of the sulfur</w:t>
      </w:r>
      <w:r w:rsidRPr="00730A46">
        <w:rPr>
          <w:lang w:val="en-GB"/>
        </w:rPr>
        <w:t>.</w:t>
      </w:r>
      <w:r w:rsidR="004D7A91">
        <w:rPr>
          <w:lang w:val="en-GB"/>
        </w:rPr>
        <w:t xml:space="preserve"> </w:t>
      </w:r>
      <w:r w:rsidR="00371AF3" w:rsidRPr="00371AF3">
        <w:rPr>
          <w:lang w:val="en-GB"/>
        </w:rPr>
        <w:t xml:space="preserve">If precipitation was observed, the sample was filtered through </w:t>
      </w:r>
      <w:r w:rsidR="00E1744A">
        <w:rPr>
          <w:lang w:val="en-GB"/>
        </w:rPr>
        <w:t xml:space="preserve">a 5 </w:t>
      </w:r>
      <w:r w:rsidR="00371AF3" w:rsidRPr="00371AF3">
        <w:rPr>
          <w:lang w:val="en-GB"/>
        </w:rPr>
        <w:t>micron filter paper using vacuum. In such cases, all tests and further steps were performed with the filtered sample.</w:t>
      </w:r>
    </w:p>
    <w:p w14:paraId="5FD56968" w14:textId="6363DA51" w:rsidR="00430EBA" w:rsidRDefault="009E51F5" w:rsidP="00813F10">
      <w:pPr>
        <w:pStyle w:val="CETBodytext"/>
        <w:spacing w:after="60"/>
        <w:rPr>
          <w:lang w:val="en-GB"/>
        </w:rPr>
      </w:pPr>
      <w:r>
        <w:rPr>
          <w:lang w:val="en-GB"/>
        </w:rPr>
        <w:t>In t</w:t>
      </w:r>
      <w:r w:rsidR="00430EBA" w:rsidRPr="006971D0">
        <w:rPr>
          <w:lang w:val="en-GB"/>
        </w:rPr>
        <w:t>he current phase of the research</w:t>
      </w:r>
      <w:r w:rsidR="00792634">
        <w:rPr>
          <w:lang w:val="en-GB"/>
        </w:rPr>
        <w:t>,</w:t>
      </w:r>
      <w:r w:rsidR="00430EBA" w:rsidRPr="006971D0">
        <w:rPr>
          <w:lang w:val="en-GB"/>
        </w:rPr>
        <w:t xml:space="preserve"> </w:t>
      </w:r>
      <w:r w:rsidR="00430EBA" w:rsidRPr="00444F57">
        <w:rPr>
          <w:lang w:val="en-GB"/>
        </w:rPr>
        <w:t xml:space="preserve">the primary goal was to identify </w:t>
      </w:r>
      <w:r w:rsidR="009B3E7C">
        <w:rPr>
          <w:lang w:val="en-GB"/>
        </w:rPr>
        <w:t>catalyst</w:t>
      </w:r>
      <w:r w:rsidR="00430EBA" w:rsidRPr="00444F57">
        <w:rPr>
          <w:lang w:val="en-GB"/>
        </w:rPr>
        <w:t>s th</w:t>
      </w:r>
      <w:r w:rsidR="00792634">
        <w:rPr>
          <w:lang w:val="en-GB"/>
        </w:rPr>
        <w:t>ose</w:t>
      </w:r>
      <w:r w:rsidR="00430EBA" w:rsidRPr="00444F57">
        <w:rPr>
          <w:lang w:val="en-GB"/>
        </w:rPr>
        <w:t xml:space="preserve"> could be effectively employed for producing EP additives derived from vegetable oils. </w:t>
      </w:r>
      <w:r w:rsidR="00BD5F1C" w:rsidRPr="00BD5F1C">
        <w:rPr>
          <w:lang w:val="en-GB"/>
        </w:rPr>
        <w:t xml:space="preserve">Another </w:t>
      </w:r>
      <w:r w:rsidR="00BD5F1C">
        <w:rPr>
          <w:lang w:val="en-GB"/>
        </w:rPr>
        <w:t>aim</w:t>
      </w:r>
      <w:r w:rsidR="00BD5F1C" w:rsidRPr="00BD5F1C">
        <w:rPr>
          <w:lang w:val="en-GB"/>
        </w:rPr>
        <w:t xml:space="preserve"> was to investigate the possibility of reducing the reaction time</w:t>
      </w:r>
      <w:r w:rsidR="001E35D5">
        <w:rPr>
          <w:lang w:val="en-GB"/>
        </w:rPr>
        <w:t xml:space="preserve"> of the sulfurization process</w:t>
      </w:r>
      <w:r w:rsidR="00BD5F1C" w:rsidRPr="00BD5F1C">
        <w:rPr>
          <w:lang w:val="en-GB"/>
        </w:rPr>
        <w:t>.</w:t>
      </w:r>
      <w:r w:rsidR="001E35D5">
        <w:rPr>
          <w:lang w:val="en-GB"/>
        </w:rPr>
        <w:t xml:space="preserve"> </w:t>
      </w:r>
      <w:r w:rsidR="00430EBA" w:rsidRPr="00444F57">
        <w:rPr>
          <w:lang w:val="en-GB"/>
        </w:rPr>
        <w:t>The minimum achievable weld load was fixed at 2</w:t>
      </w:r>
      <w:r w:rsidR="00C41982">
        <w:rPr>
          <w:lang w:val="en-GB"/>
        </w:rPr>
        <w:t> </w:t>
      </w:r>
      <w:r w:rsidR="00430EBA" w:rsidRPr="00444F57">
        <w:rPr>
          <w:lang w:val="en-GB"/>
        </w:rPr>
        <w:t>200</w:t>
      </w:r>
      <w:r w:rsidR="00C41982">
        <w:rPr>
          <w:lang w:val="en-GB"/>
        </w:rPr>
        <w:t> </w:t>
      </w:r>
      <w:r w:rsidR="00430EBA" w:rsidRPr="00444F57">
        <w:rPr>
          <w:lang w:val="en-GB"/>
        </w:rPr>
        <w:t xml:space="preserve">N, while the maximum </w:t>
      </w:r>
      <w:r w:rsidR="00540523">
        <w:rPr>
          <w:lang w:val="en-GB"/>
        </w:rPr>
        <w:t>of the</w:t>
      </w:r>
      <w:r w:rsidR="00430EBA" w:rsidRPr="00444F57">
        <w:rPr>
          <w:lang w:val="en-GB"/>
        </w:rPr>
        <w:t xml:space="preserve"> scar diameter was set at 0.60 mm.</w:t>
      </w:r>
      <w:r w:rsidR="00430EBA">
        <w:rPr>
          <w:lang w:val="en-GB"/>
        </w:rPr>
        <w:t xml:space="preserve"> </w:t>
      </w:r>
      <w:r w:rsidR="00430EBA" w:rsidRPr="00BE0BC5">
        <w:rPr>
          <w:lang w:val="en-GB"/>
        </w:rPr>
        <w:t>We also expected a copper corrosion rate</w:t>
      </w:r>
      <w:r w:rsidR="00106ABD">
        <w:rPr>
          <w:lang w:val="en-GB"/>
        </w:rPr>
        <w:t xml:space="preserve"> lower than </w:t>
      </w:r>
      <w:r w:rsidR="00430EBA">
        <w:rPr>
          <w:lang w:val="en-GB"/>
        </w:rPr>
        <w:t xml:space="preserve">4b </w:t>
      </w:r>
      <w:r w:rsidR="00430EBA" w:rsidRPr="00BE0BC5">
        <w:rPr>
          <w:lang w:val="en-GB"/>
        </w:rPr>
        <w:t xml:space="preserve">and </w:t>
      </w:r>
      <w:r w:rsidR="00D614EA">
        <w:rPr>
          <w:lang w:val="en-GB"/>
        </w:rPr>
        <w:t>ASTM</w:t>
      </w:r>
      <w:r w:rsidR="00430EBA" w:rsidRPr="00BE0BC5">
        <w:rPr>
          <w:lang w:val="en-GB"/>
        </w:rPr>
        <w:t xml:space="preserve"> colo</w:t>
      </w:r>
      <w:r w:rsidR="00430EBA">
        <w:rPr>
          <w:lang w:val="en-GB"/>
        </w:rPr>
        <w:t>u</w:t>
      </w:r>
      <w:r w:rsidR="00430EBA" w:rsidRPr="00BE0BC5">
        <w:rPr>
          <w:lang w:val="en-GB"/>
        </w:rPr>
        <w:t>r</w:t>
      </w:r>
      <w:r w:rsidR="00430EBA">
        <w:rPr>
          <w:lang w:val="en-GB"/>
        </w:rPr>
        <w:t xml:space="preserve"> </w:t>
      </w:r>
      <w:r w:rsidR="00106ABD">
        <w:rPr>
          <w:lang w:val="en-GB"/>
        </w:rPr>
        <w:t xml:space="preserve">lower than </w:t>
      </w:r>
      <w:r w:rsidR="00430EBA">
        <w:rPr>
          <w:lang w:val="en-GB"/>
        </w:rPr>
        <w:t>8.0</w:t>
      </w:r>
      <w:r w:rsidR="00430EBA" w:rsidRPr="00BE0BC5">
        <w:rPr>
          <w:lang w:val="en-GB"/>
        </w:rPr>
        <w:t>.</w:t>
      </w:r>
      <w:r w:rsidR="00CE4B38">
        <w:rPr>
          <w:lang w:val="en-GB"/>
        </w:rPr>
        <w:t xml:space="preserve"> </w:t>
      </w:r>
      <w:r w:rsidR="00924F71" w:rsidRPr="00924F71">
        <w:rPr>
          <w:lang w:val="en-GB"/>
        </w:rPr>
        <w:t>These values</w:t>
      </w:r>
      <w:r w:rsidR="00924F71">
        <w:rPr>
          <w:lang w:val="en-GB"/>
        </w:rPr>
        <w:t xml:space="preserve"> </w:t>
      </w:r>
      <w:r w:rsidR="00924F71" w:rsidRPr="00924F71">
        <w:rPr>
          <w:lang w:val="en-GB"/>
        </w:rPr>
        <w:t>were determined based on the performance level of EP additives with similar sulfur content available on the market.</w:t>
      </w:r>
    </w:p>
    <w:p w14:paraId="083111B4" w14:textId="57E84309" w:rsidR="009F7C63" w:rsidRPr="00506ACA" w:rsidRDefault="00813F10" w:rsidP="009F7C63">
      <w:pPr>
        <w:pStyle w:val="CETBodytext"/>
        <w:spacing w:after="60"/>
        <w:rPr>
          <w:lang w:val="en-GB"/>
        </w:rPr>
      </w:pPr>
      <w:r w:rsidRPr="00730A46">
        <w:rPr>
          <w:lang w:val="en-GB"/>
        </w:rPr>
        <w:t xml:space="preserve">The investigation </w:t>
      </w:r>
      <w:r>
        <w:rPr>
          <w:lang w:val="en-GB"/>
        </w:rPr>
        <w:t>started</w:t>
      </w:r>
      <w:r w:rsidRPr="00730A46">
        <w:rPr>
          <w:lang w:val="en-GB"/>
        </w:rPr>
        <w:t xml:space="preserve"> with </w:t>
      </w:r>
      <w:r>
        <w:rPr>
          <w:lang w:val="en-GB"/>
        </w:rPr>
        <w:t>the</w:t>
      </w:r>
      <w:r w:rsidRPr="00730A46">
        <w:rPr>
          <w:lang w:val="en-GB"/>
        </w:rPr>
        <w:t xml:space="preserve"> </w:t>
      </w:r>
      <w:r w:rsidR="00203943">
        <w:rPr>
          <w:lang w:val="en-GB"/>
        </w:rPr>
        <w:t>analyzation</w:t>
      </w:r>
      <w:r w:rsidRPr="00730A46">
        <w:rPr>
          <w:lang w:val="en-GB"/>
        </w:rPr>
        <w:t xml:space="preserve"> of the raw materials and </w:t>
      </w:r>
      <w:r>
        <w:rPr>
          <w:lang w:val="en-GB"/>
        </w:rPr>
        <w:t xml:space="preserve">the </w:t>
      </w:r>
      <w:r w:rsidRPr="00730A46">
        <w:rPr>
          <w:lang w:val="en-GB"/>
        </w:rPr>
        <w:t>synthesized additive</w:t>
      </w:r>
      <w:r>
        <w:rPr>
          <w:lang w:val="en-GB"/>
        </w:rPr>
        <w:t xml:space="preserve"> samples. </w:t>
      </w:r>
      <w:r w:rsidR="00864E8B">
        <w:rPr>
          <w:lang w:val="en-GB"/>
        </w:rPr>
        <w:t xml:space="preserve">In </w:t>
      </w:r>
      <w:r w:rsidR="009F7C63" w:rsidRPr="00506ACA">
        <w:rPr>
          <w:lang w:val="en-GB"/>
        </w:rPr>
        <w:t xml:space="preserve">Table </w:t>
      </w:r>
      <w:r w:rsidR="0012310B" w:rsidRPr="00506ACA">
        <w:rPr>
          <w:lang w:val="en-GB"/>
        </w:rPr>
        <w:t>4</w:t>
      </w:r>
      <w:r w:rsidR="00864E8B">
        <w:rPr>
          <w:lang w:val="en-GB"/>
        </w:rPr>
        <w:t>,</w:t>
      </w:r>
      <w:r w:rsidR="009F7C63" w:rsidRPr="00506ACA">
        <w:rPr>
          <w:lang w:val="en-GB"/>
        </w:rPr>
        <w:t xml:space="preserve"> </w:t>
      </w:r>
      <w:r w:rsidR="00864E8B">
        <w:rPr>
          <w:lang w:val="en-GB"/>
        </w:rPr>
        <w:t>p</w:t>
      </w:r>
      <w:r w:rsidR="0012310B" w:rsidRPr="00506ACA">
        <w:rPr>
          <w:lang w:val="en-GB"/>
        </w:rPr>
        <w:t xml:space="preserve">hysico-chemical properties </w:t>
      </w:r>
      <w:r w:rsidR="00864E8B">
        <w:rPr>
          <w:lang w:val="en-GB"/>
        </w:rPr>
        <w:t>for</w:t>
      </w:r>
      <w:r w:rsidR="0012310B" w:rsidRPr="00506ACA">
        <w:rPr>
          <w:lang w:val="en-GB"/>
        </w:rPr>
        <w:t xml:space="preserve"> the sulfurized samples (EP) based on used cooking oil</w:t>
      </w:r>
      <w:r w:rsidR="00864E8B">
        <w:rPr>
          <w:lang w:val="en-GB"/>
        </w:rPr>
        <w:t xml:space="preserve"> are indicated.</w:t>
      </w:r>
      <w:r w:rsidR="00D03E83">
        <w:rPr>
          <w:lang w:val="en-GB"/>
        </w:rPr>
        <w:t xml:space="preserve"> </w:t>
      </w:r>
      <w:r w:rsidR="00FE0AAF">
        <w:rPr>
          <w:lang w:val="en-GB"/>
        </w:rPr>
        <w:t xml:space="preserve">Based on the observation </w:t>
      </w:r>
      <w:r w:rsidR="00F66690">
        <w:rPr>
          <w:lang w:val="en-GB"/>
        </w:rPr>
        <w:t>that the colo</w:t>
      </w:r>
      <w:r w:rsidR="003749F7">
        <w:rPr>
          <w:lang w:val="en-GB"/>
        </w:rPr>
        <w:t>ur grade of</w:t>
      </w:r>
      <w:r w:rsidR="006F40FB">
        <w:rPr>
          <w:lang w:val="en-GB"/>
        </w:rPr>
        <w:t xml:space="preserve"> UCO-4 and UCO-</w:t>
      </w:r>
      <w:r w:rsidR="003A4A23">
        <w:rPr>
          <w:lang w:val="en-GB"/>
        </w:rPr>
        <w:t>6</w:t>
      </w:r>
      <w:r w:rsidR="006F40FB">
        <w:rPr>
          <w:lang w:val="en-GB"/>
        </w:rPr>
        <w:t xml:space="preserve"> samples</w:t>
      </w:r>
      <w:r w:rsidR="003749F7">
        <w:rPr>
          <w:lang w:val="en-GB"/>
        </w:rPr>
        <w:t xml:space="preserve"> </w:t>
      </w:r>
      <w:r w:rsidR="006F40FB">
        <w:rPr>
          <w:lang w:val="en-GB"/>
        </w:rPr>
        <w:t>was slightly</w:t>
      </w:r>
      <w:r w:rsidR="00544500">
        <w:rPr>
          <w:lang w:val="en-GB"/>
        </w:rPr>
        <w:t xml:space="preserve"> brighter</w:t>
      </w:r>
      <w:r w:rsidR="00F66690">
        <w:rPr>
          <w:lang w:val="en-GB"/>
        </w:rPr>
        <w:t>,</w:t>
      </w:r>
      <w:r w:rsidR="0012655A" w:rsidRPr="0012655A">
        <w:rPr>
          <w:lang w:val="en-GB"/>
        </w:rPr>
        <w:t xml:space="preserve"> it can be concluded that </w:t>
      </w:r>
      <w:r w:rsidR="003A4A23">
        <w:rPr>
          <w:lang w:val="en-GB"/>
        </w:rPr>
        <w:t>using amine type catalyst</w:t>
      </w:r>
      <w:r w:rsidR="0012655A" w:rsidRPr="0012655A">
        <w:rPr>
          <w:lang w:val="en-GB"/>
        </w:rPr>
        <w:t xml:space="preserve"> is advantageous in terms of lighter colo</w:t>
      </w:r>
      <w:r w:rsidR="00D90567">
        <w:rPr>
          <w:lang w:val="en-GB"/>
        </w:rPr>
        <w:t>u</w:t>
      </w:r>
      <w:r w:rsidR="0012655A" w:rsidRPr="0012655A">
        <w:rPr>
          <w:lang w:val="en-GB"/>
        </w:rPr>
        <w:t>r.</w:t>
      </w:r>
      <w:r w:rsidR="009436ED">
        <w:rPr>
          <w:lang w:val="en-GB"/>
        </w:rPr>
        <w:t xml:space="preserve"> </w:t>
      </w:r>
      <w:r w:rsidR="00CD137D" w:rsidRPr="00CD137D">
        <w:rPr>
          <w:lang w:val="en-GB"/>
        </w:rPr>
        <w:t xml:space="preserve">In the case of </w:t>
      </w:r>
      <w:r w:rsidR="00CD137D">
        <w:rPr>
          <w:lang w:val="en-GB"/>
        </w:rPr>
        <w:t>UCO-</w:t>
      </w:r>
      <w:r w:rsidR="00CD137D" w:rsidRPr="00CD137D">
        <w:rPr>
          <w:lang w:val="en-GB"/>
        </w:rPr>
        <w:t xml:space="preserve">2 and </w:t>
      </w:r>
      <w:r w:rsidR="00CD137D">
        <w:rPr>
          <w:lang w:val="en-GB"/>
        </w:rPr>
        <w:t>UCO-</w:t>
      </w:r>
      <w:r w:rsidR="00CD137D" w:rsidRPr="00CD137D">
        <w:rPr>
          <w:lang w:val="en-GB"/>
        </w:rPr>
        <w:t>3</w:t>
      </w:r>
      <w:r w:rsidR="00CD137D">
        <w:rPr>
          <w:lang w:val="en-GB"/>
        </w:rPr>
        <w:t xml:space="preserve"> samples</w:t>
      </w:r>
      <w:r w:rsidR="00CD137D" w:rsidRPr="00CD137D">
        <w:rPr>
          <w:lang w:val="en-GB"/>
        </w:rPr>
        <w:t xml:space="preserve">, crystal precipitation was observed during cooling. This was filtered out of the samples, and then </w:t>
      </w:r>
      <w:r w:rsidR="0056304B">
        <w:rPr>
          <w:lang w:val="en-GB"/>
        </w:rPr>
        <w:t xml:space="preserve">identified as unreacted sulfur by </w:t>
      </w:r>
      <w:r w:rsidR="00CD137D" w:rsidRPr="00CD137D">
        <w:rPr>
          <w:lang w:val="en-GB"/>
        </w:rPr>
        <w:t xml:space="preserve">using </w:t>
      </w:r>
      <w:r w:rsidR="00CD137D">
        <w:rPr>
          <w:lang w:val="en-GB"/>
        </w:rPr>
        <w:t xml:space="preserve">X-Ray </w:t>
      </w:r>
      <w:r w:rsidR="009C248D" w:rsidRPr="009C248D">
        <w:rPr>
          <w:lang w:val="en-GB"/>
        </w:rPr>
        <w:t>fluorescence spectrometry</w:t>
      </w:r>
      <w:r w:rsidR="005E194D" w:rsidRPr="005E194D">
        <w:rPr>
          <w:lang w:val="en-GB"/>
        </w:rPr>
        <w:t>.</w:t>
      </w:r>
    </w:p>
    <w:p w14:paraId="5D80EBD9" w14:textId="1C897B74" w:rsidR="009F7C63" w:rsidRPr="00506ACA" w:rsidRDefault="009F7C63" w:rsidP="00203943">
      <w:pPr>
        <w:pStyle w:val="CETTabletitle"/>
        <w:spacing w:before="60"/>
      </w:pPr>
      <w:r w:rsidRPr="00506ACA">
        <w:t xml:space="preserve">Table </w:t>
      </w:r>
      <w:r w:rsidR="0012310B" w:rsidRPr="00506ACA">
        <w:t>4</w:t>
      </w:r>
      <w:r w:rsidRPr="00506ACA">
        <w:t xml:space="preserve">: </w:t>
      </w:r>
      <w:r w:rsidR="0012310B" w:rsidRPr="00506ACA">
        <w:t>Physico-chemical properties of the sulfurized samples (EP) based on used cooking oil</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937"/>
        <w:gridCol w:w="1589"/>
        <w:gridCol w:w="1252"/>
        <w:gridCol w:w="1252"/>
        <w:gridCol w:w="1252"/>
        <w:gridCol w:w="1252"/>
        <w:gridCol w:w="1253"/>
      </w:tblGrid>
      <w:tr w:rsidR="00506ACA" w:rsidRPr="00506ACA" w14:paraId="522DE50E" w14:textId="77777777" w:rsidTr="00AF7B07">
        <w:tc>
          <w:tcPr>
            <w:tcW w:w="937" w:type="dxa"/>
            <w:tcBorders>
              <w:top w:val="single" w:sz="12" w:space="0" w:color="008000"/>
              <w:bottom w:val="single" w:sz="6" w:space="0" w:color="008000"/>
            </w:tcBorders>
            <w:shd w:val="clear" w:color="auto" w:fill="FFFFFF"/>
            <w:vAlign w:val="center"/>
          </w:tcPr>
          <w:p w14:paraId="371C30B8" w14:textId="77777777" w:rsidR="009F7C63" w:rsidRPr="00506ACA" w:rsidRDefault="009F7C63" w:rsidP="00AF7B07">
            <w:pPr>
              <w:pStyle w:val="CETBodytext"/>
              <w:jc w:val="left"/>
              <w:rPr>
                <w:lang w:val="en-GB"/>
              </w:rPr>
            </w:pPr>
            <w:r w:rsidRPr="00506ACA">
              <w:rPr>
                <w:lang w:val="en-GB"/>
              </w:rPr>
              <w:t>Sulfurized sample</w:t>
            </w:r>
          </w:p>
        </w:tc>
        <w:tc>
          <w:tcPr>
            <w:tcW w:w="1589" w:type="dxa"/>
            <w:tcBorders>
              <w:top w:val="single" w:sz="12" w:space="0" w:color="008000"/>
              <w:bottom w:val="single" w:sz="6" w:space="0" w:color="008000"/>
            </w:tcBorders>
            <w:shd w:val="clear" w:color="auto" w:fill="FFFFFF"/>
            <w:vAlign w:val="center"/>
          </w:tcPr>
          <w:p w14:paraId="4F85CD06" w14:textId="40EDE4BB" w:rsidR="009F7C63" w:rsidRPr="00506ACA" w:rsidRDefault="009B3E7C" w:rsidP="00AF7B07">
            <w:pPr>
              <w:pStyle w:val="CETBodytext"/>
              <w:jc w:val="left"/>
              <w:rPr>
                <w:lang w:val="en-GB"/>
              </w:rPr>
            </w:pPr>
            <w:r>
              <w:rPr>
                <w:lang w:val="en-GB"/>
              </w:rPr>
              <w:t>Catalyst</w:t>
            </w:r>
            <w:r w:rsidR="0069641D" w:rsidRPr="00506ACA">
              <w:rPr>
                <w:lang w:val="en-GB"/>
              </w:rPr>
              <w:t xml:space="preserve"> type</w:t>
            </w:r>
          </w:p>
        </w:tc>
        <w:tc>
          <w:tcPr>
            <w:tcW w:w="1252" w:type="dxa"/>
            <w:tcBorders>
              <w:top w:val="single" w:sz="12" w:space="0" w:color="008000"/>
              <w:bottom w:val="single" w:sz="6" w:space="0" w:color="008000"/>
            </w:tcBorders>
            <w:shd w:val="clear" w:color="auto" w:fill="FFFFFF"/>
            <w:vAlign w:val="center"/>
          </w:tcPr>
          <w:p w14:paraId="5B173246" w14:textId="1BA92950" w:rsidR="009F7C63" w:rsidRPr="00506ACA" w:rsidRDefault="00DF6FF9" w:rsidP="00AF7B07">
            <w:pPr>
              <w:pStyle w:val="CETBodytext"/>
              <w:jc w:val="left"/>
              <w:rPr>
                <w:lang w:val="en-GB"/>
              </w:rPr>
            </w:pPr>
            <w:r w:rsidRPr="00506ACA">
              <w:rPr>
                <w:lang w:val="en-GB"/>
              </w:rPr>
              <w:t>ASTM colo</w:t>
            </w:r>
            <w:r w:rsidR="00AD53BB" w:rsidRPr="00506ACA">
              <w:rPr>
                <w:lang w:val="en-GB"/>
              </w:rPr>
              <w:t>ur grade</w:t>
            </w:r>
          </w:p>
        </w:tc>
        <w:tc>
          <w:tcPr>
            <w:tcW w:w="1252" w:type="dxa"/>
            <w:tcBorders>
              <w:top w:val="single" w:sz="12" w:space="0" w:color="008000"/>
              <w:bottom w:val="single" w:sz="6" w:space="0" w:color="008000"/>
            </w:tcBorders>
            <w:shd w:val="clear" w:color="auto" w:fill="FFFFFF"/>
            <w:vAlign w:val="center"/>
          </w:tcPr>
          <w:p w14:paraId="23F09221" w14:textId="77777777" w:rsidR="009F7C63" w:rsidRPr="00506ACA" w:rsidRDefault="009F7C63" w:rsidP="00AF7B07">
            <w:pPr>
              <w:pStyle w:val="CETBodytext"/>
              <w:jc w:val="left"/>
              <w:rPr>
                <w:lang w:val="en-GB"/>
              </w:rPr>
            </w:pPr>
            <w:r w:rsidRPr="00506ACA">
              <w:rPr>
                <w:lang w:val="en-GB"/>
              </w:rPr>
              <w:t>Kinematic viscosity at 40°C, mm</w:t>
            </w:r>
            <w:r w:rsidRPr="00506ACA">
              <w:rPr>
                <w:vertAlign w:val="superscript"/>
                <w:lang w:val="en-GB"/>
              </w:rPr>
              <w:t>2</w:t>
            </w:r>
            <w:r w:rsidRPr="00506ACA">
              <w:rPr>
                <w:lang w:val="en-GB"/>
              </w:rPr>
              <w:t>/s</w:t>
            </w:r>
          </w:p>
        </w:tc>
        <w:tc>
          <w:tcPr>
            <w:tcW w:w="1252" w:type="dxa"/>
            <w:tcBorders>
              <w:top w:val="single" w:sz="12" w:space="0" w:color="008000"/>
              <w:bottom w:val="single" w:sz="6" w:space="0" w:color="008000"/>
            </w:tcBorders>
            <w:shd w:val="clear" w:color="auto" w:fill="FFFFFF"/>
            <w:vAlign w:val="center"/>
          </w:tcPr>
          <w:p w14:paraId="5F22C8A3" w14:textId="77777777" w:rsidR="009F7C63" w:rsidRPr="00506ACA" w:rsidRDefault="009F7C63" w:rsidP="00AF7B07">
            <w:pPr>
              <w:pStyle w:val="CETBodytext"/>
              <w:jc w:val="left"/>
              <w:rPr>
                <w:lang w:val="en-GB"/>
              </w:rPr>
            </w:pPr>
            <w:r w:rsidRPr="00506ACA">
              <w:rPr>
                <w:lang w:val="en-GB"/>
              </w:rPr>
              <w:t>Kinematic viscosity at 100°C, mm</w:t>
            </w:r>
            <w:r w:rsidRPr="00506ACA">
              <w:rPr>
                <w:vertAlign w:val="superscript"/>
                <w:lang w:val="en-GB"/>
              </w:rPr>
              <w:t>2</w:t>
            </w:r>
            <w:r w:rsidRPr="00506ACA">
              <w:rPr>
                <w:lang w:val="en-GB"/>
              </w:rPr>
              <w:t>/s</w:t>
            </w:r>
          </w:p>
        </w:tc>
        <w:tc>
          <w:tcPr>
            <w:tcW w:w="1252" w:type="dxa"/>
            <w:tcBorders>
              <w:top w:val="single" w:sz="12" w:space="0" w:color="008000"/>
              <w:bottom w:val="single" w:sz="6" w:space="0" w:color="008000"/>
            </w:tcBorders>
            <w:shd w:val="clear" w:color="auto" w:fill="FFFFFF"/>
            <w:vAlign w:val="center"/>
          </w:tcPr>
          <w:p w14:paraId="54780E73" w14:textId="77777777" w:rsidR="009F7C63" w:rsidRPr="00506ACA" w:rsidRDefault="009F7C63" w:rsidP="00AF7B07">
            <w:pPr>
              <w:pStyle w:val="CETBodytext"/>
              <w:jc w:val="left"/>
              <w:rPr>
                <w:lang w:val="en-GB"/>
              </w:rPr>
            </w:pPr>
            <w:r w:rsidRPr="00506ACA">
              <w:rPr>
                <w:lang w:val="en-GB"/>
              </w:rPr>
              <w:t>Total sulfur content, wt%</w:t>
            </w:r>
          </w:p>
        </w:tc>
        <w:tc>
          <w:tcPr>
            <w:tcW w:w="1253" w:type="dxa"/>
            <w:tcBorders>
              <w:top w:val="single" w:sz="12" w:space="0" w:color="008000"/>
              <w:bottom w:val="single" w:sz="6" w:space="0" w:color="008000"/>
            </w:tcBorders>
            <w:shd w:val="clear" w:color="auto" w:fill="FFFFFF"/>
            <w:vAlign w:val="center"/>
          </w:tcPr>
          <w:p w14:paraId="1CCF2793" w14:textId="77777777" w:rsidR="009F7C63" w:rsidRPr="00506ACA" w:rsidRDefault="009F7C63" w:rsidP="00AF7B07">
            <w:pPr>
              <w:pStyle w:val="CETBodytext"/>
              <w:jc w:val="left"/>
              <w:rPr>
                <w:lang w:val="en-GB"/>
              </w:rPr>
            </w:pPr>
            <w:r w:rsidRPr="00506ACA">
              <w:rPr>
                <w:lang w:val="en-GB"/>
              </w:rPr>
              <w:t>Active sulfur content, wt%</w:t>
            </w:r>
          </w:p>
        </w:tc>
      </w:tr>
      <w:tr w:rsidR="00506ACA" w:rsidRPr="00506ACA" w14:paraId="6701422E" w14:textId="77777777" w:rsidTr="00AF7B07">
        <w:tc>
          <w:tcPr>
            <w:tcW w:w="937" w:type="dxa"/>
            <w:shd w:val="clear" w:color="auto" w:fill="FFFFFF"/>
            <w:vAlign w:val="center"/>
          </w:tcPr>
          <w:p w14:paraId="45B91BD5" w14:textId="18A73370" w:rsidR="00317707" w:rsidRPr="00506ACA" w:rsidRDefault="00317707" w:rsidP="00AF7B07">
            <w:pPr>
              <w:pStyle w:val="CETBodytext"/>
              <w:jc w:val="left"/>
              <w:rPr>
                <w:lang w:val="en-GB"/>
              </w:rPr>
            </w:pPr>
            <w:r w:rsidRPr="00506ACA">
              <w:rPr>
                <w:lang w:val="en-GB"/>
              </w:rPr>
              <w:t>UCO-1</w:t>
            </w:r>
          </w:p>
        </w:tc>
        <w:tc>
          <w:tcPr>
            <w:tcW w:w="1589" w:type="dxa"/>
            <w:shd w:val="clear" w:color="auto" w:fill="FFFFFF"/>
            <w:vAlign w:val="center"/>
          </w:tcPr>
          <w:p w14:paraId="2CD60EC4" w14:textId="14128239" w:rsidR="00317707" w:rsidRPr="00506ACA" w:rsidRDefault="00317707" w:rsidP="00AF7B07">
            <w:pPr>
              <w:pStyle w:val="CETBodytext"/>
              <w:jc w:val="left"/>
              <w:rPr>
                <w:lang w:val="en-GB"/>
              </w:rPr>
            </w:pPr>
            <w:r w:rsidRPr="00506ACA">
              <w:rPr>
                <w:lang w:val="en-GB"/>
              </w:rPr>
              <w:t>-</w:t>
            </w:r>
          </w:p>
        </w:tc>
        <w:tc>
          <w:tcPr>
            <w:tcW w:w="1252" w:type="dxa"/>
            <w:shd w:val="clear" w:color="auto" w:fill="FFFFFF"/>
            <w:vAlign w:val="center"/>
          </w:tcPr>
          <w:p w14:paraId="2B014155" w14:textId="4EDEBF35" w:rsidR="00317707" w:rsidRPr="00506ACA" w:rsidRDefault="00317707" w:rsidP="00AF7B07">
            <w:pPr>
              <w:pStyle w:val="CETBodytext"/>
              <w:jc w:val="left"/>
              <w:rPr>
                <w:lang w:val="en-GB"/>
              </w:rPr>
            </w:pPr>
            <w:r w:rsidRPr="00506ACA">
              <w:rPr>
                <w:lang w:val="en-GB"/>
              </w:rPr>
              <w:t>8.0</w:t>
            </w:r>
          </w:p>
        </w:tc>
        <w:tc>
          <w:tcPr>
            <w:tcW w:w="1252" w:type="dxa"/>
            <w:shd w:val="clear" w:color="auto" w:fill="FFFFFF"/>
            <w:vAlign w:val="center"/>
          </w:tcPr>
          <w:p w14:paraId="6A342255" w14:textId="336836EE" w:rsidR="00317707" w:rsidRPr="00506ACA" w:rsidRDefault="00317707" w:rsidP="00AF7B07">
            <w:pPr>
              <w:pStyle w:val="CETBodytext"/>
              <w:jc w:val="left"/>
              <w:rPr>
                <w:lang w:val="en-GB"/>
              </w:rPr>
            </w:pPr>
            <w:r w:rsidRPr="00506ACA">
              <w:t>271.6</w:t>
            </w:r>
          </w:p>
        </w:tc>
        <w:tc>
          <w:tcPr>
            <w:tcW w:w="1252" w:type="dxa"/>
            <w:shd w:val="clear" w:color="auto" w:fill="FFFFFF"/>
            <w:vAlign w:val="center"/>
          </w:tcPr>
          <w:p w14:paraId="6D160984" w14:textId="0DB11F09" w:rsidR="00317707" w:rsidRPr="00506ACA" w:rsidRDefault="00317707" w:rsidP="00AF7B07">
            <w:pPr>
              <w:pStyle w:val="CETBodytext"/>
              <w:jc w:val="left"/>
              <w:rPr>
                <w:lang w:val="en-GB"/>
              </w:rPr>
            </w:pPr>
            <w:r w:rsidRPr="00506ACA">
              <w:t>32.55</w:t>
            </w:r>
          </w:p>
        </w:tc>
        <w:tc>
          <w:tcPr>
            <w:tcW w:w="1252" w:type="dxa"/>
            <w:shd w:val="clear" w:color="auto" w:fill="FFFFFF"/>
            <w:vAlign w:val="center"/>
          </w:tcPr>
          <w:p w14:paraId="017809B6" w14:textId="69CE6E1E" w:rsidR="00317707" w:rsidRPr="00506ACA" w:rsidRDefault="00317707" w:rsidP="00AF7B07">
            <w:pPr>
              <w:pStyle w:val="CETBodytext"/>
              <w:jc w:val="left"/>
              <w:rPr>
                <w:lang w:val="en-GB"/>
              </w:rPr>
            </w:pPr>
            <w:r w:rsidRPr="00506ACA">
              <w:t>8.78</w:t>
            </w:r>
          </w:p>
        </w:tc>
        <w:tc>
          <w:tcPr>
            <w:tcW w:w="1253" w:type="dxa"/>
            <w:shd w:val="clear" w:color="auto" w:fill="FFFFFF"/>
            <w:vAlign w:val="center"/>
          </w:tcPr>
          <w:p w14:paraId="75194F39" w14:textId="0AC09884" w:rsidR="00317707" w:rsidRPr="00506ACA" w:rsidRDefault="00317707" w:rsidP="00AF7B07">
            <w:pPr>
              <w:pStyle w:val="CETBodytext"/>
              <w:jc w:val="left"/>
              <w:rPr>
                <w:lang w:val="en-GB"/>
              </w:rPr>
            </w:pPr>
            <w:r w:rsidRPr="00506ACA">
              <w:t>6.00</w:t>
            </w:r>
          </w:p>
        </w:tc>
      </w:tr>
      <w:tr w:rsidR="00506ACA" w:rsidRPr="00506ACA" w14:paraId="09C13815" w14:textId="77777777" w:rsidTr="00AF7B07">
        <w:tc>
          <w:tcPr>
            <w:tcW w:w="937" w:type="dxa"/>
            <w:shd w:val="clear" w:color="auto" w:fill="FFFFFF"/>
            <w:vAlign w:val="center"/>
          </w:tcPr>
          <w:p w14:paraId="3654C97C" w14:textId="61AC0C6D" w:rsidR="00317707" w:rsidRPr="00506ACA" w:rsidRDefault="00317707" w:rsidP="00AF7B07">
            <w:pPr>
              <w:pStyle w:val="CETBodytext"/>
              <w:ind w:right="-1"/>
              <w:jc w:val="left"/>
              <w:rPr>
                <w:rFonts w:cs="Arial"/>
                <w:szCs w:val="18"/>
                <w:lang w:val="en-GB"/>
              </w:rPr>
            </w:pPr>
            <w:r w:rsidRPr="00506ACA">
              <w:rPr>
                <w:rFonts w:cs="Arial"/>
                <w:szCs w:val="18"/>
                <w:lang w:val="en-GB"/>
              </w:rPr>
              <w:t>UCO-2</w:t>
            </w:r>
          </w:p>
        </w:tc>
        <w:tc>
          <w:tcPr>
            <w:tcW w:w="1589" w:type="dxa"/>
            <w:shd w:val="clear" w:color="auto" w:fill="FFFFFF"/>
            <w:vAlign w:val="center"/>
          </w:tcPr>
          <w:p w14:paraId="56F607DF" w14:textId="5A018245" w:rsidR="00317707" w:rsidRPr="00506ACA" w:rsidRDefault="00317707" w:rsidP="00AF7B07">
            <w:pPr>
              <w:pStyle w:val="CETBodytext"/>
              <w:ind w:right="-1"/>
              <w:jc w:val="left"/>
              <w:rPr>
                <w:rFonts w:cs="Arial"/>
                <w:szCs w:val="18"/>
                <w:lang w:val="en-GB"/>
              </w:rPr>
            </w:pPr>
            <w:r w:rsidRPr="00506ACA">
              <w:rPr>
                <w:rFonts w:cs="Arial"/>
                <w:szCs w:val="18"/>
                <w:lang w:val="en-GB"/>
              </w:rPr>
              <w:t>Acid</w:t>
            </w:r>
          </w:p>
        </w:tc>
        <w:tc>
          <w:tcPr>
            <w:tcW w:w="1252" w:type="dxa"/>
            <w:shd w:val="clear" w:color="auto" w:fill="FFFFFF"/>
            <w:vAlign w:val="center"/>
          </w:tcPr>
          <w:p w14:paraId="3798CC41" w14:textId="6230347A" w:rsidR="00317707" w:rsidRPr="00506ACA" w:rsidRDefault="00317707" w:rsidP="00AF7B07">
            <w:pPr>
              <w:pStyle w:val="CETBodytext"/>
              <w:ind w:right="-1"/>
              <w:jc w:val="left"/>
              <w:rPr>
                <w:rFonts w:cs="Arial"/>
                <w:szCs w:val="18"/>
                <w:lang w:val="en-GB"/>
              </w:rPr>
            </w:pPr>
            <w:r w:rsidRPr="00506ACA">
              <w:rPr>
                <w:rFonts w:cs="Arial"/>
                <w:szCs w:val="18"/>
                <w:lang w:val="en-GB"/>
              </w:rPr>
              <w:t>8.0</w:t>
            </w:r>
          </w:p>
        </w:tc>
        <w:tc>
          <w:tcPr>
            <w:tcW w:w="1252" w:type="dxa"/>
            <w:shd w:val="clear" w:color="auto" w:fill="FFFFFF"/>
            <w:vAlign w:val="center"/>
          </w:tcPr>
          <w:p w14:paraId="7BE0B612" w14:textId="4010218D" w:rsidR="00317707" w:rsidRPr="00506ACA" w:rsidRDefault="00317707" w:rsidP="00AF7B07">
            <w:pPr>
              <w:pStyle w:val="CETBodytext"/>
              <w:ind w:right="-1"/>
              <w:jc w:val="left"/>
              <w:rPr>
                <w:rFonts w:cs="Arial"/>
                <w:szCs w:val="18"/>
                <w:lang w:val="en-GB"/>
              </w:rPr>
            </w:pPr>
            <w:r w:rsidRPr="00506ACA">
              <w:t>202.6</w:t>
            </w:r>
          </w:p>
        </w:tc>
        <w:tc>
          <w:tcPr>
            <w:tcW w:w="1252" w:type="dxa"/>
            <w:shd w:val="clear" w:color="auto" w:fill="FFFFFF"/>
            <w:vAlign w:val="center"/>
          </w:tcPr>
          <w:p w14:paraId="76B5D648" w14:textId="2D5E7D43" w:rsidR="00317707" w:rsidRPr="00506ACA" w:rsidRDefault="00317707" w:rsidP="00AF7B07">
            <w:pPr>
              <w:pStyle w:val="CETBodytext"/>
              <w:ind w:right="-1"/>
              <w:jc w:val="left"/>
              <w:rPr>
                <w:rFonts w:cs="Arial"/>
                <w:szCs w:val="18"/>
                <w:lang w:val="en-GB"/>
              </w:rPr>
            </w:pPr>
            <w:r w:rsidRPr="00506ACA">
              <w:t>26.60</w:t>
            </w:r>
          </w:p>
        </w:tc>
        <w:tc>
          <w:tcPr>
            <w:tcW w:w="1252" w:type="dxa"/>
            <w:shd w:val="clear" w:color="auto" w:fill="FFFFFF"/>
            <w:vAlign w:val="center"/>
          </w:tcPr>
          <w:p w14:paraId="38EA9133" w14:textId="1248DDE2" w:rsidR="00317707" w:rsidRPr="00506ACA" w:rsidRDefault="00317707" w:rsidP="00AF7B07">
            <w:pPr>
              <w:pStyle w:val="CETBodytext"/>
              <w:ind w:right="-1"/>
              <w:jc w:val="left"/>
              <w:rPr>
                <w:rFonts w:cs="Arial"/>
                <w:szCs w:val="18"/>
                <w:lang w:val="en-GB"/>
              </w:rPr>
            </w:pPr>
            <w:r w:rsidRPr="00506ACA">
              <w:t>7.22</w:t>
            </w:r>
          </w:p>
        </w:tc>
        <w:tc>
          <w:tcPr>
            <w:tcW w:w="1253" w:type="dxa"/>
            <w:shd w:val="clear" w:color="auto" w:fill="FFFFFF"/>
            <w:vAlign w:val="center"/>
          </w:tcPr>
          <w:p w14:paraId="19D133E9" w14:textId="53E89A1F" w:rsidR="00317707" w:rsidRPr="00506ACA" w:rsidRDefault="00317707" w:rsidP="00AF7B07">
            <w:pPr>
              <w:pStyle w:val="CETBodytext"/>
              <w:ind w:right="-1"/>
              <w:jc w:val="left"/>
              <w:rPr>
                <w:rFonts w:cs="Arial"/>
                <w:szCs w:val="18"/>
                <w:lang w:val="en-GB"/>
              </w:rPr>
            </w:pPr>
            <w:r w:rsidRPr="00506ACA">
              <w:t>3.42</w:t>
            </w:r>
          </w:p>
        </w:tc>
      </w:tr>
      <w:tr w:rsidR="00506ACA" w:rsidRPr="00506ACA" w14:paraId="6992415E" w14:textId="77777777" w:rsidTr="00AF7B07">
        <w:tc>
          <w:tcPr>
            <w:tcW w:w="937" w:type="dxa"/>
            <w:shd w:val="clear" w:color="auto" w:fill="FFFFFF"/>
            <w:vAlign w:val="center"/>
          </w:tcPr>
          <w:p w14:paraId="54912737" w14:textId="1D68B69E" w:rsidR="00317707" w:rsidRPr="00506ACA" w:rsidRDefault="00317707" w:rsidP="00AF7B07">
            <w:pPr>
              <w:pStyle w:val="CETBodytext"/>
              <w:ind w:right="-1"/>
              <w:jc w:val="left"/>
              <w:rPr>
                <w:rFonts w:cs="Arial"/>
                <w:szCs w:val="18"/>
                <w:lang w:val="en-GB"/>
              </w:rPr>
            </w:pPr>
            <w:r w:rsidRPr="00506ACA">
              <w:rPr>
                <w:rFonts w:cs="Arial"/>
                <w:szCs w:val="18"/>
                <w:lang w:val="en-GB"/>
              </w:rPr>
              <w:t>UCO-3</w:t>
            </w:r>
          </w:p>
        </w:tc>
        <w:tc>
          <w:tcPr>
            <w:tcW w:w="1589" w:type="dxa"/>
            <w:shd w:val="clear" w:color="auto" w:fill="FFFFFF"/>
            <w:vAlign w:val="center"/>
          </w:tcPr>
          <w:p w14:paraId="3AEB7082" w14:textId="3CF3FB38" w:rsidR="00317707" w:rsidRPr="00506ACA" w:rsidRDefault="00317707" w:rsidP="00AF7B07">
            <w:pPr>
              <w:pStyle w:val="CETBodytext"/>
              <w:ind w:right="-1"/>
              <w:jc w:val="left"/>
              <w:rPr>
                <w:rFonts w:cs="Arial"/>
                <w:szCs w:val="18"/>
                <w:lang w:val="en-GB"/>
              </w:rPr>
            </w:pPr>
            <w:r w:rsidRPr="00506ACA">
              <w:rPr>
                <w:rFonts w:cs="Arial"/>
                <w:szCs w:val="18"/>
                <w:lang w:val="en-GB"/>
              </w:rPr>
              <w:t>Organic peroxide</w:t>
            </w:r>
          </w:p>
        </w:tc>
        <w:tc>
          <w:tcPr>
            <w:tcW w:w="1252" w:type="dxa"/>
            <w:shd w:val="clear" w:color="auto" w:fill="FFFFFF"/>
            <w:vAlign w:val="center"/>
          </w:tcPr>
          <w:p w14:paraId="7547EE5C" w14:textId="28B81EAC" w:rsidR="00317707" w:rsidRPr="00506ACA" w:rsidRDefault="00317707" w:rsidP="00AF7B07">
            <w:pPr>
              <w:pStyle w:val="CETBodytext"/>
              <w:ind w:right="-1"/>
              <w:jc w:val="left"/>
              <w:rPr>
                <w:rFonts w:cs="Arial"/>
                <w:szCs w:val="18"/>
                <w:lang w:val="en-GB"/>
              </w:rPr>
            </w:pPr>
            <w:r w:rsidRPr="00506ACA">
              <w:rPr>
                <w:rFonts w:cs="Arial"/>
                <w:szCs w:val="18"/>
                <w:lang w:val="en-GB"/>
              </w:rPr>
              <w:t>8.0</w:t>
            </w:r>
          </w:p>
        </w:tc>
        <w:tc>
          <w:tcPr>
            <w:tcW w:w="1252" w:type="dxa"/>
            <w:shd w:val="clear" w:color="auto" w:fill="FFFFFF"/>
            <w:vAlign w:val="center"/>
          </w:tcPr>
          <w:p w14:paraId="63903608" w14:textId="45E3F6F0" w:rsidR="00317707" w:rsidRPr="00506ACA" w:rsidRDefault="00317707" w:rsidP="00AF7B07">
            <w:pPr>
              <w:pStyle w:val="CETBodytext"/>
              <w:ind w:right="-1"/>
              <w:jc w:val="left"/>
              <w:rPr>
                <w:rFonts w:cs="Arial"/>
                <w:szCs w:val="18"/>
                <w:lang w:val="en-GB"/>
              </w:rPr>
            </w:pPr>
            <w:r w:rsidRPr="00506ACA">
              <w:t>267.5</w:t>
            </w:r>
          </w:p>
        </w:tc>
        <w:tc>
          <w:tcPr>
            <w:tcW w:w="1252" w:type="dxa"/>
            <w:shd w:val="clear" w:color="auto" w:fill="FFFFFF"/>
            <w:vAlign w:val="center"/>
          </w:tcPr>
          <w:p w14:paraId="2E75BF6D" w14:textId="7B56FF28" w:rsidR="00317707" w:rsidRPr="00506ACA" w:rsidRDefault="00317707" w:rsidP="00AF7B07">
            <w:pPr>
              <w:pStyle w:val="CETBodytext"/>
              <w:ind w:right="-1"/>
              <w:jc w:val="left"/>
              <w:rPr>
                <w:rFonts w:cs="Arial"/>
                <w:szCs w:val="18"/>
                <w:lang w:val="en-GB"/>
              </w:rPr>
            </w:pPr>
            <w:r w:rsidRPr="00506ACA">
              <w:t>33.30</w:t>
            </w:r>
          </w:p>
        </w:tc>
        <w:tc>
          <w:tcPr>
            <w:tcW w:w="1252" w:type="dxa"/>
            <w:shd w:val="clear" w:color="auto" w:fill="FFFFFF"/>
            <w:vAlign w:val="center"/>
          </w:tcPr>
          <w:p w14:paraId="763D8F5D" w14:textId="6FFD59E6" w:rsidR="00317707" w:rsidRPr="00506ACA" w:rsidRDefault="00317707" w:rsidP="00AF7B07">
            <w:pPr>
              <w:pStyle w:val="CETBodytext"/>
              <w:ind w:right="-1"/>
              <w:jc w:val="left"/>
              <w:rPr>
                <w:rFonts w:cs="Arial"/>
                <w:szCs w:val="18"/>
                <w:lang w:val="en-GB"/>
              </w:rPr>
            </w:pPr>
            <w:r w:rsidRPr="00506ACA">
              <w:t>8.36</w:t>
            </w:r>
          </w:p>
        </w:tc>
        <w:tc>
          <w:tcPr>
            <w:tcW w:w="1253" w:type="dxa"/>
            <w:shd w:val="clear" w:color="auto" w:fill="FFFFFF"/>
            <w:vAlign w:val="center"/>
          </w:tcPr>
          <w:p w14:paraId="32B1C9AA" w14:textId="0A67E652" w:rsidR="00317707" w:rsidRPr="00506ACA" w:rsidRDefault="00317707" w:rsidP="00AF7B07">
            <w:pPr>
              <w:pStyle w:val="CETBodytext"/>
              <w:ind w:right="-1"/>
              <w:jc w:val="left"/>
              <w:rPr>
                <w:rFonts w:cs="Arial"/>
                <w:szCs w:val="18"/>
                <w:lang w:val="en-GB"/>
              </w:rPr>
            </w:pPr>
            <w:r w:rsidRPr="00506ACA">
              <w:t>3.64</w:t>
            </w:r>
          </w:p>
        </w:tc>
      </w:tr>
      <w:tr w:rsidR="00506ACA" w:rsidRPr="00506ACA" w14:paraId="0BF8AB61" w14:textId="77777777" w:rsidTr="00AF7B07">
        <w:tc>
          <w:tcPr>
            <w:tcW w:w="937" w:type="dxa"/>
            <w:shd w:val="clear" w:color="auto" w:fill="FFFFFF"/>
            <w:vAlign w:val="center"/>
          </w:tcPr>
          <w:p w14:paraId="2AE29F59" w14:textId="4359F39E" w:rsidR="00317707" w:rsidRPr="00506ACA" w:rsidRDefault="00317707" w:rsidP="00AF7B07">
            <w:pPr>
              <w:pStyle w:val="CETBodytext"/>
              <w:ind w:right="-1"/>
              <w:jc w:val="left"/>
              <w:rPr>
                <w:rFonts w:cs="Arial"/>
                <w:szCs w:val="18"/>
                <w:lang w:val="en-GB"/>
              </w:rPr>
            </w:pPr>
            <w:r w:rsidRPr="00506ACA">
              <w:rPr>
                <w:rFonts w:cs="Arial"/>
                <w:szCs w:val="18"/>
                <w:lang w:val="en-GB"/>
              </w:rPr>
              <w:t>UCO-4</w:t>
            </w:r>
          </w:p>
        </w:tc>
        <w:tc>
          <w:tcPr>
            <w:tcW w:w="1589" w:type="dxa"/>
            <w:shd w:val="clear" w:color="auto" w:fill="FFFFFF"/>
            <w:vAlign w:val="center"/>
          </w:tcPr>
          <w:p w14:paraId="6EF25FBA" w14:textId="409977DC" w:rsidR="00317707" w:rsidRPr="00506ACA" w:rsidRDefault="00317707" w:rsidP="00AF7B07">
            <w:pPr>
              <w:pStyle w:val="CETBodytext"/>
              <w:ind w:right="-1"/>
              <w:jc w:val="left"/>
              <w:rPr>
                <w:rFonts w:cs="Arial"/>
                <w:szCs w:val="18"/>
                <w:lang w:val="en-GB"/>
              </w:rPr>
            </w:pPr>
            <w:r w:rsidRPr="00506ACA">
              <w:rPr>
                <w:rFonts w:cs="Arial"/>
                <w:szCs w:val="18"/>
                <w:lang w:val="en-GB"/>
              </w:rPr>
              <w:t>Amine 1</w:t>
            </w:r>
          </w:p>
        </w:tc>
        <w:tc>
          <w:tcPr>
            <w:tcW w:w="1252" w:type="dxa"/>
            <w:shd w:val="clear" w:color="auto" w:fill="FFFFFF"/>
            <w:vAlign w:val="center"/>
          </w:tcPr>
          <w:p w14:paraId="634F6638" w14:textId="74B526F6" w:rsidR="00317707" w:rsidRPr="00506ACA" w:rsidRDefault="00317707" w:rsidP="00AF7B07">
            <w:pPr>
              <w:pStyle w:val="CETBodytext"/>
              <w:ind w:right="-1"/>
              <w:jc w:val="left"/>
              <w:rPr>
                <w:rFonts w:cs="Arial"/>
                <w:szCs w:val="18"/>
                <w:lang w:val="en-GB"/>
              </w:rPr>
            </w:pPr>
            <w:r w:rsidRPr="00506ACA">
              <w:rPr>
                <w:rFonts w:cs="Arial"/>
                <w:szCs w:val="18"/>
                <w:lang w:val="en-GB"/>
              </w:rPr>
              <w:t>7.5</w:t>
            </w:r>
          </w:p>
        </w:tc>
        <w:tc>
          <w:tcPr>
            <w:tcW w:w="1252" w:type="dxa"/>
            <w:shd w:val="clear" w:color="auto" w:fill="FFFFFF"/>
            <w:vAlign w:val="center"/>
          </w:tcPr>
          <w:p w14:paraId="781151B9" w14:textId="5585316C" w:rsidR="00317707" w:rsidRPr="00506ACA" w:rsidRDefault="00317707" w:rsidP="00AF7B07">
            <w:pPr>
              <w:pStyle w:val="CETBodytext"/>
              <w:ind w:right="-1"/>
              <w:jc w:val="left"/>
              <w:rPr>
                <w:rFonts w:cs="Arial"/>
                <w:szCs w:val="18"/>
                <w:lang w:val="en-GB"/>
              </w:rPr>
            </w:pPr>
            <w:r w:rsidRPr="00506ACA">
              <w:t>494.2</w:t>
            </w:r>
          </w:p>
        </w:tc>
        <w:tc>
          <w:tcPr>
            <w:tcW w:w="1252" w:type="dxa"/>
            <w:shd w:val="clear" w:color="auto" w:fill="FFFFFF"/>
            <w:vAlign w:val="center"/>
          </w:tcPr>
          <w:p w14:paraId="4B792F2D" w14:textId="15DE74D7" w:rsidR="00317707" w:rsidRPr="00506ACA" w:rsidRDefault="00317707" w:rsidP="00AF7B07">
            <w:pPr>
              <w:pStyle w:val="CETBodytext"/>
              <w:ind w:right="-1"/>
              <w:jc w:val="left"/>
              <w:rPr>
                <w:rFonts w:cs="Arial"/>
                <w:szCs w:val="18"/>
                <w:lang w:val="en-GB"/>
              </w:rPr>
            </w:pPr>
            <w:r w:rsidRPr="00506ACA">
              <w:t>52.58</w:t>
            </w:r>
          </w:p>
        </w:tc>
        <w:tc>
          <w:tcPr>
            <w:tcW w:w="1252" w:type="dxa"/>
            <w:shd w:val="clear" w:color="auto" w:fill="FFFFFF"/>
            <w:vAlign w:val="center"/>
          </w:tcPr>
          <w:p w14:paraId="0313ACB0" w14:textId="63762578" w:rsidR="00317707" w:rsidRPr="00506ACA" w:rsidRDefault="00317707" w:rsidP="00AF7B07">
            <w:pPr>
              <w:pStyle w:val="CETBodytext"/>
              <w:ind w:right="-1"/>
              <w:jc w:val="left"/>
              <w:rPr>
                <w:rFonts w:cs="Arial"/>
                <w:szCs w:val="18"/>
                <w:lang w:val="en-GB"/>
              </w:rPr>
            </w:pPr>
            <w:r w:rsidRPr="00506ACA">
              <w:t>8.92</w:t>
            </w:r>
          </w:p>
        </w:tc>
        <w:tc>
          <w:tcPr>
            <w:tcW w:w="1253" w:type="dxa"/>
            <w:shd w:val="clear" w:color="auto" w:fill="FFFFFF"/>
            <w:vAlign w:val="center"/>
          </w:tcPr>
          <w:p w14:paraId="24D49F86" w14:textId="22096DAA" w:rsidR="00317707" w:rsidRPr="00506ACA" w:rsidRDefault="00317707" w:rsidP="00AF7B07">
            <w:pPr>
              <w:pStyle w:val="CETBodytext"/>
              <w:ind w:right="-1"/>
              <w:jc w:val="left"/>
              <w:rPr>
                <w:rFonts w:cs="Arial"/>
                <w:szCs w:val="18"/>
                <w:lang w:val="en-GB"/>
              </w:rPr>
            </w:pPr>
            <w:r w:rsidRPr="00506ACA">
              <w:t>2.14</w:t>
            </w:r>
          </w:p>
        </w:tc>
      </w:tr>
      <w:tr w:rsidR="00506ACA" w:rsidRPr="00506ACA" w14:paraId="4C6B0F91" w14:textId="77777777" w:rsidTr="00AF7B07">
        <w:tc>
          <w:tcPr>
            <w:tcW w:w="937" w:type="dxa"/>
            <w:shd w:val="clear" w:color="auto" w:fill="FFFFFF"/>
            <w:vAlign w:val="center"/>
          </w:tcPr>
          <w:p w14:paraId="5DD36E98" w14:textId="39279EDC" w:rsidR="00317707" w:rsidRPr="00506ACA" w:rsidRDefault="00317707" w:rsidP="00AF7B07">
            <w:pPr>
              <w:pStyle w:val="CETBodytext"/>
              <w:ind w:right="-1"/>
              <w:jc w:val="left"/>
              <w:rPr>
                <w:rFonts w:cs="Arial"/>
                <w:szCs w:val="18"/>
                <w:lang w:val="en-GB"/>
              </w:rPr>
            </w:pPr>
            <w:r w:rsidRPr="00506ACA">
              <w:rPr>
                <w:rFonts w:cs="Arial"/>
                <w:szCs w:val="18"/>
                <w:lang w:val="en-GB"/>
              </w:rPr>
              <w:t>UCO-5</w:t>
            </w:r>
          </w:p>
        </w:tc>
        <w:tc>
          <w:tcPr>
            <w:tcW w:w="1589" w:type="dxa"/>
            <w:shd w:val="clear" w:color="auto" w:fill="FFFFFF"/>
            <w:vAlign w:val="center"/>
          </w:tcPr>
          <w:p w14:paraId="1956E702" w14:textId="5EAC0920" w:rsidR="00317707" w:rsidRPr="00506ACA" w:rsidRDefault="00317707" w:rsidP="00AF7B07">
            <w:pPr>
              <w:pStyle w:val="CETBodytext"/>
              <w:ind w:right="-1"/>
              <w:jc w:val="left"/>
              <w:rPr>
                <w:rFonts w:cs="Arial"/>
                <w:szCs w:val="18"/>
                <w:lang w:val="en-GB"/>
              </w:rPr>
            </w:pPr>
            <w:r w:rsidRPr="00506ACA">
              <w:rPr>
                <w:rFonts w:cs="Arial"/>
                <w:szCs w:val="18"/>
                <w:lang w:val="en-GB"/>
              </w:rPr>
              <w:t>Sulfide</w:t>
            </w:r>
          </w:p>
        </w:tc>
        <w:tc>
          <w:tcPr>
            <w:tcW w:w="1252" w:type="dxa"/>
            <w:shd w:val="clear" w:color="auto" w:fill="FFFFFF"/>
            <w:vAlign w:val="center"/>
          </w:tcPr>
          <w:p w14:paraId="35E8F146" w14:textId="713A1AEF" w:rsidR="00317707" w:rsidRPr="00506ACA" w:rsidRDefault="00317707" w:rsidP="00AF7B07">
            <w:pPr>
              <w:pStyle w:val="CETBodytext"/>
              <w:ind w:right="-1"/>
              <w:jc w:val="left"/>
              <w:rPr>
                <w:rFonts w:cs="Arial"/>
                <w:szCs w:val="18"/>
                <w:lang w:val="en-GB"/>
              </w:rPr>
            </w:pPr>
            <w:r w:rsidRPr="00506ACA">
              <w:rPr>
                <w:rFonts w:cs="Arial"/>
                <w:szCs w:val="18"/>
                <w:lang w:val="en-GB"/>
              </w:rPr>
              <w:t>8.0</w:t>
            </w:r>
          </w:p>
        </w:tc>
        <w:tc>
          <w:tcPr>
            <w:tcW w:w="1252" w:type="dxa"/>
            <w:shd w:val="clear" w:color="auto" w:fill="FFFFFF"/>
            <w:vAlign w:val="center"/>
          </w:tcPr>
          <w:p w14:paraId="447CD116" w14:textId="71C5ED13" w:rsidR="00317707" w:rsidRPr="00506ACA" w:rsidRDefault="00317707" w:rsidP="00AF7B07">
            <w:pPr>
              <w:pStyle w:val="CETBodytext"/>
              <w:ind w:right="-1"/>
              <w:jc w:val="left"/>
              <w:rPr>
                <w:rFonts w:cs="Arial"/>
                <w:szCs w:val="18"/>
                <w:lang w:val="en-GB"/>
              </w:rPr>
            </w:pPr>
            <w:r w:rsidRPr="00506ACA">
              <w:t>583.9</w:t>
            </w:r>
          </w:p>
        </w:tc>
        <w:tc>
          <w:tcPr>
            <w:tcW w:w="1252" w:type="dxa"/>
            <w:shd w:val="clear" w:color="auto" w:fill="FFFFFF"/>
            <w:vAlign w:val="center"/>
          </w:tcPr>
          <w:p w14:paraId="036E1DDA" w14:textId="18B7B7E6" w:rsidR="00317707" w:rsidRPr="00506ACA" w:rsidRDefault="00317707" w:rsidP="00AF7B07">
            <w:pPr>
              <w:pStyle w:val="CETBodytext"/>
              <w:ind w:right="-1"/>
              <w:jc w:val="left"/>
              <w:rPr>
                <w:rFonts w:cs="Arial"/>
                <w:szCs w:val="18"/>
                <w:lang w:val="en-GB"/>
              </w:rPr>
            </w:pPr>
            <w:r w:rsidRPr="00506ACA">
              <w:t>58.82</w:t>
            </w:r>
          </w:p>
        </w:tc>
        <w:tc>
          <w:tcPr>
            <w:tcW w:w="1252" w:type="dxa"/>
            <w:shd w:val="clear" w:color="auto" w:fill="FFFFFF"/>
            <w:vAlign w:val="center"/>
          </w:tcPr>
          <w:p w14:paraId="327BD40A" w14:textId="75A0FAE1" w:rsidR="00317707" w:rsidRPr="00506ACA" w:rsidRDefault="00317707" w:rsidP="00AF7B07">
            <w:pPr>
              <w:pStyle w:val="CETBodytext"/>
              <w:ind w:right="-1"/>
              <w:jc w:val="left"/>
              <w:rPr>
                <w:rFonts w:cs="Arial"/>
                <w:szCs w:val="18"/>
                <w:lang w:val="en-GB"/>
              </w:rPr>
            </w:pPr>
            <w:r w:rsidRPr="00506ACA">
              <w:t>9.65</w:t>
            </w:r>
          </w:p>
        </w:tc>
        <w:tc>
          <w:tcPr>
            <w:tcW w:w="1253" w:type="dxa"/>
            <w:shd w:val="clear" w:color="auto" w:fill="FFFFFF"/>
            <w:vAlign w:val="center"/>
          </w:tcPr>
          <w:p w14:paraId="5382650A" w14:textId="259E50AB" w:rsidR="00317707" w:rsidRPr="00506ACA" w:rsidRDefault="00317707" w:rsidP="00AF7B07">
            <w:pPr>
              <w:pStyle w:val="CETBodytext"/>
              <w:ind w:right="-1"/>
              <w:jc w:val="left"/>
              <w:rPr>
                <w:rFonts w:cs="Arial"/>
                <w:szCs w:val="18"/>
                <w:lang w:val="en-GB"/>
              </w:rPr>
            </w:pPr>
            <w:r w:rsidRPr="00506ACA">
              <w:t>5.04</w:t>
            </w:r>
          </w:p>
        </w:tc>
      </w:tr>
      <w:tr w:rsidR="00506ACA" w:rsidRPr="00506ACA" w14:paraId="51EF9A16" w14:textId="77777777" w:rsidTr="00AF7B07">
        <w:tc>
          <w:tcPr>
            <w:tcW w:w="937" w:type="dxa"/>
            <w:shd w:val="clear" w:color="auto" w:fill="FFFFFF"/>
            <w:vAlign w:val="center"/>
          </w:tcPr>
          <w:p w14:paraId="42410CD6" w14:textId="624F180D" w:rsidR="00317707" w:rsidRPr="00506ACA" w:rsidRDefault="00317707" w:rsidP="00AF7B07">
            <w:pPr>
              <w:pStyle w:val="CETBodytext"/>
              <w:ind w:right="-1"/>
              <w:jc w:val="left"/>
              <w:rPr>
                <w:lang w:val="en-GB"/>
              </w:rPr>
            </w:pPr>
            <w:r w:rsidRPr="00506ACA">
              <w:rPr>
                <w:lang w:val="en-GB"/>
              </w:rPr>
              <w:t>UCO-6</w:t>
            </w:r>
          </w:p>
        </w:tc>
        <w:tc>
          <w:tcPr>
            <w:tcW w:w="1589" w:type="dxa"/>
            <w:shd w:val="clear" w:color="auto" w:fill="FFFFFF"/>
            <w:vAlign w:val="center"/>
          </w:tcPr>
          <w:p w14:paraId="227345C1" w14:textId="3E7B727C" w:rsidR="00317707" w:rsidRPr="00506ACA" w:rsidRDefault="00317707" w:rsidP="00AF7B07">
            <w:pPr>
              <w:pStyle w:val="CETBodytext"/>
              <w:ind w:right="-1"/>
              <w:jc w:val="left"/>
              <w:rPr>
                <w:lang w:val="en-GB"/>
              </w:rPr>
            </w:pPr>
            <w:r w:rsidRPr="00506ACA">
              <w:rPr>
                <w:lang w:val="en-GB"/>
              </w:rPr>
              <w:t>Amine 2</w:t>
            </w:r>
          </w:p>
        </w:tc>
        <w:tc>
          <w:tcPr>
            <w:tcW w:w="1252" w:type="dxa"/>
            <w:shd w:val="clear" w:color="auto" w:fill="FFFFFF"/>
            <w:vAlign w:val="center"/>
          </w:tcPr>
          <w:p w14:paraId="3B47BF93" w14:textId="35B60C06" w:rsidR="00317707" w:rsidRPr="00506ACA" w:rsidRDefault="00317707" w:rsidP="00AF7B07">
            <w:pPr>
              <w:pStyle w:val="CETBodytext"/>
              <w:ind w:right="-1"/>
              <w:jc w:val="left"/>
              <w:rPr>
                <w:lang w:val="en-GB"/>
              </w:rPr>
            </w:pPr>
            <w:r w:rsidRPr="00506ACA">
              <w:rPr>
                <w:lang w:val="en-GB"/>
              </w:rPr>
              <w:t>7.5</w:t>
            </w:r>
          </w:p>
        </w:tc>
        <w:tc>
          <w:tcPr>
            <w:tcW w:w="1252" w:type="dxa"/>
            <w:shd w:val="clear" w:color="auto" w:fill="FFFFFF"/>
            <w:vAlign w:val="center"/>
          </w:tcPr>
          <w:p w14:paraId="4A8D48A9" w14:textId="5124E0DF" w:rsidR="00317707" w:rsidRPr="00506ACA" w:rsidRDefault="00317707" w:rsidP="00AF7B07">
            <w:pPr>
              <w:pStyle w:val="CETBodytext"/>
              <w:ind w:right="-1"/>
              <w:jc w:val="left"/>
              <w:rPr>
                <w:lang w:val="en-GB"/>
              </w:rPr>
            </w:pPr>
            <w:r w:rsidRPr="00506ACA">
              <w:t>501.3</w:t>
            </w:r>
          </w:p>
        </w:tc>
        <w:tc>
          <w:tcPr>
            <w:tcW w:w="1252" w:type="dxa"/>
            <w:shd w:val="clear" w:color="auto" w:fill="FFFFFF"/>
            <w:vAlign w:val="center"/>
          </w:tcPr>
          <w:p w14:paraId="29296891" w14:textId="104822EF" w:rsidR="00317707" w:rsidRPr="00506ACA" w:rsidRDefault="00317707" w:rsidP="00AF7B07">
            <w:pPr>
              <w:pStyle w:val="CETBodytext"/>
              <w:ind w:right="-1"/>
              <w:jc w:val="left"/>
              <w:rPr>
                <w:lang w:val="en-GB"/>
              </w:rPr>
            </w:pPr>
            <w:r w:rsidRPr="00506ACA">
              <w:t>53.15</w:t>
            </w:r>
          </w:p>
        </w:tc>
        <w:tc>
          <w:tcPr>
            <w:tcW w:w="1252" w:type="dxa"/>
            <w:shd w:val="clear" w:color="auto" w:fill="FFFFFF"/>
            <w:vAlign w:val="center"/>
          </w:tcPr>
          <w:p w14:paraId="349D4F1B" w14:textId="24BF8EEC" w:rsidR="00317707" w:rsidRPr="00506ACA" w:rsidRDefault="00317707" w:rsidP="00AF7B07">
            <w:pPr>
              <w:pStyle w:val="CETBodytext"/>
              <w:ind w:right="-1"/>
              <w:jc w:val="left"/>
              <w:rPr>
                <w:lang w:val="en-GB"/>
              </w:rPr>
            </w:pPr>
            <w:r w:rsidRPr="00506ACA">
              <w:t>8.95</w:t>
            </w:r>
          </w:p>
        </w:tc>
        <w:tc>
          <w:tcPr>
            <w:tcW w:w="1253" w:type="dxa"/>
            <w:shd w:val="clear" w:color="auto" w:fill="FFFFFF"/>
            <w:vAlign w:val="center"/>
          </w:tcPr>
          <w:p w14:paraId="11F07CC7" w14:textId="44C6FED9" w:rsidR="00317707" w:rsidRPr="00506ACA" w:rsidRDefault="00317707" w:rsidP="00AF7B07">
            <w:pPr>
              <w:pStyle w:val="CETBodytext"/>
              <w:ind w:right="-1"/>
              <w:jc w:val="left"/>
              <w:rPr>
                <w:lang w:val="en-GB"/>
              </w:rPr>
            </w:pPr>
            <w:r w:rsidRPr="00506ACA">
              <w:t>2.55</w:t>
            </w:r>
          </w:p>
        </w:tc>
      </w:tr>
    </w:tbl>
    <w:p w14:paraId="5814E1D2" w14:textId="64063DDF" w:rsidR="00506ACA" w:rsidRPr="00506ACA" w:rsidRDefault="00A85CBB" w:rsidP="00203943">
      <w:pPr>
        <w:pStyle w:val="CETBodytext"/>
        <w:spacing w:before="60" w:after="60"/>
        <w:rPr>
          <w:lang w:val="en-GB"/>
        </w:rPr>
      </w:pPr>
      <w:r w:rsidRPr="00A85CBB">
        <w:rPr>
          <w:lang w:val="en-GB"/>
        </w:rPr>
        <w:t xml:space="preserve">The kinematic viscosity of the samples </w:t>
      </w:r>
      <w:r w:rsidR="00192DF5">
        <w:rPr>
          <w:lang w:val="en-GB"/>
        </w:rPr>
        <w:t>is</w:t>
      </w:r>
      <w:r w:rsidRPr="00A85CBB">
        <w:rPr>
          <w:lang w:val="en-GB"/>
        </w:rPr>
        <w:t xml:space="preserve"> direct</w:t>
      </w:r>
      <w:r w:rsidR="00192DF5">
        <w:rPr>
          <w:lang w:val="en-GB"/>
        </w:rPr>
        <w:t>ly</w:t>
      </w:r>
      <w:r w:rsidRPr="00A85CBB">
        <w:rPr>
          <w:lang w:val="en-GB"/>
        </w:rPr>
        <w:t xml:space="preserve"> proportion</w:t>
      </w:r>
      <w:r w:rsidR="00192DF5">
        <w:rPr>
          <w:lang w:val="en-GB"/>
        </w:rPr>
        <w:t>al</w:t>
      </w:r>
      <w:r w:rsidRPr="00A85CBB">
        <w:rPr>
          <w:lang w:val="en-GB"/>
        </w:rPr>
        <w:t xml:space="preserve"> to the total sulfur content incorporated into their structure. The reason for this is that the more sulfur forms intermolecular bonds between triglyceride molecules, the larger molecules are formed.</w:t>
      </w:r>
      <w:r>
        <w:rPr>
          <w:lang w:val="en-GB"/>
        </w:rPr>
        <w:t xml:space="preserve"> </w:t>
      </w:r>
      <w:r w:rsidRPr="00A85CBB">
        <w:rPr>
          <w:lang w:val="en-GB"/>
        </w:rPr>
        <w:t>The two lowest active sulfur content values</w:t>
      </w:r>
      <w:r w:rsidR="00775A36">
        <w:rPr>
          <w:lang w:val="en-GB"/>
        </w:rPr>
        <w:t xml:space="preserve"> </w:t>
      </w:r>
      <w:r w:rsidRPr="00A85CBB">
        <w:rPr>
          <w:lang w:val="en-GB"/>
        </w:rPr>
        <w:t xml:space="preserve">were determined for </w:t>
      </w:r>
      <w:r w:rsidR="00775A36">
        <w:rPr>
          <w:lang w:val="en-GB"/>
        </w:rPr>
        <w:t>UCO-</w:t>
      </w:r>
      <w:r w:rsidRPr="00A85CBB">
        <w:rPr>
          <w:lang w:val="en-GB"/>
        </w:rPr>
        <w:t xml:space="preserve">4 and </w:t>
      </w:r>
      <w:r w:rsidR="00775A36">
        <w:rPr>
          <w:lang w:val="en-GB"/>
        </w:rPr>
        <w:t>UCO-</w:t>
      </w:r>
      <w:r w:rsidRPr="00A85CBB">
        <w:rPr>
          <w:lang w:val="en-GB"/>
        </w:rPr>
        <w:t>6</w:t>
      </w:r>
      <w:r w:rsidR="00BF40FC">
        <w:rPr>
          <w:lang w:val="en-GB"/>
        </w:rPr>
        <w:t xml:space="preserve">. In both cases, </w:t>
      </w:r>
      <w:r w:rsidRPr="00A85CBB">
        <w:rPr>
          <w:lang w:val="en-GB"/>
        </w:rPr>
        <w:t>an amine type catalyst was used.</w:t>
      </w:r>
      <w:r w:rsidR="00EA0AFE">
        <w:rPr>
          <w:lang w:val="en-GB"/>
        </w:rPr>
        <w:t xml:space="preserve"> </w:t>
      </w:r>
      <w:r w:rsidRPr="00A85CBB">
        <w:rPr>
          <w:lang w:val="en-GB"/>
        </w:rPr>
        <w:t xml:space="preserve">The lower total sulfur content of </w:t>
      </w:r>
      <w:r w:rsidR="00BF40FC">
        <w:rPr>
          <w:lang w:val="en-GB"/>
        </w:rPr>
        <w:t>UCO-2</w:t>
      </w:r>
      <w:r w:rsidRPr="00A85CBB">
        <w:rPr>
          <w:lang w:val="en-GB"/>
        </w:rPr>
        <w:t xml:space="preserve"> and </w:t>
      </w:r>
      <w:r w:rsidR="00BF40FC">
        <w:rPr>
          <w:lang w:val="en-GB"/>
        </w:rPr>
        <w:t>UCO-3</w:t>
      </w:r>
      <w:r w:rsidRPr="00A85CBB">
        <w:rPr>
          <w:lang w:val="en-GB"/>
        </w:rPr>
        <w:t xml:space="preserve"> was caused by the previously mentioned filter</w:t>
      </w:r>
      <w:r w:rsidR="00A23522">
        <w:rPr>
          <w:lang w:val="en-GB"/>
        </w:rPr>
        <w:t>ing process</w:t>
      </w:r>
      <w:r w:rsidRPr="00A85CBB">
        <w:rPr>
          <w:lang w:val="en-GB"/>
        </w:rPr>
        <w:t>.</w:t>
      </w:r>
      <w:r w:rsidR="002B69C1">
        <w:rPr>
          <w:lang w:val="en-GB"/>
        </w:rPr>
        <w:t xml:space="preserve"> </w:t>
      </w:r>
      <w:r w:rsidR="00823CC0">
        <w:rPr>
          <w:lang w:val="en-GB"/>
        </w:rPr>
        <w:t>O</w:t>
      </w:r>
      <w:r w:rsidR="002B69C1" w:rsidRPr="002B69C1">
        <w:rPr>
          <w:lang w:val="en-GB"/>
        </w:rPr>
        <w:t xml:space="preserve">n Figure </w:t>
      </w:r>
      <w:r w:rsidR="000A5F77">
        <w:rPr>
          <w:lang w:val="en-GB"/>
        </w:rPr>
        <w:t>1</w:t>
      </w:r>
      <w:r w:rsidR="002B69C1" w:rsidRPr="002B69C1">
        <w:rPr>
          <w:lang w:val="en-GB"/>
        </w:rPr>
        <w:t xml:space="preserve">, the kinematic viscosity, the total and the active sulfur content of the sulfurized </w:t>
      </w:r>
      <w:r w:rsidR="002B69C1">
        <w:rPr>
          <w:lang w:val="en-GB"/>
        </w:rPr>
        <w:t>used cooking</w:t>
      </w:r>
      <w:r w:rsidR="002B69C1" w:rsidRPr="002B69C1">
        <w:rPr>
          <w:lang w:val="en-GB"/>
        </w:rPr>
        <w:t xml:space="preserve"> oil additive samples are shown.</w:t>
      </w:r>
    </w:p>
    <w:p w14:paraId="2D16D8B6" w14:textId="028ED78E" w:rsidR="00203943" w:rsidRPr="00642A4F" w:rsidRDefault="007C7DA8" w:rsidP="007C7DA8">
      <w:pPr>
        <w:pStyle w:val="CETBodytext"/>
        <w:spacing w:before="120" w:after="60"/>
        <w:rPr>
          <w:lang w:val="en-GB"/>
        </w:rPr>
      </w:pPr>
      <w:r>
        <w:rPr>
          <w:noProof/>
          <w:lang w:val="en-GB"/>
        </w:rPr>
        <w:drawing>
          <wp:inline distT="0" distB="0" distL="0" distR="0" wp14:anchorId="6F66B8BD" wp14:editId="5E4EAEB0">
            <wp:extent cx="3068348" cy="2124000"/>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8348" cy="2124000"/>
                    </a:xfrm>
                    <a:prstGeom prst="rect">
                      <a:avLst/>
                    </a:prstGeom>
                    <a:noFill/>
                  </pic:spPr>
                </pic:pic>
              </a:graphicData>
            </a:graphic>
          </wp:inline>
        </w:drawing>
      </w:r>
    </w:p>
    <w:p w14:paraId="6821AFEB" w14:textId="66EF8655" w:rsidR="007C7DA8" w:rsidRDefault="007C7DA8" w:rsidP="005F3D13">
      <w:pPr>
        <w:pStyle w:val="CETCaption"/>
        <w:spacing w:before="80" w:after="120"/>
        <w:rPr>
          <w:rStyle w:val="CETCaptionCarattere"/>
          <w:i/>
        </w:rPr>
      </w:pPr>
      <w:r w:rsidRPr="00642A4F">
        <w:rPr>
          <w:rStyle w:val="CETCaptionCarattere"/>
          <w:i/>
        </w:rPr>
        <w:t xml:space="preserve">Figure </w:t>
      </w:r>
      <w:r w:rsidR="000A5F77">
        <w:rPr>
          <w:rStyle w:val="CETCaptionCarattere"/>
          <w:i/>
        </w:rPr>
        <w:t>1</w:t>
      </w:r>
      <w:r w:rsidRPr="00642A4F">
        <w:rPr>
          <w:rStyle w:val="CETCaptionCarattere"/>
          <w:i/>
        </w:rPr>
        <w:t>: The</w:t>
      </w:r>
      <w:r>
        <w:rPr>
          <w:rStyle w:val="CETCaptionCarattere"/>
          <w:i/>
        </w:rPr>
        <w:t xml:space="preserve"> kinematic viscosity, the total sulfur content</w:t>
      </w:r>
      <w:r w:rsidRPr="00642A4F">
        <w:rPr>
          <w:rStyle w:val="CETCaptionCarattere"/>
          <w:i/>
        </w:rPr>
        <w:t xml:space="preserve"> </w:t>
      </w:r>
      <w:r>
        <w:rPr>
          <w:rStyle w:val="CETCaptionCarattere"/>
          <w:i/>
        </w:rPr>
        <w:t xml:space="preserve">and the active sulfur content </w:t>
      </w:r>
      <w:r w:rsidRPr="00642A4F">
        <w:rPr>
          <w:rStyle w:val="CETCaptionCarattere"/>
          <w:i/>
        </w:rPr>
        <w:t xml:space="preserve">of the </w:t>
      </w:r>
      <w:r>
        <w:rPr>
          <w:rStyle w:val="CETCaptionCarattere"/>
          <w:i/>
        </w:rPr>
        <w:t>sulfurized used cooking oil</w:t>
      </w:r>
      <w:r w:rsidRPr="00642A4F">
        <w:rPr>
          <w:rStyle w:val="CETCaptionCarattere"/>
          <w:i/>
        </w:rPr>
        <w:t xml:space="preserve"> additive</w:t>
      </w:r>
      <w:r>
        <w:rPr>
          <w:rStyle w:val="CETCaptionCarattere"/>
          <w:i/>
        </w:rPr>
        <w:t xml:space="preserve"> samples</w:t>
      </w:r>
    </w:p>
    <w:p w14:paraId="10D5EDCB" w14:textId="6971C479" w:rsidR="00634D1C" w:rsidRPr="00506ACA" w:rsidRDefault="0081241F" w:rsidP="008147F4">
      <w:pPr>
        <w:pStyle w:val="CETBodytext"/>
        <w:spacing w:before="120" w:after="60"/>
        <w:rPr>
          <w:lang w:val="en-GB"/>
        </w:rPr>
      </w:pPr>
      <w:r>
        <w:rPr>
          <w:lang w:val="en-GB"/>
        </w:rPr>
        <w:lastRenderedPageBreak/>
        <w:t xml:space="preserve">In </w:t>
      </w:r>
      <w:r w:rsidRPr="00506ACA">
        <w:rPr>
          <w:lang w:val="en-GB"/>
        </w:rPr>
        <w:t xml:space="preserve">Table </w:t>
      </w:r>
      <w:r>
        <w:rPr>
          <w:lang w:val="en-GB"/>
        </w:rPr>
        <w:t>5,</w:t>
      </w:r>
      <w:r w:rsidRPr="00506ACA">
        <w:rPr>
          <w:lang w:val="en-GB"/>
        </w:rPr>
        <w:t xml:space="preserve"> </w:t>
      </w:r>
      <w:r>
        <w:rPr>
          <w:lang w:val="en-GB"/>
        </w:rPr>
        <w:t>p</w:t>
      </w:r>
      <w:r w:rsidRPr="00506ACA">
        <w:rPr>
          <w:lang w:val="en-GB"/>
        </w:rPr>
        <w:t xml:space="preserve">hysico-chemical properties </w:t>
      </w:r>
      <w:r>
        <w:rPr>
          <w:lang w:val="en-GB"/>
        </w:rPr>
        <w:t>for</w:t>
      </w:r>
      <w:r w:rsidRPr="00506ACA">
        <w:rPr>
          <w:lang w:val="en-GB"/>
        </w:rPr>
        <w:t xml:space="preserve"> the sulfurized samples based on </w:t>
      </w:r>
      <w:r w:rsidR="0087046A">
        <w:rPr>
          <w:lang w:val="en-GB"/>
        </w:rPr>
        <w:t>olive pomace oil</w:t>
      </w:r>
      <w:r w:rsidR="00FA228B">
        <w:rPr>
          <w:lang w:val="en-GB"/>
        </w:rPr>
        <w:t xml:space="preserve"> are shown.</w:t>
      </w:r>
      <w:r w:rsidR="005C7A9A">
        <w:rPr>
          <w:lang w:val="en-GB"/>
        </w:rPr>
        <w:t xml:space="preserve"> In the case of </w:t>
      </w:r>
      <w:r w:rsidR="002608BE">
        <w:rPr>
          <w:lang w:val="en-GB"/>
        </w:rPr>
        <w:t>OP</w:t>
      </w:r>
      <w:r w:rsidR="005C7A9A">
        <w:rPr>
          <w:lang w:val="en-GB"/>
        </w:rPr>
        <w:t xml:space="preserve">O-4 and </w:t>
      </w:r>
      <w:r w:rsidR="002608BE">
        <w:rPr>
          <w:lang w:val="en-GB"/>
        </w:rPr>
        <w:t>OP</w:t>
      </w:r>
      <w:r w:rsidR="005C7A9A">
        <w:rPr>
          <w:lang w:val="en-GB"/>
        </w:rPr>
        <w:t>O-</w:t>
      </w:r>
      <w:r w:rsidR="002608BE">
        <w:rPr>
          <w:lang w:val="en-GB"/>
        </w:rPr>
        <w:t>6</w:t>
      </w:r>
      <w:r w:rsidR="005C7A9A">
        <w:rPr>
          <w:lang w:val="en-GB"/>
        </w:rPr>
        <w:t xml:space="preserve"> samples, the colour grade was </w:t>
      </w:r>
      <w:r w:rsidR="00B92F6E">
        <w:rPr>
          <w:lang w:val="en-GB"/>
        </w:rPr>
        <w:t>signifi</w:t>
      </w:r>
      <w:r w:rsidR="009D1CA2">
        <w:rPr>
          <w:lang w:val="en-GB"/>
        </w:rPr>
        <w:t>cantly</w:t>
      </w:r>
      <w:r w:rsidR="005C7A9A">
        <w:rPr>
          <w:lang w:val="en-GB"/>
        </w:rPr>
        <w:t xml:space="preserve"> brighter than the other ones. </w:t>
      </w:r>
      <w:r w:rsidR="009D1CA2">
        <w:rPr>
          <w:lang w:val="en-GB"/>
        </w:rPr>
        <w:t>In the case of these samples,</w:t>
      </w:r>
      <w:r w:rsidR="005C7A9A" w:rsidRPr="0012655A">
        <w:rPr>
          <w:lang w:val="en-GB"/>
        </w:rPr>
        <w:t xml:space="preserve"> </w:t>
      </w:r>
      <w:r w:rsidR="005C7A9A">
        <w:rPr>
          <w:lang w:val="en-GB"/>
        </w:rPr>
        <w:t xml:space="preserve">amine type </w:t>
      </w:r>
      <w:r w:rsidR="009B3E7C">
        <w:rPr>
          <w:lang w:val="en-GB"/>
        </w:rPr>
        <w:t>catalyst</w:t>
      </w:r>
      <w:r w:rsidR="005C7A9A" w:rsidRPr="0012655A">
        <w:rPr>
          <w:lang w:val="en-GB"/>
        </w:rPr>
        <w:t xml:space="preserve"> was </w:t>
      </w:r>
      <w:r w:rsidR="009D1CA2">
        <w:rPr>
          <w:lang w:val="en-GB"/>
        </w:rPr>
        <w:t>employed</w:t>
      </w:r>
      <w:r w:rsidR="00130743">
        <w:rPr>
          <w:lang w:val="en-GB"/>
        </w:rPr>
        <w:t xml:space="preserve">. </w:t>
      </w:r>
      <w:r w:rsidR="00130743" w:rsidRPr="00130743">
        <w:rPr>
          <w:lang w:val="en-GB"/>
        </w:rPr>
        <w:t>This confirms that</w:t>
      </w:r>
      <w:r w:rsidR="005C7A9A" w:rsidRPr="0012655A">
        <w:rPr>
          <w:lang w:val="en-GB"/>
        </w:rPr>
        <w:t xml:space="preserve"> </w:t>
      </w:r>
      <w:r w:rsidR="00130743">
        <w:rPr>
          <w:lang w:val="en-GB"/>
        </w:rPr>
        <w:t xml:space="preserve">amine type </w:t>
      </w:r>
      <w:r w:rsidR="009B3E7C">
        <w:rPr>
          <w:lang w:val="en-GB"/>
        </w:rPr>
        <w:t>catalyst</w:t>
      </w:r>
      <w:r w:rsidR="00925774">
        <w:rPr>
          <w:lang w:val="en-GB"/>
        </w:rPr>
        <w:t>s</w:t>
      </w:r>
      <w:r w:rsidR="00130743">
        <w:rPr>
          <w:lang w:val="en-GB"/>
        </w:rPr>
        <w:t xml:space="preserve"> </w:t>
      </w:r>
      <w:r w:rsidR="00925774">
        <w:rPr>
          <w:lang w:val="en-GB"/>
        </w:rPr>
        <w:t>have</w:t>
      </w:r>
      <w:r w:rsidR="00BC66B4">
        <w:rPr>
          <w:lang w:val="en-GB"/>
        </w:rPr>
        <w:t xml:space="preserve"> favorable effect on the colour</w:t>
      </w:r>
      <w:r w:rsidR="005C7A9A" w:rsidRPr="0012655A">
        <w:rPr>
          <w:lang w:val="en-GB"/>
        </w:rPr>
        <w:t>.</w:t>
      </w:r>
      <w:r w:rsidR="005C7A9A" w:rsidRPr="00CD137D">
        <w:rPr>
          <w:lang w:val="en-GB"/>
        </w:rPr>
        <w:t xml:space="preserve"> </w:t>
      </w:r>
      <w:r w:rsidR="00BC66B4">
        <w:rPr>
          <w:lang w:val="en-GB"/>
        </w:rPr>
        <w:t>C</w:t>
      </w:r>
      <w:r w:rsidR="005C7A9A" w:rsidRPr="00CD137D">
        <w:rPr>
          <w:lang w:val="en-GB"/>
        </w:rPr>
        <w:t xml:space="preserve">rystal precipitation was observed </w:t>
      </w:r>
      <w:r w:rsidR="00BC66B4">
        <w:rPr>
          <w:lang w:val="en-GB"/>
        </w:rPr>
        <w:t>in the case of OPO</w:t>
      </w:r>
      <w:r w:rsidR="00DC6EFE">
        <w:rPr>
          <w:lang w:val="en-GB"/>
        </w:rPr>
        <w:t>-1, OPO-2 and OPO-3 samples</w:t>
      </w:r>
      <w:r w:rsidR="005C7A9A" w:rsidRPr="00CD137D">
        <w:rPr>
          <w:lang w:val="en-GB"/>
        </w:rPr>
        <w:t xml:space="preserve">. </w:t>
      </w:r>
      <w:r w:rsidR="00277881" w:rsidRPr="00277881">
        <w:rPr>
          <w:lang w:val="en-GB"/>
        </w:rPr>
        <w:t>These samples were filtered after cooling</w:t>
      </w:r>
      <w:r w:rsidR="00A906C2">
        <w:rPr>
          <w:lang w:val="en-GB"/>
        </w:rPr>
        <w:t>.</w:t>
      </w:r>
    </w:p>
    <w:p w14:paraId="7A104CC0" w14:textId="11F84308" w:rsidR="00634D1C" w:rsidRPr="00506ACA" w:rsidRDefault="00634D1C" w:rsidP="008147F4">
      <w:pPr>
        <w:pStyle w:val="CETTabletitle"/>
        <w:spacing w:before="120"/>
      </w:pPr>
      <w:r w:rsidRPr="00506ACA">
        <w:t xml:space="preserve">Table </w:t>
      </w:r>
      <w:r w:rsidR="0087046A">
        <w:t>5</w:t>
      </w:r>
      <w:r w:rsidRPr="00506ACA">
        <w:t xml:space="preserve">: Physico-chemical properties of the sulfurized samples (EP) based on </w:t>
      </w:r>
      <w:r w:rsidR="0087046A">
        <w:t>olive pomace</w:t>
      </w:r>
      <w:r w:rsidRPr="00506ACA">
        <w:t xml:space="preserve"> oil</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937"/>
        <w:gridCol w:w="1589"/>
        <w:gridCol w:w="1252"/>
        <w:gridCol w:w="1252"/>
        <w:gridCol w:w="1252"/>
        <w:gridCol w:w="1252"/>
        <w:gridCol w:w="1253"/>
      </w:tblGrid>
      <w:tr w:rsidR="00634D1C" w:rsidRPr="00506ACA" w14:paraId="6B397D14" w14:textId="77777777" w:rsidTr="00093178">
        <w:tc>
          <w:tcPr>
            <w:tcW w:w="937" w:type="dxa"/>
            <w:tcBorders>
              <w:top w:val="single" w:sz="12" w:space="0" w:color="008000"/>
              <w:bottom w:val="single" w:sz="6" w:space="0" w:color="008000"/>
            </w:tcBorders>
            <w:shd w:val="clear" w:color="auto" w:fill="FFFFFF"/>
            <w:vAlign w:val="center"/>
          </w:tcPr>
          <w:p w14:paraId="5E5D50F1" w14:textId="77777777" w:rsidR="00634D1C" w:rsidRPr="00506ACA" w:rsidRDefault="00634D1C" w:rsidP="00093178">
            <w:pPr>
              <w:pStyle w:val="CETBodytext"/>
              <w:jc w:val="left"/>
              <w:rPr>
                <w:lang w:val="en-GB"/>
              </w:rPr>
            </w:pPr>
            <w:r w:rsidRPr="00506ACA">
              <w:rPr>
                <w:lang w:val="en-GB"/>
              </w:rPr>
              <w:t>Sulfurized sample</w:t>
            </w:r>
          </w:p>
        </w:tc>
        <w:tc>
          <w:tcPr>
            <w:tcW w:w="1589" w:type="dxa"/>
            <w:tcBorders>
              <w:top w:val="single" w:sz="12" w:space="0" w:color="008000"/>
              <w:bottom w:val="single" w:sz="6" w:space="0" w:color="008000"/>
            </w:tcBorders>
            <w:shd w:val="clear" w:color="auto" w:fill="FFFFFF"/>
            <w:vAlign w:val="center"/>
          </w:tcPr>
          <w:p w14:paraId="3CF71CAC" w14:textId="1672ABB8" w:rsidR="00634D1C" w:rsidRPr="00506ACA" w:rsidRDefault="009B3E7C" w:rsidP="00093178">
            <w:pPr>
              <w:pStyle w:val="CETBodytext"/>
              <w:jc w:val="left"/>
              <w:rPr>
                <w:lang w:val="en-GB"/>
              </w:rPr>
            </w:pPr>
            <w:r>
              <w:rPr>
                <w:lang w:val="en-GB"/>
              </w:rPr>
              <w:t>Catalyst</w:t>
            </w:r>
            <w:r w:rsidR="00634D1C" w:rsidRPr="00506ACA">
              <w:rPr>
                <w:lang w:val="en-GB"/>
              </w:rPr>
              <w:t xml:space="preserve"> type</w:t>
            </w:r>
          </w:p>
        </w:tc>
        <w:tc>
          <w:tcPr>
            <w:tcW w:w="1252" w:type="dxa"/>
            <w:tcBorders>
              <w:top w:val="single" w:sz="12" w:space="0" w:color="008000"/>
              <w:bottom w:val="single" w:sz="6" w:space="0" w:color="008000"/>
            </w:tcBorders>
            <w:shd w:val="clear" w:color="auto" w:fill="FFFFFF"/>
            <w:vAlign w:val="center"/>
          </w:tcPr>
          <w:p w14:paraId="6F13B445" w14:textId="77777777" w:rsidR="00634D1C" w:rsidRPr="00506ACA" w:rsidRDefault="00634D1C" w:rsidP="00093178">
            <w:pPr>
              <w:pStyle w:val="CETBodytext"/>
              <w:jc w:val="left"/>
              <w:rPr>
                <w:lang w:val="en-GB"/>
              </w:rPr>
            </w:pPr>
            <w:r w:rsidRPr="00506ACA">
              <w:rPr>
                <w:lang w:val="en-GB"/>
              </w:rPr>
              <w:t>ASTM colour grade</w:t>
            </w:r>
          </w:p>
        </w:tc>
        <w:tc>
          <w:tcPr>
            <w:tcW w:w="1252" w:type="dxa"/>
            <w:tcBorders>
              <w:top w:val="single" w:sz="12" w:space="0" w:color="008000"/>
              <w:bottom w:val="single" w:sz="6" w:space="0" w:color="008000"/>
            </w:tcBorders>
            <w:shd w:val="clear" w:color="auto" w:fill="FFFFFF"/>
            <w:vAlign w:val="center"/>
          </w:tcPr>
          <w:p w14:paraId="61F7A756" w14:textId="77777777" w:rsidR="00634D1C" w:rsidRPr="00506ACA" w:rsidRDefault="00634D1C" w:rsidP="00093178">
            <w:pPr>
              <w:pStyle w:val="CETBodytext"/>
              <w:jc w:val="left"/>
              <w:rPr>
                <w:lang w:val="en-GB"/>
              </w:rPr>
            </w:pPr>
            <w:r w:rsidRPr="00506ACA">
              <w:rPr>
                <w:lang w:val="en-GB"/>
              </w:rPr>
              <w:t>Kinematic viscosity at 40°C, mm</w:t>
            </w:r>
            <w:r w:rsidRPr="00506ACA">
              <w:rPr>
                <w:vertAlign w:val="superscript"/>
                <w:lang w:val="en-GB"/>
              </w:rPr>
              <w:t>2</w:t>
            </w:r>
            <w:r w:rsidRPr="00506ACA">
              <w:rPr>
                <w:lang w:val="en-GB"/>
              </w:rPr>
              <w:t>/s</w:t>
            </w:r>
          </w:p>
        </w:tc>
        <w:tc>
          <w:tcPr>
            <w:tcW w:w="1252" w:type="dxa"/>
            <w:tcBorders>
              <w:top w:val="single" w:sz="12" w:space="0" w:color="008000"/>
              <w:bottom w:val="single" w:sz="6" w:space="0" w:color="008000"/>
            </w:tcBorders>
            <w:shd w:val="clear" w:color="auto" w:fill="FFFFFF"/>
            <w:vAlign w:val="center"/>
          </w:tcPr>
          <w:p w14:paraId="74DB7A36" w14:textId="77777777" w:rsidR="00634D1C" w:rsidRPr="00506ACA" w:rsidRDefault="00634D1C" w:rsidP="00093178">
            <w:pPr>
              <w:pStyle w:val="CETBodytext"/>
              <w:jc w:val="left"/>
              <w:rPr>
                <w:lang w:val="en-GB"/>
              </w:rPr>
            </w:pPr>
            <w:r w:rsidRPr="00506ACA">
              <w:rPr>
                <w:lang w:val="en-GB"/>
              </w:rPr>
              <w:t>Kinematic viscosity at 100°C, mm</w:t>
            </w:r>
            <w:r w:rsidRPr="00506ACA">
              <w:rPr>
                <w:vertAlign w:val="superscript"/>
                <w:lang w:val="en-GB"/>
              </w:rPr>
              <w:t>2</w:t>
            </w:r>
            <w:r w:rsidRPr="00506ACA">
              <w:rPr>
                <w:lang w:val="en-GB"/>
              </w:rPr>
              <w:t>/s</w:t>
            </w:r>
          </w:p>
        </w:tc>
        <w:tc>
          <w:tcPr>
            <w:tcW w:w="1252" w:type="dxa"/>
            <w:tcBorders>
              <w:top w:val="single" w:sz="12" w:space="0" w:color="008000"/>
              <w:bottom w:val="single" w:sz="6" w:space="0" w:color="008000"/>
            </w:tcBorders>
            <w:shd w:val="clear" w:color="auto" w:fill="FFFFFF"/>
            <w:vAlign w:val="center"/>
          </w:tcPr>
          <w:p w14:paraId="22EC6002" w14:textId="77777777" w:rsidR="00634D1C" w:rsidRPr="00506ACA" w:rsidRDefault="00634D1C" w:rsidP="00093178">
            <w:pPr>
              <w:pStyle w:val="CETBodytext"/>
              <w:jc w:val="left"/>
              <w:rPr>
                <w:lang w:val="en-GB"/>
              </w:rPr>
            </w:pPr>
            <w:r w:rsidRPr="00506ACA">
              <w:rPr>
                <w:lang w:val="en-GB"/>
              </w:rPr>
              <w:t>Total sulfur content, wt%</w:t>
            </w:r>
          </w:p>
        </w:tc>
        <w:tc>
          <w:tcPr>
            <w:tcW w:w="1253" w:type="dxa"/>
            <w:tcBorders>
              <w:top w:val="single" w:sz="12" w:space="0" w:color="008000"/>
              <w:bottom w:val="single" w:sz="6" w:space="0" w:color="008000"/>
            </w:tcBorders>
            <w:shd w:val="clear" w:color="auto" w:fill="FFFFFF"/>
            <w:vAlign w:val="center"/>
          </w:tcPr>
          <w:p w14:paraId="612BDFE7" w14:textId="77777777" w:rsidR="00634D1C" w:rsidRPr="00506ACA" w:rsidRDefault="00634D1C" w:rsidP="00093178">
            <w:pPr>
              <w:pStyle w:val="CETBodytext"/>
              <w:jc w:val="left"/>
              <w:rPr>
                <w:lang w:val="en-GB"/>
              </w:rPr>
            </w:pPr>
            <w:r w:rsidRPr="00506ACA">
              <w:rPr>
                <w:lang w:val="en-GB"/>
              </w:rPr>
              <w:t>Active sulfur content, wt%</w:t>
            </w:r>
          </w:p>
        </w:tc>
      </w:tr>
      <w:tr w:rsidR="007D1C9E" w:rsidRPr="00506ACA" w14:paraId="2342A2A5" w14:textId="77777777" w:rsidTr="00093178">
        <w:tc>
          <w:tcPr>
            <w:tcW w:w="937" w:type="dxa"/>
            <w:shd w:val="clear" w:color="auto" w:fill="FFFFFF"/>
            <w:vAlign w:val="center"/>
          </w:tcPr>
          <w:p w14:paraId="17805224" w14:textId="3EF6ABBA" w:rsidR="007D1C9E" w:rsidRPr="00506ACA" w:rsidRDefault="007D1C9E" w:rsidP="00093178">
            <w:pPr>
              <w:pStyle w:val="CETBodytext"/>
              <w:jc w:val="left"/>
              <w:rPr>
                <w:lang w:val="en-GB"/>
              </w:rPr>
            </w:pPr>
            <w:r>
              <w:rPr>
                <w:lang w:val="en-GB"/>
              </w:rPr>
              <w:t>O</w:t>
            </w:r>
            <w:r>
              <w:t>PO</w:t>
            </w:r>
            <w:r w:rsidRPr="00506ACA">
              <w:rPr>
                <w:lang w:val="en-GB"/>
              </w:rPr>
              <w:t>-1</w:t>
            </w:r>
          </w:p>
        </w:tc>
        <w:tc>
          <w:tcPr>
            <w:tcW w:w="1589" w:type="dxa"/>
            <w:shd w:val="clear" w:color="auto" w:fill="FFFFFF"/>
            <w:vAlign w:val="center"/>
          </w:tcPr>
          <w:p w14:paraId="30DBFBE2" w14:textId="77777777" w:rsidR="007D1C9E" w:rsidRPr="00506ACA" w:rsidRDefault="007D1C9E" w:rsidP="00093178">
            <w:pPr>
              <w:pStyle w:val="CETBodytext"/>
              <w:jc w:val="left"/>
              <w:rPr>
                <w:lang w:val="en-GB"/>
              </w:rPr>
            </w:pPr>
            <w:r w:rsidRPr="00506ACA">
              <w:rPr>
                <w:lang w:val="en-GB"/>
              </w:rPr>
              <w:t>-</w:t>
            </w:r>
          </w:p>
        </w:tc>
        <w:tc>
          <w:tcPr>
            <w:tcW w:w="1252" w:type="dxa"/>
            <w:shd w:val="clear" w:color="auto" w:fill="FFFFFF"/>
            <w:vAlign w:val="center"/>
          </w:tcPr>
          <w:p w14:paraId="025AC78D" w14:textId="77777777" w:rsidR="007D1C9E" w:rsidRPr="00506ACA" w:rsidRDefault="007D1C9E" w:rsidP="00093178">
            <w:pPr>
              <w:pStyle w:val="CETBodytext"/>
              <w:jc w:val="left"/>
              <w:rPr>
                <w:lang w:val="en-GB"/>
              </w:rPr>
            </w:pPr>
            <w:r w:rsidRPr="00506ACA">
              <w:rPr>
                <w:lang w:val="en-GB"/>
              </w:rPr>
              <w:t>8.0</w:t>
            </w:r>
          </w:p>
        </w:tc>
        <w:tc>
          <w:tcPr>
            <w:tcW w:w="1252" w:type="dxa"/>
            <w:shd w:val="clear" w:color="auto" w:fill="FFFFFF"/>
            <w:vAlign w:val="center"/>
          </w:tcPr>
          <w:p w14:paraId="6FA61368" w14:textId="7B21CB3D" w:rsidR="007D1C9E" w:rsidRPr="00506ACA" w:rsidRDefault="007D1C9E" w:rsidP="00093178">
            <w:pPr>
              <w:pStyle w:val="CETBodytext"/>
              <w:jc w:val="left"/>
              <w:rPr>
                <w:lang w:val="en-GB"/>
              </w:rPr>
            </w:pPr>
            <w:r w:rsidRPr="00B97DC7">
              <w:t>67.3</w:t>
            </w:r>
          </w:p>
        </w:tc>
        <w:tc>
          <w:tcPr>
            <w:tcW w:w="1252" w:type="dxa"/>
            <w:shd w:val="clear" w:color="auto" w:fill="FFFFFF"/>
            <w:vAlign w:val="center"/>
          </w:tcPr>
          <w:p w14:paraId="51437CE9" w14:textId="69C2B502" w:rsidR="007D1C9E" w:rsidRPr="00506ACA" w:rsidRDefault="007D1C9E" w:rsidP="00093178">
            <w:pPr>
              <w:pStyle w:val="CETBodytext"/>
              <w:jc w:val="left"/>
              <w:rPr>
                <w:lang w:val="en-GB"/>
              </w:rPr>
            </w:pPr>
            <w:r w:rsidRPr="001117EB">
              <w:t>12.14</w:t>
            </w:r>
          </w:p>
        </w:tc>
        <w:tc>
          <w:tcPr>
            <w:tcW w:w="1252" w:type="dxa"/>
            <w:shd w:val="clear" w:color="auto" w:fill="FFFFFF"/>
            <w:vAlign w:val="center"/>
          </w:tcPr>
          <w:p w14:paraId="251BD86E" w14:textId="768B5E34" w:rsidR="007D1C9E" w:rsidRPr="00506ACA" w:rsidRDefault="007D1C9E" w:rsidP="00093178">
            <w:pPr>
              <w:pStyle w:val="CETBodytext"/>
              <w:jc w:val="left"/>
              <w:rPr>
                <w:lang w:val="en-GB"/>
              </w:rPr>
            </w:pPr>
            <w:r w:rsidRPr="00D57FD1">
              <w:t>4.70</w:t>
            </w:r>
          </w:p>
        </w:tc>
        <w:tc>
          <w:tcPr>
            <w:tcW w:w="1253" w:type="dxa"/>
            <w:shd w:val="clear" w:color="auto" w:fill="FFFFFF"/>
            <w:vAlign w:val="center"/>
          </w:tcPr>
          <w:p w14:paraId="384AA903" w14:textId="0557BBDF" w:rsidR="007D1C9E" w:rsidRPr="00506ACA" w:rsidRDefault="007D1C9E" w:rsidP="00093178">
            <w:pPr>
              <w:pStyle w:val="CETBodytext"/>
              <w:jc w:val="left"/>
              <w:rPr>
                <w:lang w:val="en-GB"/>
              </w:rPr>
            </w:pPr>
            <w:r w:rsidRPr="00AC21AA">
              <w:t>2.40</w:t>
            </w:r>
          </w:p>
        </w:tc>
      </w:tr>
      <w:tr w:rsidR="007D1C9E" w:rsidRPr="00506ACA" w14:paraId="01613022" w14:textId="77777777" w:rsidTr="00093178">
        <w:tc>
          <w:tcPr>
            <w:tcW w:w="937" w:type="dxa"/>
            <w:shd w:val="clear" w:color="auto" w:fill="FFFFFF"/>
            <w:vAlign w:val="center"/>
          </w:tcPr>
          <w:p w14:paraId="4E666384" w14:textId="1AC077FF" w:rsidR="007D1C9E" w:rsidRPr="00506ACA" w:rsidRDefault="007D1C9E" w:rsidP="00093178">
            <w:pPr>
              <w:pStyle w:val="CETBodytext"/>
              <w:ind w:right="-1"/>
              <w:jc w:val="left"/>
              <w:rPr>
                <w:rFonts w:cs="Arial"/>
                <w:szCs w:val="18"/>
                <w:lang w:val="en-GB"/>
              </w:rPr>
            </w:pPr>
            <w:r>
              <w:rPr>
                <w:rFonts w:cs="Arial"/>
                <w:szCs w:val="18"/>
                <w:lang w:val="en-GB"/>
              </w:rPr>
              <w:t>OP</w:t>
            </w:r>
            <w:r w:rsidRPr="00506ACA">
              <w:rPr>
                <w:rFonts w:cs="Arial"/>
                <w:szCs w:val="18"/>
                <w:lang w:val="en-GB"/>
              </w:rPr>
              <w:t>O-2</w:t>
            </w:r>
          </w:p>
        </w:tc>
        <w:tc>
          <w:tcPr>
            <w:tcW w:w="1589" w:type="dxa"/>
            <w:shd w:val="clear" w:color="auto" w:fill="FFFFFF"/>
            <w:vAlign w:val="center"/>
          </w:tcPr>
          <w:p w14:paraId="4904950C" w14:textId="77777777" w:rsidR="007D1C9E" w:rsidRPr="00506ACA" w:rsidRDefault="007D1C9E" w:rsidP="00093178">
            <w:pPr>
              <w:pStyle w:val="CETBodytext"/>
              <w:ind w:right="-1"/>
              <w:jc w:val="left"/>
              <w:rPr>
                <w:rFonts w:cs="Arial"/>
                <w:szCs w:val="18"/>
                <w:lang w:val="en-GB"/>
              </w:rPr>
            </w:pPr>
            <w:r w:rsidRPr="00506ACA">
              <w:rPr>
                <w:rFonts w:cs="Arial"/>
                <w:szCs w:val="18"/>
                <w:lang w:val="en-GB"/>
              </w:rPr>
              <w:t>Acid</w:t>
            </w:r>
          </w:p>
        </w:tc>
        <w:tc>
          <w:tcPr>
            <w:tcW w:w="1252" w:type="dxa"/>
            <w:shd w:val="clear" w:color="auto" w:fill="FFFFFF"/>
            <w:vAlign w:val="center"/>
          </w:tcPr>
          <w:p w14:paraId="4FD6BBE2" w14:textId="77777777" w:rsidR="007D1C9E" w:rsidRPr="00506ACA" w:rsidRDefault="007D1C9E" w:rsidP="00093178">
            <w:pPr>
              <w:pStyle w:val="CETBodytext"/>
              <w:ind w:right="-1"/>
              <w:jc w:val="left"/>
              <w:rPr>
                <w:rFonts w:cs="Arial"/>
                <w:szCs w:val="18"/>
                <w:lang w:val="en-GB"/>
              </w:rPr>
            </w:pPr>
            <w:r w:rsidRPr="00506ACA">
              <w:rPr>
                <w:rFonts w:cs="Arial"/>
                <w:szCs w:val="18"/>
                <w:lang w:val="en-GB"/>
              </w:rPr>
              <w:t>8.0</w:t>
            </w:r>
          </w:p>
        </w:tc>
        <w:tc>
          <w:tcPr>
            <w:tcW w:w="1252" w:type="dxa"/>
            <w:shd w:val="clear" w:color="auto" w:fill="FFFFFF"/>
            <w:vAlign w:val="center"/>
          </w:tcPr>
          <w:p w14:paraId="7BF2B4B9" w14:textId="525527FA" w:rsidR="007D1C9E" w:rsidRPr="00506ACA" w:rsidRDefault="007D1C9E" w:rsidP="00093178">
            <w:pPr>
              <w:pStyle w:val="CETBodytext"/>
              <w:ind w:right="-1"/>
              <w:jc w:val="left"/>
              <w:rPr>
                <w:rFonts w:cs="Arial"/>
                <w:szCs w:val="18"/>
                <w:lang w:val="en-GB"/>
              </w:rPr>
            </w:pPr>
            <w:r w:rsidRPr="00B97DC7">
              <w:t>59.8</w:t>
            </w:r>
          </w:p>
        </w:tc>
        <w:tc>
          <w:tcPr>
            <w:tcW w:w="1252" w:type="dxa"/>
            <w:shd w:val="clear" w:color="auto" w:fill="FFFFFF"/>
            <w:vAlign w:val="center"/>
          </w:tcPr>
          <w:p w14:paraId="290C256E" w14:textId="3C04FE30" w:rsidR="007D1C9E" w:rsidRPr="00506ACA" w:rsidRDefault="007D1C9E" w:rsidP="00093178">
            <w:pPr>
              <w:pStyle w:val="CETBodytext"/>
              <w:ind w:right="-1"/>
              <w:jc w:val="left"/>
              <w:rPr>
                <w:rFonts w:cs="Arial"/>
                <w:szCs w:val="18"/>
                <w:lang w:val="en-GB"/>
              </w:rPr>
            </w:pPr>
            <w:r w:rsidRPr="001117EB">
              <w:t>11.09</w:t>
            </w:r>
          </w:p>
        </w:tc>
        <w:tc>
          <w:tcPr>
            <w:tcW w:w="1252" w:type="dxa"/>
            <w:shd w:val="clear" w:color="auto" w:fill="FFFFFF"/>
            <w:vAlign w:val="center"/>
          </w:tcPr>
          <w:p w14:paraId="5204A921" w14:textId="1E3A5E02" w:rsidR="007D1C9E" w:rsidRPr="00506ACA" w:rsidRDefault="007D1C9E" w:rsidP="00093178">
            <w:pPr>
              <w:pStyle w:val="CETBodytext"/>
              <w:ind w:right="-1"/>
              <w:jc w:val="left"/>
              <w:rPr>
                <w:rFonts w:cs="Arial"/>
                <w:szCs w:val="18"/>
                <w:lang w:val="en-GB"/>
              </w:rPr>
            </w:pPr>
            <w:r w:rsidRPr="00D57FD1">
              <w:t>3.04</w:t>
            </w:r>
          </w:p>
        </w:tc>
        <w:tc>
          <w:tcPr>
            <w:tcW w:w="1253" w:type="dxa"/>
            <w:shd w:val="clear" w:color="auto" w:fill="FFFFFF"/>
            <w:vAlign w:val="center"/>
          </w:tcPr>
          <w:p w14:paraId="17D92B5C" w14:textId="5036BB38" w:rsidR="007D1C9E" w:rsidRPr="00506ACA" w:rsidRDefault="007D1C9E" w:rsidP="00093178">
            <w:pPr>
              <w:pStyle w:val="CETBodytext"/>
              <w:ind w:right="-1"/>
              <w:jc w:val="left"/>
              <w:rPr>
                <w:rFonts w:cs="Arial"/>
                <w:szCs w:val="18"/>
                <w:lang w:val="en-GB"/>
              </w:rPr>
            </w:pPr>
            <w:r w:rsidRPr="00AC21AA">
              <w:t>1.80</w:t>
            </w:r>
          </w:p>
        </w:tc>
      </w:tr>
      <w:tr w:rsidR="007D1C9E" w:rsidRPr="00506ACA" w14:paraId="60986FF0" w14:textId="77777777" w:rsidTr="00093178">
        <w:tc>
          <w:tcPr>
            <w:tcW w:w="937" w:type="dxa"/>
            <w:shd w:val="clear" w:color="auto" w:fill="FFFFFF"/>
            <w:vAlign w:val="center"/>
          </w:tcPr>
          <w:p w14:paraId="08803550" w14:textId="4ED41860" w:rsidR="007D1C9E" w:rsidRPr="00506ACA" w:rsidRDefault="007D1C9E" w:rsidP="00093178">
            <w:pPr>
              <w:pStyle w:val="CETBodytext"/>
              <w:ind w:right="-1"/>
              <w:jc w:val="left"/>
              <w:rPr>
                <w:rFonts w:cs="Arial"/>
                <w:szCs w:val="18"/>
                <w:lang w:val="en-GB"/>
              </w:rPr>
            </w:pPr>
            <w:r>
              <w:rPr>
                <w:rFonts w:cs="Arial"/>
                <w:szCs w:val="18"/>
                <w:lang w:val="en-GB"/>
              </w:rPr>
              <w:t>OP</w:t>
            </w:r>
            <w:r w:rsidRPr="00506ACA">
              <w:rPr>
                <w:rFonts w:cs="Arial"/>
                <w:szCs w:val="18"/>
                <w:lang w:val="en-GB"/>
              </w:rPr>
              <w:t>O-3</w:t>
            </w:r>
          </w:p>
        </w:tc>
        <w:tc>
          <w:tcPr>
            <w:tcW w:w="1589" w:type="dxa"/>
            <w:shd w:val="clear" w:color="auto" w:fill="FFFFFF"/>
            <w:vAlign w:val="center"/>
          </w:tcPr>
          <w:p w14:paraId="3989F0F1" w14:textId="77777777" w:rsidR="007D1C9E" w:rsidRPr="00506ACA" w:rsidRDefault="007D1C9E" w:rsidP="00093178">
            <w:pPr>
              <w:pStyle w:val="CETBodytext"/>
              <w:ind w:right="-1"/>
              <w:jc w:val="left"/>
              <w:rPr>
                <w:rFonts w:cs="Arial"/>
                <w:szCs w:val="18"/>
                <w:lang w:val="en-GB"/>
              </w:rPr>
            </w:pPr>
            <w:r w:rsidRPr="00506ACA">
              <w:rPr>
                <w:rFonts w:cs="Arial"/>
                <w:szCs w:val="18"/>
                <w:lang w:val="en-GB"/>
              </w:rPr>
              <w:t>Organic peroxide</w:t>
            </w:r>
          </w:p>
        </w:tc>
        <w:tc>
          <w:tcPr>
            <w:tcW w:w="1252" w:type="dxa"/>
            <w:shd w:val="clear" w:color="auto" w:fill="FFFFFF"/>
            <w:vAlign w:val="center"/>
          </w:tcPr>
          <w:p w14:paraId="7BED1956" w14:textId="56609222" w:rsidR="007D1C9E" w:rsidRPr="00506ACA" w:rsidRDefault="007D1C9E" w:rsidP="00093178">
            <w:pPr>
              <w:pStyle w:val="CETBodytext"/>
              <w:ind w:right="-1"/>
              <w:jc w:val="left"/>
              <w:rPr>
                <w:rFonts w:cs="Arial"/>
                <w:szCs w:val="18"/>
                <w:lang w:val="en-GB"/>
              </w:rPr>
            </w:pPr>
            <w:r>
              <w:rPr>
                <w:rFonts w:cs="Arial"/>
                <w:szCs w:val="18"/>
                <w:lang w:val="en-GB"/>
              </w:rPr>
              <w:t>7.5</w:t>
            </w:r>
          </w:p>
        </w:tc>
        <w:tc>
          <w:tcPr>
            <w:tcW w:w="1252" w:type="dxa"/>
            <w:shd w:val="clear" w:color="auto" w:fill="FFFFFF"/>
            <w:vAlign w:val="center"/>
          </w:tcPr>
          <w:p w14:paraId="51F20136" w14:textId="125DD844" w:rsidR="007D1C9E" w:rsidRPr="00506ACA" w:rsidRDefault="007D1C9E" w:rsidP="00093178">
            <w:pPr>
              <w:pStyle w:val="CETBodytext"/>
              <w:ind w:right="-1"/>
              <w:jc w:val="left"/>
              <w:rPr>
                <w:rFonts w:cs="Arial"/>
                <w:szCs w:val="18"/>
                <w:lang w:val="en-GB"/>
              </w:rPr>
            </w:pPr>
            <w:r w:rsidRPr="00B97DC7">
              <w:t>348.4</w:t>
            </w:r>
          </w:p>
        </w:tc>
        <w:tc>
          <w:tcPr>
            <w:tcW w:w="1252" w:type="dxa"/>
            <w:shd w:val="clear" w:color="auto" w:fill="FFFFFF"/>
            <w:vAlign w:val="center"/>
          </w:tcPr>
          <w:p w14:paraId="4C254FF4" w14:textId="399E830E" w:rsidR="007D1C9E" w:rsidRPr="00506ACA" w:rsidRDefault="007D1C9E" w:rsidP="00093178">
            <w:pPr>
              <w:pStyle w:val="CETBodytext"/>
              <w:ind w:right="-1"/>
              <w:jc w:val="left"/>
              <w:rPr>
                <w:rFonts w:cs="Arial"/>
                <w:szCs w:val="18"/>
                <w:lang w:val="en-GB"/>
              </w:rPr>
            </w:pPr>
            <w:r w:rsidRPr="001117EB">
              <w:t>40.08</w:t>
            </w:r>
          </w:p>
        </w:tc>
        <w:tc>
          <w:tcPr>
            <w:tcW w:w="1252" w:type="dxa"/>
            <w:shd w:val="clear" w:color="auto" w:fill="FFFFFF"/>
            <w:vAlign w:val="center"/>
          </w:tcPr>
          <w:p w14:paraId="4E792D97" w14:textId="5312BE89" w:rsidR="007D1C9E" w:rsidRPr="00506ACA" w:rsidRDefault="007D1C9E" w:rsidP="00093178">
            <w:pPr>
              <w:pStyle w:val="CETBodytext"/>
              <w:ind w:right="-1"/>
              <w:jc w:val="left"/>
              <w:rPr>
                <w:rFonts w:cs="Arial"/>
                <w:szCs w:val="18"/>
                <w:lang w:val="en-GB"/>
              </w:rPr>
            </w:pPr>
            <w:r w:rsidRPr="00D57FD1">
              <w:t>8.97</w:t>
            </w:r>
          </w:p>
        </w:tc>
        <w:tc>
          <w:tcPr>
            <w:tcW w:w="1253" w:type="dxa"/>
            <w:shd w:val="clear" w:color="auto" w:fill="FFFFFF"/>
            <w:vAlign w:val="center"/>
          </w:tcPr>
          <w:p w14:paraId="19D6CD8E" w14:textId="00D37814" w:rsidR="007D1C9E" w:rsidRPr="00506ACA" w:rsidRDefault="007D1C9E" w:rsidP="00093178">
            <w:pPr>
              <w:pStyle w:val="CETBodytext"/>
              <w:ind w:right="-1"/>
              <w:jc w:val="left"/>
              <w:rPr>
                <w:rFonts w:cs="Arial"/>
                <w:szCs w:val="18"/>
                <w:lang w:val="en-GB"/>
              </w:rPr>
            </w:pPr>
            <w:r w:rsidRPr="00AC21AA">
              <w:t>3.60</w:t>
            </w:r>
          </w:p>
        </w:tc>
      </w:tr>
      <w:tr w:rsidR="007D1C9E" w:rsidRPr="00506ACA" w14:paraId="6414BAFA" w14:textId="77777777" w:rsidTr="00093178">
        <w:tc>
          <w:tcPr>
            <w:tcW w:w="937" w:type="dxa"/>
            <w:shd w:val="clear" w:color="auto" w:fill="FFFFFF"/>
            <w:vAlign w:val="center"/>
          </w:tcPr>
          <w:p w14:paraId="530B4299" w14:textId="1277CD01" w:rsidR="007D1C9E" w:rsidRPr="00506ACA" w:rsidRDefault="007D1C9E" w:rsidP="00093178">
            <w:pPr>
              <w:pStyle w:val="CETBodytext"/>
              <w:ind w:right="-1"/>
              <w:jc w:val="left"/>
              <w:rPr>
                <w:rFonts w:cs="Arial"/>
                <w:szCs w:val="18"/>
                <w:lang w:val="en-GB"/>
              </w:rPr>
            </w:pPr>
            <w:r>
              <w:rPr>
                <w:rFonts w:cs="Arial"/>
                <w:szCs w:val="18"/>
                <w:lang w:val="en-GB"/>
              </w:rPr>
              <w:t>OP</w:t>
            </w:r>
            <w:r w:rsidRPr="00506ACA">
              <w:rPr>
                <w:rFonts w:cs="Arial"/>
                <w:szCs w:val="18"/>
                <w:lang w:val="en-GB"/>
              </w:rPr>
              <w:t>O-4</w:t>
            </w:r>
          </w:p>
        </w:tc>
        <w:tc>
          <w:tcPr>
            <w:tcW w:w="1589" w:type="dxa"/>
            <w:shd w:val="clear" w:color="auto" w:fill="FFFFFF"/>
            <w:vAlign w:val="center"/>
          </w:tcPr>
          <w:p w14:paraId="7206BD72" w14:textId="77777777" w:rsidR="007D1C9E" w:rsidRPr="00506ACA" w:rsidRDefault="007D1C9E" w:rsidP="00093178">
            <w:pPr>
              <w:pStyle w:val="CETBodytext"/>
              <w:ind w:right="-1"/>
              <w:jc w:val="left"/>
              <w:rPr>
                <w:rFonts w:cs="Arial"/>
                <w:szCs w:val="18"/>
                <w:lang w:val="en-GB"/>
              </w:rPr>
            </w:pPr>
            <w:r w:rsidRPr="00506ACA">
              <w:rPr>
                <w:rFonts w:cs="Arial"/>
                <w:szCs w:val="18"/>
                <w:lang w:val="en-GB"/>
              </w:rPr>
              <w:t>Amine 1</w:t>
            </w:r>
          </w:p>
        </w:tc>
        <w:tc>
          <w:tcPr>
            <w:tcW w:w="1252" w:type="dxa"/>
            <w:shd w:val="clear" w:color="auto" w:fill="FFFFFF"/>
            <w:vAlign w:val="center"/>
          </w:tcPr>
          <w:p w14:paraId="079EC4C4" w14:textId="25A05B4B" w:rsidR="007D1C9E" w:rsidRPr="00506ACA" w:rsidRDefault="007D1C9E" w:rsidP="00093178">
            <w:pPr>
              <w:pStyle w:val="CETBodytext"/>
              <w:ind w:right="-1"/>
              <w:jc w:val="left"/>
              <w:rPr>
                <w:rFonts w:cs="Arial"/>
                <w:szCs w:val="18"/>
                <w:lang w:val="en-GB"/>
              </w:rPr>
            </w:pPr>
            <w:r w:rsidRPr="00506ACA">
              <w:rPr>
                <w:rFonts w:cs="Arial"/>
                <w:szCs w:val="18"/>
                <w:lang w:val="en-GB"/>
              </w:rPr>
              <w:t>7.</w:t>
            </w:r>
            <w:r>
              <w:rPr>
                <w:rFonts w:cs="Arial"/>
                <w:szCs w:val="18"/>
                <w:lang w:val="en-GB"/>
              </w:rPr>
              <w:t>0</w:t>
            </w:r>
          </w:p>
        </w:tc>
        <w:tc>
          <w:tcPr>
            <w:tcW w:w="1252" w:type="dxa"/>
            <w:shd w:val="clear" w:color="auto" w:fill="FFFFFF"/>
            <w:vAlign w:val="center"/>
          </w:tcPr>
          <w:p w14:paraId="70EF3A8A" w14:textId="33C5097F" w:rsidR="007D1C9E" w:rsidRPr="00506ACA" w:rsidRDefault="007D1C9E" w:rsidP="00093178">
            <w:pPr>
              <w:pStyle w:val="CETBodytext"/>
              <w:ind w:right="-1"/>
              <w:jc w:val="left"/>
              <w:rPr>
                <w:rFonts w:cs="Arial"/>
                <w:szCs w:val="18"/>
                <w:lang w:val="en-GB"/>
              </w:rPr>
            </w:pPr>
            <w:r w:rsidRPr="00B97DC7">
              <w:t>76.0</w:t>
            </w:r>
          </w:p>
        </w:tc>
        <w:tc>
          <w:tcPr>
            <w:tcW w:w="1252" w:type="dxa"/>
            <w:shd w:val="clear" w:color="auto" w:fill="FFFFFF"/>
            <w:vAlign w:val="center"/>
          </w:tcPr>
          <w:p w14:paraId="24A5A7D6" w14:textId="290C56E4" w:rsidR="007D1C9E" w:rsidRPr="00506ACA" w:rsidRDefault="007D1C9E" w:rsidP="00093178">
            <w:pPr>
              <w:pStyle w:val="CETBodytext"/>
              <w:ind w:right="-1"/>
              <w:jc w:val="left"/>
              <w:rPr>
                <w:rFonts w:cs="Arial"/>
                <w:szCs w:val="18"/>
                <w:lang w:val="en-GB"/>
              </w:rPr>
            </w:pPr>
            <w:r w:rsidRPr="001117EB">
              <w:t>13.13</w:t>
            </w:r>
          </w:p>
        </w:tc>
        <w:tc>
          <w:tcPr>
            <w:tcW w:w="1252" w:type="dxa"/>
            <w:shd w:val="clear" w:color="auto" w:fill="FFFFFF"/>
            <w:vAlign w:val="center"/>
          </w:tcPr>
          <w:p w14:paraId="02247F35" w14:textId="3CA4BD79" w:rsidR="007D1C9E" w:rsidRPr="00506ACA" w:rsidRDefault="007D1C9E" w:rsidP="00093178">
            <w:pPr>
              <w:pStyle w:val="CETBodytext"/>
              <w:ind w:right="-1"/>
              <w:jc w:val="left"/>
              <w:rPr>
                <w:rFonts w:cs="Arial"/>
                <w:szCs w:val="18"/>
                <w:lang w:val="en-GB"/>
              </w:rPr>
            </w:pPr>
            <w:r w:rsidRPr="00D57FD1">
              <w:t>5.09</w:t>
            </w:r>
          </w:p>
        </w:tc>
        <w:tc>
          <w:tcPr>
            <w:tcW w:w="1253" w:type="dxa"/>
            <w:shd w:val="clear" w:color="auto" w:fill="FFFFFF"/>
            <w:vAlign w:val="center"/>
          </w:tcPr>
          <w:p w14:paraId="4D30CC26" w14:textId="117731DF" w:rsidR="007D1C9E" w:rsidRPr="00506ACA" w:rsidRDefault="007D1C9E" w:rsidP="00093178">
            <w:pPr>
              <w:pStyle w:val="CETBodytext"/>
              <w:ind w:right="-1"/>
              <w:jc w:val="left"/>
              <w:rPr>
                <w:rFonts w:cs="Arial"/>
                <w:szCs w:val="18"/>
                <w:lang w:val="en-GB"/>
              </w:rPr>
            </w:pPr>
            <w:r w:rsidRPr="00AC21AA">
              <w:t>2.90</w:t>
            </w:r>
          </w:p>
        </w:tc>
      </w:tr>
      <w:tr w:rsidR="007D1C9E" w:rsidRPr="00506ACA" w14:paraId="214A222B" w14:textId="77777777" w:rsidTr="00093178">
        <w:tc>
          <w:tcPr>
            <w:tcW w:w="937" w:type="dxa"/>
            <w:shd w:val="clear" w:color="auto" w:fill="FFFFFF"/>
            <w:vAlign w:val="center"/>
          </w:tcPr>
          <w:p w14:paraId="0A55EC41" w14:textId="2BE51DEE" w:rsidR="007D1C9E" w:rsidRPr="00506ACA" w:rsidRDefault="007D1C9E" w:rsidP="00093178">
            <w:pPr>
              <w:pStyle w:val="CETBodytext"/>
              <w:ind w:right="-1"/>
              <w:jc w:val="left"/>
              <w:rPr>
                <w:rFonts w:cs="Arial"/>
                <w:szCs w:val="18"/>
                <w:lang w:val="en-GB"/>
              </w:rPr>
            </w:pPr>
            <w:r>
              <w:rPr>
                <w:rFonts w:cs="Arial"/>
                <w:szCs w:val="18"/>
                <w:lang w:val="en-GB"/>
              </w:rPr>
              <w:t>OP</w:t>
            </w:r>
            <w:r w:rsidRPr="00506ACA">
              <w:rPr>
                <w:rFonts w:cs="Arial"/>
                <w:szCs w:val="18"/>
                <w:lang w:val="en-GB"/>
              </w:rPr>
              <w:t>O-5</w:t>
            </w:r>
          </w:p>
        </w:tc>
        <w:tc>
          <w:tcPr>
            <w:tcW w:w="1589" w:type="dxa"/>
            <w:shd w:val="clear" w:color="auto" w:fill="FFFFFF"/>
            <w:vAlign w:val="center"/>
          </w:tcPr>
          <w:p w14:paraId="1D552E84" w14:textId="77777777" w:rsidR="007D1C9E" w:rsidRPr="00506ACA" w:rsidRDefault="007D1C9E" w:rsidP="00093178">
            <w:pPr>
              <w:pStyle w:val="CETBodytext"/>
              <w:ind w:right="-1"/>
              <w:jc w:val="left"/>
              <w:rPr>
                <w:rFonts w:cs="Arial"/>
                <w:szCs w:val="18"/>
                <w:lang w:val="en-GB"/>
              </w:rPr>
            </w:pPr>
            <w:r w:rsidRPr="00506ACA">
              <w:rPr>
                <w:rFonts w:cs="Arial"/>
                <w:szCs w:val="18"/>
                <w:lang w:val="en-GB"/>
              </w:rPr>
              <w:t>Sulfide</w:t>
            </w:r>
          </w:p>
        </w:tc>
        <w:tc>
          <w:tcPr>
            <w:tcW w:w="1252" w:type="dxa"/>
            <w:shd w:val="clear" w:color="auto" w:fill="FFFFFF"/>
            <w:vAlign w:val="center"/>
          </w:tcPr>
          <w:p w14:paraId="67E63A91" w14:textId="6BD096E2" w:rsidR="007D1C9E" w:rsidRPr="00506ACA" w:rsidRDefault="007D1C9E" w:rsidP="00093178">
            <w:pPr>
              <w:pStyle w:val="CETBodytext"/>
              <w:ind w:right="-1"/>
              <w:jc w:val="left"/>
              <w:rPr>
                <w:rFonts w:cs="Arial"/>
                <w:szCs w:val="18"/>
                <w:lang w:val="en-GB"/>
              </w:rPr>
            </w:pPr>
            <w:r>
              <w:rPr>
                <w:rFonts w:cs="Arial"/>
                <w:szCs w:val="18"/>
                <w:lang w:val="en-GB"/>
              </w:rPr>
              <w:t>7.5</w:t>
            </w:r>
          </w:p>
        </w:tc>
        <w:tc>
          <w:tcPr>
            <w:tcW w:w="1252" w:type="dxa"/>
            <w:shd w:val="clear" w:color="auto" w:fill="FFFFFF"/>
            <w:vAlign w:val="center"/>
          </w:tcPr>
          <w:p w14:paraId="0661CADC" w14:textId="04EDBD5A" w:rsidR="007D1C9E" w:rsidRPr="00506ACA" w:rsidRDefault="007D1C9E" w:rsidP="00093178">
            <w:pPr>
              <w:pStyle w:val="CETBodytext"/>
              <w:ind w:right="-1"/>
              <w:jc w:val="left"/>
              <w:rPr>
                <w:rFonts w:cs="Arial"/>
                <w:szCs w:val="18"/>
                <w:lang w:val="en-GB"/>
              </w:rPr>
            </w:pPr>
            <w:r w:rsidRPr="00B97DC7">
              <w:t>378.1</w:t>
            </w:r>
          </w:p>
        </w:tc>
        <w:tc>
          <w:tcPr>
            <w:tcW w:w="1252" w:type="dxa"/>
            <w:shd w:val="clear" w:color="auto" w:fill="FFFFFF"/>
            <w:vAlign w:val="center"/>
          </w:tcPr>
          <w:p w14:paraId="70B008E6" w14:textId="74A77B4F" w:rsidR="007D1C9E" w:rsidRPr="00506ACA" w:rsidRDefault="007D1C9E" w:rsidP="00093178">
            <w:pPr>
              <w:pStyle w:val="CETBodytext"/>
              <w:ind w:right="-1"/>
              <w:jc w:val="left"/>
              <w:rPr>
                <w:rFonts w:cs="Arial"/>
                <w:szCs w:val="18"/>
                <w:lang w:val="en-GB"/>
              </w:rPr>
            </w:pPr>
            <w:r w:rsidRPr="001117EB">
              <w:t>43.70</w:t>
            </w:r>
          </w:p>
        </w:tc>
        <w:tc>
          <w:tcPr>
            <w:tcW w:w="1252" w:type="dxa"/>
            <w:shd w:val="clear" w:color="auto" w:fill="FFFFFF"/>
            <w:vAlign w:val="center"/>
          </w:tcPr>
          <w:p w14:paraId="2C525B7D" w14:textId="4F1CD172" w:rsidR="007D1C9E" w:rsidRPr="00506ACA" w:rsidRDefault="007D1C9E" w:rsidP="00093178">
            <w:pPr>
              <w:pStyle w:val="CETBodytext"/>
              <w:ind w:right="-1"/>
              <w:jc w:val="left"/>
              <w:rPr>
                <w:rFonts w:cs="Arial"/>
                <w:szCs w:val="18"/>
                <w:lang w:val="en-GB"/>
              </w:rPr>
            </w:pPr>
            <w:r w:rsidRPr="00D57FD1">
              <w:t>8.59</w:t>
            </w:r>
          </w:p>
        </w:tc>
        <w:tc>
          <w:tcPr>
            <w:tcW w:w="1253" w:type="dxa"/>
            <w:shd w:val="clear" w:color="auto" w:fill="FFFFFF"/>
            <w:vAlign w:val="center"/>
          </w:tcPr>
          <w:p w14:paraId="6E8C8EAB" w14:textId="1B72656B" w:rsidR="007D1C9E" w:rsidRPr="00506ACA" w:rsidRDefault="007D1C9E" w:rsidP="00093178">
            <w:pPr>
              <w:pStyle w:val="CETBodytext"/>
              <w:ind w:right="-1"/>
              <w:jc w:val="left"/>
              <w:rPr>
                <w:rFonts w:cs="Arial"/>
                <w:szCs w:val="18"/>
                <w:lang w:val="en-GB"/>
              </w:rPr>
            </w:pPr>
            <w:r w:rsidRPr="00AC21AA">
              <w:t>2.90</w:t>
            </w:r>
          </w:p>
        </w:tc>
      </w:tr>
      <w:tr w:rsidR="007D1C9E" w:rsidRPr="00506ACA" w14:paraId="563042BE" w14:textId="77777777" w:rsidTr="00093178">
        <w:tc>
          <w:tcPr>
            <w:tcW w:w="937" w:type="dxa"/>
            <w:shd w:val="clear" w:color="auto" w:fill="FFFFFF"/>
            <w:vAlign w:val="center"/>
          </w:tcPr>
          <w:p w14:paraId="340DA2C4" w14:textId="259FC010" w:rsidR="007D1C9E" w:rsidRPr="00506ACA" w:rsidRDefault="007D1C9E" w:rsidP="00093178">
            <w:pPr>
              <w:pStyle w:val="CETBodytext"/>
              <w:ind w:right="-1"/>
              <w:jc w:val="left"/>
              <w:rPr>
                <w:lang w:val="en-GB"/>
              </w:rPr>
            </w:pPr>
            <w:r>
              <w:rPr>
                <w:lang w:val="en-GB"/>
              </w:rPr>
              <w:t>OP</w:t>
            </w:r>
            <w:r w:rsidRPr="00506ACA">
              <w:rPr>
                <w:lang w:val="en-GB"/>
              </w:rPr>
              <w:t>O-6</w:t>
            </w:r>
          </w:p>
        </w:tc>
        <w:tc>
          <w:tcPr>
            <w:tcW w:w="1589" w:type="dxa"/>
            <w:shd w:val="clear" w:color="auto" w:fill="FFFFFF"/>
            <w:vAlign w:val="center"/>
          </w:tcPr>
          <w:p w14:paraId="0A29F633" w14:textId="77777777" w:rsidR="007D1C9E" w:rsidRPr="00506ACA" w:rsidRDefault="007D1C9E" w:rsidP="00093178">
            <w:pPr>
              <w:pStyle w:val="CETBodytext"/>
              <w:ind w:right="-1"/>
              <w:jc w:val="left"/>
              <w:rPr>
                <w:lang w:val="en-GB"/>
              </w:rPr>
            </w:pPr>
            <w:r w:rsidRPr="00506ACA">
              <w:rPr>
                <w:lang w:val="en-GB"/>
              </w:rPr>
              <w:t>Amine 2</w:t>
            </w:r>
          </w:p>
        </w:tc>
        <w:tc>
          <w:tcPr>
            <w:tcW w:w="1252" w:type="dxa"/>
            <w:shd w:val="clear" w:color="auto" w:fill="FFFFFF"/>
            <w:vAlign w:val="center"/>
          </w:tcPr>
          <w:p w14:paraId="06D6B076" w14:textId="7E189F5B" w:rsidR="007D1C9E" w:rsidRPr="00506ACA" w:rsidRDefault="007D1C9E" w:rsidP="00093178">
            <w:pPr>
              <w:pStyle w:val="CETBodytext"/>
              <w:ind w:right="-1"/>
              <w:jc w:val="left"/>
              <w:rPr>
                <w:lang w:val="en-GB"/>
              </w:rPr>
            </w:pPr>
            <w:r w:rsidRPr="00506ACA">
              <w:rPr>
                <w:lang w:val="en-GB"/>
              </w:rPr>
              <w:t>7.</w:t>
            </w:r>
            <w:r>
              <w:rPr>
                <w:lang w:val="en-GB"/>
              </w:rPr>
              <w:t>0</w:t>
            </w:r>
          </w:p>
        </w:tc>
        <w:tc>
          <w:tcPr>
            <w:tcW w:w="1252" w:type="dxa"/>
            <w:shd w:val="clear" w:color="auto" w:fill="FFFFFF"/>
            <w:vAlign w:val="center"/>
          </w:tcPr>
          <w:p w14:paraId="753C5F9A" w14:textId="3B14B3BD" w:rsidR="007D1C9E" w:rsidRPr="00506ACA" w:rsidRDefault="007D1C9E" w:rsidP="00093178">
            <w:pPr>
              <w:pStyle w:val="CETBodytext"/>
              <w:ind w:right="-1"/>
              <w:jc w:val="left"/>
              <w:rPr>
                <w:lang w:val="en-GB"/>
              </w:rPr>
            </w:pPr>
            <w:r w:rsidRPr="00B97DC7">
              <w:t>288.8</w:t>
            </w:r>
          </w:p>
        </w:tc>
        <w:tc>
          <w:tcPr>
            <w:tcW w:w="1252" w:type="dxa"/>
            <w:shd w:val="clear" w:color="auto" w:fill="FFFFFF"/>
            <w:vAlign w:val="center"/>
          </w:tcPr>
          <w:p w14:paraId="282C94C0" w14:textId="249588AF" w:rsidR="007D1C9E" w:rsidRPr="00506ACA" w:rsidRDefault="007D1C9E" w:rsidP="00093178">
            <w:pPr>
              <w:pStyle w:val="CETBodytext"/>
              <w:ind w:right="-1"/>
              <w:jc w:val="left"/>
              <w:rPr>
                <w:lang w:val="en-GB"/>
              </w:rPr>
            </w:pPr>
            <w:r w:rsidRPr="001117EB">
              <w:t>34.48</w:t>
            </w:r>
          </w:p>
        </w:tc>
        <w:tc>
          <w:tcPr>
            <w:tcW w:w="1252" w:type="dxa"/>
            <w:shd w:val="clear" w:color="auto" w:fill="FFFFFF"/>
            <w:vAlign w:val="center"/>
          </w:tcPr>
          <w:p w14:paraId="515362B0" w14:textId="37C82D85" w:rsidR="007D1C9E" w:rsidRPr="00506ACA" w:rsidRDefault="007D1C9E" w:rsidP="00093178">
            <w:pPr>
              <w:pStyle w:val="CETBodytext"/>
              <w:ind w:right="-1"/>
              <w:jc w:val="left"/>
              <w:rPr>
                <w:lang w:val="en-GB"/>
              </w:rPr>
            </w:pPr>
            <w:r w:rsidRPr="00D57FD1">
              <w:t>8.88</w:t>
            </w:r>
          </w:p>
        </w:tc>
        <w:tc>
          <w:tcPr>
            <w:tcW w:w="1253" w:type="dxa"/>
            <w:shd w:val="clear" w:color="auto" w:fill="FFFFFF"/>
            <w:vAlign w:val="center"/>
          </w:tcPr>
          <w:p w14:paraId="06FDEB15" w14:textId="141429AC" w:rsidR="007D1C9E" w:rsidRPr="00506ACA" w:rsidRDefault="007D1C9E" w:rsidP="00093178">
            <w:pPr>
              <w:pStyle w:val="CETBodytext"/>
              <w:ind w:right="-1"/>
              <w:jc w:val="left"/>
              <w:rPr>
                <w:lang w:val="en-GB"/>
              </w:rPr>
            </w:pPr>
            <w:r w:rsidRPr="00AC21AA">
              <w:t>4.20</w:t>
            </w:r>
          </w:p>
        </w:tc>
      </w:tr>
    </w:tbl>
    <w:p w14:paraId="52BA5D85" w14:textId="6E94243E" w:rsidR="00634D1C" w:rsidRPr="00642A4F" w:rsidRDefault="008A4BF9" w:rsidP="00255187">
      <w:pPr>
        <w:pStyle w:val="CETBodytext"/>
        <w:spacing w:before="120" w:after="60"/>
        <w:rPr>
          <w:lang w:val="en-GB"/>
        </w:rPr>
      </w:pPr>
      <w:bookmarkStart w:id="2" w:name="_Hlk190442468"/>
      <w:r w:rsidRPr="00A918F3">
        <w:rPr>
          <w:lang w:val="en-GB"/>
        </w:rPr>
        <w:t xml:space="preserve">In the case of sulfurized additive samples produced on the basis of olive </w:t>
      </w:r>
      <w:r>
        <w:rPr>
          <w:lang w:val="en-GB"/>
        </w:rPr>
        <w:t xml:space="preserve">pomace </w:t>
      </w:r>
      <w:r w:rsidRPr="00A918F3">
        <w:rPr>
          <w:lang w:val="en-GB"/>
        </w:rPr>
        <w:t xml:space="preserve">oil, the highest viscosity was achieved by those whose total sulfur content was also among the highest. These were the OPO-3, OPO-5 and OPO-6 samples. The low total and active sulfur content measured in the case of the OPO-2 sample was due to the significant amount of precipitate that was filtered out. The two samples with the lowest active sulfur content were produced using amine and sulfide type catalysts. Favorable results were also achieved when using </w:t>
      </w:r>
      <w:r>
        <w:rPr>
          <w:lang w:val="en-GB"/>
        </w:rPr>
        <w:t>the</w:t>
      </w:r>
      <w:r w:rsidRPr="00A918F3">
        <w:rPr>
          <w:lang w:val="en-GB"/>
        </w:rPr>
        <w:t xml:space="preserve"> organic peroxide catalyst.</w:t>
      </w:r>
      <w:r>
        <w:rPr>
          <w:lang w:val="en-GB"/>
        </w:rPr>
        <w:t xml:space="preserve"> O</w:t>
      </w:r>
      <w:r w:rsidR="003E2EED">
        <w:rPr>
          <w:lang w:val="en-GB"/>
        </w:rPr>
        <w:t xml:space="preserve">n Figure </w:t>
      </w:r>
      <w:r w:rsidR="000A5F77">
        <w:rPr>
          <w:lang w:val="en-GB"/>
        </w:rPr>
        <w:t>2</w:t>
      </w:r>
      <w:r w:rsidR="003E2EED">
        <w:rPr>
          <w:lang w:val="en-GB"/>
        </w:rPr>
        <w:t>, t</w:t>
      </w:r>
      <w:r w:rsidR="003E2EED" w:rsidRPr="003E2EED">
        <w:rPr>
          <w:lang w:val="en-GB"/>
        </w:rPr>
        <w:t xml:space="preserve">he kinematic viscosity, the total </w:t>
      </w:r>
      <w:r w:rsidR="003E2EED">
        <w:rPr>
          <w:lang w:val="en-GB"/>
        </w:rPr>
        <w:t xml:space="preserve">and the active </w:t>
      </w:r>
      <w:r w:rsidR="003E2EED" w:rsidRPr="003E2EED">
        <w:rPr>
          <w:lang w:val="en-GB"/>
        </w:rPr>
        <w:t>sulfur content of the sulfurized olive pomace oil additive samples</w:t>
      </w:r>
      <w:r w:rsidR="002B69C1">
        <w:rPr>
          <w:lang w:val="en-GB"/>
        </w:rPr>
        <w:t xml:space="preserve"> are shown.</w:t>
      </w:r>
      <w:bookmarkEnd w:id="2"/>
    </w:p>
    <w:p w14:paraId="52A287DD" w14:textId="77777777" w:rsidR="00634D1C" w:rsidRPr="00642A4F" w:rsidRDefault="00634D1C" w:rsidP="00634D1C">
      <w:pPr>
        <w:pStyle w:val="CETBodytext"/>
        <w:spacing w:before="120" w:after="60"/>
        <w:rPr>
          <w:lang w:val="en-GB"/>
        </w:rPr>
      </w:pPr>
      <w:r>
        <w:rPr>
          <w:noProof/>
          <w:lang w:val="en-GB"/>
        </w:rPr>
        <w:drawing>
          <wp:inline distT="0" distB="0" distL="0" distR="0" wp14:anchorId="675FC2D6" wp14:editId="523680C3">
            <wp:extent cx="3065209" cy="2124000"/>
            <wp:effectExtent l="0" t="0" r="1905"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65209" cy="2124000"/>
                    </a:xfrm>
                    <a:prstGeom prst="rect">
                      <a:avLst/>
                    </a:prstGeom>
                    <a:noFill/>
                  </pic:spPr>
                </pic:pic>
              </a:graphicData>
            </a:graphic>
          </wp:inline>
        </w:drawing>
      </w:r>
    </w:p>
    <w:p w14:paraId="40430D3D" w14:textId="72598A13" w:rsidR="00634D1C" w:rsidRPr="00642A4F" w:rsidRDefault="00634D1C" w:rsidP="008147F4">
      <w:pPr>
        <w:pStyle w:val="CETCaption"/>
        <w:spacing w:before="80" w:after="120"/>
      </w:pPr>
      <w:r w:rsidRPr="00642A4F">
        <w:rPr>
          <w:rStyle w:val="CETCaptionCarattere"/>
          <w:i/>
        </w:rPr>
        <w:t xml:space="preserve">Figure </w:t>
      </w:r>
      <w:r w:rsidR="000A5F77">
        <w:rPr>
          <w:rStyle w:val="CETCaptionCarattere"/>
          <w:i/>
        </w:rPr>
        <w:t>2</w:t>
      </w:r>
      <w:r w:rsidRPr="00642A4F">
        <w:rPr>
          <w:rStyle w:val="CETCaptionCarattere"/>
          <w:i/>
        </w:rPr>
        <w:t xml:space="preserve">: </w:t>
      </w:r>
      <w:r w:rsidRPr="00934B74">
        <w:rPr>
          <w:rStyle w:val="CETCaptionCarattere"/>
          <w:i/>
        </w:rPr>
        <w:t xml:space="preserve">The kinematic viscosity, the total sulfur content and the active sulfur content of the sulfurized </w:t>
      </w:r>
      <w:r>
        <w:rPr>
          <w:rStyle w:val="CETCaptionCarattere"/>
          <w:i/>
        </w:rPr>
        <w:t>olive pomace</w:t>
      </w:r>
      <w:r w:rsidRPr="00934B74">
        <w:rPr>
          <w:rStyle w:val="CETCaptionCarattere"/>
          <w:i/>
        </w:rPr>
        <w:t xml:space="preserve"> oil additive samples</w:t>
      </w:r>
    </w:p>
    <w:p w14:paraId="5F052FBC" w14:textId="031D5804" w:rsidR="009F7C63" w:rsidRPr="00C158E9" w:rsidRDefault="00572F68" w:rsidP="009F7C63">
      <w:pPr>
        <w:pStyle w:val="CETBodytext"/>
        <w:spacing w:before="120" w:after="60"/>
        <w:rPr>
          <w:lang w:val="en-GB"/>
        </w:rPr>
      </w:pPr>
      <w:r w:rsidRPr="00C158E9">
        <w:rPr>
          <w:lang w:val="en-GB"/>
        </w:rPr>
        <w:t>After</w:t>
      </w:r>
      <w:r w:rsidR="009F7C63" w:rsidRPr="00C158E9">
        <w:rPr>
          <w:lang w:val="en-GB"/>
        </w:rPr>
        <w:t xml:space="preserve"> the sulfurized additives were synthesized and </w:t>
      </w:r>
      <w:r w:rsidR="008D725E" w:rsidRPr="00C158E9">
        <w:rPr>
          <w:lang w:val="en-GB"/>
        </w:rPr>
        <w:t xml:space="preserve">investigated, </w:t>
      </w:r>
      <w:r w:rsidR="009F7C63" w:rsidRPr="00C158E9">
        <w:rPr>
          <w:lang w:val="en-GB"/>
        </w:rPr>
        <w:t xml:space="preserve">the lubricating oils </w:t>
      </w:r>
      <w:r w:rsidR="008D725E" w:rsidRPr="00C158E9">
        <w:rPr>
          <w:lang w:val="en-GB"/>
        </w:rPr>
        <w:t xml:space="preserve">were made </w:t>
      </w:r>
      <w:r w:rsidR="009F7C63" w:rsidRPr="00C158E9">
        <w:rPr>
          <w:lang w:val="en-GB"/>
        </w:rPr>
        <w:t>by adding the</w:t>
      </w:r>
      <w:r w:rsidR="008D725E" w:rsidRPr="00C158E9">
        <w:rPr>
          <w:lang w:val="en-GB"/>
        </w:rPr>
        <w:t xml:space="preserve"> synthesized</w:t>
      </w:r>
      <w:r w:rsidR="009F7C63" w:rsidRPr="00C158E9">
        <w:rPr>
          <w:lang w:val="en-GB"/>
        </w:rPr>
        <w:t xml:space="preserve"> additives </w:t>
      </w:r>
      <w:r w:rsidR="00475BD6" w:rsidRPr="00C158E9">
        <w:rPr>
          <w:lang w:val="en-GB"/>
        </w:rPr>
        <w:t xml:space="preserve">in 3 wt% into Group I dilution oil. Finally, </w:t>
      </w:r>
      <w:r w:rsidR="009F7C63" w:rsidRPr="00C158E9">
        <w:rPr>
          <w:lang w:val="en-GB"/>
        </w:rPr>
        <w:t>the key</w:t>
      </w:r>
      <w:r w:rsidR="00475BD6" w:rsidRPr="00C158E9">
        <w:rPr>
          <w:lang w:val="en-GB"/>
        </w:rPr>
        <w:t xml:space="preserve"> </w:t>
      </w:r>
      <w:r w:rsidR="009F7C63" w:rsidRPr="00C158E9">
        <w:rPr>
          <w:lang w:val="en-GB"/>
        </w:rPr>
        <w:t>performance properties evaluation of the</w:t>
      </w:r>
      <w:r w:rsidR="00475BD6" w:rsidRPr="00C158E9">
        <w:rPr>
          <w:lang w:val="en-GB"/>
        </w:rPr>
        <w:t xml:space="preserve"> lubricating oil samples were executed</w:t>
      </w:r>
      <w:r w:rsidR="00550BB0" w:rsidRPr="00C158E9">
        <w:rPr>
          <w:lang w:val="en-GB"/>
        </w:rPr>
        <w:t xml:space="preserve"> </w:t>
      </w:r>
      <w:r w:rsidR="00C158E9" w:rsidRPr="00C158E9">
        <w:rPr>
          <w:lang w:val="en-GB"/>
        </w:rPr>
        <w:t>for the purpose of assessing their compliance with the objectives set.</w:t>
      </w:r>
    </w:p>
    <w:p w14:paraId="6505311C" w14:textId="533D1AE6" w:rsidR="00DA565C" w:rsidRDefault="00A116E0" w:rsidP="008147F4">
      <w:pPr>
        <w:pStyle w:val="CETBodytext"/>
        <w:spacing w:after="60"/>
        <w:rPr>
          <w:lang w:val="en-GB"/>
        </w:rPr>
      </w:pPr>
      <w:r>
        <w:rPr>
          <w:lang w:val="en-GB"/>
        </w:rPr>
        <w:t xml:space="preserve">In Table 6, the </w:t>
      </w:r>
      <w:r w:rsidR="009F7C63" w:rsidRPr="00AD7B6A">
        <w:rPr>
          <w:lang w:val="en-GB"/>
        </w:rPr>
        <w:t>physic</w:t>
      </w:r>
      <w:r>
        <w:rPr>
          <w:lang w:val="en-GB"/>
        </w:rPr>
        <w:t>o-chemical</w:t>
      </w:r>
      <w:r w:rsidR="009F7C63" w:rsidRPr="00AD7B6A">
        <w:rPr>
          <w:lang w:val="en-GB"/>
        </w:rPr>
        <w:t xml:space="preserve"> </w:t>
      </w:r>
      <w:r>
        <w:rPr>
          <w:lang w:val="en-GB"/>
        </w:rPr>
        <w:t xml:space="preserve">and functional </w:t>
      </w:r>
      <w:r w:rsidR="009F7C63" w:rsidRPr="00AD7B6A">
        <w:rPr>
          <w:lang w:val="en-GB"/>
        </w:rPr>
        <w:t>properties of the lubricating oil</w:t>
      </w:r>
      <w:r w:rsidR="0017605E">
        <w:rPr>
          <w:lang w:val="en-GB"/>
        </w:rPr>
        <w:t xml:space="preserve"> solutions</w:t>
      </w:r>
      <w:r w:rsidR="009F7C63" w:rsidRPr="00AD7B6A">
        <w:rPr>
          <w:lang w:val="en-GB"/>
        </w:rPr>
        <w:t xml:space="preserve"> </w:t>
      </w:r>
      <w:r w:rsidR="00266B5E">
        <w:rPr>
          <w:lang w:val="en-GB"/>
        </w:rPr>
        <w:t xml:space="preserve">made with the </w:t>
      </w:r>
      <w:r w:rsidR="00266B5E" w:rsidRPr="00266B5E">
        <w:rPr>
          <w:lang w:val="en-GB"/>
        </w:rPr>
        <w:t xml:space="preserve">sulfurized used cooking oil additive samples </w:t>
      </w:r>
      <w:r w:rsidR="009F7C63" w:rsidRPr="00AD7B6A">
        <w:rPr>
          <w:lang w:val="en-GB"/>
        </w:rPr>
        <w:t>are described.</w:t>
      </w:r>
      <w:r w:rsidR="00DE4E12">
        <w:rPr>
          <w:lang w:val="en-GB"/>
        </w:rPr>
        <w:t xml:space="preserve"> </w:t>
      </w:r>
      <w:r w:rsidR="00DE4E12" w:rsidRPr="00DE4E12">
        <w:rPr>
          <w:lang w:val="en-GB"/>
        </w:rPr>
        <w:t xml:space="preserve">Since </w:t>
      </w:r>
      <w:r w:rsidR="00DE4E12">
        <w:rPr>
          <w:lang w:val="en-GB"/>
        </w:rPr>
        <w:t xml:space="preserve">the colour of the </w:t>
      </w:r>
      <w:r w:rsidR="00DE4E12" w:rsidRPr="00DE4E12">
        <w:rPr>
          <w:lang w:val="en-GB"/>
        </w:rPr>
        <w:t xml:space="preserve">used cooking oil </w:t>
      </w:r>
      <w:r w:rsidR="004726C1">
        <w:rPr>
          <w:lang w:val="en-GB"/>
        </w:rPr>
        <w:t>i</w:t>
      </w:r>
      <w:r w:rsidR="00DE4E12" w:rsidRPr="00DE4E12">
        <w:rPr>
          <w:lang w:val="en-GB"/>
        </w:rPr>
        <w:t xml:space="preserve">s darker than crude or refined vegetable oils, the additive samples synthesized using it </w:t>
      </w:r>
      <w:r w:rsidR="004B7610">
        <w:rPr>
          <w:lang w:val="en-GB"/>
        </w:rPr>
        <w:t>had</w:t>
      </w:r>
      <w:r w:rsidR="00DE4E12" w:rsidRPr="00DE4E12">
        <w:rPr>
          <w:lang w:val="en-GB"/>
        </w:rPr>
        <w:t xml:space="preserve"> also dark</w:t>
      </w:r>
      <w:r w:rsidR="004B7610">
        <w:rPr>
          <w:lang w:val="en-GB"/>
        </w:rPr>
        <w:t>er</w:t>
      </w:r>
      <w:r w:rsidR="00DE4E12" w:rsidRPr="00DE4E12">
        <w:rPr>
          <w:lang w:val="en-GB"/>
        </w:rPr>
        <w:t xml:space="preserve"> colo</w:t>
      </w:r>
      <w:r w:rsidR="004B7610">
        <w:rPr>
          <w:lang w:val="en-GB"/>
        </w:rPr>
        <w:t>u</w:t>
      </w:r>
      <w:r w:rsidR="00DE4E12" w:rsidRPr="00DE4E12">
        <w:rPr>
          <w:lang w:val="en-GB"/>
        </w:rPr>
        <w:t>r. Th</w:t>
      </w:r>
      <w:r w:rsidR="005B77D1">
        <w:rPr>
          <w:lang w:val="en-GB"/>
        </w:rPr>
        <w:t>is is</w:t>
      </w:r>
      <w:r w:rsidR="00DE4E12" w:rsidRPr="00DE4E12">
        <w:rPr>
          <w:lang w:val="en-GB"/>
        </w:rPr>
        <w:t xml:space="preserve"> noticeable in the colo</w:t>
      </w:r>
      <w:r w:rsidR="005B77D1">
        <w:rPr>
          <w:lang w:val="en-GB"/>
        </w:rPr>
        <w:t>u</w:t>
      </w:r>
      <w:r w:rsidR="00DE4E12" w:rsidRPr="00DE4E12">
        <w:rPr>
          <w:lang w:val="en-GB"/>
        </w:rPr>
        <w:t xml:space="preserve">r of the lubricating oil samples </w:t>
      </w:r>
      <w:r w:rsidR="0008480C">
        <w:rPr>
          <w:lang w:val="en-GB"/>
        </w:rPr>
        <w:t>as well</w:t>
      </w:r>
      <w:r w:rsidR="00DE4E12" w:rsidRPr="00DE4E12">
        <w:rPr>
          <w:lang w:val="en-GB"/>
        </w:rPr>
        <w:t>, which ranged from dark brown to reddish brown.</w:t>
      </w:r>
    </w:p>
    <w:p w14:paraId="6A3DDEBE" w14:textId="77777777" w:rsidR="00DA565C" w:rsidRDefault="00DA565C">
      <w:pPr>
        <w:tabs>
          <w:tab w:val="clear" w:pos="7100"/>
        </w:tabs>
        <w:spacing w:after="200" w:line="276" w:lineRule="auto"/>
        <w:jc w:val="left"/>
      </w:pPr>
      <w:r>
        <w:br w:type="page"/>
      </w:r>
    </w:p>
    <w:p w14:paraId="1339FC01" w14:textId="564137C8" w:rsidR="009F7C63" w:rsidRPr="00A748E6" w:rsidRDefault="009F7C63" w:rsidP="008147F4">
      <w:pPr>
        <w:pStyle w:val="CETTabletitle"/>
        <w:spacing w:before="120"/>
      </w:pPr>
      <w:r w:rsidRPr="00A748E6">
        <w:lastRenderedPageBreak/>
        <w:t xml:space="preserve">Table </w:t>
      </w:r>
      <w:r w:rsidR="00A748E6">
        <w:t>6</w:t>
      </w:r>
      <w:r w:rsidRPr="00A748E6">
        <w:t xml:space="preserve">: Physico-chemical and functional properties of </w:t>
      </w:r>
      <w:r w:rsidR="007B53F6">
        <w:t xml:space="preserve">the </w:t>
      </w:r>
      <w:r w:rsidR="00224DE7">
        <w:t>lubricating</w:t>
      </w:r>
      <w:r w:rsidR="007B53F6" w:rsidRPr="007B53F6">
        <w:t xml:space="preserve"> oil solutions</w:t>
      </w:r>
      <w:r w:rsidR="00224DE7">
        <w:t xml:space="preserve"> (LO</w:t>
      </w:r>
      <w:r w:rsidR="0032217C">
        <w:t>S</w:t>
      </w:r>
      <w:r w:rsidR="00224DE7">
        <w:t>)</w:t>
      </w:r>
      <w:r w:rsidR="007B53F6" w:rsidRPr="007B53F6">
        <w:t xml:space="preserve"> of the sulfurized used cooking oil additive samples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992"/>
        <w:gridCol w:w="993"/>
        <w:gridCol w:w="1843"/>
        <w:gridCol w:w="992"/>
        <w:gridCol w:w="992"/>
        <w:gridCol w:w="992"/>
        <w:gridCol w:w="1134"/>
        <w:gridCol w:w="849"/>
      </w:tblGrid>
      <w:tr w:rsidR="0032217C" w:rsidRPr="0032217C" w14:paraId="76137FFE" w14:textId="77777777" w:rsidTr="00590093">
        <w:tc>
          <w:tcPr>
            <w:tcW w:w="992" w:type="dxa"/>
            <w:tcBorders>
              <w:top w:val="single" w:sz="12" w:space="0" w:color="008000"/>
              <w:bottom w:val="single" w:sz="6" w:space="0" w:color="008000"/>
            </w:tcBorders>
            <w:shd w:val="clear" w:color="auto" w:fill="FFFFFF"/>
            <w:vAlign w:val="center"/>
          </w:tcPr>
          <w:p w14:paraId="32857D5E" w14:textId="77777777" w:rsidR="009F7C63" w:rsidRPr="0032217C" w:rsidRDefault="009F7C63" w:rsidP="00DE6F24">
            <w:pPr>
              <w:pStyle w:val="CETBodytext"/>
              <w:jc w:val="left"/>
              <w:rPr>
                <w:lang w:val="en-GB"/>
              </w:rPr>
            </w:pPr>
            <w:r w:rsidRPr="0032217C">
              <w:rPr>
                <w:lang w:val="en-GB"/>
              </w:rPr>
              <w:t>Lubricating oil sample</w:t>
            </w:r>
          </w:p>
        </w:tc>
        <w:tc>
          <w:tcPr>
            <w:tcW w:w="993" w:type="dxa"/>
            <w:tcBorders>
              <w:top w:val="single" w:sz="12" w:space="0" w:color="008000"/>
              <w:bottom w:val="single" w:sz="6" w:space="0" w:color="008000"/>
            </w:tcBorders>
            <w:shd w:val="clear" w:color="auto" w:fill="FFFFFF"/>
            <w:vAlign w:val="center"/>
          </w:tcPr>
          <w:p w14:paraId="4627522B" w14:textId="77777777" w:rsidR="009F7C63" w:rsidRPr="0032217C" w:rsidRDefault="009F7C63" w:rsidP="00DE6F24">
            <w:pPr>
              <w:pStyle w:val="CETBodytext"/>
              <w:jc w:val="left"/>
              <w:rPr>
                <w:lang w:val="en-GB"/>
              </w:rPr>
            </w:pPr>
            <w:r w:rsidRPr="0032217C">
              <w:rPr>
                <w:lang w:val="en-GB"/>
              </w:rPr>
              <w:t>Sulfurized sample</w:t>
            </w:r>
          </w:p>
        </w:tc>
        <w:tc>
          <w:tcPr>
            <w:tcW w:w="1843" w:type="dxa"/>
            <w:tcBorders>
              <w:top w:val="single" w:sz="12" w:space="0" w:color="008000"/>
              <w:bottom w:val="single" w:sz="6" w:space="0" w:color="008000"/>
            </w:tcBorders>
            <w:shd w:val="clear" w:color="auto" w:fill="FFFFFF"/>
            <w:vAlign w:val="center"/>
          </w:tcPr>
          <w:p w14:paraId="6D881F59" w14:textId="77777777" w:rsidR="009F7C63" w:rsidRPr="0032217C" w:rsidRDefault="009F7C63" w:rsidP="00DE6F24">
            <w:pPr>
              <w:pStyle w:val="CETBodytext"/>
              <w:jc w:val="left"/>
              <w:rPr>
                <w:lang w:val="en-GB"/>
              </w:rPr>
            </w:pPr>
            <w:r w:rsidRPr="0032217C">
              <w:rPr>
                <w:lang w:val="en-GB"/>
              </w:rPr>
              <w:t>Appearance</w:t>
            </w:r>
          </w:p>
        </w:tc>
        <w:tc>
          <w:tcPr>
            <w:tcW w:w="992" w:type="dxa"/>
            <w:tcBorders>
              <w:top w:val="single" w:sz="12" w:space="0" w:color="008000"/>
              <w:bottom w:val="single" w:sz="6" w:space="0" w:color="008000"/>
            </w:tcBorders>
            <w:shd w:val="clear" w:color="auto" w:fill="FFFFFF"/>
            <w:vAlign w:val="center"/>
          </w:tcPr>
          <w:p w14:paraId="1A279078" w14:textId="77777777" w:rsidR="009F7C63" w:rsidRPr="0032217C" w:rsidRDefault="009F7C63" w:rsidP="00DE6F24">
            <w:pPr>
              <w:pStyle w:val="CETBodytext"/>
              <w:jc w:val="left"/>
              <w:rPr>
                <w:lang w:val="en-GB"/>
              </w:rPr>
            </w:pPr>
            <w:r w:rsidRPr="0032217C">
              <w:rPr>
                <w:lang w:val="en-GB"/>
              </w:rPr>
              <w:t>Kinematic viscosity at 40°C, mm</w:t>
            </w:r>
            <w:r w:rsidRPr="0032217C">
              <w:rPr>
                <w:vertAlign w:val="superscript"/>
                <w:lang w:val="en-GB"/>
              </w:rPr>
              <w:t>2</w:t>
            </w:r>
            <w:r w:rsidRPr="0032217C">
              <w:rPr>
                <w:lang w:val="en-GB"/>
              </w:rPr>
              <w:t>/s</w:t>
            </w:r>
          </w:p>
        </w:tc>
        <w:tc>
          <w:tcPr>
            <w:tcW w:w="992" w:type="dxa"/>
            <w:tcBorders>
              <w:top w:val="single" w:sz="12" w:space="0" w:color="008000"/>
              <w:bottom w:val="single" w:sz="6" w:space="0" w:color="008000"/>
            </w:tcBorders>
            <w:shd w:val="clear" w:color="auto" w:fill="FFFFFF"/>
            <w:vAlign w:val="center"/>
          </w:tcPr>
          <w:p w14:paraId="7ADE1E3D" w14:textId="77777777" w:rsidR="009F7C63" w:rsidRPr="0032217C" w:rsidRDefault="009F7C63" w:rsidP="00DE6F24">
            <w:pPr>
              <w:pStyle w:val="CETBodytext"/>
              <w:jc w:val="left"/>
              <w:rPr>
                <w:lang w:val="en-GB"/>
              </w:rPr>
            </w:pPr>
            <w:r w:rsidRPr="0032217C">
              <w:rPr>
                <w:lang w:val="en-GB"/>
              </w:rPr>
              <w:t>Kinematic viscosity at 100°C, mm</w:t>
            </w:r>
            <w:r w:rsidRPr="0032217C">
              <w:rPr>
                <w:vertAlign w:val="superscript"/>
                <w:lang w:val="en-GB"/>
              </w:rPr>
              <w:t>2</w:t>
            </w:r>
            <w:r w:rsidRPr="0032217C">
              <w:rPr>
                <w:lang w:val="en-GB"/>
              </w:rPr>
              <w:t>/s</w:t>
            </w:r>
          </w:p>
        </w:tc>
        <w:tc>
          <w:tcPr>
            <w:tcW w:w="992" w:type="dxa"/>
            <w:tcBorders>
              <w:top w:val="single" w:sz="12" w:space="0" w:color="008000"/>
              <w:bottom w:val="single" w:sz="6" w:space="0" w:color="008000"/>
            </w:tcBorders>
            <w:shd w:val="clear" w:color="auto" w:fill="FFFFFF"/>
            <w:vAlign w:val="center"/>
          </w:tcPr>
          <w:p w14:paraId="363AF16A" w14:textId="77777777" w:rsidR="009F7C63" w:rsidRPr="0032217C" w:rsidRDefault="009F7C63" w:rsidP="00DE6F24">
            <w:pPr>
              <w:pStyle w:val="CETBodytext"/>
              <w:jc w:val="left"/>
              <w:rPr>
                <w:lang w:val="en-GB"/>
              </w:rPr>
            </w:pPr>
            <w:r w:rsidRPr="0032217C">
              <w:rPr>
                <w:lang w:val="en-GB"/>
              </w:rPr>
              <w:t>Four-ball weld load,</w:t>
            </w:r>
          </w:p>
          <w:p w14:paraId="0E4C2EAD" w14:textId="77777777" w:rsidR="009F7C63" w:rsidRPr="0032217C" w:rsidRDefault="009F7C63" w:rsidP="00DE6F24">
            <w:pPr>
              <w:pStyle w:val="CETBodytext"/>
              <w:jc w:val="left"/>
              <w:rPr>
                <w:lang w:val="en-GB"/>
              </w:rPr>
            </w:pPr>
            <w:r w:rsidRPr="0032217C">
              <w:rPr>
                <w:lang w:val="en-GB"/>
              </w:rPr>
              <w:t>N</w:t>
            </w:r>
          </w:p>
        </w:tc>
        <w:tc>
          <w:tcPr>
            <w:tcW w:w="1134" w:type="dxa"/>
            <w:tcBorders>
              <w:top w:val="single" w:sz="12" w:space="0" w:color="008000"/>
              <w:bottom w:val="single" w:sz="6" w:space="0" w:color="008000"/>
            </w:tcBorders>
            <w:shd w:val="clear" w:color="auto" w:fill="FFFFFF"/>
            <w:vAlign w:val="center"/>
          </w:tcPr>
          <w:p w14:paraId="1BA75B0C" w14:textId="77777777" w:rsidR="009F7C63" w:rsidRPr="0032217C" w:rsidRDefault="009F7C63" w:rsidP="00DE6F24">
            <w:pPr>
              <w:pStyle w:val="CETBodytext"/>
              <w:jc w:val="left"/>
              <w:rPr>
                <w:lang w:val="en-GB"/>
              </w:rPr>
            </w:pPr>
            <w:r w:rsidRPr="0032217C">
              <w:rPr>
                <w:lang w:val="en-GB"/>
              </w:rPr>
              <w:t>Four-ball scar diameter,</w:t>
            </w:r>
          </w:p>
          <w:p w14:paraId="7E5C97AC" w14:textId="77777777" w:rsidR="009F7C63" w:rsidRPr="0032217C" w:rsidRDefault="009F7C63" w:rsidP="00DE6F24">
            <w:pPr>
              <w:pStyle w:val="CETBodytext"/>
              <w:jc w:val="left"/>
              <w:rPr>
                <w:lang w:val="en-GB"/>
              </w:rPr>
            </w:pPr>
            <w:r w:rsidRPr="0032217C">
              <w:rPr>
                <w:lang w:val="en-GB"/>
              </w:rPr>
              <w:t>mm</w:t>
            </w:r>
          </w:p>
        </w:tc>
        <w:tc>
          <w:tcPr>
            <w:tcW w:w="849" w:type="dxa"/>
            <w:tcBorders>
              <w:top w:val="single" w:sz="12" w:space="0" w:color="008000"/>
              <w:bottom w:val="single" w:sz="6" w:space="0" w:color="008000"/>
            </w:tcBorders>
            <w:shd w:val="clear" w:color="auto" w:fill="FFFFFF"/>
            <w:vAlign w:val="center"/>
          </w:tcPr>
          <w:p w14:paraId="4133AA27" w14:textId="77777777" w:rsidR="009F7C63" w:rsidRPr="0032217C" w:rsidRDefault="009F7C63" w:rsidP="00DE6F24">
            <w:pPr>
              <w:pStyle w:val="CETBodytext"/>
              <w:jc w:val="left"/>
              <w:rPr>
                <w:lang w:val="en-GB"/>
              </w:rPr>
            </w:pPr>
            <w:r w:rsidRPr="0032217C">
              <w:rPr>
                <w:lang w:val="en-GB"/>
              </w:rPr>
              <w:t>Copper corrosion test, level</w:t>
            </w:r>
          </w:p>
        </w:tc>
      </w:tr>
      <w:tr w:rsidR="00754FDA" w:rsidRPr="0032217C" w14:paraId="37E6B28B" w14:textId="77777777" w:rsidTr="00590093">
        <w:tc>
          <w:tcPr>
            <w:tcW w:w="992" w:type="dxa"/>
            <w:shd w:val="clear" w:color="auto" w:fill="FFFFFF"/>
            <w:vAlign w:val="center"/>
          </w:tcPr>
          <w:p w14:paraId="65222DB4" w14:textId="1F05C674" w:rsidR="00754FDA" w:rsidRPr="0032217C" w:rsidRDefault="00754FDA" w:rsidP="00DE6F24">
            <w:pPr>
              <w:pStyle w:val="CETBodytext"/>
              <w:jc w:val="left"/>
              <w:rPr>
                <w:szCs w:val="16"/>
                <w:lang w:val="en-GB"/>
              </w:rPr>
            </w:pPr>
            <w:r w:rsidRPr="0032217C">
              <w:rPr>
                <w:szCs w:val="16"/>
                <w:lang w:val="en-GB"/>
              </w:rPr>
              <w:t>LOS-1</w:t>
            </w:r>
          </w:p>
        </w:tc>
        <w:tc>
          <w:tcPr>
            <w:tcW w:w="993" w:type="dxa"/>
            <w:shd w:val="clear" w:color="auto" w:fill="FFFFFF"/>
            <w:vAlign w:val="center"/>
          </w:tcPr>
          <w:p w14:paraId="6B404B19" w14:textId="5EF3A60E" w:rsidR="00754FDA" w:rsidRPr="0032217C" w:rsidRDefault="00754FDA" w:rsidP="00DE6F24">
            <w:pPr>
              <w:pStyle w:val="CETBodytext"/>
              <w:jc w:val="left"/>
              <w:rPr>
                <w:lang w:val="en-GB"/>
              </w:rPr>
            </w:pPr>
            <w:r w:rsidRPr="00746CB3">
              <w:t>UCO-1</w:t>
            </w:r>
          </w:p>
        </w:tc>
        <w:tc>
          <w:tcPr>
            <w:tcW w:w="1843" w:type="dxa"/>
            <w:shd w:val="clear" w:color="auto" w:fill="FFFFFF"/>
            <w:vAlign w:val="center"/>
          </w:tcPr>
          <w:p w14:paraId="0C36414E" w14:textId="010C0D26" w:rsidR="00754FDA" w:rsidRPr="0032217C" w:rsidRDefault="007033A8" w:rsidP="00DE6F24">
            <w:pPr>
              <w:autoSpaceDE w:val="0"/>
              <w:autoSpaceDN w:val="0"/>
              <w:adjustRightInd w:val="0"/>
              <w:jc w:val="left"/>
            </w:pPr>
            <w:r w:rsidRPr="0032217C">
              <w:rPr>
                <w:szCs w:val="16"/>
              </w:rPr>
              <w:t>Dark brown liquid</w:t>
            </w:r>
          </w:p>
        </w:tc>
        <w:tc>
          <w:tcPr>
            <w:tcW w:w="992" w:type="dxa"/>
            <w:shd w:val="clear" w:color="auto" w:fill="FFFFFF"/>
            <w:vAlign w:val="center"/>
          </w:tcPr>
          <w:p w14:paraId="18740409" w14:textId="004DA986" w:rsidR="00754FDA" w:rsidRPr="0032217C" w:rsidRDefault="00754FDA" w:rsidP="00DE6F24">
            <w:pPr>
              <w:pStyle w:val="CETBodytext"/>
              <w:jc w:val="left"/>
              <w:rPr>
                <w:lang w:val="en-GB"/>
              </w:rPr>
            </w:pPr>
            <w:r w:rsidRPr="00A842B8">
              <w:t>34.9</w:t>
            </w:r>
          </w:p>
        </w:tc>
        <w:tc>
          <w:tcPr>
            <w:tcW w:w="992" w:type="dxa"/>
            <w:shd w:val="clear" w:color="auto" w:fill="FFFFFF"/>
            <w:vAlign w:val="center"/>
          </w:tcPr>
          <w:p w14:paraId="35CB97AD" w14:textId="24E72716" w:rsidR="00754FDA" w:rsidRPr="0032217C" w:rsidRDefault="00754FDA" w:rsidP="00DE6F24">
            <w:pPr>
              <w:pStyle w:val="CETBodytext"/>
              <w:jc w:val="left"/>
              <w:rPr>
                <w:lang w:val="en-GB"/>
              </w:rPr>
            </w:pPr>
            <w:r w:rsidRPr="00BB3549">
              <w:t>5.70</w:t>
            </w:r>
          </w:p>
        </w:tc>
        <w:tc>
          <w:tcPr>
            <w:tcW w:w="992" w:type="dxa"/>
            <w:shd w:val="clear" w:color="auto" w:fill="FFFFFF"/>
            <w:vAlign w:val="center"/>
          </w:tcPr>
          <w:p w14:paraId="5E86897C" w14:textId="08FFE066" w:rsidR="00754FDA" w:rsidRPr="0032217C" w:rsidRDefault="00754FDA" w:rsidP="00DE6F24">
            <w:pPr>
              <w:pStyle w:val="CETBodytext"/>
              <w:jc w:val="left"/>
              <w:rPr>
                <w:lang w:val="en-GB"/>
              </w:rPr>
            </w:pPr>
            <w:r w:rsidRPr="00252C34">
              <w:t>2 300</w:t>
            </w:r>
          </w:p>
        </w:tc>
        <w:tc>
          <w:tcPr>
            <w:tcW w:w="1134" w:type="dxa"/>
            <w:shd w:val="clear" w:color="auto" w:fill="FFFFFF"/>
            <w:vAlign w:val="center"/>
          </w:tcPr>
          <w:p w14:paraId="6A553861" w14:textId="08C83183" w:rsidR="00754FDA" w:rsidRPr="0032217C" w:rsidRDefault="00754FDA" w:rsidP="00DE6F24">
            <w:pPr>
              <w:pStyle w:val="CETBodytext"/>
              <w:jc w:val="left"/>
              <w:rPr>
                <w:lang w:val="en-GB"/>
              </w:rPr>
            </w:pPr>
            <w:r w:rsidRPr="0039533F">
              <w:t>0.62</w:t>
            </w:r>
          </w:p>
        </w:tc>
        <w:tc>
          <w:tcPr>
            <w:tcW w:w="849" w:type="dxa"/>
            <w:shd w:val="clear" w:color="auto" w:fill="FFFFFF"/>
            <w:vAlign w:val="center"/>
          </w:tcPr>
          <w:p w14:paraId="6260D560" w14:textId="7281A8B4" w:rsidR="00754FDA" w:rsidRPr="0032217C" w:rsidRDefault="00754FDA" w:rsidP="00DE6F24">
            <w:pPr>
              <w:pStyle w:val="CETBodytext"/>
              <w:jc w:val="left"/>
              <w:rPr>
                <w:lang w:val="en-GB"/>
              </w:rPr>
            </w:pPr>
            <w:r w:rsidRPr="00A11154">
              <w:t>4c</w:t>
            </w:r>
          </w:p>
        </w:tc>
      </w:tr>
      <w:tr w:rsidR="00754FDA" w:rsidRPr="0032217C" w14:paraId="3CC486A6" w14:textId="77777777" w:rsidTr="00590093">
        <w:tc>
          <w:tcPr>
            <w:tcW w:w="992" w:type="dxa"/>
            <w:shd w:val="clear" w:color="auto" w:fill="FFFFFF"/>
            <w:vAlign w:val="center"/>
          </w:tcPr>
          <w:p w14:paraId="285C6334" w14:textId="3B9B1EF7" w:rsidR="00754FDA" w:rsidRPr="0032217C" w:rsidRDefault="00754FDA" w:rsidP="00DE6F24">
            <w:pPr>
              <w:pStyle w:val="CETBodytext"/>
              <w:ind w:right="-1"/>
              <w:jc w:val="left"/>
              <w:rPr>
                <w:szCs w:val="16"/>
                <w:lang w:val="en-GB"/>
              </w:rPr>
            </w:pPr>
            <w:r w:rsidRPr="0032217C">
              <w:rPr>
                <w:szCs w:val="16"/>
                <w:lang w:val="en-GB"/>
              </w:rPr>
              <w:t>LOS -2</w:t>
            </w:r>
          </w:p>
        </w:tc>
        <w:tc>
          <w:tcPr>
            <w:tcW w:w="993" w:type="dxa"/>
            <w:shd w:val="clear" w:color="auto" w:fill="FFFFFF"/>
            <w:vAlign w:val="center"/>
          </w:tcPr>
          <w:p w14:paraId="7B567A29" w14:textId="70FDEEEA" w:rsidR="00754FDA" w:rsidRPr="0032217C" w:rsidRDefault="00754FDA" w:rsidP="00DE6F24">
            <w:pPr>
              <w:pStyle w:val="CETBodytext"/>
              <w:ind w:right="-1"/>
              <w:jc w:val="left"/>
              <w:rPr>
                <w:rFonts w:cs="Arial"/>
                <w:szCs w:val="18"/>
                <w:lang w:val="en-GB"/>
              </w:rPr>
            </w:pPr>
            <w:r w:rsidRPr="00746CB3">
              <w:t>UCO-2</w:t>
            </w:r>
          </w:p>
        </w:tc>
        <w:tc>
          <w:tcPr>
            <w:tcW w:w="1843" w:type="dxa"/>
            <w:shd w:val="clear" w:color="auto" w:fill="FFFFFF"/>
            <w:vAlign w:val="center"/>
          </w:tcPr>
          <w:p w14:paraId="7A1992D4" w14:textId="652F9E0B" w:rsidR="00754FDA" w:rsidRPr="0032217C" w:rsidRDefault="00754FDA" w:rsidP="00DE6F24">
            <w:pPr>
              <w:autoSpaceDE w:val="0"/>
              <w:autoSpaceDN w:val="0"/>
              <w:adjustRightInd w:val="0"/>
              <w:jc w:val="left"/>
              <w:rPr>
                <w:rFonts w:cs="Arial"/>
                <w:szCs w:val="18"/>
              </w:rPr>
            </w:pPr>
            <w:r w:rsidRPr="0032217C">
              <w:rPr>
                <w:szCs w:val="16"/>
              </w:rPr>
              <w:t>Dark brown liquid</w:t>
            </w:r>
          </w:p>
        </w:tc>
        <w:tc>
          <w:tcPr>
            <w:tcW w:w="992" w:type="dxa"/>
            <w:shd w:val="clear" w:color="auto" w:fill="FFFFFF"/>
            <w:vAlign w:val="center"/>
          </w:tcPr>
          <w:p w14:paraId="4222C328" w14:textId="7ED738C7" w:rsidR="00754FDA" w:rsidRPr="0032217C" w:rsidRDefault="00754FDA" w:rsidP="00DE6F24">
            <w:pPr>
              <w:pStyle w:val="CETBodytext"/>
              <w:ind w:right="-1"/>
              <w:jc w:val="left"/>
              <w:rPr>
                <w:rFonts w:cs="Arial"/>
                <w:szCs w:val="18"/>
                <w:lang w:val="en-GB"/>
              </w:rPr>
            </w:pPr>
            <w:r w:rsidRPr="00A842B8">
              <w:t>34.5</w:t>
            </w:r>
          </w:p>
        </w:tc>
        <w:tc>
          <w:tcPr>
            <w:tcW w:w="992" w:type="dxa"/>
            <w:shd w:val="clear" w:color="auto" w:fill="FFFFFF"/>
            <w:vAlign w:val="center"/>
          </w:tcPr>
          <w:p w14:paraId="4AA59DFD" w14:textId="0EB719BA" w:rsidR="00754FDA" w:rsidRPr="0032217C" w:rsidRDefault="00754FDA" w:rsidP="00DE6F24">
            <w:pPr>
              <w:pStyle w:val="CETBodytext"/>
              <w:ind w:right="-1"/>
              <w:jc w:val="left"/>
              <w:rPr>
                <w:rFonts w:cs="Arial"/>
                <w:szCs w:val="18"/>
                <w:lang w:val="en-GB"/>
              </w:rPr>
            </w:pPr>
            <w:r w:rsidRPr="00BB3549">
              <w:t>5.66</w:t>
            </w:r>
          </w:p>
        </w:tc>
        <w:tc>
          <w:tcPr>
            <w:tcW w:w="992" w:type="dxa"/>
            <w:shd w:val="clear" w:color="auto" w:fill="FFFFFF"/>
            <w:vAlign w:val="center"/>
          </w:tcPr>
          <w:p w14:paraId="4EAABF30" w14:textId="37E8DD53" w:rsidR="00754FDA" w:rsidRPr="0032217C" w:rsidRDefault="00754FDA" w:rsidP="00DE6F24">
            <w:pPr>
              <w:pStyle w:val="CETBodytext"/>
              <w:ind w:right="-1"/>
              <w:jc w:val="left"/>
              <w:rPr>
                <w:rFonts w:cs="Arial"/>
                <w:szCs w:val="18"/>
                <w:lang w:val="en-GB"/>
              </w:rPr>
            </w:pPr>
            <w:r w:rsidRPr="00252C34">
              <w:t>2 300</w:t>
            </w:r>
          </w:p>
        </w:tc>
        <w:tc>
          <w:tcPr>
            <w:tcW w:w="1134" w:type="dxa"/>
            <w:shd w:val="clear" w:color="auto" w:fill="FFFFFF"/>
            <w:vAlign w:val="center"/>
          </w:tcPr>
          <w:p w14:paraId="07756AD5" w14:textId="02FE5565" w:rsidR="00754FDA" w:rsidRPr="0032217C" w:rsidRDefault="00754FDA" w:rsidP="00DE6F24">
            <w:pPr>
              <w:pStyle w:val="CETBodytext"/>
              <w:ind w:right="-1"/>
              <w:jc w:val="left"/>
              <w:rPr>
                <w:rFonts w:cs="Arial"/>
                <w:szCs w:val="18"/>
                <w:lang w:val="en-GB"/>
              </w:rPr>
            </w:pPr>
            <w:r w:rsidRPr="0039533F">
              <w:t>0.49</w:t>
            </w:r>
          </w:p>
        </w:tc>
        <w:tc>
          <w:tcPr>
            <w:tcW w:w="849" w:type="dxa"/>
            <w:shd w:val="clear" w:color="auto" w:fill="FFFFFF"/>
            <w:vAlign w:val="center"/>
          </w:tcPr>
          <w:p w14:paraId="3E90316A" w14:textId="5EF5A73D" w:rsidR="00754FDA" w:rsidRPr="0032217C" w:rsidRDefault="00754FDA" w:rsidP="00DE6F24">
            <w:pPr>
              <w:pStyle w:val="CETBodytext"/>
              <w:ind w:right="-1"/>
              <w:jc w:val="left"/>
              <w:rPr>
                <w:lang w:val="en-GB"/>
              </w:rPr>
            </w:pPr>
            <w:r w:rsidRPr="00A11154">
              <w:t>4c</w:t>
            </w:r>
          </w:p>
        </w:tc>
      </w:tr>
      <w:tr w:rsidR="00754FDA" w:rsidRPr="0032217C" w14:paraId="48A4DA07" w14:textId="77777777" w:rsidTr="00590093">
        <w:tc>
          <w:tcPr>
            <w:tcW w:w="992" w:type="dxa"/>
            <w:shd w:val="clear" w:color="auto" w:fill="FFFFFF"/>
            <w:vAlign w:val="center"/>
          </w:tcPr>
          <w:p w14:paraId="5A6E71A9" w14:textId="48FFC6DE" w:rsidR="00754FDA" w:rsidRPr="0032217C" w:rsidRDefault="00754FDA" w:rsidP="00DE6F24">
            <w:pPr>
              <w:pStyle w:val="CETBodytext"/>
              <w:ind w:right="-1"/>
              <w:jc w:val="left"/>
              <w:rPr>
                <w:szCs w:val="16"/>
                <w:lang w:val="en-GB"/>
              </w:rPr>
            </w:pPr>
            <w:r w:rsidRPr="0032217C">
              <w:rPr>
                <w:szCs w:val="16"/>
                <w:lang w:val="en-GB"/>
              </w:rPr>
              <w:t>LOS -3</w:t>
            </w:r>
          </w:p>
        </w:tc>
        <w:tc>
          <w:tcPr>
            <w:tcW w:w="993" w:type="dxa"/>
            <w:shd w:val="clear" w:color="auto" w:fill="FFFFFF"/>
            <w:vAlign w:val="center"/>
          </w:tcPr>
          <w:p w14:paraId="5A0B34B0" w14:textId="5C194320" w:rsidR="00754FDA" w:rsidRPr="0032217C" w:rsidRDefault="00754FDA" w:rsidP="00DE6F24">
            <w:pPr>
              <w:pStyle w:val="CETBodytext"/>
              <w:ind w:right="-1"/>
              <w:jc w:val="left"/>
              <w:rPr>
                <w:rFonts w:cs="Arial"/>
                <w:szCs w:val="18"/>
                <w:lang w:val="en-GB"/>
              </w:rPr>
            </w:pPr>
            <w:r w:rsidRPr="00746CB3">
              <w:t>UCO-3</w:t>
            </w:r>
          </w:p>
        </w:tc>
        <w:tc>
          <w:tcPr>
            <w:tcW w:w="1843" w:type="dxa"/>
            <w:shd w:val="clear" w:color="auto" w:fill="FFFFFF"/>
            <w:vAlign w:val="center"/>
          </w:tcPr>
          <w:p w14:paraId="110CF614" w14:textId="0DABAEB4" w:rsidR="00754FDA" w:rsidRPr="0032217C" w:rsidRDefault="00974438" w:rsidP="00DE6F24">
            <w:pPr>
              <w:pStyle w:val="CETBodytext"/>
              <w:ind w:right="-1"/>
              <w:jc w:val="left"/>
              <w:rPr>
                <w:rFonts w:cs="Arial"/>
                <w:szCs w:val="18"/>
                <w:lang w:val="en-GB"/>
              </w:rPr>
            </w:pPr>
            <w:r w:rsidRPr="0032217C">
              <w:rPr>
                <w:szCs w:val="16"/>
              </w:rPr>
              <w:t>Dark brown</w:t>
            </w:r>
            <w:r w:rsidRPr="0032217C">
              <w:rPr>
                <w:szCs w:val="16"/>
                <w:lang w:val="en-GB"/>
              </w:rPr>
              <w:t xml:space="preserve"> liquid</w:t>
            </w:r>
          </w:p>
        </w:tc>
        <w:tc>
          <w:tcPr>
            <w:tcW w:w="992" w:type="dxa"/>
            <w:shd w:val="clear" w:color="auto" w:fill="FFFFFF"/>
            <w:vAlign w:val="center"/>
          </w:tcPr>
          <w:p w14:paraId="39490FD8" w14:textId="16920E4E" w:rsidR="00754FDA" w:rsidRPr="0032217C" w:rsidRDefault="00754FDA" w:rsidP="00DE6F24">
            <w:pPr>
              <w:pStyle w:val="CETBodytext"/>
              <w:ind w:right="-1"/>
              <w:jc w:val="left"/>
              <w:rPr>
                <w:rFonts w:cs="Arial"/>
                <w:szCs w:val="18"/>
                <w:lang w:val="en-GB"/>
              </w:rPr>
            </w:pPr>
            <w:r w:rsidRPr="00A842B8">
              <w:t>34.8</w:t>
            </w:r>
          </w:p>
        </w:tc>
        <w:tc>
          <w:tcPr>
            <w:tcW w:w="992" w:type="dxa"/>
            <w:shd w:val="clear" w:color="auto" w:fill="FFFFFF"/>
            <w:vAlign w:val="center"/>
          </w:tcPr>
          <w:p w14:paraId="42F19C3F" w14:textId="63CC83E3" w:rsidR="00754FDA" w:rsidRPr="0032217C" w:rsidRDefault="00754FDA" w:rsidP="00DE6F24">
            <w:pPr>
              <w:pStyle w:val="CETBodytext"/>
              <w:ind w:right="-1"/>
              <w:jc w:val="left"/>
              <w:rPr>
                <w:rFonts w:cs="Arial"/>
                <w:szCs w:val="18"/>
                <w:lang w:val="en-GB"/>
              </w:rPr>
            </w:pPr>
            <w:r w:rsidRPr="00BB3549">
              <w:t>5.70</w:t>
            </w:r>
          </w:p>
        </w:tc>
        <w:tc>
          <w:tcPr>
            <w:tcW w:w="992" w:type="dxa"/>
            <w:shd w:val="clear" w:color="auto" w:fill="FFFFFF"/>
            <w:vAlign w:val="center"/>
          </w:tcPr>
          <w:p w14:paraId="4A04015E" w14:textId="67EF0F2D" w:rsidR="00754FDA" w:rsidRPr="0032217C" w:rsidRDefault="00754FDA" w:rsidP="00DE6F24">
            <w:pPr>
              <w:pStyle w:val="CETBodytext"/>
              <w:ind w:right="-1"/>
              <w:jc w:val="left"/>
              <w:rPr>
                <w:rFonts w:cs="Arial"/>
                <w:szCs w:val="18"/>
                <w:lang w:val="en-GB"/>
              </w:rPr>
            </w:pPr>
            <w:r w:rsidRPr="00252C34">
              <w:t>2 300</w:t>
            </w:r>
          </w:p>
        </w:tc>
        <w:tc>
          <w:tcPr>
            <w:tcW w:w="1134" w:type="dxa"/>
            <w:shd w:val="clear" w:color="auto" w:fill="FFFFFF"/>
            <w:vAlign w:val="center"/>
          </w:tcPr>
          <w:p w14:paraId="16B53CE1" w14:textId="1F1838C9" w:rsidR="00754FDA" w:rsidRPr="0032217C" w:rsidRDefault="00754FDA" w:rsidP="00DE6F24">
            <w:pPr>
              <w:pStyle w:val="CETBodytext"/>
              <w:ind w:right="-1"/>
              <w:jc w:val="left"/>
              <w:rPr>
                <w:rFonts w:cs="Arial"/>
                <w:szCs w:val="18"/>
                <w:lang w:val="en-GB"/>
              </w:rPr>
            </w:pPr>
            <w:r w:rsidRPr="0039533F">
              <w:t>0.52</w:t>
            </w:r>
          </w:p>
        </w:tc>
        <w:tc>
          <w:tcPr>
            <w:tcW w:w="849" w:type="dxa"/>
            <w:shd w:val="clear" w:color="auto" w:fill="FFFFFF"/>
            <w:vAlign w:val="center"/>
          </w:tcPr>
          <w:p w14:paraId="41ED5363" w14:textId="3D980C41" w:rsidR="00754FDA" w:rsidRPr="0032217C" w:rsidRDefault="00754FDA" w:rsidP="00DE6F24">
            <w:pPr>
              <w:pStyle w:val="CETBodytext"/>
              <w:ind w:right="-1"/>
              <w:jc w:val="left"/>
              <w:rPr>
                <w:lang w:val="en-GB"/>
              </w:rPr>
            </w:pPr>
            <w:r w:rsidRPr="00A11154">
              <w:t>4b</w:t>
            </w:r>
          </w:p>
        </w:tc>
      </w:tr>
      <w:tr w:rsidR="00754FDA" w:rsidRPr="0032217C" w14:paraId="08B5B9F7" w14:textId="77777777" w:rsidTr="00590093">
        <w:tc>
          <w:tcPr>
            <w:tcW w:w="992" w:type="dxa"/>
            <w:shd w:val="clear" w:color="auto" w:fill="FFFFFF"/>
            <w:vAlign w:val="center"/>
          </w:tcPr>
          <w:p w14:paraId="774D08F2" w14:textId="177D0406" w:rsidR="00754FDA" w:rsidRPr="0032217C" w:rsidRDefault="00754FDA" w:rsidP="00DE6F24">
            <w:pPr>
              <w:pStyle w:val="CETBodytext"/>
              <w:ind w:right="-1"/>
              <w:jc w:val="left"/>
              <w:rPr>
                <w:szCs w:val="16"/>
                <w:lang w:val="en-GB"/>
              </w:rPr>
            </w:pPr>
            <w:r w:rsidRPr="0032217C">
              <w:rPr>
                <w:szCs w:val="16"/>
                <w:lang w:val="en-GB"/>
              </w:rPr>
              <w:t>LOS -4</w:t>
            </w:r>
          </w:p>
        </w:tc>
        <w:tc>
          <w:tcPr>
            <w:tcW w:w="993" w:type="dxa"/>
            <w:shd w:val="clear" w:color="auto" w:fill="FFFFFF"/>
            <w:vAlign w:val="center"/>
          </w:tcPr>
          <w:p w14:paraId="615D13EA" w14:textId="0312CA3E" w:rsidR="00754FDA" w:rsidRPr="0032217C" w:rsidRDefault="00754FDA" w:rsidP="00DE6F24">
            <w:pPr>
              <w:pStyle w:val="CETBodytext"/>
              <w:ind w:right="-1"/>
              <w:jc w:val="left"/>
              <w:rPr>
                <w:rFonts w:cs="Arial"/>
                <w:szCs w:val="18"/>
                <w:lang w:val="en-GB"/>
              </w:rPr>
            </w:pPr>
            <w:r w:rsidRPr="00746CB3">
              <w:t>UCO-4</w:t>
            </w:r>
          </w:p>
        </w:tc>
        <w:tc>
          <w:tcPr>
            <w:tcW w:w="1843" w:type="dxa"/>
            <w:shd w:val="clear" w:color="auto" w:fill="FFFFFF"/>
            <w:vAlign w:val="center"/>
          </w:tcPr>
          <w:p w14:paraId="6F18BBBE" w14:textId="07F95290" w:rsidR="00754FDA" w:rsidRPr="0032217C" w:rsidRDefault="00974438" w:rsidP="00DE6F24">
            <w:pPr>
              <w:pStyle w:val="CETBodytext"/>
              <w:ind w:right="-1"/>
              <w:jc w:val="left"/>
              <w:rPr>
                <w:rFonts w:cs="Arial"/>
                <w:szCs w:val="18"/>
                <w:lang w:val="en-GB"/>
              </w:rPr>
            </w:pPr>
            <w:r>
              <w:rPr>
                <w:szCs w:val="16"/>
              </w:rPr>
              <w:t>Reddish</w:t>
            </w:r>
            <w:r w:rsidRPr="0032217C">
              <w:rPr>
                <w:szCs w:val="16"/>
              </w:rPr>
              <w:t xml:space="preserve"> brown</w:t>
            </w:r>
            <w:r w:rsidRPr="0032217C">
              <w:rPr>
                <w:szCs w:val="16"/>
                <w:lang w:val="en-GB"/>
              </w:rPr>
              <w:t xml:space="preserve"> liquid</w:t>
            </w:r>
          </w:p>
        </w:tc>
        <w:tc>
          <w:tcPr>
            <w:tcW w:w="992" w:type="dxa"/>
            <w:shd w:val="clear" w:color="auto" w:fill="FFFFFF"/>
            <w:vAlign w:val="center"/>
          </w:tcPr>
          <w:p w14:paraId="22E756B2" w14:textId="12BF7B17" w:rsidR="00754FDA" w:rsidRPr="0032217C" w:rsidRDefault="00754FDA" w:rsidP="00DE6F24">
            <w:pPr>
              <w:pStyle w:val="CETBodytext"/>
              <w:ind w:right="-1"/>
              <w:jc w:val="left"/>
              <w:rPr>
                <w:rFonts w:cs="Arial"/>
                <w:szCs w:val="18"/>
                <w:lang w:val="en-GB"/>
              </w:rPr>
            </w:pPr>
            <w:r w:rsidRPr="00A842B8">
              <w:t>35.3</w:t>
            </w:r>
          </w:p>
        </w:tc>
        <w:tc>
          <w:tcPr>
            <w:tcW w:w="992" w:type="dxa"/>
            <w:shd w:val="clear" w:color="auto" w:fill="FFFFFF"/>
            <w:vAlign w:val="center"/>
          </w:tcPr>
          <w:p w14:paraId="1FF5A915" w14:textId="08FA995E" w:rsidR="00754FDA" w:rsidRPr="0032217C" w:rsidRDefault="00754FDA" w:rsidP="00DE6F24">
            <w:pPr>
              <w:pStyle w:val="CETBodytext"/>
              <w:ind w:right="-1"/>
              <w:jc w:val="left"/>
              <w:rPr>
                <w:rFonts w:cs="Arial"/>
                <w:szCs w:val="18"/>
                <w:lang w:val="en-GB"/>
              </w:rPr>
            </w:pPr>
            <w:r w:rsidRPr="00BB3549">
              <w:t>5.72</w:t>
            </w:r>
          </w:p>
        </w:tc>
        <w:tc>
          <w:tcPr>
            <w:tcW w:w="992" w:type="dxa"/>
            <w:shd w:val="clear" w:color="auto" w:fill="FFFFFF"/>
            <w:vAlign w:val="center"/>
          </w:tcPr>
          <w:p w14:paraId="2E6449DF" w14:textId="276A955D" w:rsidR="00754FDA" w:rsidRPr="0032217C" w:rsidRDefault="00754FDA" w:rsidP="00DE6F24">
            <w:pPr>
              <w:pStyle w:val="CETBodytext"/>
              <w:ind w:right="-1"/>
              <w:jc w:val="left"/>
              <w:rPr>
                <w:rFonts w:cs="Arial"/>
                <w:szCs w:val="18"/>
                <w:lang w:val="en-GB"/>
              </w:rPr>
            </w:pPr>
            <w:r w:rsidRPr="00252C34">
              <w:t>2 200</w:t>
            </w:r>
          </w:p>
        </w:tc>
        <w:tc>
          <w:tcPr>
            <w:tcW w:w="1134" w:type="dxa"/>
            <w:shd w:val="clear" w:color="auto" w:fill="FFFFFF"/>
            <w:vAlign w:val="center"/>
          </w:tcPr>
          <w:p w14:paraId="5872AF2D" w14:textId="6AD6BD8B" w:rsidR="00754FDA" w:rsidRPr="0032217C" w:rsidRDefault="00754FDA" w:rsidP="00DE6F24">
            <w:pPr>
              <w:pStyle w:val="CETBodytext"/>
              <w:ind w:right="-1"/>
              <w:jc w:val="left"/>
              <w:rPr>
                <w:rFonts w:cs="Arial"/>
                <w:szCs w:val="18"/>
                <w:lang w:val="en-GB"/>
              </w:rPr>
            </w:pPr>
            <w:r w:rsidRPr="0039533F">
              <w:t>0.52</w:t>
            </w:r>
          </w:p>
        </w:tc>
        <w:tc>
          <w:tcPr>
            <w:tcW w:w="849" w:type="dxa"/>
            <w:shd w:val="clear" w:color="auto" w:fill="FFFFFF"/>
            <w:vAlign w:val="center"/>
          </w:tcPr>
          <w:p w14:paraId="42B72FE8" w14:textId="5C904B1B" w:rsidR="00754FDA" w:rsidRPr="0032217C" w:rsidRDefault="00754FDA" w:rsidP="00DE6F24">
            <w:pPr>
              <w:pStyle w:val="CETBodytext"/>
              <w:ind w:right="-1"/>
              <w:jc w:val="left"/>
              <w:rPr>
                <w:lang w:val="en-GB"/>
              </w:rPr>
            </w:pPr>
            <w:r w:rsidRPr="00A11154">
              <w:t>3b</w:t>
            </w:r>
          </w:p>
        </w:tc>
      </w:tr>
      <w:tr w:rsidR="00754FDA" w:rsidRPr="0032217C" w14:paraId="4A90F3B4" w14:textId="77777777" w:rsidTr="00590093">
        <w:tc>
          <w:tcPr>
            <w:tcW w:w="992" w:type="dxa"/>
            <w:shd w:val="clear" w:color="auto" w:fill="FFFFFF"/>
            <w:vAlign w:val="center"/>
          </w:tcPr>
          <w:p w14:paraId="3EABF4AC" w14:textId="321017B2" w:rsidR="00754FDA" w:rsidRPr="0032217C" w:rsidRDefault="00754FDA" w:rsidP="00DE6F24">
            <w:pPr>
              <w:pStyle w:val="CETBodytext"/>
              <w:ind w:right="-1"/>
              <w:jc w:val="left"/>
              <w:rPr>
                <w:szCs w:val="16"/>
                <w:lang w:val="en-GB"/>
              </w:rPr>
            </w:pPr>
            <w:r w:rsidRPr="0032217C">
              <w:rPr>
                <w:szCs w:val="16"/>
                <w:lang w:val="en-GB"/>
              </w:rPr>
              <w:t>LOS -5</w:t>
            </w:r>
          </w:p>
        </w:tc>
        <w:tc>
          <w:tcPr>
            <w:tcW w:w="993" w:type="dxa"/>
            <w:shd w:val="clear" w:color="auto" w:fill="FFFFFF"/>
            <w:vAlign w:val="center"/>
          </w:tcPr>
          <w:p w14:paraId="65D6504F" w14:textId="336D1F83" w:rsidR="00754FDA" w:rsidRPr="0032217C" w:rsidRDefault="00754FDA" w:rsidP="00DE6F24">
            <w:pPr>
              <w:pStyle w:val="CETBodytext"/>
              <w:ind w:right="-1"/>
              <w:jc w:val="left"/>
              <w:rPr>
                <w:rFonts w:cs="Arial"/>
                <w:szCs w:val="18"/>
                <w:lang w:val="en-GB"/>
              </w:rPr>
            </w:pPr>
            <w:r w:rsidRPr="00746CB3">
              <w:t>UCO-5</w:t>
            </w:r>
          </w:p>
        </w:tc>
        <w:tc>
          <w:tcPr>
            <w:tcW w:w="1843" w:type="dxa"/>
            <w:shd w:val="clear" w:color="auto" w:fill="FFFFFF"/>
            <w:vAlign w:val="center"/>
          </w:tcPr>
          <w:p w14:paraId="0070A78D" w14:textId="69A227DE" w:rsidR="00754FDA" w:rsidRPr="0032217C" w:rsidRDefault="0007349A" w:rsidP="00DE6F24">
            <w:pPr>
              <w:pStyle w:val="CETBodytext"/>
              <w:ind w:right="-1"/>
              <w:jc w:val="left"/>
              <w:rPr>
                <w:rFonts w:cs="Arial"/>
                <w:szCs w:val="18"/>
                <w:lang w:val="en-GB"/>
              </w:rPr>
            </w:pPr>
            <w:r w:rsidRPr="0032217C">
              <w:rPr>
                <w:szCs w:val="16"/>
              </w:rPr>
              <w:t>Dark brown</w:t>
            </w:r>
            <w:r w:rsidRPr="0032217C">
              <w:rPr>
                <w:szCs w:val="16"/>
                <w:lang w:val="en-GB"/>
              </w:rPr>
              <w:t xml:space="preserve"> liquid</w:t>
            </w:r>
          </w:p>
        </w:tc>
        <w:tc>
          <w:tcPr>
            <w:tcW w:w="992" w:type="dxa"/>
            <w:shd w:val="clear" w:color="auto" w:fill="FFFFFF"/>
            <w:vAlign w:val="center"/>
          </w:tcPr>
          <w:p w14:paraId="7CD889A9" w14:textId="2F5010D4" w:rsidR="00754FDA" w:rsidRPr="0032217C" w:rsidRDefault="00754FDA" w:rsidP="00DE6F24">
            <w:pPr>
              <w:pStyle w:val="CETBodytext"/>
              <w:ind w:right="-1"/>
              <w:jc w:val="left"/>
              <w:rPr>
                <w:rFonts w:cs="Arial"/>
                <w:szCs w:val="18"/>
                <w:lang w:val="en-GB"/>
              </w:rPr>
            </w:pPr>
            <w:r w:rsidRPr="00A842B8">
              <w:t>35.1</w:t>
            </w:r>
          </w:p>
        </w:tc>
        <w:tc>
          <w:tcPr>
            <w:tcW w:w="992" w:type="dxa"/>
            <w:shd w:val="clear" w:color="auto" w:fill="FFFFFF"/>
            <w:vAlign w:val="center"/>
          </w:tcPr>
          <w:p w14:paraId="1A261681" w14:textId="26B7576B" w:rsidR="00754FDA" w:rsidRPr="0032217C" w:rsidRDefault="00754FDA" w:rsidP="00DE6F24">
            <w:pPr>
              <w:pStyle w:val="CETBodytext"/>
              <w:ind w:right="-1"/>
              <w:jc w:val="left"/>
              <w:rPr>
                <w:rFonts w:cs="Arial"/>
                <w:szCs w:val="18"/>
                <w:lang w:val="en-GB"/>
              </w:rPr>
            </w:pPr>
            <w:r w:rsidRPr="00BB3549">
              <w:t>5.74</w:t>
            </w:r>
          </w:p>
        </w:tc>
        <w:tc>
          <w:tcPr>
            <w:tcW w:w="992" w:type="dxa"/>
            <w:shd w:val="clear" w:color="auto" w:fill="FFFFFF"/>
            <w:vAlign w:val="center"/>
          </w:tcPr>
          <w:p w14:paraId="423A067D" w14:textId="3A5D59B2" w:rsidR="00754FDA" w:rsidRPr="0032217C" w:rsidRDefault="00754FDA" w:rsidP="00DE6F24">
            <w:pPr>
              <w:pStyle w:val="CETBodytext"/>
              <w:ind w:right="-1"/>
              <w:jc w:val="left"/>
              <w:rPr>
                <w:rFonts w:cs="Arial"/>
                <w:szCs w:val="18"/>
                <w:lang w:val="en-GB"/>
              </w:rPr>
            </w:pPr>
            <w:r w:rsidRPr="00252C34">
              <w:t>2 300</w:t>
            </w:r>
          </w:p>
        </w:tc>
        <w:tc>
          <w:tcPr>
            <w:tcW w:w="1134" w:type="dxa"/>
            <w:shd w:val="clear" w:color="auto" w:fill="FFFFFF"/>
            <w:vAlign w:val="center"/>
          </w:tcPr>
          <w:p w14:paraId="4717C905" w14:textId="6A32979A" w:rsidR="00754FDA" w:rsidRPr="0032217C" w:rsidRDefault="00754FDA" w:rsidP="00DE6F24">
            <w:pPr>
              <w:pStyle w:val="CETBodytext"/>
              <w:ind w:right="-1"/>
              <w:jc w:val="left"/>
              <w:rPr>
                <w:rFonts w:cs="Arial"/>
                <w:szCs w:val="18"/>
                <w:lang w:val="en-GB"/>
              </w:rPr>
            </w:pPr>
            <w:r w:rsidRPr="0039533F">
              <w:t>0.52</w:t>
            </w:r>
          </w:p>
        </w:tc>
        <w:tc>
          <w:tcPr>
            <w:tcW w:w="849" w:type="dxa"/>
            <w:shd w:val="clear" w:color="auto" w:fill="FFFFFF"/>
            <w:vAlign w:val="center"/>
          </w:tcPr>
          <w:p w14:paraId="768795F6" w14:textId="1EF32352" w:rsidR="00754FDA" w:rsidRPr="0032217C" w:rsidRDefault="00754FDA" w:rsidP="00DE6F24">
            <w:pPr>
              <w:pStyle w:val="CETBodytext"/>
              <w:ind w:right="-1"/>
              <w:jc w:val="left"/>
              <w:rPr>
                <w:lang w:val="en-GB"/>
              </w:rPr>
            </w:pPr>
            <w:r w:rsidRPr="00A11154">
              <w:t>4a</w:t>
            </w:r>
          </w:p>
        </w:tc>
      </w:tr>
      <w:tr w:rsidR="00754FDA" w:rsidRPr="0032217C" w14:paraId="2C1279C8" w14:textId="77777777" w:rsidTr="00590093">
        <w:tc>
          <w:tcPr>
            <w:tcW w:w="992" w:type="dxa"/>
            <w:shd w:val="clear" w:color="auto" w:fill="FFFFFF"/>
            <w:vAlign w:val="center"/>
          </w:tcPr>
          <w:p w14:paraId="35E22B9D" w14:textId="2E69E660" w:rsidR="00754FDA" w:rsidRPr="0032217C" w:rsidRDefault="00754FDA" w:rsidP="00DE6F24">
            <w:pPr>
              <w:pStyle w:val="CETBodytext"/>
              <w:ind w:right="-1"/>
              <w:jc w:val="left"/>
              <w:rPr>
                <w:szCs w:val="16"/>
                <w:lang w:val="en-GB"/>
              </w:rPr>
            </w:pPr>
            <w:r w:rsidRPr="0032217C">
              <w:rPr>
                <w:szCs w:val="16"/>
                <w:lang w:val="en-GB"/>
              </w:rPr>
              <w:t>LOS -6</w:t>
            </w:r>
          </w:p>
        </w:tc>
        <w:tc>
          <w:tcPr>
            <w:tcW w:w="993" w:type="dxa"/>
            <w:shd w:val="clear" w:color="auto" w:fill="FFFFFF"/>
            <w:vAlign w:val="center"/>
          </w:tcPr>
          <w:p w14:paraId="40AFFD1A" w14:textId="5A34E032" w:rsidR="00754FDA" w:rsidRPr="0032217C" w:rsidRDefault="00754FDA" w:rsidP="00DE6F24">
            <w:pPr>
              <w:pStyle w:val="CETBodytext"/>
              <w:ind w:right="-1"/>
              <w:jc w:val="left"/>
              <w:rPr>
                <w:lang w:val="en-GB"/>
              </w:rPr>
            </w:pPr>
            <w:r w:rsidRPr="00746CB3">
              <w:t>UCO-6</w:t>
            </w:r>
          </w:p>
        </w:tc>
        <w:tc>
          <w:tcPr>
            <w:tcW w:w="1843" w:type="dxa"/>
            <w:shd w:val="clear" w:color="auto" w:fill="FFFFFF"/>
            <w:vAlign w:val="center"/>
          </w:tcPr>
          <w:p w14:paraId="67DF85CB" w14:textId="62B449DF" w:rsidR="00754FDA" w:rsidRPr="0032217C" w:rsidRDefault="0007349A" w:rsidP="00DE6F24">
            <w:pPr>
              <w:pStyle w:val="CETBodytext"/>
              <w:ind w:right="-1"/>
              <w:jc w:val="left"/>
              <w:rPr>
                <w:lang w:val="en-GB"/>
              </w:rPr>
            </w:pPr>
            <w:r>
              <w:rPr>
                <w:szCs w:val="16"/>
              </w:rPr>
              <w:t>Reddish</w:t>
            </w:r>
            <w:r w:rsidRPr="0032217C">
              <w:rPr>
                <w:szCs w:val="16"/>
              </w:rPr>
              <w:t xml:space="preserve"> brown</w:t>
            </w:r>
            <w:r w:rsidRPr="0032217C">
              <w:rPr>
                <w:szCs w:val="16"/>
                <w:lang w:val="en-GB"/>
              </w:rPr>
              <w:t xml:space="preserve"> liquid</w:t>
            </w:r>
          </w:p>
        </w:tc>
        <w:tc>
          <w:tcPr>
            <w:tcW w:w="992" w:type="dxa"/>
            <w:shd w:val="clear" w:color="auto" w:fill="FFFFFF"/>
            <w:vAlign w:val="center"/>
          </w:tcPr>
          <w:p w14:paraId="051CA37A" w14:textId="4C0D9306" w:rsidR="00754FDA" w:rsidRPr="0032217C" w:rsidRDefault="00754FDA" w:rsidP="00DE6F24">
            <w:pPr>
              <w:pStyle w:val="CETBodytext"/>
              <w:ind w:right="-1"/>
              <w:jc w:val="left"/>
              <w:rPr>
                <w:lang w:val="en-GB"/>
              </w:rPr>
            </w:pPr>
            <w:r w:rsidRPr="00A842B8">
              <w:t>35.2</w:t>
            </w:r>
          </w:p>
        </w:tc>
        <w:tc>
          <w:tcPr>
            <w:tcW w:w="992" w:type="dxa"/>
            <w:shd w:val="clear" w:color="auto" w:fill="FFFFFF"/>
            <w:vAlign w:val="center"/>
          </w:tcPr>
          <w:p w14:paraId="36B833EC" w14:textId="630DFE16" w:rsidR="00754FDA" w:rsidRPr="0032217C" w:rsidRDefault="00754FDA" w:rsidP="00DE6F24">
            <w:pPr>
              <w:pStyle w:val="CETBodytext"/>
              <w:ind w:right="-1"/>
              <w:jc w:val="left"/>
              <w:rPr>
                <w:lang w:val="en-GB"/>
              </w:rPr>
            </w:pPr>
            <w:r w:rsidRPr="00BB3549">
              <w:t>5.74</w:t>
            </w:r>
          </w:p>
        </w:tc>
        <w:tc>
          <w:tcPr>
            <w:tcW w:w="992" w:type="dxa"/>
            <w:shd w:val="clear" w:color="auto" w:fill="FFFFFF"/>
            <w:vAlign w:val="center"/>
          </w:tcPr>
          <w:p w14:paraId="53ACABD7" w14:textId="7AA1FE11" w:rsidR="00754FDA" w:rsidRPr="0032217C" w:rsidRDefault="00754FDA" w:rsidP="00DE6F24">
            <w:pPr>
              <w:pStyle w:val="CETBodytext"/>
              <w:ind w:right="-1"/>
              <w:jc w:val="left"/>
              <w:rPr>
                <w:lang w:val="en-GB"/>
              </w:rPr>
            </w:pPr>
            <w:r w:rsidRPr="00252C34">
              <w:t>2 400</w:t>
            </w:r>
          </w:p>
        </w:tc>
        <w:tc>
          <w:tcPr>
            <w:tcW w:w="1134" w:type="dxa"/>
            <w:shd w:val="clear" w:color="auto" w:fill="FFFFFF"/>
            <w:vAlign w:val="center"/>
          </w:tcPr>
          <w:p w14:paraId="22493F68" w14:textId="32852294" w:rsidR="00754FDA" w:rsidRPr="0032217C" w:rsidRDefault="00754FDA" w:rsidP="00DE6F24">
            <w:pPr>
              <w:pStyle w:val="CETBodytext"/>
              <w:ind w:right="-1"/>
              <w:jc w:val="left"/>
              <w:rPr>
                <w:lang w:val="en-GB"/>
              </w:rPr>
            </w:pPr>
            <w:r w:rsidRPr="0039533F">
              <w:t>0.53</w:t>
            </w:r>
          </w:p>
        </w:tc>
        <w:tc>
          <w:tcPr>
            <w:tcW w:w="849" w:type="dxa"/>
            <w:shd w:val="clear" w:color="auto" w:fill="FFFFFF"/>
            <w:vAlign w:val="center"/>
          </w:tcPr>
          <w:p w14:paraId="6F124CA0" w14:textId="149B9930" w:rsidR="00754FDA" w:rsidRPr="0032217C" w:rsidRDefault="00754FDA" w:rsidP="00DE6F24">
            <w:pPr>
              <w:pStyle w:val="CETBodytext"/>
              <w:ind w:right="-1"/>
              <w:jc w:val="left"/>
              <w:rPr>
                <w:lang w:val="en-GB"/>
              </w:rPr>
            </w:pPr>
            <w:r w:rsidRPr="00A11154">
              <w:t>4a</w:t>
            </w:r>
          </w:p>
        </w:tc>
      </w:tr>
    </w:tbl>
    <w:p w14:paraId="6FAF5AE7" w14:textId="0499F638" w:rsidR="009F7C63" w:rsidRPr="00642A4F" w:rsidRDefault="003C16F5" w:rsidP="009174D9">
      <w:pPr>
        <w:pStyle w:val="CETBodytext"/>
        <w:spacing w:before="60" w:after="60"/>
        <w:rPr>
          <w:lang w:val="en-GB"/>
        </w:rPr>
      </w:pPr>
      <w:r w:rsidRPr="003C16F5">
        <w:rPr>
          <w:lang w:val="en-GB"/>
        </w:rPr>
        <w:t xml:space="preserve">The weld load measurements revealed no significant differences among the samples; each sample achieved the </w:t>
      </w:r>
      <w:r w:rsidR="00C5253B">
        <w:rPr>
          <w:lang w:val="en-GB"/>
        </w:rPr>
        <w:t>set</w:t>
      </w:r>
      <w:r w:rsidRPr="003C16F5">
        <w:rPr>
          <w:lang w:val="en-GB"/>
        </w:rPr>
        <w:t xml:space="preserve"> target, with some even surpassing it. Wear scar diameters conformed to expectations for all samples, except for</w:t>
      </w:r>
      <w:r w:rsidR="00CC3E9E">
        <w:rPr>
          <w:lang w:val="en-GB"/>
        </w:rPr>
        <w:t xml:space="preserve"> LOS-1 which was</w:t>
      </w:r>
      <w:r w:rsidRPr="003C16F5">
        <w:rPr>
          <w:lang w:val="en-GB"/>
        </w:rPr>
        <w:t xml:space="preserve"> synthesized without a catalyst. Additionally, when amine and sulfide-type catalysts were employed</w:t>
      </w:r>
      <w:r w:rsidR="00201814">
        <w:rPr>
          <w:lang w:val="en-GB"/>
        </w:rPr>
        <w:t xml:space="preserve"> (LOS-4, LOS-5, LOS-6)</w:t>
      </w:r>
      <w:r w:rsidRPr="003C16F5">
        <w:rPr>
          <w:lang w:val="en-GB"/>
        </w:rPr>
        <w:t>, the copper corrosion rate</w:t>
      </w:r>
      <w:r w:rsidR="00201814">
        <w:rPr>
          <w:lang w:val="en-GB"/>
        </w:rPr>
        <w:t>s</w:t>
      </w:r>
      <w:r w:rsidRPr="003C16F5">
        <w:rPr>
          <w:lang w:val="en-GB"/>
        </w:rPr>
        <w:t xml:space="preserve"> w</w:t>
      </w:r>
      <w:r w:rsidR="00201814">
        <w:rPr>
          <w:lang w:val="en-GB"/>
        </w:rPr>
        <w:t>ere</w:t>
      </w:r>
      <w:r w:rsidRPr="003C16F5">
        <w:rPr>
          <w:lang w:val="en-GB"/>
        </w:rPr>
        <w:t xml:space="preserve"> </w:t>
      </w:r>
      <w:r w:rsidR="00201814" w:rsidRPr="003C16F5">
        <w:rPr>
          <w:lang w:val="en-GB"/>
        </w:rPr>
        <w:t>favourably</w:t>
      </w:r>
      <w:r w:rsidRPr="003C16F5">
        <w:rPr>
          <w:lang w:val="en-GB"/>
        </w:rPr>
        <w:t xml:space="preserve"> low, exceeding the established target.</w:t>
      </w:r>
      <w:r w:rsidR="00A130B4">
        <w:rPr>
          <w:lang w:val="en-GB"/>
        </w:rPr>
        <w:t xml:space="preserve"> </w:t>
      </w:r>
      <w:r w:rsidR="00F82B1B">
        <w:rPr>
          <w:lang w:val="en-GB"/>
        </w:rPr>
        <w:t>T</w:t>
      </w:r>
      <w:r w:rsidR="00F82B1B" w:rsidRPr="003E2EED">
        <w:rPr>
          <w:lang w:val="en-GB"/>
        </w:rPr>
        <w:t xml:space="preserve">he </w:t>
      </w:r>
      <w:r w:rsidR="00F82B1B" w:rsidRPr="00A130B4">
        <w:rPr>
          <w:lang w:val="en-GB"/>
        </w:rPr>
        <w:t xml:space="preserve">four-ball weld load and wear scar diameter results </w:t>
      </w:r>
      <w:r w:rsidR="00F82B1B">
        <w:rPr>
          <w:lang w:val="en-GB"/>
        </w:rPr>
        <w:t xml:space="preserve">of the </w:t>
      </w:r>
      <w:r w:rsidR="00F82B1B" w:rsidRPr="00AD7B6A">
        <w:rPr>
          <w:lang w:val="en-GB"/>
        </w:rPr>
        <w:t>lubricating oil</w:t>
      </w:r>
      <w:r w:rsidR="00F82B1B">
        <w:rPr>
          <w:lang w:val="en-GB"/>
        </w:rPr>
        <w:t xml:space="preserve"> solutions</w:t>
      </w:r>
      <w:r w:rsidR="00F82B1B" w:rsidRPr="00AD7B6A">
        <w:rPr>
          <w:lang w:val="en-GB"/>
        </w:rPr>
        <w:t xml:space="preserve"> </w:t>
      </w:r>
      <w:r w:rsidR="00F82B1B">
        <w:rPr>
          <w:lang w:val="en-GB"/>
        </w:rPr>
        <w:t xml:space="preserve">made with the </w:t>
      </w:r>
      <w:r w:rsidR="00F82B1B" w:rsidRPr="00266B5E">
        <w:rPr>
          <w:lang w:val="en-GB"/>
        </w:rPr>
        <w:t>sulfurized used cooking oil additive</w:t>
      </w:r>
      <w:r w:rsidR="008C06A0">
        <w:rPr>
          <w:lang w:val="en-GB"/>
        </w:rPr>
        <w:t>s</w:t>
      </w:r>
      <w:r w:rsidR="00F82B1B" w:rsidRPr="00266B5E">
        <w:rPr>
          <w:lang w:val="en-GB"/>
        </w:rPr>
        <w:t xml:space="preserve"> </w:t>
      </w:r>
      <w:r w:rsidR="00823CC0">
        <w:rPr>
          <w:lang w:val="en-GB"/>
        </w:rPr>
        <w:t>are shown o</w:t>
      </w:r>
      <w:r w:rsidR="00A130B4">
        <w:rPr>
          <w:lang w:val="en-GB"/>
        </w:rPr>
        <w:t xml:space="preserve">n Figure </w:t>
      </w:r>
      <w:r w:rsidR="000A5F77">
        <w:rPr>
          <w:lang w:val="en-GB"/>
        </w:rPr>
        <w:t>3</w:t>
      </w:r>
      <w:r w:rsidR="00A130B4">
        <w:rPr>
          <w:lang w:val="en-GB"/>
        </w:rPr>
        <w:t>.</w:t>
      </w:r>
    </w:p>
    <w:p w14:paraId="605D5A3A" w14:textId="34284879" w:rsidR="009F7C63" w:rsidRPr="00642A4F" w:rsidRDefault="00A67645" w:rsidP="009F7C63">
      <w:pPr>
        <w:pStyle w:val="CETBodytext"/>
        <w:spacing w:before="120" w:after="60"/>
        <w:rPr>
          <w:lang w:val="en-GB"/>
        </w:rPr>
      </w:pPr>
      <w:r>
        <w:rPr>
          <w:noProof/>
          <w:lang w:val="en-GB"/>
        </w:rPr>
        <w:drawing>
          <wp:inline distT="0" distB="0" distL="0" distR="0" wp14:anchorId="68A56F2C" wp14:editId="525D112A">
            <wp:extent cx="3068348" cy="2124000"/>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8348" cy="2124000"/>
                    </a:xfrm>
                    <a:prstGeom prst="rect">
                      <a:avLst/>
                    </a:prstGeom>
                    <a:noFill/>
                  </pic:spPr>
                </pic:pic>
              </a:graphicData>
            </a:graphic>
          </wp:inline>
        </w:drawing>
      </w:r>
    </w:p>
    <w:p w14:paraId="785B4DFD" w14:textId="1EDCBEBC" w:rsidR="009F7C63" w:rsidRPr="00642A4F" w:rsidRDefault="009F7C63" w:rsidP="009174D9">
      <w:pPr>
        <w:pStyle w:val="CETCaption"/>
        <w:spacing w:before="80" w:after="60"/>
      </w:pPr>
      <w:r w:rsidRPr="00642A4F">
        <w:rPr>
          <w:rStyle w:val="CETCaptionCarattere"/>
          <w:i/>
        </w:rPr>
        <w:t xml:space="preserve">Figure </w:t>
      </w:r>
      <w:r w:rsidR="000A5F77">
        <w:rPr>
          <w:rStyle w:val="CETCaptionCarattere"/>
          <w:i/>
        </w:rPr>
        <w:t>3</w:t>
      </w:r>
      <w:r w:rsidRPr="00642A4F">
        <w:rPr>
          <w:rStyle w:val="CETCaptionCarattere"/>
          <w:i/>
        </w:rPr>
        <w:t xml:space="preserve">: The four-ball weld load </w:t>
      </w:r>
      <w:r w:rsidR="00997E36">
        <w:rPr>
          <w:rStyle w:val="CETCaptionCarattere"/>
          <w:i/>
        </w:rPr>
        <w:t xml:space="preserve">and wear scar diameter </w:t>
      </w:r>
      <w:r w:rsidRPr="00642A4F">
        <w:rPr>
          <w:rStyle w:val="CETCaptionCarattere"/>
          <w:i/>
        </w:rPr>
        <w:t xml:space="preserve">results of the </w:t>
      </w:r>
      <w:r w:rsidR="00224DE7">
        <w:rPr>
          <w:rStyle w:val="CETCaptionCarattere"/>
          <w:i/>
        </w:rPr>
        <w:t>lubricating</w:t>
      </w:r>
      <w:r w:rsidRPr="00642A4F">
        <w:rPr>
          <w:rStyle w:val="CETCaptionCarattere"/>
          <w:i/>
        </w:rPr>
        <w:t xml:space="preserve"> oil solutions of the </w:t>
      </w:r>
      <w:r w:rsidR="00AA4FFD">
        <w:rPr>
          <w:rStyle w:val="CETCaptionCarattere"/>
          <w:i/>
        </w:rPr>
        <w:t>sulfurized used cooking oil</w:t>
      </w:r>
      <w:r w:rsidR="00AA4FFD" w:rsidRPr="00642A4F">
        <w:rPr>
          <w:rStyle w:val="CETCaptionCarattere"/>
          <w:i/>
        </w:rPr>
        <w:t xml:space="preserve"> additive</w:t>
      </w:r>
      <w:r w:rsidR="00AA4FFD">
        <w:rPr>
          <w:rStyle w:val="CETCaptionCarattere"/>
          <w:i/>
        </w:rPr>
        <w:t xml:space="preserve"> samples</w:t>
      </w:r>
    </w:p>
    <w:p w14:paraId="33157B1D" w14:textId="66FE0CB5" w:rsidR="000F3113" w:rsidRPr="00AD7B6A" w:rsidRDefault="000F3113" w:rsidP="009174D9">
      <w:pPr>
        <w:pStyle w:val="CETBodytext"/>
        <w:spacing w:before="60" w:after="60"/>
        <w:rPr>
          <w:lang w:val="en-GB"/>
        </w:rPr>
      </w:pPr>
      <w:r>
        <w:rPr>
          <w:lang w:val="en-GB"/>
        </w:rPr>
        <w:t xml:space="preserve">In Table 7, the </w:t>
      </w:r>
      <w:r w:rsidRPr="00AD7B6A">
        <w:rPr>
          <w:lang w:val="en-GB"/>
        </w:rPr>
        <w:t>physic</w:t>
      </w:r>
      <w:r>
        <w:rPr>
          <w:lang w:val="en-GB"/>
        </w:rPr>
        <w:t>o-chemical</w:t>
      </w:r>
      <w:r w:rsidRPr="00AD7B6A">
        <w:rPr>
          <w:lang w:val="en-GB"/>
        </w:rPr>
        <w:t xml:space="preserve"> </w:t>
      </w:r>
      <w:r>
        <w:rPr>
          <w:lang w:val="en-GB"/>
        </w:rPr>
        <w:t xml:space="preserve">and functional </w:t>
      </w:r>
      <w:r w:rsidRPr="00AD7B6A">
        <w:rPr>
          <w:lang w:val="en-GB"/>
        </w:rPr>
        <w:t>properties of the lubricating oil</w:t>
      </w:r>
      <w:r>
        <w:rPr>
          <w:lang w:val="en-GB"/>
        </w:rPr>
        <w:t xml:space="preserve"> solutions</w:t>
      </w:r>
      <w:r w:rsidRPr="00AD7B6A">
        <w:rPr>
          <w:lang w:val="en-GB"/>
        </w:rPr>
        <w:t xml:space="preserve"> </w:t>
      </w:r>
      <w:r>
        <w:rPr>
          <w:lang w:val="en-GB"/>
        </w:rPr>
        <w:t xml:space="preserve">made with the </w:t>
      </w:r>
      <w:r w:rsidRPr="00266B5E">
        <w:rPr>
          <w:lang w:val="en-GB"/>
        </w:rPr>
        <w:t xml:space="preserve">sulfurized </w:t>
      </w:r>
      <w:r w:rsidRPr="000F3113">
        <w:rPr>
          <w:lang w:val="en-GB"/>
        </w:rPr>
        <w:t>olive pomace oil</w:t>
      </w:r>
      <w:r w:rsidRPr="00266B5E">
        <w:rPr>
          <w:lang w:val="en-GB"/>
        </w:rPr>
        <w:t xml:space="preserve"> additive samples </w:t>
      </w:r>
      <w:r w:rsidRPr="00AD7B6A">
        <w:rPr>
          <w:lang w:val="en-GB"/>
        </w:rPr>
        <w:t xml:space="preserve">are </w:t>
      </w:r>
      <w:r>
        <w:rPr>
          <w:lang w:val="en-GB"/>
        </w:rPr>
        <w:t>presented</w:t>
      </w:r>
      <w:r w:rsidRPr="00AD7B6A">
        <w:rPr>
          <w:lang w:val="en-GB"/>
        </w:rPr>
        <w:t>.</w:t>
      </w:r>
      <w:r w:rsidR="006E5466">
        <w:rPr>
          <w:lang w:val="en-GB"/>
        </w:rPr>
        <w:t xml:space="preserve"> </w:t>
      </w:r>
      <w:r w:rsidR="002819C8">
        <w:rPr>
          <w:lang w:val="en-GB"/>
        </w:rPr>
        <w:t>The</w:t>
      </w:r>
      <w:r w:rsidR="00522F99">
        <w:rPr>
          <w:lang w:val="en-GB"/>
        </w:rPr>
        <w:t>se</w:t>
      </w:r>
      <w:r w:rsidR="0096751A">
        <w:rPr>
          <w:lang w:val="en-GB"/>
        </w:rPr>
        <w:t xml:space="preserve"> </w:t>
      </w:r>
      <w:r w:rsidR="002819C8">
        <w:rPr>
          <w:lang w:val="en-GB"/>
        </w:rPr>
        <w:t>lubricating oil samples</w:t>
      </w:r>
      <w:r w:rsidR="0096751A">
        <w:rPr>
          <w:lang w:val="en-GB"/>
        </w:rPr>
        <w:t xml:space="preserve"> </w:t>
      </w:r>
      <w:r w:rsidR="00522F99">
        <w:rPr>
          <w:lang w:val="en-GB"/>
        </w:rPr>
        <w:t>ha</w:t>
      </w:r>
      <w:r w:rsidR="00426ADF">
        <w:rPr>
          <w:lang w:val="en-GB"/>
        </w:rPr>
        <w:t>d</w:t>
      </w:r>
      <w:r w:rsidR="00522F99">
        <w:rPr>
          <w:lang w:val="en-GB"/>
        </w:rPr>
        <w:t xml:space="preserve"> </w:t>
      </w:r>
      <w:r w:rsidR="002819C8">
        <w:rPr>
          <w:lang w:val="en-GB"/>
        </w:rPr>
        <w:t>slightly brighter shade, e</w:t>
      </w:r>
      <w:r w:rsidR="00C72613">
        <w:rPr>
          <w:lang w:val="en-GB"/>
        </w:rPr>
        <w:t xml:space="preserve">xcept the </w:t>
      </w:r>
      <w:r w:rsidR="00A1344A">
        <w:rPr>
          <w:lang w:val="en-GB"/>
        </w:rPr>
        <w:t xml:space="preserve">solution of the </w:t>
      </w:r>
      <w:r w:rsidR="00AA7439">
        <w:rPr>
          <w:lang w:val="en-GB"/>
        </w:rPr>
        <w:t xml:space="preserve">samples made without </w:t>
      </w:r>
      <w:r w:rsidR="009B3E7C">
        <w:rPr>
          <w:lang w:val="en-GB"/>
        </w:rPr>
        <w:t>catalyst</w:t>
      </w:r>
      <w:r w:rsidR="00AA7439">
        <w:rPr>
          <w:lang w:val="en-GB"/>
        </w:rPr>
        <w:t xml:space="preserve"> and with acid type </w:t>
      </w:r>
      <w:r w:rsidR="009B3E7C">
        <w:rPr>
          <w:lang w:val="en-GB"/>
        </w:rPr>
        <w:t>catalyst</w:t>
      </w:r>
      <w:r w:rsidR="002819C8">
        <w:rPr>
          <w:lang w:val="en-GB"/>
        </w:rPr>
        <w:t xml:space="preserve">. </w:t>
      </w:r>
      <w:r w:rsidR="00B80A6C" w:rsidRPr="00B80A6C">
        <w:rPr>
          <w:lang w:val="en-GB"/>
        </w:rPr>
        <w:t xml:space="preserve">The primary reason </w:t>
      </w:r>
      <w:r w:rsidR="00150D85">
        <w:rPr>
          <w:lang w:val="en-GB"/>
        </w:rPr>
        <w:t xml:space="preserve">of this phenomenon </w:t>
      </w:r>
      <w:r w:rsidR="00B80A6C" w:rsidRPr="00B80A6C">
        <w:rPr>
          <w:lang w:val="en-GB"/>
        </w:rPr>
        <w:t>was the lighter colo</w:t>
      </w:r>
      <w:r w:rsidR="00150D85">
        <w:rPr>
          <w:lang w:val="en-GB"/>
        </w:rPr>
        <w:t>u</w:t>
      </w:r>
      <w:r w:rsidR="00B80A6C" w:rsidRPr="00B80A6C">
        <w:rPr>
          <w:lang w:val="en-GB"/>
        </w:rPr>
        <w:t xml:space="preserve">r of the raw material, </w:t>
      </w:r>
      <w:r w:rsidR="008C06A0">
        <w:rPr>
          <w:lang w:val="en-GB"/>
        </w:rPr>
        <w:t>and it</w:t>
      </w:r>
      <w:r w:rsidR="00B80A6C" w:rsidRPr="00B80A6C">
        <w:rPr>
          <w:lang w:val="en-GB"/>
        </w:rPr>
        <w:t xml:space="preserve"> was also influenced by the type of catalyst used.</w:t>
      </w:r>
    </w:p>
    <w:p w14:paraId="5A20DF5A" w14:textId="6BFABB24" w:rsidR="000F3113" w:rsidRPr="00A748E6" w:rsidRDefault="000F3113" w:rsidP="009174D9">
      <w:pPr>
        <w:pStyle w:val="CETTabletitle"/>
        <w:spacing w:before="60"/>
      </w:pPr>
      <w:r w:rsidRPr="00A748E6">
        <w:t xml:space="preserve">Table </w:t>
      </w:r>
      <w:r>
        <w:t>7</w:t>
      </w:r>
      <w:r w:rsidRPr="00A748E6">
        <w:t xml:space="preserve">: Physico-chemical and functional properties of </w:t>
      </w:r>
      <w:r>
        <w:t>the lubricating</w:t>
      </w:r>
      <w:r w:rsidRPr="007B53F6">
        <w:t xml:space="preserve"> oil solutions</w:t>
      </w:r>
      <w:r>
        <w:t xml:space="preserve"> (LOS)</w:t>
      </w:r>
      <w:r w:rsidRPr="007B53F6">
        <w:t xml:space="preserve"> of the sulfurized </w:t>
      </w:r>
      <w:r>
        <w:rPr>
          <w:rStyle w:val="CETCaptionCarattere"/>
          <w:i/>
        </w:rPr>
        <w:t>olive pomace oil</w:t>
      </w:r>
      <w:r w:rsidRPr="007B53F6">
        <w:t xml:space="preserve"> additive samples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992"/>
        <w:gridCol w:w="993"/>
        <w:gridCol w:w="1843"/>
        <w:gridCol w:w="992"/>
        <w:gridCol w:w="992"/>
        <w:gridCol w:w="992"/>
        <w:gridCol w:w="1134"/>
        <w:gridCol w:w="849"/>
      </w:tblGrid>
      <w:tr w:rsidR="000F3113" w:rsidRPr="0032217C" w14:paraId="124132AA" w14:textId="77777777" w:rsidTr="00590093">
        <w:tc>
          <w:tcPr>
            <w:tcW w:w="992" w:type="dxa"/>
            <w:tcBorders>
              <w:top w:val="single" w:sz="12" w:space="0" w:color="008000"/>
              <w:bottom w:val="single" w:sz="6" w:space="0" w:color="008000"/>
            </w:tcBorders>
            <w:shd w:val="clear" w:color="auto" w:fill="FFFFFF"/>
            <w:vAlign w:val="center"/>
          </w:tcPr>
          <w:p w14:paraId="3A25550A" w14:textId="77777777" w:rsidR="000F3113" w:rsidRPr="0032217C" w:rsidRDefault="000F3113" w:rsidP="00DE6F24">
            <w:pPr>
              <w:pStyle w:val="CETBodytext"/>
              <w:jc w:val="left"/>
              <w:rPr>
                <w:lang w:val="en-GB"/>
              </w:rPr>
            </w:pPr>
            <w:r w:rsidRPr="0032217C">
              <w:rPr>
                <w:lang w:val="en-GB"/>
              </w:rPr>
              <w:t>Lubricating oil sample</w:t>
            </w:r>
          </w:p>
        </w:tc>
        <w:tc>
          <w:tcPr>
            <w:tcW w:w="993" w:type="dxa"/>
            <w:tcBorders>
              <w:top w:val="single" w:sz="12" w:space="0" w:color="008000"/>
              <w:bottom w:val="single" w:sz="6" w:space="0" w:color="008000"/>
            </w:tcBorders>
            <w:shd w:val="clear" w:color="auto" w:fill="FFFFFF"/>
            <w:vAlign w:val="center"/>
          </w:tcPr>
          <w:p w14:paraId="453C3633" w14:textId="77777777" w:rsidR="000F3113" w:rsidRPr="0032217C" w:rsidRDefault="000F3113" w:rsidP="00DE6F24">
            <w:pPr>
              <w:pStyle w:val="CETBodytext"/>
              <w:jc w:val="left"/>
              <w:rPr>
                <w:lang w:val="en-GB"/>
              </w:rPr>
            </w:pPr>
            <w:r w:rsidRPr="0032217C">
              <w:rPr>
                <w:lang w:val="en-GB"/>
              </w:rPr>
              <w:t>Sulfurized sample</w:t>
            </w:r>
          </w:p>
        </w:tc>
        <w:tc>
          <w:tcPr>
            <w:tcW w:w="1843" w:type="dxa"/>
            <w:tcBorders>
              <w:top w:val="single" w:sz="12" w:space="0" w:color="008000"/>
              <w:bottom w:val="single" w:sz="6" w:space="0" w:color="008000"/>
            </w:tcBorders>
            <w:shd w:val="clear" w:color="auto" w:fill="FFFFFF"/>
            <w:vAlign w:val="center"/>
          </w:tcPr>
          <w:p w14:paraId="31F82D00" w14:textId="77777777" w:rsidR="000F3113" w:rsidRPr="0032217C" w:rsidRDefault="000F3113" w:rsidP="00DE6F24">
            <w:pPr>
              <w:pStyle w:val="CETBodytext"/>
              <w:jc w:val="left"/>
              <w:rPr>
                <w:lang w:val="en-GB"/>
              </w:rPr>
            </w:pPr>
            <w:r w:rsidRPr="0032217C">
              <w:rPr>
                <w:lang w:val="en-GB"/>
              </w:rPr>
              <w:t>Appearance</w:t>
            </w:r>
          </w:p>
        </w:tc>
        <w:tc>
          <w:tcPr>
            <w:tcW w:w="992" w:type="dxa"/>
            <w:tcBorders>
              <w:top w:val="single" w:sz="12" w:space="0" w:color="008000"/>
              <w:bottom w:val="single" w:sz="6" w:space="0" w:color="008000"/>
            </w:tcBorders>
            <w:shd w:val="clear" w:color="auto" w:fill="FFFFFF"/>
            <w:vAlign w:val="center"/>
          </w:tcPr>
          <w:p w14:paraId="18E3371D" w14:textId="77777777" w:rsidR="000F3113" w:rsidRPr="0032217C" w:rsidRDefault="000F3113" w:rsidP="00DE6F24">
            <w:pPr>
              <w:pStyle w:val="CETBodytext"/>
              <w:jc w:val="left"/>
              <w:rPr>
                <w:lang w:val="en-GB"/>
              </w:rPr>
            </w:pPr>
            <w:r w:rsidRPr="0032217C">
              <w:rPr>
                <w:lang w:val="en-GB"/>
              </w:rPr>
              <w:t>Kinematic viscosity at 40°C, mm</w:t>
            </w:r>
            <w:r w:rsidRPr="0032217C">
              <w:rPr>
                <w:vertAlign w:val="superscript"/>
                <w:lang w:val="en-GB"/>
              </w:rPr>
              <w:t>2</w:t>
            </w:r>
            <w:r w:rsidRPr="0032217C">
              <w:rPr>
                <w:lang w:val="en-GB"/>
              </w:rPr>
              <w:t>/s</w:t>
            </w:r>
          </w:p>
        </w:tc>
        <w:tc>
          <w:tcPr>
            <w:tcW w:w="992" w:type="dxa"/>
            <w:tcBorders>
              <w:top w:val="single" w:sz="12" w:space="0" w:color="008000"/>
              <w:bottom w:val="single" w:sz="6" w:space="0" w:color="008000"/>
            </w:tcBorders>
            <w:shd w:val="clear" w:color="auto" w:fill="FFFFFF"/>
            <w:vAlign w:val="center"/>
          </w:tcPr>
          <w:p w14:paraId="5FC60C67" w14:textId="77777777" w:rsidR="000F3113" w:rsidRPr="0032217C" w:rsidRDefault="000F3113" w:rsidP="00DE6F24">
            <w:pPr>
              <w:pStyle w:val="CETBodytext"/>
              <w:jc w:val="left"/>
              <w:rPr>
                <w:lang w:val="en-GB"/>
              </w:rPr>
            </w:pPr>
            <w:r w:rsidRPr="0032217C">
              <w:rPr>
                <w:lang w:val="en-GB"/>
              </w:rPr>
              <w:t>Kinematic viscosity at 100°C, mm</w:t>
            </w:r>
            <w:r w:rsidRPr="0032217C">
              <w:rPr>
                <w:vertAlign w:val="superscript"/>
                <w:lang w:val="en-GB"/>
              </w:rPr>
              <w:t>2</w:t>
            </w:r>
            <w:r w:rsidRPr="0032217C">
              <w:rPr>
                <w:lang w:val="en-GB"/>
              </w:rPr>
              <w:t>/s</w:t>
            </w:r>
          </w:p>
        </w:tc>
        <w:tc>
          <w:tcPr>
            <w:tcW w:w="992" w:type="dxa"/>
            <w:tcBorders>
              <w:top w:val="single" w:sz="12" w:space="0" w:color="008000"/>
              <w:bottom w:val="single" w:sz="6" w:space="0" w:color="008000"/>
            </w:tcBorders>
            <w:shd w:val="clear" w:color="auto" w:fill="FFFFFF"/>
            <w:vAlign w:val="center"/>
          </w:tcPr>
          <w:p w14:paraId="4BD6C673" w14:textId="77777777" w:rsidR="000F3113" w:rsidRPr="0032217C" w:rsidRDefault="000F3113" w:rsidP="00DE6F24">
            <w:pPr>
              <w:pStyle w:val="CETBodytext"/>
              <w:jc w:val="left"/>
              <w:rPr>
                <w:lang w:val="en-GB"/>
              </w:rPr>
            </w:pPr>
            <w:r w:rsidRPr="0032217C">
              <w:rPr>
                <w:lang w:val="en-GB"/>
              </w:rPr>
              <w:t>Four-ball weld load,</w:t>
            </w:r>
          </w:p>
          <w:p w14:paraId="09880D5C" w14:textId="77777777" w:rsidR="000F3113" w:rsidRPr="0032217C" w:rsidRDefault="000F3113" w:rsidP="00DE6F24">
            <w:pPr>
              <w:pStyle w:val="CETBodytext"/>
              <w:jc w:val="left"/>
              <w:rPr>
                <w:lang w:val="en-GB"/>
              </w:rPr>
            </w:pPr>
            <w:r w:rsidRPr="0032217C">
              <w:rPr>
                <w:lang w:val="en-GB"/>
              </w:rPr>
              <w:t>N</w:t>
            </w:r>
          </w:p>
        </w:tc>
        <w:tc>
          <w:tcPr>
            <w:tcW w:w="1134" w:type="dxa"/>
            <w:tcBorders>
              <w:top w:val="single" w:sz="12" w:space="0" w:color="008000"/>
              <w:bottom w:val="single" w:sz="6" w:space="0" w:color="008000"/>
            </w:tcBorders>
            <w:shd w:val="clear" w:color="auto" w:fill="FFFFFF"/>
            <w:vAlign w:val="center"/>
          </w:tcPr>
          <w:p w14:paraId="43754542" w14:textId="77777777" w:rsidR="000F3113" w:rsidRPr="0032217C" w:rsidRDefault="000F3113" w:rsidP="00DE6F24">
            <w:pPr>
              <w:pStyle w:val="CETBodytext"/>
              <w:jc w:val="left"/>
              <w:rPr>
                <w:lang w:val="en-GB"/>
              </w:rPr>
            </w:pPr>
            <w:r w:rsidRPr="0032217C">
              <w:rPr>
                <w:lang w:val="en-GB"/>
              </w:rPr>
              <w:t>Four-ball scar diameter,</w:t>
            </w:r>
          </w:p>
          <w:p w14:paraId="04EECFB8" w14:textId="77777777" w:rsidR="000F3113" w:rsidRPr="0032217C" w:rsidRDefault="000F3113" w:rsidP="00DE6F24">
            <w:pPr>
              <w:pStyle w:val="CETBodytext"/>
              <w:jc w:val="left"/>
              <w:rPr>
                <w:lang w:val="en-GB"/>
              </w:rPr>
            </w:pPr>
            <w:r w:rsidRPr="0032217C">
              <w:rPr>
                <w:lang w:val="en-GB"/>
              </w:rPr>
              <w:t>mm</w:t>
            </w:r>
          </w:p>
        </w:tc>
        <w:tc>
          <w:tcPr>
            <w:tcW w:w="849" w:type="dxa"/>
            <w:tcBorders>
              <w:top w:val="single" w:sz="12" w:space="0" w:color="008000"/>
              <w:bottom w:val="single" w:sz="6" w:space="0" w:color="008000"/>
            </w:tcBorders>
            <w:shd w:val="clear" w:color="auto" w:fill="FFFFFF"/>
            <w:vAlign w:val="center"/>
          </w:tcPr>
          <w:p w14:paraId="58A3780B" w14:textId="77777777" w:rsidR="000F3113" w:rsidRPr="0032217C" w:rsidRDefault="000F3113" w:rsidP="00DE6F24">
            <w:pPr>
              <w:pStyle w:val="CETBodytext"/>
              <w:jc w:val="left"/>
              <w:rPr>
                <w:lang w:val="en-GB"/>
              </w:rPr>
            </w:pPr>
            <w:r w:rsidRPr="0032217C">
              <w:rPr>
                <w:lang w:val="en-GB"/>
              </w:rPr>
              <w:t>Copper corrosion test, level</w:t>
            </w:r>
          </w:p>
        </w:tc>
      </w:tr>
      <w:tr w:rsidR="001C20AD" w:rsidRPr="0032217C" w14:paraId="701FFA5D" w14:textId="77777777" w:rsidTr="00590093">
        <w:tc>
          <w:tcPr>
            <w:tcW w:w="992" w:type="dxa"/>
            <w:shd w:val="clear" w:color="auto" w:fill="FFFFFF"/>
            <w:vAlign w:val="center"/>
          </w:tcPr>
          <w:p w14:paraId="6A41501D" w14:textId="13E12938" w:rsidR="001C20AD" w:rsidRPr="0032217C" w:rsidRDefault="001C20AD" w:rsidP="00DE6F24">
            <w:pPr>
              <w:pStyle w:val="CETBodytext"/>
              <w:jc w:val="left"/>
              <w:rPr>
                <w:szCs w:val="16"/>
                <w:lang w:val="en-GB"/>
              </w:rPr>
            </w:pPr>
            <w:r w:rsidRPr="0032217C">
              <w:rPr>
                <w:szCs w:val="16"/>
                <w:lang w:val="en-GB"/>
              </w:rPr>
              <w:t>LOS-</w:t>
            </w:r>
            <w:r>
              <w:rPr>
                <w:szCs w:val="16"/>
                <w:lang w:val="en-GB"/>
              </w:rPr>
              <w:t>7</w:t>
            </w:r>
          </w:p>
        </w:tc>
        <w:tc>
          <w:tcPr>
            <w:tcW w:w="993" w:type="dxa"/>
            <w:shd w:val="clear" w:color="auto" w:fill="FFFFFF"/>
            <w:vAlign w:val="center"/>
          </w:tcPr>
          <w:p w14:paraId="66AB56C1" w14:textId="7D12A68E" w:rsidR="001C20AD" w:rsidRPr="0032217C" w:rsidRDefault="001C20AD" w:rsidP="00DE6F24">
            <w:pPr>
              <w:pStyle w:val="CETBodytext"/>
              <w:jc w:val="left"/>
              <w:rPr>
                <w:lang w:val="en-GB"/>
              </w:rPr>
            </w:pPr>
            <w:r>
              <w:t>OP</w:t>
            </w:r>
            <w:r w:rsidRPr="00746CB3">
              <w:t>O-1</w:t>
            </w:r>
          </w:p>
        </w:tc>
        <w:tc>
          <w:tcPr>
            <w:tcW w:w="1843" w:type="dxa"/>
            <w:shd w:val="clear" w:color="auto" w:fill="FFFFFF"/>
            <w:vAlign w:val="center"/>
          </w:tcPr>
          <w:p w14:paraId="562C0B5F" w14:textId="74AF75E8" w:rsidR="001C20AD" w:rsidRPr="0032217C" w:rsidRDefault="008C1F05" w:rsidP="00DE6F24">
            <w:pPr>
              <w:autoSpaceDE w:val="0"/>
              <w:autoSpaceDN w:val="0"/>
              <w:adjustRightInd w:val="0"/>
              <w:jc w:val="left"/>
            </w:pPr>
            <w:r>
              <w:rPr>
                <w:szCs w:val="16"/>
              </w:rPr>
              <w:t>Dark b</w:t>
            </w:r>
            <w:r w:rsidR="00290308">
              <w:rPr>
                <w:szCs w:val="16"/>
              </w:rPr>
              <w:t>rown</w:t>
            </w:r>
            <w:r w:rsidR="001C20AD" w:rsidRPr="0032217C">
              <w:rPr>
                <w:szCs w:val="16"/>
              </w:rPr>
              <w:t xml:space="preserve"> liquid</w:t>
            </w:r>
          </w:p>
        </w:tc>
        <w:tc>
          <w:tcPr>
            <w:tcW w:w="992" w:type="dxa"/>
            <w:shd w:val="clear" w:color="auto" w:fill="FFFFFF"/>
            <w:vAlign w:val="center"/>
          </w:tcPr>
          <w:p w14:paraId="72BD0C82" w14:textId="525780FB" w:rsidR="001C20AD" w:rsidRPr="0032217C" w:rsidRDefault="001C20AD" w:rsidP="00DE6F24">
            <w:pPr>
              <w:pStyle w:val="CETBodytext"/>
              <w:jc w:val="left"/>
              <w:rPr>
                <w:lang w:val="en-GB"/>
              </w:rPr>
            </w:pPr>
            <w:r w:rsidRPr="00CA1DB5">
              <w:t>33.7</w:t>
            </w:r>
          </w:p>
        </w:tc>
        <w:tc>
          <w:tcPr>
            <w:tcW w:w="992" w:type="dxa"/>
            <w:shd w:val="clear" w:color="auto" w:fill="FFFFFF"/>
            <w:vAlign w:val="center"/>
          </w:tcPr>
          <w:p w14:paraId="5995BEA0" w14:textId="36F2AA76" w:rsidR="001C20AD" w:rsidRPr="0032217C" w:rsidRDefault="001C20AD" w:rsidP="00DE6F24">
            <w:pPr>
              <w:pStyle w:val="CETBodytext"/>
              <w:jc w:val="left"/>
              <w:rPr>
                <w:lang w:val="en-GB"/>
              </w:rPr>
            </w:pPr>
            <w:r w:rsidRPr="00556F46">
              <w:t>5.55</w:t>
            </w:r>
          </w:p>
        </w:tc>
        <w:tc>
          <w:tcPr>
            <w:tcW w:w="992" w:type="dxa"/>
            <w:shd w:val="clear" w:color="auto" w:fill="FFFFFF"/>
            <w:vAlign w:val="center"/>
          </w:tcPr>
          <w:p w14:paraId="60BEF370" w14:textId="1D3622A1" w:rsidR="001C20AD" w:rsidRPr="0032217C" w:rsidRDefault="001C20AD" w:rsidP="00DE6F24">
            <w:pPr>
              <w:pStyle w:val="CETBodytext"/>
              <w:jc w:val="left"/>
              <w:rPr>
                <w:lang w:val="en-GB"/>
              </w:rPr>
            </w:pPr>
            <w:r w:rsidRPr="00F75077">
              <w:t>2 100</w:t>
            </w:r>
          </w:p>
        </w:tc>
        <w:tc>
          <w:tcPr>
            <w:tcW w:w="1134" w:type="dxa"/>
            <w:shd w:val="clear" w:color="auto" w:fill="FFFFFF"/>
            <w:vAlign w:val="center"/>
          </w:tcPr>
          <w:p w14:paraId="188DFE6F" w14:textId="4B5F7131" w:rsidR="001C20AD" w:rsidRPr="0032217C" w:rsidRDefault="001C20AD" w:rsidP="00DE6F24">
            <w:pPr>
              <w:pStyle w:val="CETBodytext"/>
              <w:jc w:val="left"/>
              <w:rPr>
                <w:lang w:val="en-GB"/>
              </w:rPr>
            </w:pPr>
            <w:r w:rsidRPr="00317F00">
              <w:t>0.61</w:t>
            </w:r>
          </w:p>
        </w:tc>
        <w:tc>
          <w:tcPr>
            <w:tcW w:w="849" w:type="dxa"/>
            <w:shd w:val="clear" w:color="auto" w:fill="FFFFFF"/>
            <w:vAlign w:val="center"/>
          </w:tcPr>
          <w:p w14:paraId="1A66ADA3" w14:textId="1479C7DD" w:rsidR="001C20AD" w:rsidRPr="0032217C" w:rsidRDefault="001C20AD" w:rsidP="00DE6F24">
            <w:pPr>
              <w:pStyle w:val="CETBodytext"/>
              <w:jc w:val="left"/>
              <w:rPr>
                <w:lang w:val="en-GB"/>
              </w:rPr>
            </w:pPr>
            <w:r w:rsidRPr="004A0257">
              <w:t>4c</w:t>
            </w:r>
          </w:p>
        </w:tc>
      </w:tr>
      <w:tr w:rsidR="001C20AD" w:rsidRPr="0032217C" w14:paraId="6021354D" w14:textId="77777777" w:rsidTr="00590093">
        <w:tc>
          <w:tcPr>
            <w:tcW w:w="992" w:type="dxa"/>
            <w:shd w:val="clear" w:color="auto" w:fill="FFFFFF"/>
            <w:vAlign w:val="center"/>
          </w:tcPr>
          <w:p w14:paraId="15D4ABD0" w14:textId="00C0FC4D" w:rsidR="001C20AD" w:rsidRPr="0032217C" w:rsidRDefault="001C20AD" w:rsidP="00DE6F24">
            <w:pPr>
              <w:pStyle w:val="CETBodytext"/>
              <w:ind w:right="-1"/>
              <w:jc w:val="left"/>
              <w:rPr>
                <w:szCs w:val="16"/>
                <w:lang w:val="en-GB"/>
              </w:rPr>
            </w:pPr>
            <w:r w:rsidRPr="0032217C">
              <w:rPr>
                <w:szCs w:val="16"/>
                <w:lang w:val="en-GB"/>
              </w:rPr>
              <w:t>LOS -</w:t>
            </w:r>
            <w:r>
              <w:rPr>
                <w:szCs w:val="16"/>
                <w:lang w:val="en-GB"/>
              </w:rPr>
              <w:t>8</w:t>
            </w:r>
          </w:p>
        </w:tc>
        <w:tc>
          <w:tcPr>
            <w:tcW w:w="993" w:type="dxa"/>
            <w:shd w:val="clear" w:color="auto" w:fill="FFFFFF"/>
            <w:vAlign w:val="center"/>
          </w:tcPr>
          <w:p w14:paraId="1ACFFEF1" w14:textId="1DCFE27A" w:rsidR="001C20AD" w:rsidRPr="0032217C" w:rsidRDefault="001C20AD" w:rsidP="00DE6F24">
            <w:pPr>
              <w:pStyle w:val="CETBodytext"/>
              <w:ind w:right="-1"/>
              <w:jc w:val="left"/>
              <w:rPr>
                <w:rFonts w:cs="Arial"/>
                <w:szCs w:val="18"/>
                <w:lang w:val="en-GB"/>
              </w:rPr>
            </w:pPr>
            <w:r>
              <w:t>OP</w:t>
            </w:r>
            <w:r w:rsidRPr="00746CB3">
              <w:t>O-2</w:t>
            </w:r>
          </w:p>
        </w:tc>
        <w:tc>
          <w:tcPr>
            <w:tcW w:w="1843" w:type="dxa"/>
            <w:shd w:val="clear" w:color="auto" w:fill="FFFFFF"/>
            <w:vAlign w:val="center"/>
          </w:tcPr>
          <w:p w14:paraId="387415C1" w14:textId="4CAE3DE3" w:rsidR="001C20AD" w:rsidRPr="0032217C" w:rsidRDefault="008C1F05" w:rsidP="00590093">
            <w:pPr>
              <w:autoSpaceDE w:val="0"/>
              <w:autoSpaceDN w:val="0"/>
              <w:adjustRightInd w:val="0"/>
              <w:jc w:val="left"/>
              <w:rPr>
                <w:rFonts w:cs="Arial"/>
                <w:szCs w:val="18"/>
              </w:rPr>
            </w:pPr>
            <w:r>
              <w:rPr>
                <w:szCs w:val="16"/>
              </w:rPr>
              <w:t>Dark b</w:t>
            </w:r>
            <w:r w:rsidR="001C20AD" w:rsidRPr="0032217C">
              <w:rPr>
                <w:szCs w:val="16"/>
              </w:rPr>
              <w:t>rown</w:t>
            </w:r>
            <w:r w:rsidR="00590093">
              <w:rPr>
                <w:szCs w:val="16"/>
              </w:rPr>
              <w:t xml:space="preserve"> </w:t>
            </w:r>
            <w:r w:rsidR="001C20AD" w:rsidRPr="0032217C">
              <w:rPr>
                <w:szCs w:val="16"/>
              </w:rPr>
              <w:t>liquid</w:t>
            </w:r>
          </w:p>
        </w:tc>
        <w:tc>
          <w:tcPr>
            <w:tcW w:w="992" w:type="dxa"/>
            <w:shd w:val="clear" w:color="auto" w:fill="FFFFFF"/>
            <w:vAlign w:val="center"/>
          </w:tcPr>
          <w:p w14:paraId="58735B6A" w14:textId="3A2F33A1" w:rsidR="001C20AD" w:rsidRPr="0032217C" w:rsidRDefault="001C20AD" w:rsidP="00DE6F24">
            <w:pPr>
              <w:pStyle w:val="CETBodytext"/>
              <w:ind w:right="-1"/>
              <w:jc w:val="left"/>
              <w:rPr>
                <w:rFonts w:cs="Arial"/>
                <w:szCs w:val="18"/>
                <w:lang w:val="en-GB"/>
              </w:rPr>
            </w:pPr>
            <w:r w:rsidRPr="00CA1DB5">
              <w:t>33.6</w:t>
            </w:r>
          </w:p>
        </w:tc>
        <w:tc>
          <w:tcPr>
            <w:tcW w:w="992" w:type="dxa"/>
            <w:shd w:val="clear" w:color="auto" w:fill="FFFFFF"/>
            <w:vAlign w:val="center"/>
          </w:tcPr>
          <w:p w14:paraId="5C86C43A" w14:textId="1C1A7A3A" w:rsidR="001C20AD" w:rsidRPr="0032217C" w:rsidRDefault="001C20AD" w:rsidP="00DE6F24">
            <w:pPr>
              <w:pStyle w:val="CETBodytext"/>
              <w:ind w:right="-1"/>
              <w:jc w:val="left"/>
              <w:rPr>
                <w:rFonts w:cs="Arial"/>
                <w:szCs w:val="18"/>
                <w:lang w:val="en-GB"/>
              </w:rPr>
            </w:pPr>
            <w:r w:rsidRPr="00556F46">
              <w:t>5.52</w:t>
            </w:r>
          </w:p>
        </w:tc>
        <w:tc>
          <w:tcPr>
            <w:tcW w:w="992" w:type="dxa"/>
            <w:shd w:val="clear" w:color="auto" w:fill="FFFFFF"/>
            <w:vAlign w:val="center"/>
          </w:tcPr>
          <w:p w14:paraId="3922D34A" w14:textId="35DDB31E" w:rsidR="001C20AD" w:rsidRPr="0032217C" w:rsidRDefault="001C20AD" w:rsidP="00DE6F24">
            <w:pPr>
              <w:pStyle w:val="CETBodytext"/>
              <w:ind w:right="-1"/>
              <w:jc w:val="left"/>
              <w:rPr>
                <w:rFonts w:cs="Arial"/>
                <w:szCs w:val="18"/>
                <w:lang w:val="en-GB"/>
              </w:rPr>
            </w:pPr>
            <w:r w:rsidRPr="00F75077">
              <w:t>2 100</w:t>
            </w:r>
          </w:p>
        </w:tc>
        <w:tc>
          <w:tcPr>
            <w:tcW w:w="1134" w:type="dxa"/>
            <w:shd w:val="clear" w:color="auto" w:fill="FFFFFF"/>
            <w:vAlign w:val="center"/>
          </w:tcPr>
          <w:p w14:paraId="08109F25" w14:textId="66C17B3E" w:rsidR="001C20AD" w:rsidRPr="0032217C" w:rsidRDefault="001C20AD" w:rsidP="00DE6F24">
            <w:pPr>
              <w:pStyle w:val="CETBodytext"/>
              <w:ind w:right="-1"/>
              <w:jc w:val="left"/>
              <w:rPr>
                <w:rFonts w:cs="Arial"/>
                <w:szCs w:val="18"/>
                <w:lang w:val="en-GB"/>
              </w:rPr>
            </w:pPr>
            <w:r w:rsidRPr="00317F00">
              <w:t>0.56</w:t>
            </w:r>
          </w:p>
        </w:tc>
        <w:tc>
          <w:tcPr>
            <w:tcW w:w="849" w:type="dxa"/>
            <w:shd w:val="clear" w:color="auto" w:fill="FFFFFF"/>
            <w:vAlign w:val="center"/>
          </w:tcPr>
          <w:p w14:paraId="00B5F914" w14:textId="3DB906DD" w:rsidR="001C20AD" w:rsidRPr="0032217C" w:rsidRDefault="001C20AD" w:rsidP="00DE6F24">
            <w:pPr>
              <w:pStyle w:val="CETBodytext"/>
              <w:ind w:right="-1"/>
              <w:jc w:val="left"/>
              <w:rPr>
                <w:lang w:val="en-GB"/>
              </w:rPr>
            </w:pPr>
            <w:r w:rsidRPr="004A0257">
              <w:t>4c</w:t>
            </w:r>
          </w:p>
        </w:tc>
      </w:tr>
      <w:tr w:rsidR="001C20AD" w:rsidRPr="0032217C" w14:paraId="516C37E3" w14:textId="77777777" w:rsidTr="00590093">
        <w:tc>
          <w:tcPr>
            <w:tcW w:w="992" w:type="dxa"/>
            <w:shd w:val="clear" w:color="auto" w:fill="FFFFFF"/>
            <w:vAlign w:val="center"/>
          </w:tcPr>
          <w:p w14:paraId="7506BE49" w14:textId="22FEE1C5" w:rsidR="001C20AD" w:rsidRPr="0032217C" w:rsidRDefault="001C20AD" w:rsidP="00DE6F24">
            <w:pPr>
              <w:pStyle w:val="CETBodytext"/>
              <w:ind w:right="-1"/>
              <w:jc w:val="left"/>
              <w:rPr>
                <w:szCs w:val="16"/>
                <w:lang w:val="en-GB"/>
              </w:rPr>
            </w:pPr>
            <w:r w:rsidRPr="0032217C">
              <w:rPr>
                <w:szCs w:val="16"/>
                <w:lang w:val="en-GB"/>
              </w:rPr>
              <w:t>LOS -</w:t>
            </w:r>
            <w:r>
              <w:rPr>
                <w:szCs w:val="16"/>
                <w:lang w:val="en-GB"/>
              </w:rPr>
              <w:t>9</w:t>
            </w:r>
          </w:p>
        </w:tc>
        <w:tc>
          <w:tcPr>
            <w:tcW w:w="993" w:type="dxa"/>
            <w:shd w:val="clear" w:color="auto" w:fill="FFFFFF"/>
            <w:vAlign w:val="center"/>
          </w:tcPr>
          <w:p w14:paraId="1EBEF0BB" w14:textId="507346FB" w:rsidR="001C20AD" w:rsidRPr="0032217C" w:rsidRDefault="001C20AD" w:rsidP="00DE6F24">
            <w:pPr>
              <w:pStyle w:val="CETBodytext"/>
              <w:ind w:right="-1"/>
              <w:jc w:val="left"/>
              <w:rPr>
                <w:rFonts w:cs="Arial"/>
                <w:szCs w:val="18"/>
                <w:lang w:val="en-GB"/>
              </w:rPr>
            </w:pPr>
            <w:r>
              <w:t>OP</w:t>
            </w:r>
            <w:r w:rsidRPr="00746CB3">
              <w:t>O-3</w:t>
            </w:r>
          </w:p>
        </w:tc>
        <w:tc>
          <w:tcPr>
            <w:tcW w:w="1843" w:type="dxa"/>
            <w:shd w:val="clear" w:color="auto" w:fill="FFFFFF"/>
            <w:vAlign w:val="center"/>
          </w:tcPr>
          <w:p w14:paraId="1E25F34D" w14:textId="5C159F36" w:rsidR="001C20AD" w:rsidRPr="0032217C" w:rsidRDefault="0064368A" w:rsidP="00DE6F24">
            <w:pPr>
              <w:pStyle w:val="CETBodytext"/>
              <w:ind w:right="-1"/>
              <w:jc w:val="left"/>
              <w:rPr>
                <w:rFonts w:cs="Arial"/>
                <w:szCs w:val="18"/>
                <w:lang w:val="en-GB"/>
              </w:rPr>
            </w:pPr>
            <w:r>
              <w:rPr>
                <w:szCs w:val="16"/>
              </w:rPr>
              <w:t>Reddish</w:t>
            </w:r>
            <w:r w:rsidR="001C20AD" w:rsidRPr="0032217C">
              <w:rPr>
                <w:szCs w:val="16"/>
              </w:rPr>
              <w:t xml:space="preserve"> brown</w:t>
            </w:r>
            <w:r w:rsidR="001C20AD" w:rsidRPr="0032217C">
              <w:rPr>
                <w:szCs w:val="16"/>
                <w:lang w:val="en-GB"/>
              </w:rPr>
              <w:t xml:space="preserve"> liquid</w:t>
            </w:r>
          </w:p>
        </w:tc>
        <w:tc>
          <w:tcPr>
            <w:tcW w:w="992" w:type="dxa"/>
            <w:shd w:val="clear" w:color="auto" w:fill="FFFFFF"/>
            <w:vAlign w:val="center"/>
          </w:tcPr>
          <w:p w14:paraId="30F3A1BF" w14:textId="073DF482" w:rsidR="001C20AD" w:rsidRPr="0032217C" w:rsidRDefault="001C20AD" w:rsidP="00DE6F24">
            <w:pPr>
              <w:pStyle w:val="CETBodytext"/>
              <w:ind w:right="-1"/>
              <w:jc w:val="left"/>
              <w:rPr>
                <w:rFonts w:cs="Arial"/>
                <w:szCs w:val="18"/>
                <w:lang w:val="en-GB"/>
              </w:rPr>
            </w:pPr>
            <w:r w:rsidRPr="00CA1DB5">
              <w:t>35.0</w:t>
            </w:r>
          </w:p>
        </w:tc>
        <w:tc>
          <w:tcPr>
            <w:tcW w:w="992" w:type="dxa"/>
            <w:shd w:val="clear" w:color="auto" w:fill="FFFFFF"/>
            <w:vAlign w:val="center"/>
          </w:tcPr>
          <w:p w14:paraId="0D90EEE3" w14:textId="42D71C4E" w:rsidR="001C20AD" w:rsidRPr="0032217C" w:rsidRDefault="001C20AD" w:rsidP="00DE6F24">
            <w:pPr>
              <w:pStyle w:val="CETBodytext"/>
              <w:ind w:right="-1"/>
              <w:jc w:val="left"/>
              <w:rPr>
                <w:rFonts w:cs="Arial"/>
                <w:szCs w:val="18"/>
                <w:lang w:val="en-GB"/>
              </w:rPr>
            </w:pPr>
            <w:r w:rsidRPr="00556F46">
              <w:t>5.72</w:t>
            </w:r>
          </w:p>
        </w:tc>
        <w:tc>
          <w:tcPr>
            <w:tcW w:w="992" w:type="dxa"/>
            <w:shd w:val="clear" w:color="auto" w:fill="FFFFFF"/>
            <w:vAlign w:val="center"/>
          </w:tcPr>
          <w:p w14:paraId="0C292D6B" w14:textId="04D93436" w:rsidR="001C20AD" w:rsidRPr="0032217C" w:rsidRDefault="001C20AD" w:rsidP="00DE6F24">
            <w:pPr>
              <w:pStyle w:val="CETBodytext"/>
              <w:ind w:right="-1"/>
              <w:jc w:val="left"/>
              <w:rPr>
                <w:rFonts w:cs="Arial"/>
                <w:szCs w:val="18"/>
                <w:lang w:val="en-GB"/>
              </w:rPr>
            </w:pPr>
            <w:r w:rsidRPr="00F75077">
              <w:t>2 200</w:t>
            </w:r>
          </w:p>
        </w:tc>
        <w:tc>
          <w:tcPr>
            <w:tcW w:w="1134" w:type="dxa"/>
            <w:shd w:val="clear" w:color="auto" w:fill="FFFFFF"/>
            <w:vAlign w:val="center"/>
          </w:tcPr>
          <w:p w14:paraId="22C02921" w14:textId="09C59F77" w:rsidR="001C20AD" w:rsidRPr="0032217C" w:rsidRDefault="001C20AD" w:rsidP="00DE6F24">
            <w:pPr>
              <w:pStyle w:val="CETBodytext"/>
              <w:ind w:right="-1"/>
              <w:jc w:val="left"/>
              <w:rPr>
                <w:rFonts w:cs="Arial"/>
                <w:szCs w:val="18"/>
                <w:lang w:val="en-GB"/>
              </w:rPr>
            </w:pPr>
            <w:r w:rsidRPr="00317F00">
              <w:t>0.51</w:t>
            </w:r>
          </w:p>
        </w:tc>
        <w:tc>
          <w:tcPr>
            <w:tcW w:w="849" w:type="dxa"/>
            <w:shd w:val="clear" w:color="auto" w:fill="FFFFFF"/>
            <w:vAlign w:val="center"/>
          </w:tcPr>
          <w:p w14:paraId="40F6A6DD" w14:textId="573A0BF1" w:rsidR="001C20AD" w:rsidRPr="0032217C" w:rsidRDefault="001C20AD" w:rsidP="00DE6F24">
            <w:pPr>
              <w:pStyle w:val="CETBodytext"/>
              <w:ind w:right="-1"/>
              <w:jc w:val="left"/>
              <w:rPr>
                <w:lang w:val="en-GB"/>
              </w:rPr>
            </w:pPr>
            <w:r w:rsidRPr="004A0257">
              <w:t>4a</w:t>
            </w:r>
          </w:p>
        </w:tc>
      </w:tr>
      <w:tr w:rsidR="001C20AD" w:rsidRPr="0032217C" w14:paraId="57DDD00C" w14:textId="77777777" w:rsidTr="00590093">
        <w:tc>
          <w:tcPr>
            <w:tcW w:w="992" w:type="dxa"/>
            <w:shd w:val="clear" w:color="auto" w:fill="FFFFFF"/>
            <w:vAlign w:val="center"/>
          </w:tcPr>
          <w:p w14:paraId="3FA8E3DE" w14:textId="52D11ECF" w:rsidR="001C20AD" w:rsidRPr="0032217C" w:rsidRDefault="001C20AD" w:rsidP="00DE6F24">
            <w:pPr>
              <w:pStyle w:val="CETBodytext"/>
              <w:ind w:right="-1"/>
              <w:jc w:val="left"/>
              <w:rPr>
                <w:szCs w:val="16"/>
                <w:lang w:val="en-GB"/>
              </w:rPr>
            </w:pPr>
            <w:r w:rsidRPr="0032217C">
              <w:rPr>
                <w:szCs w:val="16"/>
                <w:lang w:val="en-GB"/>
              </w:rPr>
              <w:t>LOS -</w:t>
            </w:r>
            <w:r>
              <w:rPr>
                <w:szCs w:val="16"/>
                <w:lang w:val="en-GB"/>
              </w:rPr>
              <w:t>10</w:t>
            </w:r>
          </w:p>
        </w:tc>
        <w:tc>
          <w:tcPr>
            <w:tcW w:w="993" w:type="dxa"/>
            <w:shd w:val="clear" w:color="auto" w:fill="FFFFFF"/>
            <w:vAlign w:val="center"/>
          </w:tcPr>
          <w:p w14:paraId="4D3AA4C6" w14:textId="3EF7C0A0" w:rsidR="001C20AD" w:rsidRPr="0032217C" w:rsidRDefault="001C20AD" w:rsidP="00DE6F24">
            <w:pPr>
              <w:pStyle w:val="CETBodytext"/>
              <w:ind w:right="-1"/>
              <w:jc w:val="left"/>
              <w:rPr>
                <w:rFonts w:cs="Arial"/>
                <w:szCs w:val="18"/>
                <w:lang w:val="en-GB"/>
              </w:rPr>
            </w:pPr>
            <w:r>
              <w:t>OP</w:t>
            </w:r>
            <w:r w:rsidRPr="00746CB3">
              <w:t>O-4</w:t>
            </w:r>
          </w:p>
        </w:tc>
        <w:tc>
          <w:tcPr>
            <w:tcW w:w="1843" w:type="dxa"/>
            <w:shd w:val="clear" w:color="auto" w:fill="FFFFFF"/>
            <w:vAlign w:val="center"/>
          </w:tcPr>
          <w:p w14:paraId="5DD013B3" w14:textId="383180B7" w:rsidR="001C20AD" w:rsidRPr="0032217C" w:rsidRDefault="00DC6EDC" w:rsidP="00590093">
            <w:pPr>
              <w:pStyle w:val="CETBodytext"/>
              <w:ind w:right="-1"/>
              <w:jc w:val="left"/>
              <w:rPr>
                <w:rFonts w:cs="Arial"/>
                <w:szCs w:val="18"/>
                <w:lang w:val="en-GB"/>
              </w:rPr>
            </w:pPr>
            <w:r>
              <w:rPr>
                <w:szCs w:val="16"/>
              </w:rPr>
              <w:t>B</w:t>
            </w:r>
            <w:r w:rsidR="001C20AD" w:rsidRPr="0032217C">
              <w:rPr>
                <w:szCs w:val="16"/>
              </w:rPr>
              <w:t>rown</w:t>
            </w:r>
            <w:r w:rsidR="00590093">
              <w:rPr>
                <w:szCs w:val="16"/>
              </w:rPr>
              <w:t xml:space="preserve"> </w:t>
            </w:r>
            <w:r w:rsidR="001C20AD" w:rsidRPr="0032217C">
              <w:rPr>
                <w:szCs w:val="16"/>
                <w:lang w:val="en-GB"/>
              </w:rPr>
              <w:t>liquid</w:t>
            </w:r>
          </w:p>
        </w:tc>
        <w:tc>
          <w:tcPr>
            <w:tcW w:w="992" w:type="dxa"/>
            <w:shd w:val="clear" w:color="auto" w:fill="FFFFFF"/>
            <w:vAlign w:val="center"/>
          </w:tcPr>
          <w:p w14:paraId="129096B7" w14:textId="3527788E" w:rsidR="001C20AD" w:rsidRPr="0032217C" w:rsidRDefault="001C20AD" w:rsidP="00DE6F24">
            <w:pPr>
              <w:pStyle w:val="CETBodytext"/>
              <w:ind w:right="-1"/>
              <w:jc w:val="left"/>
              <w:rPr>
                <w:rFonts w:cs="Arial"/>
                <w:szCs w:val="18"/>
                <w:lang w:val="en-GB"/>
              </w:rPr>
            </w:pPr>
            <w:r w:rsidRPr="00CA1DB5">
              <w:t>33.9</w:t>
            </w:r>
          </w:p>
        </w:tc>
        <w:tc>
          <w:tcPr>
            <w:tcW w:w="992" w:type="dxa"/>
            <w:shd w:val="clear" w:color="auto" w:fill="FFFFFF"/>
            <w:vAlign w:val="center"/>
          </w:tcPr>
          <w:p w14:paraId="4FF2B868" w14:textId="4707A2A4" w:rsidR="001C20AD" w:rsidRPr="0032217C" w:rsidRDefault="001C20AD" w:rsidP="00DE6F24">
            <w:pPr>
              <w:pStyle w:val="CETBodytext"/>
              <w:ind w:right="-1"/>
              <w:jc w:val="left"/>
              <w:rPr>
                <w:rFonts w:cs="Arial"/>
                <w:szCs w:val="18"/>
                <w:lang w:val="en-GB"/>
              </w:rPr>
            </w:pPr>
            <w:r w:rsidRPr="00556F46">
              <w:t>5.55</w:t>
            </w:r>
          </w:p>
        </w:tc>
        <w:tc>
          <w:tcPr>
            <w:tcW w:w="992" w:type="dxa"/>
            <w:shd w:val="clear" w:color="auto" w:fill="FFFFFF"/>
            <w:vAlign w:val="center"/>
          </w:tcPr>
          <w:p w14:paraId="2D994406" w14:textId="7F320BEE" w:rsidR="001C20AD" w:rsidRPr="0032217C" w:rsidRDefault="001C20AD" w:rsidP="00DE6F24">
            <w:pPr>
              <w:pStyle w:val="CETBodytext"/>
              <w:ind w:right="-1"/>
              <w:jc w:val="left"/>
              <w:rPr>
                <w:rFonts w:cs="Arial"/>
                <w:szCs w:val="18"/>
                <w:lang w:val="en-GB"/>
              </w:rPr>
            </w:pPr>
            <w:r w:rsidRPr="00F75077">
              <w:t>2 100</w:t>
            </w:r>
          </w:p>
        </w:tc>
        <w:tc>
          <w:tcPr>
            <w:tcW w:w="1134" w:type="dxa"/>
            <w:shd w:val="clear" w:color="auto" w:fill="FFFFFF"/>
            <w:vAlign w:val="center"/>
          </w:tcPr>
          <w:p w14:paraId="6BD376A4" w14:textId="309D54B2" w:rsidR="001C20AD" w:rsidRPr="0032217C" w:rsidRDefault="001C20AD" w:rsidP="00DE6F24">
            <w:pPr>
              <w:pStyle w:val="CETBodytext"/>
              <w:ind w:right="-1"/>
              <w:jc w:val="left"/>
              <w:rPr>
                <w:rFonts w:cs="Arial"/>
                <w:szCs w:val="18"/>
                <w:lang w:val="en-GB"/>
              </w:rPr>
            </w:pPr>
            <w:r w:rsidRPr="00317F00">
              <w:t>0.50</w:t>
            </w:r>
          </w:p>
        </w:tc>
        <w:tc>
          <w:tcPr>
            <w:tcW w:w="849" w:type="dxa"/>
            <w:shd w:val="clear" w:color="auto" w:fill="FFFFFF"/>
            <w:vAlign w:val="center"/>
          </w:tcPr>
          <w:p w14:paraId="2A7B50F7" w14:textId="4F494915" w:rsidR="001C20AD" w:rsidRPr="0032217C" w:rsidRDefault="001C20AD" w:rsidP="00DE6F24">
            <w:pPr>
              <w:pStyle w:val="CETBodytext"/>
              <w:ind w:right="-1"/>
              <w:jc w:val="left"/>
              <w:rPr>
                <w:lang w:val="en-GB"/>
              </w:rPr>
            </w:pPr>
            <w:r w:rsidRPr="004A0257">
              <w:t>3b</w:t>
            </w:r>
          </w:p>
        </w:tc>
      </w:tr>
      <w:tr w:rsidR="001C20AD" w:rsidRPr="0032217C" w14:paraId="7EA5FFCB" w14:textId="77777777" w:rsidTr="00590093">
        <w:tc>
          <w:tcPr>
            <w:tcW w:w="992" w:type="dxa"/>
            <w:shd w:val="clear" w:color="auto" w:fill="FFFFFF"/>
            <w:vAlign w:val="center"/>
          </w:tcPr>
          <w:p w14:paraId="73833EAA" w14:textId="3BB1B08D" w:rsidR="001C20AD" w:rsidRPr="0032217C" w:rsidRDefault="001C20AD" w:rsidP="00DE6F24">
            <w:pPr>
              <w:pStyle w:val="CETBodytext"/>
              <w:ind w:right="-1"/>
              <w:jc w:val="left"/>
              <w:rPr>
                <w:szCs w:val="16"/>
                <w:lang w:val="en-GB"/>
              </w:rPr>
            </w:pPr>
            <w:r w:rsidRPr="0032217C">
              <w:rPr>
                <w:szCs w:val="16"/>
                <w:lang w:val="en-GB"/>
              </w:rPr>
              <w:t>LOS -</w:t>
            </w:r>
            <w:r>
              <w:rPr>
                <w:szCs w:val="16"/>
                <w:lang w:val="en-GB"/>
              </w:rPr>
              <w:t>11</w:t>
            </w:r>
          </w:p>
        </w:tc>
        <w:tc>
          <w:tcPr>
            <w:tcW w:w="993" w:type="dxa"/>
            <w:shd w:val="clear" w:color="auto" w:fill="FFFFFF"/>
            <w:vAlign w:val="center"/>
          </w:tcPr>
          <w:p w14:paraId="0D07E597" w14:textId="6E01C5A2" w:rsidR="001C20AD" w:rsidRPr="0032217C" w:rsidRDefault="001C20AD" w:rsidP="00DE6F24">
            <w:pPr>
              <w:pStyle w:val="CETBodytext"/>
              <w:ind w:right="-1"/>
              <w:jc w:val="left"/>
              <w:rPr>
                <w:rFonts w:cs="Arial"/>
                <w:szCs w:val="18"/>
                <w:lang w:val="en-GB"/>
              </w:rPr>
            </w:pPr>
            <w:r>
              <w:t>OP</w:t>
            </w:r>
            <w:r w:rsidRPr="00746CB3">
              <w:t>O-5</w:t>
            </w:r>
          </w:p>
        </w:tc>
        <w:tc>
          <w:tcPr>
            <w:tcW w:w="1843" w:type="dxa"/>
            <w:shd w:val="clear" w:color="auto" w:fill="FFFFFF"/>
            <w:vAlign w:val="center"/>
          </w:tcPr>
          <w:p w14:paraId="02FF7FA4" w14:textId="28604795" w:rsidR="001C20AD" w:rsidRPr="0032217C" w:rsidRDefault="00DC6EDC" w:rsidP="00DE6F24">
            <w:pPr>
              <w:pStyle w:val="CETBodytext"/>
              <w:ind w:right="-1"/>
              <w:jc w:val="left"/>
              <w:rPr>
                <w:rFonts w:cs="Arial"/>
                <w:szCs w:val="18"/>
                <w:lang w:val="en-GB"/>
              </w:rPr>
            </w:pPr>
            <w:r>
              <w:rPr>
                <w:szCs w:val="16"/>
              </w:rPr>
              <w:t>Reddish</w:t>
            </w:r>
            <w:r w:rsidRPr="0032217C">
              <w:rPr>
                <w:szCs w:val="16"/>
              </w:rPr>
              <w:t xml:space="preserve"> brown</w:t>
            </w:r>
            <w:r w:rsidRPr="0032217C">
              <w:rPr>
                <w:szCs w:val="16"/>
                <w:lang w:val="en-GB"/>
              </w:rPr>
              <w:t xml:space="preserve"> liquid</w:t>
            </w:r>
          </w:p>
        </w:tc>
        <w:tc>
          <w:tcPr>
            <w:tcW w:w="992" w:type="dxa"/>
            <w:shd w:val="clear" w:color="auto" w:fill="FFFFFF"/>
            <w:vAlign w:val="center"/>
          </w:tcPr>
          <w:p w14:paraId="1ED06962" w14:textId="6E5D6382" w:rsidR="001C20AD" w:rsidRPr="0032217C" w:rsidRDefault="001C20AD" w:rsidP="00DE6F24">
            <w:pPr>
              <w:pStyle w:val="CETBodytext"/>
              <w:ind w:right="-1"/>
              <w:jc w:val="left"/>
              <w:rPr>
                <w:rFonts w:cs="Arial"/>
                <w:szCs w:val="18"/>
                <w:lang w:val="en-GB"/>
              </w:rPr>
            </w:pPr>
            <w:r w:rsidRPr="00CA1DB5">
              <w:t>35.3</w:t>
            </w:r>
          </w:p>
        </w:tc>
        <w:tc>
          <w:tcPr>
            <w:tcW w:w="992" w:type="dxa"/>
            <w:shd w:val="clear" w:color="auto" w:fill="FFFFFF"/>
            <w:vAlign w:val="center"/>
          </w:tcPr>
          <w:p w14:paraId="3C678DED" w14:textId="48CF8453" w:rsidR="001C20AD" w:rsidRPr="0032217C" w:rsidRDefault="001C20AD" w:rsidP="00DE6F24">
            <w:pPr>
              <w:pStyle w:val="CETBodytext"/>
              <w:ind w:right="-1"/>
              <w:jc w:val="left"/>
              <w:rPr>
                <w:rFonts w:cs="Arial"/>
                <w:szCs w:val="18"/>
                <w:lang w:val="en-GB"/>
              </w:rPr>
            </w:pPr>
            <w:r w:rsidRPr="00556F46">
              <w:t>5.72</w:t>
            </w:r>
          </w:p>
        </w:tc>
        <w:tc>
          <w:tcPr>
            <w:tcW w:w="992" w:type="dxa"/>
            <w:shd w:val="clear" w:color="auto" w:fill="FFFFFF"/>
            <w:vAlign w:val="center"/>
          </w:tcPr>
          <w:p w14:paraId="6BBC85DA" w14:textId="3785B271" w:rsidR="001C20AD" w:rsidRPr="0032217C" w:rsidRDefault="001C20AD" w:rsidP="00DE6F24">
            <w:pPr>
              <w:pStyle w:val="CETBodytext"/>
              <w:ind w:right="-1"/>
              <w:jc w:val="left"/>
              <w:rPr>
                <w:rFonts w:cs="Arial"/>
                <w:szCs w:val="18"/>
                <w:lang w:val="en-GB"/>
              </w:rPr>
            </w:pPr>
            <w:r w:rsidRPr="00F75077">
              <w:t>2 200</w:t>
            </w:r>
          </w:p>
        </w:tc>
        <w:tc>
          <w:tcPr>
            <w:tcW w:w="1134" w:type="dxa"/>
            <w:shd w:val="clear" w:color="auto" w:fill="FFFFFF"/>
            <w:vAlign w:val="center"/>
          </w:tcPr>
          <w:p w14:paraId="3A67E459" w14:textId="523EA750" w:rsidR="001C20AD" w:rsidRPr="0032217C" w:rsidRDefault="001C20AD" w:rsidP="00DE6F24">
            <w:pPr>
              <w:pStyle w:val="CETBodytext"/>
              <w:ind w:right="-1"/>
              <w:jc w:val="left"/>
              <w:rPr>
                <w:rFonts w:cs="Arial"/>
                <w:szCs w:val="18"/>
                <w:lang w:val="en-GB"/>
              </w:rPr>
            </w:pPr>
            <w:r w:rsidRPr="00317F00">
              <w:t>0.53</w:t>
            </w:r>
          </w:p>
        </w:tc>
        <w:tc>
          <w:tcPr>
            <w:tcW w:w="849" w:type="dxa"/>
            <w:shd w:val="clear" w:color="auto" w:fill="FFFFFF"/>
            <w:vAlign w:val="center"/>
          </w:tcPr>
          <w:p w14:paraId="3EAFF064" w14:textId="2220C24D" w:rsidR="001C20AD" w:rsidRPr="0032217C" w:rsidRDefault="001C20AD" w:rsidP="00DE6F24">
            <w:pPr>
              <w:pStyle w:val="CETBodytext"/>
              <w:ind w:right="-1"/>
              <w:jc w:val="left"/>
              <w:rPr>
                <w:lang w:val="en-GB"/>
              </w:rPr>
            </w:pPr>
            <w:r w:rsidRPr="004A0257">
              <w:t>3b</w:t>
            </w:r>
          </w:p>
        </w:tc>
      </w:tr>
      <w:tr w:rsidR="001C20AD" w:rsidRPr="0032217C" w14:paraId="799F4896" w14:textId="77777777" w:rsidTr="00590093">
        <w:tc>
          <w:tcPr>
            <w:tcW w:w="992" w:type="dxa"/>
            <w:shd w:val="clear" w:color="auto" w:fill="FFFFFF"/>
            <w:vAlign w:val="center"/>
          </w:tcPr>
          <w:p w14:paraId="41531C49" w14:textId="74D0D786" w:rsidR="001C20AD" w:rsidRPr="0032217C" w:rsidRDefault="001C20AD" w:rsidP="00DE6F24">
            <w:pPr>
              <w:pStyle w:val="CETBodytext"/>
              <w:ind w:right="-1"/>
              <w:jc w:val="left"/>
              <w:rPr>
                <w:szCs w:val="16"/>
                <w:lang w:val="en-GB"/>
              </w:rPr>
            </w:pPr>
            <w:r w:rsidRPr="0032217C">
              <w:rPr>
                <w:szCs w:val="16"/>
                <w:lang w:val="en-GB"/>
              </w:rPr>
              <w:t>LOS -</w:t>
            </w:r>
            <w:r>
              <w:rPr>
                <w:szCs w:val="16"/>
                <w:lang w:val="en-GB"/>
              </w:rPr>
              <w:t>12</w:t>
            </w:r>
          </w:p>
        </w:tc>
        <w:tc>
          <w:tcPr>
            <w:tcW w:w="993" w:type="dxa"/>
            <w:shd w:val="clear" w:color="auto" w:fill="FFFFFF"/>
            <w:vAlign w:val="center"/>
          </w:tcPr>
          <w:p w14:paraId="2C70FB01" w14:textId="4924FF87" w:rsidR="001C20AD" w:rsidRPr="0032217C" w:rsidRDefault="001C20AD" w:rsidP="00DE6F24">
            <w:pPr>
              <w:pStyle w:val="CETBodytext"/>
              <w:ind w:right="-1"/>
              <w:jc w:val="left"/>
              <w:rPr>
                <w:lang w:val="en-GB"/>
              </w:rPr>
            </w:pPr>
            <w:r>
              <w:t>OP</w:t>
            </w:r>
            <w:r w:rsidRPr="00746CB3">
              <w:t>O-6</w:t>
            </w:r>
          </w:p>
        </w:tc>
        <w:tc>
          <w:tcPr>
            <w:tcW w:w="1843" w:type="dxa"/>
            <w:shd w:val="clear" w:color="auto" w:fill="FFFFFF"/>
            <w:vAlign w:val="center"/>
          </w:tcPr>
          <w:p w14:paraId="055A3114" w14:textId="59C782A6" w:rsidR="001C20AD" w:rsidRPr="0032217C" w:rsidRDefault="00DE6F24" w:rsidP="00590093">
            <w:pPr>
              <w:pStyle w:val="CETBodytext"/>
              <w:ind w:right="-1"/>
              <w:jc w:val="left"/>
              <w:rPr>
                <w:lang w:val="en-GB"/>
              </w:rPr>
            </w:pPr>
            <w:r>
              <w:rPr>
                <w:szCs w:val="16"/>
              </w:rPr>
              <w:t>B</w:t>
            </w:r>
            <w:r w:rsidRPr="0032217C">
              <w:rPr>
                <w:szCs w:val="16"/>
              </w:rPr>
              <w:t>rown</w:t>
            </w:r>
            <w:r w:rsidR="00590093">
              <w:rPr>
                <w:szCs w:val="16"/>
              </w:rPr>
              <w:t xml:space="preserve"> </w:t>
            </w:r>
            <w:r w:rsidRPr="0032217C">
              <w:rPr>
                <w:szCs w:val="16"/>
                <w:lang w:val="en-GB"/>
              </w:rPr>
              <w:t>liquid</w:t>
            </w:r>
          </w:p>
        </w:tc>
        <w:tc>
          <w:tcPr>
            <w:tcW w:w="992" w:type="dxa"/>
            <w:shd w:val="clear" w:color="auto" w:fill="FFFFFF"/>
            <w:vAlign w:val="center"/>
          </w:tcPr>
          <w:p w14:paraId="70198C54" w14:textId="3E9B7773" w:rsidR="001C20AD" w:rsidRPr="0032217C" w:rsidRDefault="001C20AD" w:rsidP="00DE6F24">
            <w:pPr>
              <w:pStyle w:val="CETBodytext"/>
              <w:ind w:right="-1"/>
              <w:jc w:val="left"/>
              <w:rPr>
                <w:lang w:val="en-GB"/>
              </w:rPr>
            </w:pPr>
            <w:r w:rsidRPr="00CA1DB5">
              <w:t>34.8</w:t>
            </w:r>
          </w:p>
        </w:tc>
        <w:tc>
          <w:tcPr>
            <w:tcW w:w="992" w:type="dxa"/>
            <w:shd w:val="clear" w:color="auto" w:fill="FFFFFF"/>
            <w:vAlign w:val="center"/>
          </w:tcPr>
          <w:p w14:paraId="1F2957F9" w14:textId="0D0BA86F" w:rsidR="001C20AD" w:rsidRPr="0032217C" w:rsidRDefault="001C20AD" w:rsidP="00DE6F24">
            <w:pPr>
              <w:pStyle w:val="CETBodytext"/>
              <w:ind w:right="-1"/>
              <w:jc w:val="left"/>
              <w:rPr>
                <w:lang w:val="en-GB"/>
              </w:rPr>
            </w:pPr>
            <w:r w:rsidRPr="00556F46">
              <w:t>5.67</w:t>
            </w:r>
          </w:p>
        </w:tc>
        <w:tc>
          <w:tcPr>
            <w:tcW w:w="992" w:type="dxa"/>
            <w:shd w:val="clear" w:color="auto" w:fill="FFFFFF"/>
            <w:vAlign w:val="center"/>
          </w:tcPr>
          <w:p w14:paraId="10209CD7" w14:textId="7C74F697" w:rsidR="001C20AD" w:rsidRPr="0032217C" w:rsidRDefault="001C20AD" w:rsidP="00DE6F24">
            <w:pPr>
              <w:pStyle w:val="CETBodytext"/>
              <w:ind w:right="-1"/>
              <w:jc w:val="left"/>
              <w:rPr>
                <w:lang w:val="en-GB"/>
              </w:rPr>
            </w:pPr>
            <w:r w:rsidRPr="00F75077">
              <w:t>2 300</w:t>
            </w:r>
          </w:p>
        </w:tc>
        <w:tc>
          <w:tcPr>
            <w:tcW w:w="1134" w:type="dxa"/>
            <w:shd w:val="clear" w:color="auto" w:fill="FFFFFF"/>
            <w:vAlign w:val="center"/>
          </w:tcPr>
          <w:p w14:paraId="4E2D8C1E" w14:textId="13A5A7DD" w:rsidR="001C20AD" w:rsidRPr="0032217C" w:rsidRDefault="001C20AD" w:rsidP="00DE6F24">
            <w:pPr>
              <w:pStyle w:val="CETBodytext"/>
              <w:ind w:right="-1"/>
              <w:jc w:val="left"/>
              <w:rPr>
                <w:lang w:val="en-GB"/>
              </w:rPr>
            </w:pPr>
            <w:r w:rsidRPr="00317F00">
              <w:t>0.50</w:t>
            </w:r>
          </w:p>
        </w:tc>
        <w:tc>
          <w:tcPr>
            <w:tcW w:w="849" w:type="dxa"/>
            <w:shd w:val="clear" w:color="auto" w:fill="FFFFFF"/>
            <w:vAlign w:val="center"/>
          </w:tcPr>
          <w:p w14:paraId="44653496" w14:textId="49CC1052" w:rsidR="001C20AD" w:rsidRPr="0032217C" w:rsidRDefault="001C20AD" w:rsidP="00DE6F24">
            <w:pPr>
              <w:pStyle w:val="CETBodytext"/>
              <w:ind w:right="-1"/>
              <w:jc w:val="left"/>
              <w:rPr>
                <w:lang w:val="en-GB"/>
              </w:rPr>
            </w:pPr>
            <w:r w:rsidRPr="004A0257">
              <w:t>4a</w:t>
            </w:r>
          </w:p>
        </w:tc>
      </w:tr>
    </w:tbl>
    <w:p w14:paraId="6EB0AA7C" w14:textId="4A7EFC89" w:rsidR="000F3113" w:rsidRPr="00642A4F" w:rsidRDefault="008C06A0" w:rsidP="000F3113">
      <w:pPr>
        <w:pStyle w:val="CETBodytext"/>
        <w:spacing w:before="120" w:after="60"/>
        <w:rPr>
          <w:lang w:val="en-GB"/>
        </w:rPr>
      </w:pPr>
      <w:r w:rsidRPr="008C06A0">
        <w:rPr>
          <w:lang w:val="en-GB"/>
        </w:rPr>
        <w:t xml:space="preserve">The </w:t>
      </w:r>
      <w:r w:rsidR="0035523A">
        <w:rPr>
          <w:lang w:val="en-GB"/>
        </w:rPr>
        <w:t xml:space="preserve">best </w:t>
      </w:r>
      <w:r w:rsidRPr="008C06A0">
        <w:rPr>
          <w:lang w:val="en-GB"/>
        </w:rPr>
        <w:t xml:space="preserve">weld load </w:t>
      </w:r>
      <w:r w:rsidR="00757751">
        <w:rPr>
          <w:lang w:val="en-GB"/>
        </w:rPr>
        <w:t>result was occurred in the case of</w:t>
      </w:r>
      <w:r w:rsidR="009A3E8C">
        <w:rPr>
          <w:lang w:val="en-GB"/>
        </w:rPr>
        <w:t xml:space="preserve"> “Amine 2” type catalyst (LOS-12</w:t>
      </w:r>
      <w:r w:rsidR="00581706">
        <w:rPr>
          <w:lang w:val="en-GB"/>
        </w:rPr>
        <w:t>)</w:t>
      </w:r>
      <w:r w:rsidR="00827A56">
        <w:rPr>
          <w:lang w:val="en-GB"/>
        </w:rPr>
        <w:t>, in addition</w:t>
      </w:r>
      <w:r w:rsidR="009A3E8C">
        <w:rPr>
          <w:lang w:val="en-GB"/>
        </w:rPr>
        <w:t xml:space="preserve"> </w:t>
      </w:r>
      <w:r w:rsidRPr="008C06A0">
        <w:rPr>
          <w:lang w:val="en-GB"/>
        </w:rPr>
        <w:t xml:space="preserve">each sample achieved the set target. </w:t>
      </w:r>
      <w:r w:rsidR="00B21886">
        <w:rPr>
          <w:lang w:val="en-GB"/>
        </w:rPr>
        <w:t xml:space="preserve">The </w:t>
      </w:r>
      <w:r w:rsidR="00C33348">
        <w:rPr>
          <w:lang w:val="en-GB"/>
        </w:rPr>
        <w:t>lowest we</w:t>
      </w:r>
      <w:r w:rsidRPr="008C06A0">
        <w:rPr>
          <w:lang w:val="en-GB"/>
        </w:rPr>
        <w:t>ar scar diameter</w:t>
      </w:r>
      <w:r w:rsidR="00C33348">
        <w:rPr>
          <w:lang w:val="en-GB"/>
        </w:rPr>
        <w:t xml:space="preserve"> results were measured in the case of amine type </w:t>
      </w:r>
      <w:r w:rsidR="009B3E7C">
        <w:rPr>
          <w:lang w:val="en-GB"/>
        </w:rPr>
        <w:t>catalyst</w:t>
      </w:r>
      <w:r w:rsidR="003D267C">
        <w:rPr>
          <w:lang w:val="en-GB"/>
        </w:rPr>
        <w:t>s (LOS-10, LOS-11)</w:t>
      </w:r>
      <w:r w:rsidR="002A141B">
        <w:rPr>
          <w:lang w:val="en-GB"/>
        </w:rPr>
        <w:t>, which outcomes</w:t>
      </w:r>
      <w:r w:rsidRPr="008C06A0">
        <w:rPr>
          <w:lang w:val="en-GB"/>
        </w:rPr>
        <w:t xml:space="preserve"> exceed the </w:t>
      </w:r>
      <w:r w:rsidR="005E2F65">
        <w:rPr>
          <w:lang w:val="en-GB"/>
        </w:rPr>
        <w:t>set</w:t>
      </w:r>
      <w:r w:rsidRPr="008C06A0">
        <w:rPr>
          <w:lang w:val="en-GB"/>
        </w:rPr>
        <w:t xml:space="preserve"> target. </w:t>
      </w:r>
      <w:r w:rsidR="00B8358F" w:rsidRPr="00B8358F">
        <w:rPr>
          <w:lang w:val="en-GB"/>
        </w:rPr>
        <w:t>Moreover, when</w:t>
      </w:r>
      <w:r w:rsidR="003F50F2">
        <w:rPr>
          <w:lang w:val="en-GB"/>
        </w:rPr>
        <w:t xml:space="preserve"> organic-peroxide (LOS</w:t>
      </w:r>
      <w:r w:rsidR="00074ACD">
        <w:rPr>
          <w:lang w:val="en-GB"/>
        </w:rPr>
        <w:noBreakHyphen/>
      </w:r>
      <w:r w:rsidR="003F50F2">
        <w:rPr>
          <w:lang w:val="en-GB"/>
        </w:rPr>
        <w:t>9),</w:t>
      </w:r>
      <w:r w:rsidR="00B8358F" w:rsidRPr="00B8358F">
        <w:rPr>
          <w:lang w:val="en-GB"/>
        </w:rPr>
        <w:t xml:space="preserve"> amine </w:t>
      </w:r>
      <w:r w:rsidR="00074ACD">
        <w:rPr>
          <w:lang w:val="en-GB"/>
        </w:rPr>
        <w:t xml:space="preserve">(LOS-10, LOS-12) </w:t>
      </w:r>
      <w:r w:rsidR="00B8358F" w:rsidRPr="00B8358F">
        <w:rPr>
          <w:lang w:val="en-GB"/>
        </w:rPr>
        <w:t xml:space="preserve">and sulfide-type </w:t>
      </w:r>
      <w:r w:rsidR="00074ACD">
        <w:rPr>
          <w:lang w:val="en-GB"/>
        </w:rPr>
        <w:t xml:space="preserve">(LOS-11) </w:t>
      </w:r>
      <w:r w:rsidR="00B8358F" w:rsidRPr="00B8358F">
        <w:rPr>
          <w:lang w:val="en-GB"/>
        </w:rPr>
        <w:t xml:space="preserve">catalysts were applied, the copper corrosion </w:t>
      </w:r>
      <w:r w:rsidR="00C422BC" w:rsidRPr="00C422BC">
        <w:rPr>
          <w:lang w:val="en-GB"/>
        </w:rPr>
        <w:t xml:space="preserve">levels were </w:t>
      </w:r>
      <w:r w:rsidR="00C422BC" w:rsidRPr="00C422BC">
        <w:rPr>
          <w:lang w:val="en-GB"/>
        </w:rPr>
        <w:lastRenderedPageBreak/>
        <w:t>low, significantly</w:t>
      </w:r>
      <w:r w:rsidR="00C422BC">
        <w:rPr>
          <w:lang w:val="en-GB"/>
        </w:rPr>
        <w:t xml:space="preserve"> </w:t>
      </w:r>
      <w:r w:rsidR="00B8358F" w:rsidRPr="00B8358F">
        <w:rPr>
          <w:lang w:val="en-GB"/>
        </w:rPr>
        <w:t>surpassing the established target.</w:t>
      </w:r>
      <w:r w:rsidR="003F50F2">
        <w:rPr>
          <w:lang w:val="en-GB"/>
        </w:rPr>
        <w:t xml:space="preserve"> </w:t>
      </w:r>
      <w:r w:rsidRPr="008C06A0">
        <w:rPr>
          <w:lang w:val="en-GB"/>
        </w:rPr>
        <w:t xml:space="preserve">The four-ball weld load and wear scar diameter results of the lubricating oil solutions made with the sulfurized </w:t>
      </w:r>
      <w:r>
        <w:rPr>
          <w:lang w:val="en-GB"/>
        </w:rPr>
        <w:t>olive pomace</w:t>
      </w:r>
      <w:r w:rsidRPr="008C06A0">
        <w:rPr>
          <w:lang w:val="en-GB"/>
        </w:rPr>
        <w:t xml:space="preserve"> oil additive</w:t>
      </w:r>
      <w:r>
        <w:rPr>
          <w:lang w:val="en-GB"/>
        </w:rPr>
        <w:t>s</w:t>
      </w:r>
      <w:r w:rsidRPr="008C06A0">
        <w:rPr>
          <w:lang w:val="en-GB"/>
        </w:rPr>
        <w:t xml:space="preserve"> are shown on Figure </w:t>
      </w:r>
      <w:r w:rsidR="000A5F77">
        <w:rPr>
          <w:lang w:val="en-GB"/>
        </w:rPr>
        <w:t>4</w:t>
      </w:r>
      <w:r w:rsidRPr="008C06A0">
        <w:rPr>
          <w:lang w:val="en-GB"/>
        </w:rPr>
        <w:t>.</w:t>
      </w:r>
    </w:p>
    <w:p w14:paraId="66FCB409" w14:textId="12B3D352" w:rsidR="009F7C63" w:rsidRPr="00642A4F" w:rsidRDefault="00A67645" w:rsidP="009F7C63">
      <w:pPr>
        <w:pStyle w:val="CETBodytext"/>
        <w:spacing w:before="120" w:after="60"/>
        <w:rPr>
          <w:lang w:val="en-GB"/>
        </w:rPr>
      </w:pPr>
      <w:r>
        <w:rPr>
          <w:noProof/>
          <w:lang w:val="en-GB"/>
        </w:rPr>
        <w:drawing>
          <wp:inline distT="0" distB="0" distL="0" distR="0" wp14:anchorId="48BD944D" wp14:editId="3C688B54">
            <wp:extent cx="3068348" cy="2124000"/>
            <wp:effectExtent l="0" t="0" r="0" b="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68348" cy="2124000"/>
                    </a:xfrm>
                    <a:prstGeom prst="rect">
                      <a:avLst/>
                    </a:prstGeom>
                    <a:noFill/>
                  </pic:spPr>
                </pic:pic>
              </a:graphicData>
            </a:graphic>
          </wp:inline>
        </w:drawing>
      </w:r>
    </w:p>
    <w:p w14:paraId="0793A220" w14:textId="582EA31F" w:rsidR="009F7C63" w:rsidRDefault="009F7C63" w:rsidP="008147F4">
      <w:pPr>
        <w:pStyle w:val="CETCaption"/>
        <w:spacing w:before="80" w:after="120"/>
        <w:rPr>
          <w:rStyle w:val="CETCaptionCarattere"/>
          <w:i/>
        </w:rPr>
      </w:pPr>
      <w:r w:rsidRPr="00642A4F">
        <w:rPr>
          <w:rStyle w:val="CETCaptionCarattere"/>
          <w:i/>
        </w:rPr>
        <w:t xml:space="preserve">Figure </w:t>
      </w:r>
      <w:r w:rsidR="000A5F77">
        <w:rPr>
          <w:rStyle w:val="CETCaptionCarattere"/>
          <w:i/>
        </w:rPr>
        <w:t>4</w:t>
      </w:r>
      <w:r w:rsidRPr="00642A4F">
        <w:rPr>
          <w:rStyle w:val="CETCaptionCarattere"/>
          <w:i/>
        </w:rPr>
        <w:t xml:space="preserve">: </w:t>
      </w:r>
      <w:r w:rsidR="00EB57D3" w:rsidRPr="00642A4F">
        <w:rPr>
          <w:rStyle w:val="CETCaptionCarattere"/>
          <w:i/>
        </w:rPr>
        <w:t xml:space="preserve">The four-ball weld load </w:t>
      </w:r>
      <w:r w:rsidR="00EB57D3">
        <w:rPr>
          <w:rStyle w:val="CETCaptionCarattere"/>
          <w:i/>
        </w:rPr>
        <w:t xml:space="preserve">and wear scar diameter </w:t>
      </w:r>
      <w:r w:rsidR="00EB57D3" w:rsidRPr="00642A4F">
        <w:rPr>
          <w:rStyle w:val="CETCaptionCarattere"/>
          <w:i/>
        </w:rPr>
        <w:t xml:space="preserve">results of the </w:t>
      </w:r>
      <w:r w:rsidR="00224DE7">
        <w:rPr>
          <w:rStyle w:val="CETCaptionCarattere"/>
          <w:i/>
        </w:rPr>
        <w:t>lubricating</w:t>
      </w:r>
      <w:r w:rsidR="00EB57D3" w:rsidRPr="00642A4F">
        <w:rPr>
          <w:rStyle w:val="CETCaptionCarattere"/>
          <w:i/>
        </w:rPr>
        <w:t xml:space="preserve"> oil solutions of the </w:t>
      </w:r>
      <w:r w:rsidR="00EB57D3">
        <w:rPr>
          <w:rStyle w:val="CETCaptionCarattere"/>
          <w:i/>
        </w:rPr>
        <w:t>sulfurized olive pomace oil additive samples</w:t>
      </w:r>
    </w:p>
    <w:p w14:paraId="45BF6BD5" w14:textId="77777777" w:rsidR="009F7C63" w:rsidRPr="00642A4F" w:rsidRDefault="009F7C63" w:rsidP="009F7C63">
      <w:pPr>
        <w:pStyle w:val="CETHeading1"/>
        <w:rPr>
          <w:lang w:val="en-GB"/>
        </w:rPr>
      </w:pPr>
      <w:r w:rsidRPr="00642A4F">
        <w:rPr>
          <w:lang w:val="en-GB"/>
        </w:rPr>
        <w:t>Conclusions</w:t>
      </w:r>
    </w:p>
    <w:p w14:paraId="0CDBAA8E" w14:textId="4318B599" w:rsidR="002B55F9" w:rsidRPr="001F124E" w:rsidRDefault="004C7E30" w:rsidP="0024450B">
      <w:pPr>
        <w:pStyle w:val="CETBodytext"/>
        <w:spacing w:after="60"/>
      </w:pPr>
      <w:r>
        <w:rPr>
          <w:lang w:val="en-GB"/>
        </w:rPr>
        <w:t>It can be stated</w:t>
      </w:r>
      <w:r w:rsidR="00505C9E" w:rsidRPr="00505C9E">
        <w:rPr>
          <w:lang w:val="en-GB"/>
        </w:rPr>
        <w:t xml:space="preserve">, </w:t>
      </w:r>
      <w:r w:rsidR="00E87440">
        <w:rPr>
          <w:lang w:val="en-GB"/>
        </w:rPr>
        <w:t>that a</w:t>
      </w:r>
      <w:r w:rsidR="002B55F9" w:rsidRPr="00D45F9C">
        <w:rPr>
          <w:lang w:val="en-GB"/>
        </w:rPr>
        <w:t xml:space="preserve">dditives derived from olive </w:t>
      </w:r>
      <w:r w:rsidR="002B55F9" w:rsidRPr="001F124E">
        <w:t xml:space="preserve">pomace oil </w:t>
      </w:r>
      <w:r w:rsidR="009D2402">
        <w:t>with the use of amine- and sulfide</w:t>
      </w:r>
      <w:r w:rsidR="00626D3A">
        <w:t>-</w:t>
      </w:r>
      <w:r w:rsidR="009D2402">
        <w:t xml:space="preserve">type </w:t>
      </w:r>
      <w:r w:rsidR="009B3E7C">
        <w:t>catalyst</w:t>
      </w:r>
      <w:r w:rsidR="009D2402">
        <w:t xml:space="preserve">s </w:t>
      </w:r>
      <w:r w:rsidR="002B55F9" w:rsidRPr="001F124E">
        <w:t xml:space="preserve">provided the most </w:t>
      </w:r>
      <w:r w:rsidR="00E83683">
        <w:t xml:space="preserve">favorable </w:t>
      </w:r>
      <w:r w:rsidR="009C6ADD">
        <w:t xml:space="preserve">physico-chemical properties and </w:t>
      </w:r>
      <w:r w:rsidR="00F371AE">
        <w:t xml:space="preserve">the most </w:t>
      </w:r>
      <w:r w:rsidR="00E83683" w:rsidRPr="001F124E">
        <w:t xml:space="preserve">desirable functional </w:t>
      </w:r>
      <w:r w:rsidR="002B55F9" w:rsidRPr="001F124E">
        <w:t>effects</w:t>
      </w:r>
      <w:r w:rsidR="00CB37BF">
        <w:t>.</w:t>
      </w:r>
      <w:r w:rsidR="00AE5B35">
        <w:t xml:space="preserve"> </w:t>
      </w:r>
      <w:r w:rsidR="00AE5B35" w:rsidRPr="00AE5B35">
        <w:t>The results demonstrate that additives exhibiting a lower degree of copper corrosion than those commercially available with similar sulfur content can be produced by employing suitably selected catalyst and reaction conditions.</w:t>
      </w:r>
    </w:p>
    <w:p w14:paraId="0C645050" w14:textId="34469D4F" w:rsidR="0049653F" w:rsidRPr="001F124E" w:rsidRDefault="0049653F" w:rsidP="00A07557">
      <w:pPr>
        <w:pStyle w:val="CETnumberingbullets"/>
        <w:jc w:val="both"/>
        <w:rPr>
          <w:lang w:val="en-US" w:eastAsia="hu-HU"/>
        </w:rPr>
      </w:pPr>
      <w:r w:rsidRPr="001F124E">
        <w:rPr>
          <w:lang w:val="en-US" w:eastAsia="hu-HU"/>
        </w:rPr>
        <w:t>With a</w:t>
      </w:r>
      <w:r w:rsidR="00F747E5">
        <w:rPr>
          <w:lang w:val="en-US" w:eastAsia="hu-HU"/>
        </w:rPr>
        <w:t>ppropriately</w:t>
      </w:r>
      <w:r w:rsidRPr="001F124E">
        <w:rPr>
          <w:lang w:val="en-US" w:eastAsia="hu-HU"/>
        </w:rPr>
        <w:t xml:space="preserve"> selected catalyst, it is feasible to produce </w:t>
      </w:r>
      <w:r w:rsidR="00F747E5">
        <w:rPr>
          <w:lang w:val="en-US" w:eastAsia="hu-HU"/>
        </w:rPr>
        <w:t>EP</w:t>
      </w:r>
      <w:r w:rsidRPr="001F124E">
        <w:rPr>
          <w:lang w:val="en-US" w:eastAsia="hu-HU"/>
        </w:rPr>
        <w:t xml:space="preserve"> additive</w:t>
      </w:r>
      <w:r w:rsidR="00F747E5">
        <w:rPr>
          <w:lang w:val="en-US" w:eastAsia="hu-HU"/>
        </w:rPr>
        <w:t>s</w:t>
      </w:r>
      <w:r w:rsidRPr="001F124E">
        <w:rPr>
          <w:lang w:val="en-US" w:eastAsia="hu-HU"/>
        </w:rPr>
        <w:t xml:space="preserve"> whose functional parameters exceed the established targets, even when </w:t>
      </w:r>
      <w:r w:rsidR="00222103">
        <w:rPr>
          <w:lang w:val="en-US" w:eastAsia="hu-HU"/>
        </w:rPr>
        <w:t>using</w:t>
      </w:r>
      <w:r w:rsidRPr="001F124E">
        <w:rPr>
          <w:lang w:val="en-US" w:eastAsia="hu-HU"/>
        </w:rPr>
        <w:t xml:space="preserve"> waste cooking oil as the </w:t>
      </w:r>
      <w:r w:rsidR="00222103">
        <w:rPr>
          <w:lang w:val="en-US" w:eastAsia="hu-HU"/>
        </w:rPr>
        <w:t>raw material</w:t>
      </w:r>
      <w:r w:rsidRPr="001F124E">
        <w:rPr>
          <w:lang w:val="en-US" w:eastAsia="hu-HU"/>
        </w:rPr>
        <w:t>.</w:t>
      </w:r>
    </w:p>
    <w:p w14:paraId="7F69CC73" w14:textId="64DC351D" w:rsidR="0049653F" w:rsidRPr="001F124E" w:rsidRDefault="0049653F" w:rsidP="00A07557">
      <w:pPr>
        <w:pStyle w:val="CETnumberingbullets"/>
        <w:jc w:val="both"/>
        <w:rPr>
          <w:lang w:val="en-US" w:eastAsia="hu-HU"/>
        </w:rPr>
      </w:pPr>
      <w:r w:rsidRPr="001F124E">
        <w:rPr>
          <w:lang w:val="en-US" w:eastAsia="hu-HU"/>
        </w:rPr>
        <w:t>The application of amine-type catalysts is advantageous in terms of both physico</w:t>
      </w:r>
      <w:r w:rsidR="00C92E21">
        <w:rPr>
          <w:lang w:val="en-US" w:eastAsia="hu-HU"/>
        </w:rPr>
        <w:t>-</w:t>
      </w:r>
      <w:r w:rsidRPr="001F124E">
        <w:rPr>
          <w:lang w:val="en-US" w:eastAsia="hu-HU"/>
        </w:rPr>
        <w:t xml:space="preserve">chemical properties and </w:t>
      </w:r>
      <w:r w:rsidR="001F124E" w:rsidRPr="001F124E">
        <w:rPr>
          <w:lang w:val="en-US" w:eastAsia="hu-HU"/>
        </w:rPr>
        <w:t>f</w:t>
      </w:r>
      <w:r w:rsidRPr="001F124E">
        <w:rPr>
          <w:lang w:val="en-US" w:eastAsia="hu-HU"/>
        </w:rPr>
        <w:t>unctional performance.</w:t>
      </w:r>
    </w:p>
    <w:p w14:paraId="18D54B3F" w14:textId="76D82D0B" w:rsidR="0049653F" w:rsidRPr="001F124E" w:rsidRDefault="0049653F" w:rsidP="00A07557">
      <w:pPr>
        <w:pStyle w:val="CETnumberingbullets"/>
        <w:jc w:val="both"/>
        <w:rPr>
          <w:lang w:val="en-US" w:eastAsia="hu-HU"/>
        </w:rPr>
      </w:pPr>
      <w:r w:rsidRPr="001F124E">
        <w:rPr>
          <w:lang w:val="en-US" w:eastAsia="hu-HU"/>
        </w:rPr>
        <w:t xml:space="preserve">The use of a carefully chosen catalyst can reduce the reaction time by half, thereby economic benefits </w:t>
      </w:r>
      <w:r w:rsidR="00C867DF">
        <w:rPr>
          <w:lang w:val="en-US" w:eastAsia="hu-HU"/>
        </w:rPr>
        <w:t xml:space="preserve">can be realized </w:t>
      </w:r>
      <w:r w:rsidRPr="001F124E">
        <w:rPr>
          <w:lang w:val="en-US" w:eastAsia="hu-HU"/>
        </w:rPr>
        <w:t>through lower production costs.</w:t>
      </w:r>
    </w:p>
    <w:p w14:paraId="49B45FEA" w14:textId="593E2010" w:rsidR="0049653F" w:rsidRPr="001F124E" w:rsidRDefault="0049653F" w:rsidP="00A07557">
      <w:pPr>
        <w:pStyle w:val="CETnumberingbullets"/>
        <w:jc w:val="both"/>
        <w:rPr>
          <w:lang w:val="en-US" w:eastAsia="hu-HU"/>
        </w:rPr>
      </w:pPr>
      <w:r w:rsidRPr="001F124E">
        <w:rPr>
          <w:lang w:val="en-US" w:eastAsia="hu-HU"/>
        </w:rPr>
        <w:t>Employing amine</w:t>
      </w:r>
      <w:r w:rsidR="002336D2">
        <w:rPr>
          <w:lang w:val="en-US" w:eastAsia="hu-HU"/>
        </w:rPr>
        <w:t>-</w:t>
      </w:r>
      <w:r w:rsidRPr="001F124E">
        <w:rPr>
          <w:lang w:val="en-US" w:eastAsia="hu-HU"/>
        </w:rPr>
        <w:t xml:space="preserve"> and sulfide-type catalysts results in additive</w:t>
      </w:r>
      <w:r w:rsidR="002336D2">
        <w:rPr>
          <w:lang w:val="en-US" w:eastAsia="hu-HU"/>
        </w:rPr>
        <w:t>s</w:t>
      </w:r>
      <w:r w:rsidRPr="001F124E">
        <w:rPr>
          <w:lang w:val="en-US" w:eastAsia="hu-HU"/>
        </w:rPr>
        <w:t xml:space="preserve"> with lower viscosity</w:t>
      </w:r>
      <w:r w:rsidR="00D72928">
        <w:rPr>
          <w:lang w:val="en-US" w:eastAsia="hu-HU"/>
        </w:rPr>
        <w:t>,</w:t>
      </w:r>
      <w:r w:rsidRPr="001F124E">
        <w:rPr>
          <w:lang w:val="en-US" w:eastAsia="hu-HU"/>
        </w:rPr>
        <w:t xml:space="preserve"> lighter colo</w:t>
      </w:r>
      <w:r w:rsidR="002336D2">
        <w:rPr>
          <w:lang w:val="en-US" w:eastAsia="hu-HU"/>
        </w:rPr>
        <w:t>u</w:t>
      </w:r>
      <w:r w:rsidRPr="001F124E">
        <w:rPr>
          <w:lang w:val="en-US" w:eastAsia="hu-HU"/>
        </w:rPr>
        <w:t>r</w:t>
      </w:r>
      <w:r w:rsidR="00D72928">
        <w:rPr>
          <w:lang w:val="en-US" w:eastAsia="hu-HU"/>
        </w:rPr>
        <w:t xml:space="preserve"> and </w:t>
      </w:r>
      <w:r w:rsidR="00A0094A" w:rsidRPr="001F124E">
        <w:rPr>
          <w:lang w:val="en-US" w:eastAsia="hu-HU"/>
        </w:rPr>
        <w:t xml:space="preserve">favorable tribological performance </w:t>
      </w:r>
      <w:r w:rsidR="00E10930">
        <w:rPr>
          <w:lang w:val="en-US" w:eastAsia="hu-HU"/>
        </w:rPr>
        <w:t>that</w:t>
      </w:r>
      <w:r w:rsidR="00875EB9">
        <w:rPr>
          <w:lang w:val="en-US" w:eastAsia="hu-HU"/>
        </w:rPr>
        <w:t xml:space="preserve"> allows</w:t>
      </w:r>
      <w:r w:rsidRPr="001F124E">
        <w:rPr>
          <w:lang w:val="en-US" w:eastAsia="hu-HU"/>
        </w:rPr>
        <w:t xml:space="preserve"> </w:t>
      </w:r>
      <w:r w:rsidR="00875EB9">
        <w:rPr>
          <w:lang w:val="en-US" w:eastAsia="hu-HU"/>
        </w:rPr>
        <w:t>their</w:t>
      </w:r>
      <w:r w:rsidRPr="001F124E">
        <w:rPr>
          <w:lang w:val="en-US" w:eastAsia="hu-HU"/>
        </w:rPr>
        <w:t xml:space="preserve"> application in </w:t>
      </w:r>
      <w:r w:rsidR="00875EB9">
        <w:rPr>
          <w:lang w:val="en-US" w:eastAsia="hu-HU"/>
        </w:rPr>
        <w:t xml:space="preserve">modern </w:t>
      </w:r>
      <w:r w:rsidRPr="001F124E">
        <w:rPr>
          <w:lang w:val="en-US" w:eastAsia="hu-HU"/>
        </w:rPr>
        <w:t>lubricating oils.</w:t>
      </w:r>
    </w:p>
    <w:p w14:paraId="186EA21F" w14:textId="36FF2FBE" w:rsidR="002A46D9" w:rsidRPr="001F124E" w:rsidRDefault="0049653F" w:rsidP="00A07557">
      <w:pPr>
        <w:pStyle w:val="CETnumberingbullets"/>
        <w:jc w:val="both"/>
        <w:rPr>
          <w:lang w:val="en-US"/>
        </w:rPr>
      </w:pPr>
      <w:r w:rsidRPr="001F124E">
        <w:rPr>
          <w:lang w:val="en-US" w:eastAsia="hu-HU"/>
        </w:rPr>
        <w:t xml:space="preserve">Furthermore, the </w:t>
      </w:r>
      <w:r w:rsidR="00433C3A">
        <w:rPr>
          <w:lang w:val="en-US" w:eastAsia="hu-HU"/>
        </w:rPr>
        <w:t>use</w:t>
      </w:r>
      <w:r w:rsidRPr="001F124E">
        <w:rPr>
          <w:lang w:val="en-US" w:eastAsia="hu-HU"/>
        </w:rPr>
        <w:t xml:space="preserve"> of amine</w:t>
      </w:r>
      <w:r w:rsidR="00433C3A">
        <w:rPr>
          <w:lang w:val="en-US" w:eastAsia="hu-HU"/>
        </w:rPr>
        <w:t>-</w:t>
      </w:r>
      <w:r w:rsidRPr="001F124E">
        <w:rPr>
          <w:lang w:val="en-US" w:eastAsia="hu-HU"/>
        </w:rPr>
        <w:t xml:space="preserve"> and sulfide-type catalysts achieves a lower </w:t>
      </w:r>
      <w:r w:rsidR="00433C3A">
        <w:rPr>
          <w:lang w:val="en-US" w:eastAsia="hu-HU"/>
        </w:rPr>
        <w:t>level</w:t>
      </w:r>
      <w:r w:rsidRPr="001F124E">
        <w:rPr>
          <w:lang w:val="en-US" w:eastAsia="hu-HU"/>
        </w:rPr>
        <w:t xml:space="preserve"> of copper corrosion, thereby broadening the range of applications for these additives; concurrently, the weld load and wear scar diameter values are either comparable to or </w:t>
      </w:r>
      <w:r w:rsidR="0041444F">
        <w:rPr>
          <w:lang w:val="en-US" w:eastAsia="hu-HU"/>
        </w:rPr>
        <w:t>exceed</w:t>
      </w:r>
      <w:r w:rsidRPr="001F124E">
        <w:rPr>
          <w:lang w:val="en-US" w:eastAsia="hu-HU"/>
        </w:rPr>
        <w:t xml:space="preserve"> to those of the reference.</w:t>
      </w:r>
    </w:p>
    <w:p w14:paraId="0B031CF5" w14:textId="77777777" w:rsidR="009F7C63" w:rsidRPr="001F124E" w:rsidRDefault="009F7C63" w:rsidP="009F7C63">
      <w:pPr>
        <w:pStyle w:val="CETReference"/>
        <w:rPr>
          <w:lang w:val="en-US"/>
        </w:rPr>
      </w:pPr>
      <w:r w:rsidRPr="001F124E">
        <w:rPr>
          <w:lang w:val="en-US"/>
        </w:rPr>
        <w:t>References</w:t>
      </w:r>
    </w:p>
    <w:p w14:paraId="6998B090" w14:textId="77777777" w:rsidR="00D4712D" w:rsidRPr="00D4712D" w:rsidRDefault="00D4712D" w:rsidP="00DD1D0E">
      <w:pPr>
        <w:pStyle w:val="CETReferencetext"/>
      </w:pPr>
      <w:r w:rsidRPr="00D4712D">
        <w:t>Davis K., Frank Z., Reed W., 1988, Sulfurized compositions and lubricants, EP0289548B1, EU.</w:t>
      </w:r>
    </w:p>
    <w:p w14:paraId="0ADC74BE" w14:textId="77777777" w:rsidR="00D4712D" w:rsidRPr="00D4712D" w:rsidRDefault="00D4712D" w:rsidP="00DD1D0E">
      <w:pPr>
        <w:pStyle w:val="CETReferencetext"/>
      </w:pPr>
      <w:r w:rsidRPr="00D4712D">
        <w:t>Donald A.L., John A.B., 1979, Extreme pressure additives for lubricants, US4149982, USA.</w:t>
      </w:r>
    </w:p>
    <w:p w14:paraId="69BFB706" w14:textId="77777777" w:rsidR="00D4712D" w:rsidRPr="00D4712D" w:rsidRDefault="00D4712D" w:rsidP="00DD1D0E">
      <w:pPr>
        <w:pStyle w:val="CETReferencetext"/>
      </w:pPr>
      <w:r w:rsidRPr="00D4712D">
        <w:t>Emile N.H., 1974, Novel sulfur-containing compositions, US3926822, USA.</w:t>
      </w:r>
    </w:p>
    <w:p w14:paraId="1819335B" w14:textId="77777777" w:rsidR="00D4712D" w:rsidRPr="00D4712D" w:rsidRDefault="00D4712D" w:rsidP="00DD1D0E">
      <w:pPr>
        <w:pStyle w:val="CETReferencetext"/>
      </w:pPr>
      <w:r w:rsidRPr="00D4712D">
        <w:t>Frank L.E., Phillip S.L., Robert E.A., 1979, Vegetable oil derivatives as lubricant additives, EP0353872A1, EU.</w:t>
      </w:r>
    </w:p>
    <w:p w14:paraId="72C68155" w14:textId="77777777" w:rsidR="00D4712D" w:rsidRPr="00D4712D" w:rsidRDefault="00D4712D" w:rsidP="00DD1D0E">
      <w:pPr>
        <w:pStyle w:val="CETReferencetext"/>
      </w:pPr>
      <w:r w:rsidRPr="00D4712D">
        <w:t>James J.S., 1990, Mixtures of partial fatty acid esters of polyhydric-alcohols and sulfurized compositions and use as lubricant additives, US4,957,651, USA.</w:t>
      </w:r>
    </w:p>
    <w:p w14:paraId="2C9ECB43" w14:textId="77777777" w:rsidR="00D4712D" w:rsidRPr="00D4712D" w:rsidRDefault="00D4712D" w:rsidP="00DD1D0E">
      <w:pPr>
        <w:pStyle w:val="CETReferencetext"/>
      </w:pPr>
      <w:r w:rsidRPr="00D4712D">
        <w:t>Kirk E.D., 1980, Sulfurized compositions, US4,191,659, USA.</w:t>
      </w:r>
    </w:p>
    <w:p w14:paraId="0DD7FAC8" w14:textId="77777777" w:rsidR="00D4712D" w:rsidRPr="00D4712D" w:rsidRDefault="00D4712D" w:rsidP="00DD1D0E">
      <w:pPr>
        <w:pStyle w:val="CETReferencetext"/>
      </w:pPr>
      <w:r w:rsidRPr="00D4712D">
        <w:t>Kishore N., 2000, Determination of Sulfur in Petroleum Products and Lubricants: A Critical Review of Test Performance, American Laboratory, November.</w:t>
      </w:r>
    </w:p>
    <w:p w14:paraId="257C6454" w14:textId="77777777" w:rsidR="00D4712D" w:rsidRDefault="00D4712D" w:rsidP="00DD1D0E">
      <w:pPr>
        <w:pStyle w:val="CETReferencetext"/>
      </w:pPr>
      <w:r w:rsidRPr="00D4712D">
        <w:t>Leslie R.R., 2017, Lubricant Additives, Third Edition, CRC Press, Boca Raton, FL, 211-278.</w:t>
      </w:r>
    </w:p>
    <w:p w14:paraId="39E6A7E4" w14:textId="6D9777FA" w:rsidR="005351CD" w:rsidRPr="00D4712D" w:rsidRDefault="00F544B9" w:rsidP="00DD1D0E">
      <w:pPr>
        <w:pStyle w:val="CETReferencetext"/>
      </w:pPr>
      <w:r w:rsidRPr="00F544B9">
        <w:rPr>
          <w:lang w:val="en-US"/>
        </w:rPr>
        <w:t>Guerrero-Muñoz M.A., Mares-Molina K.E., Tovar-Negrete J.J., Hernández S., Barroso-Muñoz F.O., 2024, Simulation of the purification process of waste cooking oil as a feedstock for biodiesel production, Chemical Engineering Transactions, 110, 55-60.</w:t>
      </w:r>
    </w:p>
    <w:p w14:paraId="199F126F" w14:textId="77777777" w:rsidR="00D4712D" w:rsidRPr="00D4712D" w:rsidRDefault="00D4712D" w:rsidP="00DD1D0E">
      <w:pPr>
        <w:pStyle w:val="CETReferencetext"/>
      </w:pPr>
      <w:r w:rsidRPr="00D4712D">
        <w:t>Nicole G., Xavier B., 2018, Grease composition, US9,951,292 B2, USA.</w:t>
      </w:r>
    </w:p>
    <w:p w14:paraId="4BE2AA2B" w14:textId="77777777" w:rsidR="00D4712D" w:rsidRPr="00D4712D" w:rsidRDefault="00D4712D" w:rsidP="00DD1D0E">
      <w:pPr>
        <w:pStyle w:val="CETReferencetext"/>
      </w:pPr>
      <w:r w:rsidRPr="00D4712D">
        <w:t>Roger S., 1995, Sulfurized fatty acid or ester and olefin mixtures, lubricants, and methods of making the same, EP0656414A2, EU.</w:t>
      </w:r>
    </w:p>
    <w:p w14:paraId="13B5F745" w14:textId="77777777" w:rsidR="00D4712D" w:rsidRPr="00D4712D" w:rsidRDefault="00D4712D" w:rsidP="00DD1D0E">
      <w:pPr>
        <w:pStyle w:val="CETReferencetext"/>
      </w:pPr>
      <w:r w:rsidRPr="00D4712D">
        <w:t>Theo M., Kirsten B., Thorsten B., 2011, Industrial Tribology. Tribosystems, Friction, Wear and Surface Engineering, Lubrication, Wiley, Weinheim, 320-335.</w:t>
      </w:r>
    </w:p>
    <w:p w14:paraId="3F6814FE" w14:textId="5BAB1B57" w:rsidR="00B43BA7" w:rsidRDefault="00D4712D" w:rsidP="00B43BA7">
      <w:pPr>
        <w:pStyle w:val="CETReferencetext"/>
      </w:pPr>
      <w:r w:rsidRPr="00D4712D">
        <w:t>Wilfried D., Theo M., 2017, Lubricants and Lubrication, Third Edition, Wiley, Weinheim, 138-144.</w:t>
      </w:r>
    </w:p>
    <w:sectPr w:rsidR="00B43BA7"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9B7BF" w14:textId="77777777" w:rsidR="009D7141" w:rsidRDefault="009D7141" w:rsidP="004F5E36">
      <w:r>
        <w:separator/>
      </w:r>
    </w:p>
  </w:endnote>
  <w:endnote w:type="continuationSeparator" w:id="0">
    <w:p w14:paraId="5D8CC85E" w14:textId="77777777" w:rsidR="009D7141" w:rsidRDefault="009D714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3EAE8" w14:textId="77777777" w:rsidR="009D7141" w:rsidRDefault="009D7141" w:rsidP="004F5E36">
      <w:r>
        <w:separator/>
      </w:r>
    </w:p>
  </w:footnote>
  <w:footnote w:type="continuationSeparator" w:id="0">
    <w:p w14:paraId="4A17D1E8" w14:textId="77777777" w:rsidR="009D7141" w:rsidRDefault="009D7141"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Szmozottlist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Szmozottlist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Szmozottlist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Szmozottlist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Felsorol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Felsorol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Felsorol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Felsorol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Szmozottlist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Felsorols"/>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Egyszertblzat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8"/>
  </w:num>
  <w:num w:numId="13" w16cid:durableId="695733619">
    <w:abstractNumId w:val="13"/>
  </w:num>
  <w:num w:numId="14" w16cid:durableId="145903400">
    <w:abstractNumId w:val="19"/>
  </w:num>
  <w:num w:numId="15" w16cid:durableId="19162326">
    <w:abstractNumId w:val="21"/>
  </w:num>
  <w:num w:numId="16" w16cid:durableId="1977102699">
    <w:abstractNumId w:val="20"/>
  </w:num>
  <w:num w:numId="17" w16cid:durableId="860774865">
    <w:abstractNumId w:val="12"/>
  </w:num>
  <w:num w:numId="18" w16cid:durableId="313221457">
    <w:abstractNumId w:val="13"/>
    <w:lvlOverride w:ilvl="0">
      <w:startOverride w:val="1"/>
    </w:lvlOverride>
  </w:num>
  <w:num w:numId="19" w16cid:durableId="534971577">
    <w:abstractNumId w:val="17"/>
  </w:num>
  <w:num w:numId="20" w16cid:durableId="1150947773">
    <w:abstractNumId w:val="16"/>
  </w:num>
  <w:num w:numId="21" w16cid:durableId="124660497">
    <w:abstractNumId w:val="15"/>
  </w:num>
  <w:num w:numId="22" w16cid:durableId="2099861471">
    <w:abstractNumId w:val="14"/>
  </w:num>
  <w:num w:numId="23" w16cid:durableId="84351335">
    <w:abstractNumId w:val="10"/>
  </w:num>
  <w:num w:numId="24" w16cid:durableId="8873759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17D"/>
    <w:rsid w:val="000005C9"/>
    <w:rsid w:val="000027C0"/>
    <w:rsid w:val="000038F7"/>
    <w:rsid w:val="000052FB"/>
    <w:rsid w:val="00005A19"/>
    <w:rsid w:val="000117CB"/>
    <w:rsid w:val="0003148D"/>
    <w:rsid w:val="00031EEC"/>
    <w:rsid w:val="00033DAB"/>
    <w:rsid w:val="0003714C"/>
    <w:rsid w:val="00046BDE"/>
    <w:rsid w:val="00051566"/>
    <w:rsid w:val="00052AC4"/>
    <w:rsid w:val="000562A9"/>
    <w:rsid w:val="00061DF9"/>
    <w:rsid w:val="00062A9A"/>
    <w:rsid w:val="00065058"/>
    <w:rsid w:val="00067463"/>
    <w:rsid w:val="0007349A"/>
    <w:rsid w:val="00074953"/>
    <w:rsid w:val="00074ACD"/>
    <w:rsid w:val="0007510D"/>
    <w:rsid w:val="00083B42"/>
    <w:rsid w:val="0008480C"/>
    <w:rsid w:val="000859AB"/>
    <w:rsid w:val="00086437"/>
    <w:rsid w:val="00086C39"/>
    <w:rsid w:val="000916B0"/>
    <w:rsid w:val="00092A5A"/>
    <w:rsid w:val="000930E9"/>
    <w:rsid w:val="00093178"/>
    <w:rsid w:val="000962B4"/>
    <w:rsid w:val="000A03B2"/>
    <w:rsid w:val="000A3DE2"/>
    <w:rsid w:val="000A5F77"/>
    <w:rsid w:val="000D0268"/>
    <w:rsid w:val="000D34BE"/>
    <w:rsid w:val="000D43C0"/>
    <w:rsid w:val="000D6DDD"/>
    <w:rsid w:val="000E0B3C"/>
    <w:rsid w:val="000E102F"/>
    <w:rsid w:val="000E323F"/>
    <w:rsid w:val="000E36F1"/>
    <w:rsid w:val="000E3A73"/>
    <w:rsid w:val="000E414A"/>
    <w:rsid w:val="000E4B3F"/>
    <w:rsid w:val="000E75FD"/>
    <w:rsid w:val="000F093C"/>
    <w:rsid w:val="000F2EB0"/>
    <w:rsid w:val="000F3113"/>
    <w:rsid w:val="000F787B"/>
    <w:rsid w:val="00104942"/>
    <w:rsid w:val="001069A0"/>
    <w:rsid w:val="00106ABD"/>
    <w:rsid w:val="00117245"/>
    <w:rsid w:val="0012091F"/>
    <w:rsid w:val="00122017"/>
    <w:rsid w:val="0012310B"/>
    <w:rsid w:val="00124116"/>
    <w:rsid w:val="0012655A"/>
    <w:rsid w:val="00126BC2"/>
    <w:rsid w:val="00130743"/>
    <w:rsid w:val="001308B6"/>
    <w:rsid w:val="0013121F"/>
    <w:rsid w:val="00131FE6"/>
    <w:rsid w:val="0013263F"/>
    <w:rsid w:val="001329E9"/>
    <w:rsid w:val="001331DF"/>
    <w:rsid w:val="00134DE4"/>
    <w:rsid w:val="00134E66"/>
    <w:rsid w:val="0014034D"/>
    <w:rsid w:val="00140FE3"/>
    <w:rsid w:val="00141D11"/>
    <w:rsid w:val="00144D16"/>
    <w:rsid w:val="00150D85"/>
    <w:rsid w:val="00150E59"/>
    <w:rsid w:val="001523EB"/>
    <w:rsid w:val="00152DE3"/>
    <w:rsid w:val="001545A3"/>
    <w:rsid w:val="001558A8"/>
    <w:rsid w:val="001562D0"/>
    <w:rsid w:val="00163533"/>
    <w:rsid w:val="00164CF9"/>
    <w:rsid w:val="001667A6"/>
    <w:rsid w:val="00172633"/>
    <w:rsid w:val="001732A4"/>
    <w:rsid w:val="00173A60"/>
    <w:rsid w:val="0017605E"/>
    <w:rsid w:val="0018171E"/>
    <w:rsid w:val="00184AD6"/>
    <w:rsid w:val="00190A78"/>
    <w:rsid w:val="001924FE"/>
    <w:rsid w:val="00192DF5"/>
    <w:rsid w:val="00197159"/>
    <w:rsid w:val="00197C4D"/>
    <w:rsid w:val="001A115A"/>
    <w:rsid w:val="001A4AF7"/>
    <w:rsid w:val="001B0349"/>
    <w:rsid w:val="001B1E93"/>
    <w:rsid w:val="001B65C1"/>
    <w:rsid w:val="001B7C7D"/>
    <w:rsid w:val="001C20AD"/>
    <w:rsid w:val="001C260F"/>
    <w:rsid w:val="001C5C3A"/>
    <w:rsid w:val="001C684B"/>
    <w:rsid w:val="001D070B"/>
    <w:rsid w:val="001D0CFB"/>
    <w:rsid w:val="001D21AF"/>
    <w:rsid w:val="001D4B16"/>
    <w:rsid w:val="001D53FC"/>
    <w:rsid w:val="001E06D3"/>
    <w:rsid w:val="001E0758"/>
    <w:rsid w:val="001E2970"/>
    <w:rsid w:val="001E35D5"/>
    <w:rsid w:val="001F124E"/>
    <w:rsid w:val="001F3C77"/>
    <w:rsid w:val="001F42A5"/>
    <w:rsid w:val="001F5A45"/>
    <w:rsid w:val="001F7B9D"/>
    <w:rsid w:val="00201814"/>
    <w:rsid w:val="00201C93"/>
    <w:rsid w:val="00202A8A"/>
    <w:rsid w:val="00203943"/>
    <w:rsid w:val="00207A72"/>
    <w:rsid w:val="00211C29"/>
    <w:rsid w:val="00213FD1"/>
    <w:rsid w:val="00222103"/>
    <w:rsid w:val="002224B4"/>
    <w:rsid w:val="0022443D"/>
    <w:rsid w:val="002249D3"/>
    <w:rsid w:val="00224DE7"/>
    <w:rsid w:val="0023026F"/>
    <w:rsid w:val="0023367D"/>
    <w:rsid w:val="002336D2"/>
    <w:rsid w:val="0024450B"/>
    <w:rsid w:val="002447EF"/>
    <w:rsid w:val="00247565"/>
    <w:rsid w:val="00251550"/>
    <w:rsid w:val="00253F6D"/>
    <w:rsid w:val="00255187"/>
    <w:rsid w:val="0025665F"/>
    <w:rsid w:val="002608BE"/>
    <w:rsid w:val="00261864"/>
    <w:rsid w:val="00263B05"/>
    <w:rsid w:val="0026521C"/>
    <w:rsid w:val="00266B5E"/>
    <w:rsid w:val="0027221A"/>
    <w:rsid w:val="00272E04"/>
    <w:rsid w:val="00273065"/>
    <w:rsid w:val="00274E87"/>
    <w:rsid w:val="00275B61"/>
    <w:rsid w:val="00277881"/>
    <w:rsid w:val="00277BD1"/>
    <w:rsid w:val="002803C0"/>
    <w:rsid w:val="00280FAF"/>
    <w:rsid w:val="002819C8"/>
    <w:rsid w:val="00282656"/>
    <w:rsid w:val="002878C2"/>
    <w:rsid w:val="00290308"/>
    <w:rsid w:val="00295D9E"/>
    <w:rsid w:val="00296B83"/>
    <w:rsid w:val="002A141B"/>
    <w:rsid w:val="002A46D9"/>
    <w:rsid w:val="002B0ED2"/>
    <w:rsid w:val="002B1ACD"/>
    <w:rsid w:val="002B4015"/>
    <w:rsid w:val="002B55F9"/>
    <w:rsid w:val="002B69C1"/>
    <w:rsid w:val="002B78CE"/>
    <w:rsid w:val="002C2FB6"/>
    <w:rsid w:val="002C34AF"/>
    <w:rsid w:val="002D18B3"/>
    <w:rsid w:val="002D27B4"/>
    <w:rsid w:val="002E2582"/>
    <w:rsid w:val="002E5D3C"/>
    <w:rsid w:val="002E5FA7"/>
    <w:rsid w:val="002E7877"/>
    <w:rsid w:val="002F16D9"/>
    <w:rsid w:val="002F3309"/>
    <w:rsid w:val="00300481"/>
    <w:rsid w:val="003008CE"/>
    <w:rsid w:val="003009B7"/>
    <w:rsid w:val="00300E56"/>
    <w:rsid w:val="0030152C"/>
    <w:rsid w:val="0030469C"/>
    <w:rsid w:val="0031567B"/>
    <w:rsid w:val="00317707"/>
    <w:rsid w:val="00321CA6"/>
    <w:rsid w:val="0032217C"/>
    <w:rsid w:val="00323763"/>
    <w:rsid w:val="00323C5F"/>
    <w:rsid w:val="00334C09"/>
    <w:rsid w:val="00335C68"/>
    <w:rsid w:val="0034276B"/>
    <w:rsid w:val="00344988"/>
    <w:rsid w:val="00345E1D"/>
    <w:rsid w:val="00345E37"/>
    <w:rsid w:val="00354DB1"/>
    <w:rsid w:val="0035523A"/>
    <w:rsid w:val="00361F0D"/>
    <w:rsid w:val="003634C2"/>
    <w:rsid w:val="00364E84"/>
    <w:rsid w:val="003670A1"/>
    <w:rsid w:val="00367D50"/>
    <w:rsid w:val="00371AF3"/>
    <w:rsid w:val="003723D4"/>
    <w:rsid w:val="0037424F"/>
    <w:rsid w:val="00374324"/>
    <w:rsid w:val="003749F7"/>
    <w:rsid w:val="00380B04"/>
    <w:rsid w:val="00381905"/>
    <w:rsid w:val="00384CC8"/>
    <w:rsid w:val="003866FC"/>
    <w:rsid w:val="003871FD"/>
    <w:rsid w:val="003904D3"/>
    <w:rsid w:val="003910D5"/>
    <w:rsid w:val="00392969"/>
    <w:rsid w:val="0039324B"/>
    <w:rsid w:val="003A1E30"/>
    <w:rsid w:val="003A2829"/>
    <w:rsid w:val="003A4A23"/>
    <w:rsid w:val="003A7D1C"/>
    <w:rsid w:val="003B06A8"/>
    <w:rsid w:val="003B304B"/>
    <w:rsid w:val="003B3146"/>
    <w:rsid w:val="003B41C7"/>
    <w:rsid w:val="003B49CD"/>
    <w:rsid w:val="003C16F5"/>
    <w:rsid w:val="003C7B90"/>
    <w:rsid w:val="003D0FCD"/>
    <w:rsid w:val="003D1E02"/>
    <w:rsid w:val="003D267C"/>
    <w:rsid w:val="003D60A5"/>
    <w:rsid w:val="003D677D"/>
    <w:rsid w:val="003E2EED"/>
    <w:rsid w:val="003E3820"/>
    <w:rsid w:val="003E4D0C"/>
    <w:rsid w:val="003E50B4"/>
    <w:rsid w:val="003E63E9"/>
    <w:rsid w:val="003F015E"/>
    <w:rsid w:val="003F50F2"/>
    <w:rsid w:val="003F67CC"/>
    <w:rsid w:val="00400414"/>
    <w:rsid w:val="004045F2"/>
    <w:rsid w:val="00412CF2"/>
    <w:rsid w:val="0041444F"/>
    <w:rsid w:val="0041446B"/>
    <w:rsid w:val="00426ADF"/>
    <w:rsid w:val="00427639"/>
    <w:rsid w:val="00430EBA"/>
    <w:rsid w:val="00433051"/>
    <w:rsid w:val="00433C3A"/>
    <w:rsid w:val="00434234"/>
    <w:rsid w:val="004369E7"/>
    <w:rsid w:val="0044071E"/>
    <w:rsid w:val="0044329C"/>
    <w:rsid w:val="00444F57"/>
    <w:rsid w:val="00445A56"/>
    <w:rsid w:val="00452D9C"/>
    <w:rsid w:val="00453E24"/>
    <w:rsid w:val="00457456"/>
    <w:rsid w:val="004577FE"/>
    <w:rsid w:val="00457B9C"/>
    <w:rsid w:val="00457C32"/>
    <w:rsid w:val="0046164A"/>
    <w:rsid w:val="004628D2"/>
    <w:rsid w:val="00462DCD"/>
    <w:rsid w:val="004648AD"/>
    <w:rsid w:val="004653CB"/>
    <w:rsid w:val="004702C2"/>
    <w:rsid w:val="004703A9"/>
    <w:rsid w:val="004726C1"/>
    <w:rsid w:val="00475BD6"/>
    <w:rsid w:val="004760DE"/>
    <w:rsid w:val="004763D7"/>
    <w:rsid w:val="0048329B"/>
    <w:rsid w:val="00484603"/>
    <w:rsid w:val="00490760"/>
    <w:rsid w:val="0049653F"/>
    <w:rsid w:val="004A004E"/>
    <w:rsid w:val="004A05EB"/>
    <w:rsid w:val="004A24CF"/>
    <w:rsid w:val="004A270B"/>
    <w:rsid w:val="004B1F58"/>
    <w:rsid w:val="004B7610"/>
    <w:rsid w:val="004B7C8D"/>
    <w:rsid w:val="004C3435"/>
    <w:rsid w:val="004C3D1D"/>
    <w:rsid w:val="004C3D84"/>
    <w:rsid w:val="004C65FC"/>
    <w:rsid w:val="004C7913"/>
    <w:rsid w:val="004C7E30"/>
    <w:rsid w:val="004D06D6"/>
    <w:rsid w:val="004D7A91"/>
    <w:rsid w:val="004E118B"/>
    <w:rsid w:val="004E2B84"/>
    <w:rsid w:val="004E3EED"/>
    <w:rsid w:val="004E4DD6"/>
    <w:rsid w:val="004E521E"/>
    <w:rsid w:val="004E7912"/>
    <w:rsid w:val="004F278E"/>
    <w:rsid w:val="004F53B8"/>
    <w:rsid w:val="004F5E36"/>
    <w:rsid w:val="004F7065"/>
    <w:rsid w:val="00500B84"/>
    <w:rsid w:val="00505C9E"/>
    <w:rsid w:val="00506ACA"/>
    <w:rsid w:val="00507B47"/>
    <w:rsid w:val="00507BEF"/>
    <w:rsid w:val="00507CC9"/>
    <w:rsid w:val="00511113"/>
    <w:rsid w:val="005119A5"/>
    <w:rsid w:val="00522F99"/>
    <w:rsid w:val="005278B7"/>
    <w:rsid w:val="005311DA"/>
    <w:rsid w:val="0053169C"/>
    <w:rsid w:val="00531BF7"/>
    <w:rsid w:val="00532016"/>
    <w:rsid w:val="00533CB2"/>
    <w:rsid w:val="005346C8"/>
    <w:rsid w:val="005351CD"/>
    <w:rsid w:val="00540523"/>
    <w:rsid w:val="00541D9C"/>
    <w:rsid w:val="00543E7D"/>
    <w:rsid w:val="00544500"/>
    <w:rsid w:val="005458AB"/>
    <w:rsid w:val="00547A68"/>
    <w:rsid w:val="00550BB0"/>
    <w:rsid w:val="00550F19"/>
    <w:rsid w:val="005531C9"/>
    <w:rsid w:val="00554879"/>
    <w:rsid w:val="00557F55"/>
    <w:rsid w:val="0056304B"/>
    <w:rsid w:val="00570C43"/>
    <w:rsid w:val="00572F68"/>
    <w:rsid w:val="00576351"/>
    <w:rsid w:val="00581706"/>
    <w:rsid w:val="005817E4"/>
    <w:rsid w:val="005849C0"/>
    <w:rsid w:val="00587ED7"/>
    <w:rsid w:val="00590093"/>
    <w:rsid w:val="00592274"/>
    <w:rsid w:val="005931C1"/>
    <w:rsid w:val="005946E3"/>
    <w:rsid w:val="005A45F3"/>
    <w:rsid w:val="005A76FD"/>
    <w:rsid w:val="005B2110"/>
    <w:rsid w:val="005B350B"/>
    <w:rsid w:val="005B61E6"/>
    <w:rsid w:val="005B77D1"/>
    <w:rsid w:val="005C5067"/>
    <w:rsid w:val="005C77E1"/>
    <w:rsid w:val="005C7A9A"/>
    <w:rsid w:val="005C7D28"/>
    <w:rsid w:val="005C7F29"/>
    <w:rsid w:val="005D52C7"/>
    <w:rsid w:val="005D668A"/>
    <w:rsid w:val="005D6A2F"/>
    <w:rsid w:val="005D77F9"/>
    <w:rsid w:val="005E0592"/>
    <w:rsid w:val="005E194D"/>
    <w:rsid w:val="005E1A82"/>
    <w:rsid w:val="005E2F65"/>
    <w:rsid w:val="005E57CA"/>
    <w:rsid w:val="005E794C"/>
    <w:rsid w:val="005F0A28"/>
    <w:rsid w:val="005F0E5E"/>
    <w:rsid w:val="005F3D13"/>
    <w:rsid w:val="00600535"/>
    <w:rsid w:val="00610CD6"/>
    <w:rsid w:val="00620DEE"/>
    <w:rsid w:val="00621F92"/>
    <w:rsid w:val="0062280A"/>
    <w:rsid w:val="00623191"/>
    <w:rsid w:val="006231E1"/>
    <w:rsid w:val="00625639"/>
    <w:rsid w:val="00626D3A"/>
    <w:rsid w:val="0062778B"/>
    <w:rsid w:val="00627823"/>
    <w:rsid w:val="00631B33"/>
    <w:rsid w:val="00634D1C"/>
    <w:rsid w:val="00635A51"/>
    <w:rsid w:val="00640AE2"/>
    <w:rsid w:val="0064184D"/>
    <w:rsid w:val="006422CC"/>
    <w:rsid w:val="0064368A"/>
    <w:rsid w:val="00651D18"/>
    <w:rsid w:val="00660E3E"/>
    <w:rsid w:val="00662E74"/>
    <w:rsid w:val="0066595C"/>
    <w:rsid w:val="00675A95"/>
    <w:rsid w:val="00680C23"/>
    <w:rsid w:val="00683962"/>
    <w:rsid w:val="00683E23"/>
    <w:rsid w:val="00686EC2"/>
    <w:rsid w:val="0069136C"/>
    <w:rsid w:val="00693766"/>
    <w:rsid w:val="0069641D"/>
    <w:rsid w:val="006971D0"/>
    <w:rsid w:val="006A0AFF"/>
    <w:rsid w:val="006A3281"/>
    <w:rsid w:val="006A3C2F"/>
    <w:rsid w:val="006A6DE5"/>
    <w:rsid w:val="006B4888"/>
    <w:rsid w:val="006C150C"/>
    <w:rsid w:val="006C1B59"/>
    <w:rsid w:val="006C2E45"/>
    <w:rsid w:val="006C359C"/>
    <w:rsid w:val="006C4B45"/>
    <w:rsid w:val="006C5579"/>
    <w:rsid w:val="006C598C"/>
    <w:rsid w:val="006D5C27"/>
    <w:rsid w:val="006D6E8B"/>
    <w:rsid w:val="006D7209"/>
    <w:rsid w:val="006D7913"/>
    <w:rsid w:val="006E229F"/>
    <w:rsid w:val="006E231D"/>
    <w:rsid w:val="006E528C"/>
    <w:rsid w:val="006E5466"/>
    <w:rsid w:val="006E737D"/>
    <w:rsid w:val="006F2679"/>
    <w:rsid w:val="006F40FB"/>
    <w:rsid w:val="0070189E"/>
    <w:rsid w:val="007033A8"/>
    <w:rsid w:val="00707DD1"/>
    <w:rsid w:val="00713973"/>
    <w:rsid w:val="007173E7"/>
    <w:rsid w:val="00720A24"/>
    <w:rsid w:val="00721078"/>
    <w:rsid w:val="00722AF4"/>
    <w:rsid w:val="007231CC"/>
    <w:rsid w:val="00730A46"/>
    <w:rsid w:val="00732386"/>
    <w:rsid w:val="0073514D"/>
    <w:rsid w:val="0074390E"/>
    <w:rsid w:val="007447A9"/>
    <w:rsid w:val="007447F3"/>
    <w:rsid w:val="00745BB6"/>
    <w:rsid w:val="007509F8"/>
    <w:rsid w:val="00750A3D"/>
    <w:rsid w:val="00752DA0"/>
    <w:rsid w:val="0075499F"/>
    <w:rsid w:val="00754FDA"/>
    <w:rsid w:val="0075662E"/>
    <w:rsid w:val="00757751"/>
    <w:rsid w:val="007661C8"/>
    <w:rsid w:val="0077098D"/>
    <w:rsid w:val="00775A36"/>
    <w:rsid w:val="00784663"/>
    <w:rsid w:val="00784ABB"/>
    <w:rsid w:val="00785BF9"/>
    <w:rsid w:val="00786875"/>
    <w:rsid w:val="00791E89"/>
    <w:rsid w:val="00792634"/>
    <w:rsid w:val="007931EC"/>
    <w:rsid w:val="007931FA"/>
    <w:rsid w:val="00793A99"/>
    <w:rsid w:val="007947E8"/>
    <w:rsid w:val="007A46EA"/>
    <w:rsid w:val="007A4861"/>
    <w:rsid w:val="007A6D85"/>
    <w:rsid w:val="007A7BBA"/>
    <w:rsid w:val="007A7D20"/>
    <w:rsid w:val="007B064B"/>
    <w:rsid w:val="007B0C50"/>
    <w:rsid w:val="007B35CF"/>
    <w:rsid w:val="007B44E5"/>
    <w:rsid w:val="007B48F9"/>
    <w:rsid w:val="007B5058"/>
    <w:rsid w:val="007B53F6"/>
    <w:rsid w:val="007C1A43"/>
    <w:rsid w:val="007C7DA8"/>
    <w:rsid w:val="007D016F"/>
    <w:rsid w:val="007D0951"/>
    <w:rsid w:val="007D1C9E"/>
    <w:rsid w:val="007D4E69"/>
    <w:rsid w:val="007D610D"/>
    <w:rsid w:val="007E2690"/>
    <w:rsid w:val="007E4AFD"/>
    <w:rsid w:val="007E7FA9"/>
    <w:rsid w:val="007F69C3"/>
    <w:rsid w:val="0080013E"/>
    <w:rsid w:val="008008DA"/>
    <w:rsid w:val="00801759"/>
    <w:rsid w:val="0081241F"/>
    <w:rsid w:val="00813288"/>
    <w:rsid w:val="00813F10"/>
    <w:rsid w:val="008147F4"/>
    <w:rsid w:val="008152A1"/>
    <w:rsid w:val="008168FC"/>
    <w:rsid w:val="0082128E"/>
    <w:rsid w:val="00823CC0"/>
    <w:rsid w:val="0082646B"/>
    <w:rsid w:val="00827A56"/>
    <w:rsid w:val="00830996"/>
    <w:rsid w:val="008345F1"/>
    <w:rsid w:val="0083478F"/>
    <w:rsid w:val="0084164B"/>
    <w:rsid w:val="00844B62"/>
    <w:rsid w:val="00852F44"/>
    <w:rsid w:val="008577D2"/>
    <w:rsid w:val="008645D7"/>
    <w:rsid w:val="00864E8B"/>
    <w:rsid w:val="00865B07"/>
    <w:rsid w:val="008667EA"/>
    <w:rsid w:val="0087046A"/>
    <w:rsid w:val="0087106F"/>
    <w:rsid w:val="00875EB9"/>
    <w:rsid w:val="0087637F"/>
    <w:rsid w:val="008832AA"/>
    <w:rsid w:val="0088416E"/>
    <w:rsid w:val="00885CFB"/>
    <w:rsid w:val="008900AD"/>
    <w:rsid w:val="00892AD5"/>
    <w:rsid w:val="00893144"/>
    <w:rsid w:val="008964AA"/>
    <w:rsid w:val="008A0B79"/>
    <w:rsid w:val="008A1512"/>
    <w:rsid w:val="008A4BF9"/>
    <w:rsid w:val="008A515F"/>
    <w:rsid w:val="008C06A0"/>
    <w:rsid w:val="008C1558"/>
    <w:rsid w:val="008C16A6"/>
    <w:rsid w:val="008C1F05"/>
    <w:rsid w:val="008C3F36"/>
    <w:rsid w:val="008D12DB"/>
    <w:rsid w:val="008D3128"/>
    <w:rsid w:val="008D32B9"/>
    <w:rsid w:val="008D433B"/>
    <w:rsid w:val="008D4A16"/>
    <w:rsid w:val="008D725E"/>
    <w:rsid w:val="008E085D"/>
    <w:rsid w:val="008E5401"/>
    <w:rsid w:val="008E566E"/>
    <w:rsid w:val="008E7087"/>
    <w:rsid w:val="008F544B"/>
    <w:rsid w:val="008F6B7A"/>
    <w:rsid w:val="009007E0"/>
    <w:rsid w:val="00901274"/>
    <w:rsid w:val="0090161A"/>
    <w:rsid w:val="00901EB6"/>
    <w:rsid w:val="009041F8"/>
    <w:rsid w:val="00904C62"/>
    <w:rsid w:val="009069AE"/>
    <w:rsid w:val="009174D9"/>
    <w:rsid w:val="00922BA8"/>
    <w:rsid w:val="00922CA7"/>
    <w:rsid w:val="00924350"/>
    <w:rsid w:val="00924D47"/>
    <w:rsid w:val="00924DAC"/>
    <w:rsid w:val="00924F71"/>
    <w:rsid w:val="00925774"/>
    <w:rsid w:val="00927058"/>
    <w:rsid w:val="00927EDB"/>
    <w:rsid w:val="00933A08"/>
    <w:rsid w:val="00934B74"/>
    <w:rsid w:val="009351CC"/>
    <w:rsid w:val="00936B1B"/>
    <w:rsid w:val="009403A1"/>
    <w:rsid w:val="0094166B"/>
    <w:rsid w:val="00942750"/>
    <w:rsid w:val="009436ED"/>
    <w:rsid w:val="009450CE"/>
    <w:rsid w:val="009459BB"/>
    <w:rsid w:val="00945C68"/>
    <w:rsid w:val="00947179"/>
    <w:rsid w:val="0095164B"/>
    <w:rsid w:val="009534FC"/>
    <w:rsid w:val="00954090"/>
    <w:rsid w:val="009573E7"/>
    <w:rsid w:val="00961ED2"/>
    <w:rsid w:val="00963E05"/>
    <w:rsid w:val="00964A45"/>
    <w:rsid w:val="00965B10"/>
    <w:rsid w:val="00966489"/>
    <w:rsid w:val="0096751A"/>
    <w:rsid w:val="00967843"/>
    <w:rsid w:val="00967D54"/>
    <w:rsid w:val="00971028"/>
    <w:rsid w:val="00974438"/>
    <w:rsid w:val="0097525A"/>
    <w:rsid w:val="0097708A"/>
    <w:rsid w:val="00986B9F"/>
    <w:rsid w:val="00990583"/>
    <w:rsid w:val="009905E3"/>
    <w:rsid w:val="00991162"/>
    <w:rsid w:val="00993B84"/>
    <w:rsid w:val="00994171"/>
    <w:rsid w:val="00994C6A"/>
    <w:rsid w:val="00996483"/>
    <w:rsid w:val="00996F5A"/>
    <w:rsid w:val="0099793B"/>
    <w:rsid w:val="00997E36"/>
    <w:rsid w:val="009A1D89"/>
    <w:rsid w:val="009A3E8C"/>
    <w:rsid w:val="009A52D5"/>
    <w:rsid w:val="009B0415"/>
    <w:rsid w:val="009B041A"/>
    <w:rsid w:val="009B3E7C"/>
    <w:rsid w:val="009B53E3"/>
    <w:rsid w:val="009B7774"/>
    <w:rsid w:val="009C248D"/>
    <w:rsid w:val="009C37C3"/>
    <w:rsid w:val="009C610E"/>
    <w:rsid w:val="009C6ADD"/>
    <w:rsid w:val="009C7C86"/>
    <w:rsid w:val="009D1CA2"/>
    <w:rsid w:val="009D2402"/>
    <w:rsid w:val="009D2FF7"/>
    <w:rsid w:val="009D7141"/>
    <w:rsid w:val="009E134B"/>
    <w:rsid w:val="009E1FA1"/>
    <w:rsid w:val="009E51F5"/>
    <w:rsid w:val="009E608A"/>
    <w:rsid w:val="009E7884"/>
    <w:rsid w:val="009E788A"/>
    <w:rsid w:val="009F0E08"/>
    <w:rsid w:val="009F55D0"/>
    <w:rsid w:val="009F6C75"/>
    <w:rsid w:val="009F7C63"/>
    <w:rsid w:val="00A0094A"/>
    <w:rsid w:val="00A02CC8"/>
    <w:rsid w:val="00A0494F"/>
    <w:rsid w:val="00A07557"/>
    <w:rsid w:val="00A079AE"/>
    <w:rsid w:val="00A116E0"/>
    <w:rsid w:val="00A11A9B"/>
    <w:rsid w:val="00A130B4"/>
    <w:rsid w:val="00A1344A"/>
    <w:rsid w:val="00A16B08"/>
    <w:rsid w:val="00A1763D"/>
    <w:rsid w:val="00A17CEC"/>
    <w:rsid w:val="00A20466"/>
    <w:rsid w:val="00A23522"/>
    <w:rsid w:val="00A24684"/>
    <w:rsid w:val="00A27129"/>
    <w:rsid w:val="00A27EF0"/>
    <w:rsid w:val="00A42361"/>
    <w:rsid w:val="00A42DDF"/>
    <w:rsid w:val="00A4376A"/>
    <w:rsid w:val="00A45D5D"/>
    <w:rsid w:val="00A46F94"/>
    <w:rsid w:val="00A50B20"/>
    <w:rsid w:val="00A51390"/>
    <w:rsid w:val="00A546C1"/>
    <w:rsid w:val="00A60D13"/>
    <w:rsid w:val="00A61AFD"/>
    <w:rsid w:val="00A65FC1"/>
    <w:rsid w:val="00A67645"/>
    <w:rsid w:val="00A7223D"/>
    <w:rsid w:val="00A72745"/>
    <w:rsid w:val="00A748E6"/>
    <w:rsid w:val="00A76EFC"/>
    <w:rsid w:val="00A85CBB"/>
    <w:rsid w:val="00A87D50"/>
    <w:rsid w:val="00A906C2"/>
    <w:rsid w:val="00A91010"/>
    <w:rsid w:val="00A918F3"/>
    <w:rsid w:val="00A97F29"/>
    <w:rsid w:val="00AA4FFD"/>
    <w:rsid w:val="00AA6A2D"/>
    <w:rsid w:val="00AA702E"/>
    <w:rsid w:val="00AA7439"/>
    <w:rsid w:val="00AA7D26"/>
    <w:rsid w:val="00AB0964"/>
    <w:rsid w:val="00AB5011"/>
    <w:rsid w:val="00AB7AB8"/>
    <w:rsid w:val="00AB7F84"/>
    <w:rsid w:val="00AC6016"/>
    <w:rsid w:val="00AC7368"/>
    <w:rsid w:val="00AD0FD8"/>
    <w:rsid w:val="00AD16B9"/>
    <w:rsid w:val="00AD53BB"/>
    <w:rsid w:val="00AD7B6A"/>
    <w:rsid w:val="00AE377D"/>
    <w:rsid w:val="00AE5B35"/>
    <w:rsid w:val="00AE7BDC"/>
    <w:rsid w:val="00AF0EBA"/>
    <w:rsid w:val="00AF2463"/>
    <w:rsid w:val="00AF4A83"/>
    <w:rsid w:val="00AF7B07"/>
    <w:rsid w:val="00B02C8A"/>
    <w:rsid w:val="00B17FBD"/>
    <w:rsid w:val="00B21886"/>
    <w:rsid w:val="00B25F8C"/>
    <w:rsid w:val="00B26FB5"/>
    <w:rsid w:val="00B315A6"/>
    <w:rsid w:val="00B31813"/>
    <w:rsid w:val="00B332B4"/>
    <w:rsid w:val="00B33365"/>
    <w:rsid w:val="00B351BB"/>
    <w:rsid w:val="00B43BA7"/>
    <w:rsid w:val="00B473FB"/>
    <w:rsid w:val="00B5314D"/>
    <w:rsid w:val="00B57B36"/>
    <w:rsid w:val="00B57E6F"/>
    <w:rsid w:val="00B60A68"/>
    <w:rsid w:val="00B61AF8"/>
    <w:rsid w:val="00B61EB8"/>
    <w:rsid w:val="00B65171"/>
    <w:rsid w:val="00B65ADF"/>
    <w:rsid w:val="00B702DA"/>
    <w:rsid w:val="00B76851"/>
    <w:rsid w:val="00B80A6C"/>
    <w:rsid w:val="00B8358F"/>
    <w:rsid w:val="00B83A13"/>
    <w:rsid w:val="00B8686D"/>
    <w:rsid w:val="00B87BA9"/>
    <w:rsid w:val="00B92F6E"/>
    <w:rsid w:val="00B93F69"/>
    <w:rsid w:val="00B9650F"/>
    <w:rsid w:val="00BA04D0"/>
    <w:rsid w:val="00BB1DDC"/>
    <w:rsid w:val="00BC013C"/>
    <w:rsid w:val="00BC2F16"/>
    <w:rsid w:val="00BC30C9"/>
    <w:rsid w:val="00BC66B4"/>
    <w:rsid w:val="00BD077D"/>
    <w:rsid w:val="00BD1B66"/>
    <w:rsid w:val="00BD43E5"/>
    <w:rsid w:val="00BD5F1C"/>
    <w:rsid w:val="00BE0BC5"/>
    <w:rsid w:val="00BE3E58"/>
    <w:rsid w:val="00BE44E0"/>
    <w:rsid w:val="00BE7AE4"/>
    <w:rsid w:val="00BF13CE"/>
    <w:rsid w:val="00BF40FC"/>
    <w:rsid w:val="00BF62B6"/>
    <w:rsid w:val="00C010A9"/>
    <w:rsid w:val="00C01616"/>
    <w:rsid w:val="00C0162B"/>
    <w:rsid w:val="00C068ED"/>
    <w:rsid w:val="00C158E9"/>
    <w:rsid w:val="00C16E8A"/>
    <w:rsid w:val="00C207B4"/>
    <w:rsid w:val="00C22E0C"/>
    <w:rsid w:val="00C24A7B"/>
    <w:rsid w:val="00C24D17"/>
    <w:rsid w:val="00C256EF"/>
    <w:rsid w:val="00C32C7D"/>
    <w:rsid w:val="00C33348"/>
    <w:rsid w:val="00C33BB5"/>
    <w:rsid w:val="00C345B1"/>
    <w:rsid w:val="00C37298"/>
    <w:rsid w:val="00C40142"/>
    <w:rsid w:val="00C41982"/>
    <w:rsid w:val="00C422BC"/>
    <w:rsid w:val="00C43763"/>
    <w:rsid w:val="00C5253B"/>
    <w:rsid w:val="00C52C3C"/>
    <w:rsid w:val="00C57182"/>
    <w:rsid w:val="00C57863"/>
    <w:rsid w:val="00C614AE"/>
    <w:rsid w:val="00C640AF"/>
    <w:rsid w:val="00C655FD"/>
    <w:rsid w:val="00C72613"/>
    <w:rsid w:val="00C73AA9"/>
    <w:rsid w:val="00C75407"/>
    <w:rsid w:val="00C7566C"/>
    <w:rsid w:val="00C75FE1"/>
    <w:rsid w:val="00C81E7D"/>
    <w:rsid w:val="00C841C6"/>
    <w:rsid w:val="00C867DF"/>
    <w:rsid w:val="00C86C2A"/>
    <w:rsid w:val="00C870A8"/>
    <w:rsid w:val="00C92E21"/>
    <w:rsid w:val="00C93B7C"/>
    <w:rsid w:val="00C93FFC"/>
    <w:rsid w:val="00C94434"/>
    <w:rsid w:val="00CA0D75"/>
    <w:rsid w:val="00CA1C95"/>
    <w:rsid w:val="00CA4033"/>
    <w:rsid w:val="00CA5A9C"/>
    <w:rsid w:val="00CB18CA"/>
    <w:rsid w:val="00CB37BF"/>
    <w:rsid w:val="00CB4BBD"/>
    <w:rsid w:val="00CB6DBF"/>
    <w:rsid w:val="00CC3E9E"/>
    <w:rsid w:val="00CC4C20"/>
    <w:rsid w:val="00CC600C"/>
    <w:rsid w:val="00CD137D"/>
    <w:rsid w:val="00CD3517"/>
    <w:rsid w:val="00CD5FDF"/>
    <w:rsid w:val="00CD5FE2"/>
    <w:rsid w:val="00CE1926"/>
    <w:rsid w:val="00CE4B38"/>
    <w:rsid w:val="00CE4BBA"/>
    <w:rsid w:val="00CE7C68"/>
    <w:rsid w:val="00CF2D9C"/>
    <w:rsid w:val="00D02B4C"/>
    <w:rsid w:val="00D03E83"/>
    <w:rsid w:val="00D040C4"/>
    <w:rsid w:val="00D20AD1"/>
    <w:rsid w:val="00D214A2"/>
    <w:rsid w:val="00D23713"/>
    <w:rsid w:val="00D2582C"/>
    <w:rsid w:val="00D31083"/>
    <w:rsid w:val="00D321B9"/>
    <w:rsid w:val="00D338F5"/>
    <w:rsid w:val="00D461AF"/>
    <w:rsid w:val="00D46B7E"/>
    <w:rsid w:val="00D4712D"/>
    <w:rsid w:val="00D47A0C"/>
    <w:rsid w:val="00D47C1A"/>
    <w:rsid w:val="00D55703"/>
    <w:rsid w:val="00D57C84"/>
    <w:rsid w:val="00D6057D"/>
    <w:rsid w:val="00D614EA"/>
    <w:rsid w:val="00D64C60"/>
    <w:rsid w:val="00D6745A"/>
    <w:rsid w:val="00D70947"/>
    <w:rsid w:val="00D71640"/>
    <w:rsid w:val="00D72928"/>
    <w:rsid w:val="00D72A97"/>
    <w:rsid w:val="00D73FD9"/>
    <w:rsid w:val="00D836C5"/>
    <w:rsid w:val="00D84576"/>
    <w:rsid w:val="00D90567"/>
    <w:rsid w:val="00DA1399"/>
    <w:rsid w:val="00DA1CF8"/>
    <w:rsid w:val="00DA24C6"/>
    <w:rsid w:val="00DA4D7B"/>
    <w:rsid w:val="00DA565C"/>
    <w:rsid w:val="00DB4B0B"/>
    <w:rsid w:val="00DC2840"/>
    <w:rsid w:val="00DC600D"/>
    <w:rsid w:val="00DC6EDC"/>
    <w:rsid w:val="00DC6EFE"/>
    <w:rsid w:val="00DC73EE"/>
    <w:rsid w:val="00DC7F01"/>
    <w:rsid w:val="00DD1D0E"/>
    <w:rsid w:val="00DD271C"/>
    <w:rsid w:val="00DE178C"/>
    <w:rsid w:val="00DE2310"/>
    <w:rsid w:val="00DE23EF"/>
    <w:rsid w:val="00DE264A"/>
    <w:rsid w:val="00DE4E12"/>
    <w:rsid w:val="00DE6F24"/>
    <w:rsid w:val="00DF317B"/>
    <w:rsid w:val="00DF42F5"/>
    <w:rsid w:val="00DF5072"/>
    <w:rsid w:val="00DF6FF9"/>
    <w:rsid w:val="00E008FA"/>
    <w:rsid w:val="00E01963"/>
    <w:rsid w:val="00E029B0"/>
    <w:rsid w:val="00E02D18"/>
    <w:rsid w:val="00E037A2"/>
    <w:rsid w:val="00E040F3"/>
    <w:rsid w:val="00E041E7"/>
    <w:rsid w:val="00E07A80"/>
    <w:rsid w:val="00E10930"/>
    <w:rsid w:val="00E12B95"/>
    <w:rsid w:val="00E16F36"/>
    <w:rsid w:val="00E1744A"/>
    <w:rsid w:val="00E23CA1"/>
    <w:rsid w:val="00E30840"/>
    <w:rsid w:val="00E3447E"/>
    <w:rsid w:val="00E3605E"/>
    <w:rsid w:val="00E402B3"/>
    <w:rsid w:val="00E409A8"/>
    <w:rsid w:val="00E45EF8"/>
    <w:rsid w:val="00E50C12"/>
    <w:rsid w:val="00E50E6D"/>
    <w:rsid w:val="00E6588B"/>
    <w:rsid w:val="00E65B91"/>
    <w:rsid w:val="00E7209D"/>
    <w:rsid w:val="00E72EAD"/>
    <w:rsid w:val="00E77223"/>
    <w:rsid w:val="00E83683"/>
    <w:rsid w:val="00E849D6"/>
    <w:rsid w:val="00E8528B"/>
    <w:rsid w:val="00E85B94"/>
    <w:rsid w:val="00E87440"/>
    <w:rsid w:val="00E87C7B"/>
    <w:rsid w:val="00E9245A"/>
    <w:rsid w:val="00E978D0"/>
    <w:rsid w:val="00EA0AFE"/>
    <w:rsid w:val="00EA1B71"/>
    <w:rsid w:val="00EA2321"/>
    <w:rsid w:val="00EA2F7E"/>
    <w:rsid w:val="00EA4613"/>
    <w:rsid w:val="00EA4C75"/>
    <w:rsid w:val="00EA6B13"/>
    <w:rsid w:val="00EA7F91"/>
    <w:rsid w:val="00EB143A"/>
    <w:rsid w:val="00EB1523"/>
    <w:rsid w:val="00EB48C9"/>
    <w:rsid w:val="00EB57D3"/>
    <w:rsid w:val="00EB7015"/>
    <w:rsid w:val="00EC0E49"/>
    <w:rsid w:val="00EC101F"/>
    <w:rsid w:val="00EC1D9F"/>
    <w:rsid w:val="00EE0131"/>
    <w:rsid w:val="00EE17B0"/>
    <w:rsid w:val="00EE321B"/>
    <w:rsid w:val="00EF06D9"/>
    <w:rsid w:val="00EF0D8D"/>
    <w:rsid w:val="00F05BDE"/>
    <w:rsid w:val="00F10F57"/>
    <w:rsid w:val="00F1199E"/>
    <w:rsid w:val="00F202A1"/>
    <w:rsid w:val="00F21F0C"/>
    <w:rsid w:val="00F22FDE"/>
    <w:rsid w:val="00F24DDF"/>
    <w:rsid w:val="00F3049E"/>
    <w:rsid w:val="00F30C64"/>
    <w:rsid w:val="00F32BA2"/>
    <w:rsid w:val="00F32CDB"/>
    <w:rsid w:val="00F371AE"/>
    <w:rsid w:val="00F41EE4"/>
    <w:rsid w:val="00F45486"/>
    <w:rsid w:val="00F518BD"/>
    <w:rsid w:val="00F544B9"/>
    <w:rsid w:val="00F565FE"/>
    <w:rsid w:val="00F579E0"/>
    <w:rsid w:val="00F57E40"/>
    <w:rsid w:val="00F63A70"/>
    <w:rsid w:val="00F63D8C"/>
    <w:rsid w:val="00F66690"/>
    <w:rsid w:val="00F7370D"/>
    <w:rsid w:val="00F747E5"/>
    <w:rsid w:val="00F7534E"/>
    <w:rsid w:val="00F82B1B"/>
    <w:rsid w:val="00F83B28"/>
    <w:rsid w:val="00F90D49"/>
    <w:rsid w:val="00F93EDF"/>
    <w:rsid w:val="00FA1802"/>
    <w:rsid w:val="00FA1F06"/>
    <w:rsid w:val="00FA21D0"/>
    <w:rsid w:val="00FA228B"/>
    <w:rsid w:val="00FA263C"/>
    <w:rsid w:val="00FA3B68"/>
    <w:rsid w:val="00FA5F5F"/>
    <w:rsid w:val="00FB730C"/>
    <w:rsid w:val="00FC185F"/>
    <w:rsid w:val="00FC2695"/>
    <w:rsid w:val="00FC3E03"/>
    <w:rsid w:val="00FC3FC1"/>
    <w:rsid w:val="00FD3397"/>
    <w:rsid w:val="00FE0AAF"/>
    <w:rsid w:val="00FE47D4"/>
    <w:rsid w:val="00FF037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Cmsor1">
    <w:name w:val="heading 1"/>
    <w:basedOn w:val="CETHeading1"/>
    <w:next w:val="Norml"/>
    <w:link w:val="Cmsor1Char"/>
    <w:uiPriority w:val="9"/>
    <w:rsid w:val="004F5E36"/>
    <w:pPr>
      <w:tabs>
        <w:tab w:val="right" w:pos="7100"/>
      </w:tabs>
      <w:jc w:val="both"/>
      <w:outlineLvl w:val="0"/>
    </w:pPr>
    <w:rPr>
      <w:lang w:val="en-GB"/>
    </w:rPr>
  </w:style>
  <w:style w:type="paragraph" w:styleId="Cmsor2">
    <w:name w:val="heading 2"/>
    <w:basedOn w:val="Norml"/>
    <w:next w:val="Norml"/>
    <w:link w:val="Cmsor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Cmsor7">
    <w:name w:val="heading 7"/>
    <w:basedOn w:val="Norml"/>
    <w:next w:val="Norml"/>
    <w:link w:val="Cmsor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Cmsor9">
    <w:name w:val="heading 9"/>
    <w:basedOn w:val="Norml"/>
    <w:next w:val="Norml"/>
    <w:link w:val="Cmsor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Egyszertblzat1">
    <w:name w:val="Table Simple 1"/>
    <w:basedOn w:val="Normltblzat"/>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Jegyzethivatkozs">
    <w:name w:val="annotation reference"/>
    <w:basedOn w:val="Bekezdsalapbettpusa"/>
    <w:uiPriority w:val="99"/>
    <w:semiHidden/>
    <w:unhideWhenUsed/>
    <w:rsid w:val="004577FE"/>
    <w:rPr>
      <w:sz w:val="16"/>
      <w:szCs w:val="16"/>
    </w:rPr>
  </w:style>
  <w:style w:type="paragraph" w:styleId="Buborkszveg">
    <w:name w:val="Balloon Text"/>
    <w:basedOn w:val="Norml"/>
    <w:link w:val="BuborkszvegChar"/>
    <w:uiPriority w:val="99"/>
    <w:semiHidden/>
    <w:unhideWhenUsed/>
    <w:rsid w:val="000D34BE"/>
    <w:pPr>
      <w:spacing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D34BE"/>
    <w:rPr>
      <w:rFonts w:ascii="Tahoma" w:hAnsi="Tahoma" w:cs="Tahoma"/>
      <w:sz w:val="16"/>
      <w:szCs w:val="16"/>
    </w:rPr>
  </w:style>
  <w:style w:type="paragraph" w:styleId="Irodalomjegyzk">
    <w:name w:val="Bibliography"/>
    <w:basedOn w:val="CETReferencetext"/>
    <w:uiPriority w:val="37"/>
    <w:unhideWhenUsed/>
    <w:rsid w:val="00631B33"/>
    <w:pPr>
      <w:spacing w:line="240" w:lineRule="auto"/>
      <w:ind w:left="720" w:hanging="720"/>
    </w:pPr>
  </w:style>
  <w:style w:type="paragraph" w:styleId="Szvegtrzs2">
    <w:name w:val="Body Text 2"/>
    <w:basedOn w:val="Norml"/>
    <w:link w:val="Szvegtrzs2Char"/>
    <w:uiPriority w:val="99"/>
    <w:semiHidden/>
    <w:unhideWhenUsed/>
    <w:rsid w:val="0003148D"/>
    <w:pPr>
      <w:spacing w:after="120" w:line="480" w:lineRule="auto"/>
    </w:pPr>
  </w:style>
  <w:style w:type="character" w:customStyle="1" w:styleId="Szvegtrzs2Char">
    <w:name w:val="Szövegtörzs 2 Char"/>
    <w:basedOn w:val="Bekezdsalapbettpusa"/>
    <w:link w:val="Szvegtrzs2"/>
    <w:uiPriority w:val="99"/>
    <w:semiHidden/>
    <w:rsid w:val="0003148D"/>
  </w:style>
  <w:style w:type="paragraph" w:styleId="Szvegtrzs3">
    <w:name w:val="Body Text 3"/>
    <w:basedOn w:val="Norml"/>
    <w:link w:val="Szvegtrzs3Char"/>
    <w:uiPriority w:val="99"/>
    <w:semiHidden/>
    <w:unhideWhenUsed/>
    <w:rsid w:val="0003148D"/>
    <w:pPr>
      <w:spacing w:after="120"/>
    </w:pPr>
    <w:rPr>
      <w:sz w:val="16"/>
      <w:szCs w:val="16"/>
    </w:rPr>
  </w:style>
  <w:style w:type="character" w:customStyle="1" w:styleId="Szvegtrzs3Char">
    <w:name w:val="Szövegtörzs 3 Char"/>
    <w:basedOn w:val="Bekezdsalapbettpusa"/>
    <w:link w:val="Szvegtrzs3"/>
    <w:uiPriority w:val="99"/>
    <w:semiHidden/>
    <w:rsid w:val="0003148D"/>
    <w:rPr>
      <w:sz w:val="16"/>
      <w:szCs w:val="16"/>
    </w:rPr>
  </w:style>
  <w:style w:type="paragraph" w:styleId="Szvegtrzs">
    <w:name w:val="Body Text"/>
    <w:basedOn w:val="Norml"/>
    <w:link w:val="SzvegtrzsChar"/>
    <w:uiPriority w:val="99"/>
    <w:semiHidden/>
    <w:unhideWhenUsed/>
    <w:rsid w:val="0003148D"/>
    <w:pPr>
      <w:spacing w:after="120"/>
    </w:pPr>
  </w:style>
  <w:style w:type="character" w:customStyle="1" w:styleId="SzvegtrzsChar">
    <w:name w:val="Szövegtörzs Char"/>
    <w:basedOn w:val="Bekezdsalapbettpusa"/>
    <w:link w:val="Szvegtrzs"/>
    <w:uiPriority w:val="99"/>
    <w:semiHidden/>
    <w:rsid w:val="0003148D"/>
  </w:style>
  <w:style w:type="paragraph" w:styleId="Dtum">
    <w:name w:val="Date"/>
    <w:basedOn w:val="Norml"/>
    <w:next w:val="Norml"/>
    <w:link w:val="DtumChar"/>
    <w:uiPriority w:val="99"/>
    <w:semiHidden/>
    <w:unhideWhenUsed/>
    <w:rsid w:val="0003148D"/>
  </w:style>
  <w:style w:type="character" w:customStyle="1" w:styleId="DtumChar">
    <w:name w:val="Dátum Char"/>
    <w:basedOn w:val="Bekezdsalapbettpusa"/>
    <w:link w:val="Dtum"/>
    <w:uiPriority w:val="99"/>
    <w:semiHidden/>
    <w:rsid w:val="0003148D"/>
  </w:style>
  <w:style w:type="paragraph" w:styleId="Kpalrs">
    <w:name w:val="caption"/>
    <w:basedOn w:val="Norml"/>
    <w:next w:val="Norml"/>
    <w:uiPriority w:val="35"/>
    <w:semiHidden/>
    <w:unhideWhenUsed/>
    <w:qFormat/>
    <w:rsid w:val="0003148D"/>
    <w:pPr>
      <w:spacing w:line="240" w:lineRule="auto"/>
    </w:pPr>
    <w:rPr>
      <w:b/>
      <w:bCs/>
      <w:color w:val="4F81BD" w:themeColor="accent1"/>
      <w:szCs w:val="18"/>
    </w:rPr>
  </w:style>
  <w:style w:type="paragraph" w:styleId="Lista">
    <w:name w:val="List"/>
    <w:basedOn w:val="Norml"/>
    <w:uiPriority w:val="99"/>
    <w:semiHidden/>
    <w:unhideWhenUsed/>
    <w:rsid w:val="0003148D"/>
    <w:pPr>
      <w:ind w:left="283" w:hanging="283"/>
      <w:contextualSpacing/>
    </w:pPr>
  </w:style>
  <w:style w:type="paragraph" w:styleId="Lista2">
    <w:name w:val="List 2"/>
    <w:basedOn w:val="Norml"/>
    <w:uiPriority w:val="99"/>
    <w:semiHidden/>
    <w:unhideWhenUsed/>
    <w:rsid w:val="0003148D"/>
    <w:pPr>
      <w:ind w:left="566" w:hanging="283"/>
      <w:contextualSpacing/>
    </w:pPr>
  </w:style>
  <w:style w:type="paragraph" w:styleId="Lista3">
    <w:name w:val="List 3"/>
    <w:basedOn w:val="Norml"/>
    <w:uiPriority w:val="99"/>
    <w:semiHidden/>
    <w:unhideWhenUsed/>
    <w:rsid w:val="0003148D"/>
    <w:pPr>
      <w:ind w:left="849" w:hanging="283"/>
      <w:contextualSpacing/>
    </w:pPr>
  </w:style>
  <w:style w:type="paragraph" w:styleId="Lista4">
    <w:name w:val="List 4"/>
    <w:basedOn w:val="Norml"/>
    <w:uiPriority w:val="99"/>
    <w:semiHidden/>
    <w:unhideWhenUsed/>
    <w:rsid w:val="0003148D"/>
    <w:pPr>
      <w:ind w:left="1132" w:hanging="283"/>
      <w:contextualSpacing/>
    </w:pPr>
  </w:style>
  <w:style w:type="paragraph" w:styleId="Lista5">
    <w:name w:val="List 5"/>
    <w:basedOn w:val="Norml"/>
    <w:uiPriority w:val="99"/>
    <w:semiHidden/>
    <w:unhideWhenUsed/>
    <w:rsid w:val="0003148D"/>
    <w:pPr>
      <w:ind w:left="1415" w:hanging="283"/>
      <w:contextualSpacing/>
    </w:pPr>
  </w:style>
  <w:style w:type="paragraph" w:styleId="Listafolytatsa">
    <w:name w:val="List Continue"/>
    <w:basedOn w:val="Norml"/>
    <w:uiPriority w:val="99"/>
    <w:semiHidden/>
    <w:unhideWhenUsed/>
    <w:rsid w:val="0003148D"/>
    <w:pPr>
      <w:spacing w:after="120"/>
      <w:ind w:left="283"/>
      <w:contextualSpacing/>
    </w:pPr>
  </w:style>
  <w:style w:type="paragraph" w:styleId="Listafolytatsa2">
    <w:name w:val="List Continue 2"/>
    <w:basedOn w:val="Norml"/>
    <w:uiPriority w:val="99"/>
    <w:semiHidden/>
    <w:unhideWhenUsed/>
    <w:rsid w:val="0003148D"/>
    <w:pPr>
      <w:spacing w:after="120"/>
      <w:ind w:left="566"/>
      <w:contextualSpacing/>
    </w:pPr>
  </w:style>
  <w:style w:type="paragraph" w:styleId="Listafolytatsa3">
    <w:name w:val="List Continue 3"/>
    <w:basedOn w:val="Norml"/>
    <w:uiPriority w:val="99"/>
    <w:semiHidden/>
    <w:unhideWhenUsed/>
    <w:rsid w:val="0003148D"/>
    <w:pPr>
      <w:spacing w:after="120"/>
      <w:ind w:left="849"/>
      <w:contextualSpacing/>
    </w:pPr>
  </w:style>
  <w:style w:type="paragraph" w:styleId="Listafolytatsa4">
    <w:name w:val="List Continue 4"/>
    <w:basedOn w:val="Norml"/>
    <w:uiPriority w:val="99"/>
    <w:semiHidden/>
    <w:unhideWhenUsed/>
    <w:rsid w:val="0003148D"/>
    <w:pPr>
      <w:spacing w:after="120"/>
      <w:ind w:left="1132"/>
      <w:contextualSpacing/>
    </w:pPr>
  </w:style>
  <w:style w:type="paragraph" w:styleId="Listafolytatsa5">
    <w:name w:val="List Continue 5"/>
    <w:basedOn w:val="Norml"/>
    <w:uiPriority w:val="99"/>
    <w:semiHidden/>
    <w:unhideWhenUsed/>
    <w:rsid w:val="0003148D"/>
    <w:pPr>
      <w:spacing w:after="120"/>
      <w:ind w:left="1415"/>
      <w:contextualSpacing/>
    </w:pPr>
  </w:style>
  <w:style w:type="paragraph" w:styleId="Alrs">
    <w:name w:val="Signature"/>
    <w:basedOn w:val="Norml"/>
    <w:link w:val="AlrsChar"/>
    <w:uiPriority w:val="99"/>
    <w:semiHidden/>
    <w:unhideWhenUsed/>
    <w:rsid w:val="0003148D"/>
    <w:pPr>
      <w:spacing w:line="240" w:lineRule="auto"/>
      <w:ind w:left="4252"/>
    </w:pPr>
  </w:style>
  <w:style w:type="character" w:customStyle="1" w:styleId="AlrsChar">
    <w:name w:val="Aláírás Char"/>
    <w:basedOn w:val="Bekezdsalapbettpusa"/>
    <w:link w:val="Alrs"/>
    <w:uiPriority w:val="99"/>
    <w:semiHidden/>
    <w:rsid w:val="0003148D"/>
  </w:style>
  <w:style w:type="paragraph" w:styleId="E-mail-alrs">
    <w:name w:val="E-mail Signature"/>
    <w:basedOn w:val="Norml"/>
    <w:link w:val="E-mail-alrsChar"/>
    <w:uiPriority w:val="99"/>
    <w:semiHidden/>
    <w:unhideWhenUsed/>
    <w:rsid w:val="0003148D"/>
    <w:pPr>
      <w:spacing w:line="240" w:lineRule="auto"/>
    </w:pPr>
  </w:style>
  <w:style w:type="character" w:customStyle="1" w:styleId="E-mail-alrsChar">
    <w:name w:val="E-mail-aláírás Char"/>
    <w:basedOn w:val="Bekezdsalapbettpusa"/>
    <w:link w:val="E-mail-alrs"/>
    <w:uiPriority w:val="99"/>
    <w:semiHidden/>
    <w:rsid w:val="0003148D"/>
  </w:style>
  <w:style w:type="paragraph" w:styleId="Megszlts">
    <w:name w:val="Salutation"/>
    <w:basedOn w:val="Norml"/>
    <w:next w:val="Norml"/>
    <w:link w:val="MegszltsChar"/>
    <w:uiPriority w:val="99"/>
    <w:semiHidden/>
    <w:unhideWhenUsed/>
    <w:rsid w:val="0003148D"/>
  </w:style>
  <w:style w:type="character" w:customStyle="1" w:styleId="MegszltsChar">
    <w:name w:val="Megszólítás Char"/>
    <w:basedOn w:val="Bekezdsalapbettpusa"/>
    <w:link w:val="Megszlts"/>
    <w:uiPriority w:val="99"/>
    <w:semiHidden/>
    <w:rsid w:val="0003148D"/>
  </w:style>
  <w:style w:type="paragraph" w:styleId="Befejezs">
    <w:name w:val="Closing"/>
    <w:basedOn w:val="Norml"/>
    <w:link w:val="BefejezsChar"/>
    <w:uiPriority w:val="99"/>
    <w:semiHidden/>
    <w:unhideWhenUsed/>
    <w:rsid w:val="0003148D"/>
    <w:pPr>
      <w:spacing w:line="240" w:lineRule="auto"/>
      <w:ind w:left="4252"/>
    </w:pPr>
  </w:style>
  <w:style w:type="character" w:customStyle="1" w:styleId="BefejezsChar">
    <w:name w:val="Befejezés Char"/>
    <w:basedOn w:val="Bekezdsalapbettpusa"/>
    <w:link w:val="Befejezs"/>
    <w:uiPriority w:val="99"/>
    <w:semiHidden/>
    <w:rsid w:val="0003148D"/>
  </w:style>
  <w:style w:type="paragraph" w:styleId="Trgymutat1">
    <w:name w:val="index 1"/>
    <w:basedOn w:val="Norml"/>
    <w:next w:val="Norml"/>
    <w:autoRedefine/>
    <w:uiPriority w:val="99"/>
    <w:semiHidden/>
    <w:unhideWhenUsed/>
    <w:rsid w:val="0003148D"/>
    <w:pPr>
      <w:spacing w:line="240" w:lineRule="auto"/>
      <w:ind w:left="220" w:hanging="220"/>
    </w:pPr>
  </w:style>
  <w:style w:type="paragraph" w:styleId="Trgymutat2">
    <w:name w:val="index 2"/>
    <w:basedOn w:val="Norml"/>
    <w:next w:val="Norml"/>
    <w:autoRedefine/>
    <w:uiPriority w:val="99"/>
    <w:semiHidden/>
    <w:unhideWhenUsed/>
    <w:rsid w:val="0003148D"/>
    <w:pPr>
      <w:spacing w:line="240" w:lineRule="auto"/>
      <w:ind w:left="440" w:hanging="220"/>
    </w:pPr>
  </w:style>
  <w:style w:type="paragraph" w:styleId="Trgymutat3">
    <w:name w:val="index 3"/>
    <w:basedOn w:val="Norml"/>
    <w:next w:val="Norml"/>
    <w:autoRedefine/>
    <w:uiPriority w:val="99"/>
    <w:semiHidden/>
    <w:unhideWhenUsed/>
    <w:rsid w:val="0003148D"/>
    <w:pPr>
      <w:spacing w:line="240" w:lineRule="auto"/>
      <w:ind w:left="660" w:hanging="220"/>
    </w:pPr>
  </w:style>
  <w:style w:type="paragraph" w:styleId="Trgymutat4">
    <w:name w:val="index 4"/>
    <w:basedOn w:val="Norml"/>
    <w:next w:val="Norml"/>
    <w:autoRedefine/>
    <w:uiPriority w:val="99"/>
    <w:semiHidden/>
    <w:unhideWhenUsed/>
    <w:rsid w:val="0003148D"/>
    <w:pPr>
      <w:spacing w:line="240" w:lineRule="auto"/>
      <w:ind w:left="880" w:hanging="220"/>
    </w:pPr>
  </w:style>
  <w:style w:type="paragraph" w:styleId="Trgymutat5">
    <w:name w:val="index 5"/>
    <w:basedOn w:val="Norml"/>
    <w:next w:val="Norml"/>
    <w:autoRedefine/>
    <w:uiPriority w:val="99"/>
    <w:semiHidden/>
    <w:unhideWhenUsed/>
    <w:rsid w:val="0003148D"/>
    <w:pPr>
      <w:spacing w:line="240" w:lineRule="auto"/>
      <w:ind w:left="1100" w:hanging="220"/>
    </w:pPr>
  </w:style>
  <w:style w:type="paragraph" w:styleId="Trgymutat6">
    <w:name w:val="index 6"/>
    <w:basedOn w:val="Norml"/>
    <w:next w:val="Norml"/>
    <w:autoRedefine/>
    <w:uiPriority w:val="99"/>
    <w:semiHidden/>
    <w:unhideWhenUsed/>
    <w:rsid w:val="0003148D"/>
    <w:pPr>
      <w:spacing w:line="240" w:lineRule="auto"/>
      <w:ind w:left="1320" w:hanging="220"/>
    </w:pPr>
  </w:style>
  <w:style w:type="paragraph" w:styleId="Trgymutat7">
    <w:name w:val="index 7"/>
    <w:basedOn w:val="Norml"/>
    <w:next w:val="Norml"/>
    <w:autoRedefine/>
    <w:uiPriority w:val="99"/>
    <w:semiHidden/>
    <w:unhideWhenUsed/>
    <w:rsid w:val="0003148D"/>
    <w:pPr>
      <w:spacing w:line="240" w:lineRule="auto"/>
      <w:ind w:left="1540" w:hanging="220"/>
    </w:pPr>
  </w:style>
  <w:style w:type="paragraph" w:styleId="Trgymutat8">
    <w:name w:val="index 8"/>
    <w:basedOn w:val="Norml"/>
    <w:next w:val="Norml"/>
    <w:autoRedefine/>
    <w:uiPriority w:val="99"/>
    <w:semiHidden/>
    <w:unhideWhenUsed/>
    <w:rsid w:val="0003148D"/>
    <w:pPr>
      <w:spacing w:line="240" w:lineRule="auto"/>
      <w:ind w:left="1760" w:hanging="220"/>
    </w:pPr>
  </w:style>
  <w:style w:type="paragraph" w:styleId="Trgymutat9">
    <w:name w:val="index 9"/>
    <w:basedOn w:val="Norml"/>
    <w:next w:val="Norml"/>
    <w:autoRedefine/>
    <w:uiPriority w:val="99"/>
    <w:semiHidden/>
    <w:unhideWhenUsed/>
    <w:rsid w:val="0003148D"/>
    <w:pPr>
      <w:spacing w:line="240" w:lineRule="auto"/>
      <w:ind w:left="1980" w:hanging="220"/>
    </w:pPr>
  </w:style>
  <w:style w:type="paragraph" w:styleId="brajegyzk">
    <w:name w:val="table of figures"/>
    <w:basedOn w:val="Norml"/>
    <w:next w:val="Norml"/>
    <w:uiPriority w:val="99"/>
    <w:semiHidden/>
    <w:unhideWhenUsed/>
    <w:rsid w:val="0003148D"/>
  </w:style>
  <w:style w:type="paragraph" w:styleId="Hivatkozsjegyzk">
    <w:name w:val="table of authorities"/>
    <w:basedOn w:val="Norml"/>
    <w:next w:val="Norml"/>
    <w:uiPriority w:val="99"/>
    <w:semiHidden/>
    <w:unhideWhenUsed/>
    <w:rsid w:val="0003148D"/>
    <w:pPr>
      <w:ind w:left="220" w:hanging="220"/>
    </w:pPr>
  </w:style>
  <w:style w:type="paragraph" w:styleId="Bortkcm">
    <w:name w:val="envelope address"/>
    <w:basedOn w:val="Norm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cm">
    <w:name w:val="HTML Address"/>
    <w:basedOn w:val="Norml"/>
    <w:link w:val="HTML-cmChar"/>
    <w:uiPriority w:val="99"/>
    <w:semiHidden/>
    <w:unhideWhenUsed/>
    <w:rsid w:val="0003148D"/>
    <w:pPr>
      <w:spacing w:line="240" w:lineRule="auto"/>
    </w:pPr>
    <w:rPr>
      <w:i/>
      <w:iCs/>
    </w:rPr>
  </w:style>
  <w:style w:type="character" w:customStyle="1" w:styleId="HTML-cmChar">
    <w:name w:val="HTML-cím Char"/>
    <w:basedOn w:val="Bekezdsalapbettpusa"/>
    <w:link w:val="HTML-cm"/>
    <w:uiPriority w:val="99"/>
    <w:semiHidden/>
    <w:rsid w:val="0003148D"/>
    <w:rPr>
      <w:i/>
      <w:iCs/>
    </w:rPr>
  </w:style>
  <w:style w:type="paragraph" w:styleId="Feladcmebortkon">
    <w:name w:val="envelope return"/>
    <w:basedOn w:val="Norml"/>
    <w:uiPriority w:val="99"/>
    <w:semiHidden/>
    <w:unhideWhenUsed/>
    <w:rsid w:val="0003148D"/>
    <w:pPr>
      <w:spacing w:line="240" w:lineRule="auto"/>
    </w:pPr>
    <w:rPr>
      <w:rFonts w:asciiTheme="majorHAnsi" w:eastAsiaTheme="majorEastAsia" w:hAnsiTheme="majorHAnsi" w:cstheme="majorBidi"/>
    </w:rPr>
  </w:style>
  <w:style w:type="paragraph" w:styleId="zenetfej">
    <w:name w:val="Message Header"/>
    <w:basedOn w:val="Norml"/>
    <w:link w:val="zenetfej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zenetfejChar">
    <w:name w:val="Üzenetfej Char"/>
    <w:basedOn w:val="Bekezdsalapbettpusa"/>
    <w:link w:val="zenetfej"/>
    <w:uiPriority w:val="99"/>
    <w:semiHidden/>
    <w:rsid w:val="0003148D"/>
    <w:rPr>
      <w:rFonts w:asciiTheme="majorHAnsi" w:eastAsiaTheme="majorEastAsia" w:hAnsiTheme="majorHAnsi" w:cstheme="majorBidi"/>
      <w:sz w:val="24"/>
      <w:szCs w:val="24"/>
      <w:shd w:val="pct20" w:color="auto" w:fill="auto"/>
    </w:rPr>
  </w:style>
  <w:style w:type="paragraph" w:styleId="Megjegyzsfej">
    <w:name w:val="Note Heading"/>
    <w:basedOn w:val="Norml"/>
    <w:next w:val="Norml"/>
    <w:link w:val="MegjegyzsfejChar"/>
    <w:uiPriority w:val="99"/>
    <w:semiHidden/>
    <w:unhideWhenUsed/>
    <w:rsid w:val="0003148D"/>
    <w:pPr>
      <w:spacing w:line="240" w:lineRule="auto"/>
    </w:pPr>
  </w:style>
  <w:style w:type="character" w:customStyle="1" w:styleId="MegjegyzsfejChar">
    <w:name w:val="Megjegyzésfej Char"/>
    <w:basedOn w:val="Bekezdsalapbettpusa"/>
    <w:link w:val="Megjegyzsfej"/>
    <w:uiPriority w:val="99"/>
    <w:semiHidden/>
    <w:rsid w:val="0003148D"/>
  </w:style>
  <w:style w:type="paragraph" w:styleId="Dokumentumtrkp">
    <w:name w:val="Document Map"/>
    <w:basedOn w:val="Norml"/>
    <w:link w:val="DokumentumtrkpChar"/>
    <w:uiPriority w:val="99"/>
    <w:semiHidden/>
    <w:unhideWhenUsed/>
    <w:rsid w:val="0003148D"/>
    <w:pPr>
      <w:spacing w:line="240" w:lineRule="auto"/>
    </w:pPr>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03148D"/>
    <w:rPr>
      <w:rFonts w:ascii="Tahoma" w:hAnsi="Tahoma" w:cs="Tahoma"/>
      <w:sz w:val="16"/>
      <w:szCs w:val="16"/>
    </w:rPr>
  </w:style>
  <w:style w:type="paragraph" w:styleId="NormlWeb">
    <w:name w:val="Normal (Web)"/>
    <w:basedOn w:val="Norml"/>
    <w:uiPriority w:val="99"/>
    <w:semiHidden/>
    <w:unhideWhenUsed/>
    <w:rsid w:val="0003148D"/>
    <w:rPr>
      <w:sz w:val="24"/>
      <w:szCs w:val="24"/>
    </w:rPr>
  </w:style>
  <w:style w:type="paragraph" w:styleId="Szmozottlista">
    <w:name w:val="List Number"/>
    <w:basedOn w:val="Norml"/>
    <w:uiPriority w:val="99"/>
    <w:semiHidden/>
    <w:unhideWhenUsed/>
    <w:rsid w:val="0003148D"/>
    <w:pPr>
      <w:numPr>
        <w:numId w:val="2"/>
      </w:numPr>
      <w:contextualSpacing/>
    </w:pPr>
  </w:style>
  <w:style w:type="paragraph" w:styleId="Szmozottlista2">
    <w:name w:val="List Number 2"/>
    <w:basedOn w:val="Norml"/>
    <w:uiPriority w:val="99"/>
    <w:semiHidden/>
    <w:unhideWhenUsed/>
    <w:rsid w:val="0003148D"/>
    <w:pPr>
      <w:numPr>
        <w:numId w:val="3"/>
      </w:numPr>
      <w:contextualSpacing/>
    </w:pPr>
  </w:style>
  <w:style w:type="paragraph" w:styleId="Szmozottlista3">
    <w:name w:val="List Number 3"/>
    <w:basedOn w:val="Norml"/>
    <w:uiPriority w:val="99"/>
    <w:semiHidden/>
    <w:unhideWhenUsed/>
    <w:rsid w:val="0003148D"/>
    <w:pPr>
      <w:numPr>
        <w:numId w:val="4"/>
      </w:numPr>
      <w:contextualSpacing/>
    </w:pPr>
  </w:style>
  <w:style w:type="paragraph" w:styleId="Szmozottlista4">
    <w:name w:val="List Number 4"/>
    <w:basedOn w:val="Norml"/>
    <w:uiPriority w:val="99"/>
    <w:semiHidden/>
    <w:unhideWhenUsed/>
    <w:rsid w:val="0003148D"/>
    <w:pPr>
      <w:numPr>
        <w:numId w:val="5"/>
      </w:numPr>
      <w:contextualSpacing/>
    </w:pPr>
  </w:style>
  <w:style w:type="paragraph" w:styleId="Szmozottlista5">
    <w:name w:val="List Number 5"/>
    <w:basedOn w:val="Norml"/>
    <w:uiPriority w:val="99"/>
    <w:semiHidden/>
    <w:unhideWhenUsed/>
    <w:rsid w:val="0003148D"/>
    <w:pPr>
      <w:numPr>
        <w:numId w:val="6"/>
      </w:numPr>
      <w:contextualSpacing/>
    </w:pPr>
  </w:style>
  <w:style w:type="paragraph" w:styleId="HTML-kntformzott">
    <w:name w:val="HTML Preformatted"/>
    <w:basedOn w:val="Norml"/>
    <w:link w:val="HTML-kntformzottChar"/>
    <w:uiPriority w:val="99"/>
    <w:semiHidden/>
    <w:unhideWhenUsed/>
    <w:rsid w:val="0003148D"/>
    <w:pPr>
      <w:spacing w:line="240" w:lineRule="auto"/>
    </w:pPr>
    <w:rPr>
      <w:rFonts w:ascii="Consolas" w:hAnsi="Consolas" w:cs="Consolas"/>
    </w:rPr>
  </w:style>
  <w:style w:type="character" w:customStyle="1" w:styleId="HTML-kntformzottChar">
    <w:name w:val="HTML-ként formázott Char"/>
    <w:basedOn w:val="Bekezdsalapbettpusa"/>
    <w:link w:val="HTML-kntformzott"/>
    <w:uiPriority w:val="99"/>
    <w:semiHidden/>
    <w:rsid w:val="0003148D"/>
    <w:rPr>
      <w:rFonts w:ascii="Consolas" w:hAnsi="Consolas" w:cs="Consolas"/>
      <w:sz w:val="20"/>
      <w:szCs w:val="20"/>
    </w:rPr>
  </w:style>
  <w:style w:type="paragraph" w:styleId="Szvegtrzselssora">
    <w:name w:val="Body Text First Indent"/>
    <w:basedOn w:val="Szvegtrzs"/>
    <w:link w:val="SzvegtrzselssoraChar"/>
    <w:uiPriority w:val="99"/>
    <w:semiHidden/>
    <w:unhideWhenUsed/>
    <w:rsid w:val="0003148D"/>
    <w:pPr>
      <w:spacing w:after="200"/>
      <w:ind w:firstLine="360"/>
    </w:pPr>
  </w:style>
  <w:style w:type="character" w:customStyle="1" w:styleId="SzvegtrzselssoraChar">
    <w:name w:val="Szövegtörzs első sora Char"/>
    <w:basedOn w:val="SzvegtrzsChar"/>
    <w:link w:val="Szvegtrzselssora"/>
    <w:uiPriority w:val="99"/>
    <w:semiHidden/>
    <w:rsid w:val="0003148D"/>
  </w:style>
  <w:style w:type="paragraph" w:styleId="Szvegtrzsbehzssal">
    <w:name w:val="Body Text Indent"/>
    <w:basedOn w:val="Norml"/>
    <w:link w:val="SzvegtrzsbehzssalChar"/>
    <w:uiPriority w:val="99"/>
    <w:semiHidden/>
    <w:unhideWhenUsed/>
    <w:rsid w:val="0003148D"/>
    <w:pPr>
      <w:spacing w:after="120"/>
      <w:ind w:left="283"/>
    </w:pPr>
  </w:style>
  <w:style w:type="character" w:customStyle="1" w:styleId="SzvegtrzsbehzssalChar">
    <w:name w:val="Szövegtörzs behúzással Char"/>
    <w:basedOn w:val="Bekezdsalapbettpusa"/>
    <w:link w:val="Szvegtrzsbehzssal"/>
    <w:uiPriority w:val="99"/>
    <w:semiHidden/>
    <w:rsid w:val="0003148D"/>
  </w:style>
  <w:style w:type="paragraph" w:styleId="Szvegtrzselssora2">
    <w:name w:val="Body Text First Indent 2"/>
    <w:basedOn w:val="Szvegtrzsbehzssal"/>
    <w:link w:val="Szvegtrzselssora2Char"/>
    <w:uiPriority w:val="99"/>
    <w:semiHidden/>
    <w:unhideWhenUsed/>
    <w:rsid w:val="0003148D"/>
    <w:pPr>
      <w:spacing w:after="200"/>
      <w:ind w:left="360" w:firstLine="360"/>
    </w:pPr>
  </w:style>
  <w:style w:type="character" w:customStyle="1" w:styleId="Szvegtrzselssora2Char">
    <w:name w:val="Szövegtörzs első sora 2 Char"/>
    <w:basedOn w:val="SzvegtrzsbehzssalChar"/>
    <w:link w:val="Szvegtrzselssora2"/>
    <w:uiPriority w:val="99"/>
    <w:semiHidden/>
    <w:rsid w:val="0003148D"/>
  </w:style>
  <w:style w:type="paragraph" w:styleId="Felsorols">
    <w:name w:val="List Bullet"/>
    <w:basedOn w:val="Norml"/>
    <w:uiPriority w:val="99"/>
    <w:semiHidden/>
    <w:unhideWhenUsed/>
    <w:rsid w:val="0003148D"/>
    <w:pPr>
      <w:numPr>
        <w:numId w:val="7"/>
      </w:numPr>
      <w:contextualSpacing/>
    </w:pPr>
  </w:style>
  <w:style w:type="paragraph" w:styleId="Felsorols2">
    <w:name w:val="List Bullet 2"/>
    <w:basedOn w:val="Norml"/>
    <w:uiPriority w:val="99"/>
    <w:semiHidden/>
    <w:unhideWhenUsed/>
    <w:rsid w:val="0003148D"/>
    <w:pPr>
      <w:numPr>
        <w:numId w:val="8"/>
      </w:numPr>
      <w:contextualSpacing/>
    </w:pPr>
  </w:style>
  <w:style w:type="paragraph" w:styleId="Felsorols3">
    <w:name w:val="List Bullet 3"/>
    <w:basedOn w:val="Norml"/>
    <w:uiPriority w:val="99"/>
    <w:semiHidden/>
    <w:unhideWhenUsed/>
    <w:rsid w:val="0003148D"/>
    <w:pPr>
      <w:numPr>
        <w:numId w:val="9"/>
      </w:numPr>
      <w:contextualSpacing/>
    </w:pPr>
  </w:style>
  <w:style w:type="paragraph" w:styleId="Felsorols4">
    <w:name w:val="List Bullet 4"/>
    <w:basedOn w:val="Norml"/>
    <w:uiPriority w:val="99"/>
    <w:semiHidden/>
    <w:unhideWhenUsed/>
    <w:rsid w:val="0003148D"/>
    <w:pPr>
      <w:numPr>
        <w:numId w:val="10"/>
      </w:numPr>
      <w:contextualSpacing/>
    </w:pPr>
  </w:style>
  <w:style w:type="paragraph" w:styleId="Felsorols5">
    <w:name w:val="List Bullet 5"/>
    <w:basedOn w:val="Norml"/>
    <w:uiPriority w:val="99"/>
    <w:semiHidden/>
    <w:unhideWhenUsed/>
    <w:rsid w:val="0003148D"/>
    <w:pPr>
      <w:numPr>
        <w:numId w:val="11"/>
      </w:numPr>
      <w:contextualSpacing/>
    </w:pPr>
  </w:style>
  <w:style w:type="paragraph" w:styleId="Szvegtrzsbehzssal2">
    <w:name w:val="Body Text Indent 2"/>
    <w:basedOn w:val="Norml"/>
    <w:link w:val="Szvegtrzsbehzssal2Char"/>
    <w:uiPriority w:val="99"/>
    <w:semiHidden/>
    <w:unhideWhenUsed/>
    <w:rsid w:val="0003148D"/>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03148D"/>
  </w:style>
  <w:style w:type="paragraph" w:styleId="Szvegtrzsbehzssal3">
    <w:name w:val="Body Text Indent 3"/>
    <w:basedOn w:val="Norml"/>
    <w:link w:val="Szvegtrzsbehzssal3Char"/>
    <w:uiPriority w:val="99"/>
    <w:semiHidden/>
    <w:unhideWhenUsed/>
    <w:rsid w:val="0003148D"/>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03148D"/>
    <w:rPr>
      <w:sz w:val="16"/>
      <w:szCs w:val="16"/>
    </w:rPr>
  </w:style>
  <w:style w:type="paragraph" w:styleId="Normlbehzs">
    <w:name w:val="Normal Indent"/>
    <w:basedOn w:val="Norml"/>
    <w:uiPriority w:val="99"/>
    <w:semiHidden/>
    <w:unhideWhenUsed/>
    <w:rsid w:val="0003148D"/>
    <w:pPr>
      <w:ind w:left="720"/>
    </w:pPr>
  </w:style>
  <w:style w:type="paragraph" w:styleId="Jegyzetszveg">
    <w:name w:val="annotation text"/>
    <w:basedOn w:val="Norml"/>
    <w:link w:val="JegyzetszvegChar"/>
    <w:uiPriority w:val="99"/>
    <w:unhideWhenUsed/>
    <w:rsid w:val="0003148D"/>
    <w:pPr>
      <w:spacing w:line="240" w:lineRule="auto"/>
    </w:pPr>
  </w:style>
  <w:style w:type="character" w:customStyle="1" w:styleId="JegyzetszvegChar">
    <w:name w:val="Jegyzetszöveg Char"/>
    <w:basedOn w:val="Bekezdsalapbettpusa"/>
    <w:link w:val="Jegyzetszveg"/>
    <w:uiPriority w:val="99"/>
    <w:rsid w:val="0003148D"/>
    <w:rPr>
      <w:sz w:val="20"/>
      <w:szCs w:val="20"/>
    </w:rPr>
  </w:style>
  <w:style w:type="paragraph" w:styleId="Megjegyzstrgya">
    <w:name w:val="annotation subject"/>
    <w:basedOn w:val="Jegyzetszveg"/>
    <w:next w:val="Jegyzetszveg"/>
    <w:link w:val="MegjegyzstrgyaChar"/>
    <w:uiPriority w:val="99"/>
    <w:semiHidden/>
    <w:unhideWhenUsed/>
    <w:rsid w:val="0003148D"/>
    <w:rPr>
      <w:b/>
      <w:bCs/>
    </w:rPr>
  </w:style>
  <w:style w:type="character" w:customStyle="1" w:styleId="MegjegyzstrgyaChar">
    <w:name w:val="Megjegyzés tárgya Char"/>
    <w:basedOn w:val="JegyzetszvegChar"/>
    <w:link w:val="Megjegyzstrgya"/>
    <w:uiPriority w:val="99"/>
    <w:semiHidden/>
    <w:rsid w:val="0003148D"/>
    <w:rPr>
      <w:b/>
      <w:bCs/>
      <w:sz w:val="20"/>
      <w:szCs w:val="20"/>
    </w:rPr>
  </w:style>
  <w:style w:type="paragraph" w:styleId="TJ1">
    <w:name w:val="toc 1"/>
    <w:basedOn w:val="Norml"/>
    <w:next w:val="Norml"/>
    <w:autoRedefine/>
    <w:uiPriority w:val="39"/>
    <w:semiHidden/>
    <w:unhideWhenUsed/>
    <w:rsid w:val="0003148D"/>
    <w:pPr>
      <w:spacing w:after="100"/>
    </w:pPr>
  </w:style>
  <w:style w:type="paragraph" w:styleId="TJ2">
    <w:name w:val="toc 2"/>
    <w:basedOn w:val="Norml"/>
    <w:next w:val="Norml"/>
    <w:autoRedefine/>
    <w:uiPriority w:val="39"/>
    <w:semiHidden/>
    <w:unhideWhenUsed/>
    <w:rsid w:val="0003148D"/>
    <w:pPr>
      <w:spacing w:after="100"/>
      <w:ind w:left="220"/>
    </w:pPr>
  </w:style>
  <w:style w:type="paragraph" w:styleId="TJ3">
    <w:name w:val="toc 3"/>
    <w:basedOn w:val="Norml"/>
    <w:next w:val="Norml"/>
    <w:autoRedefine/>
    <w:uiPriority w:val="39"/>
    <w:semiHidden/>
    <w:unhideWhenUsed/>
    <w:rsid w:val="0003148D"/>
    <w:pPr>
      <w:spacing w:after="100"/>
      <w:ind w:left="440"/>
    </w:pPr>
  </w:style>
  <w:style w:type="paragraph" w:styleId="TJ4">
    <w:name w:val="toc 4"/>
    <w:basedOn w:val="Norml"/>
    <w:next w:val="Norml"/>
    <w:autoRedefine/>
    <w:uiPriority w:val="39"/>
    <w:semiHidden/>
    <w:unhideWhenUsed/>
    <w:rsid w:val="0003148D"/>
    <w:pPr>
      <w:spacing w:after="100"/>
      <w:ind w:left="660"/>
    </w:pPr>
  </w:style>
  <w:style w:type="paragraph" w:styleId="TJ5">
    <w:name w:val="toc 5"/>
    <w:basedOn w:val="Norml"/>
    <w:next w:val="Norml"/>
    <w:autoRedefine/>
    <w:uiPriority w:val="39"/>
    <w:semiHidden/>
    <w:unhideWhenUsed/>
    <w:rsid w:val="0003148D"/>
    <w:pPr>
      <w:spacing w:after="100"/>
      <w:ind w:left="880"/>
    </w:pPr>
  </w:style>
  <w:style w:type="paragraph" w:styleId="TJ6">
    <w:name w:val="toc 6"/>
    <w:basedOn w:val="Norml"/>
    <w:next w:val="Norml"/>
    <w:autoRedefine/>
    <w:uiPriority w:val="39"/>
    <w:semiHidden/>
    <w:unhideWhenUsed/>
    <w:rsid w:val="0003148D"/>
    <w:pPr>
      <w:spacing w:after="100"/>
      <w:ind w:left="1100"/>
    </w:pPr>
  </w:style>
  <w:style w:type="paragraph" w:styleId="TJ7">
    <w:name w:val="toc 7"/>
    <w:basedOn w:val="Norml"/>
    <w:next w:val="Norml"/>
    <w:autoRedefine/>
    <w:uiPriority w:val="39"/>
    <w:semiHidden/>
    <w:unhideWhenUsed/>
    <w:rsid w:val="0003148D"/>
    <w:pPr>
      <w:spacing w:after="100"/>
      <w:ind w:left="1320"/>
    </w:pPr>
  </w:style>
  <w:style w:type="paragraph" w:styleId="TJ8">
    <w:name w:val="toc 8"/>
    <w:basedOn w:val="Norml"/>
    <w:next w:val="Norml"/>
    <w:autoRedefine/>
    <w:uiPriority w:val="39"/>
    <w:semiHidden/>
    <w:unhideWhenUsed/>
    <w:rsid w:val="0003148D"/>
    <w:pPr>
      <w:spacing w:after="100"/>
      <w:ind w:left="1540"/>
    </w:pPr>
  </w:style>
  <w:style w:type="paragraph" w:styleId="TJ9">
    <w:name w:val="toc 9"/>
    <w:basedOn w:val="Norml"/>
    <w:next w:val="Norml"/>
    <w:autoRedefine/>
    <w:uiPriority w:val="39"/>
    <w:semiHidden/>
    <w:unhideWhenUsed/>
    <w:rsid w:val="0003148D"/>
    <w:pPr>
      <w:spacing w:after="100"/>
      <w:ind w:left="1760"/>
    </w:pPr>
  </w:style>
  <w:style w:type="paragraph" w:styleId="Szvegblokk">
    <w:name w:val="Block Text"/>
    <w:basedOn w:val="Norm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szvege">
    <w:name w:val="macro"/>
    <w:link w:val="Makrszvege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szvegeChar">
    <w:name w:val="Makró szövege Char"/>
    <w:basedOn w:val="Bekezdsalapbettpusa"/>
    <w:link w:val="Makrszvege"/>
    <w:uiPriority w:val="99"/>
    <w:semiHidden/>
    <w:rsid w:val="0003148D"/>
    <w:rPr>
      <w:rFonts w:ascii="Consolas" w:hAnsi="Consolas" w:cs="Consolas"/>
      <w:sz w:val="20"/>
      <w:szCs w:val="20"/>
    </w:rPr>
  </w:style>
  <w:style w:type="paragraph" w:styleId="Csakszveg">
    <w:name w:val="Plain Text"/>
    <w:basedOn w:val="Norml"/>
    <w:link w:val="CsakszvegChar"/>
    <w:uiPriority w:val="99"/>
    <w:semiHidden/>
    <w:unhideWhenUsed/>
    <w:rsid w:val="0003148D"/>
    <w:pPr>
      <w:spacing w:line="240" w:lineRule="auto"/>
    </w:pPr>
    <w:rPr>
      <w:rFonts w:ascii="Consolas" w:hAnsi="Consolas" w:cs="Consolas"/>
      <w:sz w:val="21"/>
      <w:szCs w:val="21"/>
    </w:rPr>
  </w:style>
  <w:style w:type="character" w:customStyle="1" w:styleId="CsakszvegChar">
    <w:name w:val="Csak szöveg Char"/>
    <w:basedOn w:val="Bekezdsalapbettpusa"/>
    <w:link w:val="Csakszveg"/>
    <w:uiPriority w:val="99"/>
    <w:semiHidden/>
    <w:rsid w:val="0003148D"/>
    <w:rPr>
      <w:rFonts w:ascii="Consolas" w:hAnsi="Consolas" w:cs="Consolas"/>
      <w:sz w:val="21"/>
      <w:szCs w:val="21"/>
    </w:rPr>
  </w:style>
  <w:style w:type="paragraph" w:styleId="Lbjegyzetszveg">
    <w:name w:val="footnote text"/>
    <w:basedOn w:val="Norml"/>
    <w:link w:val="LbjegyzetszvegChar"/>
    <w:uiPriority w:val="99"/>
    <w:semiHidden/>
    <w:unhideWhenUsed/>
    <w:rsid w:val="0003148D"/>
    <w:pPr>
      <w:spacing w:line="240" w:lineRule="auto"/>
    </w:pPr>
  </w:style>
  <w:style w:type="character" w:customStyle="1" w:styleId="LbjegyzetszvegChar">
    <w:name w:val="Lábjegyzetszöveg Char"/>
    <w:basedOn w:val="Bekezdsalapbettpusa"/>
    <w:link w:val="Lbjegyzetszveg"/>
    <w:uiPriority w:val="99"/>
    <w:semiHidden/>
    <w:rsid w:val="0003148D"/>
    <w:rPr>
      <w:sz w:val="20"/>
      <w:szCs w:val="20"/>
    </w:rPr>
  </w:style>
  <w:style w:type="paragraph" w:styleId="Vgjegyzetszvege">
    <w:name w:val="endnote text"/>
    <w:basedOn w:val="Norml"/>
    <w:link w:val="VgjegyzetszvegeChar"/>
    <w:uiPriority w:val="99"/>
    <w:semiHidden/>
    <w:unhideWhenUsed/>
    <w:rsid w:val="0003148D"/>
    <w:pPr>
      <w:spacing w:line="240" w:lineRule="auto"/>
    </w:pPr>
  </w:style>
  <w:style w:type="character" w:customStyle="1" w:styleId="VgjegyzetszvegeChar">
    <w:name w:val="Végjegyzet szövege Char"/>
    <w:basedOn w:val="Bekezdsalapbettpusa"/>
    <w:link w:val="Vgjegyzetszvege"/>
    <w:uiPriority w:val="99"/>
    <w:semiHidden/>
    <w:rsid w:val="0003148D"/>
    <w:rPr>
      <w:sz w:val="20"/>
      <w:szCs w:val="20"/>
    </w:rPr>
  </w:style>
  <w:style w:type="character" w:customStyle="1" w:styleId="Cmsor1Char">
    <w:name w:val="Címsor 1 Char"/>
    <w:basedOn w:val="Bekezdsalapbettpusa"/>
    <w:link w:val="Cmsor1"/>
    <w:uiPriority w:val="9"/>
    <w:rsid w:val="004F5E36"/>
    <w:rPr>
      <w:rFonts w:ascii="Arial" w:eastAsia="Times New Roman" w:hAnsi="Arial" w:cs="Times New Roman"/>
      <w:b/>
      <w:sz w:val="20"/>
      <w:szCs w:val="20"/>
      <w:lang w:val="en-GB"/>
    </w:rPr>
  </w:style>
  <w:style w:type="character" w:customStyle="1" w:styleId="Cmsor2Char">
    <w:name w:val="Címsor 2 Char"/>
    <w:basedOn w:val="Bekezdsalapbettpusa"/>
    <w:link w:val="Cmsor2"/>
    <w:uiPriority w:val="9"/>
    <w:semiHidden/>
    <w:rsid w:val="0003148D"/>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uiPriority w:val="9"/>
    <w:semiHidden/>
    <w:rsid w:val="0003148D"/>
    <w:rPr>
      <w:rFonts w:asciiTheme="majorHAnsi" w:eastAsiaTheme="majorEastAsia" w:hAnsiTheme="majorHAnsi" w:cstheme="majorBidi"/>
      <w:b/>
      <w:bCs/>
      <w:color w:val="4F81BD" w:themeColor="accent1"/>
    </w:rPr>
  </w:style>
  <w:style w:type="character" w:customStyle="1" w:styleId="Cmsor4Char">
    <w:name w:val="Címsor 4 Char"/>
    <w:basedOn w:val="Bekezdsalapbettpusa"/>
    <w:link w:val="Cmsor4"/>
    <w:uiPriority w:val="9"/>
    <w:semiHidden/>
    <w:rsid w:val="0003148D"/>
    <w:rPr>
      <w:rFonts w:asciiTheme="majorHAnsi" w:eastAsiaTheme="majorEastAsia" w:hAnsiTheme="majorHAnsi" w:cstheme="majorBidi"/>
      <w:b/>
      <w:bCs/>
      <w:i/>
      <w:iCs/>
      <w:color w:val="4F81BD" w:themeColor="accent1"/>
    </w:rPr>
  </w:style>
  <w:style w:type="character" w:customStyle="1" w:styleId="Cmsor5Char">
    <w:name w:val="Címsor 5 Char"/>
    <w:basedOn w:val="Bekezdsalapbettpusa"/>
    <w:link w:val="Cmsor5"/>
    <w:uiPriority w:val="9"/>
    <w:semiHidden/>
    <w:rsid w:val="0003148D"/>
    <w:rPr>
      <w:rFonts w:asciiTheme="majorHAnsi" w:eastAsiaTheme="majorEastAsia" w:hAnsiTheme="majorHAnsi" w:cstheme="majorBidi"/>
      <w:color w:val="243F60" w:themeColor="accent1" w:themeShade="7F"/>
    </w:rPr>
  </w:style>
  <w:style w:type="character" w:customStyle="1" w:styleId="Cmsor6Char">
    <w:name w:val="Címsor 6 Char"/>
    <w:basedOn w:val="Bekezdsalapbettpusa"/>
    <w:link w:val="Cmsor6"/>
    <w:uiPriority w:val="9"/>
    <w:semiHidden/>
    <w:rsid w:val="0003148D"/>
    <w:rPr>
      <w:rFonts w:asciiTheme="majorHAnsi" w:eastAsiaTheme="majorEastAsia" w:hAnsiTheme="majorHAnsi" w:cstheme="majorBidi"/>
      <w:i/>
      <w:iCs/>
      <w:color w:val="243F60" w:themeColor="accent1" w:themeShade="7F"/>
    </w:rPr>
  </w:style>
  <w:style w:type="character" w:customStyle="1" w:styleId="Cmsor7Char">
    <w:name w:val="Címsor 7 Char"/>
    <w:basedOn w:val="Bekezdsalapbettpusa"/>
    <w:link w:val="Cmsor7"/>
    <w:uiPriority w:val="9"/>
    <w:semiHidden/>
    <w:rsid w:val="0003148D"/>
    <w:rPr>
      <w:rFonts w:asciiTheme="majorHAnsi" w:eastAsiaTheme="majorEastAsia" w:hAnsiTheme="majorHAnsi" w:cstheme="majorBidi"/>
      <w:i/>
      <w:iCs/>
      <w:color w:val="404040" w:themeColor="text1" w:themeTint="BF"/>
    </w:rPr>
  </w:style>
  <w:style w:type="character" w:customStyle="1" w:styleId="Cmsor8Char">
    <w:name w:val="Címsor 8 Char"/>
    <w:basedOn w:val="Bekezdsalapbettpusa"/>
    <w:link w:val="Cmsor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Cmsor9Char">
    <w:name w:val="Címsor 9 Char"/>
    <w:basedOn w:val="Bekezdsalapbettpusa"/>
    <w:link w:val="Cmsor9"/>
    <w:uiPriority w:val="9"/>
    <w:semiHidden/>
    <w:rsid w:val="0003148D"/>
    <w:rPr>
      <w:rFonts w:asciiTheme="majorHAnsi" w:eastAsiaTheme="majorEastAsia" w:hAnsiTheme="majorHAnsi" w:cstheme="majorBidi"/>
      <w:i/>
      <w:iCs/>
      <w:color w:val="404040" w:themeColor="text1" w:themeTint="BF"/>
      <w:sz w:val="20"/>
      <w:szCs w:val="20"/>
    </w:rPr>
  </w:style>
  <w:style w:type="paragraph" w:styleId="Trgymutatcm">
    <w:name w:val="index heading"/>
    <w:basedOn w:val="Norml"/>
    <w:next w:val="Trgymutat1"/>
    <w:uiPriority w:val="99"/>
    <w:semiHidden/>
    <w:unhideWhenUsed/>
    <w:rsid w:val="0003148D"/>
    <w:rPr>
      <w:rFonts w:asciiTheme="majorHAnsi" w:eastAsiaTheme="majorEastAsia" w:hAnsiTheme="majorHAnsi" w:cstheme="majorBidi"/>
      <w:b/>
      <w:bCs/>
    </w:rPr>
  </w:style>
  <w:style w:type="paragraph" w:styleId="Hivatkozsjegyzk-fej">
    <w:name w:val="toa heading"/>
    <w:basedOn w:val="Norml"/>
    <w:next w:val="Norml"/>
    <w:uiPriority w:val="99"/>
    <w:semiHidden/>
    <w:unhideWhenUsed/>
    <w:rsid w:val="0003148D"/>
    <w:pPr>
      <w:spacing w:before="120"/>
    </w:pPr>
    <w:rPr>
      <w:rFonts w:asciiTheme="majorHAnsi" w:eastAsiaTheme="majorEastAsia" w:hAnsiTheme="majorHAnsi" w:cstheme="majorBidi"/>
      <w:b/>
      <w:bCs/>
      <w:sz w:val="24"/>
      <w:szCs w:val="24"/>
    </w:rPr>
  </w:style>
  <w:style w:type="paragraph" w:styleId="Tartalomjegyzkcmsora">
    <w:name w:val="TOC Heading"/>
    <w:basedOn w:val="Cmsor1"/>
    <w:next w:val="Norm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Bekezdsalapbettpusa"/>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lfej">
    <w:name w:val="header"/>
    <w:basedOn w:val="Norml"/>
    <w:link w:val="lfejChar"/>
    <w:uiPriority w:val="99"/>
    <w:unhideWhenUsed/>
    <w:rsid w:val="005278B7"/>
    <w:pPr>
      <w:tabs>
        <w:tab w:val="clear" w:pos="7100"/>
        <w:tab w:val="center" w:pos="4819"/>
        <w:tab w:val="right" w:pos="9638"/>
      </w:tabs>
      <w:spacing w:line="240" w:lineRule="auto"/>
    </w:pPr>
  </w:style>
  <w:style w:type="character" w:customStyle="1" w:styleId="lfejChar">
    <w:name w:val="Élőfej Char"/>
    <w:basedOn w:val="Bekezdsalapbettpusa"/>
    <w:link w:val="lfej"/>
    <w:uiPriority w:val="99"/>
    <w:rsid w:val="005278B7"/>
    <w:rPr>
      <w:rFonts w:ascii="Arial" w:eastAsia="Times New Roman" w:hAnsi="Arial" w:cs="Times New Roman"/>
      <w:sz w:val="18"/>
      <w:szCs w:val="20"/>
      <w:lang w:val="en-GB"/>
    </w:rPr>
  </w:style>
  <w:style w:type="paragraph" w:styleId="llb">
    <w:name w:val="footer"/>
    <w:basedOn w:val="Norml"/>
    <w:link w:val="llbChar"/>
    <w:uiPriority w:val="99"/>
    <w:unhideWhenUsed/>
    <w:rsid w:val="005278B7"/>
    <w:pPr>
      <w:tabs>
        <w:tab w:val="clear" w:pos="7100"/>
        <w:tab w:val="center" w:pos="4819"/>
        <w:tab w:val="right" w:pos="9638"/>
      </w:tabs>
      <w:spacing w:line="240" w:lineRule="auto"/>
    </w:pPr>
  </w:style>
  <w:style w:type="character" w:customStyle="1" w:styleId="llbChar">
    <w:name w:val="Élőláb Char"/>
    <w:basedOn w:val="Bekezdsalapbettpusa"/>
    <w:link w:val="llb"/>
    <w:uiPriority w:val="99"/>
    <w:rsid w:val="005278B7"/>
    <w:rPr>
      <w:rFonts w:ascii="Arial" w:eastAsia="Times New Roman" w:hAnsi="Arial" w:cs="Times New Roman"/>
      <w:sz w:val="18"/>
      <w:szCs w:val="20"/>
      <w:lang w:val="en-GB"/>
    </w:rPr>
  </w:style>
  <w:style w:type="table" w:styleId="Rcsostblzat">
    <w:name w:val="Table Grid"/>
    <w:basedOn w:val="Normltblzat"/>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904C62"/>
    <w:rPr>
      <w:color w:val="0000FF" w:themeColor="hyperlink"/>
      <w:u w:val="single"/>
    </w:rPr>
  </w:style>
  <w:style w:type="character" w:customStyle="1" w:styleId="eudoraheader">
    <w:name w:val="eudoraheader"/>
    <w:basedOn w:val="Bekezdsalapbettpusa"/>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aszerbekezds">
    <w:name w:val="List Paragraph"/>
    <w:basedOn w:val="Norml"/>
    <w:uiPriority w:val="34"/>
    <w:rsid w:val="00280FAF"/>
    <w:pPr>
      <w:ind w:left="720"/>
      <w:contextualSpacing/>
    </w:pPr>
  </w:style>
  <w:style w:type="character" w:customStyle="1" w:styleId="gmail-apple-converted-space">
    <w:name w:val="gmail-apple-converted-space"/>
    <w:basedOn w:val="Bekezdsalapbettpusa"/>
    <w:rsid w:val="00005A19"/>
  </w:style>
  <w:style w:type="character" w:styleId="Feloldatlanmegemlts">
    <w:name w:val="Unresolved Mention"/>
    <w:basedOn w:val="Bekezdsalapbettpusa"/>
    <w:uiPriority w:val="99"/>
    <w:semiHidden/>
    <w:unhideWhenUsed/>
    <w:rsid w:val="00D461AF"/>
    <w:rPr>
      <w:color w:val="605E5C"/>
      <w:shd w:val="clear" w:color="auto" w:fill="E1DFDD"/>
    </w:rPr>
  </w:style>
  <w:style w:type="paragraph" w:customStyle="1" w:styleId="Default">
    <w:name w:val="Default"/>
    <w:rsid w:val="004369E7"/>
    <w:pPr>
      <w:autoSpaceDE w:val="0"/>
      <w:autoSpaceDN w:val="0"/>
      <w:adjustRightInd w:val="0"/>
      <w:spacing w:after="0" w:line="240" w:lineRule="auto"/>
    </w:pPr>
    <w:rPr>
      <w:rFonts w:ascii="Arial" w:hAnsi="Arial" w:cs="Arial"/>
      <w:color w:val="000000"/>
      <w:sz w:val="24"/>
      <w:szCs w:val="24"/>
      <w:lang w:val="hu-HU"/>
    </w:rPr>
  </w:style>
  <w:style w:type="paragraph" w:styleId="Vltozat">
    <w:name w:val="Revision"/>
    <w:hidden/>
    <w:uiPriority w:val="99"/>
    <w:semiHidden/>
    <w:rsid w:val="00D4712D"/>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43020">
      <w:bodyDiv w:val="1"/>
      <w:marLeft w:val="0"/>
      <w:marRight w:val="0"/>
      <w:marTop w:val="0"/>
      <w:marBottom w:val="0"/>
      <w:divBdr>
        <w:top w:val="none" w:sz="0" w:space="0" w:color="auto"/>
        <w:left w:val="none" w:sz="0" w:space="0" w:color="auto"/>
        <w:bottom w:val="none" w:sz="0" w:space="0" w:color="auto"/>
        <w:right w:val="none" w:sz="0" w:space="0" w:color="auto"/>
      </w:divBdr>
    </w:div>
    <w:div w:id="386532942">
      <w:bodyDiv w:val="1"/>
      <w:marLeft w:val="0"/>
      <w:marRight w:val="0"/>
      <w:marTop w:val="0"/>
      <w:marBottom w:val="0"/>
      <w:divBdr>
        <w:top w:val="none" w:sz="0" w:space="0" w:color="auto"/>
        <w:left w:val="none" w:sz="0" w:space="0" w:color="auto"/>
        <w:bottom w:val="none" w:sz="0" w:space="0" w:color="auto"/>
        <w:right w:val="none" w:sz="0" w:space="0" w:color="auto"/>
      </w:divBdr>
    </w:div>
    <w:div w:id="753432689">
      <w:bodyDiv w:val="1"/>
      <w:marLeft w:val="0"/>
      <w:marRight w:val="0"/>
      <w:marTop w:val="0"/>
      <w:marBottom w:val="0"/>
      <w:divBdr>
        <w:top w:val="none" w:sz="0" w:space="0" w:color="auto"/>
        <w:left w:val="none" w:sz="0" w:space="0" w:color="auto"/>
        <w:bottom w:val="none" w:sz="0" w:space="0" w:color="auto"/>
        <w:right w:val="none" w:sz="0" w:space="0" w:color="auto"/>
      </w:divBdr>
      <w:divsChild>
        <w:div w:id="1297956312">
          <w:marLeft w:val="1800"/>
          <w:marRight w:val="0"/>
          <w:marTop w:val="100"/>
          <w:marBottom w:val="0"/>
          <w:divBdr>
            <w:top w:val="none" w:sz="0" w:space="0" w:color="auto"/>
            <w:left w:val="none" w:sz="0" w:space="0" w:color="auto"/>
            <w:bottom w:val="none" w:sz="0" w:space="0" w:color="auto"/>
            <w:right w:val="none" w:sz="0" w:space="0" w:color="auto"/>
          </w:divBdr>
        </w:div>
        <w:div w:id="118762314">
          <w:marLeft w:val="1800"/>
          <w:marRight w:val="0"/>
          <w:marTop w:val="100"/>
          <w:marBottom w:val="0"/>
          <w:divBdr>
            <w:top w:val="none" w:sz="0" w:space="0" w:color="auto"/>
            <w:left w:val="none" w:sz="0" w:space="0" w:color="auto"/>
            <w:bottom w:val="none" w:sz="0" w:space="0" w:color="auto"/>
            <w:right w:val="none" w:sz="0" w:space="0" w:color="auto"/>
          </w:divBdr>
        </w:div>
        <w:div w:id="518156872">
          <w:marLeft w:val="1800"/>
          <w:marRight w:val="0"/>
          <w:marTop w:val="100"/>
          <w:marBottom w:val="0"/>
          <w:divBdr>
            <w:top w:val="none" w:sz="0" w:space="0" w:color="auto"/>
            <w:left w:val="none" w:sz="0" w:space="0" w:color="auto"/>
            <w:bottom w:val="none" w:sz="0" w:space="0" w:color="auto"/>
            <w:right w:val="none" w:sz="0" w:space="0" w:color="auto"/>
          </w:divBdr>
        </w:div>
        <w:div w:id="127162465">
          <w:marLeft w:val="1800"/>
          <w:marRight w:val="0"/>
          <w:marTop w:val="100"/>
          <w:marBottom w:val="0"/>
          <w:divBdr>
            <w:top w:val="none" w:sz="0" w:space="0" w:color="auto"/>
            <w:left w:val="none" w:sz="0" w:space="0" w:color="auto"/>
            <w:bottom w:val="none" w:sz="0" w:space="0" w:color="auto"/>
            <w:right w:val="none" w:sz="0" w:space="0" w:color="auto"/>
          </w:divBdr>
        </w:div>
        <w:div w:id="1476407667">
          <w:marLeft w:val="1800"/>
          <w:marRight w:val="0"/>
          <w:marTop w:val="10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41361">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821191227">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znagy@phd.uni-pannon.h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2463</Words>
  <Characters>17002</Characters>
  <Application>Microsoft Office Word</Application>
  <DocSecurity>0</DocSecurity>
  <Lines>141</Lines>
  <Paragraphs>38</Paragraphs>
  <ScaleCrop>false</ScaleCrop>
  <HeadingPairs>
    <vt:vector size="6" baseType="variant">
      <vt:variant>
        <vt:lpstr>Cím</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57Nagy</dc:title>
  <dc:creator>raffaella</dc:creator>
  <cp:lastModifiedBy>Nagy Gábor Zoltán (MOL-LUB Kft.)</cp:lastModifiedBy>
  <cp:revision>6</cp:revision>
  <cp:lastPrinted>2015-05-12T18:31:00Z</cp:lastPrinted>
  <dcterms:created xsi:type="dcterms:W3CDTF">2025-05-05T09:35:00Z</dcterms:created>
  <dcterms:modified xsi:type="dcterms:W3CDTF">2025-05-05T09:42:00Z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