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01139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01139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011398">
        <w:trPr>
          <w:trHeight w:val="68"/>
          <w:jc w:val="center"/>
        </w:trPr>
        <w:tc>
          <w:tcPr>
            <w:tcW w:w="8782" w:type="dxa"/>
            <w:gridSpan w:val="2"/>
          </w:tcPr>
          <w:p w14:paraId="30F07041" w14:textId="1B068751"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BB53F9">
              <w:rPr>
                <w:rFonts w:ascii="Tahoma" w:hAnsi="Tahoma" w:cs="Tahoma"/>
                <w:color w:val="000000"/>
                <w:sz w:val="14"/>
                <w:szCs w:val="14"/>
                <w:shd w:val="clear" w:color="auto" w:fill="FFFFFF"/>
                <w:lang w:val="it-IT"/>
              </w:rPr>
              <w:t xml:space="preserve">David </w:t>
            </w:r>
            <w:proofErr w:type="spellStart"/>
            <w:r w:rsidR="00BB53F9">
              <w:rPr>
                <w:rFonts w:ascii="Tahoma" w:hAnsi="Tahoma" w:cs="Tahoma"/>
                <w:color w:val="000000"/>
                <w:sz w:val="14"/>
                <w:szCs w:val="14"/>
                <w:shd w:val="clear" w:color="auto" w:fill="FFFFFF"/>
                <w:lang w:val="it-IT"/>
              </w:rPr>
              <w:t>Bogle</w:t>
            </w:r>
            <w:proofErr w:type="spellEnd"/>
            <w:r w:rsidR="00BB53F9">
              <w:rPr>
                <w:rFonts w:ascii="Tahoma" w:hAnsi="Tahoma" w:cs="Tahoma"/>
                <w:color w:val="000000"/>
                <w:sz w:val="14"/>
                <w:szCs w:val="14"/>
                <w:shd w:val="clear" w:color="auto" w:fill="FFFFFF"/>
                <w:lang w:val="it-IT"/>
              </w:rPr>
              <w:t>, Flavio Manenti, Piero Salatino</w:t>
            </w:r>
          </w:p>
          <w:p w14:paraId="1B0F1814" w14:textId="38C327A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EE1ABF">
              <w:rPr>
                <w:rFonts w:ascii="Tahoma" w:hAnsi="Tahoma" w:cs="Tahoma"/>
                <w:sz w:val="14"/>
                <w:szCs w:val="14"/>
              </w:rPr>
              <w:t>21</w:t>
            </w:r>
            <w:r w:rsidR="00F27EE4">
              <w:rPr>
                <w:rFonts w:ascii="Tahoma" w:hAnsi="Tahoma" w:cs="Tahoma"/>
                <w:sz w:val="14"/>
                <w:szCs w:val="14"/>
              </w:rPr>
              <w:t>-</w:t>
            </w:r>
            <w:r w:rsidR="00EE1ABF">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5621BD35" w14:textId="77777777" w:rsidR="00011398" w:rsidRPr="00011398" w:rsidRDefault="00011398" w:rsidP="00011398">
      <w:pPr>
        <w:keepNext/>
        <w:tabs>
          <w:tab w:val="clear" w:pos="7100"/>
        </w:tabs>
        <w:suppressAutoHyphens/>
        <w:spacing w:after="120" w:line="276" w:lineRule="auto"/>
        <w:contextualSpacing/>
        <w:jc w:val="center"/>
        <w:rPr>
          <w:rFonts w:eastAsia="MS PGothic"/>
          <w:sz w:val="32"/>
        </w:rPr>
      </w:pPr>
      <w:r w:rsidRPr="00011398">
        <w:rPr>
          <w:rFonts w:eastAsia="MS PGothic"/>
          <w:sz w:val="32"/>
        </w:rPr>
        <w:t>Evaluation of ammonia cracking catalysts far from optimal conditions for application in energy systems</w:t>
      </w:r>
    </w:p>
    <w:p w14:paraId="0488FED2" w14:textId="695DA5F5" w:rsidR="00B57E6F" w:rsidRPr="002B1932" w:rsidRDefault="00011398" w:rsidP="00B57E6F">
      <w:pPr>
        <w:pStyle w:val="CETAuthors"/>
        <w:rPr>
          <w:lang w:val="it-IT"/>
        </w:rPr>
      </w:pPr>
      <w:r>
        <w:rPr>
          <w:lang w:val="it-IT"/>
        </w:rPr>
        <w:t>Chiara Anfosso</w:t>
      </w:r>
      <w:r w:rsidR="00EE1ABF">
        <w:rPr>
          <w:vertAlign w:val="superscript"/>
          <w:lang w:val="it-IT"/>
        </w:rPr>
        <w:t>a</w:t>
      </w:r>
      <w:r>
        <w:rPr>
          <w:lang w:val="it-IT"/>
        </w:rPr>
        <w:t>, Antonio Barbucci</w:t>
      </w:r>
      <w:r w:rsidR="00EE1ABF">
        <w:rPr>
          <w:vertAlign w:val="superscript"/>
          <w:lang w:val="it-IT"/>
        </w:rPr>
        <w:t>b</w:t>
      </w:r>
      <w:r>
        <w:rPr>
          <w:lang w:val="it-IT"/>
        </w:rPr>
        <w:t>, Davide Clematis</w:t>
      </w:r>
      <w:r w:rsidR="00EE1ABF">
        <w:rPr>
          <w:vertAlign w:val="superscript"/>
          <w:lang w:val="it-IT"/>
        </w:rPr>
        <w:t>b</w:t>
      </w:r>
      <w:r>
        <w:rPr>
          <w:lang w:val="it-IT"/>
        </w:rPr>
        <w:t>*, Daria Bellotti</w:t>
      </w:r>
      <w:r w:rsidR="00EE1ABF">
        <w:rPr>
          <w:vertAlign w:val="superscript"/>
          <w:lang w:val="it-IT"/>
        </w:rPr>
        <w:t>a</w:t>
      </w:r>
    </w:p>
    <w:p w14:paraId="474420F3" w14:textId="55D98899" w:rsidR="004368DC" w:rsidRPr="004368DC" w:rsidRDefault="00EE1ABF" w:rsidP="002B1932">
      <w:pPr>
        <w:rPr>
          <w:lang w:val="it-IT"/>
        </w:rPr>
      </w:pPr>
      <w:proofErr w:type="spellStart"/>
      <w:r>
        <w:rPr>
          <w:vertAlign w:val="superscript"/>
          <w:lang w:val="it-IT"/>
        </w:rPr>
        <w:t>a</w:t>
      </w:r>
      <w:r w:rsidR="004368DC" w:rsidRPr="004368DC">
        <w:rPr>
          <w:lang w:val="it-IT"/>
        </w:rPr>
        <w:t>TPG</w:t>
      </w:r>
      <w:proofErr w:type="spellEnd"/>
      <w:r w:rsidR="004368DC" w:rsidRPr="004368DC">
        <w:rPr>
          <w:lang w:val="it-IT"/>
        </w:rPr>
        <w:t xml:space="preserve"> – </w:t>
      </w:r>
      <w:proofErr w:type="spellStart"/>
      <w:r w:rsidR="004368DC" w:rsidRPr="004368DC">
        <w:rPr>
          <w:lang w:val="it-IT"/>
        </w:rPr>
        <w:t>Thermochemical</w:t>
      </w:r>
      <w:proofErr w:type="spellEnd"/>
      <w:r w:rsidR="004368DC" w:rsidRPr="004368DC">
        <w:rPr>
          <w:lang w:val="it-IT"/>
        </w:rPr>
        <w:t xml:space="preserve"> Power Group, Dipartimento di Ma</w:t>
      </w:r>
      <w:r w:rsidR="004368DC">
        <w:rPr>
          <w:lang w:val="it-IT"/>
        </w:rPr>
        <w:t xml:space="preserve">cchine Sistemi Energetici e Trasporti, University of Genoa, Via Montallegro 1, 16145 Genova, </w:t>
      </w:r>
      <w:proofErr w:type="spellStart"/>
      <w:r w:rsidR="004368DC">
        <w:rPr>
          <w:lang w:val="it-IT"/>
        </w:rPr>
        <w:t>Italy</w:t>
      </w:r>
      <w:proofErr w:type="spellEnd"/>
    </w:p>
    <w:p w14:paraId="46A7266B" w14:textId="402A9049" w:rsidR="002B1932" w:rsidRDefault="00EE1ABF" w:rsidP="002B1932">
      <w:proofErr w:type="spellStart"/>
      <w:r>
        <w:rPr>
          <w:vertAlign w:val="superscript"/>
        </w:rPr>
        <w:t>b</w:t>
      </w:r>
      <w:r w:rsidR="002B1932" w:rsidRPr="00792A44">
        <w:t>DICCA</w:t>
      </w:r>
      <w:proofErr w:type="spellEnd"/>
      <w:r w:rsidR="002B1932" w:rsidRPr="00792A44">
        <w:t xml:space="preserve"> –</w:t>
      </w:r>
      <w:r w:rsidR="004368DC">
        <w:t xml:space="preserve"> Department of</w:t>
      </w:r>
      <w:r w:rsidR="002B1932" w:rsidRPr="00792A44">
        <w:t xml:space="preserve"> Civil, Chemical and Environmental Engineering</w:t>
      </w:r>
      <w:r w:rsidR="002D020B">
        <w:t>,</w:t>
      </w:r>
      <w:r w:rsidR="004368DC">
        <w:t xml:space="preserve"> </w:t>
      </w:r>
      <w:r w:rsidR="002B1932" w:rsidRPr="00792A44">
        <w:t>University</w:t>
      </w:r>
      <w:r w:rsidR="004368DC">
        <w:t xml:space="preserve"> of Genoa</w:t>
      </w:r>
      <w:r w:rsidR="002B1932" w:rsidRPr="00792A44">
        <w:t>, Via Opera Pia, 15 – 16145 Genova, Italy</w:t>
      </w:r>
    </w:p>
    <w:p w14:paraId="43599FE6" w14:textId="7E931BCB" w:rsidR="002B1932" w:rsidRDefault="00E3723B" w:rsidP="00454DB3">
      <w:pPr>
        <w:spacing w:after="240"/>
        <w:rPr>
          <w:lang w:val="en-US"/>
        </w:rPr>
      </w:pPr>
      <w:r>
        <w:t>davide.clematis@unige.it</w:t>
      </w:r>
    </w:p>
    <w:p w14:paraId="75F0FC4F" w14:textId="77777777" w:rsidR="007541C4" w:rsidRPr="000A7478" w:rsidRDefault="007541C4" w:rsidP="007541C4">
      <w:pPr>
        <w:spacing w:after="240"/>
        <w:rPr>
          <w:lang w:val="en-US"/>
        </w:rPr>
      </w:pPr>
      <w:r w:rsidRPr="007B4EF2">
        <w:rPr>
          <w:lang w:val="en-US"/>
        </w:rPr>
        <w:t>Ammonia cracking is a promising method for carbon-free hydrogen production, crucial for sustainable energy applications. This study investigates the catalytic performance of two commercially available catalysts—ruthenium-based (3% wt. Ru/</w:t>
      </w:r>
      <w:proofErr w:type="spellStart"/>
      <w:r w:rsidRPr="007B4EF2">
        <w:rPr>
          <w:lang w:val="en-US"/>
        </w:rPr>
        <w:t>Al</w:t>
      </w:r>
      <w:r w:rsidRPr="007B4EF2">
        <w:rPr>
          <w:rFonts w:ascii="Cambria Math" w:hAnsi="Cambria Math" w:cs="Cambria Math"/>
          <w:lang w:val="en-US"/>
        </w:rPr>
        <w:t>₂</w:t>
      </w:r>
      <w:r w:rsidRPr="007B4EF2">
        <w:rPr>
          <w:lang w:val="en-US"/>
        </w:rPr>
        <w:t>O</w:t>
      </w:r>
      <w:proofErr w:type="spellEnd"/>
      <w:r w:rsidRPr="007B4EF2">
        <w:rPr>
          <w:rFonts w:ascii="Cambria Math" w:hAnsi="Cambria Math" w:cs="Cambria Math"/>
          <w:lang w:val="en-US"/>
        </w:rPr>
        <w:t>₃</w:t>
      </w:r>
      <w:r w:rsidRPr="007B4EF2">
        <w:rPr>
          <w:lang w:val="en-US"/>
        </w:rPr>
        <w:t>) and nickel-based (20% wt. Ni/</w:t>
      </w:r>
      <w:proofErr w:type="spellStart"/>
      <w:r w:rsidRPr="007B4EF2">
        <w:rPr>
          <w:lang w:val="en-US"/>
        </w:rPr>
        <w:t>Al</w:t>
      </w:r>
      <w:r w:rsidRPr="007B4EF2">
        <w:rPr>
          <w:rFonts w:ascii="Cambria Math" w:hAnsi="Cambria Math" w:cs="Cambria Math"/>
          <w:lang w:val="en-US"/>
        </w:rPr>
        <w:t>₂</w:t>
      </w:r>
      <w:r w:rsidRPr="007B4EF2">
        <w:rPr>
          <w:lang w:val="en-US"/>
        </w:rPr>
        <w:t>O</w:t>
      </w:r>
      <w:proofErr w:type="spellEnd"/>
      <w:r w:rsidRPr="007B4EF2">
        <w:rPr>
          <w:rFonts w:ascii="Cambria Math" w:hAnsi="Cambria Math" w:cs="Cambria Math"/>
          <w:lang w:val="en-US"/>
        </w:rPr>
        <w:t>₃</w:t>
      </w:r>
      <w:r w:rsidRPr="007B4EF2">
        <w:rPr>
          <w:lang w:val="en-US"/>
        </w:rPr>
        <w:t>)</w:t>
      </w:r>
      <w:r w:rsidRPr="007B4EF2">
        <w:rPr>
          <w:rFonts w:cs="Arial"/>
          <w:lang w:val="en-US"/>
        </w:rPr>
        <w:t>—</w:t>
      </w:r>
      <w:r w:rsidRPr="007B4EF2">
        <w:rPr>
          <w:lang w:val="en-US"/>
        </w:rPr>
        <w:t>under varying operational conditions to determine their efficiency and long-term stability. While ruthenium catalysts exhibit high intrinsic activity at lower temperatures, their performance is hindered under high-pressure conditions. Nickel catalysts, though requiring higher activation energy, demonstrate greater robustness and cost-effectiveness, making them viable for industrial applications.</w:t>
      </w:r>
      <w:r>
        <w:rPr>
          <w:lang w:val="en-US"/>
        </w:rPr>
        <w:t xml:space="preserve"> </w:t>
      </w:r>
      <w:r w:rsidRPr="007B4EF2">
        <w:rPr>
          <w:lang w:val="en-US"/>
        </w:rPr>
        <w:t>Unlike conventional plug flow reactor (PFR) studies, this research utilizes a batch reactor configuration to examine catalyst behavior, mass transfer limitations, and material degradation under extended reaction times. Experiments conducted between 450–650 °C and up to 9 barg provide insights into the impact of operating conditions on catalytic efficiency. A physically based model incorporating reaction kinetics and</w:t>
      </w:r>
      <w:r>
        <w:rPr>
          <w:lang w:val="en-US"/>
        </w:rPr>
        <w:t xml:space="preserve"> mass transport</w:t>
      </w:r>
      <w:r w:rsidRPr="007B4EF2">
        <w:rPr>
          <w:lang w:val="en-US"/>
        </w:rPr>
        <w:t xml:space="preserve"> phenomena further aids in interpreting the results.</w:t>
      </w:r>
      <w:r>
        <w:rPr>
          <w:lang w:val="en-US"/>
        </w:rPr>
        <w:t xml:space="preserve"> </w:t>
      </w:r>
      <w:r w:rsidRPr="007B4EF2">
        <w:rPr>
          <w:lang w:val="en-US"/>
        </w:rPr>
        <w:t>Findings indicate that Ru-based catalysts perform best at lower temperatures and pressures, while Ni-based catalysts exhibit superior performance under harsher conditions. These results contribute to optimizing ammonia cracking for industrial hydrogen production, emphasizing the importance of catalyst selection and reactor design in advancing hydrogen energy solutions.</w:t>
      </w:r>
    </w:p>
    <w:p w14:paraId="390C472E" w14:textId="77777777" w:rsidR="007541C4" w:rsidRDefault="007541C4" w:rsidP="007541C4">
      <w:pPr>
        <w:pStyle w:val="CETHeading1"/>
        <w:rPr>
          <w:lang w:val="en-GB"/>
        </w:rPr>
      </w:pPr>
      <w:r w:rsidRPr="00B57B36">
        <w:rPr>
          <w:lang w:val="en-GB"/>
        </w:rPr>
        <w:t>Introduction</w:t>
      </w:r>
      <w:r>
        <w:rPr>
          <w:lang w:val="en-GB"/>
        </w:rPr>
        <w:t xml:space="preserve"> </w:t>
      </w:r>
    </w:p>
    <w:p w14:paraId="27137984" w14:textId="77777777" w:rsidR="007541C4" w:rsidRPr="007B4EF2" w:rsidRDefault="007541C4" w:rsidP="007541C4">
      <w:pPr>
        <w:pStyle w:val="CETBodytext"/>
        <w:rPr>
          <w:lang w:val="en-GB"/>
        </w:rPr>
      </w:pPr>
      <w:r w:rsidRPr="007B4EF2">
        <w:rPr>
          <w:lang w:val="en-GB"/>
        </w:rPr>
        <w:t>The global transition toward sustainable energy systems necessitates efficient hydrogen production methods that minimize carbon emissions</w:t>
      </w:r>
      <w:r>
        <w:rPr>
          <w:lang w:val="en-GB"/>
        </w:rPr>
        <w:t xml:space="preserve"> (Osman et al., 2022)</w:t>
      </w:r>
      <w:r w:rsidRPr="007B4EF2">
        <w:rPr>
          <w:lang w:val="en-GB"/>
        </w:rPr>
        <w:t>. Ammonia cracking has emerged as a promising solution due to its ability to generate hydrogen in a carbon-free manner, making it highly relevant for applications in energy production, transportation, and industrial processes</w:t>
      </w:r>
      <w:r>
        <w:rPr>
          <w:lang w:val="en-GB"/>
        </w:rPr>
        <w:t xml:space="preserve"> (Clematis et al., 2023; Richard et al., 2024)</w:t>
      </w:r>
      <w:r w:rsidRPr="007B4EF2">
        <w:rPr>
          <w:lang w:val="en-GB"/>
        </w:rPr>
        <w:t>. However, the efficiency of ammonia decomposition heavily depends on the presence of effective catalysts that can facilitate the reaction under varying operational conditions</w:t>
      </w:r>
      <w:r>
        <w:rPr>
          <w:lang w:val="en-GB"/>
        </w:rPr>
        <w:t xml:space="preserve"> (Asif et al., 2023; </w:t>
      </w:r>
      <w:proofErr w:type="spellStart"/>
      <w:r>
        <w:rPr>
          <w:lang w:val="en-GB"/>
        </w:rPr>
        <w:t>Spatolisano</w:t>
      </w:r>
      <w:proofErr w:type="spellEnd"/>
      <w:r>
        <w:rPr>
          <w:lang w:val="en-GB"/>
        </w:rPr>
        <w:t xml:space="preserve"> et al., 2023)</w:t>
      </w:r>
      <w:r w:rsidRPr="007B4EF2">
        <w:rPr>
          <w:lang w:val="en-GB"/>
        </w:rPr>
        <w:t>. Given the increasing interest in scaling up ammonia cracking for industrial use, it is crucial to understand how catalysts perform under realistic process conditions, including elevated temperatures and pressures.</w:t>
      </w:r>
      <w:r>
        <w:rPr>
          <w:lang w:val="en-GB"/>
        </w:rPr>
        <w:t xml:space="preserve"> </w:t>
      </w:r>
    </w:p>
    <w:p w14:paraId="31299392" w14:textId="77777777" w:rsidR="007541C4" w:rsidRPr="007B4EF2" w:rsidRDefault="007541C4" w:rsidP="007541C4">
      <w:pPr>
        <w:pStyle w:val="CETBodytext"/>
        <w:rPr>
          <w:lang w:val="en-GB"/>
        </w:rPr>
      </w:pPr>
      <w:r w:rsidRPr="007B4EF2">
        <w:rPr>
          <w:lang w:val="en-GB"/>
        </w:rPr>
        <w:t xml:space="preserve">A key challenge in ammonia cracking lies in the reaction’s dependence on operating pressure. Thermodynamically, the decomposition of ammonia into hydrogen and nitrogen is </w:t>
      </w:r>
      <w:proofErr w:type="spellStart"/>
      <w:r w:rsidRPr="007B4EF2">
        <w:rPr>
          <w:lang w:val="en-GB"/>
        </w:rPr>
        <w:t>favored</w:t>
      </w:r>
      <w:proofErr w:type="spellEnd"/>
      <w:r w:rsidRPr="007B4EF2">
        <w:rPr>
          <w:lang w:val="en-GB"/>
        </w:rPr>
        <w:t xml:space="preserve"> at low pressure, yet many practical applications, such as gas turbines and fuel cells, require a pressurized hydrogen feed</w:t>
      </w:r>
      <w:r>
        <w:rPr>
          <w:lang w:val="en-GB"/>
        </w:rPr>
        <w:t xml:space="preserve"> (</w:t>
      </w:r>
      <w:proofErr w:type="spellStart"/>
      <w:r>
        <w:rPr>
          <w:lang w:val="en-GB"/>
        </w:rPr>
        <w:t>Su</w:t>
      </w:r>
      <w:proofErr w:type="spellEnd"/>
      <w:r>
        <w:rPr>
          <w:lang w:val="en-GB"/>
        </w:rPr>
        <w:t xml:space="preserve"> et al. 2023)</w:t>
      </w:r>
      <w:r w:rsidRPr="007B4EF2">
        <w:rPr>
          <w:lang w:val="en-GB"/>
        </w:rPr>
        <w:t>. This discrepancy poses significant challenges for integrating ammonia cracking into industrial hydrogen supply chains. As such, studying catalyst performance under conditions deviating from the thermodynamic optimum is essential for optimizing reactor design and ensuring process efficiency.</w:t>
      </w:r>
      <w:r>
        <w:rPr>
          <w:lang w:val="en-GB"/>
        </w:rPr>
        <w:t xml:space="preserve"> </w:t>
      </w:r>
      <w:r w:rsidRPr="007B4EF2">
        <w:rPr>
          <w:lang w:val="en-GB"/>
        </w:rPr>
        <w:t>Catalytic performance in ammonia cracking is influenced by several factors, including reaction kinetics, catalyst composition, and reactor configuration. Traditional approaches have primarily focused on plug flow reactors (PFRs), which allow for continuous operation and high conversion rates</w:t>
      </w:r>
      <w:r>
        <w:rPr>
          <w:lang w:val="en-GB"/>
        </w:rPr>
        <w:t xml:space="preserve"> (Di Carlo et al., 2014)</w:t>
      </w:r>
      <w:r w:rsidRPr="007B4EF2">
        <w:rPr>
          <w:lang w:val="en-GB"/>
        </w:rPr>
        <w:t xml:space="preserve">. However, batch reactors provide unique advantages for fundamental studies by offering greater control over reaction parameters, extended contact time between reactants and catalysts, and an ability to assess long-term stability. While batch configurations may </w:t>
      </w:r>
      <w:r w:rsidRPr="007B4EF2">
        <w:rPr>
          <w:lang w:val="en-GB"/>
        </w:rPr>
        <w:lastRenderedPageBreak/>
        <w:t>not always reflect industrial-scale conditions, they serve as valuable tools for investigating catalyst deactivation, mass transfer limitations, and material durability under varying operational stresses.</w:t>
      </w:r>
    </w:p>
    <w:p w14:paraId="230F20FB" w14:textId="77777777" w:rsidR="007541C4" w:rsidRPr="007B4EF2" w:rsidRDefault="007541C4" w:rsidP="007541C4">
      <w:pPr>
        <w:pStyle w:val="CETBodytext"/>
        <w:rPr>
          <w:lang w:val="en-GB"/>
        </w:rPr>
      </w:pPr>
      <w:r w:rsidRPr="007B4EF2">
        <w:rPr>
          <w:lang w:val="en-GB"/>
        </w:rPr>
        <w:t>This study investigates the performance of two commercially available catalysts</w:t>
      </w:r>
      <w:r>
        <w:rPr>
          <w:lang w:val="en-GB"/>
        </w:rPr>
        <w:t xml:space="preserve">, </w:t>
      </w:r>
      <w:r w:rsidRPr="007B4EF2">
        <w:rPr>
          <w:lang w:val="en-GB"/>
        </w:rPr>
        <w:t>ruthenium-based (3% wt. Ru/</w:t>
      </w:r>
      <w:proofErr w:type="spellStart"/>
      <w:r w:rsidRPr="007B4EF2">
        <w:rPr>
          <w:lang w:val="en-GB"/>
        </w:rPr>
        <w:t>Al</w:t>
      </w:r>
      <w:r w:rsidRPr="007B4EF2">
        <w:rPr>
          <w:rFonts w:ascii="Cambria Math" w:hAnsi="Cambria Math" w:cs="Cambria Math"/>
          <w:lang w:val="en-GB"/>
        </w:rPr>
        <w:t>₂</w:t>
      </w:r>
      <w:r w:rsidRPr="007B4EF2">
        <w:rPr>
          <w:lang w:val="en-GB"/>
        </w:rPr>
        <w:t>O</w:t>
      </w:r>
      <w:proofErr w:type="spellEnd"/>
      <w:r w:rsidRPr="007B4EF2">
        <w:rPr>
          <w:rFonts w:ascii="Cambria Math" w:hAnsi="Cambria Math" w:cs="Cambria Math"/>
          <w:lang w:val="en-GB"/>
        </w:rPr>
        <w:t>₃</w:t>
      </w:r>
      <w:r w:rsidRPr="007B4EF2">
        <w:rPr>
          <w:lang w:val="en-GB"/>
        </w:rPr>
        <w:t>) and nickel-based (20% wt. Ni/</w:t>
      </w:r>
      <w:proofErr w:type="spellStart"/>
      <w:r w:rsidRPr="007B4EF2">
        <w:rPr>
          <w:lang w:val="en-GB"/>
        </w:rPr>
        <w:t>Al</w:t>
      </w:r>
      <w:r w:rsidRPr="007B4EF2">
        <w:rPr>
          <w:rFonts w:ascii="Cambria Math" w:hAnsi="Cambria Math" w:cs="Cambria Math"/>
          <w:lang w:val="en-GB"/>
        </w:rPr>
        <w:t>₂</w:t>
      </w:r>
      <w:r w:rsidRPr="007B4EF2">
        <w:rPr>
          <w:lang w:val="en-GB"/>
        </w:rPr>
        <w:t>O</w:t>
      </w:r>
      <w:proofErr w:type="spellEnd"/>
      <w:r w:rsidRPr="007B4EF2">
        <w:rPr>
          <w:rFonts w:ascii="Cambria Math" w:hAnsi="Cambria Math" w:cs="Cambria Math"/>
          <w:lang w:val="en-GB"/>
        </w:rPr>
        <w:t>₃</w:t>
      </w:r>
      <w:r w:rsidRPr="007B4EF2">
        <w:rPr>
          <w:lang w:val="en-GB"/>
        </w:rPr>
        <w:t>)</w:t>
      </w:r>
      <w:r>
        <w:rPr>
          <w:rFonts w:cs="Arial"/>
          <w:lang w:val="en-GB"/>
        </w:rPr>
        <w:t xml:space="preserve">, </w:t>
      </w:r>
      <w:r w:rsidRPr="007B4EF2">
        <w:rPr>
          <w:lang w:val="en-GB"/>
        </w:rPr>
        <w:t>to determine their suitability for ammonia cracking under varied conditions. Ruthenium catalysts are known for their high intrinsic activity at relatively low temperatures, but their performance can degrade under high-pressure conditions. Conversely, nickel-based catalysts, though requiring higher activation energy, offer robustness and cost-effectiveness, making them attractive for large-scale applications. The comparative assessment of these catalysts provides a deeper understanding of their operational strengths and limitations.</w:t>
      </w:r>
      <w:r>
        <w:rPr>
          <w:lang w:val="en-GB"/>
        </w:rPr>
        <w:t xml:space="preserve"> </w:t>
      </w:r>
      <w:r w:rsidRPr="007B4EF2">
        <w:rPr>
          <w:lang w:val="en-GB"/>
        </w:rPr>
        <w:t xml:space="preserve">Unlike conventional studies that employ PFR configuration, this research utilizes a batch reactor setup to provide insights into catalyst </w:t>
      </w:r>
      <w:proofErr w:type="spellStart"/>
      <w:r w:rsidRPr="007B4EF2">
        <w:rPr>
          <w:lang w:val="en-GB"/>
        </w:rPr>
        <w:t>behavior</w:t>
      </w:r>
      <w:proofErr w:type="spellEnd"/>
      <w:r w:rsidRPr="007B4EF2">
        <w:rPr>
          <w:lang w:val="en-GB"/>
        </w:rPr>
        <w:t>, long-term stability, and material degradation. By examining catalyst activity across a temperature range of 450–650 °C and pressures up to 9 barg, this study aims to enhance the understanding of ammonia cracking catalysts and their potential for industrial-scale hydrogen production. Additionally, the impact of prolonged exposure to ammonia and hydrogen on catalyst microstructure</w:t>
      </w:r>
      <w:r>
        <w:rPr>
          <w:lang w:val="en-GB"/>
        </w:rPr>
        <w:t xml:space="preserve"> it has been considered</w:t>
      </w:r>
      <w:r w:rsidRPr="007B4EF2">
        <w:rPr>
          <w:lang w:val="en-GB"/>
        </w:rPr>
        <w:t>, shedding light on potential embrittlement and compositional changes that could affect performance over time.</w:t>
      </w:r>
      <w:r>
        <w:rPr>
          <w:lang w:val="en-GB"/>
        </w:rPr>
        <w:t xml:space="preserve"> </w:t>
      </w:r>
      <w:r w:rsidRPr="007B4EF2">
        <w:rPr>
          <w:lang w:val="en-GB"/>
        </w:rPr>
        <w:t xml:space="preserve">Furthermore, the study employs a physically based model tailored for batch reactors, incorporating diffusion and reaction phenomena to better interpret the experimental results. This approach ensures that key reaction mechanisms and mass transfer effects are adequately accounted for, allowing for a </w:t>
      </w:r>
      <w:r w:rsidRPr="00F620B2">
        <w:rPr>
          <w:lang w:val="en-GB"/>
        </w:rPr>
        <w:t>more comprehensive evaluation of catalyst efficiency and degradation trends. By integrating experimental data with modelling insights, the study contributes to the optimization of ammonia cracking processes for industrial hydrogen generation, to bridge the gap between laboratory-scale catalyst assessments and real-world operational requirements. By identifying the optimal conditions for each catalyst and evaluating their long-term stability, the findings can guide the development of more efficient and durable catalytic materials for ammonia cracking. The results underscore the importance of catalyst selection and reactor design in advancing hydrogen production technologies</w:t>
      </w:r>
      <w:r w:rsidRPr="007B4EF2">
        <w:rPr>
          <w:lang w:val="en-GB"/>
        </w:rPr>
        <w:t>, paving the way for more sustainable and economically viable hydrogen energy solutions.</w:t>
      </w:r>
    </w:p>
    <w:p w14:paraId="167107F7" w14:textId="77777777" w:rsidR="007541C4" w:rsidRDefault="007541C4" w:rsidP="007541C4">
      <w:pPr>
        <w:pStyle w:val="CETHeading1"/>
      </w:pPr>
      <w:r>
        <w:t xml:space="preserve">Materials and methods </w:t>
      </w:r>
    </w:p>
    <w:p w14:paraId="094B4CDA" w14:textId="77777777" w:rsidR="007541C4" w:rsidRPr="00951BA2" w:rsidRDefault="007541C4" w:rsidP="007541C4">
      <w:pPr>
        <w:pStyle w:val="CETBodytext"/>
      </w:pPr>
      <w:r w:rsidRPr="004368DC">
        <w:t xml:space="preserve">Based on </w:t>
      </w:r>
      <w:r>
        <w:t xml:space="preserve">literature and market analysis </w:t>
      </w:r>
      <w:r w:rsidRPr="004368DC">
        <w:t>two catalysts with distinct behaviors were selected. Specifically, a 3% wt. Ru/Al</w:t>
      </w:r>
      <w:r w:rsidRPr="004368DC">
        <w:rPr>
          <w:vertAlign w:val="subscript"/>
        </w:rPr>
        <w:t>2</w:t>
      </w:r>
      <w:r w:rsidRPr="004368DC">
        <w:t>O</w:t>
      </w:r>
      <w:r w:rsidRPr="004368DC">
        <w:rPr>
          <w:vertAlign w:val="subscript"/>
        </w:rPr>
        <w:t>3</w:t>
      </w:r>
      <w:r w:rsidRPr="004368DC">
        <w:t xml:space="preserve"> was chosen as </w:t>
      </w:r>
      <w:r>
        <w:t>reference</w:t>
      </w:r>
      <w:r w:rsidRPr="004368DC">
        <w:t xml:space="preserve"> cataly</w:t>
      </w:r>
      <w:r>
        <w:t>st</w:t>
      </w:r>
      <w:r w:rsidRPr="004368DC">
        <w:t xml:space="preserve"> with high performance at low temperatures (T &lt; 550 °C), while a 20% wt. Ni/Al</w:t>
      </w:r>
      <w:r w:rsidRPr="004368DC">
        <w:rPr>
          <w:vertAlign w:val="subscript"/>
        </w:rPr>
        <w:t>2</w:t>
      </w:r>
      <w:r w:rsidRPr="004368DC">
        <w:t>O</w:t>
      </w:r>
      <w:r w:rsidRPr="004368DC">
        <w:rPr>
          <w:vertAlign w:val="subscript"/>
        </w:rPr>
        <w:t>3</w:t>
      </w:r>
      <w:r w:rsidRPr="004368DC">
        <w:t xml:space="preserve"> was selected as reference material for operating at higher temperatures</w:t>
      </w:r>
      <w:r>
        <w:t>. The Ru/Al</w:t>
      </w:r>
      <w:r w:rsidRPr="00592896">
        <w:rPr>
          <w:vertAlign w:val="subscript"/>
        </w:rPr>
        <w:t>2</w:t>
      </w:r>
      <w:r>
        <w:t>O</w:t>
      </w:r>
      <w:r w:rsidRPr="00592896">
        <w:rPr>
          <w:vertAlign w:val="subscript"/>
        </w:rPr>
        <w:t>3</w:t>
      </w:r>
      <w:r>
        <w:t xml:space="preserve"> required a preliminary activation step, that has been carried out at 450 °C for 2 hours, with a flow of 100 ml/min (10%H</w:t>
      </w:r>
      <w:r>
        <w:rPr>
          <w:vertAlign w:val="subscript"/>
        </w:rPr>
        <w:t>2</w:t>
      </w:r>
      <w:r w:rsidRPr="00495394">
        <w:t>/</w:t>
      </w:r>
      <w:r>
        <w:t>90%N</w:t>
      </w:r>
      <w:r w:rsidRPr="00495394">
        <w:rPr>
          <w:vertAlign w:val="subscript"/>
        </w:rPr>
        <w:t>2</w:t>
      </w:r>
      <w:r>
        <w:t xml:space="preserve">). </w:t>
      </w:r>
      <w:r w:rsidRPr="004368DC">
        <w:t>Both catalysts were tested in a temperature and pressure range of 450 – 650 °C and 0 – 9 barg, respectively</w:t>
      </w:r>
      <w:r>
        <w:t xml:space="preserve">, by using </w:t>
      </w:r>
      <w:r w:rsidRPr="0092550C">
        <w:t>a batch reactor</w:t>
      </w:r>
      <w:r>
        <w:t xml:space="preserve">. All the experiments have been carried out based on a tailored protocol </w:t>
      </w:r>
      <w:r w:rsidRPr="0092550C">
        <w:t>before injecting NH</w:t>
      </w:r>
      <w:r w:rsidRPr="00951BA2">
        <w:rPr>
          <w:vertAlign w:val="subscript"/>
        </w:rPr>
        <w:t>3</w:t>
      </w:r>
      <w:r w:rsidRPr="0092550C">
        <w:t xml:space="preserve"> into the system</w:t>
      </w:r>
      <w:r>
        <w:t xml:space="preserve">, and the main stages are here summarized. Firstly, </w:t>
      </w:r>
      <w:r w:rsidRPr="0092550C">
        <w:t>purging the system is performed using nitrogen to remove any eventual residual ammonia inside the reactor and avoid any release into atmosphere during the vacuum phase</w:t>
      </w:r>
      <w:r>
        <w:t>. Then, a vacuum stage</w:t>
      </w:r>
      <w:r w:rsidRPr="0092550C">
        <w:t xml:space="preserve"> is required to remove the nitrogen which remains inside the reactor zone</w:t>
      </w:r>
      <w:r>
        <w:t>, followed by the heating of the reactor to the desired temperature. Before the injection of ammonia for the test, a second vacuum step is performed once the target temperature is reached. Finally, NH</w:t>
      </w:r>
      <w:r>
        <w:rPr>
          <w:vertAlign w:val="subscript"/>
        </w:rPr>
        <w:t>3</w:t>
      </w:r>
      <w:r>
        <w:t xml:space="preserve"> is fed to the reactor to achieve the desired pressure. </w:t>
      </w:r>
      <w:r w:rsidRPr="004A4848">
        <w:rPr>
          <w:lang w:val="en-GB"/>
        </w:rPr>
        <w:t>At the end of each test, the test</w:t>
      </w:r>
      <w:r>
        <w:rPr>
          <w:lang w:val="en-GB"/>
        </w:rPr>
        <w:t>-</w:t>
      </w:r>
      <w:r w:rsidRPr="004A4848">
        <w:rPr>
          <w:lang w:val="en-GB"/>
        </w:rPr>
        <w:t xml:space="preserve">rig is discharged </w:t>
      </w:r>
      <w:r>
        <w:rPr>
          <w:lang w:val="en-GB"/>
        </w:rPr>
        <w:t>exploiting</w:t>
      </w:r>
      <w:r w:rsidRPr="004A4848">
        <w:rPr>
          <w:lang w:val="en-GB"/>
        </w:rPr>
        <w:t xml:space="preserve"> a scrubber system to prevent the release of unreacted ammonia into the atmosphere</w:t>
      </w:r>
      <w:r>
        <w:t>. Both the catalysts undergo such catalytic characterization as well as a morphological (Scanning Electronic Microscopy – SEM) and compositional (</w:t>
      </w:r>
      <w:r w:rsidRPr="00951BA2">
        <w:t>Energy Dispersive Spectroscopy</w:t>
      </w:r>
      <w:r>
        <w:t xml:space="preserve"> – EDS) investigations before and after the experimental campaign.</w:t>
      </w:r>
    </w:p>
    <w:p w14:paraId="28CFEA90" w14:textId="77777777" w:rsidR="007541C4" w:rsidRDefault="007541C4" w:rsidP="007541C4">
      <w:pPr>
        <w:pStyle w:val="CETBodytext"/>
      </w:pPr>
      <w:r>
        <w:t xml:space="preserve">The analysis of the results has been carried out developing a tailored model which considers both mass transport and reactive contributions. Specifically, the system has been modeled with a finite element method in a 3D domain made of two overlapped volumes as reported in </w:t>
      </w:r>
      <w:r w:rsidRPr="009931EF">
        <w:t>Figure 1</w:t>
      </w:r>
      <w:r>
        <w:t xml:space="preserve">. The </w:t>
      </w:r>
      <w:r w:rsidRPr="004A2D84">
        <w:t>bottom domain (D</w:t>
      </w:r>
      <w:r w:rsidRPr="004A2D84">
        <w:rPr>
          <w:vertAlign w:val="subscript"/>
        </w:rPr>
        <w:t>CTZ</w:t>
      </w:r>
      <w:r w:rsidRPr="004A2D84">
        <w:t>) represents the catalytic bed, while the upper domain (D</w:t>
      </w:r>
      <w:r w:rsidRPr="004A2D84">
        <w:rPr>
          <w:vertAlign w:val="subscript"/>
        </w:rPr>
        <w:t>GAS</w:t>
      </w:r>
      <w:r w:rsidRPr="004A2D84">
        <w:t>) represents the volume occupied by the gas within the reaction chamber above the catalyst.</w:t>
      </w:r>
      <w:r>
        <w:t xml:space="preserve"> </w:t>
      </w:r>
    </w:p>
    <w:p w14:paraId="4B6665F6" w14:textId="77777777" w:rsidR="007541C4" w:rsidRDefault="007541C4" w:rsidP="007541C4">
      <w:pPr>
        <w:pStyle w:val="CETBodytext"/>
        <w:keepNext/>
        <w:jc w:val="center"/>
      </w:pPr>
      <w:r w:rsidRPr="00A91EB6">
        <w:rPr>
          <w:rFonts w:ascii="Poppins" w:hAnsi="Poppins" w:cs="Poppins"/>
          <w:noProof/>
          <w:lang w:val="en-GB"/>
        </w:rPr>
        <w:drawing>
          <wp:inline distT="0" distB="0" distL="0" distR="0" wp14:anchorId="640FF86D" wp14:editId="53BA54C6">
            <wp:extent cx="2705821" cy="861060"/>
            <wp:effectExtent l="0" t="0" r="0" b="0"/>
            <wp:docPr id="23" name="Picture 23" descr="A grey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y rectangular sign with black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0" t="5840" r="12836" b="5872"/>
                    <a:stretch/>
                  </pic:blipFill>
                  <pic:spPr bwMode="auto">
                    <a:xfrm>
                      <a:off x="0" y="0"/>
                      <a:ext cx="2714266" cy="863747"/>
                    </a:xfrm>
                    <a:prstGeom prst="rect">
                      <a:avLst/>
                    </a:prstGeom>
                    <a:noFill/>
                    <a:ln>
                      <a:noFill/>
                    </a:ln>
                    <a:extLst>
                      <a:ext uri="{53640926-AAD7-44D8-BBD7-CCE9431645EC}">
                        <a14:shadowObscured xmlns:a14="http://schemas.microsoft.com/office/drawing/2010/main"/>
                      </a:ext>
                    </a:extLst>
                  </pic:spPr>
                </pic:pic>
              </a:graphicData>
            </a:graphic>
          </wp:inline>
        </w:drawing>
      </w:r>
    </w:p>
    <w:p w14:paraId="32626B6E" w14:textId="77777777" w:rsidR="007541C4" w:rsidRPr="00F9382D" w:rsidRDefault="007541C4" w:rsidP="007541C4">
      <w:pPr>
        <w:pStyle w:val="Caption"/>
        <w:rPr>
          <w:b w:val="0"/>
          <w:bCs w:val="0"/>
          <w:i/>
          <w:iCs/>
          <w:color w:val="auto"/>
        </w:rPr>
      </w:pPr>
      <w:r w:rsidRPr="00F9382D">
        <w:rPr>
          <w:b w:val="0"/>
          <w:bCs w:val="0"/>
          <w:i/>
          <w:iCs/>
          <w:color w:val="auto"/>
        </w:rPr>
        <w:t xml:space="preserve">Figure </w:t>
      </w:r>
      <w:r>
        <w:rPr>
          <w:b w:val="0"/>
          <w:bCs w:val="0"/>
          <w:i/>
          <w:iCs/>
          <w:color w:val="auto"/>
        </w:rPr>
        <w:t>1: Representation of the two domains considered in system modelling.</w:t>
      </w:r>
    </w:p>
    <w:p w14:paraId="04C0255E" w14:textId="77777777" w:rsidR="007541C4" w:rsidRDefault="007541C4" w:rsidP="007541C4">
      <w:pPr>
        <w:pStyle w:val="CETBodytext"/>
      </w:pPr>
    </w:p>
    <w:p w14:paraId="5A6648C9" w14:textId="77777777" w:rsidR="007541C4" w:rsidRDefault="007541C4" w:rsidP="007541C4">
      <w:pPr>
        <w:pStyle w:val="CETBodytext"/>
      </w:pPr>
      <w:r w:rsidRPr="004A2D84">
        <w:lastRenderedPageBreak/>
        <w:t>The model considers the presence of three species (NH</w:t>
      </w:r>
      <w:r w:rsidRPr="004A2D84">
        <w:rPr>
          <w:vertAlign w:val="subscript"/>
        </w:rPr>
        <w:t>3</w:t>
      </w:r>
      <w:r w:rsidRPr="004A2D84">
        <w:t>, H</w:t>
      </w:r>
      <w:r w:rsidRPr="004A2D84">
        <w:rPr>
          <w:vertAlign w:val="subscript"/>
        </w:rPr>
        <w:t>2</w:t>
      </w:r>
      <w:r w:rsidRPr="004A2D84">
        <w:t>, N</w:t>
      </w:r>
      <w:r w:rsidRPr="004A2D84">
        <w:rPr>
          <w:vertAlign w:val="subscript"/>
        </w:rPr>
        <w:t>2</w:t>
      </w:r>
      <w:r w:rsidRPr="004A2D84">
        <w:t>), and the selected physics describes a diffusion process within the gas phase (D</w:t>
      </w:r>
      <w:r w:rsidRPr="004A2D84">
        <w:rPr>
          <w:vertAlign w:val="subscript"/>
        </w:rPr>
        <w:t>GAS</w:t>
      </w:r>
      <w:r w:rsidRPr="004A2D84">
        <w:t>), while in the catalytic bed, the diffusion within the porous structure is coupled with a reactive process</w:t>
      </w:r>
      <w:r>
        <w:t>:</w:t>
      </w:r>
    </w:p>
    <w:p w14:paraId="2103255B" w14:textId="77777777" w:rsidR="007541C4" w:rsidRDefault="007541C4" w:rsidP="007541C4">
      <w:pPr>
        <w:pStyle w:val="CETBodytext"/>
        <w:rPr>
          <w:lang w:val="en-GB"/>
        </w:rPr>
      </w:pPr>
      <m:oMath>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num>
          <m:den>
            <m:r>
              <w:rPr>
                <w:rFonts w:ascii="Cambria Math" w:hAnsi="Cambria Math"/>
                <w:lang w:val="en-GB"/>
              </w:rPr>
              <m:t>∂t</m:t>
            </m:r>
          </m:den>
        </m:f>
        <m:r>
          <w:rPr>
            <w:rFonts w:ascii="Cambria Math" w:hAnsi="Cambria Math"/>
            <w:lang w:val="en-GB"/>
          </w:rPr>
          <m:t>+</m:t>
        </m:r>
        <m:r>
          <m:rPr>
            <m:sty m:val="p"/>
          </m:rPr>
          <w:rPr>
            <w:rFonts w:ascii="Cambria Math" w:hAnsi="Cambria Math"/>
            <w:lang w:val="en-GB"/>
          </w:rPr>
          <m:t>∇</m:t>
        </m:r>
        <m:r>
          <w:rPr>
            <w:rFonts w:ascii="Cambria Math" w:hAnsi="Cambria Math"/>
            <w:lang w:val="en-GB"/>
          </w:rPr>
          <m:t>∙</m:t>
        </m:r>
        <m:sSub>
          <m:sSubPr>
            <m:ctrlPr>
              <w:rPr>
                <w:rFonts w:ascii="Cambria Math" w:hAnsi="Cambria Math"/>
                <w:b/>
                <w:bCs/>
                <w:i/>
                <w:lang w:val="en-GB"/>
              </w:rPr>
            </m:ctrlPr>
          </m:sSubPr>
          <m:e>
            <m:r>
              <m:rPr>
                <m:sty m:val="bi"/>
              </m:rPr>
              <w:rPr>
                <w:rFonts w:ascii="Cambria Math" w:hAnsi="Cambria Math"/>
                <w:lang w:val="en-GB"/>
              </w:rPr>
              <m:t>J</m:t>
            </m:r>
          </m:e>
          <m:sub>
            <m:r>
              <m:rPr>
                <m:sty m:val="bi"/>
              </m:rPr>
              <w:rPr>
                <w:rFonts w:ascii="Cambria Math" w:hAnsi="Cambria Math"/>
                <w:lang w:val="en-GB"/>
              </w:rPr>
              <m:t>i</m:t>
            </m:r>
          </m:sub>
        </m:sSub>
        <m:r>
          <w:rPr>
            <w:rFonts w:ascii="Cambria Math" w:hAnsi="Cambria Math"/>
            <w:lang w:val="en-GB"/>
          </w:rPr>
          <m:t>+</m:t>
        </m:r>
        <m:r>
          <m:rPr>
            <m:sty m:val="bi"/>
          </m:rPr>
          <w:rPr>
            <w:rFonts w:ascii="Cambria Math" w:hAnsi="Cambria Math"/>
            <w:lang w:val="en-GB"/>
          </w:rPr>
          <m:t>u</m:t>
        </m:r>
        <m:r>
          <w:rPr>
            <w:rFonts w:ascii="Cambria Math" w:hAnsi="Cambria Math"/>
            <w:lang w:val="en-GB"/>
          </w:rPr>
          <m:t>∙</m:t>
        </m:r>
        <m:r>
          <m:rPr>
            <m:sty m:val="p"/>
          </m:rPr>
          <w:rPr>
            <w:rFonts w:ascii="Cambria Math" w:hAnsi="Cambria Math"/>
            <w:lang w:val="en-GB"/>
          </w:rPr>
          <m:t>∇</m:t>
        </m:r>
        <m:r>
          <w:rPr>
            <w:rFonts w:ascii="Cambria Math" w:hAnsi="Cambria Math"/>
            <w:lang w:val="en-GB"/>
          </w:rPr>
          <m:t>p=</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oMath>
      <w:r w:rsidRPr="004A2D84">
        <w:rPr>
          <w:lang w:val="en-GB"/>
        </w:rPr>
        <w:t xml:space="preserve"> </w:t>
      </w:r>
      <w:r>
        <w:rPr>
          <w:lang w:val="en-GB"/>
        </w:rPr>
        <w:t xml:space="preserve"> </w:t>
      </w:r>
      <w:r>
        <w:rPr>
          <w:lang w:val="en-GB"/>
        </w:rPr>
        <w:tab/>
      </w:r>
      <w:r>
        <w:rPr>
          <w:lang w:val="en-GB"/>
        </w:rPr>
        <w:tab/>
        <w:t xml:space="preserve">(1)   </w:t>
      </w:r>
    </w:p>
    <w:p w14:paraId="10BCE1D6" w14:textId="77777777" w:rsidR="007541C4" w:rsidRDefault="007541C4" w:rsidP="007541C4">
      <w:pPr>
        <w:pStyle w:val="CETBodytext"/>
        <w:rPr>
          <w:lang w:val="en-GB"/>
        </w:rPr>
      </w:pPr>
      <m:oMath>
        <m:sSub>
          <m:sSubPr>
            <m:ctrlPr>
              <w:rPr>
                <w:rFonts w:ascii="Cambria Math" w:hAnsi="Cambria Math" w:cs="Poppins"/>
                <w:b/>
                <w:bCs/>
                <w:i/>
                <w:lang w:val="en-GB"/>
              </w:rPr>
            </m:ctrlPr>
          </m:sSubPr>
          <m:e>
            <m:r>
              <m:rPr>
                <m:sty m:val="bi"/>
              </m:rPr>
              <w:rPr>
                <w:rFonts w:ascii="Cambria Math" w:hAnsi="Cambria Math" w:cs="Poppins"/>
                <w:lang w:val="en-GB"/>
              </w:rPr>
              <m:t>J</m:t>
            </m:r>
          </m:e>
          <m:sub>
            <m:r>
              <m:rPr>
                <m:sty m:val="bi"/>
              </m:rPr>
              <w:rPr>
                <w:rFonts w:ascii="Cambria Math" w:hAnsi="Cambria Math" w:cs="Poppins"/>
                <w:lang w:val="en-GB"/>
              </w:rPr>
              <m:t>i</m:t>
            </m:r>
          </m:sub>
        </m:sSub>
        <m:r>
          <w:rPr>
            <w:rFonts w:ascii="Cambria Math" w:eastAsiaTheme="minorEastAsia" w:hAnsi="Cambria Math" w:cs="Poppins"/>
            <w:lang w:val="en-GB"/>
          </w:rPr>
          <m:t>=-</m:t>
        </m:r>
        <m:sSub>
          <m:sSubPr>
            <m:ctrlPr>
              <w:rPr>
                <w:rFonts w:ascii="Cambria Math" w:eastAsiaTheme="minorEastAsia" w:hAnsi="Cambria Math" w:cs="Poppins"/>
                <w:i/>
                <w:lang w:val="en-GB"/>
              </w:rPr>
            </m:ctrlPr>
          </m:sSubPr>
          <m:e>
            <m:r>
              <w:rPr>
                <w:rFonts w:ascii="Cambria Math" w:eastAsiaTheme="minorEastAsia" w:hAnsi="Cambria Math" w:cs="Poppins"/>
                <w:lang w:val="en-GB"/>
              </w:rPr>
              <m:t>D</m:t>
            </m:r>
          </m:e>
          <m:sub>
            <m:r>
              <w:rPr>
                <w:rFonts w:ascii="Cambria Math" w:eastAsiaTheme="minorEastAsia" w:hAnsi="Cambria Math" w:cs="Poppins"/>
                <w:lang w:val="en-GB"/>
              </w:rPr>
              <m:t>i</m:t>
            </m:r>
          </m:sub>
        </m:sSub>
        <m:r>
          <m:rPr>
            <m:sty m:val="p"/>
          </m:rPr>
          <w:rPr>
            <w:rFonts w:ascii="Cambria Math" w:eastAsiaTheme="minorEastAsia" w:hAnsi="Cambria Math" w:cs="Poppins"/>
            <w:lang w:val="en-GB"/>
          </w:rPr>
          <m:t>∇</m:t>
        </m:r>
        <m:sSub>
          <m:sSubPr>
            <m:ctrlPr>
              <w:rPr>
                <w:rFonts w:ascii="Cambria Math" w:eastAsiaTheme="minorEastAsia" w:hAnsi="Cambria Math" w:cs="Poppins"/>
                <w:i/>
                <w:lang w:val="en-GB"/>
              </w:rPr>
            </m:ctrlPr>
          </m:sSubPr>
          <m:e>
            <m:r>
              <w:rPr>
                <w:rFonts w:ascii="Cambria Math" w:eastAsiaTheme="minorEastAsia" w:hAnsi="Cambria Math" w:cs="Poppins"/>
                <w:lang w:val="en-GB"/>
              </w:rPr>
              <m:t>c</m:t>
            </m:r>
          </m:e>
          <m:sub>
            <m:r>
              <w:rPr>
                <w:rFonts w:ascii="Cambria Math" w:eastAsiaTheme="minorEastAsia" w:hAnsi="Cambria Math" w:cs="Poppins"/>
                <w:lang w:val="en-GB"/>
              </w:rPr>
              <m:t>i</m:t>
            </m:r>
          </m:sub>
        </m:sSub>
      </m:oMath>
      <w:r>
        <w:rPr>
          <w:lang w:val="en-GB"/>
        </w:rPr>
        <w:t xml:space="preserve">  </w:t>
      </w:r>
      <w:r>
        <w:rPr>
          <w:lang w:val="en-GB"/>
        </w:rPr>
        <w:tab/>
      </w:r>
      <w:r>
        <w:rPr>
          <w:lang w:val="en-GB"/>
        </w:rPr>
        <w:tab/>
        <w:t xml:space="preserve">(2)  </w:t>
      </w:r>
    </w:p>
    <w:p w14:paraId="3930970C" w14:textId="77777777" w:rsidR="007541C4" w:rsidRDefault="007541C4" w:rsidP="007541C4">
      <w:pPr>
        <w:pStyle w:val="CETBodytext"/>
        <w:rPr>
          <w:lang w:val="en-GB"/>
        </w:rPr>
      </w:pPr>
      <m:oMath>
        <m:func>
          <m:funcPr>
            <m:ctrlPr>
              <w:rPr>
                <w:rFonts w:ascii="Cambria Math" w:eastAsiaTheme="minorEastAsia" w:hAnsi="Cambria Math" w:cs="Poppins"/>
                <w:lang w:val="en-GB"/>
              </w:rPr>
            </m:ctrlPr>
          </m:funcPr>
          <m:fName>
            <m:r>
              <m:rPr>
                <m:sty m:val="p"/>
              </m:rPr>
              <w:rPr>
                <w:rFonts w:ascii="Cambria Math" w:eastAsiaTheme="minorEastAsia" w:hAnsi="Cambria Math" w:cs="Poppins"/>
                <w:lang w:val="en-GB"/>
              </w:rPr>
              <m:t>ln</m:t>
            </m:r>
          </m:fName>
          <m:e>
            <m:d>
              <m:dPr>
                <m:ctrlPr>
                  <w:rPr>
                    <w:rFonts w:ascii="Cambria Math" w:eastAsiaTheme="minorEastAsia" w:hAnsi="Cambria Math" w:cs="Poppins"/>
                    <w:i/>
                    <w:lang w:val="en-GB"/>
                  </w:rPr>
                </m:ctrlPr>
              </m:dPr>
              <m:e>
                <m:sSub>
                  <m:sSubPr>
                    <m:ctrlPr>
                      <w:rPr>
                        <w:rFonts w:ascii="Cambria Math" w:eastAsiaTheme="minorEastAsia" w:hAnsi="Cambria Math" w:cs="Poppins"/>
                        <w:i/>
                        <w:lang w:val="en-GB"/>
                      </w:rPr>
                    </m:ctrlPr>
                  </m:sSubPr>
                  <m:e>
                    <m:r>
                      <w:rPr>
                        <w:rFonts w:ascii="Cambria Math" w:eastAsiaTheme="minorEastAsia" w:hAnsi="Cambria Math" w:cs="Poppins"/>
                        <w:lang w:val="en-GB"/>
                      </w:rPr>
                      <m:t>D</m:t>
                    </m:r>
                  </m:e>
                  <m:sub>
                    <m:r>
                      <w:rPr>
                        <w:rFonts w:ascii="Cambria Math" w:eastAsiaTheme="minorEastAsia" w:hAnsi="Cambria Math" w:cs="Poppins"/>
                        <w:lang w:val="en-GB"/>
                      </w:rPr>
                      <m:t>i</m:t>
                    </m:r>
                  </m:sub>
                </m:sSub>
              </m:e>
            </m:d>
          </m:e>
        </m:func>
        <m:r>
          <w:rPr>
            <w:rFonts w:ascii="Cambria Math" w:eastAsiaTheme="minorEastAsia" w:hAnsi="Cambria Math" w:cs="Poppins"/>
            <w:lang w:val="en-GB"/>
          </w:rPr>
          <m:t>=</m:t>
        </m:r>
        <m:sSub>
          <m:sSubPr>
            <m:ctrlPr>
              <w:rPr>
                <w:rFonts w:ascii="Cambria Math" w:eastAsiaTheme="minorEastAsia" w:hAnsi="Cambria Math" w:cs="Poppins"/>
                <w:i/>
                <w:lang w:val="en-GB"/>
              </w:rPr>
            </m:ctrlPr>
          </m:sSubPr>
          <m:e>
            <m:r>
              <w:rPr>
                <w:rFonts w:ascii="Cambria Math" w:eastAsiaTheme="minorEastAsia" w:hAnsi="Cambria Math" w:cs="Poppins"/>
                <w:lang w:val="en-GB"/>
              </w:rPr>
              <m:t>A</m:t>
            </m:r>
          </m:e>
          <m:sub>
            <m:r>
              <w:rPr>
                <w:rFonts w:ascii="Cambria Math" w:eastAsiaTheme="minorEastAsia" w:hAnsi="Cambria Math" w:cs="Poppins"/>
                <w:lang w:val="en-GB"/>
              </w:rPr>
              <m:t>i</m:t>
            </m:r>
          </m:sub>
        </m:sSub>
        <m:r>
          <w:rPr>
            <w:rFonts w:ascii="Cambria Math" w:eastAsiaTheme="minorEastAsia" w:hAnsi="Cambria Math" w:cs="Poppins"/>
            <w:lang w:val="en-GB"/>
          </w:rPr>
          <m:t>+</m:t>
        </m:r>
        <m:f>
          <m:fPr>
            <m:ctrlPr>
              <w:rPr>
                <w:rFonts w:ascii="Cambria Math" w:eastAsiaTheme="minorEastAsia" w:hAnsi="Cambria Math" w:cs="Poppins"/>
                <w:i/>
                <w:lang w:val="en-GB"/>
              </w:rPr>
            </m:ctrlPr>
          </m:fPr>
          <m:num>
            <m:sSub>
              <m:sSubPr>
                <m:ctrlPr>
                  <w:rPr>
                    <w:rFonts w:ascii="Cambria Math" w:eastAsiaTheme="minorEastAsia" w:hAnsi="Cambria Math" w:cs="Poppins"/>
                    <w:i/>
                    <w:lang w:val="en-GB"/>
                  </w:rPr>
                </m:ctrlPr>
              </m:sSubPr>
              <m:e>
                <m:r>
                  <w:rPr>
                    <w:rFonts w:ascii="Cambria Math" w:eastAsiaTheme="minorEastAsia" w:hAnsi="Cambria Math" w:cs="Poppins"/>
                    <w:lang w:val="en-GB"/>
                  </w:rPr>
                  <m:t>B</m:t>
                </m:r>
              </m:e>
              <m:sub>
                <m:r>
                  <w:rPr>
                    <w:rFonts w:ascii="Cambria Math" w:eastAsiaTheme="minorEastAsia" w:hAnsi="Cambria Math" w:cs="Poppins"/>
                    <w:lang w:val="en-GB"/>
                  </w:rPr>
                  <m:t>i</m:t>
                </m:r>
              </m:sub>
            </m:sSub>
          </m:num>
          <m:den>
            <m:r>
              <w:rPr>
                <w:rFonts w:ascii="Cambria Math" w:eastAsiaTheme="minorEastAsia" w:hAnsi="Cambria Math" w:cs="Poppins"/>
                <w:lang w:val="en-GB"/>
              </w:rPr>
              <m:t>T</m:t>
            </m:r>
          </m:den>
        </m:f>
        <m:r>
          <w:rPr>
            <w:rFonts w:ascii="Cambria Math" w:eastAsiaTheme="minorEastAsia" w:hAnsi="Cambria Math" w:cs="Poppins"/>
            <w:lang w:val="en-GB"/>
          </w:rPr>
          <m:t>+</m:t>
        </m:r>
        <m:sSub>
          <m:sSubPr>
            <m:ctrlPr>
              <w:rPr>
                <w:rFonts w:ascii="Cambria Math" w:eastAsiaTheme="minorEastAsia" w:hAnsi="Cambria Math" w:cs="Poppins"/>
                <w:i/>
                <w:lang w:val="en-GB"/>
              </w:rPr>
            </m:ctrlPr>
          </m:sSubPr>
          <m:e>
            <m:r>
              <w:rPr>
                <w:rFonts w:ascii="Cambria Math" w:eastAsiaTheme="minorEastAsia" w:hAnsi="Cambria Math" w:cs="Poppins"/>
                <w:lang w:val="en-GB"/>
              </w:rPr>
              <m:t>C</m:t>
            </m:r>
          </m:e>
          <m:sub>
            <m:r>
              <w:rPr>
                <w:rFonts w:ascii="Cambria Math" w:eastAsiaTheme="minorEastAsia" w:hAnsi="Cambria Math" w:cs="Poppins"/>
                <w:lang w:val="en-GB"/>
              </w:rPr>
              <m:t>i</m:t>
            </m:r>
          </m:sub>
        </m:sSub>
        <m:r>
          <w:rPr>
            <w:rFonts w:ascii="Cambria Math" w:eastAsiaTheme="minorEastAsia" w:hAnsi="Cambria Math" w:cs="Poppins"/>
            <w:lang w:val="en-GB"/>
          </w:rPr>
          <m:t>∙</m:t>
        </m:r>
        <m:r>
          <m:rPr>
            <m:sty m:val="p"/>
          </m:rPr>
          <w:rPr>
            <w:rFonts w:ascii="Cambria Math" w:eastAsiaTheme="minorEastAsia" w:hAnsi="Cambria Math" w:cs="Poppins"/>
            <w:lang w:val="en-GB"/>
          </w:rPr>
          <m:t>ln⁡</m:t>
        </m:r>
        <m:r>
          <w:rPr>
            <w:rFonts w:ascii="Cambria Math" w:eastAsiaTheme="minorEastAsia" w:hAnsi="Cambria Math" w:cs="Poppins"/>
            <w:lang w:val="en-GB"/>
          </w:rPr>
          <m:t>(T)</m:t>
        </m:r>
      </m:oMath>
      <w:r>
        <w:rPr>
          <w:lang w:val="en-GB"/>
        </w:rPr>
        <w:t xml:space="preserve">  </w:t>
      </w:r>
      <w:r>
        <w:rPr>
          <w:lang w:val="en-GB"/>
        </w:rPr>
        <w:tab/>
      </w:r>
      <w:r>
        <w:rPr>
          <w:lang w:val="en-GB"/>
        </w:rPr>
        <w:tab/>
        <w:t>(3)</w:t>
      </w:r>
    </w:p>
    <w:p w14:paraId="181F8C11" w14:textId="77777777" w:rsidR="007541C4" w:rsidRDefault="007541C4" w:rsidP="007541C4">
      <w:pPr>
        <w:pStyle w:val="CETBodytext"/>
        <w:rPr>
          <w:lang w:val="en-GB"/>
        </w:rPr>
      </w:pPr>
      <w:r>
        <w:rPr>
          <w:lang w:val="en-GB"/>
        </w:rPr>
        <w:t>where</w:t>
      </w:r>
      <w:r w:rsidRPr="004A2D84">
        <w:rPr>
          <w:lang w:val="en-GB"/>
        </w:rPr>
        <w:t xml:space="preserve"> </w:t>
      </w:r>
      <m:oMath>
        <m:sSub>
          <m:sSubPr>
            <m:ctrlPr>
              <w:rPr>
                <w:rFonts w:ascii="Cambria Math" w:eastAsiaTheme="minorEastAsia" w:hAnsi="Cambria Math" w:cs="Poppins"/>
                <w:i/>
                <w:lang w:val="en-GB"/>
              </w:rPr>
            </m:ctrlPr>
          </m:sSubPr>
          <m:e>
            <m:r>
              <w:rPr>
                <w:rFonts w:ascii="Cambria Math" w:eastAsiaTheme="minorEastAsia" w:hAnsi="Cambria Math" w:cs="Poppins"/>
                <w:lang w:val="en-GB"/>
              </w:rPr>
              <m:t>c</m:t>
            </m:r>
          </m:e>
          <m:sub>
            <m:r>
              <w:rPr>
                <w:rFonts w:ascii="Cambria Math" w:eastAsiaTheme="minorEastAsia" w:hAnsi="Cambria Math" w:cs="Poppins"/>
                <w:lang w:val="en-GB"/>
              </w:rPr>
              <m:t>i</m:t>
            </m:r>
          </m:sub>
        </m:sSub>
      </m:oMath>
      <w:r>
        <w:rPr>
          <w:lang w:val="en-GB"/>
        </w:rPr>
        <w:t xml:space="preserve"> </w:t>
      </w:r>
      <w:r w:rsidRPr="004A2D84">
        <w:rPr>
          <w:lang w:val="en-GB"/>
        </w:rPr>
        <w:t xml:space="preserve">is the concentration, </w:t>
      </w:r>
      <m:oMath>
        <m:sSub>
          <m:sSubPr>
            <m:ctrlPr>
              <w:rPr>
                <w:rFonts w:ascii="Cambria Math" w:hAnsi="Cambria Math"/>
                <w:b/>
                <w:bCs/>
                <w:i/>
                <w:lang w:val="en-GB"/>
              </w:rPr>
            </m:ctrlPr>
          </m:sSubPr>
          <m:e>
            <m:r>
              <m:rPr>
                <m:sty m:val="bi"/>
              </m:rPr>
              <w:rPr>
                <w:rFonts w:ascii="Cambria Math" w:hAnsi="Cambria Math"/>
                <w:lang w:val="en-GB"/>
              </w:rPr>
              <m:t>J</m:t>
            </m:r>
          </m:e>
          <m:sub>
            <m:r>
              <m:rPr>
                <m:sty m:val="bi"/>
              </m:rPr>
              <w:rPr>
                <w:rFonts w:ascii="Cambria Math" w:hAnsi="Cambria Math"/>
                <w:lang w:val="en-GB"/>
              </w:rPr>
              <m:t>i</m:t>
            </m:r>
          </m:sub>
        </m:sSub>
      </m:oMath>
      <w:r w:rsidRPr="00AB52E7">
        <w:rPr>
          <w:b/>
          <w:bCs/>
          <w:lang w:val="en-GB"/>
        </w:rPr>
        <w:t xml:space="preserve"> </w:t>
      </w:r>
      <w:r w:rsidRPr="004A2D84">
        <w:rPr>
          <w:lang w:val="en-GB"/>
        </w:rPr>
        <w:t>is the diffusive flux,</w:t>
      </w:r>
      <w:r>
        <w:rPr>
          <w:lang w:val="en-GB"/>
        </w:rPr>
        <w:t xml:space="preserve"> </w:t>
      </w:r>
      <m:oMath>
        <m:r>
          <m:rPr>
            <m:sty m:val="bi"/>
          </m:rPr>
          <w:rPr>
            <w:rFonts w:ascii="Cambria Math" w:hAnsi="Cambria Math"/>
            <w:lang w:val="en-GB"/>
          </w:rPr>
          <m:t>u</m:t>
        </m:r>
        <m:r>
          <m:rPr>
            <m:sty m:val="p"/>
          </m:rPr>
          <w:rPr>
            <w:rFonts w:ascii="Cambria Math" w:hAnsi="Cambria Math"/>
            <w:lang w:val="en-GB"/>
          </w:rPr>
          <m:t>∇</m:t>
        </m:r>
        <m:r>
          <w:rPr>
            <w:rFonts w:ascii="Cambria Math" w:hAnsi="Cambria Math"/>
            <w:lang w:val="en-GB"/>
          </w:rPr>
          <m:t>p</m:t>
        </m:r>
      </m:oMath>
      <w:r>
        <w:rPr>
          <w:b/>
          <w:bCs/>
          <w:lang w:val="en-GB"/>
        </w:rPr>
        <w:t xml:space="preserve"> </w:t>
      </w:r>
      <w:r>
        <w:rPr>
          <w:lang w:val="en-GB"/>
        </w:rPr>
        <w:t>is the forced component of mass transport,</w:t>
      </w:r>
      <w:r w:rsidRPr="004A2D84">
        <w:rPr>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oMath>
      <w:r w:rsidRPr="004A2D84">
        <w:rPr>
          <w:lang w:val="en-GB"/>
        </w:rPr>
        <w:t xml:space="preserve"> is the reactive term. This last term is neglected in D</w:t>
      </w:r>
      <w:r w:rsidRPr="004A2D84">
        <w:rPr>
          <w:vertAlign w:val="subscript"/>
          <w:lang w:val="en-GB"/>
        </w:rPr>
        <w:t>GAS</w:t>
      </w:r>
      <w:r w:rsidRPr="004A2D84">
        <w:rPr>
          <w:lang w:val="en-GB"/>
        </w:rPr>
        <w:t xml:space="preserve">. The diffusion coefficients </w:t>
      </w:r>
      <w:r w:rsidRPr="004A2D84">
        <w:rPr>
          <w:rFonts w:ascii="Cambria Math" w:hAnsi="Cambria Math" w:cs="Cambria Math"/>
        </w:rPr>
        <w:t>𝐷𝑖</w:t>
      </w:r>
      <w:r w:rsidRPr="004A2D84" w:rsidDel="004A4848">
        <w:rPr>
          <w:lang w:val="en-GB"/>
        </w:rPr>
        <w:t xml:space="preserve"> </w:t>
      </w:r>
      <w:r w:rsidRPr="004A2D84">
        <w:rPr>
          <w:lang w:val="en-GB"/>
        </w:rPr>
        <w:t>[cm</w:t>
      </w:r>
      <w:r w:rsidRPr="004A2D84">
        <w:rPr>
          <w:vertAlign w:val="superscript"/>
          <w:lang w:val="en-GB"/>
        </w:rPr>
        <w:t>2</w:t>
      </w:r>
      <w:r w:rsidRPr="004A2D84">
        <w:rPr>
          <w:lang w:val="en-GB"/>
        </w:rPr>
        <w:t>/s] have been considered temperature-dependent</w:t>
      </w:r>
      <w:r>
        <w:rPr>
          <w:lang w:val="en-GB"/>
        </w:rPr>
        <w:t xml:space="preserve"> and the parameters </w:t>
      </w:r>
      <m:oMath>
        <m:sSub>
          <m:sSubPr>
            <m:ctrlPr>
              <w:rPr>
                <w:rFonts w:ascii="Cambria Math" w:eastAsiaTheme="minorEastAsia" w:hAnsi="Cambria Math" w:cs="Poppins"/>
                <w:i/>
                <w:lang w:val="en-GB"/>
              </w:rPr>
            </m:ctrlPr>
          </m:sSubPr>
          <m:e>
            <m:r>
              <w:rPr>
                <w:rFonts w:ascii="Cambria Math" w:eastAsiaTheme="minorEastAsia" w:hAnsi="Cambria Math" w:cs="Poppins"/>
                <w:lang w:val="en-GB"/>
              </w:rPr>
              <m:t>A</m:t>
            </m:r>
          </m:e>
          <m:sub>
            <m:r>
              <w:rPr>
                <w:rFonts w:ascii="Cambria Math" w:eastAsiaTheme="minorEastAsia" w:hAnsi="Cambria Math" w:cs="Poppins"/>
                <w:lang w:val="en-GB"/>
              </w:rPr>
              <m:t>i</m:t>
            </m:r>
          </m:sub>
        </m:sSub>
      </m:oMath>
      <w:r>
        <w:rPr>
          <w:lang w:val="en-GB"/>
        </w:rPr>
        <w:t xml:space="preserve">, </w:t>
      </w:r>
      <m:oMath>
        <m:sSub>
          <m:sSubPr>
            <m:ctrlPr>
              <w:rPr>
                <w:rFonts w:ascii="Cambria Math" w:eastAsiaTheme="minorEastAsia" w:hAnsi="Cambria Math" w:cs="Poppins"/>
                <w:i/>
                <w:lang w:val="en-GB"/>
              </w:rPr>
            </m:ctrlPr>
          </m:sSubPr>
          <m:e>
            <m:r>
              <w:rPr>
                <w:rFonts w:ascii="Cambria Math" w:eastAsiaTheme="minorEastAsia" w:hAnsi="Cambria Math" w:cs="Poppins"/>
                <w:lang w:val="en-GB"/>
              </w:rPr>
              <m:t>B</m:t>
            </m:r>
          </m:e>
          <m:sub>
            <m:r>
              <w:rPr>
                <w:rFonts w:ascii="Cambria Math" w:eastAsiaTheme="minorEastAsia" w:hAnsi="Cambria Math" w:cs="Poppins"/>
                <w:lang w:val="en-GB"/>
              </w:rPr>
              <m:t>i</m:t>
            </m:r>
          </m:sub>
        </m:sSub>
      </m:oMath>
      <w:r>
        <w:rPr>
          <w:lang w:val="en-GB"/>
        </w:rPr>
        <w:t>,</w:t>
      </w:r>
      <w:r>
        <w:rPr>
          <w:vertAlign w:val="subscript"/>
          <w:lang w:val="en-GB"/>
        </w:rPr>
        <w:t xml:space="preserve"> </w:t>
      </w:r>
      <m:oMath>
        <m:sSub>
          <m:sSubPr>
            <m:ctrlPr>
              <w:rPr>
                <w:rFonts w:ascii="Cambria Math" w:eastAsiaTheme="minorEastAsia" w:hAnsi="Cambria Math" w:cs="Poppins"/>
                <w:i/>
                <w:lang w:val="en-GB"/>
              </w:rPr>
            </m:ctrlPr>
          </m:sSubPr>
          <m:e>
            <m:r>
              <w:rPr>
                <w:rFonts w:ascii="Cambria Math" w:eastAsiaTheme="minorEastAsia" w:hAnsi="Cambria Math" w:cs="Poppins"/>
                <w:lang w:val="en-GB"/>
              </w:rPr>
              <m:t>C</m:t>
            </m:r>
          </m:e>
          <m:sub>
            <m:r>
              <w:rPr>
                <w:rFonts w:ascii="Cambria Math" w:eastAsiaTheme="minorEastAsia" w:hAnsi="Cambria Math" w:cs="Poppins"/>
                <w:lang w:val="en-GB"/>
              </w:rPr>
              <m:t>i</m:t>
            </m:r>
          </m:sub>
        </m:sSub>
      </m:oMath>
      <w:r>
        <w:rPr>
          <w:lang w:val="en-GB"/>
        </w:rPr>
        <w:t xml:space="preserve"> have been obtained from (National Institute of Standards and Technology, 2025). </w:t>
      </w:r>
    </w:p>
    <w:p w14:paraId="0D4D2073" w14:textId="77777777" w:rsidR="007541C4" w:rsidRDefault="007541C4" w:rsidP="007541C4">
      <w:pPr>
        <w:pStyle w:val="CETBodytext"/>
      </w:pPr>
      <w:r w:rsidRPr="004A2D84">
        <w:t>Within the reaction zone (D</w:t>
      </w:r>
      <w:r w:rsidRPr="004A2D84">
        <w:rPr>
          <w:vertAlign w:val="subscript"/>
        </w:rPr>
        <w:t>CTZ</w:t>
      </w:r>
      <w:r w:rsidRPr="004A2D84">
        <w:t>), the diffusion is influenced by the interaction between the molecules in the gas phase and the catalytic bed, which is characterized by porosity (</w:t>
      </w:r>
      <w:r w:rsidRPr="004A2D84">
        <w:rPr>
          <w:rFonts w:ascii="Cambria Math" w:hAnsi="Cambria Math" w:cs="Cambria Math"/>
        </w:rPr>
        <w:t>𝜀</w:t>
      </w:r>
      <w:r w:rsidRPr="004A2D84">
        <w:t>) and tortuosity (</w:t>
      </w:r>
      <w:r w:rsidRPr="004A2D84">
        <w:rPr>
          <w:rFonts w:ascii="Cambria Math" w:hAnsi="Cambria Math" w:cs="Cambria Math"/>
        </w:rPr>
        <w:t>𝜏</w:t>
      </w:r>
      <w:r w:rsidRPr="004A2D84">
        <w:t xml:space="preserve">). To account for the specific characteristics of this domain, the diffusion coefficient </w:t>
      </w:r>
      <w:r w:rsidRPr="004A2D84">
        <w:rPr>
          <w:rFonts w:ascii="Cambria Math" w:hAnsi="Cambria Math" w:cs="Cambria Math"/>
        </w:rPr>
        <w:t>𝐷𝑖</w:t>
      </w:r>
      <w:r w:rsidRPr="004A2D84">
        <w:t xml:space="preserve"> has been replaced by an effective diffusion coefficient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eff,i</m:t>
            </m:r>
          </m:sub>
        </m:sSub>
      </m:oMath>
      <w:r w:rsidRPr="004A2D84">
        <w:t xml:space="preserve"> defined as</w:t>
      </w:r>
      <w:r>
        <w:t>:</w:t>
      </w:r>
    </w:p>
    <w:p w14:paraId="62E29F10" w14:textId="77777777" w:rsidR="007541C4" w:rsidRDefault="007541C4" w:rsidP="007541C4">
      <w:pPr>
        <w:pStyle w:val="CETBodytext"/>
        <w:rPr>
          <w:lang w:val="en-GB"/>
        </w:rPr>
      </w:pP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eff,i</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ε</m:t>
            </m:r>
          </m:num>
          <m:den>
            <m:r>
              <w:rPr>
                <w:rFonts w:ascii="Cambria Math" w:hAnsi="Cambria Math"/>
                <w:lang w:val="en-GB"/>
              </w:rPr>
              <m:t>τ</m:t>
            </m:r>
          </m:den>
        </m:f>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oMath>
      <w:r w:rsidRPr="0029034D">
        <w:rPr>
          <w:lang w:val="en-GB"/>
        </w:rPr>
        <w:t xml:space="preserve">  </w:t>
      </w:r>
      <w:r>
        <w:rPr>
          <w:lang w:val="en-GB"/>
        </w:rPr>
        <w:tab/>
      </w:r>
      <w:r>
        <w:rPr>
          <w:lang w:val="en-GB"/>
        </w:rPr>
        <w:tab/>
      </w:r>
      <w:r w:rsidRPr="0029034D">
        <w:rPr>
          <w:lang w:val="en-GB"/>
        </w:rPr>
        <w:t>(</w:t>
      </w:r>
      <w:r>
        <w:rPr>
          <w:lang w:val="en-GB"/>
        </w:rPr>
        <w:t>4</w:t>
      </w:r>
      <w:r w:rsidRPr="0029034D">
        <w:rPr>
          <w:lang w:val="en-GB"/>
        </w:rPr>
        <w:t xml:space="preserve">)  </w:t>
      </w:r>
    </w:p>
    <w:p w14:paraId="2AFD0700" w14:textId="77777777" w:rsidR="007541C4" w:rsidRDefault="007541C4" w:rsidP="007541C4">
      <w:pPr>
        <w:pStyle w:val="CETBodytext"/>
        <w:rPr>
          <w:lang w:val="en-GB"/>
        </w:rPr>
      </w:pPr>
      <m:oMath>
        <m:r>
          <w:rPr>
            <w:rFonts w:ascii="Cambria Math" w:eastAsiaTheme="minorEastAsia" w:hAnsi="Cambria Math" w:cs="Poppins"/>
            <w:lang w:val="en-GB"/>
          </w:rPr>
          <m:t>τ=</m:t>
        </m:r>
        <m:sSup>
          <m:sSupPr>
            <m:ctrlPr>
              <w:rPr>
                <w:rFonts w:ascii="Cambria Math" w:eastAsiaTheme="minorEastAsia" w:hAnsi="Cambria Math" w:cs="Poppins"/>
                <w:i/>
                <w:lang w:val="en-GB"/>
              </w:rPr>
            </m:ctrlPr>
          </m:sSupPr>
          <m:e>
            <m:r>
              <w:rPr>
                <w:rFonts w:ascii="Cambria Math" w:eastAsiaTheme="minorEastAsia" w:hAnsi="Cambria Math" w:cs="Poppins"/>
                <w:lang w:val="en-GB"/>
              </w:rPr>
              <m:t>ε</m:t>
            </m:r>
          </m:e>
          <m:sup>
            <m:r>
              <w:rPr>
                <w:rFonts w:ascii="Cambria Math" w:eastAsiaTheme="minorEastAsia" w:hAnsi="Cambria Math" w:cs="Poppins"/>
                <w:lang w:val="en-GB"/>
              </w:rPr>
              <m:t>-1/2</m:t>
            </m:r>
          </m:sup>
        </m:sSup>
      </m:oMath>
      <w:r>
        <w:rPr>
          <w:lang w:val="en-GB"/>
        </w:rPr>
        <w:t xml:space="preserve">  </w:t>
      </w:r>
      <w:r>
        <w:rPr>
          <w:lang w:val="en-GB"/>
        </w:rPr>
        <w:tab/>
      </w:r>
      <w:r>
        <w:rPr>
          <w:lang w:val="en-GB"/>
        </w:rPr>
        <w:tab/>
        <w:t>(5)</w:t>
      </w:r>
    </w:p>
    <w:p w14:paraId="48024AD7" w14:textId="77777777" w:rsidR="007541C4" w:rsidRDefault="007541C4" w:rsidP="007541C4">
      <w:pPr>
        <w:pStyle w:val="CETBodytext"/>
        <w:rPr>
          <w:lang w:val="en-GB"/>
        </w:rPr>
      </w:pPr>
      <w:r w:rsidRPr="0029034D">
        <w:rPr>
          <w:lang w:val="en-GB"/>
        </w:rPr>
        <w:t xml:space="preserve">The parameters </w:t>
      </w:r>
      <w:r w:rsidRPr="0029034D">
        <w:rPr>
          <w:rFonts w:ascii="Cambria Math" w:hAnsi="Cambria Math" w:cs="Cambria Math"/>
          <w:lang w:val="en-GB"/>
        </w:rPr>
        <w:t>𝜀</w:t>
      </w:r>
      <w:r w:rsidRPr="0029034D">
        <w:rPr>
          <w:lang w:val="en-GB"/>
        </w:rPr>
        <w:t xml:space="preserve"> and </w:t>
      </w:r>
      <w:r w:rsidRPr="0029034D">
        <w:rPr>
          <w:rFonts w:ascii="Cambria Math" w:hAnsi="Cambria Math" w:cs="Cambria Math"/>
          <w:lang w:val="en-GB"/>
        </w:rPr>
        <w:t>𝜏</w:t>
      </w:r>
      <w:r w:rsidRPr="0029034D">
        <w:rPr>
          <w:lang w:val="en-GB"/>
        </w:rPr>
        <w:t xml:space="preserve"> have been defined based on</w:t>
      </w:r>
      <w:r>
        <w:rPr>
          <w:lang w:val="en-GB"/>
        </w:rPr>
        <w:t xml:space="preserve"> the</w:t>
      </w:r>
      <w:r w:rsidRPr="0029034D">
        <w:rPr>
          <w:lang w:val="en-GB"/>
        </w:rPr>
        <w:t xml:space="preserve"> literature and by applying the Bruggeman model (BM</w:t>
      </w:r>
      <w:r>
        <w:rPr>
          <w:lang w:val="en-GB"/>
        </w:rPr>
        <w:t xml:space="preserve">, </w:t>
      </w:r>
      <w:proofErr w:type="spellStart"/>
      <w:r>
        <w:rPr>
          <w:lang w:val="en-GB"/>
        </w:rPr>
        <w:t>Eq</w:t>
      </w:r>
      <w:proofErr w:type="spellEnd"/>
      <w:r>
        <w:rPr>
          <w:lang w:val="en-GB"/>
        </w:rPr>
        <w:t xml:space="preserve"> 5</w:t>
      </w:r>
      <w:r w:rsidRPr="0029034D">
        <w:rPr>
          <w:lang w:val="en-GB"/>
        </w:rPr>
        <w:t>)</w:t>
      </w:r>
      <w:r>
        <w:rPr>
          <w:lang w:val="en-GB"/>
        </w:rPr>
        <w:t xml:space="preserve"> (Tjaden et al., 2016)</w:t>
      </w:r>
      <w:r w:rsidRPr="0029034D">
        <w:rPr>
          <w:lang w:val="en-GB"/>
        </w:rPr>
        <w:t xml:space="preserve">. The porosity ranges between 30-40% for a bed composed of spheres, and then it has been set at 35%. </w:t>
      </w:r>
    </w:p>
    <w:p w14:paraId="1AFDEAA8" w14:textId="77777777" w:rsidR="007541C4" w:rsidRDefault="007541C4" w:rsidP="007541C4">
      <w:pPr>
        <w:pStyle w:val="CETHeading1"/>
        <w:tabs>
          <w:tab w:val="clear" w:pos="360"/>
          <w:tab w:val="right" w:pos="7100"/>
        </w:tabs>
        <w:jc w:val="both"/>
        <w:rPr>
          <w:lang w:val="en-GB"/>
        </w:rPr>
      </w:pPr>
      <w:r>
        <w:rPr>
          <w:lang w:val="en-GB"/>
        </w:rPr>
        <w:t xml:space="preserve">Results and discussion </w:t>
      </w:r>
    </w:p>
    <w:p w14:paraId="1A1FECA0" w14:textId="77777777" w:rsidR="007541C4" w:rsidRPr="00282241" w:rsidRDefault="007541C4" w:rsidP="007541C4">
      <w:pPr>
        <w:pStyle w:val="CETBodytext"/>
        <w:rPr>
          <w:lang w:val="en-GB"/>
        </w:rPr>
      </w:pPr>
      <w:r w:rsidRPr="006539FD">
        <w:rPr>
          <w:lang w:val="en-GB"/>
        </w:rPr>
        <w:t xml:space="preserve">To fully characterise both catalysts several experiments at different temperatures and pressure have been carried out. </w:t>
      </w:r>
      <w:r>
        <w:rPr>
          <w:lang w:val="en-GB"/>
        </w:rPr>
        <w:t>Both</w:t>
      </w:r>
      <w:r w:rsidRPr="006539FD">
        <w:rPr>
          <w:lang w:val="en-GB"/>
        </w:rPr>
        <w:t xml:space="preserve"> catalyst</w:t>
      </w:r>
      <w:r>
        <w:rPr>
          <w:lang w:val="en-GB"/>
        </w:rPr>
        <w:t>s</w:t>
      </w:r>
      <w:r w:rsidRPr="006539FD">
        <w:rPr>
          <w:lang w:val="en-GB"/>
        </w:rPr>
        <w:t xml:space="preserve"> ha</w:t>
      </w:r>
      <w:r>
        <w:rPr>
          <w:lang w:val="en-GB"/>
        </w:rPr>
        <w:t>ve</w:t>
      </w:r>
      <w:r w:rsidRPr="006539FD">
        <w:rPr>
          <w:lang w:val="en-GB"/>
        </w:rPr>
        <w:t xml:space="preserve"> been tested at 450 °C, 550 °C, 600 °C and 650 °C varying the pressure from 0 to 9 barg</w:t>
      </w:r>
      <w:r>
        <w:rPr>
          <w:lang w:val="en-GB"/>
        </w:rPr>
        <w:t>. For each test the pressure variation is described by three sections with different rates. The first one is linear and faster than other two, and it is related to the feeding of NH</w:t>
      </w:r>
      <w:r>
        <w:rPr>
          <w:vertAlign w:val="subscript"/>
          <w:lang w:val="en-GB"/>
        </w:rPr>
        <w:t>3</w:t>
      </w:r>
      <w:r>
        <w:rPr>
          <w:lang w:val="en-GB"/>
        </w:rPr>
        <w:t xml:space="preserve"> in the reactor. The slope of the pressure in this section is an index of catalyst activity and can be used for a preliminary comparison of their performance as a function of pressure and temperature. After a transitory (2</w:t>
      </w:r>
      <w:r w:rsidRPr="00676B5F">
        <w:rPr>
          <w:vertAlign w:val="superscript"/>
          <w:lang w:val="en-GB"/>
        </w:rPr>
        <w:t>nd</w:t>
      </w:r>
      <w:r>
        <w:rPr>
          <w:lang w:val="en-GB"/>
        </w:rPr>
        <w:t xml:space="preserve"> phase), the pressure increases with a lower linear trend which is only related with the conversion. Indeed, the ammonia cracking reaction (2NH</w:t>
      </w:r>
      <w:r>
        <w:rPr>
          <w:vertAlign w:val="subscript"/>
          <w:lang w:val="en-GB"/>
        </w:rPr>
        <w:t>3</w:t>
      </w:r>
      <w:r>
        <w:rPr>
          <w:lang w:val="en-GB"/>
        </w:rPr>
        <w:t xml:space="preserve"> </w:t>
      </w:r>
      <w:r w:rsidRPr="00282241">
        <w:rPr>
          <w:lang w:val="en-GB"/>
        </w:rPr>
        <w:sym w:font="Wingdings" w:char="F0E0"/>
      </w:r>
      <w:r>
        <w:rPr>
          <w:lang w:val="en-GB"/>
        </w:rPr>
        <w:t xml:space="preserve"> 3H</w:t>
      </w:r>
      <w:r>
        <w:rPr>
          <w:vertAlign w:val="subscript"/>
          <w:lang w:val="en-GB"/>
        </w:rPr>
        <w:t>2</w:t>
      </w:r>
      <w:r>
        <w:rPr>
          <w:lang w:val="en-GB"/>
        </w:rPr>
        <w:t xml:space="preserve"> + N</w:t>
      </w:r>
      <w:r>
        <w:rPr>
          <w:vertAlign w:val="subscript"/>
          <w:lang w:val="en-GB"/>
        </w:rPr>
        <w:t>2</w:t>
      </w:r>
      <w:r>
        <w:rPr>
          <w:lang w:val="en-GB"/>
        </w:rPr>
        <w:t xml:space="preserve">) occurs with an increase in number of moles followed by a pressure growth. </w:t>
      </w:r>
    </w:p>
    <w:p w14:paraId="55C57570" w14:textId="77777777" w:rsidR="007541C4" w:rsidRPr="00282241" w:rsidRDefault="007541C4" w:rsidP="007541C4">
      <w:pPr>
        <w:pStyle w:val="CETBodytext"/>
        <w:rPr>
          <w:lang w:val="en-GB"/>
        </w:rPr>
      </w:pPr>
    </w:p>
    <w:p w14:paraId="13373630" w14:textId="77777777" w:rsidR="007541C4" w:rsidRDefault="007541C4" w:rsidP="007541C4">
      <w:pPr>
        <w:pStyle w:val="CETBodytext"/>
        <w:keepNext/>
        <w:jc w:val="center"/>
      </w:pPr>
      <w:r>
        <w:rPr>
          <w:noProof/>
          <w:lang w:val="en-GB"/>
        </w:rPr>
        <w:drawing>
          <wp:inline distT="0" distB="0" distL="0" distR="0" wp14:anchorId="2E5319CE" wp14:editId="4511C090">
            <wp:extent cx="5400000" cy="2188019"/>
            <wp:effectExtent l="0" t="0" r="0" b="3175"/>
            <wp:docPr id="1453593073" name="Immagine 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93073" name="Immagine 1" descr="A graph of a number of number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188019"/>
                    </a:xfrm>
                    <a:prstGeom prst="rect">
                      <a:avLst/>
                    </a:prstGeom>
                    <a:noFill/>
                  </pic:spPr>
                </pic:pic>
              </a:graphicData>
            </a:graphic>
          </wp:inline>
        </w:drawing>
      </w:r>
    </w:p>
    <w:p w14:paraId="48268383" w14:textId="77777777" w:rsidR="007541C4" w:rsidRPr="00F9382D" w:rsidRDefault="007541C4" w:rsidP="007541C4">
      <w:pPr>
        <w:pStyle w:val="Caption"/>
        <w:rPr>
          <w:b w:val="0"/>
          <w:bCs w:val="0"/>
          <w:i/>
          <w:iCs/>
          <w:color w:val="auto"/>
        </w:rPr>
      </w:pPr>
      <w:r w:rsidRPr="00F9382D">
        <w:rPr>
          <w:b w:val="0"/>
          <w:bCs w:val="0"/>
          <w:i/>
          <w:iCs/>
          <w:color w:val="auto"/>
        </w:rPr>
        <w:t xml:space="preserve">Figure </w:t>
      </w:r>
      <w:r>
        <w:rPr>
          <w:b w:val="0"/>
          <w:bCs w:val="0"/>
          <w:i/>
          <w:iCs/>
          <w:color w:val="auto"/>
        </w:rPr>
        <w:t>2: a) Example of experimental (black line) and simulated (red line) pressure trends during the ammonia cracking testing in a batch reactor b) Corresponding NH</w:t>
      </w:r>
      <w:r w:rsidRPr="00776AC4">
        <w:rPr>
          <w:b w:val="0"/>
          <w:bCs w:val="0"/>
          <w:i/>
          <w:iCs/>
          <w:color w:val="auto"/>
          <w:vertAlign w:val="subscript"/>
        </w:rPr>
        <w:t>3</w:t>
      </w:r>
      <w:r>
        <w:rPr>
          <w:b w:val="0"/>
          <w:bCs w:val="0"/>
          <w:i/>
          <w:iCs/>
          <w:color w:val="auto"/>
        </w:rPr>
        <w:t>, H</w:t>
      </w:r>
      <w:r w:rsidRPr="00776AC4">
        <w:rPr>
          <w:b w:val="0"/>
          <w:bCs w:val="0"/>
          <w:i/>
          <w:iCs/>
          <w:color w:val="auto"/>
          <w:vertAlign w:val="subscript"/>
        </w:rPr>
        <w:t>2</w:t>
      </w:r>
      <w:r>
        <w:rPr>
          <w:b w:val="0"/>
          <w:bCs w:val="0"/>
          <w:i/>
          <w:iCs/>
          <w:color w:val="auto"/>
        </w:rPr>
        <w:t xml:space="preserve"> and N</w:t>
      </w:r>
      <w:r w:rsidRPr="00776AC4">
        <w:rPr>
          <w:b w:val="0"/>
          <w:bCs w:val="0"/>
          <w:i/>
          <w:iCs/>
          <w:color w:val="auto"/>
          <w:vertAlign w:val="subscript"/>
        </w:rPr>
        <w:t>2</w:t>
      </w:r>
      <w:r>
        <w:rPr>
          <w:b w:val="0"/>
          <w:bCs w:val="0"/>
          <w:i/>
          <w:iCs/>
          <w:color w:val="auto"/>
        </w:rPr>
        <w:t xml:space="preserve"> concentration profiles obtained by using the model described.</w:t>
      </w:r>
    </w:p>
    <w:p w14:paraId="08901BA6" w14:textId="77777777" w:rsidR="007541C4" w:rsidRDefault="007541C4" w:rsidP="007541C4">
      <w:pPr>
        <w:pStyle w:val="CETBodytext"/>
        <w:rPr>
          <w:lang w:val="en-GB"/>
        </w:rPr>
      </w:pPr>
    </w:p>
    <w:p w14:paraId="1B8167BA" w14:textId="77777777" w:rsidR="007541C4" w:rsidRDefault="007541C4" w:rsidP="007541C4">
      <w:pPr>
        <w:pStyle w:val="CETBodytext"/>
        <w:rPr>
          <w:lang w:val="en-GB"/>
        </w:rPr>
      </w:pPr>
      <w:r>
        <w:rPr>
          <w:lang w:val="en-GB"/>
        </w:rPr>
        <w:t xml:space="preserve">Nevertheless, it is reasonable to assume that the conversion starts since the first ammonia reaches the catalyst bed during the ammonia loading. Then, to estimate the conversion obtained in the full experiment the model described in section 2 has been applied </w:t>
      </w:r>
      <w:r w:rsidRPr="007E3FAC">
        <w:rPr>
          <w:lang w:val="en-GB"/>
        </w:rPr>
        <w:t>following</w:t>
      </w:r>
      <w:r>
        <w:rPr>
          <w:lang w:val="en-GB"/>
        </w:rPr>
        <w:t xml:space="preserve"> the</w:t>
      </w:r>
      <w:r w:rsidRPr="007E3FAC">
        <w:rPr>
          <w:lang w:val="en-GB"/>
        </w:rPr>
        <w:t xml:space="preserve"> scheme</w:t>
      </w:r>
      <w:r>
        <w:rPr>
          <w:lang w:val="en-GB"/>
        </w:rPr>
        <w:t xml:space="preserve"> here described</w:t>
      </w:r>
      <w:r w:rsidRPr="007E3FAC">
        <w:rPr>
          <w:lang w:val="en-GB"/>
        </w:rPr>
        <w:t>. Firstly, a simulation that</w:t>
      </w:r>
      <w:r>
        <w:rPr>
          <w:lang w:val="en-GB"/>
        </w:rPr>
        <w:t xml:space="preserve"> models the overall pressure inside the reactor since t</w:t>
      </w:r>
      <w:r w:rsidRPr="007E3FAC">
        <w:rPr>
          <w:lang w:val="en-GB"/>
        </w:rPr>
        <w:t>he ammonia injection and its cracking reaction has been performed</w:t>
      </w:r>
      <w:r>
        <w:rPr>
          <w:lang w:val="en-GB"/>
        </w:rPr>
        <w:t xml:space="preserve"> (Figure 2a). From this simulation, it is also possible to evaluate the concentration profiles for the reagent and products (Figure 2b).</w:t>
      </w:r>
      <w:r w:rsidRPr="007E3FAC">
        <w:rPr>
          <w:lang w:val="en-GB"/>
        </w:rPr>
        <w:t xml:space="preserve"> </w:t>
      </w:r>
      <w:r>
        <w:rPr>
          <w:lang w:val="en-GB"/>
        </w:rPr>
        <w:t>S</w:t>
      </w:r>
      <w:proofErr w:type="spellStart"/>
      <w:r>
        <w:rPr>
          <w:rStyle w:val="rynqvb"/>
          <w:lang w:val="en"/>
        </w:rPr>
        <w:t>ubsequently</w:t>
      </w:r>
      <w:proofErr w:type="spellEnd"/>
      <w:r>
        <w:rPr>
          <w:lang w:val="en-GB"/>
        </w:rPr>
        <w:t>, a</w:t>
      </w:r>
      <w:r w:rsidRPr="007E3FAC">
        <w:rPr>
          <w:lang w:val="en-GB"/>
        </w:rPr>
        <w:t xml:space="preserve"> second simulation is performed, excluding the reactive contribution (</w:t>
      </w:r>
      <w:r w:rsidRPr="00BB126E">
        <w:rPr>
          <w:lang w:val="en-GB"/>
        </w:rPr>
        <w:t xml:space="preserve">green curve in Figure </w:t>
      </w:r>
      <w:r>
        <w:rPr>
          <w:lang w:val="en-GB"/>
        </w:rPr>
        <w:t>2</w:t>
      </w:r>
      <w:r w:rsidRPr="00BB126E">
        <w:rPr>
          <w:lang w:val="en-GB"/>
        </w:rPr>
        <w:t>b</w:t>
      </w:r>
      <w:r w:rsidRPr="007E3FAC">
        <w:rPr>
          <w:lang w:val="en-GB"/>
        </w:rPr>
        <w:t>), and the difference between the two cases (e.g. ΔNH</w:t>
      </w:r>
      <w:r w:rsidRPr="00957F83">
        <w:rPr>
          <w:vertAlign w:val="subscript"/>
          <w:lang w:val="en-GB"/>
        </w:rPr>
        <w:t>3</w:t>
      </w:r>
      <w:r w:rsidRPr="007E3FAC">
        <w:rPr>
          <w:lang w:val="en-GB"/>
        </w:rPr>
        <w:t xml:space="preserve"> = </w:t>
      </w:r>
      <w:r>
        <w:rPr>
          <w:lang w:val="en-GB"/>
        </w:rPr>
        <w:t>5.2</w:t>
      </w:r>
      <w:r w:rsidRPr="007E3FAC">
        <w:rPr>
          <w:lang w:val="en-GB"/>
        </w:rPr>
        <w:t xml:space="preserve"> mol/m</w:t>
      </w:r>
      <w:r w:rsidRPr="00957F83">
        <w:rPr>
          <w:vertAlign w:val="superscript"/>
          <w:lang w:val="en-GB"/>
        </w:rPr>
        <w:t>3</w:t>
      </w:r>
      <w:r w:rsidRPr="007E3FAC">
        <w:rPr>
          <w:lang w:val="en-GB"/>
        </w:rPr>
        <w:t xml:space="preserve">) is representative of the </w:t>
      </w:r>
      <w:r w:rsidRPr="007E3FAC">
        <w:rPr>
          <w:lang w:val="en-GB"/>
        </w:rPr>
        <w:lastRenderedPageBreak/>
        <w:t>cracked ammonia. Then, it is possible to calculate the ammonia conversion at any time (e.g. after 1500 s X</w:t>
      </w:r>
      <w:r w:rsidRPr="00957F83">
        <w:rPr>
          <w:vertAlign w:val="subscript"/>
          <w:lang w:val="en-GB"/>
        </w:rPr>
        <w:t>NH3</w:t>
      </w:r>
      <w:r w:rsidRPr="007E3FAC">
        <w:rPr>
          <w:lang w:val="en-GB"/>
        </w:rPr>
        <w:t xml:space="preserve"> = </w:t>
      </w:r>
      <w:r>
        <w:rPr>
          <w:lang w:val="en-GB"/>
        </w:rPr>
        <w:t>3</w:t>
      </w:r>
      <w:r w:rsidRPr="007E3FAC">
        <w:rPr>
          <w:lang w:val="en-GB"/>
        </w:rPr>
        <w:t>%) and the corresponding H</w:t>
      </w:r>
      <w:r w:rsidRPr="00957F83">
        <w:rPr>
          <w:vertAlign w:val="subscript"/>
          <w:lang w:val="en-GB"/>
        </w:rPr>
        <w:t>2</w:t>
      </w:r>
      <w:r w:rsidRPr="007E3FAC">
        <w:rPr>
          <w:lang w:val="en-GB"/>
        </w:rPr>
        <w:t xml:space="preserve"> e N</w:t>
      </w:r>
      <w:r w:rsidRPr="00957F83">
        <w:rPr>
          <w:vertAlign w:val="subscript"/>
          <w:lang w:val="en-GB"/>
        </w:rPr>
        <w:t>2</w:t>
      </w:r>
      <w:r w:rsidRPr="007E3FAC">
        <w:rPr>
          <w:lang w:val="en-GB"/>
        </w:rPr>
        <w:t xml:space="preserve"> produced (e.g. after 1500 s [H</w:t>
      </w:r>
      <w:r w:rsidRPr="00957F83">
        <w:rPr>
          <w:vertAlign w:val="subscript"/>
          <w:lang w:val="en-GB"/>
        </w:rPr>
        <w:t>2</w:t>
      </w:r>
      <w:r w:rsidRPr="007E3FAC">
        <w:rPr>
          <w:lang w:val="en-GB"/>
        </w:rPr>
        <w:t xml:space="preserve">] = </w:t>
      </w:r>
      <w:r>
        <w:rPr>
          <w:lang w:val="en-GB"/>
        </w:rPr>
        <w:t>7.8</w:t>
      </w:r>
      <w:r w:rsidRPr="007E3FAC">
        <w:rPr>
          <w:lang w:val="en-GB"/>
        </w:rPr>
        <w:t xml:space="preserve"> mol/m</w:t>
      </w:r>
      <w:r w:rsidRPr="00957F83">
        <w:rPr>
          <w:vertAlign w:val="superscript"/>
          <w:lang w:val="en-GB"/>
        </w:rPr>
        <w:t>3</w:t>
      </w:r>
      <w:r w:rsidRPr="007E3FAC">
        <w:rPr>
          <w:lang w:val="en-GB"/>
        </w:rPr>
        <w:t xml:space="preserve"> and [N</w:t>
      </w:r>
      <w:r w:rsidRPr="00957F83">
        <w:rPr>
          <w:vertAlign w:val="subscript"/>
          <w:lang w:val="en-GB"/>
        </w:rPr>
        <w:t>2</w:t>
      </w:r>
      <w:r w:rsidRPr="007E3FAC">
        <w:rPr>
          <w:lang w:val="en-GB"/>
        </w:rPr>
        <w:t xml:space="preserve">] = </w:t>
      </w:r>
      <w:r>
        <w:rPr>
          <w:lang w:val="en-GB"/>
        </w:rPr>
        <w:t>2.6</w:t>
      </w:r>
      <w:r w:rsidRPr="007E3FAC">
        <w:rPr>
          <w:lang w:val="en-GB"/>
        </w:rPr>
        <w:t xml:space="preserve"> mol/m</w:t>
      </w:r>
      <w:r w:rsidRPr="00957F83">
        <w:rPr>
          <w:vertAlign w:val="superscript"/>
          <w:lang w:val="en-GB"/>
        </w:rPr>
        <w:t>3</w:t>
      </w:r>
      <w:r w:rsidRPr="007E3FAC">
        <w:rPr>
          <w:lang w:val="en-GB"/>
        </w:rPr>
        <w:t xml:space="preserve">). </w:t>
      </w:r>
      <w:r>
        <w:rPr>
          <w:lang w:val="en-GB"/>
        </w:rPr>
        <w:t xml:space="preserve">This approach has been applied to all the experiments and the obtained conversions as function of temperature and pressure are summarised </w:t>
      </w:r>
      <w:r w:rsidRPr="00464A41">
        <w:rPr>
          <w:lang w:val="en-GB"/>
        </w:rPr>
        <w:t>in Figure 3a and 3b, respectively</w:t>
      </w:r>
      <w:r>
        <w:rPr>
          <w:lang w:val="en-GB"/>
        </w:rPr>
        <w:t>. The results clearly show that at low temperature (450 °C) and pressure (0 barg) Ru/Al</w:t>
      </w:r>
      <w:r>
        <w:rPr>
          <w:vertAlign w:val="subscript"/>
          <w:lang w:val="en-GB"/>
        </w:rPr>
        <w:t>2</w:t>
      </w:r>
      <w:r>
        <w:rPr>
          <w:lang w:val="en-GB"/>
        </w:rPr>
        <w:t>O</w:t>
      </w:r>
      <w:r>
        <w:rPr>
          <w:vertAlign w:val="subscript"/>
          <w:lang w:val="en-GB"/>
        </w:rPr>
        <w:t>3</w:t>
      </w:r>
      <w:r>
        <w:rPr>
          <w:lang w:val="en-GB"/>
        </w:rPr>
        <w:t xml:space="preserve"> has higher performance than Ni/Al</w:t>
      </w:r>
      <w:r>
        <w:rPr>
          <w:vertAlign w:val="subscript"/>
          <w:lang w:val="en-GB"/>
        </w:rPr>
        <w:t>2</w:t>
      </w:r>
      <w:r>
        <w:rPr>
          <w:lang w:val="en-GB"/>
        </w:rPr>
        <w:t>O</w:t>
      </w:r>
      <w:r>
        <w:rPr>
          <w:vertAlign w:val="subscript"/>
          <w:lang w:val="en-GB"/>
        </w:rPr>
        <w:t>3</w:t>
      </w:r>
      <w:r>
        <w:rPr>
          <w:lang w:val="en-GB"/>
        </w:rPr>
        <w:t xml:space="preserve">, as expected from the literature (Medina et al. 2024; Peters et al. 2023). </w:t>
      </w:r>
    </w:p>
    <w:p w14:paraId="4E751BCB" w14:textId="77777777" w:rsidR="007541C4" w:rsidRPr="00957F83" w:rsidRDefault="007541C4" w:rsidP="007541C4">
      <w:pPr>
        <w:pStyle w:val="CETBodytext"/>
        <w:rPr>
          <w:lang w:val="en-GB"/>
        </w:rPr>
      </w:pPr>
      <w:r>
        <w:rPr>
          <w:lang w:val="en-GB"/>
        </w:rPr>
        <w:t>Nevertheless, t</w:t>
      </w:r>
      <w:r w:rsidRPr="00957F83">
        <w:rPr>
          <w:lang w:val="en-GB"/>
        </w:rPr>
        <w:t>he temperature increase has a beneficial effect on Ni/Al</w:t>
      </w:r>
      <w:r w:rsidRPr="00C615B0">
        <w:rPr>
          <w:vertAlign w:val="subscript"/>
          <w:lang w:val="en-GB"/>
        </w:rPr>
        <w:t>2</w:t>
      </w:r>
      <w:r w:rsidRPr="00957F83">
        <w:rPr>
          <w:lang w:val="en-GB"/>
        </w:rPr>
        <w:t>O</w:t>
      </w:r>
      <w:r w:rsidRPr="00C615B0">
        <w:rPr>
          <w:vertAlign w:val="subscript"/>
          <w:lang w:val="en-GB"/>
        </w:rPr>
        <w:t>3</w:t>
      </w:r>
      <w:r w:rsidRPr="00957F83">
        <w:rPr>
          <w:lang w:val="en-GB"/>
        </w:rPr>
        <w:t xml:space="preserve"> that is reported to enhance its activity over </w:t>
      </w:r>
      <w:r w:rsidRPr="00464A41">
        <w:rPr>
          <w:lang w:val="en-GB"/>
        </w:rPr>
        <w:t>600 °C</w:t>
      </w:r>
      <w:r>
        <w:rPr>
          <w:lang w:val="en-GB"/>
        </w:rPr>
        <w:t xml:space="preserve"> (Zheng et al., 2008)</w:t>
      </w:r>
      <w:r w:rsidRPr="00464A41">
        <w:rPr>
          <w:lang w:val="en-GB"/>
        </w:rPr>
        <w:t>. On the contrary, the Ru/Al</w:t>
      </w:r>
      <w:r w:rsidRPr="00464A41">
        <w:rPr>
          <w:vertAlign w:val="subscript"/>
          <w:lang w:val="en-GB"/>
        </w:rPr>
        <w:t>2</w:t>
      </w:r>
      <w:r w:rsidRPr="00464A41">
        <w:rPr>
          <w:lang w:val="en-GB"/>
        </w:rPr>
        <w:t>O</w:t>
      </w:r>
      <w:r w:rsidRPr="00464A41">
        <w:rPr>
          <w:vertAlign w:val="subscript"/>
          <w:lang w:val="en-GB"/>
        </w:rPr>
        <w:t>3</w:t>
      </w:r>
      <w:r w:rsidRPr="00464A41">
        <w:rPr>
          <w:lang w:val="en-GB"/>
        </w:rPr>
        <w:t xml:space="preserve"> has a lower improvement in its performance with temperature, and the ammonia conversion</w:t>
      </w:r>
      <w:r w:rsidRPr="00957F83">
        <w:rPr>
          <w:lang w:val="en-GB"/>
        </w:rPr>
        <w:t xml:space="preserve"> oscillates close to 11% for T ≥ 550 °C. This effect of the temperature can be explained by considering the following microkinetic model with the elementary steps for ammonia cracking and the rate-determining step:</w:t>
      </w:r>
    </w:p>
    <w:p w14:paraId="7DB810AF" w14:textId="77777777" w:rsidR="007541C4" w:rsidRPr="00957F83" w:rsidRDefault="007541C4" w:rsidP="007541C4">
      <w:pPr>
        <w:pStyle w:val="CETBodytext"/>
        <w:rPr>
          <w:lang w:val="en-GB"/>
        </w:rPr>
      </w:pPr>
      <w:r w:rsidRPr="00957F83">
        <w:rPr>
          <w:lang w:val="en-GB"/>
        </w:rPr>
        <w:t>1)</w:t>
      </w:r>
      <w:r>
        <w:rPr>
          <w:lang w:val="en-GB"/>
        </w:rPr>
        <w:t xml:space="preserve"> </w:t>
      </w:r>
      <w:r w:rsidRPr="00957F83">
        <w:rPr>
          <w:lang w:val="en-GB"/>
        </w:rPr>
        <w:t>Ammonia adsorption: NH</w:t>
      </w:r>
      <w:r w:rsidRPr="00C615B0">
        <w:rPr>
          <w:vertAlign w:val="subscript"/>
          <w:lang w:val="en-GB"/>
        </w:rPr>
        <w:t>3</w:t>
      </w:r>
      <w:r w:rsidRPr="00957F83">
        <w:rPr>
          <w:lang w:val="en-GB"/>
        </w:rPr>
        <w:t xml:space="preserve"> (g) + * ↔ NH</w:t>
      </w:r>
      <w:r w:rsidRPr="00C615B0">
        <w:rPr>
          <w:vertAlign w:val="subscript"/>
          <w:lang w:val="en-GB"/>
        </w:rPr>
        <w:t>3</w:t>
      </w:r>
      <w:r w:rsidRPr="00957F83">
        <w:rPr>
          <w:lang w:val="en-GB"/>
        </w:rPr>
        <w:t>* (ads)</w:t>
      </w:r>
      <w:r w:rsidRPr="00957F83">
        <w:rPr>
          <w:lang w:val="en-GB"/>
        </w:rPr>
        <w:tab/>
      </w:r>
      <w:r>
        <w:rPr>
          <w:lang w:val="en-GB"/>
        </w:rPr>
        <w:tab/>
        <w:t>(6</w:t>
      </w:r>
      <w:r w:rsidRPr="00957F83">
        <w:rPr>
          <w:lang w:val="en-GB"/>
        </w:rPr>
        <w:t>)</w:t>
      </w:r>
    </w:p>
    <w:p w14:paraId="196516E4" w14:textId="77777777" w:rsidR="007541C4" w:rsidRPr="00957F83" w:rsidRDefault="007541C4" w:rsidP="007541C4">
      <w:pPr>
        <w:pStyle w:val="CETBodytext"/>
        <w:rPr>
          <w:lang w:val="en-GB"/>
        </w:rPr>
      </w:pPr>
      <w:r w:rsidRPr="00957F83">
        <w:rPr>
          <w:lang w:val="en-GB"/>
        </w:rPr>
        <w:t>2)</w:t>
      </w:r>
      <w:r>
        <w:rPr>
          <w:lang w:val="en-GB"/>
        </w:rPr>
        <w:t xml:space="preserve"> </w:t>
      </w:r>
      <w:r w:rsidRPr="00957F83">
        <w:rPr>
          <w:lang w:val="en-GB"/>
        </w:rPr>
        <w:t>1</w:t>
      </w:r>
      <w:r w:rsidRPr="00957F83">
        <w:rPr>
          <w:vertAlign w:val="superscript"/>
          <w:lang w:val="en-GB"/>
        </w:rPr>
        <w:t>st</w:t>
      </w:r>
      <w:r w:rsidRPr="00957F83">
        <w:rPr>
          <w:lang w:val="en-GB"/>
        </w:rPr>
        <w:t xml:space="preserve"> N-H cleavage: NH</w:t>
      </w:r>
      <w:r w:rsidRPr="00C615B0">
        <w:rPr>
          <w:vertAlign w:val="subscript"/>
          <w:lang w:val="en-GB"/>
        </w:rPr>
        <w:t>3</w:t>
      </w:r>
      <w:r w:rsidRPr="00957F83">
        <w:rPr>
          <w:lang w:val="en-GB"/>
        </w:rPr>
        <w:t>* (ads) + * → NH</w:t>
      </w:r>
      <w:r w:rsidRPr="00C615B0">
        <w:rPr>
          <w:vertAlign w:val="subscript"/>
          <w:lang w:val="en-GB"/>
        </w:rPr>
        <w:t>2</w:t>
      </w:r>
      <w:r w:rsidRPr="00957F83">
        <w:rPr>
          <w:lang w:val="en-GB"/>
        </w:rPr>
        <w:t>* (ads) + H* (ads)</w:t>
      </w:r>
      <w:r w:rsidRPr="00957F83">
        <w:rPr>
          <w:lang w:val="en-GB"/>
        </w:rPr>
        <w:tab/>
      </w:r>
      <w:r>
        <w:rPr>
          <w:lang w:val="en-GB"/>
        </w:rPr>
        <w:tab/>
      </w:r>
      <w:r w:rsidRPr="00957F83">
        <w:rPr>
          <w:lang w:val="en-GB"/>
        </w:rPr>
        <w:t>(</w:t>
      </w:r>
      <w:r>
        <w:rPr>
          <w:lang w:val="en-GB"/>
        </w:rPr>
        <w:t>7</w:t>
      </w:r>
      <w:r w:rsidRPr="00957F83">
        <w:rPr>
          <w:lang w:val="en-GB"/>
        </w:rPr>
        <w:t>)</w:t>
      </w:r>
    </w:p>
    <w:p w14:paraId="562BF27B" w14:textId="77777777" w:rsidR="007541C4" w:rsidRPr="00957F83" w:rsidRDefault="007541C4" w:rsidP="007541C4">
      <w:pPr>
        <w:pStyle w:val="CETBodytext"/>
        <w:rPr>
          <w:lang w:val="en-GB"/>
        </w:rPr>
      </w:pPr>
      <w:r w:rsidRPr="00957F83">
        <w:rPr>
          <w:lang w:val="en-GB"/>
        </w:rPr>
        <w:t>3)</w:t>
      </w:r>
      <w:r>
        <w:rPr>
          <w:lang w:val="en-GB"/>
        </w:rPr>
        <w:t xml:space="preserve"> </w:t>
      </w:r>
      <w:r w:rsidRPr="00957F83">
        <w:rPr>
          <w:lang w:val="en-GB"/>
        </w:rPr>
        <w:t>2</w:t>
      </w:r>
      <w:r w:rsidRPr="00957F83">
        <w:rPr>
          <w:vertAlign w:val="superscript"/>
          <w:lang w:val="en-GB"/>
        </w:rPr>
        <w:t>nd</w:t>
      </w:r>
      <w:r w:rsidRPr="00957F83">
        <w:rPr>
          <w:lang w:val="en-GB"/>
        </w:rPr>
        <w:t xml:space="preserve"> N-H cleavage: NH</w:t>
      </w:r>
      <w:r w:rsidRPr="00C615B0">
        <w:rPr>
          <w:vertAlign w:val="subscript"/>
          <w:lang w:val="en-GB"/>
        </w:rPr>
        <w:t>2</w:t>
      </w:r>
      <w:r w:rsidRPr="00957F83">
        <w:rPr>
          <w:lang w:val="en-GB"/>
        </w:rPr>
        <w:t>* (ads) + * → NH* (ads) + H* (ads)</w:t>
      </w:r>
      <w:r w:rsidRPr="00957F83">
        <w:rPr>
          <w:lang w:val="en-GB"/>
        </w:rPr>
        <w:tab/>
      </w:r>
      <w:r>
        <w:rPr>
          <w:lang w:val="en-GB"/>
        </w:rPr>
        <w:tab/>
      </w:r>
      <w:r w:rsidRPr="00957F83">
        <w:rPr>
          <w:lang w:val="en-GB"/>
        </w:rPr>
        <w:t>(</w:t>
      </w:r>
      <w:r>
        <w:rPr>
          <w:lang w:val="en-GB"/>
        </w:rPr>
        <w:t>8</w:t>
      </w:r>
      <w:r w:rsidRPr="00957F83">
        <w:rPr>
          <w:lang w:val="en-GB"/>
        </w:rPr>
        <w:t>)</w:t>
      </w:r>
    </w:p>
    <w:p w14:paraId="6F0247BA" w14:textId="77777777" w:rsidR="007541C4" w:rsidRPr="00957F83" w:rsidRDefault="007541C4" w:rsidP="007541C4">
      <w:pPr>
        <w:pStyle w:val="CETBodytext"/>
        <w:rPr>
          <w:lang w:val="en-GB"/>
        </w:rPr>
      </w:pPr>
      <w:r w:rsidRPr="00957F83">
        <w:rPr>
          <w:lang w:val="en-GB"/>
        </w:rPr>
        <w:t>4)</w:t>
      </w:r>
      <w:r>
        <w:rPr>
          <w:lang w:val="en-GB"/>
        </w:rPr>
        <w:t xml:space="preserve"> </w:t>
      </w:r>
      <w:r w:rsidRPr="00957F83">
        <w:rPr>
          <w:lang w:val="en-GB"/>
        </w:rPr>
        <w:t>3</w:t>
      </w:r>
      <w:r w:rsidRPr="00C615B0">
        <w:rPr>
          <w:vertAlign w:val="superscript"/>
          <w:lang w:val="en-GB"/>
        </w:rPr>
        <w:t>rd</w:t>
      </w:r>
      <w:r w:rsidRPr="00957F83">
        <w:rPr>
          <w:lang w:val="en-GB"/>
        </w:rPr>
        <w:t xml:space="preserve"> N-H cleavage: NH* (ads) + * → N* (ads) + H* (ads)</w:t>
      </w:r>
      <w:r>
        <w:rPr>
          <w:lang w:val="en-GB"/>
        </w:rPr>
        <w:t xml:space="preserve"> </w:t>
      </w:r>
      <w:r w:rsidRPr="00957F83">
        <w:rPr>
          <w:lang w:val="en-GB"/>
        </w:rPr>
        <w:tab/>
      </w:r>
      <w:r>
        <w:rPr>
          <w:lang w:val="en-GB"/>
        </w:rPr>
        <w:tab/>
      </w:r>
      <w:r w:rsidRPr="00957F83">
        <w:rPr>
          <w:lang w:val="en-GB"/>
        </w:rPr>
        <w:t>(</w:t>
      </w:r>
      <w:r>
        <w:rPr>
          <w:lang w:val="en-GB"/>
        </w:rPr>
        <w:t>9</w:t>
      </w:r>
      <w:r w:rsidRPr="00957F83">
        <w:rPr>
          <w:lang w:val="en-GB"/>
        </w:rPr>
        <w:t>)</w:t>
      </w:r>
    </w:p>
    <w:p w14:paraId="45868BC1" w14:textId="77777777" w:rsidR="007541C4" w:rsidRPr="00957F83" w:rsidRDefault="007541C4" w:rsidP="007541C4">
      <w:pPr>
        <w:pStyle w:val="CETBodytext"/>
        <w:rPr>
          <w:lang w:val="en-GB"/>
        </w:rPr>
      </w:pPr>
      <w:r w:rsidRPr="00957F83">
        <w:rPr>
          <w:lang w:val="en-GB"/>
        </w:rPr>
        <w:t>5)</w:t>
      </w:r>
      <w:r>
        <w:rPr>
          <w:lang w:val="en-GB"/>
        </w:rPr>
        <w:t xml:space="preserve"> </w:t>
      </w:r>
      <w:r w:rsidRPr="00957F83">
        <w:rPr>
          <w:lang w:val="en-GB"/>
        </w:rPr>
        <w:t>H</w:t>
      </w:r>
      <w:r w:rsidRPr="00900BD7">
        <w:rPr>
          <w:vertAlign w:val="subscript"/>
          <w:lang w:val="en-GB"/>
        </w:rPr>
        <w:t>2</w:t>
      </w:r>
      <w:r w:rsidRPr="00957F83">
        <w:rPr>
          <w:lang w:val="en-GB"/>
        </w:rPr>
        <w:t xml:space="preserve"> recombination: 2H*(ads) → H</w:t>
      </w:r>
      <w:r w:rsidRPr="00C615B0">
        <w:rPr>
          <w:vertAlign w:val="subscript"/>
          <w:lang w:val="en-GB"/>
        </w:rPr>
        <w:t>2</w:t>
      </w:r>
      <w:r w:rsidRPr="00957F83">
        <w:rPr>
          <w:lang w:val="en-GB"/>
        </w:rPr>
        <w:t xml:space="preserve"> (g) + 2*</w:t>
      </w:r>
      <w:r>
        <w:rPr>
          <w:lang w:val="en-GB"/>
        </w:rPr>
        <w:t xml:space="preserve"> </w:t>
      </w:r>
      <w:r w:rsidRPr="00957F83">
        <w:rPr>
          <w:lang w:val="en-GB"/>
        </w:rPr>
        <w:tab/>
      </w:r>
      <w:r>
        <w:rPr>
          <w:lang w:val="en-GB"/>
        </w:rPr>
        <w:tab/>
      </w:r>
      <w:r w:rsidRPr="00957F83">
        <w:rPr>
          <w:lang w:val="en-GB"/>
        </w:rPr>
        <w:t>(1</w:t>
      </w:r>
      <w:r>
        <w:rPr>
          <w:lang w:val="en-GB"/>
        </w:rPr>
        <w:t>0</w:t>
      </w:r>
      <w:r w:rsidRPr="00957F83">
        <w:rPr>
          <w:lang w:val="en-GB"/>
        </w:rPr>
        <w:t>)</w:t>
      </w:r>
    </w:p>
    <w:p w14:paraId="55AC3537" w14:textId="77777777" w:rsidR="007541C4" w:rsidRPr="00957F83" w:rsidRDefault="007541C4" w:rsidP="007541C4">
      <w:pPr>
        <w:pStyle w:val="CETBodytext"/>
        <w:rPr>
          <w:lang w:val="en-GB"/>
        </w:rPr>
      </w:pPr>
      <w:r w:rsidRPr="00957F83">
        <w:rPr>
          <w:lang w:val="en-GB"/>
        </w:rPr>
        <w:t>6)</w:t>
      </w:r>
      <w:r>
        <w:rPr>
          <w:lang w:val="en-GB"/>
        </w:rPr>
        <w:t xml:space="preserve"> </w:t>
      </w:r>
      <w:r w:rsidRPr="00957F83">
        <w:rPr>
          <w:lang w:val="en-GB"/>
        </w:rPr>
        <w:t>N</w:t>
      </w:r>
      <w:r w:rsidRPr="00900BD7">
        <w:rPr>
          <w:vertAlign w:val="subscript"/>
          <w:lang w:val="en-GB"/>
        </w:rPr>
        <w:t>2</w:t>
      </w:r>
      <w:r w:rsidRPr="00957F83">
        <w:rPr>
          <w:lang w:val="en-GB"/>
        </w:rPr>
        <w:t xml:space="preserve"> recombination: 2N* (ads) → N</w:t>
      </w:r>
      <w:r w:rsidRPr="00C615B0">
        <w:rPr>
          <w:vertAlign w:val="subscript"/>
          <w:lang w:val="en-GB"/>
        </w:rPr>
        <w:t>2</w:t>
      </w:r>
      <w:r w:rsidRPr="00957F83">
        <w:rPr>
          <w:lang w:val="en-GB"/>
        </w:rPr>
        <w:t xml:space="preserve"> (g) + 2*</w:t>
      </w:r>
      <w:r>
        <w:rPr>
          <w:lang w:val="en-GB"/>
        </w:rPr>
        <w:t xml:space="preserve"> </w:t>
      </w:r>
      <w:r w:rsidRPr="00957F83">
        <w:rPr>
          <w:lang w:val="en-GB"/>
        </w:rPr>
        <w:tab/>
      </w:r>
      <w:r>
        <w:rPr>
          <w:lang w:val="en-GB"/>
        </w:rPr>
        <w:tab/>
      </w:r>
      <w:r w:rsidRPr="00957F83">
        <w:rPr>
          <w:lang w:val="en-GB"/>
        </w:rPr>
        <w:t>(1</w:t>
      </w:r>
      <w:r>
        <w:rPr>
          <w:lang w:val="en-GB"/>
        </w:rPr>
        <w:t>1</w:t>
      </w:r>
      <w:r w:rsidRPr="00957F83">
        <w:rPr>
          <w:lang w:val="en-GB"/>
        </w:rPr>
        <w:t>)</w:t>
      </w:r>
    </w:p>
    <w:p w14:paraId="4A827178" w14:textId="77777777" w:rsidR="007541C4" w:rsidRPr="00957F83" w:rsidRDefault="007541C4" w:rsidP="007541C4">
      <w:pPr>
        <w:pStyle w:val="CETBodytext"/>
        <w:rPr>
          <w:lang w:val="en-GB"/>
        </w:rPr>
      </w:pPr>
      <w:r w:rsidRPr="00957F83">
        <w:rPr>
          <w:lang w:val="en-GB"/>
        </w:rPr>
        <w:t xml:space="preserve">where * is the active surface site </w:t>
      </w:r>
      <w:r>
        <w:rPr>
          <w:lang w:val="en-GB"/>
        </w:rPr>
        <w:t>(</w:t>
      </w:r>
      <w:proofErr w:type="spellStart"/>
      <w:r>
        <w:rPr>
          <w:lang w:val="en-GB"/>
        </w:rPr>
        <w:t>Trangwachirachai</w:t>
      </w:r>
      <w:proofErr w:type="spellEnd"/>
      <w:r>
        <w:rPr>
          <w:lang w:val="en-GB"/>
        </w:rPr>
        <w:t xml:space="preserve"> et al., 2024).</w:t>
      </w:r>
    </w:p>
    <w:p w14:paraId="0947F76B" w14:textId="77777777" w:rsidR="007541C4" w:rsidRDefault="007541C4" w:rsidP="007541C4">
      <w:pPr>
        <w:pStyle w:val="CETBodytext"/>
        <w:keepNext/>
      </w:pPr>
      <w:r w:rsidRPr="00A91EB6">
        <w:rPr>
          <w:rFonts w:ascii="Poppins" w:hAnsi="Poppins" w:cs="Poppins"/>
          <w:noProof/>
          <w:lang w:val="en-GB"/>
        </w:rPr>
        <w:drawing>
          <wp:inline distT="0" distB="0" distL="0" distR="0" wp14:anchorId="55152E27" wp14:editId="28985FD7">
            <wp:extent cx="5579745" cy="2237435"/>
            <wp:effectExtent l="0" t="0" r="1905" b="0"/>
            <wp:docPr id="25" name="Picture 25"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graph of a graph of a graph of a graph of a graph of a graph of a graph of a graph of a graph of a graph of a graph of a graph of&#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t="1208" b="1208"/>
                    <a:stretch>
                      <a:fillRect/>
                    </a:stretch>
                  </pic:blipFill>
                  <pic:spPr bwMode="auto">
                    <a:xfrm>
                      <a:off x="0" y="0"/>
                      <a:ext cx="5579745" cy="2237435"/>
                    </a:xfrm>
                    <a:prstGeom prst="rect">
                      <a:avLst/>
                    </a:prstGeom>
                    <a:noFill/>
                    <a:ln>
                      <a:noFill/>
                    </a:ln>
                    <a:extLst>
                      <a:ext uri="{53640926-AAD7-44D8-BBD7-CCE9431645EC}">
                        <a14:shadowObscured xmlns:a14="http://schemas.microsoft.com/office/drawing/2010/main"/>
                      </a:ext>
                    </a:extLst>
                  </pic:spPr>
                </pic:pic>
              </a:graphicData>
            </a:graphic>
          </wp:inline>
        </w:drawing>
      </w:r>
    </w:p>
    <w:p w14:paraId="28EB69C9" w14:textId="77777777" w:rsidR="007541C4" w:rsidRPr="00C315B2" w:rsidRDefault="007541C4" w:rsidP="007541C4">
      <w:pPr>
        <w:pStyle w:val="Caption"/>
        <w:rPr>
          <w:b w:val="0"/>
          <w:bCs w:val="0"/>
          <w:i/>
          <w:iCs/>
          <w:color w:val="auto"/>
        </w:rPr>
      </w:pPr>
      <w:r w:rsidRPr="00776AC4">
        <w:rPr>
          <w:b w:val="0"/>
          <w:bCs w:val="0"/>
          <w:i/>
          <w:iCs/>
          <w:color w:val="auto"/>
        </w:rPr>
        <w:t xml:space="preserve">Figure </w:t>
      </w:r>
      <w:r>
        <w:rPr>
          <w:b w:val="0"/>
          <w:bCs w:val="0"/>
          <w:i/>
          <w:iCs/>
          <w:color w:val="auto"/>
        </w:rPr>
        <w:t>3: a) Calculated ammonia conversion at 0 barg and different temperature for Ni/Al</w:t>
      </w:r>
      <w:r w:rsidRPr="007629BA">
        <w:rPr>
          <w:b w:val="0"/>
          <w:bCs w:val="0"/>
          <w:i/>
          <w:iCs/>
          <w:color w:val="auto"/>
          <w:vertAlign w:val="subscript"/>
        </w:rPr>
        <w:t>2</w:t>
      </w:r>
      <w:r>
        <w:rPr>
          <w:b w:val="0"/>
          <w:bCs w:val="0"/>
          <w:i/>
          <w:iCs/>
          <w:color w:val="auto"/>
        </w:rPr>
        <w:t>O</w:t>
      </w:r>
      <w:r w:rsidRPr="007629BA">
        <w:rPr>
          <w:b w:val="0"/>
          <w:bCs w:val="0"/>
          <w:i/>
          <w:iCs/>
          <w:color w:val="auto"/>
          <w:vertAlign w:val="subscript"/>
        </w:rPr>
        <w:t>3</w:t>
      </w:r>
      <w:r>
        <w:rPr>
          <w:b w:val="0"/>
          <w:bCs w:val="0"/>
          <w:i/>
          <w:iCs/>
          <w:color w:val="auto"/>
        </w:rPr>
        <w:t xml:space="preserve"> and Ru/Al</w:t>
      </w:r>
      <w:r w:rsidRPr="007629BA">
        <w:rPr>
          <w:b w:val="0"/>
          <w:bCs w:val="0"/>
          <w:i/>
          <w:iCs/>
          <w:color w:val="auto"/>
          <w:vertAlign w:val="subscript"/>
        </w:rPr>
        <w:t>2</w:t>
      </w:r>
      <w:r>
        <w:rPr>
          <w:b w:val="0"/>
          <w:bCs w:val="0"/>
          <w:i/>
          <w:iCs/>
          <w:color w:val="auto"/>
        </w:rPr>
        <w:t>O</w:t>
      </w:r>
      <w:r w:rsidRPr="007629BA">
        <w:rPr>
          <w:b w:val="0"/>
          <w:bCs w:val="0"/>
          <w:i/>
          <w:iCs/>
          <w:color w:val="auto"/>
          <w:vertAlign w:val="subscript"/>
        </w:rPr>
        <w:t>3</w:t>
      </w:r>
      <w:r>
        <w:rPr>
          <w:b w:val="0"/>
          <w:bCs w:val="0"/>
          <w:i/>
          <w:iCs/>
          <w:color w:val="auto"/>
          <w:vertAlign w:val="subscript"/>
        </w:rPr>
        <w:t xml:space="preserve"> </w:t>
      </w:r>
      <w:r>
        <w:rPr>
          <w:b w:val="0"/>
          <w:bCs w:val="0"/>
          <w:i/>
          <w:iCs/>
          <w:color w:val="auto"/>
        </w:rPr>
        <w:t>and b) at 550 °C and different initial ammonia pressure.</w:t>
      </w:r>
    </w:p>
    <w:p w14:paraId="6A461A69" w14:textId="77777777" w:rsidR="007541C4" w:rsidRDefault="007541C4" w:rsidP="007541C4">
      <w:pPr>
        <w:pStyle w:val="CETBodytext"/>
        <w:rPr>
          <w:lang w:val="en-GB"/>
        </w:rPr>
      </w:pPr>
    </w:p>
    <w:p w14:paraId="1E70188C" w14:textId="77777777" w:rsidR="007541C4" w:rsidRPr="00957F83" w:rsidRDefault="007541C4" w:rsidP="007541C4">
      <w:pPr>
        <w:pStyle w:val="CETBodytext"/>
        <w:rPr>
          <w:lang w:val="en-GB"/>
        </w:rPr>
      </w:pPr>
      <w:r w:rsidRPr="00957F83">
        <w:rPr>
          <w:lang w:val="en-GB"/>
        </w:rPr>
        <w:t>At temperatures below 550 °C, the rate-determining step for Ru/Al</w:t>
      </w:r>
      <w:r w:rsidRPr="00C615B0">
        <w:rPr>
          <w:vertAlign w:val="subscript"/>
          <w:lang w:val="en-GB"/>
        </w:rPr>
        <w:t>2</w:t>
      </w:r>
      <w:r w:rsidRPr="00957F83">
        <w:rPr>
          <w:lang w:val="en-GB"/>
        </w:rPr>
        <w:t>O</w:t>
      </w:r>
      <w:r w:rsidRPr="00C615B0">
        <w:rPr>
          <w:vertAlign w:val="subscript"/>
          <w:lang w:val="en-GB"/>
        </w:rPr>
        <w:t>3</w:t>
      </w:r>
      <w:r w:rsidRPr="00957F83">
        <w:rPr>
          <w:lang w:val="en-GB"/>
        </w:rPr>
        <w:t xml:space="preserve"> is assumed to be the N-N recombination to form N</w:t>
      </w:r>
      <w:r w:rsidRPr="00C615B0">
        <w:rPr>
          <w:vertAlign w:val="subscript"/>
          <w:lang w:val="en-GB"/>
        </w:rPr>
        <w:t>2</w:t>
      </w:r>
      <w:r w:rsidRPr="00957F83">
        <w:rPr>
          <w:lang w:val="en-GB"/>
        </w:rPr>
        <w:t>. In contrast, at higher temperatures, the desorption of H* (as H</w:t>
      </w:r>
      <w:r w:rsidRPr="00C615B0">
        <w:rPr>
          <w:vertAlign w:val="subscript"/>
          <w:lang w:val="en-GB"/>
        </w:rPr>
        <w:t>2</w:t>
      </w:r>
      <w:r w:rsidRPr="00957F83">
        <w:rPr>
          <w:lang w:val="en-GB"/>
        </w:rPr>
        <w:t>) hinders the cracking kinetic due to the low dissociation barrier of hydrogen. This change in the rate-determining step negatively affects the overall reaction rate because the affinity of H* with Ru surface is higher than that of N*. Moreover, for each cracked NH</w:t>
      </w:r>
      <w:r w:rsidRPr="00C615B0">
        <w:rPr>
          <w:vertAlign w:val="subscript"/>
          <w:lang w:val="en-GB"/>
        </w:rPr>
        <w:t>3</w:t>
      </w:r>
      <w:r w:rsidRPr="00957F83">
        <w:rPr>
          <w:lang w:val="en-GB"/>
        </w:rPr>
        <w:t xml:space="preserve"> molecule, the hydrogen atoms released are more than nitrogen ones, and then they occupy more active sites, and a slowdown of their desorption has a more negative impact than those linked with the desorption of nitrogen. </w:t>
      </w:r>
      <w:r>
        <w:rPr>
          <w:lang w:val="en-GB"/>
        </w:rPr>
        <w:t>A s</w:t>
      </w:r>
      <w:r w:rsidRPr="00957F83">
        <w:rPr>
          <w:lang w:val="en-GB"/>
        </w:rPr>
        <w:t xml:space="preserve">imilar detrimental </w:t>
      </w:r>
      <w:r>
        <w:rPr>
          <w:lang w:val="en-GB"/>
        </w:rPr>
        <w:t>effect</w:t>
      </w:r>
      <w:r w:rsidRPr="00957F83">
        <w:rPr>
          <w:lang w:val="en-GB"/>
        </w:rPr>
        <w:t xml:space="preserve"> has been identified for the Ru/Al</w:t>
      </w:r>
      <w:r w:rsidRPr="00C615B0">
        <w:rPr>
          <w:vertAlign w:val="subscript"/>
          <w:lang w:val="en-GB"/>
        </w:rPr>
        <w:t>2</w:t>
      </w:r>
      <w:r w:rsidRPr="00957F83">
        <w:rPr>
          <w:lang w:val="en-GB"/>
        </w:rPr>
        <w:t>O</w:t>
      </w:r>
      <w:r w:rsidRPr="00C615B0">
        <w:rPr>
          <w:vertAlign w:val="subscript"/>
          <w:lang w:val="en-GB"/>
        </w:rPr>
        <w:t>3</w:t>
      </w:r>
      <w:r w:rsidRPr="00957F83">
        <w:rPr>
          <w:lang w:val="en-GB"/>
        </w:rPr>
        <w:t xml:space="preserve"> at 550 °C, increasing the NH</w:t>
      </w:r>
      <w:r w:rsidRPr="00C615B0">
        <w:rPr>
          <w:vertAlign w:val="subscript"/>
          <w:lang w:val="en-GB"/>
        </w:rPr>
        <w:t>3</w:t>
      </w:r>
      <w:r w:rsidRPr="00957F83">
        <w:rPr>
          <w:lang w:val="en-GB"/>
        </w:rPr>
        <w:t xml:space="preserve"> initial pressure. The conversion drops from an average of 11.2% at 0 barg to values lower than 4% for pressure higher than 5 barg. The literature ascribes such a trend to the same phenomenon just introduced to explain the low impact of temperature increase by using a Ru-based material, with the adsorbed atomic hydrogen that remains on the catalyst surface inhibiting the desired cracking reaction</w:t>
      </w:r>
      <w:r>
        <w:rPr>
          <w:lang w:val="en-GB"/>
        </w:rPr>
        <w:t>.</w:t>
      </w:r>
    </w:p>
    <w:p w14:paraId="4D6A63A3" w14:textId="77777777" w:rsidR="007541C4" w:rsidRDefault="007541C4" w:rsidP="007541C4">
      <w:pPr>
        <w:pStyle w:val="CETBodytext"/>
        <w:rPr>
          <w:lang w:val="en-GB"/>
        </w:rPr>
      </w:pPr>
      <w:r>
        <w:rPr>
          <w:lang w:val="en-GB"/>
        </w:rPr>
        <w:t>The SEM analysis has been used to evaluate the impact of ammonia cracking</w:t>
      </w:r>
      <w:r w:rsidRPr="00EC52CD">
        <w:rPr>
          <w:lang w:val="en-GB"/>
        </w:rPr>
        <w:t xml:space="preserve"> on catalyst morphology by comparing images of pristine and tested </w:t>
      </w:r>
      <w:r w:rsidRPr="0011584B">
        <w:rPr>
          <w:lang w:val="en-GB"/>
        </w:rPr>
        <w:t>materials (Figure 4 a-d). Ni/Al</w:t>
      </w:r>
      <w:r w:rsidRPr="0011584B">
        <w:rPr>
          <w:vertAlign w:val="subscript"/>
          <w:lang w:val="en-GB"/>
        </w:rPr>
        <w:t>2</w:t>
      </w:r>
      <w:r w:rsidRPr="0011584B">
        <w:rPr>
          <w:lang w:val="en-GB"/>
        </w:rPr>
        <w:t>O</w:t>
      </w:r>
      <w:r w:rsidRPr="0011584B">
        <w:rPr>
          <w:vertAlign w:val="subscript"/>
          <w:lang w:val="en-GB"/>
        </w:rPr>
        <w:t>3</w:t>
      </w:r>
      <w:r w:rsidRPr="0011584B">
        <w:rPr>
          <w:lang w:val="en-GB"/>
        </w:rPr>
        <w:t xml:space="preserve"> particle</w:t>
      </w:r>
      <w:r w:rsidRPr="00EC52CD">
        <w:rPr>
          <w:lang w:val="en-GB"/>
        </w:rPr>
        <w:t xml:space="preserve"> shows no relevant surface modification with a stable behaviour. On the contrary, the testing activity has a negative impact on the reduced Ru/Al</w:t>
      </w:r>
      <w:r w:rsidRPr="00EC52CD">
        <w:rPr>
          <w:vertAlign w:val="subscript"/>
          <w:lang w:val="en-GB"/>
        </w:rPr>
        <w:t>2</w:t>
      </w:r>
      <w:r w:rsidRPr="00EC52CD">
        <w:rPr>
          <w:lang w:val="en-GB"/>
        </w:rPr>
        <w:t>O</w:t>
      </w:r>
      <w:r w:rsidRPr="00EC52CD">
        <w:rPr>
          <w:vertAlign w:val="subscript"/>
          <w:lang w:val="en-GB"/>
        </w:rPr>
        <w:t>3</w:t>
      </w:r>
      <w:r w:rsidRPr="00EC52CD">
        <w:rPr>
          <w:lang w:val="en-GB"/>
        </w:rPr>
        <w:t xml:space="preserve"> visible </w:t>
      </w:r>
      <w:r w:rsidRPr="0011584B">
        <w:rPr>
          <w:lang w:val="en-GB"/>
        </w:rPr>
        <w:t>from Figure 4 d),</w:t>
      </w:r>
      <w:r w:rsidRPr="00EC52CD">
        <w:rPr>
          <w:lang w:val="en-GB"/>
        </w:rPr>
        <w:t xml:space="preserve"> where at least three cracks are well visible over the catalyst surface. The presence of such defects can explain the enhanced brittleness observed in the Ru-based particles compared to both the Ni/Al</w:t>
      </w:r>
      <w:r w:rsidRPr="00EC52CD">
        <w:rPr>
          <w:vertAlign w:val="subscript"/>
          <w:lang w:val="en-GB"/>
        </w:rPr>
        <w:t>2</w:t>
      </w:r>
      <w:r w:rsidRPr="00EC52CD">
        <w:rPr>
          <w:lang w:val="en-GB"/>
        </w:rPr>
        <w:t>O</w:t>
      </w:r>
      <w:r w:rsidRPr="00EC52CD">
        <w:rPr>
          <w:vertAlign w:val="subscript"/>
          <w:lang w:val="en-GB"/>
        </w:rPr>
        <w:t>3</w:t>
      </w:r>
      <w:r w:rsidRPr="00EC52CD">
        <w:rPr>
          <w:lang w:val="en-GB"/>
        </w:rPr>
        <w:t xml:space="preserve"> (pristine and tested) and the Ru/Al</w:t>
      </w:r>
      <w:r w:rsidRPr="00EC52CD">
        <w:rPr>
          <w:vertAlign w:val="subscript"/>
          <w:lang w:val="en-GB"/>
        </w:rPr>
        <w:t>2</w:t>
      </w:r>
      <w:r w:rsidRPr="00EC52CD">
        <w:rPr>
          <w:lang w:val="en-GB"/>
        </w:rPr>
        <w:t>O</w:t>
      </w:r>
      <w:r w:rsidRPr="00EC52CD">
        <w:rPr>
          <w:vertAlign w:val="subscript"/>
          <w:lang w:val="en-GB"/>
        </w:rPr>
        <w:t>3</w:t>
      </w:r>
      <w:r w:rsidRPr="00EC52CD">
        <w:rPr>
          <w:lang w:val="en-GB"/>
        </w:rPr>
        <w:t xml:space="preserve"> catalysts, which have only undergone the reduction process in 10% H</w:t>
      </w:r>
      <w:r w:rsidRPr="00EC52CD">
        <w:rPr>
          <w:vertAlign w:val="subscript"/>
          <w:lang w:val="en-GB"/>
        </w:rPr>
        <w:t>2</w:t>
      </w:r>
      <w:r w:rsidRPr="00EC52CD">
        <w:rPr>
          <w:lang w:val="en-GB"/>
        </w:rPr>
        <w:t xml:space="preserve"> at 450 °C for 2 hours. The reduction in mechanical properties can be explained by the different interactions between the adsorbed hydrogen, produced during ammonia cracking, and the Ru-catalyst surface, which changes from 450 °C (temperature of the reduction process) to 650 °C (maximum operating temperature used). Indeed, at 450 °C, the atomic hydrogen is weaker adsorbed than at 650 °C, as previously discussed. This stronger interaction at 650 °C not only slow-down the turnover frequency at reactive sites, </w:t>
      </w:r>
      <w:r w:rsidRPr="00EC52CD">
        <w:rPr>
          <w:lang w:val="en-GB"/>
        </w:rPr>
        <w:lastRenderedPageBreak/>
        <w:t>penalising ammonia conversion, but can promote the catalyst hydrogen embrittlement.</w:t>
      </w:r>
      <w:r w:rsidRPr="002B0279">
        <w:t xml:space="preserve"> </w:t>
      </w:r>
      <w:r w:rsidRPr="002B0279">
        <w:rPr>
          <w:lang w:val="en-GB"/>
        </w:rPr>
        <w:t>Specifically, the lower turnover frequency increases contact time between the catalyst surface and the reactants, acting as an accelerated test to reveal material property changes that would require extended testing in a PFR configuration</w:t>
      </w:r>
      <w:r>
        <w:rPr>
          <w:lang w:val="en-GB"/>
        </w:rPr>
        <w:t>.</w:t>
      </w:r>
    </w:p>
    <w:p w14:paraId="057D4793" w14:textId="77777777" w:rsidR="007541C4" w:rsidRDefault="007541C4" w:rsidP="007541C4">
      <w:pPr>
        <w:pStyle w:val="CETBodytext"/>
        <w:keepNext/>
        <w:jc w:val="center"/>
      </w:pPr>
      <w:r>
        <w:rPr>
          <w:noProof/>
          <w:lang w:val="en-GB"/>
        </w:rPr>
        <w:drawing>
          <wp:inline distT="0" distB="0" distL="0" distR="0" wp14:anchorId="78A1947E" wp14:editId="69CA9A5C">
            <wp:extent cx="5400000" cy="1508465"/>
            <wp:effectExtent l="0" t="0" r="0" b="0"/>
            <wp:docPr id="1"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cre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1508465"/>
                    </a:xfrm>
                    <a:prstGeom prst="rect">
                      <a:avLst/>
                    </a:prstGeom>
                    <a:noFill/>
                  </pic:spPr>
                </pic:pic>
              </a:graphicData>
            </a:graphic>
          </wp:inline>
        </w:drawing>
      </w:r>
    </w:p>
    <w:p w14:paraId="322F8056" w14:textId="77777777" w:rsidR="007541C4" w:rsidRPr="00CD4C2E" w:rsidRDefault="007541C4" w:rsidP="007541C4">
      <w:pPr>
        <w:pStyle w:val="Caption"/>
        <w:rPr>
          <w:b w:val="0"/>
          <w:bCs w:val="0"/>
          <w:i/>
          <w:iCs/>
          <w:color w:val="auto"/>
        </w:rPr>
      </w:pPr>
      <w:r w:rsidRPr="00CD4C2E">
        <w:rPr>
          <w:b w:val="0"/>
          <w:bCs w:val="0"/>
          <w:i/>
          <w:iCs/>
          <w:color w:val="auto"/>
        </w:rPr>
        <w:t xml:space="preserve">Figure </w:t>
      </w:r>
      <w:r>
        <w:rPr>
          <w:b w:val="0"/>
          <w:bCs w:val="0"/>
          <w:i/>
          <w:iCs/>
          <w:color w:val="auto"/>
        </w:rPr>
        <w:t>4: Scanning Electron Microscopy (SEM) for a) Ni/Al</w:t>
      </w:r>
      <w:r w:rsidRPr="00CD4C2E">
        <w:rPr>
          <w:b w:val="0"/>
          <w:bCs w:val="0"/>
          <w:i/>
          <w:iCs/>
          <w:color w:val="auto"/>
          <w:vertAlign w:val="subscript"/>
        </w:rPr>
        <w:t>2</w:t>
      </w:r>
      <w:r>
        <w:rPr>
          <w:b w:val="0"/>
          <w:bCs w:val="0"/>
          <w:i/>
          <w:iCs/>
          <w:color w:val="auto"/>
        </w:rPr>
        <w:t>O</w:t>
      </w:r>
      <w:r w:rsidRPr="00CD4C2E">
        <w:rPr>
          <w:b w:val="0"/>
          <w:bCs w:val="0"/>
          <w:i/>
          <w:iCs/>
          <w:color w:val="auto"/>
          <w:vertAlign w:val="subscript"/>
        </w:rPr>
        <w:t>3</w:t>
      </w:r>
      <w:r>
        <w:rPr>
          <w:b w:val="0"/>
          <w:bCs w:val="0"/>
          <w:i/>
          <w:iCs/>
          <w:color w:val="auto"/>
        </w:rPr>
        <w:t xml:space="preserve"> as received b) Ni/Al</w:t>
      </w:r>
      <w:r w:rsidRPr="00CD4C2E">
        <w:rPr>
          <w:b w:val="0"/>
          <w:bCs w:val="0"/>
          <w:i/>
          <w:iCs/>
          <w:color w:val="auto"/>
          <w:vertAlign w:val="subscript"/>
        </w:rPr>
        <w:t>2</w:t>
      </w:r>
      <w:r>
        <w:rPr>
          <w:b w:val="0"/>
          <w:bCs w:val="0"/>
          <w:i/>
          <w:iCs/>
          <w:color w:val="auto"/>
        </w:rPr>
        <w:t>O</w:t>
      </w:r>
      <w:r w:rsidRPr="00CD4C2E">
        <w:rPr>
          <w:b w:val="0"/>
          <w:bCs w:val="0"/>
          <w:i/>
          <w:iCs/>
          <w:color w:val="auto"/>
          <w:vertAlign w:val="subscript"/>
        </w:rPr>
        <w:t>3</w:t>
      </w:r>
      <w:r>
        <w:rPr>
          <w:b w:val="0"/>
          <w:bCs w:val="0"/>
          <w:i/>
          <w:iCs/>
          <w:color w:val="auto"/>
        </w:rPr>
        <w:t xml:space="preserve"> after test c) Ru/Al</w:t>
      </w:r>
      <w:r w:rsidRPr="00CD4C2E">
        <w:rPr>
          <w:b w:val="0"/>
          <w:bCs w:val="0"/>
          <w:i/>
          <w:iCs/>
          <w:color w:val="auto"/>
          <w:vertAlign w:val="subscript"/>
        </w:rPr>
        <w:t>2</w:t>
      </w:r>
      <w:r>
        <w:rPr>
          <w:b w:val="0"/>
          <w:bCs w:val="0"/>
          <w:i/>
          <w:iCs/>
          <w:color w:val="auto"/>
        </w:rPr>
        <w:t>O</w:t>
      </w:r>
      <w:r w:rsidRPr="00CD4C2E">
        <w:rPr>
          <w:b w:val="0"/>
          <w:bCs w:val="0"/>
          <w:i/>
          <w:iCs/>
          <w:color w:val="auto"/>
          <w:vertAlign w:val="subscript"/>
        </w:rPr>
        <w:t>3</w:t>
      </w:r>
      <w:r>
        <w:rPr>
          <w:b w:val="0"/>
          <w:bCs w:val="0"/>
          <w:i/>
          <w:iCs/>
          <w:color w:val="auto"/>
        </w:rPr>
        <w:t xml:space="preserve"> after the </w:t>
      </w:r>
      <w:proofErr w:type="spellStart"/>
      <w:r>
        <w:rPr>
          <w:b w:val="0"/>
          <w:bCs w:val="0"/>
          <w:i/>
          <w:iCs/>
          <w:color w:val="auto"/>
        </w:rPr>
        <w:t>pretreatment</w:t>
      </w:r>
      <w:proofErr w:type="spellEnd"/>
      <w:r>
        <w:rPr>
          <w:b w:val="0"/>
          <w:bCs w:val="0"/>
          <w:i/>
          <w:iCs/>
          <w:color w:val="auto"/>
        </w:rPr>
        <w:t xml:space="preserve"> in 10% H</w:t>
      </w:r>
      <w:r w:rsidRPr="00CD4C2E">
        <w:rPr>
          <w:b w:val="0"/>
          <w:bCs w:val="0"/>
          <w:i/>
          <w:iCs/>
          <w:color w:val="auto"/>
          <w:vertAlign w:val="subscript"/>
        </w:rPr>
        <w:t>2</w:t>
      </w:r>
      <w:r>
        <w:rPr>
          <w:b w:val="0"/>
          <w:bCs w:val="0"/>
          <w:i/>
          <w:iCs/>
          <w:color w:val="auto"/>
        </w:rPr>
        <w:t xml:space="preserve"> at 450°C and d) Ru/Al</w:t>
      </w:r>
      <w:r w:rsidRPr="00CD4C2E">
        <w:rPr>
          <w:b w:val="0"/>
          <w:bCs w:val="0"/>
          <w:i/>
          <w:iCs/>
          <w:color w:val="auto"/>
          <w:vertAlign w:val="subscript"/>
        </w:rPr>
        <w:t>2</w:t>
      </w:r>
      <w:r>
        <w:rPr>
          <w:b w:val="0"/>
          <w:bCs w:val="0"/>
          <w:i/>
          <w:iCs/>
          <w:color w:val="auto"/>
        </w:rPr>
        <w:t>O</w:t>
      </w:r>
      <w:r w:rsidRPr="00CD4C2E">
        <w:rPr>
          <w:b w:val="0"/>
          <w:bCs w:val="0"/>
          <w:i/>
          <w:iCs/>
          <w:color w:val="auto"/>
          <w:vertAlign w:val="subscript"/>
        </w:rPr>
        <w:t>3</w:t>
      </w:r>
      <w:r>
        <w:rPr>
          <w:b w:val="0"/>
          <w:bCs w:val="0"/>
          <w:i/>
          <w:iCs/>
          <w:color w:val="auto"/>
        </w:rPr>
        <w:t xml:space="preserve"> after test. The numbers are referred to the point used for EDS analysis and reported in Table 1 and Table 2.</w:t>
      </w:r>
    </w:p>
    <w:p w14:paraId="635B23FA" w14:textId="77777777" w:rsidR="007541C4" w:rsidRDefault="007541C4" w:rsidP="007541C4">
      <w:pPr>
        <w:pStyle w:val="CETBodytext"/>
        <w:jc w:val="center"/>
        <w:rPr>
          <w:lang w:val="en-GB"/>
        </w:rPr>
      </w:pPr>
    </w:p>
    <w:p w14:paraId="3A802BA0" w14:textId="77777777" w:rsidR="007541C4" w:rsidRPr="00AB52E7" w:rsidRDefault="007541C4" w:rsidP="007541C4">
      <w:pPr>
        <w:pStyle w:val="CETBodytext"/>
        <w:rPr>
          <w:lang w:val="en-GB"/>
        </w:rPr>
      </w:pPr>
      <w:r w:rsidRPr="00AB52E7">
        <w:rPr>
          <w:lang w:val="en-GB"/>
        </w:rPr>
        <w:t>The EDS analyses for Ni/Al</w:t>
      </w:r>
      <w:r w:rsidRPr="00AB52E7">
        <w:rPr>
          <w:vertAlign w:val="subscript"/>
          <w:lang w:val="en-GB"/>
        </w:rPr>
        <w:t>2</w:t>
      </w:r>
      <w:r w:rsidRPr="00AB52E7">
        <w:rPr>
          <w:lang w:val="en-GB"/>
        </w:rPr>
        <w:t>O</w:t>
      </w:r>
      <w:r w:rsidRPr="00AB52E7">
        <w:rPr>
          <w:vertAlign w:val="subscript"/>
          <w:lang w:val="en-GB"/>
        </w:rPr>
        <w:t>3</w:t>
      </w:r>
      <w:r w:rsidRPr="00AB52E7">
        <w:rPr>
          <w:lang w:val="en-GB"/>
        </w:rPr>
        <w:t xml:space="preserve"> </w:t>
      </w:r>
      <w:r>
        <w:rPr>
          <w:lang w:val="en-GB"/>
        </w:rPr>
        <w:t xml:space="preserve">(Table 1) </w:t>
      </w:r>
      <w:r w:rsidRPr="00AB52E7">
        <w:rPr>
          <w:lang w:val="en-GB"/>
        </w:rPr>
        <w:t>and Ru/Al</w:t>
      </w:r>
      <w:r w:rsidRPr="00AB52E7">
        <w:rPr>
          <w:vertAlign w:val="subscript"/>
          <w:lang w:val="en-GB"/>
        </w:rPr>
        <w:t>2</w:t>
      </w:r>
      <w:r w:rsidRPr="00AB52E7">
        <w:rPr>
          <w:lang w:val="en-GB"/>
        </w:rPr>
        <w:t>O</w:t>
      </w:r>
      <w:r w:rsidRPr="00AB52E7">
        <w:rPr>
          <w:vertAlign w:val="subscript"/>
          <w:lang w:val="en-GB"/>
        </w:rPr>
        <w:t>3</w:t>
      </w:r>
      <w:r w:rsidRPr="00AB52E7">
        <w:rPr>
          <w:lang w:val="en-GB"/>
        </w:rPr>
        <w:t xml:space="preserve"> </w:t>
      </w:r>
      <w:r>
        <w:rPr>
          <w:lang w:val="en-GB"/>
        </w:rPr>
        <w:t xml:space="preserve">(Table 2) </w:t>
      </w:r>
      <w:r w:rsidRPr="00AB52E7">
        <w:rPr>
          <w:lang w:val="en-GB"/>
        </w:rPr>
        <w:t>show that the metal concentration remains close to the nominal one, suggesting a good adhesion with the alumina support.  The main difference between the two catalysts is the dispersion of the metal phase. Indeed, 20% Ni/Al</w:t>
      </w:r>
      <w:r w:rsidRPr="00AB52E7">
        <w:rPr>
          <w:vertAlign w:val="subscript"/>
          <w:lang w:val="en-GB"/>
        </w:rPr>
        <w:t>2</w:t>
      </w:r>
      <w:r w:rsidRPr="00AB52E7">
        <w:rPr>
          <w:lang w:val="en-GB"/>
        </w:rPr>
        <w:t>O</w:t>
      </w:r>
      <w:r w:rsidRPr="00AB52E7">
        <w:rPr>
          <w:vertAlign w:val="subscript"/>
          <w:lang w:val="en-GB"/>
        </w:rPr>
        <w:t>3</w:t>
      </w:r>
      <w:r w:rsidRPr="00AB52E7">
        <w:rPr>
          <w:lang w:val="en-GB"/>
        </w:rPr>
        <w:t xml:space="preserve"> has a narrow Ni concentration range, while the Ru</w:t>
      </w:r>
      <w:r>
        <w:rPr>
          <w:lang w:val="en-GB"/>
        </w:rPr>
        <w:t>/Al</w:t>
      </w:r>
      <w:r>
        <w:rPr>
          <w:vertAlign w:val="subscript"/>
          <w:lang w:val="en-GB"/>
        </w:rPr>
        <w:t>2</w:t>
      </w:r>
      <w:r>
        <w:rPr>
          <w:lang w:val="en-GB"/>
        </w:rPr>
        <w:t>O</w:t>
      </w:r>
      <w:r>
        <w:rPr>
          <w:vertAlign w:val="subscript"/>
          <w:lang w:val="en-GB"/>
        </w:rPr>
        <w:t>3</w:t>
      </w:r>
      <w:r w:rsidRPr="00AB52E7">
        <w:rPr>
          <w:lang w:val="en-GB"/>
        </w:rPr>
        <w:t xml:space="preserve"> has a less homogenous distribution. </w:t>
      </w:r>
    </w:p>
    <w:p w14:paraId="621671FD" w14:textId="77777777" w:rsidR="007541C4" w:rsidRDefault="007541C4" w:rsidP="007541C4">
      <w:pPr>
        <w:pStyle w:val="CETBodytext"/>
        <w:rPr>
          <w:lang w:val="en-GB"/>
        </w:rPr>
      </w:pPr>
    </w:p>
    <w:p w14:paraId="121FE116" w14:textId="77777777" w:rsidR="007541C4" w:rsidRPr="00591A07" w:rsidRDefault="007541C4" w:rsidP="007541C4">
      <w:pPr>
        <w:pStyle w:val="Caption"/>
        <w:keepNext/>
        <w:rPr>
          <w:b w:val="0"/>
          <w:bCs w:val="0"/>
          <w:i/>
          <w:iCs/>
          <w:color w:val="auto"/>
        </w:rPr>
      </w:pPr>
      <w:r w:rsidRPr="002F4416">
        <w:rPr>
          <w:b w:val="0"/>
          <w:bCs w:val="0"/>
          <w:i/>
          <w:iCs/>
          <w:color w:val="auto"/>
        </w:rPr>
        <w:t>Tab</w:t>
      </w:r>
      <w:r>
        <w:rPr>
          <w:b w:val="0"/>
          <w:bCs w:val="0"/>
          <w:i/>
          <w:iCs/>
          <w:color w:val="auto"/>
        </w:rPr>
        <w:t>le 1 EDS analysis for Ni/Al</w:t>
      </w:r>
      <w:r w:rsidRPr="00591A07">
        <w:rPr>
          <w:b w:val="0"/>
          <w:bCs w:val="0"/>
          <w:i/>
          <w:iCs/>
          <w:color w:val="auto"/>
          <w:vertAlign w:val="subscript"/>
        </w:rPr>
        <w:t>2</w:t>
      </w:r>
      <w:r>
        <w:rPr>
          <w:b w:val="0"/>
          <w:bCs w:val="0"/>
          <w:i/>
          <w:iCs/>
          <w:color w:val="auto"/>
        </w:rPr>
        <w:t>O</w:t>
      </w:r>
      <w:r w:rsidRPr="00591A07">
        <w:rPr>
          <w:b w:val="0"/>
          <w:bCs w:val="0"/>
          <w:i/>
          <w:iCs/>
          <w:color w:val="auto"/>
          <w:vertAlign w:val="subscript"/>
        </w:rPr>
        <w:t>3</w:t>
      </w:r>
      <w:r>
        <w:rPr>
          <w:b w:val="0"/>
          <w:bCs w:val="0"/>
          <w:i/>
          <w:iCs/>
          <w:color w:val="auto"/>
          <w:vertAlign w:val="subscript"/>
        </w:rPr>
        <w:t xml:space="preserve"> </w:t>
      </w:r>
      <w:r>
        <w:rPr>
          <w:b w:val="0"/>
          <w:bCs w:val="0"/>
          <w:i/>
          <w:iCs/>
          <w:color w:val="auto"/>
        </w:rPr>
        <w:t>catalyst as received and after testing</w:t>
      </w:r>
    </w:p>
    <w:tbl>
      <w:tblPr>
        <w:tblStyle w:val="TableGrid"/>
        <w:tblW w:w="8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1277"/>
        <w:gridCol w:w="1276"/>
        <w:gridCol w:w="1277"/>
        <w:gridCol w:w="1276"/>
        <w:gridCol w:w="1277"/>
      </w:tblGrid>
      <w:tr w:rsidR="007541C4" w:rsidRPr="00AB52E7" w14:paraId="564541D5" w14:textId="77777777" w:rsidTr="0023236F">
        <w:trPr>
          <w:jc w:val="center"/>
        </w:trPr>
        <w:tc>
          <w:tcPr>
            <w:tcW w:w="1129" w:type="dxa"/>
            <w:tcBorders>
              <w:top w:val="single" w:sz="12" w:space="0" w:color="008000"/>
              <w:bottom w:val="single" w:sz="4" w:space="0" w:color="auto"/>
            </w:tcBorders>
            <w:shd w:val="clear" w:color="auto" w:fill="FFFFFF" w:themeFill="background1"/>
          </w:tcPr>
          <w:p w14:paraId="6C0ACB3A" w14:textId="77777777" w:rsidR="007541C4" w:rsidRPr="00AB52E7" w:rsidRDefault="007541C4" w:rsidP="0023236F">
            <w:pPr>
              <w:pStyle w:val="CETBodytext"/>
            </w:pPr>
          </w:p>
        </w:tc>
        <w:tc>
          <w:tcPr>
            <w:tcW w:w="3829" w:type="dxa"/>
            <w:gridSpan w:val="3"/>
            <w:tcBorders>
              <w:top w:val="single" w:sz="12" w:space="0" w:color="008000"/>
              <w:bottom w:val="single" w:sz="4" w:space="0" w:color="auto"/>
            </w:tcBorders>
            <w:shd w:val="clear" w:color="auto" w:fill="FFFFFF" w:themeFill="background1"/>
          </w:tcPr>
          <w:p w14:paraId="75235FC9" w14:textId="77777777" w:rsidR="007541C4" w:rsidRPr="00AB52E7" w:rsidRDefault="007541C4" w:rsidP="0023236F">
            <w:pPr>
              <w:pStyle w:val="CETBodytext"/>
              <w:rPr>
                <w:b/>
                <w:bCs/>
              </w:rPr>
            </w:pPr>
            <w:r w:rsidRPr="00AB52E7">
              <w:rPr>
                <w:b/>
                <w:bCs/>
              </w:rPr>
              <w:t>Ni/Al</w:t>
            </w:r>
            <w:r w:rsidRPr="00AB52E7">
              <w:rPr>
                <w:b/>
                <w:bCs/>
                <w:vertAlign w:val="subscript"/>
              </w:rPr>
              <w:t>2</w:t>
            </w:r>
            <w:r w:rsidRPr="00AB52E7">
              <w:rPr>
                <w:b/>
                <w:bCs/>
              </w:rPr>
              <w:t>O</w:t>
            </w:r>
            <w:r w:rsidRPr="00AB52E7">
              <w:rPr>
                <w:b/>
                <w:bCs/>
                <w:vertAlign w:val="subscript"/>
              </w:rPr>
              <w:t xml:space="preserve">3 </w:t>
            </w:r>
            <w:r w:rsidRPr="00AB52E7">
              <w:rPr>
                <w:b/>
                <w:bCs/>
              </w:rPr>
              <w:t>as received</w:t>
            </w:r>
          </w:p>
        </w:tc>
        <w:tc>
          <w:tcPr>
            <w:tcW w:w="3830" w:type="dxa"/>
            <w:gridSpan w:val="3"/>
            <w:tcBorders>
              <w:top w:val="single" w:sz="12" w:space="0" w:color="008000"/>
              <w:bottom w:val="single" w:sz="4" w:space="0" w:color="auto"/>
            </w:tcBorders>
            <w:shd w:val="clear" w:color="auto" w:fill="FFFFFF" w:themeFill="background1"/>
          </w:tcPr>
          <w:p w14:paraId="691E9BA0" w14:textId="77777777" w:rsidR="007541C4" w:rsidRPr="00AB52E7" w:rsidRDefault="007541C4" w:rsidP="0023236F">
            <w:pPr>
              <w:pStyle w:val="CETBodytext"/>
              <w:rPr>
                <w:b/>
              </w:rPr>
            </w:pPr>
            <w:r w:rsidRPr="00AB52E7">
              <w:rPr>
                <w:b/>
                <w:bCs/>
              </w:rPr>
              <w:t>Ni/Al</w:t>
            </w:r>
            <w:r w:rsidRPr="00AB52E7">
              <w:rPr>
                <w:b/>
                <w:bCs/>
                <w:vertAlign w:val="subscript"/>
              </w:rPr>
              <w:t>2</w:t>
            </w:r>
            <w:r w:rsidRPr="00AB52E7">
              <w:rPr>
                <w:b/>
                <w:bCs/>
              </w:rPr>
              <w:t>O</w:t>
            </w:r>
            <w:r w:rsidRPr="00AB52E7">
              <w:rPr>
                <w:b/>
                <w:bCs/>
                <w:vertAlign w:val="subscript"/>
              </w:rPr>
              <w:t xml:space="preserve">3 </w:t>
            </w:r>
            <w:r w:rsidRPr="00AB52E7">
              <w:rPr>
                <w:b/>
                <w:bCs/>
              </w:rPr>
              <w:t>tested</w:t>
            </w:r>
          </w:p>
        </w:tc>
      </w:tr>
      <w:tr w:rsidR="007541C4" w:rsidRPr="00AB52E7" w14:paraId="3D3DF5F7" w14:textId="77777777" w:rsidTr="0023236F">
        <w:trPr>
          <w:jc w:val="center"/>
        </w:trPr>
        <w:tc>
          <w:tcPr>
            <w:tcW w:w="1129" w:type="dxa"/>
            <w:tcBorders>
              <w:bottom w:val="single" w:sz="4" w:space="0" w:color="auto"/>
            </w:tcBorders>
            <w:shd w:val="clear" w:color="auto" w:fill="FFFFFF" w:themeFill="background1"/>
          </w:tcPr>
          <w:p w14:paraId="39FB7A1F" w14:textId="77777777" w:rsidR="007541C4" w:rsidRPr="00AB52E7" w:rsidRDefault="007541C4" w:rsidP="0023236F">
            <w:pPr>
              <w:pStyle w:val="CETBodytext"/>
            </w:pPr>
          </w:p>
        </w:tc>
        <w:tc>
          <w:tcPr>
            <w:tcW w:w="7659" w:type="dxa"/>
            <w:gridSpan w:val="6"/>
            <w:tcBorders>
              <w:top w:val="single" w:sz="4" w:space="0" w:color="auto"/>
              <w:bottom w:val="single" w:sz="4" w:space="0" w:color="auto"/>
            </w:tcBorders>
            <w:shd w:val="clear" w:color="auto" w:fill="FFFFFF" w:themeFill="background1"/>
          </w:tcPr>
          <w:p w14:paraId="7F88C6C2" w14:textId="77777777" w:rsidR="007541C4" w:rsidRPr="00AB52E7" w:rsidRDefault="007541C4" w:rsidP="0023236F">
            <w:pPr>
              <w:pStyle w:val="CETBodytext"/>
              <w:jc w:val="center"/>
              <w:rPr>
                <w:b/>
                <w:bCs/>
              </w:rPr>
            </w:pPr>
            <w:r w:rsidRPr="00AB52E7">
              <w:rPr>
                <w:b/>
                <w:bCs/>
              </w:rPr>
              <w:t>Elements concentration (%</w:t>
            </w:r>
            <w:proofErr w:type="spellStart"/>
            <w:r w:rsidRPr="00AB52E7">
              <w:rPr>
                <w:b/>
                <w:bCs/>
              </w:rPr>
              <w:t>wt</w:t>
            </w:r>
            <w:proofErr w:type="spellEnd"/>
            <w:r w:rsidRPr="00AB52E7">
              <w:rPr>
                <w:b/>
                <w:bCs/>
              </w:rPr>
              <w:t>)</w:t>
            </w:r>
          </w:p>
        </w:tc>
      </w:tr>
      <w:tr w:rsidR="007541C4" w:rsidRPr="00AB52E7" w14:paraId="6DD193C9" w14:textId="77777777" w:rsidTr="0023236F">
        <w:trPr>
          <w:jc w:val="center"/>
        </w:trPr>
        <w:tc>
          <w:tcPr>
            <w:tcW w:w="1129" w:type="dxa"/>
            <w:tcBorders>
              <w:top w:val="single" w:sz="4" w:space="0" w:color="auto"/>
            </w:tcBorders>
            <w:shd w:val="clear" w:color="auto" w:fill="FFFFFF" w:themeFill="background1"/>
          </w:tcPr>
          <w:p w14:paraId="0D11D761" w14:textId="77777777" w:rsidR="007541C4" w:rsidRPr="00AB52E7" w:rsidRDefault="007541C4" w:rsidP="0023236F">
            <w:pPr>
              <w:pStyle w:val="CETBodytext"/>
              <w:rPr>
                <w:b/>
              </w:rPr>
            </w:pPr>
            <w:r w:rsidRPr="00AB52E7">
              <w:rPr>
                <w:b/>
                <w:bCs/>
              </w:rPr>
              <w:t>EDS Point</w:t>
            </w:r>
          </w:p>
        </w:tc>
        <w:tc>
          <w:tcPr>
            <w:tcW w:w="1276" w:type="dxa"/>
            <w:tcBorders>
              <w:top w:val="single" w:sz="4" w:space="0" w:color="auto"/>
              <w:left w:val="nil"/>
            </w:tcBorders>
            <w:shd w:val="clear" w:color="auto" w:fill="FFFFFF" w:themeFill="background1"/>
          </w:tcPr>
          <w:p w14:paraId="00806521" w14:textId="77777777" w:rsidR="007541C4" w:rsidRPr="00AB52E7" w:rsidRDefault="007541C4" w:rsidP="0023236F">
            <w:pPr>
              <w:pStyle w:val="CETBodytext"/>
              <w:rPr>
                <w:b/>
              </w:rPr>
            </w:pPr>
            <w:r w:rsidRPr="00AB52E7">
              <w:rPr>
                <w:b/>
                <w:bCs/>
              </w:rPr>
              <w:t>O</w:t>
            </w:r>
          </w:p>
        </w:tc>
        <w:tc>
          <w:tcPr>
            <w:tcW w:w="1277" w:type="dxa"/>
            <w:tcBorders>
              <w:top w:val="single" w:sz="4" w:space="0" w:color="auto"/>
            </w:tcBorders>
            <w:shd w:val="clear" w:color="auto" w:fill="FFFFFF" w:themeFill="background1"/>
          </w:tcPr>
          <w:p w14:paraId="58B46200" w14:textId="77777777" w:rsidR="007541C4" w:rsidRPr="00AB52E7" w:rsidRDefault="007541C4" w:rsidP="0023236F">
            <w:pPr>
              <w:pStyle w:val="CETBodytext"/>
              <w:rPr>
                <w:b/>
                <w:bCs/>
              </w:rPr>
            </w:pPr>
            <w:r w:rsidRPr="00AB52E7">
              <w:rPr>
                <w:b/>
                <w:bCs/>
              </w:rPr>
              <w:t>Al</w:t>
            </w:r>
          </w:p>
        </w:tc>
        <w:tc>
          <w:tcPr>
            <w:tcW w:w="1276" w:type="dxa"/>
            <w:tcBorders>
              <w:top w:val="single" w:sz="4" w:space="0" w:color="auto"/>
            </w:tcBorders>
            <w:shd w:val="clear" w:color="auto" w:fill="FFFFFF" w:themeFill="background1"/>
          </w:tcPr>
          <w:p w14:paraId="1B2090FD" w14:textId="77777777" w:rsidR="007541C4" w:rsidRPr="00AB52E7" w:rsidRDefault="007541C4" w:rsidP="0023236F">
            <w:pPr>
              <w:pStyle w:val="CETBodytext"/>
              <w:rPr>
                <w:b/>
                <w:bCs/>
              </w:rPr>
            </w:pPr>
            <w:r w:rsidRPr="00AB52E7">
              <w:rPr>
                <w:b/>
                <w:bCs/>
              </w:rPr>
              <w:t>Ni</w:t>
            </w:r>
          </w:p>
        </w:tc>
        <w:tc>
          <w:tcPr>
            <w:tcW w:w="1277" w:type="dxa"/>
            <w:tcBorders>
              <w:top w:val="single" w:sz="4" w:space="0" w:color="auto"/>
            </w:tcBorders>
            <w:shd w:val="clear" w:color="auto" w:fill="FFFFFF" w:themeFill="background1"/>
          </w:tcPr>
          <w:p w14:paraId="4B6709EF" w14:textId="77777777" w:rsidR="007541C4" w:rsidRPr="00AB52E7" w:rsidRDefault="007541C4" w:rsidP="0023236F">
            <w:pPr>
              <w:pStyle w:val="CETBodytext"/>
              <w:rPr>
                <w:b/>
              </w:rPr>
            </w:pPr>
            <w:r w:rsidRPr="00AB52E7">
              <w:rPr>
                <w:b/>
                <w:bCs/>
              </w:rPr>
              <w:t>O</w:t>
            </w:r>
          </w:p>
        </w:tc>
        <w:tc>
          <w:tcPr>
            <w:tcW w:w="1276" w:type="dxa"/>
            <w:tcBorders>
              <w:top w:val="single" w:sz="4" w:space="0" w:color="auto"/>
            </w:tcBorders>
            <w:shd w:val="clear" w:color="auto" w:fill="FFFFFF" w:themeFill="background1"/>
          </w:tcPr>
          <w:p w14:paraId="4AF4EF5D" w14:textId="77777777" w:rsidR="007541C4" w:rsidRPr="00AB52E7" w:rsidRDefault="007541C4" w:rsidP="0023236F">
            <w:pPr>
              <w:pStyle w:val="CETBodytext"/>
              <w:rPr>
                <w:b/>
              </w:rPr>
            </w:pPr>
            <w:r w:rsidRPr="00AB52E7">
              <w:rPr>
                <w:b/>
                <w:bCs/>
              </w:rPr>
              <w:t>Al</w:t>
            </w:r>
          </w:p>
        </w:tc>
        <w:tc>
          <w:tcPr>
            <w:tcW w:w="1277" w:type="dxa"/>
            <w:tcBorders>
              <w:top w:val="single" w:sz="4" w:space="0" w:color="auto"/>
            </w:tcBorders>
            <w:shd w:val="clear" w:color="auto" w:fill="FFFFFF" w:themeFill="background1"/>
          </w:tcPr>
          <w:p w14:paraId="318F9EF3" w14:textId="77777777" w:rsidR="007541C4" w:rsidRPr="00AB52E7" w:rsidRDefault="007541C4" w:rsidP="0023236F">
            <w:pPr>
              <w:pStyle w:val="CETBodytext"/>
              <w:rPr>
                <w:b/>
              </w:rPr>
            </w:pPr>
            <w:r w:rsidRPr="00AB52E7">
              <w:rPr>
                <w:b/>
              </w:rPr>
              <w:t>Ni</w:t>
            </w:r>
          </w:p>
        </w:tc>
      </w:tr>
      <w:tr w:rsidR="007541C4" w:rsidRPr="00AB52E7" w14:paraId="5DFF2025" w14:textId="77777777" w:rsidTr="0023236F">
        <w:trPr>
          <w:jc w:val="center"/>
        </w:trPr>
        <w:tc>
          <w:tcPr>
            <w:tcW w:w="1129" w:type="dxa"/>
            <w:shd w:val="clear" w:color="auto" w:fill="FFFFFF" w:themeFill="background1"/>
          </w:tcPr>
          <w:p w14:paraId="1C1F791D" w14:textId="77777777" w:rsidR="007541C4" w:rsidRPr="00AB52E7" w:rsidRDefault="007541C4" w:rsidP="0023236F">
            <w:pPr>
              <w:pStyle w:val="CETBodytext"/>
              <w:rPr>
                <w:b/>
              </w:rPr>
            </w:pPr>
            <w:r w:rsidRPr="00AB52E7">
              <w:rPr>
                <w:b/>
                <w:bCs/>
              </w:rPr>
              <w:t>1</w:t>
            </w:r>
          </w:p>
        </w:tc>
        <w:tc>
          <w:tcPr>
            <w:tcW w:w="1276" w:type="dxa"/>
            <w:tcBorders>
              <w:left w:val="nil"/>
            </w:tcBorders>
            <w:shd w:val="clear" w:color="auto" w:fill="FFFFFF" w:themeFill="background1"/>
            <w:vAlign w:val="bottom"/>
          </w:tcPr>
          <w:p w14:paraId="7E760102" w14:textId="77777777" w:rsidR="007541C4" w:rsidRPr="00AB52E7" w:rsidRDefault="007541C4" w:rsidP="0023236F">
            <w:pPr>
              <w:pStyle w:val="CETBodytext"/>
            </w:pPr>
            <w:r w:rsidRPr="00AB52E7">
              <w:t>43.10</w:t>
            </w:r>
          </w:p>
        </w:tc>
        <w:tc>
          <w:tcPr>
            <w:tcW w:w="1277" w:type="dxa"/>
            <w:shd w:val="clear" w:color="auto" w:fill="FFFFFF" w:themeFill="background1"/>
            <w:vAlign w:val="bottom"/>
          </w:tcPr>
          <w:p w14:paraId="1011A1C4" w14:textId="77777777" w:rsidR="007541C4" w:rsidRPr="00AB52E7" w:rsidRDefault="007541C4" w:rsidP="0023236F">
            <w:pPr>
              <w:pStyle w:val="CETBodytext"/>
            </w:pPr>
            <w:r w:rsidRPr="00AB52E7">
              <w:t>37.68</w:t>
            </w:r>
          </w:p>
        </w:tc>
        <w:tc>
          <w:tcPr>
            <w:tcW w:w="1276" w:type="dxa"/>
            <w:shd w:val="clear" w:color="auto" w:fill="FFFFFF" w:themeFill="background1"/>
            <w:vAlign w:val="bottom"/>
          </w:tcPr>
          <w:p w14:paraId="0F778F62" w14:textId="77777777" w:rsidR="007541C4" w:rsidRPr="00AB52E7" w:rsidRDefault="007541C4" w:rsidP="0023236F">
            <w:pPr>
              <w:pStyle w:val="CETBodytext"/>
            </w:pPr>
            <w:r w:rsidRPr="00AB52E7">
              <w:t>19.22</w:t>
            </w:r>
          </w:p>
        </w:tc>
        <w:tc>
          <w:tcPr>
            <w:tcW w:w="1277" w:type="dxa"/>
            <w:shd w:val="clear" w:color="auto" w:fill="FFFFFF" w:themeFill="background1"/>
            <w:vAlign w:val="bottom"/>
          </w:tcPr>
          <w:p w14:paraId="78C45866" w14:textId="77777777" w:rsidR="007541C4" w:rsidRPr="00AB52E7" w:rsidRDefault="007541C4" w:rsidP="0023236F">
            <w:pPr>
              <w:pStyle w:val="CETBodytext"/>
            </w:pPr>
            <w:r w:rsidRPr="00AB52E7">
              <w:t>44.01</w:t>
            </w:r>
          </w:p>
        </w:tc>
        <w:tc>
          <w:tcPr>
            <w:tcW w:w="1276" w:type="dxa"/>
            <w:shd w:val="clear" w:color="auto" w:fill="FFFFFF" w:themeFill="background1"/>
            <w:vAlign w:val="bottom"/>
          </w:tcPr>
          <w:p w14:paraId="1F802AEE" w14:textId="77777777" w:rsidR="007541C4" w:rsidRPr="00AB52E7" w:rsidRDefault="007541C4" w:rsidP="0023236F">
            <w:pPr>
              <w:pStyle w:val="CETBodytext"/>
            </w:pPr>
            <w:r w:rsidRPr="00AB52E7">
              <w:t>33.18</w:t>
            </w:r>
          </w:p>
        </w:tc>
        <w:tc>
          <w:tcPr>
            <w:tcW w:w="1277" w:type="dxa"/>
            <w:shd w:val="clear" w:color="auto" w:fill="FFFFFF" w:themeFill="background1"/>
            <w:vAlign w:val="bottom"/>
          </w:tcPr>
          <w:p w14:paraId="12FBB944" w14:textId="77777777" w:rsidR="007541C4" w:rsidRPr="00AB52E7" w:rsidRDefault="007541C4" w:rsidP="0023236F">
            <w:pPr>
              <w:pStyle w:val="CETBodytext"/>
            </w:pPr>
            <w:r w:rsidRPr="00AB52E7">
              <w:t>22.81</w:t>
            </w:r>
          </w:p>
        </w:tc>
      </w:tr>
      <w:tr w:rsidR="007541C4" w:rsidRPr="00AB52E7" w14:paraId="63BC4F71" w14:textId="77777777" w:rsidTr="0023236F">
        <w:trPr>
          <w:jc w:val="center"/>
        </w:trPr>
        <w:tc>
          <w:tcPr>
            <w:tcW w:w="1129" w:type="dxa"/>
            <w:shd w:val="clear" w:color="auto" w:fill="FFFFFF" w:themeFill="background1"/>
          </w:tcPr>
          <w:p w14:paraId="1F811F5C" w14:textId="77777777" w:rsidR="007541C4" w:rsidRPr="00AB52E7" w:rsidRDefault="007541C4" w:rsidP="0023236F">
            <w:pPr>
              <w:pStyle w:val="CETBodytext"/>
              <w:rPr>
                <w:b/>
              </w:rPr>
            </w:pPr>
            <w:r w:rsidRPr="00AB52E7">
              <w:rPr>
                <w:b/>
                <w:bCs/>
              </w:rPr>
              <w:t>2</w:t>
            </w:r>
          </w:p>
        </w:tc>
        <w:tc>
          <w:tcPr>
            <w:tcW w:w="1276" w:type="dxa"/>
            <w:tcBorders>
              <w:left w:val="nil"/>
            </w:tcBorders>
            <w:shd w:val="clear" w:color="auto" w:fill="FFFFFF" w:themeFill="background1"/>
            <w:vAlign w:val="bottom"/>
          </w:tcPr>
          <w:p w14:paraId="379CBFD3" w14:textId="77777777" w:rsidR="007541C4" w:rsidRPr="00AB52E7" w:rsidRDefault="007541C4" w:rsidP="0023236F">
            <w:pPr>
              <w:pStyle w:val="CETBodytext"/>
            </w:pPr>
            <w:r w:rsidRPr="00AB52E7">
              <w:t>45.06</w:t>
            </w:r>
          </w:p>
        </w:tc>
        <w:tc>
          <w:tcPr>
            <w:tcW w:w="1277" w:type="dxa"/>
            <w:shd w:val="clear" w:color="auto" w:fill="FFFFFF" w:themeFill="background1"/>
            <w:vAlign w:val="bottom"/>
          </w:tcPr>
          <w:p w14:paraId="1377CC5C" w14:textId="77777777" w:rsidR="007541C4" w:rsidRPr="00AB52E7" w:rsidRDefault="007541C4" w:rsidP="0023236F">
            <w:pPr>
              <w:pStyle w:val="CETBodytext"/>
            </w:pPr>
            <w:r w:rsidRPr="00AB52E7">
              <w:t>38.97</w:t>
            </w:r>
          </w:p>
        </w:tc>
        <w:tc>
          <w:tcPr>
            <w:tcW w:w="1276" w:type="dxa"/>
            <w:shd w:val="clear" w:color="auto" w:fill="FFFFFF" w:themeFill="background1"/>
            <w:vAlign w:val="bottom"/>
          </w:tcPr>
          <w:p w14:paraId="75E79C91" w14:textId="77777777" w:rsidR="007541C4" w:rsidRPr="00AB52E7" w:rsidRDefault="007541C4" w:rsidP="0023236F">
            <w:pPr>
              <w:pStyle w:val="CETBodytext"/>
            </w:pPr>
            <w:r w:rsidRPr="00AB52E7">
              <w:t>15.97</w:t>
            </w:r>
          </w:p>
        </w:tc>
        <w:tc>
          <w:tcPr>
            <w:tcW w:w="1277" w:type="dxa"/>
            <w:shd w:val="clear" w:color="auto" w:fill="FFFFFF" w:themeFill="background1"/>
            <w:vAlign w:val="bottom"/>
          </w:tcPr>
          <w:p w14:paraId="516E5AE4" w14:textId="77777777" w:rsidR="007541C4" w:rsidRPr="00AB52E7" w:rsidRDefault="007541C4" w:rsidP="0023236F">
            <w:pPr>
              <w:pStyle w:val="CETBodytext"/>
            </w:pPr>
            <w:r w:rsidRPr="00AB52E7">
              <w:t>43.55</w:t>
            </w:r>
          </w:p>
        </w:tc>
        <w:tc>
          <w:tcPr>
            <w:tcW w:w="1276" w:type="dxa"/>
            <w:shd w:val="clear" w:color="auto" w:fill="FFFFFF" w:themeFill="background1"/>
            <w:vAlign w:val="bottom"/>
          </w:tcPr>
          <w:p w14:paraId="11A1AC2E" w14:textId="77777777" w:rsidR="007541C4" w:rsidRPr="00AB52E7" w:rsidRDefault="007541C4" w:rsidP="0023236F">
            <w:pPr>
              <w:pStyle w:val="CETBodytext"/>
            </w:pPr>
            <w:r w:rsidRPr="00AB52E7">
              <w:t>34.18</w:t>
            </w:r>
          </w:p>
        </w:tc>
        <w:tc>
          <w:tcPr>
            <w:tcW w:w="1277" w:type="dxa"/>
            <w:shd w:val="clear" w:color="auto" w:fill="FFFFFF" w:themeFill="background1"/>
            <w:vAlign w:val="bottom"/>
          </w:tcPr>
          <w:p w14:paraId="025721E7" w14:textId="77777777" w:rsidR="007541C4" w:rsidRPr="00AB52E7" w:rsidRDefault="007541C4" w:rsidP="0023236F">
            <w:pPr>
              <w:pStyle w:val="CETBodytext"/>
            </w:pPr>
            <w:r w:rsidRPr="00AB52E7">
              <w:t>22.27</w:t>
            </w:r>
          </w:p>
        </w:tc>
      </w:tr>
      <w:tr w:rsidR="007541C4" w:rsidRPr="00AB52E7" w14:paraId="74B14A87" w14:textId="77777777" w:rsidTr="0023236F">
        <w:trPr>
          <w:jc w:val="center"/>
        </w:trPr>
        <w:tc>
          <w:tcPr>
            <w:tcW w:w="1129" w:type="dxa"/>
            <w:shd w:val="clear" w:color="auto" w:fill="FFFFFF" w:themeFill="background1"/>
          </w:tcPr>
          <w:p w14:paraId="4A40888E" w14:textId="77777777" w:rsidR="007541C4" w:rsidRPr="00AB52E7" w:rsidRDefault="007541C4" w:rsidP="0023236F">
            <w:pPr>
              <w:pStyle w:val="CETBodytext"/>
              <w:rPr>
                <w:b/>
              </w:rPr>
            </w:pPr>
            <w:r w:rsidRPr="00AB52E7">
              <w:rPr>
                <w:b/>
                <w:bCs/>
              </w:rPr>
              <w:t>3</w:t>
            </w:r>
          </w:p>
        </w:tc>
        <w:tc>
          <w:tcPr>
            <w:tcW w:w="1276" w:type="dxa"/>
            <w:tcBorders>
              <w:left w:val="nil"/>
            </w:tcBorders>
            <w:shd w:val="clear" w:color="auto" w:fill="FFFFFF" w:themeFill="background1"/>
            <w:vAlign w:val="bottom"/>
          </w:tcPr>
          <w:p w14:paraId="28C38CA6" w14:textId="77777777" w:rsidR="007541C4" w:rsidRPr="00AB52E7" w:rsidRDefault="007541C4" w:rsidP="0023236F">
            <w:pPr>
              <w:pStyle w:val="CETBodytext"/>
            </w:pPr>
            <w:r w:rsidRPr="00AB52E7">
              <w:t>43.38</w:t>
            </w:r>
          </w:p>
        </w:tc>
        <w:tc>
          <w:tcPr>
            <w:tcW w:w="1277" w:type="dxa"/>
            <w:shd w:val="clear" w:color="auto" w:fill="FFFFFF" w:themeFill="background1"/>
            <w:vAlign w:val="bottom"/>
          </w:tcPr>
          <w:p w14:paraId="70F786B5" w14:textId="77777777" w:rsidR="007541C4" w:rsidRPr="00AB52E7" w:rsidRDefault="007541C4" w:rsidP="0023236F">
            <w:pPr>
              <w:pStyle w:val="CETBodytext"/>
            </w:pPr>
            <w:r w:rsidRPr="00AB52E7">
              <w:t>38.03</w:t>
            </w:r>
          </w:p>
        </w:tc>
        <w:tc>
          <w:tcPr>
            <w:tcW w:w="1276" w:type="dxa"/>
            <w:shd w:val="clear" w:color="auto" w:fill="FFFFFF" w:themeFill="background1"/>
            <w:vAlign w:val="bottom"/>
          </w:tcPr>
          <w:p w14:paraId="62F7B5C1" w14:textId="77777777" w:rsidR="007541C4" w:rsidRPr="00AB52E7" w:rsidRDefault="007541C4" w:rsidP="0023236F">
            <w:pPr>
              <w:pStyle w:val="CETBodytext"/>
            </w:pPr>
            <w:r w:rsidRPr="00AB52E7">
              <w:t>18.59</w:t>
            </w:r>
          </w:p>
        </w:tc>
        <w:tc>
          <w:tcPr>
            <w:tcW w:w="1277" w:type="dxa"/>
            <w:shd w:val="clear" w:color="auto" w:fill="FFFFFF" w:themeFill="background1"/>
            <w:vAlign w:val="bottom"/>
          </w:tcPr>
          <w:p w14:paraId="54048B72" w14:textId="77777777" w:rsidR="007541C4" w:rsidRPr="00AB52E7" w:rsidRDefault="007541C4" w:rsidP="0023236F">
            <w:pPr>
              <w:pStyle w:val="CETBodytext"/>
            </w:pPr>
            <w:r w:rsidRPr="00AB52E7">
              <w:t>42.14</w:t>
            </w:r>
          </w:p>
        </w:tc>
        <w:tc>
          <w:tcPr>
            <w:tcW w:w="1276" w:type="dxa"/>
            <w:shd w:val="clear" w:color="auto" w:fill="FFFFFF" w:themeFill="background1"/>
            <w:vAlign w:val="bottom"/>
          </w:tcPr>
          <w:p w14:paraId="4D66888D" w14:textId="77777777" w:rsidR="007541C4" w:rsidRPr="00AB52E7" w:rsidRDefault="007541C4" w:rsidP="0023236F">
            <w:pPr>
              <w:pStyle w:val="CETBodytext"/>
            </w:pPr>
            <w:r w:rsidRPr="00AB52E7">
              <w:t>34.82</w:t>
            </w:r>
          </w:p>
        </w:tc>
        <w:tc>
          <w:tcPr>
            <w:tcW w:w="1277" w:type="dxa"/>
            <w:shd w:val="clear" w:color="auto" w:fill="FFFFFF" w:themeFill="background1"/>
            <w:vAlign w:val="bottom"/>
          </w:tcPr>
          <w:p w14:paraId="719177E4" w14:textId="77777777" w:rsidR="007541C4" w:rsidRPr="00AB52E7" w:rsidRDefault="007541C4" w:rsidP="0023236F">
            <w:pPr>
              <w:pStyle w:val="CETBodytext"/>
            </w:pPr>
            <w:r w:rsidRPr="00AB52E7">
              <w:t>23.04</w:t>
            </w:r>
          </w:p>
        </w:tc>
      </w:tr>
      <w:tr w:rsidR="007541C4" w:rsidRPr="00AB52E7" w14:paraId="01AE5004" w14:textId="77777777" w:rsidTr="0023236F">
        <w:trPr>
          <w:jc w:val="center"/>
        </w:trPr>
        <w:tc>
          <w:tcPr>
            <w:tcW w:w="1129" w:type="dxa"/>
            <w:shd w:val="clear" w:color="auto" w:fill="FFFFFF" w:themeFill="background1"/>
          </w:tcPr>
          <w:p w14:paraId="5085220A" w14:textId="77777777" w:rsidR="007541C4" w:rsidRPr="00AB52E7" w:rsidRDefault="007541C4" w:rsidP="0023236F">
            <w:pPr>
              <w:pStyle w:val="CETBodytext"/>
              <w:rPr>
                <w:b/>
                <w:bCs/>
              </w:rPr>
            </w:pPr>
            <w:r w:rsidRPr="00AB52E7">
              <w:rPr>
                <w:b/>
                <w:bCs/>
              </w:rPr>
              <w:t>4</w:t>
            </w:r>
          </w:p>
        </w:tc>
        <w:tc>
          <w:tcPr>
            <w:tcW w:w="1276" w:type="dxa"/>
            <w:tcBorders>
              <w:left w:val="nil"/>
            </w:tcBorders>
            <w:shd w:val="clear" w:color="auto" w:fill="FFFFFF" w:themeFill="background1"/>
            <w:vAlign w:val="bottom"/>
          </w:tcPr>
          <w:p w14:paraId="1E77C35C" w14:textId="77777777" w:rsidR="007541C4" w:rsidRPr="00AB52E7" w:rsidRDefault="007541C4" w:rsidP="0023236F">
            <w:pPr>
              <w:pStyle w:val="CETBodytext"/>
            </w:pPr>
            <w:r w:rsidRPr="00AB52E7">
              <w:t>45.68</w:t>
            </w:r>
          </w:p>
        </w:tc>
        <w:tc>
          <w:tcPr>
            <w:tcW w:w="1277" w:type="dxa"/>
            <w:shd w:val="clear" w:color="auto" w:fill="FFFFFF" w:themeFill="background1"/>
            <w:vAlign w:val="bottom"/>
          </w:tcPr>
          <w:p w14:paraId="738E5F35" w14:textId="77777777" w:rsidR="007541C4" w:rsidRPr="00AB52E7" w:rsidRDefault="007541C4" w:rsidP="0023236F">
            <w:pPr>
              <w:pStyle w:val="CETBodytext"/>
            </w:pPr>
            <w:r w:rsidRPr="00AB52E7">
              <w:t>38.00</w:t>
            </w:r>
          </w:p>
        </w:tc>
        <w:tc>
          <w:tcPr>
            <w:tcW w:w="1276" w:type="dxa"/>
            <w:shd w:val="clear" w:color="auto" w:fill="FFFFFF" w:themeFill="background1"/>
            <w:vAlign w:val="bottom"/>
          </w:tcPr>
          <w:p w14:paraId="37E77CB3" w14:textId="77777777" w:rsidR="007541C4" w:rsidRPr="00AB52E7" w:rsidRDefault="007541C4" w:rsidP="0023236F">
            <w:pPr>
              <w:pStyle w:val="CETBodytext"/>
            </w:pPr>
            <w:r w:rsidRPr="00AB52E7">
              <w:t>16.32</w:t>
            </w:r>
          </w:p>
        </w:tc>
        <w:tc>
          <w:tcPr>
            <w:tcW w:w="1277" w:type="dxa"/>
            <w:shd w:val="clear" w:color="auto" w:fill="FFFFFF" w:themeFill="background1"/>
            <w:vAlign w:val="bottom"/>
          </w:tcPr>
          <w:p w14:paraId="46A7B006" w14:textId="77777777" w:rsidR="007541C4" w:rsidRPr="00AB52E7" w:rsidRDefault="007541C4" w:rsidP="0023236F">
            <w:pPr>
              <w:pStyle w:val="CETBodytext"/>
            </w:pPr>
            <w:r w:rsidRPr="00AB52E7">
              <w:t>45.20</w:t>
            </w:r>
          </w:p>
        </w:tc>
        <w:tc>
          <w:tcPr>
            <w:tcW w:w="1276" w:type="dxa"/>
            <w:shd w:val="clear" w:color="auto" w:fill="FFFFFF" w:themeFill="background1"/>
            <w:vAlign w:val="bottom"/>
          </w:tcPr>
          <w:p w14:paraId="2A18BD95" w14:textId="77777777" w:rsidR="007541C4" w:rsidRPr="00AB52E7" w:rsidRDefault="007541C4" w:rsidP="0023236F">
            <w:pPr>
              <w:pStyle w:val="CETBodytext"/>
            </w:pPr>
            <w:r w:rsidRPr="00AB52E7">
              <w:t>34.23</w:t>
            </w:r>
          </w:p>
        </w:tc>
        <w:tc>
          <w:tcPr>
            <w:tcW w:w="1277" w:type="dxa"/>
            <w:shd w:val="clear" w:color="auto" w:fill="FFFFFF" w:themeFill="background1"/>
            <w:vAlign w:val="bottom"/>
          </w:tcPr>
          <w:p w14:paraId="122DCA15" w14:textId="77777777" w:rsidR="007541C4" w:rsidRPr="00AB52E7" w:rsidRDefault="007541C4" w:rsidP="0023236F">
            <w:pPr>
              <w:pStyle w:val="CETBodytext"/>
            </w:pPr>
            <w:r w:rsidRPr="00AB52E7">
              <w:t>20.57</w:t>
            </w:r>
          </w:p>
        </w:tc>
      </w:tr>
      <w:tr w:rsidR="007541C4" w:rsidRPr="00AB52E7" w14:paraId="2FC06647" w14:textId="77777777" w:rsidTr="0023236F">
        <w:trPr>
          <w:jc w:val="center"/>
        </w:trPr>
        <w:tc>
          <w:tcPr>
            <w:tcW w:w="1129" w:type="dxa"/>
            <w:shd w:val="clear" w:color="auto" w:fill="FFFFFF" w:themeFill="background1"/>
          </w:tcPr>
          <w:p w14:paraId="17404867" w14:textId="77777777" w:rsidR="007541C4" w:rsidRPr="00AB52E7" w:rsidRDefault="007541C4" w:rsidP="0023236F">
            <w:pPr>
              <w:pStyle w:val="CETBodytext"/>
              <w:rPr>
                <w:b/>
                <w:bCs/>
              </w:rPr>
            </w:pPr>
            <w:r w:rsidRPr="00AB52E7">
              <w:rPr>
                <w:b/>
                <w:bCs/>
              </w:rPr>
              <w:t>5</w:t>
            </w:r>
          </w:p>
        </w:tc>
        <w:tc>
          <w:tcPr>
            <w:tcW w:w="1276" w:type="dxa"/>
            <w:tcBorders>
              <w:left w:val="nil"/>
            </w:tcBorders>
            <w:shd w:val="clear" w:color="auto" w:fill="FFFFFF" w:themeFill="background1"/>
            <w:vAlign w:val="bottom"/>
          </w:tcPr>
          <w:p w14:paraId="18264B93" w14:textId="77777777" w:rsidR="007541C4" w:rsidRPr="00AB52E7" w:rsidRDefault="007541C4" w:rsidP="0023236F">
            <w:pPr>
              <w:pStyle w:val="CETBodytext"/>
            </w:pPr>
            <w:r w:rsidRPr="00AB52E7">
              <w:t>44.62</w:t>
            </w:r>
          </w:p>
        </w:tc>
        <w:tc>
          <w:tcPr>
            <w:tcW w:w="1277" w:type="dxa"/>
            <w:shd w:val="clear" w:color="auto" w:fill="FFFFFF" w:themeFill="background1"/>
            <w:vAlign w:val="bottom"/>
          </w:tcPr>
          <w:p w14:paraId="102DFAB5" w14:textId="77777777" w:rsidR="007541C4" w:rsidRPr="00AB52E7" w:rsidRDefault="007541C4" w:rsidP="0023236F">
            <w:pPr>
              <w:pStyle w:val="CETBodytext"/>
            </w:pPr>
            <w:r w:rsidRPr="00AB52E7">
              <w:t>38.15</w:t>
            </w:r>
          </w:p>
        </w:tc>
        <w:tc>
          <w:tcPr>
            <w:tcW w:w="1276" w:type="dxa"/>
            <w:shd w:val="clear" w:color="auto" w:fill="FFFFFF" w:themeFill="background1"/>
            <w:vAlign w:val="bottom"/>
          </w:tcPr>
          <w:p w14:paraId="4EF79CFD" w14:textId="77777777" w:rsidR="007541C4" w:rsidRPr="00AB52E7" w:rsidRDefault="007541C4" w:rsidP="0023236F">
            <w:pPr>
              <w:pStyle w:val="CETBodytext"/>
            </w:pPr>
            <w:r w:rsidRPr="00AB52E7">
              <w:t>17.23</w:t>
            </w:r>
          </w:p>
        </w:tc>
        <w:tc>
          <w:tcPr>
            <w:tcW w:w="1277" w:type="dxa"/>
            <w:shd w:val="clear" w:color="auto" w:fill="FFFFFF" w:themeFill="background1"/>
            <w:vAlign w:val="bottom"/>
          </w:tcPr>
          <w:p w14:paraId="0C4E6856" w14:textId="77777777" w:rsidR="007541C4" w:rsidRPr="00AB52E7" w:rsidRDefault="007541C4" w:rsidP="0023236F">
            <w:pPr>
              <w:pStyle w:val="CETBodytext"/>
            </w:pPr>
            <w:r w:rsidRPr="00AB52E7">
              <w:t>43.31</w:t>
            </w:r>
          </w:p>
        </w:tc>
        <w:tc>
          <w:tcPr>
            <w:tcW w:w="1276" w:type="dxa"/>
            <w:shd w:val="clear" w:color="auto" w:fill="FFFFFF" w:themeFill="background1"/>
            <w:vAlign w:val="bottom"/>
          </w:tcPr>
          <w:p w14:paraId="3705573A" w14:textId="77777777" w:rsidR="007541C4" w:rsidRPr="00AB52E7" w:rsidRDefault="007541C4" w:rsidP="0023236F">
            <w:pPr>
              <w:pStyle w:val="CETBodytext"/>
            </w:pPr>
            <w:r w:rsidRPr="00AB52E7">
              <w:t>33.71</w:t>
            </w:r>
          </w:p>
        </w:tc>
        <w:tc>
          <w:tcPr>
            <w:tcW w:w="1277" w:type="dxa"/>
            <w:shd w:val="clear" w:color="auto" w:fill="FFFFFF" w:themeFill="background1"/>
            <w:vAlign w:val="bottom"/>
          </w:tcPr>
          <w:p w14:paraId="62F01772" w14:textId="77777777" w:rsidR="007541C4" w:rsidRPr="00AB52E7" w:rsidRDefault="007541C4" w:rsidP="0023236F">
            <w:pPr>
              <w:pStyle w:val="CETBodytext"/>
            </w:pPr>
            <w:r w:rsidRPr="00AB52E7">
              <w:t>22.98</w:t>
            </w:r>
          </w:p>
        </w:tc>
      </w:tr>
      <w:tr w:rsidR="007541C4" w:rsidRPr="00AB52E7" w14:paraId="6ED34DF9" w14:textId="77777777" w:rsidTr="0023236F">
        <w:trPr>
          <w:jc w:val="center"/>
        </w:trPr>
        <w:tc>
          <w:tcPr>
            <w:tcW w:w="1129" w:type="dxa"/>
            <w:shd w:val="clear" w:color="auto" w:fill="FFFFFF" w:themeFill="background1"/>
          </w:tcPr>
          <w:p w14:paraId="032080EC" w14:textId="77777777" w:rsidR="007541C4" w:rsidRPr="00AB52E7" w:rsidRDefault="007541C4" w:rsidP="0023236F">
            <w:pPr>
              <w:pStyle w:val="CETBodytext"/>
              <w:rPr>
                <w:b/>
                <w:bCs/>
              </w:rPr>
            </w:pPr>
            <w:r w:rsidRPr="00AB52E7">
              <w:rPr>
                <w:b/>
                <w:bCs/>
              </w:rPr>
              <w:t>6</w:t>
            </w:r>
          </w:p>
        </w:tc>
        <w:tc>
          <w:tcPr>
            <w:tcW w:w="1276" w:type="dxa"/>
            <w:tcBorders>
              <w:left w:val="nil"/>
            </w:tcBorders>
            <w:shd w:val="clear" w:color="auto" w:fill="FFFFFF" w:themeFill="background1"/>
            <w:vAlign w:val="bottom"/>
          </w:tcPr>
          <w:p w14:paraId="10FE8A05" w14:textId="77777777" w:rsidR="007541C4" w:rsidRPr="00AB52E7" w:rsidRDefault="007541C4" w:rsidP="0023236F">
            <w:pPr>
              <w:pStyle w:val="CETBodytext"/>
            </w:pPr>
            <w:r w:rsidRPr="00AB52E7">
              <w:t>43.91</w:t>
            </w:r>
          </w:p>
        </w:tc>
        <w:tc>
          <w:tcPr>
            <w:tcW w:w="1277" w:type="dxa"/>
            <w:shd w:val="clear" w:color="auto" w:fill="FFFFFF" w:themeFill="background1"/>
            <w:vAlign w:val="bottom"/>
          </w:tcPr>
          <w:p w14:paraId="1001A2B6" w14:textId="77777777" w:rsidR="007541C4" w:rsidRPr="00AB52E7" w:rsidRDefault="007541C4" w:rsidP="0023236F">
            <w:pPr>
              <w:pStyle w:val="CETBodytext"/>
            </w:pPr>
            <w:r w:rsidRPr="00AB52E7">
              <w:t>38.12</w:t>
            </w:r>
          </w:p>
        </w:tc>
        <w:tc>
          <w:tcPr>
            <w:tcW w:w="1276" w:type="dxa"/>
            <w:shd w:val="clear" w:color="auto" w:fill="FFFFFF" w:themeFill="background1"/>
            <w:vAlign w:val="bottom"/>
          </w:tcPr>
          <w:p w14:paraId="29CBCFC6" w14:textId="77777777" w:rsidR="007541C4" w:rsidRPr="00AB52E7" w:rsidRDefault="007541C4" w:rsidP="0023236F">
            <w:pPr>
              <w:pStyle w:val="CETBodytext"/>
            </w:pPr>
            <w:r w:rsidRPr="00AB52E7">
              <w:t>17.97</w:t>
            </w:r>
          </w:p>
        </w:tc>
        <w:tc>
          <w:tcPr>
            <w:tcW w:w="1277" w:type="dxa"/>
            <w:shd w:val="clear" w:color="auto" w:fill="FFFFFF" w:themeFill="background1"/>
            <w:vAlign w:val="bottom"/>
          </w:tcPr>
          <w:p w14:paraId="0AEEA67D" w14:textId="77777777" w:rsidR="007541C4" w:rsidRPr="00AB52E7" w:rsidRDefault="007541C4" w:rsidP="0023236F">
            <w:pPr>
              <w:pStyle w:val="CETBodytext"/>
            </w:pPr>
            <w:r w:rsidRPr="00AB52E7">
              <w:t>44.92</w:t>
            </w:r>
          </w:p>
        </w:tc>
        <w:tc>
          <w:tcPr>
            <w:tcW w:w="1276" w:type="dxa"/>
            <w:shd w:val="clear" w:color="auto" w:fill="FFFFFF" w:themeFill="background1"/>
            <w:vAlign w:val="bottom"/>
          </w:tcPr>
          <w:p w14:paraId="0075CECC" w14:textId="77777777" w:rsidR="007541C4" w:rsidRPr="00AB52E7" w:rsidRDefault="007541C4" w:rsidP="0023236F">
            <w:pPr>
              <w:pStyle w:val="CETBodytext"/>
            </w:pPr>
            <w:r w:rsidRPr="00AB52E7">
              <w:t>32.58</w:t>
            </w:r>
          </w:p>
        </w:tc>
        <w:tc>
          <w:tcPr>
            <w:tcW w:w="1277" w:type="dxa"/>
            <w:shd w:val="clear" w:color="auto" w:fill="FFFFFF" w:themeFill="background1"/>
            <w:vAlign w:val="bottom"/>
          </w:tcPr>
          <w:p w14:paraId="428B233A" w14:textId="77777777" w:rsidR="007541C4" w:rsidRPr="00AB52E7" w:rsidRDefault="007541C4" w:rsidP="0023236F">
            <w:pPr>
              <w:pStyle w:val="CETBodytext"/>
            </w:pPr>
            <w:r w:rsidRPr="00AB52E7">
              <w:t>22.50</w:t>
            </w:r>
          </w:p>
        </w:tc>
      </w:tr>
      <w:tr w:rsidR="007541C4" w:rsidRPr="00AB52E7" w14:paraId="304FAEA5" w14:textId="77777777" w:rsidTr="0023236F">
        <w:trPr>
          <w:jc w:val="center"/>
        </w:trPr>
        <w:tc>
          <w:tcPr>
            <w:tcW w:w="1129" w:type="dxa"/>
            <w:shd w:val="clear" w:color="auto" w:fill="FFFFFF" w:themeFill="background1"/>
          </w:tcPr>
          <w:p w14:paraId="3B632FF6" w14:textId="77777777" w:rsidR="007541C4" w:rsidRPr="00AB52E7" w:rsidRDefault="007541C4" w:rsidP="0023236F">
            <w:pPr>
              <w:pStyle w:val="CETBodytext"/>
              <w:rPr>
                <w:b/>
                <w:bCs/>
              </w:rPr>
            </w:pPr>
            <w:r w:rsidRPr="00AB52E7">
              <w:rPr>
                <w:b/>
                <w:bCs/>
              </w:rPr>
              <w:t>7</w:t>
            </w:r>
          </w:p>
        </w:tc>
        <w:tc>
          <w:tcPr>
            <w:tcW w:w="1276" w:type="dxa"/>
            <w:tcBorders>
              <w:left w:val="nil"/>
            </w:tcBorders>
            <w:shd w:val="clear" w:color="auto" w:fill="FFFFFF" w:themeFill="background1"/>
            <w:vAlign w:val="bottom"/>
          </w:tcPr>
          <w:p w14:paraId="6733B66C" w14:textId="77777777" w:rsidR="007541C4" w:rsidRPr="00AB52E7" w:rsidRDefault="007541C4" w:rsidP="0023236F">
            <w:pPr>
              <w:pStyle w:val="CETBodytext"/>
            </w:pPr>
            <w:r w:rsidRPr="00AB52E7">
              <w:t>45.36</w:t>
            </w:r>
          </w:p>
        </w:tc>
        <w:tc>
          <w:tcPr>
            <w:tcW w:w="1277" w:type="dxa"/>
            <w:shd w:val="clear" w:color="auto" w:fill="FFFFFF" w:themeFill="background1"/>
            <w:vAlign w:val="bottom"/>
          </w:tcPr>
          <w:p w14:paraId="45EA4711" w14:textId="77777777" w:rsidR="007541C4" w:rsidRPr="00AB52E7" w:rsidRDefault="007541C4" w:rsidP="0023236F">
            <w:pPr>
              <w:pStyle w:val="CETBodytext"/>
            </w:pPr>
            <w:r w:rsidRPr="00AB52E7">
              <w:t>38.23</w:t>
            </w:r>
          </w:p>
        </w:tc>
        <w:tc>
          <w:tcPr>
            <w:tcW w:w="1276" w:type="dxa"/>
            <w:shd w:val="clear" w:color="auto" w:fill="FFFFFF" w:themeFill="background1"/>
            <w:vAlign w:val="bottom"/>
          </w:tcPr>
          <w:p w14:paraId="47B53E5A" w14:textId="77777777" w:rsidR="007541C4" w:rsidRPr="00AB52E7" w:rsidRDefault="007541C4" w:rsidP="0023236F">
            <w:pPr>
              <w:pStyle w:val="CETBodytext"/>
            </w:pPr>
            <w:r w:rsidRPr="00AB52E7">
              <w:t>16.41</w:t>
            </w:r>
          </w:p>
        </w:tc>
        <w:tc>
          <w:tcPr>
            <w:tcW w:w="1277" w:type="dxa"/>
            <w:shd w:val="clear" w:color="auto" w:fill="FFFFFF" w:themeFill="background1"/>
            <w:vAlign w:val="bottom"/>
          </w:tcPr>
          <w:p w14:paraId="0F25E11C" w14:textId="77777777" w:rsidR="007541C4" w:rsidRPr="00AB52E7" w:rsidRDefault="007541C4" w:rsidP="0023236F">
            <w:pPr>
              <w:pStyle w:val="CETBodytext"/>
            </w:pPr>
            <w:r w:rsidRPr="00AB52E7">
              <w:t>41.91</w:t>
            </w:r>
          </w:p>
        </w:tc>
        <w:tc>
          <w:tcPr>
            <w:tcW w:w="1276" w:type="dxa"/>
            <w:shd w:val="clear" w:color="auto" w:fill="FFFFFF" w:themeFill="background1"/>
            <w:vAlign w:val="bottom"/>
          </w:tcPr>
          <w:p w14:paraId="3B399D8E" w14:textId="77777777" w:rsidR="007541C4" w:rsidRPr="00AB52E7" w:rsidRDefault="007541C4" w:rsidP="0023236F">
            <w:pPr>
              <w:pStyle w:val="CETBodytext"/>
            </w:pPr>
            <w:r w:rsidRPr="00AB52E7">
              <w:t>34.62</w:t>
            </w:r>
          </w:p>
        </w:tc>
        <w:tc>
          <w:tcPr>
            <w:tcW w:w="1277" w:type="dxa"/>
            <w:shd w:val="clear" w:color="auto" w:fill="FFFFFF" w:themeFill="background1"/>
            <w:vAlign w:val="bottom"/>
          </w:tcPr>
          <w:p w14:paraId="2C5E14C6" w14:textId="77777777" w:rsidR="007541C4" w:rsidRPr="00AB52E7" w:rsidRDefault="007541C4" w:rsidP="0023236F">
            <w:pPr>
              <w:pStyle w:val="CETBodytext"/>
            </w:pPr>
            <w:r w:rsidRPr="00AB52E7">
              <w:t>23.47</w:t>
            </w:r>
          </w:p>
        </w:tc>
      </w:tr>
      <w:tr w:rsidR="007541C4" w:rsidRPr="00AB52E7" w14:paraId="7E95D1E3" w14:textId="77777777" w:rsidTr="0023236F">
        <w:trPr>
          <w:jc w:val="center"/>
        </w:trPr>
        <w:tc>
          <w:tcPr>
            <w:tcW w:w="1129" w:type="dxa"/>
            <w:tcBorders>
              <w:bottom w:val="single" w:sz="12" w:space="0" w:color="008000"/>
            </w:tcBorders>
            <w:shd w:val="clear" w:color="auto" w:fill="FFFFFF" w:themeFill="background1"/>
          </w:tcPr>
          <w:p w14:paraId="7BEBCB0D" w14:textId="77777777" w:rsidR="007541C4" w:rsidRPr="00AB52E7" w:rsidRDefault="007541C4" w:rsidP="0023236F">
            <w:pPr>
              <w:pStyle w:val="CETBodytext"/>
              <w:rPr>
                <w:b/>
                <w:bCs/>
              </w:rPr>
            </w:pPr>
            <w:r>
              <w:rPr>
                <w:b/>
                <w:bCs/>
              </w:rPr>
              <w:t xml:space="preserve">Area </w:t>
            </w:r>
          </w:p>
        </w:tc>
        <w:tc>
          <w:tcPr>
            <w:tcW w:w="1276" w:type="dxa"/>
            <w:tcBorders>
              <w:left w:val="nil"/>
              <w:bottom w:val="single" w:sz="12" w:space="0" w:color="008000"/>
            </w:tcBorders>
            <w:shd w:val="clear" w:color="auto" w:fill="FFFFFF" w:themeFill="background1"/>
          </w:tcPr>
          <w:p w14:paraId="1FD9AD22" w14:textId="77777777" w:rsidR="007541C4" w:rsidRPr="00AB52E7" w:rsidRDefault="007541C4" w:rsidP="0023236F">
            <w:pPr>
              <w:pStyle w:val="CETBodytext"/>
            </w:pPr>
            <w:r w:rsidRPr="00D7212E">
              <w:t>45.23</w:t>
            </w:r>
          </w:p>
        </w:tc>
        <w:tc>
          <w:tcPr>
            <w:tcW w:w="1277" w:type="dxa"/>
            <w:tcBorders>
              <w:bottom w:val="single" w:sz="12" w:space="0" w:color="008000"/>
            </w:tcBorders>
            <w:shd w:val="clear" w:color="auto" w:fill="FFFFFF" w:themeFill="background1"/>
          </w:tcPr>
          <w:p w14:paraId="7CD3AB1E" w14:textId="77777777" w:rsidR="007541C4" w:rsidRPr="00AB52E7" w:rsidRDefault="007541C4" w:rsidP="0023236F">
            <w:pPr>
              <w:pStyle w:val="CETBodytext"/>
            </w:pPr>
            <w:r w:rsidRPr="00D7212E">
              <w:t>37.54</w:t>
            </w:r>
          </w:p>
        </w:tc>
        <w:tc>
          <w:tcPr>
            <w:tcW w:w="1276" w:type="dxa"/>
            <w:tcBorders>
              <w:bottom w:val="single" w:sz="12" w:space="0" w:color="008000"/>
            </w:tcBorders>
            <w:shd w:val="clear" w:color="auto" w:fill="FFFFFF" w:themeFill="background1"/>
          </w:tcPr>
          <w:p w14:paraId="5F589FD3" w14:textId="77777777" w:rsidR="007541C4" w:rsidRPr="00AB52E7" w:rsidRDefault="007541C4" w:rsidP="0023236F">
            <w:pPr>
              <w:pStyle w:val="CETBodytext"/>
            </w:pPr>
            <w:r w:rsidRPr="00D7212E">
              <w:t>17.23</w:t>
            </w:r>
          </w:p>
        </w:tc>
        <w:tc>
          <w:tcPr>
            <w:tcW w:w="1277" w:type="dxa"/>
            <w:tcBorders>
              <w:bottom w:val="single" w:sz="12" w:space="0" w:color="008000"/>
            </w:tcBorders>
            <w:shd w:val="clear" w:color="auto" w:fill="FFFFFF" w:themeFill="background1"/>
          </w:tcPr>
          <w:p w14:paraId="65F83A4A" w14:textId="77777777" w:rsidR="007541C4" w:rsidRPr="00AB52E7" w:rsidRDefault="007541C4" w:rsidP="0023236F">
            <w:pPr>
              <w:pStyle w:val="CETBodytext"/>
            </w:pPr>
            <w:r w:rsidRPr="00D7212E">
              <w:t>42.93</w:t>
            </w:r>
          </w:p>
        </w:tc>
        <w:tc>
          <w:tcPr>
            <w:tcW w:w="1276" w:type="dxa"/>
            <w:tcBorders>
              <w:bottom w:val="single" w:sz="12" w:space="0" w:color="008000"/>
            </w:tcBorders>
            <w:shd w:val="clear" w:color="auto" w:fill="FFFFFF" w:themeFill="background1"/>
          </w:tcPr>
          <w:p w14:paraId="7EE12483" w14:textId="77777777" w:rsidR="007541C4" w:rsidRPr="00AB52E7" w:rsidRDefault="007541C4" w:rsidP="0023236F">
            <w:pPr>
              <w:pStyle w:val="CETBodytext"/>
            </w:pPr>
            <w:r w:rsidRPr="00D7212E">
              <w:t>33.42</w:t>
            </w:r>
          </w:p>
        </w:tc>
        <w:tc>
          <w:tcPr>
            <w:tcW w:w="1277" w:type="dxa"/>
            <w:tcBorders>
              <w:bottom w:val="single" w:sz="12" w:space="0" w:color="008000"/>
            </w:tcBorders>
            <w:shd w:val="clear" w:color="auto" w:fill="FFFFFF" w:themeFill="background1"/>
          </w:tcPr>
          <w:p w14:paraId="1E42AA8E" w14:textId="77777777" w:rsidR="007541C4" w:rsidRPr="00AB52E7" w:rsidRDefault="007541C4" w:rsidP="0023236F">
            <w:pPr>
              <w:pStyle w:val="CETBodytext"/>
            </w:pPr>
            <w:r w:rsidRPr="00D7212E">
              <w:t>23.65</w:t>
            </w:r>
          </w:p>
        </w:tc>
      </w:tr>
    </w:tbl>
    <w:p w14:paraId="54A1FC88" w14:textId="77777777" w:rsidR="007541C4" w:rsidRDefault="007541C4" w:rsidP="007541C4">
      <w:pPr>
        <w:pStyle w:val="CETBodytext"/>
        <w:rPr>
          <w:lang w:val="en-GB"/>
        </w:rPr>
      </w:pPr>
    </w:p>
    <w:p w14:paraId="6561CC0A" w14:textId="77777777" w:rsidR="007541C4" w:rsidRPr="00FD1FE5" w:rsidRDefault="007541C4" w:rsidP="007541C4">
      <w:pPr>
        <w:pStyle w:val="Caption"/>
        <w:keepNext/>
        <w:rPr>
          <w:b w:val="0"/>
          <w:bCs w:val="0"/>
          <w:i/>
          <w:iCs/>
          <w:color w:val="auto"/>
        </w:rPr>
      </w:pPr>
      <w:r w:rsidRPr="00FD1FE5">
        <w:rPr>
          <w:b w:val="0"/>
          <w:bCs w:val="0"/>
          <w:i/>
          <w:iCs/>
          <w:color w:val="auto"/>
        </w:rPr>
        <w:t xml:space="preserve">Table </w:t>
      </w:r>
      <w:r>
        <w:rPr>
          <w:b w:val="0"/>
          <w:bCs w:val="0"/>
          <w:i/>
          <w:iCs/>
          <w:color w:val="auto"/>
        </w:rPr>
        <w:t>2 EDS analysis for Ru/Al</w:t>
      </w:r>
      <w:r w:rsidRPr="00591A07">
        <w:rPr>
          <w:b w:val="0"/>
          <w:bCs w:val="0"/>
          <w:i/>
          <w:iCs/>
          <w:color w:val="auto"/>
          <w:vertAlign w:val="subscript"/>
        </w:rPr>
        <w:t>2</w:t>
      </w:r>
      <w:r>
        <w:rPr>
          <w:b w:val="0"/>
          <w:bCs w:val="0"/>
          <w:i/>
          <w:iCs/>
          <w:color w:val="auto"/>
        </w:rPr>
        <w:t>O</w:t>
      </w:r>
      <w:r w:rsidRPr="00591A07">
        <w:rPr>
          <w:b w:val="0"/>
          <w:bCs w:val="0"/>
          <w:i/>
          <w:iCs/>
          <w:color w:val="auto"/>
          <w:vertAlign w:val="subscript"/>
        </w:rPr>
        <w:t>3</w:t>
      </w:r>
      <w:r>
        <w:rPr>
          <w:b w:val="0"/>
          <w:bCs w:val="0"/>
          <w:i/>
          <w:iCs/>
          <w:color w:val="auto"/>
          <w:vertAlign w:val="subscript"/>
        </w:rPr>
        <w:t xml:space="preserve"> </w:t>
      </w:r>
      <w:r>
        <w:rPr>
          <w:b w:val="0"/>
          <w:bCs w:val="0"/>
          <w:i/>
          <w:iCs/>
          <w:color w:val="auto"/>
        </w:rPr>
        <w:t>catalyst after reduction and after testing</w:t>
      </w:r>
    </w:p>
    <w:tbl>
      <w:tblPr>
        <w:tblStyle w:val="TableGrid"/>
        <w:tblW w:w="8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1277"/>
        <w:gridCol w:w="1276"/>
        <w:gridCol w:w="1277"/>
        <w:gridCol w:w="1276"/>
        <w:gridCol w:w="1277"/>
      </w:tblGrid>
      <w:tr w:rsidR="007541C4" w:rsidRPr="00AB52E7" w14:paraId="53EB099E" w14:textId="77777777" w:rsidTr="0023236F">
        <w:trPr>
          <w:jc w:val="center"/>
        </w:trPr>
        <w:tc>
          <w:tcPr>
            <w:tcW w:w="1129" w:type="dxa"/>
            <w:tcBorders>
              <w:top w:val="single" w:sz="12" w:space="0" w:color="008000"/>
              <w:bottom w:val="single" w:sz="4" w:space="0" w:color="auto"/>
            </w:tcBorders>
            <w:shd w:val="clear" w:color="auto" w:fill="FFFFFF" w:themeFill="background1"/>
          </w:tcPr>
          <w:p w14:paraId="73DD8547" w14:textId="77777777" w:rsidR="007541C4" w:rsidRPr="00AB52E7" w:rsidRDefault="007541C4" w:rsidP="0023236F">
            <w:pPr>
              <w:pStyle w:val="CETBodytext"/>
            </w:pPr>
          </w:p>
        </w:tc>
        <w:tc>
          <w:tcPr>
            <w:tcW w:w="3829" w:type="dxa"/>
            <w:gridSpan w:val="3"/>
            <w:tcBorders>
              <w:top w:val="single" w:sz="12" w:space="0" w:color="008000"/>
              <w:bottom w:val="single" w:sz="4" w:space="0" w:color="auto"/>
            </w:tcBorders>
            <w:shd w:val="clear" w:color="auto" w:fill="FFFFFF" w:themeFill="background1"/>
          </w:tcPr>
          <w:p w14:paraId="144EF958" w14:textId="77777777" w:rsidR="007541C4" w:rsidRPr="00AB52E7" w:rsidRDefault="007541C4" w:rsidP="0023236F">
            <w:pPr>
              <w:pStyle w:val="CETBodytext"/>
              <w:rPr>
                <w:b/>
                <w:bCs/>
              </w:rPr>
            </w:pPr>
            <w:r>
              <w:rPr>
                <w:b/>
                <w:bCs/>
              </w:rPr>
              <w:t>Ru</w:t>
            </w:r>
            <w:r w:rsidRPr="00AB52E7">
              <w:rPr>
                <w:b/>
                <w:bCs/>
              </w:rPr>
              <w:t>/Al</w:t>
            </w:r>
            <w:r w:rsidRPr="00AB52E7">
              <w:rPr>
                <w:b/>
                <w:bCs/>
                <w:vertAlign w:val="subscript"/>
              </w:rPr>
              <w:t>2</w:t>
            </w:r>
            <w:r w:rsidRPr="00AB52E7">
              <w:rPr>
                <w:b/>
                <w:bCs/>
              </w:rPr>
              <w:t>O</w:t>
            </w:r>
            <w:r w:rsidRPr="00AB52E7">
              <w:rPr>
                <w:b/>
                <w:bCs/>
                <w:vertAlign w:val="subscript"/>
              </w:rPr>
              <w:t xml:space="preserve">3 </w:t>
            </w:r>
            <w:r>
              <w:rPr>
                <w:b/>
                <w:bCs/>
              </w:rPr>
              <w:t>after reduction</w:t>
            </w:r>
          </w:p>
        </w:tc>
        <w:tc>
          <w:tcPr>
            <w:tcW w:w="3830" w:type="dxa"/>
            <w:gridSpan w:val="3"/>
            <w:tcBorders>
              <w:top w:val="single" w:sz="12" w:space="0" w:color="008000"/>
              <w:bottom w:val="single" w:sz="4" w:space="0" w:color="auto"/>
            </w:tcBorders>
            <w:shd w:val="clear" w:color="auto" w:fill="FFFFFF" w:themeFill="background1"/>
          </w:tcPr>
          <w:p w14:paraId="34C064E2" w14:textId="77777777" w:rsidR="007541C4" w:rsidRPr="00AB52E7" w:rsidRDefault="007541C4" w:rsidP="0023236F">
            <w:pPr>
              <w:pStyle w:val="CETBodytext"/>
              <w:rPr>
                <w:b/>
              </w:rPr>
            </w:pPr>
            <w:r>
              <w:rPr>
                <w:b/>
                <w:bCs/>
              </w:rPr>
              <w:t>Ru</w:t>
            </w:r>
            <w:r w:rsidRPr="00AB52E7">
              <w:rPr>
                <w:b/>
                <w:bCs/>
              </w:rPr>
              <w:t>/Al</w:t>
            </w:r>
            <w:r w:rsidRPr="00AB52E7">
              <w:rPr>
                <w:b/>
                <w:bCs/>
                <w:vertAlign w:val="subscript"/>
              </w:rPr>
              <w:t>2</w:t>
            </w:r>
            <w:r w:rsidRPr="00AB52E7">
              <w:rPr>
                <w:b/>
                <w:bCs/>
              </w:rPr>
              <w:t>O</w:t>
            </w:r>
            <w:r w:rsidRPr="00AB52E7">
              <w:rPr>
                <w:b/>
                <w:bCs/>
                <w:vertAlign w:val="subscript"/>
              </w:rPr>
              <w:t xml:space="preserve">3 </w:t>
            </w:r>
            <w:r w:rsidRPr="00AB52E7">
              <w:rPr>
                <w:b/>
                <w:bCs/>
              </w:rPr>
              <w:t>tested</w:t>
            </w:r>
          </w:p>
        </w:tc>
      </w:tr>
      <w:tr w:rsidR="007541C4" w:rsidRPr="00AB52E7" w14:paraId="587E092C" w14:textId="77777777" w:rsidTr="0023236F">
        <w:trPr>
          <w:jc w:val="center"/>
        </w:trPr>
        <w:tc>
          <w:tcPr>
            <w:tcW w:w="1129" w:type="dxa"/>
            <w:tcBorders>
              <w:bottom w:val="single" w:sz="4" w:space="0" w:color="auto"/>
            </w:tcBorders>
            <w:shd w:val="clear" w:color="auto" w:fill="FFFFFF" w:themeFill="background1"/>
          </w:tcPr>
          <w:p w14:paraId="7ADCD23A" w14:textId="77777777" w:rsidR="007541C4" w:rsidRPr="00AB52E7" w:rsidRDefault="007541C4" w:rsidP="0023236F">
            <w:pPr>
              <w:pStyle w:val="CETBodytext"/>
            </w:pPr>
          </w:p>
        </w:tc>
        <w:tc>
          <w:tcPr>
            <w:tcW w:w="7659" w:type="dxa"/>
            <w:gridSpan w:val="6"/>
            <w:tcBorders>
              <w:top w:val="single" w:sz="4" w:space="0" w:color="auto"/>
              <w:bottom w:val="single" w:sz="4" w:space="0" w:color="auto"/>
            </w:tcBorders>
            <w:shd w:val="clear" w:color="auto" w:fill="FFFFFF" w:themeFill="background1"/>
          </w:tcPr>
          <w:p w14:paraId="047A077D" w14:textId="77777777" w:rsidR="007541C4" w:rsidRPr="00AB52E7" w:rsidRDefault="007541C4" w:rsidP="0023236F">
            <w:pPr>
              <w:pStyle w:val="CETBodytext"/>
              <w:jc w:val="center"/>
              <w:rPr>
                <w:b/>
                <w:bCs/>
              </w:rPr>
            </w:pPr>
            <w:r w:rsidRPr="00AB52E7">
              <w:rPr>
                <w:b/>
                <w:bCs/>
              </w:rPr>
              <w:t>Elements concentration (%</w:t>
            </w:r>
            <w:proofErr w:type="spellStart"/>
            <w:r w:rsidRPr="00AB52E7">
              <w:rPr>
                <w:b/>
                <w:bCs/>
              </w:rPr>
              <w:t>wt</w:t>
            </w:r>
            <w:proofErr w:type="spellEnd"/>
            <w:r w:rsidRPr="00AB52E7">
              <w:rPr>
                <w:b/>
                <w:bCs/>
              </w:rPr>
              <w:t>)</w:t>
            </w:r>
          </w:p>
        </w:tc>
      </w:tr>
      <w:tr w:rsidR="007541C4" w:rsidRPr="00AB52E7" w14:paraId="6F74D5EC" w14:textId="77777777" w:rsidTr="0023236F">
        <w:trPr>
          <w:jc w:val="center"/>
        </w:trPr>
        <w:tc>
          <w:tcPr>
            <w:tcW w:w="1129" w:type="dxa"/>
            <w:tcBorders>
              <w:top w:val="single" w:sz="4" w:space="0" w:color="auto"/>
            </w:tcBorders>
            <w:shd w:val="clear" w:color="auto" w:fill="FFFFFF" w:themeFill="background1"/>
          </w:tcPr>
          <w:p w14:paraId="7632B0C0" w14:textId="77777777" w:rsidR="007541C4" w:rsidRPr="00AB52E7" w:rsidRDefault="007541C4" w:rsidP="0023236F">
            <w:pPr>
              <w:pStyle w:val="CETBodytext"/>
              <w:rPr>
                <w:b/>
              </w:rPr>
            </w:pPr>
            <w:r w:rsidRPr="00AB52E7">
              <w:rPr>
                <w:b/>
                <w:bCs/>
              </w:rPr>
              <w:t>EDS Point</w:t>
            </w:r>
          </w:p>
        </w:tc>
        <w:tc>
          <w:tcPr>
            <w:tcW w:w="1276" w:type="dxa"/>
            <w:tcBorders>
              <w:top w:val="single" w:sz="4" w:space="0" w:color="auto"/>
              <w:left w:val="nil"/>
            </w:tcBorders>
            <w:shd w:val="clear" w:color="auto" w:fill="FFFFFF" w:themeFill="background1"/>
          </w:tcPr>
          <w:p w14:paraId="11B3B8CE" w14:textId="77777777" w:rsidR="007541C4" w:rsidRPr="00AB52E7" w:rsidRDefault="007541C4" w:rsidP="0023236F">
            <w:pPr>
              <w:pStyle w:val="CETBodytext"/>
              <w:rPr>
                <w:b/>
              </w:rPr>
            </w:pPr>
            <w:r w:rsidRPr="00AB52E7">
              <w:rPr>
                <w:b/>
                <w:bCs/>
              </w:rPr>
              <w:t>O</w:t>
            </w:r>
          </w:p>
        </w:tc>
        <w:tc>
          <w:tcPr>
            <w:tcW w:w="1277" w:type="dxa"/>
            <w:tcBorders>
              <w:top w:val="single" w:sz="4" w:space="0" w:color="auto"/>
            </w:tcBorders>
            <w:shd w:val="clear" w:color="auto" w:fill="FFFFFF" w:themeFill="background1"/>
          </w:tcPr>
          <w:p w14:paraId="36C55E79" w14:textId="77777777" w:rsidR="007541C4" w:rsidRPr="00AB52E7" w:rsidRDefault="007541C4" w:rsidP="0023236F">
            <w:pPr>
              <w:pStyle w:val="CETBodytext"/>
              <w:rPr>
                <w:b/>
                <w:bCs/>
              </w:rPr>
            </w:pPr>
            <w:r w:rsidRPr="00AB52E7">
              <w:rPr>
                <w:b/>
                <w:bCs/>
              </w:rPr>
              <w:t>Al</w:t>
            </w:r>
          </w:p>
        </w:tc>
        <w:tc>
          <w:tcPr>
            <w:tcW w:w="1276" w:type="dxa"/>
            <w:tcBorders>
              <w:top w:val="single" w:sz="4" w:space="0" w:color="auto"/>
            </w:tcBorders>
            <w:shd w:val="clear" w:color="auto" w:fill="FFFFFF" w:themeFill="background1"/>
          </w:tcPr>
          <w:p w14:paraId="4CC6252B" w14:textId="77777777" w:rsidR="007541C4" w:rsidRPr="00AB52E7" w:rsidRDefault="007541C4" w:rsidP="0023236F">
            <w:pPr>
              <w:pStyle w:val="CETBodytext"/>
              <w:rPr>
                <w:b/>
                <w:bCs/>
              </w:rPr>
            </w:pPr>
            <w:r>
              <w:rPr>
                <w:b/>
                <w:bCs/>
              </w:rPr>
              <w:t>Ru</w:t>
            </w:r>
          </w:p>
        </w:tc>
        <w:tc>
          <w:tcPr>
            <w:tcW w:w="1277" w:type="dxa"/>
            <w:tcBorders>
              <w:top w:val="single" w:sz="4" w:space="0" w:color="auto"/>
              <w:left w:val="nil"/>
            </w:tcBorders>
            <w:shd w:val="clear" w:color="auto" w:fill="FFFFFF" w:themeFill="background1"/>
          </w:tcPr>
          <w:p w14:paraId="688CBAF6" w14:textId="77777777" w:rsidR="007541C4" w:rsidRPr="00AB52E7" w:rsidRDefault="007541C4" w:rsidP="0023236F">
            <w:pPr>
              <w:pStyle w:val="CETBodytext"/>
              <w:rPr>
                <w:b/>
              </w:rPr>
            </w:pPr>
            <w:r w:rsidRPr="00AB52E7">
              <w:rPr>
                <w:b/>
                <w:bCs/>
              </w:rPr>
              <w:t>O</w:t>
            </w:r>
          </w:p>
        </w:tc>
        <w:tc>
          <w:tcPr>
            <w:tcW w:w="1276" w:type="dxa"/>
            <w:tcBorders>
              <w:top w:val="single" w:sz="4" w:space="0" w:color="auto"/>
            </w:tcBorders>
            <w:shd w:val="clear" w:color="auto" w:fill="FFFFFF" w:themeFill="background1"/>
          </w:tcPr>
          <w:p w14:paraId="79ED4F1F" w14:textId="77777777" w:rsidR="007541C4" w:rsidRPr="00AB52E7" w:rsidRDefault="007541C4" w:rsidP="0023236F">
            <w:pPr>
              <w:pStyle w:val="CETBodytext"/>
              <w:rPr>
                <w:b/>
              </w:rPr>
            </w:pPr>
            <w:r w:rsidRPr="00AB52E7">
              <w:rPr>
                <w:b/>
                <w:bCs/>
              </w:rPr>
              <w:t>Al</w:t>
            </w:r>
          </w:p>
        </w:tc>
        <w:tc>
          <w:tcPr>
            <w:tcW w:w="1277" w:type="dxa"/>
            <w:tcBorders>
              <w:top w:val="single" w:sz="4" w:space="0" w:color="auto"/>
            </w:tcBorders>
            <w:shd w:val="clear" w:color="auto" w:fill="FFFFFF" w:themeFill="background1"/>
          </w:tcPr>
          <w:p w14:paraId="20015DB6" w14:textId="77777777" w:rsidR="007541C4" w:rsidRPr="00AB52E7" w:rsidRDefault="007541C4" w:rsidP="0023236F">
            <w:pPr>
              <w:pStyle w:val="CETBodytext"/>
              <w:rPr>
                <w:b/>
              </w:rPr>
            </w:pPr>
            <w:r>
              <w:rPr>
                <w:b/>
              </w:rPr>
              <w:t>Ru</w:t>
            </w:r>
          </w:p>
        </w:tc>
      </w:tr>
      <w:tr w:rsidR="007541C4" w:rsidRPr="00AB52E7" w14:paraId="6F8740C3" w14:textId="77777777" w:rsidTr="0023236F">
        <w:trPr>
          <w:jc w:val="center"/>
        </w:trPr>
        <w:tc>
          <w:tcPr>
            <w:tcW w:w="1129" w:type="dxa"/>
            <w:shd w:val="clear" w:color="auto" w:fill="FFFFFF" w:themeFill="background1"/>
          </w:tcPr>
          <w:p w14:paraId="703FB186" w14:textId="77777777" w:rsidR="007541C4" w:rsidRPr="00AB52E7" w:rsidRDefault="007541C4" w:rsidP="0023236F">
            <w:pPr>
              <w:pStyle w:val="CETBodytext"/>
              <w:rPr>
                <w:b/>
              </w:rPr>
            </w:pPr>
            <w:r w:rsidRPr="00AB52E7">
              <w:rPr>
                <w:b/>
                <w:bCs/>
              </w:rPr>
              <w:t>1</w:t>
            </w:r>
          </w:p>
        </w:tc>
        <w:tc>
          <w:tcPr>
            <w:tcW w:w="1276" w:type="dxa"/>
            <w:tcBorders>
              <w:left w:val="nil"/>
            </w:tcBorders>
            <w:shd w:val="clear" w:color="auto" w:fill="FFFFFF" w:themeFill="background1"/>
          </w:tcPr>
          <w:p w14:paraId="568A4602" w14:textId="77777777" w:rsidR="007541C4" w:rsidRPr="00AB52E7" w:rsidRDefault="007541C4" w:rsidP="0023236F">
            <w:pPr>
              <w:pStyle w:val="CETBodytext"/>
            </w:pPr>
            <w:r w:rsidRPr="002B7417">
              <w:t>67.61</w:t>
            </w:r>
          </w:p>
        </w:tc>
        <w:tc>
          <w:tcPr>
            <w:tcW w:w="1277" w:type="dxa"/>
            <w:shd w:val="clear" w:color="auto" w:fill="FFFFFF" w:themeFill="background1"/>
          </w:tcPr>
          <w:p w14:paraId="11AC9CF6" w14:textId="77777777" w:rsidR="007541C4" w:rsidRPr="00AB52E7" w:rsidRDefault="007541C4" w:rsidP="0023236F">
            <w:pPr>
              <w:pStyle w:val="CETBodytext"/>
            </w:pPr>
            <w:r w:rsidRPr="002B7417">
              <w:t>30.51</w:t>
            </w:r>
          </w:p>
        </w:tc>
        <w:tc>
          <w:tcPr>
            <w:tcW w:w="1276" w:type="dxa"/>
            <w:shd w:val="clear" w:color="auto" w:fill="FFFFFF" w:themeFill="background1"/>
          </w:tcPr>
          <w:p w14:paraId="260E41DD" w14:textId="77777777" w:rsidR="007541C4" w:rsidRPr="00AB52E7" w:rsidRDefault="007541C4" w:rsidP="0023236F">
            <w:pPr>
              <w:pStyle w:val="CETBodytext"/>
            </w:pPr>
            <w:r w:rsidRPr="002B7417">
              <w:t>1.88</w:t>
            </w:r>
          </w:p>
        </w:tc>
        <w:tc>
          <w:tcPr>
            <w:tcW w:w="1277" w:type="dxa"/>
            <w:tcBorders>
              <w:left w:val="nil"/>
            </w:tcBorders>
            <w:shd w:val="clear" w:color="auto" w:fill="FFFFFF" w:themeFill="background1"/>
          </w:tcPr>
          <w:p w14:paraId="0C01937B" w14:textId="77777777" w:rsidR="007541C4" w:rsidRPr="00AB52E7" w:rsidRDefault="007541C4" w:rsidP="0023236F">
            <w:pPr>
              <w:pStyle w:val="CETBodytext"/>
            </w:pPr>
            <w:r w:rsidRPr="00090F9E">
              <w:t>56.22</w:t>
            </w:r>
          </w:p>
        </w:tc>
        <w:tc>
          <w:tcPr>
            <w:tcW w:w="1276" w:type="dxa"/>
            <w:shd w:val="clear" w:color="auto" w:fill="FFFFFF" w:themeFill="background1"/>
          </w:tcPr>
          <w:p w14:paraId="33838125" w14:textId="77777777" w:rsidR="007541C4" w:rsidRPr="00AB52E7" w:rsidRDefault="007541C4" w:rsidP="0023236F">
            <w:pPr>
              <w:pStyle w:val="CETBodytext"/>
            </w:pPr>
            <w:r w:rsidRPr="00090F9E">
              <w:t>41.89</w:t>
            </w:r>
          </w:p>
        </w:tc>
        <w:tc>
          <w:tcPr>
            <w:tcW w:w="1277" w:type="dxa"/>
            <w:shd w:val="clear" w:color="auto" w:fill="FFFFFF" w:themeFill="background1"/>
          </w:tcPr>
          <w:p w14:paraId="56FE2967" w14:textId="77777777" w:rsidR="007541C4" w:rsidRPr="00AB52E7" w:rsidRDefault="007541C4" w:rsidP="0023236F">
            <w:pPr>
              <w:pStyle w:val="CETBodytext"/>
            </w:pPr>
            <w:r w:rsidRPr="00090F9E">
              <w:t>1.89</w:t>
            </w:r>
          </w:p>
        </w:tc>
      </w:tr>
      <w:tr w:rsidR="007541C4" w:rsidRPr="00AB52E7" w14:paraId="0D4EB7CE" w14:textId="77777777" w:rsidTr="0023236F">
        <w:trPr>
          <w:jc w:val="center"/>
        </w:trPr>
        <w:tc>
          <w:tcPr>
            <w:tcW w:w="1129" w:type="dxa"/>
            <w:shd w:val="clear" w:color="auto" w:fill="FFFFFF" w:themeFill="background1"/>
          </w:tcPr>
          <w:p w14:paraId="32CC6BB5" w14:textId="77777777" w:rsidR="007541C4" w:rsidRPr="00AB52E7" w:rsidRDefault="007541C4" w:rsidP="0023236F">
            <w:pPr>
              <w:pStyle w:val="CETBodytext"/>
              <w:rPr>
                <w:b/>
              </w:rPr>
            </w:pPr>
            <w:r w:rsidRPr="00AB52E7">
              <w:rPr>
                <w:b/>
                <w:bCs/>
              </w:rPr>
              <w:t>2</w:t>
            </w:r>
          </w:p>
        </w:tc>
        <w:tc>
          <w:tcPr>
            <w:tcW w:w="1276" w:type="dxa"/>
            <w:tcBorders>
              <w:left w:val="nil"/>
            </w:tcBorders>
            <w:shd w:val="clear" w:color="auto" w:fill="FFFFFF" w:themeFill="background1"/>
          </w:tcPr>
          <w:p w14:paraId="674CC3C3" w14:textId="77777777" w:rsidR="007541C4" w:rsidRPr="00AB52E7" w:rsidRDefault="007541C4" w:rsidP="0023236F">
            <w:pPr>
              <w:pStyle w:val="CETBodytext"/>
            </w:pPr>
            <w:r w:rsidRPr="002B7417">
              <w:t>59.99</w:t>
            </w:r>
          </w:p>
        </w:tc>
        <w:tc>
          <w:tcPr>
            <w:tcW w:w="1277" w:type="dxa"/>
            <w:shd w:val="clear" w:color="auto" w:fill="FFFFFF" w:themeFill="background1"/>
          </w:tcPr>
          <w:p w14:paraId="06FEF4D9" w14:textId="77777777" w:rsidR="007541C4" w:rsidRPr="00AB52E7" w:rsidRDefault="007541C4" w:rsidP="0023236F">
            <w:pPr>
              <w:pStyle w:val="CETBodytext"/>
            </w:pPr>
            <w:r w:rsidRPr="002B7417">
              <w:t>29.66</w:t>
            </w:r>
          </w:p>
        </w:tc>
        <w:tc>
          <w:tcPr>
            <w:tcW w:w="1276" w:type="dxa"/>
            <w:shd w:val="clear" w:color="auto" w:fill="FFFFFF" w:themeFill="background1"/>
          </w:tcPr>
          <w:p w14:paraId="7E03D69C" w14:textId="77777777" w:rsidR="007541C4" w:rsidRPr="00AB52E7" w:rsidRDefault="007541C4" w:rsidP="0023236F">
            <w:pPr>
              <w:pStyle w:val="CETBodytext"/>
            </w:pPr>
            <w:r w:rsidRPr="002B7417">
              <w:t>10.35</w:t>
            </w:r>
          </w:p>
        </w:tc>
        <w:tc>
          <w:tcPr>
            <w:tcW w:w="1277" w:type="dxa"/>
            <w:tcBorders>
              <w:left w:val="nil"/>
            </w:tcBorders>
            <w:shd w:val="clear" w:color="auto" w:fill="FFFFFF" w:themeFill="background1"/>
          </w:tcPr>
          <w:p w14:paraId="744D1E32" w14:textId="77777777" w:rsidR="007541C4" w:rsidRPr="00AB52E7" w:rsidRDefault="007541C4" w:rsidP="0023236F">
            <w:pPr>
              <w:pStyle w:val="CETBodytext"/>
            </w:pPr>
            <w:r w:rsidRPr="00090F9E">
              <w:t>57.74</w:t>
            </w:r>
          </w:p>
        </w:tc>
        <w:tc>
          <w:tcPr>
            <w:tcW w:w="1276" w:type="dxa"/>
            <w:shd w:val="clear" w:color="auto" w:fill="FFFFFF" w:themeFill="background1"/>
          </w:tcPr>
          <w:p w14:paraId="4D8C6A5C" w14:textId="77777777" w:rsidR="007541C4" w:rsidRPr="00AB52E7" w:rsidRDefault="007541C4" w:rsidP="0023236F">
            <w:pPr>
              <w:pStyle w:val="CETBodytext"/>
            </w:pPr>
            <w:r w:rsidRPr="00090F9E">
              <w:t>40.18</w:t>
            </w:r>
          </w:p>
        </w:tc>
        <w:tc>
          <w:tcPr>
            <w:tcW w:w="1277" w:type="dxa"/>
            <w:shd w:val="clear" w:color="auto" w:fill="FFFFFF" w:themeFill="background1"/>
          </w:tcPr>
          <w:p w14:paraId="1ED9318D" w14:textId="77777777" w:rsidR="007541C4" w:rsidRPr="00AB52E7" w:rsidRDefault="007541C4" w:rsidP="0023236F">
            <w:pPr>
              <w:pStyle w:val="CETBodytext"/>
            </w:pPr>
            <w:r w:rsidRPr="00090F9E">
              <w:t>2.08</w:t>
            </w:r>
          </w:p>
        </w:tc>
      </w:tr>
      <w:tr w:rsidR="007541C4" w:rsidRPr="00AB52E7" w14:paraId="22CDECC4" w14:textId="77777777" w:rsidTr="0023236F">
        <w:trPr>
          <w:jc w:val="center"/>
        </w:trPr>
        <w:tc>
          <w:tcPr>
            <w:tcW w:w="1129" w:type="dxa"/>
            <w:shd w:val="clear" w:color="auto" w:fill="FFFFFF" w:themeFill="background1"/>
          </w:tcPr>
          <w:p w14:paraId="1FEE1B8D" w14:textId="77777777" w:rsidR="007541C4" w:rsidRPr="00AB52E7" w:rsidRDefault="007541C4" w:rsidP="0023236F">
            <w:pPr>
              <w:pStyle w:val="CETBodytext"/>
              <w:rPr>
                <w:b/>
              </w:rPr>
            </w:pPr>
            <w:r w:rsidRPr="00AB52E7">
              <w:rPr>
                <w:b/>
                <w:bCs/>
              </w:rPr>
              <w:t>3</w:t>
            </w:r>
          </w:p>
        </w:tc>
        <w:tc>
          <w:tcPr>
            <w:tcW w:w="1276" w:type="dxa"/>
            <w:tcBorders>
              <w:left w:val="nil"/>
            </w:tcBorders>
            <w:shd w:val="clear" w:color="auto" w:fill="FFFFFF" w:themeFill="background1"/>
          </w:tcPr>
          <w:p w14:paraId="0CA3AF2A" w14:textId="77777777" w:rsidR="007541C4" w:rsidRPr="00AB52E7" w:rsidRDefault="007541C4" w:rsidP="0023236F">
            <w:pPr>
              <w:pStyle w:val="CETBodytext"/>
            </w:pPr>
            <w:r w:rsidRPr="002B7417">
              <w:t>66.41</w:t>
            </w:r>
          </w:p>
        </w:tc>
        <w:tc>
          <w:tcPr>
            <w:tcW w:w="1277" w:type="dxa"/>
            <w:shd w:val="clear" w:color="auto" w:fill="FFFFFF" w:themeFill="background1"/>
          </w:tcPr>
          <w:p w14:paraId="7E83A7E9" w14:textId="77777777" w:rsidR="007541C4" w:rsidRPr="00AB52E7" w:rsidRDefault="007541C4" w:rsidP="0023236F">
            <w:pPr>
              <w:pStyle w:val="CETBodytext"/>
            </w:pPr>
            <w:r w:rsidRPr="002B7417">
              <w:t>25.45</w:t>
            </w:r>
          </w:p>
        </w:tc>
        <w:tc>
          <w:tcPr>
            <w:tcW w:w="1276" w:type="dxa"/>
            <w:shd w:val="clear" w:color="auto" w:fill="FFFFFF" w:themeFill="background1"/>
          </w:tcPr>
          <w:p w14:paraId="1BCD84B1" w14:textId="77777777" w:rsidR="007541C4" w:rsidRPr="00AB52E7" w:rsidRDefault="007541C4" w:rsidP="0023236F">
            <w:pPr>
              <w:pStyle w:val="CETBodytext"/>
            </w:pPr>
            <w:r w:rsidRPr="002B7417">
              <w:t>8.14</w:t>
            </w:r>
          </w:p>
        </w:tc>
        <w:tc>
          <w:tcPr>
            <w:tcW w:w="1277" w:type="dxa"/>
            <w:tcBorders>
              <w:left w:val="nil"/>
            </w:tcBorders>
            <w:shd w:val="clear" w:color="auto" w:fill="FFFFFF" w:themeFill="background1"/>
          </w:tcPr>
          <w:p w14:paraId="36683545" w14:textId="77777777" w:rsidR="007541C4" w:rsidRPr="00AB52E7" w:rsidRDefault="007541C4" w:rsidP="0023236F">
            <w:pPr>
              <w:pStyle w:val="CETBodytext"/>
            </w:pPr>
            <w:r w:rsidRPr="00090F9E">
              <w:t>55.35</w:t>
            </w:r>
          </w:p>
        </w:tc>
        <w:tc>
          <w:tcPr>
            <w:tcW w:w="1276" w:type="dxa"/>
            <w:shd w:val="clear" w:color="auto" w:fill="FFFFFF" w:themeFill="background1"/>
          </w:tcPr>
          <w:p w14:paraId="56D07008" w14:textId="77777777" w:rsidR="007541C4" w:rsidRPr="00AB52E7" w:rsidRDefault="007541C4" w:rsidP="0023236F">
            <w:pPr>
              <w:pStyle w:val="CETBodytext"/>
            </w:pPr>
            <w:r w:rsidRPr="00090F9E">
              <w:t>27.76</w:t>
            </w:r>
          </w:p>
        </w:tc>
        <w:tc>
          <w:tcPr>
            <w:tcW w:w="1277" w:type="dxa"/>
            <w:shd w:val="clear" w:color="auto" w:fill="FFFFFF" w:themeFill="background1"/>
          </w:tcPr>
          <w:p w14:paraId="1566C630" w14:textId="77777777" w:rsidR="007541C4" w:rsidRPr="00AB52E7" w:rsidRDefault="007541C4" w:rsidP="0023236F">
            <w:pPr>
              <w:pStyle w:val="CETBodytext"/>
            </w:pPr>
            <w:r w:rsidRPr="00090F9E">
              <w:t>16.89</w:t>
            </w:r>
          </w:p>
        </w:tc>
      </w:tr>
      <w:tr w:rsidR="007541C4" w:rsidRPr="00AB52E7" w14:paraId="79FD89D6" w14:textId="77777777" w:rsidTr="0023236F">
        <w:trPr>
          <w:jc w:val="center"/>
        </w:trPr>
        <w:tc>
          <w:tcPr>
            <w:tcW w:w="1129" w:type="dxa"/>
            <w:shd w:val="clear" w:color="auto" w:fill="FFFFFF" w:themeFill="background1"/>
          </w:tcPr>
          <w:p w14:paraId="5100E010" w14:textId="77777777" w:rsidR="007541C4" w:rsidRPr="00AB52E7" w:rsidRDefault="007541C4" w:rsidP="0023236F">
            <w:pPr>
              <w:pStyle w:val="CETBodytext"/>
              <w:rPr>
                <w:b/>
                <w:bCs/>
              </w:rPr>
            </w:pPr>
            <w:r w:rsidRPr="00AB52E7">
              <w:rPr>
                <w:b/>
                <w:bCs/>
              </w:rPr>
              <w:t>4</w:t>
            </w:r>
          </w:p>
        </w:tc>
        <w:tc>
          <w:tcPr>
            <w:tcW w:w="1276" w:type="dxa"/>
            <w:tcBorders>
              <w:left w:val="nil"/>
            </w:tcBorders>
            <w:shd w:val="clear" w:color="auto" w:fill="FFFFFF" w:themeFill="background1"/>
          </w:tcPr>
          <w:p w14:paraId="29A09CE2" w14:textId="77777777" w:rsidR="007541C4" w:rsidRPr="00AB52E7" w:rsidRDefault="007541C4" w:rsidP="0023236F">
            <w:pPr>
              <w:pStyle w:val="CETBodytext"/>
            </w:pPr>
            <w:r w:rsidRPr="002B7417">
              <w:t>65.38</w:t>
            </w:r>
          </w:p>
        </w:tc>
        <w:tc>
          <w:tcPr>
            <w:tcW w:w="1277" w:type="dxa"/>
            <w:shd w:val="clear" w:color="auto" w:fill="FFFFFF" w:themeFill="background1"/>
          </w:tcPr>
          <w:p w14:paraId="11AF4021" w14:textId="77777777" w:rsidR="007541C4" w:rsidRPr="00AB52E7" w:rsidRDefault="007541C4" w:rsidP="0023236F">
            <w:pPr>
              <w:pStyle w:val="CETBodytext"/>
            </w:pPr>
            <w:r w:rsidRPr="002B7417">
              <w:t>32.13</w:t>
            </w:r>
          </w:p>
        </w:tc>
        <w:tc>
          <w:tcPr>
            <w:tcW w:w="1276" w:type="dxa"/>
            <w:shd w:val="clear" w:color="auto" w:fill="FFFFFF" w:themeFill="background1"/>
          </w:tcPr>
          <w:p w14:paraId="0B3BE40B" w14:textId="77777777" w:rsidR="007541C4" w:rsidRPr="00AB52E7" w:rsidRDefault="007541C4" w:rsidP="0023236F">
            <w:pPr>
              <w:pStyle w:val="CETBodytext"/>
            </w:pPr>
            <w:r w:rsidRPr="002B7417">
              <w:t>2.49</w:t>
            </w:r>
          </w:p>
        </w:tc>
        <w:tc>
          <w:tcPr>
            <w:tcW w:w="1277" w:type="dxa"/>
            <w:tcBorders>
              <w:left w:val="nil"/>
            </w:tcBorders>
            <w:shd w:val="clear" w:color="auto" w:fill="FFFFFF" w:themeFill="background1"/>
          </w:tcPr>
          <w:p w14:paraId="13A83A5D" w14:textId="77777777" w:rsidR="007541C4" w:rsidRPr="00AB52E7" w:rsidRDefault="007541C4" w:rsidP="0023236F">
            <w:pPr>
              <w:pStyle w:val="CETBodytext"/>
            </w:pPr>
            <w:r w:rsidRPr="00090F9E">
              <w:t>57.62</w:t>
            </w:r>
          </w:p>
        </w:tc>
        <w:tc>
          <w:tcPr>
            <w:tcW w:w="1276" w:type="dxa"/>
            <w:shd w:val="clear" w:color="auto" w:fill="FFFFFF" w:themeFill="background1"/>
          </w:tcPr>
          <w:p w14:paraId="37D3B663" w14:textId="77777777" w:rsidR="007541C4" w:rsidRPr="00AB52E7" w:rsidRDefault="007541C4" w:rsidP="0023236F">
            <w:pPr>
              <w:pStyle w:val="CETBodytext"/>
            </w:pPr>
            <w:r w:rsidRPr="00090F9E">
              <w:t>33.96</w:t>
            </w:r>
          </w:p>
        </w:tc>
        <w:tc>
          <w:tcPr>
            <w:tcW w:w="1277" w:type="dxa"/>
            <w:shd w:val="clear" w:color="auto" w:fill="FFFFFF" w:themeFill="background1"/>
          </w:tcPr>
          <w:p w14:paraId="5008BB12" w14:textId="77777777" w:rsidR="007541C4" w:rsidRPr="00AB52E7" w:rsidRDefault="007541C4" w:rsidP="0023236F">
            <w:pPr>
              <w:pStyle w:val="CETBodytext"/>
            </w:pPr>
            <w:r w:rsidRPr="00090F9E">
              <w:t>8.42</w:t>
            </w:r>
          </w:p>
        </w:tc>
      </w:tr>
      <w:tr w:rsidR="007541C4" w:rsidRPr="00AB52E7" w14:paraId="06B283C5" w14:textId="77777777" w:rsidTr="0023236F">
        <w:trPr>
          <w:jc w:val="center"/>
        </w:trPr>
        <w:tc>
          <w:tcPr>
            <w:tcW w:w="1129" w:type="dxa"/>
            <w:shd w:val="clear" w:color="auto" w:fill="FFFFFF" w:themeFill="background1"/>
          </w:tcPr>
          <w:p w14:paraId="0E9DD0F4" w14:textId="77777777" w:rsidR="007541C4" w:rsidRPr="00AB52E7" w:rsidRDefault="007541C4" w:rsidP="0023236F">
            <w:pPr>
              <w:pStyle w:val="CETBodytext"/>
              <w:rPr>
                <w:b/>
                <w:bCs/>
              </w:rPr>
            </w:pPr>
            <w:r w:rsidRPr="00AB52E7">
              <w:rPr>
                <w:b/>
                <w:bCs/>
              </w:rPr>
              <w:t>5</w:t>
            </w:r>
          </w:p>
        </w:tc>
        <w:tc>
          <w:tcPr>
            <w:tcW w:w="1276" w:type="dxa"/>
            <w:tcBorders>
              <w:left w:val="nil"/>
            </w:tcBorders>
            <w:shd w:val="clear" w:color="auto" w:fill="FFFFFF" w:themeFill="background1"/>
          </w:tcPr>
          <w:p w14:paraId="5765DE01" w14:textId="77777777" w:rsidR="007541C4" w:rsidRPr="00AB52E7" w:rsidRDefault="007541C4" w:rsidP="0023236F">
            <w:pPr>
              <w:pStyle w:val="CETBodytext"/>
            </w:pPr>
            <w:r w:rsidRPr="002B7417">
              <w:t>52.83</w:t>
            </w:r>
          </w:p>
        </w:tc>
        <w:tc>
          <w:tcPr>
            <w:tcW w:w="1277" w:type="dxa"/>
            <w:shd w:val="clear" w:color="auto" w:fill="FFFFFF" w:themeFill="background1"/>
          </w:tcPr>
          <w:p w14:paraId="7A02C37F" w14:textId="77777777" w:rsidR="007541C4" w:rsidRPr="00AB52E7" w:rsidRDefault="007541C4" w:rsidP="0023236F">
            <w:pPr>
              <w:pStyle w:val="CETBodytext"/>
            </w:pPr>
            <w:r w:rsidRPr="002B7417">
              <w:t>41.13</w:t>
            </w:r>
          </w:p>
        </w:tc>
        <w:tc>
          <w:tcPr>
            <w:tcW w:w="1276" w:type="dxa"/>
            <w:shd w:val="clear" w:color="auto" w:fill="FFFFFF" w:themeFill="background1"/>
          </w:tcPr>
          <w:p w14:paraId="5712D7FF" w14:textId="77777777" w:rsidR="007541C4" w:rsidRPr="00AB52E7" w:rsidRDefault="007541C4" w:rsidP="0023236F">
            <w:pPr>
              <w:pStyle w:val="CETBodytext"/>
            </w:pPr>
            <w:r w:rsidRPr="002B7417">
              <w:t>6.04</w:t>
            </w:r>
          </w:p>
        </w:tc>
        <w:tc>
          <w:tcPr>
            <w:tcW w:w="1277" w:type="dxa"/>
            <w:tcBorders>
              <w:left w:val="nil"/>
            </w:tcBorders>
            <w:shd w:val="clear" w:color="auto" w:fill="FFFFFF" w:themeFill="background1"/>
          </w:tcPr>
          <w:p w14:paraId="08F52B08" w14:textId="77777777" w:rsidR="007541C4" w:rsidRPr="00AB52E7" w:rsidRDefault="007541C4" w:rsidP="0023236F">
            <w:pPr>
              <w:pStyle w:val="CETBodytext"/>
            </w:pPr>
            <w:r w:rsidRPr="00090F9E">
              <w:t>48.07</w:t>
            </w:r>
          </w:p>
        </w:tc>
        <w:tc>
          <w:tcPr>
            <w:tcW w:w="1276" w:type="dxa"/>
            <w:shd w:val="clear" w:color="auto" w:fill="FFFFFF" w:themeFill="background1"/>
          </w:tcPr>
          <w:p w14:paraId="408079C5" w14:textId="77777777" w:rsidR="007541C4" w:rsidRPr="00AB52E7" w:rsidRDefault="007541C4" w:rsidP="0023236F">
            <w:pPr>
              <w:pStyle w:val="CETBodytext"/>
            </w:pPr>
            <w:r w:rsidRPr="00090F9E">
              <w:t>30.97</w:t>
            </w:r>
          </w:p>
        </w:tc>
        <w:tc>
          <w:tcPr>
            <w:tcW w:w="1277" w:type="dxa"/>
            <w:shd w:val="clear" w:color="auto" w:fill="FFFFFF" w:themeFill="background1"/>
          </w:tcPr>
          <w:p w14:paraId="1BCC4652" w14:textId="77777777" w:rsidR="007541C4" w:rsidRPr="00AB52E7" w:rsidRDefault="007541C4" w:rsidP="0023236F">
            <w:pPr>
              <w:pStyle w:val="CETBodytext"/>
            </w:pPr>
            <w:r w:rsidRPr="00090F9E">
              <w:t>20.96</w:t>
            </w:r>
          </w:p>
        </w:tc>
      </w:tr>
      <w:tr w:rsidR="007541C4" w:rsidRPr="00AB52E7" w14:paraId="540F2227" w14:textId="77777777" w:rsidTr="0023236F">
        <w:trPr>
          <w:jc w:val="center"/>
        </w:trPr>
        <w:tc>
          <w:tcPr>
            <w:tcW w:w="1129" w:type="dxa"/>
            <w:shd w:val="clear" w:color="auto" w:fill="FFFFFF" w:themeFill="background1"/>
          </w:tcPr>
          <w:p w14:paraId="0975D717" w14:textId="77777777" w:rsidR="007541C4" w:rsidRPr="00AB52E7" w:rsidRDefault="007541C4" w:rsidP="0023236F">
            <w:pPr>
              <w:pStyle w:val="CETBodytext"/>
              <w:rPr>
                <w:b/>
                <w:bCs/>
              </w:rPr>
            </w:pPr>
            <w:r w:rsidRPr="00AB52E7">
              <w:rPr>
                <w:b/>
                <w:bCs/>
              </w:rPr>
              <w:t>6</w:t>
            </w:r>
          </w:p>
        </w:tc>
        <w:tc>
          <w:tcPr>
            <w:tcW w:w="1276" w:type="dxa"/>
            <w:tcBorders>
              <w:left w:val="nil"/>
            </w:tcBorders>
            <w:shd w:val="clear" w:color="auto" w:fill="FFFFFF" w:themeFill="background1"/>
          </w:tcPr>
          <w:p w14:paraId="08C93B84" w14:textId="77777777" w:rsidR="007541C4" w:rsidRPr="00AB52E7" w:rsidRDefault="007541C4" w:rsidP="0023236F">
            <w:pPr>
              <w:pStyle w:val="CETBodytext"/>
            </w:pPr>
            <w:r w:rsidRPr="002B7417">
              <w:t>72.17</w:t>
            </w:r>
          </w:p>
        </w:tc>
        <w:tc>
          <w:tcPr>
            <w:tcW w:w="1277" w:type="dxa"/>
            <w:shd w:val="clear" w:color="auto" w:fill="FFFFFF" w:themeFill="background1"/>
          </w:tcPr>
          <w:p w14:paraId="2AFCE63C" w14:textId="77777777" w:rsidR="007541C4" w:rsidRPr="00AB52E7" w:rsidRDefault="007541C4" w:rsidP="0023236F">
            <w:pPr>
              <w:pStyle w:val="CETBodytext"/>
            </w:pPr>
            <w:r w:rsidRPr="002B7417">
              <w:t>22.68</w:t>
            </w:r>
          </w:p>
        </w:tc>
        <w:tc>
          <w:tcPr>
            <w:tcW w:w="1276" w:type="dxa"/>
            <w:shd w:val="clear" w:color="auto" w:fill="FFFFFF" w:themeFill="background1"/>
          </w:tcPr>
          <w:p w14:paraId="431956E0" w14:textId="77777777" w:rsidR="007541C4" w:rsidRPr="00AB52E7" w:rsidRDefault="007541C4" w:rsidP="0023236F">
            <w:pPr>
              <w:pStyle w:val="CETBodytext"/>
            </w:pPr>
            <w:r w:rsidRPr="002B7417">
              <w:t>5.15</w:t>
            </w:r>
          </w:p>
        </w:tc>
        <w:tc>
          <w:tcPr>
            <w:tcW w:w="1277" w:type="dxa"/>
            <w:tcBorders>
              <w:left w:val="nil"/>
            </w:tcBorders>
            <w:shd w:val="clear" w:color="auto" w:fill="FFFFFF" w:themeFill="background1"/>
          </w:tcPr>
          <w:p w14:paraId="3E26A95D" w14:textId="77777777" w:rsidR="007541C4" w:rsidRPr="00AB52E7" w:rsidRDefault="007541C4" w:rsidP="0023236F">
            <w:pPr>
              <w:pStyle w:val="CETBodytext"/>
            </w:pPr>
            <w:r w:rsidRPr="00090F9E">
              <w:t>62.88</w:t>
            </w:r>
          </w:p>
        </w:tc>
        <w:tc>
          <w:tcPr>
            <w:tcW w:w="1276" w:type="dxa"/>
            <w:shd w:val="clear" w:color="auto" w:fill="FFFFFF" w:themeFill="background1"/>
          </w:tcPr>
          <w:p w14:paraId="6C3C3464" w14:textId="77777777" w:rsidR="007541C4" w:rsidRPr="00AB52E7" w:rsidRDefault="007541C4" w:rsidP="0023236F">
            <w:pPr>
              <w:pStyle w:val="CETBodytext"/>
            </w:pPr>
            <w:r w:rsidRPr="00090F9E">
              <w:t>33.75</w:t>
            </w:r>
          </w:p>
        </w:tc>
        <w:tc>
          <w:tcPr>
            <w:tcW w:w="1277" w:type="dxa"/>
            <w:shd w:val="clear" w:color="auto" w:fill="FFFFFF" w:themeFill="background1"/>
          </w:tcPr>
          <w:p w14:paraId="5CB2D7D6" w14:textId="77777777" w:rsidR="007541C4" w:rsidRPr="00AB52E7" w:rsidRDefault="007541C4" w:rsidP="0023236F">
            <w:pPr>
              <w:pStyle w:val="CETBodytext"/>
            </w:pPr>
            <w:r w:rsidRPr="00090F9E">
              <w:t>3.37</w:t>
            </w:r>
          </w:p>
        </w:tc>
      </w:tr>
      <w:tr w:rsidR="007541C4" w:rsidRPr="00AB52E7" w14:paraId="5362F5BB" w14:textId="77777777" w:rsidTr="0023236F">
        <w:trPr>
          <w:jc w:val="center"/>
        </w:trPr>
        <w:tc>
          <w:tcPr>
            <w:tcW w:w="1129" w:type="dxa"/>
            <w:shd w:val="clear" w:color="auto" w:fill="FFFFFF" w:themeFill="background1"/>
          </w:tcPr>
          <w:p w14:paraId="639E2435" w14:textId="77777777" w:rsidR="007541C4" w:rsidRPr="00AB52E7" w:rsidRDefault="007541C4" w:rsidP="0023236F">
            <w:pPr>
              <w:pStyle w:val="CETBodytext"/>
              <w:rPr>
                <w:b/>
                <w:bCs/>
              </w:rPr>
            </w:pPr>
            <w:r w:rsidRPr="00AB52E7">
              <w:rPr>
                <w:b/>
                <w:bCs/>
              </w:rPr>
              <w:t>7</w:t>
            </w:r>
          </w:p>
        </w:tc>
        <w:tc>
          <w:tcPr>
            <w:tcW w:w="1276" w:type="dxa"/>
            <w:tcBorders>
              <w:left w:val="nil"/>
            </w:tcBorders>
            <w:shd w:val="clear" w:color="auto" w:fill="FFFFFF" w:themeFill="background1"/>
          </w:tcPr>
          <w:p w14:paraId="44DFF0A0" w14:textId="77777777" w:rsidR="007541C4" w:rsidRPr="00AB52E7" w:rsidRDefault="007541C4" w:rsidP="0023236F">
            <w:pPr>
              <w:pStyle w:val="CETBodytext"/>
            </w:pPr>
            <w:r w:rsidRPr="002B7417">
              <w:t>63.48</w:t>
            </w:r>
          </w:p>
        </w:tc>
        <w:tc>
          <w:tcPr>
            <w:tcW w:w="1277" w:type="dxa"/>
            <w:shd w:val="clear" w:color="auto" w:fill="FFFFFF" w:themeFill="background1"/>
          </w:tcPr>
          <w:p w14:paraId="5E1F0F20" w14:textId="77777777" w:rsidR="007541C4" w:rsidRPr="00AB52E7" w:rsidRDefault="007541C4" w:rsidP="0023236F">
            <w:pPr>
              <w:pStyle w:val="CETBodytext"/>
            </w:pPr>
            <w:r w:rsidRPr="002B7417">
              <w:t>34.06</w:t>
            </w:r>
          </w:p>
        </w:tc>
        <w:tc>
          <w:tcPr>
            <w:tcW w:w="1276" w:type="dxa"/>
            <w:shd w:val="clear" w:color="auto" w:fill="FFFFFF" w:themeFill="background1"/>
          </w:tcPr>
          <w:p w14:paraId="68943921" w14:textId="77777777" w:rsidR="007541C4" w:rsidRPr="00AB52E7" w:rsidRDefault="007541C4" w:rsidP="0023236F">
            <w:pPr>
              <w:pStyle w:val="CETBodytext"/>
            </w:pPr>
            <w:r w:rsidRPr="002B7417">
              <w:t>2.46</w:t>
            </w:r>
          </w:p>
        </w:tc>
        <w:tc>
          <w:tcPr>
            <w:tcW w:w="1277" w:type="dxa"/>
            <w:tcBorders>
              <w:left w:val="nil"/>
            </w:tcBorders>
            <w:shd w:val="clear" w:color="auto" w:fill="FFFFFF" w:themeFill="background1"/>
          </w:tcPr>
          <w:p w14:paraId="1960A685" w14:textId="77777777" w:rsidR="007541C4" w:rsidRPr="00AB52E7" w:rsidRDefault="007541C4" w:rsidP="0023236F">
            <w:pPr>
              <w:pStyle w:val="CETBodytext"/>
            </w:pPr>
            <w:r w:rsidRPr="00090F9E">
              <w:t>68.19</w:t>
            </w:r>
          </w:p>
        </w:tc>
        <w:tc>
          <w:tcPr>
            <w:tcW w:w="1276" w:type="dxa"/>
            <w:shd w:val="clear" w:color="auto" w:fill="FFFFFF" w:themeFill="background1"/>
          </w:tcPr>
          <w:p w14:paraId="2BE0F5A3" w14:textId="77777777" w:rsidR="007541C4" w:rsidRPr="00AB52E7" w:rsidRDefault="007541C4" w:rsidP="0023236F">
            <w:pPr>
              <w:pStyle w:val="CETBodytext"/>
            </w:pPr>
            <w:r w:rsidRPr="00090F9E">
              <w:t>31.03</w:t>
            </w:r>
          </w:p>
        </w:tc>
        <w:tc>
          <w:tcPr>
            <w:tcW w:w="1277" w:type="dxa"/>
            <w:shd w:val="clear" w:color="auto" w:fill="FFFFFF" w:themeFill="background1"/>
          </w:tcPr>
          <w:p w14:paraId="703C4654" w14:textId="77777777" w:rsidR="007541C4" w:rsidRPr="00AB52E7" w:rsidRDefault="007541C4" w:rsidP="0023236F">
            <w:pPr>
              <w:pStyle w:val="CETBodytext"/>
            </w:pPr>
            <w:r w:rsidRPr="00090F9E">
              <w:t>0.78</w:t>
            </w:r>
          </w:p>
        </w:tc>
      </w:tr>
      <w:tr w:rsidR="007541C4" w:rsidRPr="00AB52E7" w14:paraId="19C02194" w14:textId="77777777" w:rsidTr="0023236F">
        <w:trPr>
          <w:jc w:val="center"/>
        </w:trPr>
        <w:tc>
          <w:tcPr>
            <w:tcW w:w="1129" w:type="dxa"/>
            <w:tcBorders>
              <w:bottom w:val="single" w:sz="12" w:space="0" w:color="008000"/>
            </w:tcBorders>
            <w:shd w:val="clear" w:color="auto" w:fill="FFFFFF" w:themeFill="background1"/>
          </w:tcPr>
          <w:p w14:paraId="1679F275" w14:textId="77777777" w:rsidR="007541C4" w:rsidRPr="00AB52E7" w:rsidRDefault="007541C4" w:rsidP="0023236F">
            <w:pPr>
              <w:pStyle w:val="CETBodytext"/>
              <w:rPr>
                <w:b/>
                <w:bCs/>
              </w:rPr>
            </w:pPr>
            <w:r>
              <w:rPr>
                <w:b/>
                <w:bCs/>
              </w:rPr>
              <w:t>Area</w:t>
            </w:r>
          </w:p>
        </w:tc>
        <w:tc>
          <w:tcPr>
            <w:tcW w:w="1276" w:type="dxa"/>
            <w:tcBorders>
              <w:left w:val="nil"/>
              <w:bottom w:val="single" w:sz="12" w:space="0" w:color="008000"/>
            </w:tcBorders>
            <w:shd w:val="clear" w:color="auto" w:fill="FFFFFF" w:themeFill="background1"/>
          </w:tcPr>
          <w:p w14:paraId="5F573F14" w14:textId="77777777" w:rsidR="007541C4" w:rsidRPr="00AB52E7" w:rsidRDefault="007541C4" w:rsidP="0023236F">
            <w:pPr>
              <w:pStyle w:val="CETBodytext"/>
            </w:pPr>
            <w:r w:rsidRPr="00792FA6">
              <w:t>65.17</w:t>
            </w:r>
          </w:p>
        </w:tc>
        <w:tc>
          <w:tcPr>
            <w:tcW w:w="1277" w:type="dxa"/>
            <w:tcBorders>
              <w:bottom w:val="single" w:sz="12" w:space="0" w:color="008000"/>
            </w:tcBorders>
            <w:shd w:val="clear" w:color="auto" w:fill="FFFFFF" w:themeFill="background1"/>
          </w:tcPr>
          <w:p w14:paraId="311BD488" w14:textId="77777777" w:rsidR="007541C4" w:rsidRPr="00AB52E7" w:rsidRDefault="007541C4" w:rsidP="0023236F">
            <w:pPr>
              <w:pStyle w:val="CETBodytext"/>
            </w:pPr>
            <w:r w:rsidRPr="00792FA6">
              <w:t>31.32</w:t>
            </w:r>
          </w:p>
        </w:tc>
        <w:tc>
          <w:tcPr>
            <w:tcW w:w="1276" w:type="dxa"/>
            <w:tcBorders>
              <w:bottom w:val="single" w:sz="12" w:space="0" w:color="008000"/>
            </w:tcBorders>
            <w:shd w:val="clear" w:color="auto" w:fill="FFFFFF" w:themeFill="background1"/>
          </w:tcPr>
          <w:p w14:paraId="13B53F53" w14:textId="77777777" w:rsidR="007541C4" w:rsidRPr="00B45497" w:rsidRDefault="007541C4" w:rsidP="0023236F">
            <w:pPr>
              <w:pStyle w:val="CETBodytext"/>
            </w:pPr>
            <w:r w:rsidRPr="00792FA6">
              <w:t>3.51</w:t>
            </w:r>
          </w:p>
        </w:tc>
        <w:tc>
          <w:tcPr>
            <w:tcW w:w="1277" w:type="dxa"/>
            <w:tcBorders>
              <w:left w:val="nil"/>
              <w:bottom w:val="single" w:sz="12" w:space="0" w:color="008000"/>
            </w:tcBorders>
            <w:shd w:val="clear" w:color="auto" w:fill="FFFFFF" w:themeFill="background1"/>
          </w:tcPr>
          <w:p w14:paraId="2B4B056E" w14:textId="77777777" w:rsidR="007541C4" w:rsidRPr="00AB52E7" w:rsidRDefault="007541C4" w:rsidP="0023236F">
            <w:pPr>
              <w:pStyle w:val="CETBodytext"/>
            </w:pPr>
            <w:r w:rsidRPr="00792FA6">
              <w:t>59.78</w:t>
            </w:r>
          </w:p>
        </w:tc>
        <w:tc>
          <w:tcPr>
            <w:tcW w:w="1276" w:type="dxa"/>
            <w:tcBorders>
              <w:bottom w:val="single" w:sz="12" w:space="0" w:color="008000"/>
            </w:tcBorders>
            <w:shd w:val="clear" w:color="auto" w:fill="FFFFFF" w:themeFill="background1"/>
          </w:tcPr>
          <w:p w14:paraId="781C223A" w14:textId="77777777" w:rsidR="007541C4" w:rsidRPr="00AB52E7" w:rsidRDefault="007541C4" w:rsidP="0023236F">
            <w:pPr>
              <w:pStyle w:val="CETBodytext"/>
            </w:pPr>
            <w:r w:rsidRPr="00792FA6">
              <w:t>36.34</w:t>
            </w:r>
          </w:p>
        </w:tc>
        <w:tc>
          <w:tcPr>
            <w:tcW w:w="1277" w:type="dxa"/>
            <w:tcBorders>
              <w:bottom w:val="single" w:sz="12" w:space="0" w:color="008000"/>
            </w:tcBorders>
            <w:shd w:val="clear" w:color="auto" w:fill="FFFFFF" w:themeFill="background1"/>
          </w:tcPr>
          <w:p w14:paraId="6A5A0008" w14:textId="77777777" w:rsidR="007541C4" w:rsidRPr="00AB52E7" w:rsidRDefault="007541C4" w:rsidP="0023236F">
            <w:pPr>
              <w:pStyle w:val="CETBodytext"/>
            </w:pPr>
            <w:r w:rsidRPr="00792FA6">
              <w:t>3.88</w:t>
            </w:r>
          </w:p>
        </w:tc>
      </w:tr>
    </w:tbl>
    <w:p w14:paraId="7AD4E91A" w14:textId="77777777" w:rsidR="007541C4" w:rsidRDefault="007541C4" w:rsidP="007541C4">
      <w:pPr>
        <w:pStyle w:val="CETBodytext"/>
        <w:rPr>
          <w:lang w:val="en-GB"/>
        </w:rPr>
      </w:pPr>
    </w:p>
    <w:p w14:paraId="54FF8F71" w14:textId="77777777" w:rsidR="007541C4" w:rsidRDefault="007541C4" w:rsidP="007541C4">
      <w:pPr>
        <w:pStyle w:val="CETHeading1"/>
        <w:rPr>
          <w:lang w:val="en-GB"/>
        </w:rPr>
      </w:pPr>
      <w:r w:rsidRPr="00B57B36">
        <w:rPr>
          <w:lang w:val="en-GB"/>
        </w:rPr>
        <w:t>Conclusions</w:t>
      </w:r>
    </w:p>
    <w:p w14:paraId="6B2ECBC6" w14:textId="77777777" w:rsidR="007541C4" w:rsidRPr="00F61D72" w:rsidRDefault="007541C4" w:rsidP="007541C4">
      <w:pPr>
        <w:pStyle w:val="CETBodytext"/>
        <w:rPr>
          <w:lang w:val="en-GB"/>
        </w:rPr>
      </w:pPr>
      <w:r w:rsidRPr="00F61D72">
        <w:rPr>
          <w:lang w:val="en-GB"/>
        </w:rPr>
        <w:t>This study provides a comparative analysis of ruthenium-based and nickel-based catalysts for ammonia cracking, offering critical insights into their performance under varied operating conditions. The findings highlight the superior catalytic activity of Ru/</w:t>
      </w:r>
      <w:proofErr w:type="spellStart"/>
      <w:r w:rsidRPr="00F61D72">
        <w:rPr>
          <w:lang w:val="en-GB"/>
        </w:rPr>
        <w:t>Al</w:t>
      </w:r>
      <w:r w:rsidRPr="00F61D72">
        <w:rPr>
          <w:rFonts w:ascii="Cambria Math" w:hAnsi="Cambria Math" w:cs="Cambria Math"/>
          <w:lang w:val="en-GB"/>
        </w:rPr>
        <w:t>₂</w:t>
      </w:r>
      <w:r w:rsidRPr="00F61D72">
        <w:rPr>
          <w:lang w:val="en-GB"/>
        </w:rPr>
        <w:t>O</w:t>
      </w:r>
      <w:proofErr w:type="spellEnd"/>
      <w:r w:rsidRPr="00F61D72">
        <w:rPr>
          <w:rFonts w:ascii="Cambria Math" w:hAnsi="Cambria Math" w:cs="Cambria Math"/>
          <w:lang w:val="en-GB"/>
        </w:rPr>
        <w:t>₃</w:t>
      </w:r>
      <w:r w:rsidRPr="00F61D72">
        <w:rPr>
          <w:lang w:val="en-GB"/>
        </w:rPr>
        <w:t xml:space="preserve"> at lower temperatures and pressures, making it an ideal choice for applications where these conditions are maintained. However, the study also demonstrates that Ni/</w:t>
      </w:r>
      <w:proofErr w:type="spellStart"/>
      <w:r w:rsidRPr="00F61D72">
        <w:rPr>
          <w:lang w:val="en-GB"/>
        </w:rPr>
        <w:t>Al</w:t>
      </w:r>
      <w:r w:rsidRPr="00F61D72">
        <w:rPr>
          <w:rFonts w:ascii="Cambria Math" w:hAnsi="Cambria Math" w:cs="Cambria Math"/>
          <w:lang w:val="en-GB"/>
        </w:rPr>
        <w:t>₂</w:t>
      </w:r>
      <w:r w:rsidRPr="00F61D72">
        <w:rPr>
          <w:lang w:val="en-GB"/>
        </w:rPr>
        <w:t>O</w:t>
      </w:r>
      <w:proofErr w:type="spellEnd"/>
      <w:r w:rsidRPr="00F61D72">
        <w:rPr>
          <w:rFonts w:ascii="Cambria Math" w:hAnsi="Cambria Math" w:cs="Cambria Math"/>
          <w:lang w:val="en-GB"/>
        </w:rPr>
        <w:t>₃</w:t>
      </w:r>
      <w:r w:rsidRPr="00F61D72">
        <w:rPr>
          <w:lang w:val="en-GB"/>
        </w:rPr>
        <w:t xml:space="preserve"> </w:t>
      </w:r>
      <w:r w:rsidRPr="00F620B2">
        <w:rPr>
          <w:lang w:val="en-GB"/>
        </w:rPr>
        <w:t>exhibits greater resilience and efficiency under high-temperature and high-pressure conditions, suggesting its suitability for industrial-scale applications where harsher environments are expected. The batch reactor configuration proposed here allows</w:t>
      </w:r>
      <w:r w:rsidRPr="00F61D72">
        <w:rPr>
          <w:lang w:val="en-GB"/>
        </w:rPr>
        <w:t xml:space="preserve"> for a detailed examination of catalyst behavio</w:t>
      </w:r>
      <w:r>
        <w:rPr>
          <w:lang w:val="en-GB"/>
        </w:rPr>
        <w:t>u</w:t>
      </w:r>
      <w:r w:rsidRPr="00F61D72">
        <w:rPr>
          <w:lang w:val="en-GB"/>
        </w:rPr>
        <w:t xml:space="preserve">r, including long-term stability </w:t>
      </w:r>
      <w:r w:rsidRPr="00F61D72">
        <w:rPr>
          <w:lang w:val="en-GB"/>
        </w:rPr>
        <w:lastRenderedPageBreak/>
        <w:t>and structural degradation. While this approach may not fully replicate industrial plug flow reactor conditions, it provides valuable data on catalyst deactivation mechanisms, mass transfer effects, and microstructural changes. The physically based model developed further aids in interpreting experimental results by accounting for both diffusion and reaction kinetics.</w:t>
      </w:r>
      <w:r>
        <w:rPr>
          <w:lang w:val="en-GB"/>
        </w:rPr>
        <w:t xml:space="preserve"> </w:t>
      </w:r>
      <w:r w:rsidRPr="00F61D72">
        <w:rPr>
          <w:lang w:val="en-GB"/>
        </w:rPr>
        <w:t xml:space="preserve">Overall, these findings contribute to the optimization of ammonia cracking for hydrogen production, demonstrating that catalyst selection should be tailored to specific operational demands. By improving </w:t>
      </w:r>
      <w:r>
        <w:rPr>
          <w:lang w:val="en-GB"/>
        </w:rPr>
        <w:t>the</w:t>
      </w:r>
      <w:r w:rsidRPr="00F61D72">
        <w:rPr>
          <w:lang w:val="en-GB"/>
        </w:rPr>
        <w:t xml:space="preserve"> understanding of catalyst performance under non-ideal conditions, this research supports the development of more efficient and robust hydrogen production technologies, ultimately advancing sustainable energy solutions.</w:t>
      </w:r>
    </w:p>
    <w:p w14:paraId="7D4C5014" w14:textId="77777777" w:rsidR="007541C4" w:rsidRPr="00F61D72" w:rsidRDefault="007541C4" w:rsidP="007541C4">
      <w:pPr>
        <w:pStyle w:val="CETBodytext"/>
        <w:rPr>
          <w:lang w:val="en-GB"/>
        </w:rPr>
      </w:pPr>
    </w:p>
    <w:p w14:paraId="73A917DB" w14:textId="77777777" w:rsidR="007541C4" w:rsidRDefault="007541C4" w:rsidP="007541C4">
      <w:pPr>
        <w:pStyle w:val="CETReference"/>
      </w:pPr>
      <w:r w:rsidRPr="00134034">
        <w:t>References</w:t>
      </w:r>
    </w:p>
    <w:p w14:paraId="390531DB" w14:textId="77777777" w:rsidR="007541C4" w:rsidRDefault="007541C4" w:rsidP="007541C4">
      <w:pPr>
        <w:pStyle w:val="CETReference"/>
        <w:jc w:val="both"/>
        <w:rPr>
          <w:b w:val="0"/>
          <w:bCs/>
        </w:rPr>
      </w:pPr>
      <w:r>
        <w:rPr>
          <w:b w:val="0"/>
          <w:bCs/>
        </w:rPr>
        <w:t xml:space="preserve">Asif M., Sidra Bibi S., Ahmed S., Irshad M., Shakir Hussain M., Zeb H., Kashif Khan M., Kim J., 2023. Recent advances in green hydrogen production, storage and commercial-scale use via catalytic ammonia cracking. Chemical Engineering Journal 473, 145381. </w:t>
      </w:r>
      <w:hyperlink r:id="rId14" w:history="1">
        <w:r w:rsidRPr="00AB6D30">
          <w:rPr>
            <w:rStyle w:val="Hyperlink"/>
            <w:b w:val="0"/>
            <w:bCs/>
          </w:rPr>
          <w:t>https://doi.org/10.1016/j.cej.2023.145381</w:t>
        </w:r>
      </w:hyperlink>
      <w:r>
        <w:rPr>
          <w:b w:val="0"/>
          <w:bCs/>
        </w:rPr>
        <w:t xml:space="preserve"> </w:t>
      </w:r>
    </w:p>
    <w:p w14:paraId="17567DCC" w14:textId="77777777" w:rsidR="007541C4" w:rsidRDefault="007541C4" w:rsidP="007541C4">
      <w:pPr>
        <w:pStyle w:val="CETReference"/>
        <w:jc w:val="both"/>
        <w:rPr>
          <w:b w:val="0"/>
          <w:bCs/>
        </w:rPr>
      </w:pPr>
      <w:r>
        <w:rPr>
          <w:b w:val="0"/>
          <w:bCs/>
        </w:rPr>
        <w:t xml:space="preserve">Clematis D., Bellotti D., Rivarolo M., </w:t>
      </w:r>
      <w:proofErr w:type="spellStart"/>
      <w:r>
        <w:rPr>
          <w:b w:val="0"/>
          <w:bCs/>
        </w:rPr>
        <w:t>Magistri</w:t>
      </w:r>
      <w:proofErr w:type="spellEnd"/>
      <w:r>
        <w:rPr>
          <w:b w:val="0"/>
          <w:bCs/>
        </w:rPr>
        <w:t xml:space="preserve"> L., Barbucci A., 2023. Hydrogen Carriers: Scientific Limits and Challenges for the Supply Chain, and Key Factors for Techno-Economic Analysis, Energies 16, 6035. </w:t>
      </w:r>
      <w:hyperlink r:id="rId15" w:history="1">
        <w:r w:rsidRPr="00AB6D30">
          <w:rPr>
            <w:rStyle w:val="Hyperlink"/>
            <w:b w:val="0"/>
            <w:bCs/>
          </w:rPr>
          <w:t>https://doi.org/10.3390/en16166035</w:t>
        </w:r>
      </w:hyperlink>
      <w:r>
        <w:rPr>
          <w:b w:val="0"/>
          <w:bCs/>
        </w:rPr>
        <w:t xml:space="preserve"> </w:t>
      </w:r>
    </w:p>
    <w:p w14:paraId="6C24A96A" w14:textId="77777777" w:rsidR="007541C4" w:rsidRDefault="007541C4" w:rsidP="007541C4">
      <w:pPr>
        <w:pStyle w:val="CETReference"/>
        <w:jc w:val="both"/>
        <w:rPr>
          <w:b w:val="0"/>
          <w:bCs/>
        </w:rPr>
      </w:pPr>
      <w:r>
        <w:rPr>
          <w:b w:val="0"/>
          <w:bCs/>
        </w:rPr>
        <w:t>Di Carlo A., Vecchione L., Del Prete Z., 2014. Ammonia decomposition over commercial Ru/Al</w:t>
      </w:r>
      <w:r w:rsidRPr="00075649">
        <w:rPr>
          <w:b w:val="0"/>
          <w:bCs/>
          <w:vertAlign w:val="subscript"/>
        </w:rPr>
        <w:t>2</w:t>
      </w:r>
      <w:r>
        <w:rPr>
          <w:b w:val="0"/>
          <w:bCs/>
        </w:rPr>
        <w:t>O</w:t>
      </w:r>
      <w:r w:rsidRPr="00075649">
        <w:rPr>
          <w:b w:val="0"/>
          <w:bCs/>
          <w:vertAlign w:val="subscript"/>
        </w:rPr>
        <w:t>3</w:t>
      </w:r>
      <w:r>
        <w:rPr>
          <w:b w:val="0"/>
          <w:bCs/>
        </w:rPr>
        <w:t xml:space="preserve"> catalyst: An experimental evaluation at different operative pressures and temperatures. International Journal of Hydrogen Energy 39, 808-814. </w:t>
      </w:r>
      <w:hyperlink r:id="rId16" w:history="1">
        <w:r w:rsidRPr="00AB6D30">
          <w:rPr>
            <w:rStyle w:val="Hyperlink"/>
            <w:b w:val="0"/>
            <w:bCs/>
          </w:rPr>
          <w:t>https://doi.org/10.1016/j.ijhydene.2013.10.110</w:t>
        </w:r>
      </w:hyperlink>
      <w:r>
        <w:rPr>
          <w:b w:val="0"/>
          <w:bCs/>
        </w:rPr>
        <w:t xml:space="preserve"> </w:t>
      </w:r>
    </w:p>
    <w:p w14:paraId="55842B16" w14:textId="77777777" w:rsidR="007541C4" w:rsidRDefault="007541C4" w:rsidP="007541C4">
      <w:pPr>
        <w:pStyle w:val="CETReference"/>
        <w:jc w:val="both"/>
        <w:rPr>
          <w:b w:val="0"/>
          <w:bCs/>
        </w:rPr>
      </w:pPr>
      <w:r>
        <w:rPr>
          <w:b w:val="0"/>
          <w:bCs/>
        </w:rPr>
        <w:t xml:space="preserve">Medina E., </w:t>
      </w:r>
      <w:proofErr w:type="spellStart"/>
      <w:r>
        <w:rPr>
          <w:b w:val="0"/>
          <w:bCs/>
        </w:rPr>
        <w:t>Fernàndez</w:t>
      </w:r>
      <w:proofErr w:type="spellEnd"/>
      <w:r>
        <w:rPr>
          <w:b w:val="0"/>
          <w:bCs/>
        </w:rPr>
        <w:t xml:space="preserve"> C., </w:t>
      </w:r>
      <w:proofErr w:type="spellStart"/>
      <w:r>
        <w:rPr>
          <w:b w:val="0"/>
          <w:bCs/>
        </w:rPr>
        <w:t>Karelovic</w:t>
      </w:r>
      <w:proofErr w:type="spellEnd"/>
      <w:r>
        <w:rPr>
          <w:b w:val="0"/>
          <w:bCs/>
        </w:rPr>
        <w:t xml:space="preserve"> A., Jiménez R., 2024. A review: rational design of catalysts for catalytic decomposition of ammonia, International Journal of Hydrogen Energy, 90, 1435-1466. </w:t>
      </w:r>
      <w:hyperlink r:id="rId17" w:history="1">
        <w:r w:rsidRPr="00AB6D30">
          <w:rPr>
            <w:rStyle w:val="Hyperlink"/>
            <w:b w:val="0"/>
            <w:bCs/>
          </w:rPr>
          <w:t>https://doi.org/10.1016/j.ijhydene.2024.09.152</w:t>
        </w:r>
      </w:hyperlink>
      <w:r>
        <w:rPr>
          <w:b w:val="0"/>
          <w:bCs/>
        </w:rPr>
        <w:t xml:space="preserve"> </w:t>
      </w:r>
    </w:p>
    <w:p w14:paraId="4A75D444" w14:textId="77777777" w:rsidR="007541C4" w:rsidRDefault="007541C4" w:rsidP="007541C4">
      <w:pPr>
        <w:pStyle w:val="CETReference"/>
        <w:jc w:val="both"/>
        <w:rPr>
          <w:b w:val="0"/>
          <w:bCs/>
        </w:rPr>
      </w:pPr>
      <w:r>
        <w:rPr>
          <w:b w:val="0"/>
          <w:bCs/>
        </w:rPr>
        <w:t>National Institute of Standards and Technology (NIST), 2024. Self-Diffusion and Binary-Diffusion Coefficient in Gases, NIST TN 2279.</w:t>
      </w:r>
    </w:p>
    <w:p w14:paraId="255D1669" w14:textId="77777777" w:rsidR="007541C4" w:rsidRDefault="007541C4" w:rsidP="007541C4">
      <w:pPr>
        <w:pStyle w:val="CETReference"/>
        <w:jc w:val="both"/>
        <w:rPr>
          <w:b w:val="0"/>
          <w:bCs/>
        </w:rPr>
      </w:pPr>
      <w:r>
        <w:rPr>
          <w:b w:val="0"/>
          <w:bCs/>
        </w:rPr>
        <w:t xml:space="preserve">Osman A.I., Mehta N., </w:t>
      </w:r>
      <w:proofErr w:type="spellStart"/>
      <w:r>
        <w:rPr>
          <w:b w:val="0"/>
          <w:bCs/>
        </w:rPr>
        <w:t>Elgary</w:t>
      </w:r>
      <w:proofErr w:type="spellEnd"/>
      <w:r>
        <w:rPr>
          <w:b w:val="0"/>
          <w:bCs/>
        </w:rPr>
        <w:t xml:space="preserve"> A.M., </w:t>
      </w:r>
      <w:proofErr w:type="spellStart"/>
      <w:r>
        <w:rPr>
          <w:b w:val="0"/>
          <w:bCs/>
        </w:rPr>
        <w:t>Hefny</w:t>
      </w:r>
      <w:proofErr w:type="spellEnd"/>
      <w:r>
        <w:rPr>
          <w:b w:val="0"/>
          <w:bCs/>
        </w:rPr>
        <w:t xml:space="preserve"> M., Al-Hinai A., Al-Muhtaseb A., Rooney D.W., 2022. Hydrogen production, storage, utilisation and environmental impacts: a review. Environmental Chemistry Letters 20, 153-188. </w:t>
      </w:r>
      <w:hyperlink r:id="rId18" w:history="1">
        <w:r w:rsidRPr="00061E24">
          <w:rPr>
            <w:rStyle w:val="Hyperlink"/>
            <w:b w:val="0"/>
            <w:bCs/>
          </w:rPr>
          <w:t>https://doi.org/10.1007/s10311-021-01322-8</w:t>
        </w:r>
      </w:hyperlink>
      <w:r>
        <w:rPr>
          <w:rStyle w:val="c-bibliographic-informationvalue"/>
        </w:rPr>
        <w:t xml:space="preserve"> </w:t>
      </w:r>
    </w:p>
    <w:p w14:paraId="7F318E96" w14:textId="77777777" w:rsidR="007541C4" w:rsidRDefault="007541C4" w:rsidP="007541C4">
      <w:pPr>
        <w:pStyle w:val="CETReference"/>
        <w:jc w:val="both"/>
        <w:rPr>
          <w:b w:val="0"/>
          <w:bCs/>
        </w:rPr>
      </w:pPr>
      <w:r>
        <w:rPr>
          <w:b w:val="0"/>
          <w:bCs/>
        </w:rPr>
        <w:t>Peters S., Abdel-</w:t>
      </w:r>
      <w:proofErr w:type="spellStart"/>
      <w:r>
        <w:rPr>
          <w:b w:val="0"/>
          <w:bCs/>
        </w:rPr>
        <w:t>Mageed</w:t>
      </w:r>
      <w:proofErr w:type="spellEnd"/>
      <w:r>
        <w:rPr>
          <w:b w:val="0"/>
          <w:bCs/>
        </w:rPr>
        <w:t xml:space="preserve"> A.M., Wohlrab S., 2023. </w:t>
      </w:r>
      <w:proofErr w:type="spellStart"/>
      <w:r>
        <w:rPr>
          <w:b w:val="0"/>
          <w:bCs/>
        </w:rPr>
        <w:t>Thermocatalytic</w:t>
      </w:r>
      <w:proofErr w:type="spellEnd"/>
      <w:r>
        <w:rPr>
          <w:b w:val="0"/>
          <w:bCs/>
        </w:rPr>
        <w:t xml:space="preserve"> Ammonia Decomposition – Status and Current Research Demands for a Carbon-Free Hydrogen Fuel Technology, </w:t>
      </w:r>
      <w:proofErr w:type="spellStart"/>
      <w:r>
        <w:rPr>
          <w:b w:val="0"/>
          <w:bCs/>
        </w:rPr>
        <w:t>ChemCatChem</w:t>
      </w:r>
      <w:proofErr w:type="spellEnd"/>
      <w:r>
        <w:rPr>
          <w:b w:val="0"/>
          <w:bCs/>
        </w:rPr>
        <w:t xml:space="preserve">, 15, e202201185. </w:t>
      </w:r>
      <w:hyperlink r:id="rId19" w:history="1">
        <w:r w:rsidRPr="00AB6D30">
          <w:rPr>
            <w:rStyle w:val="Hyperlink"/>
            <w:b w:val="0"/>
            <w:bCs/>
          </w:rPr>
          <w:t>https://doi.org/10.1002/cctc.202201185</w:t>
        </w:r>
      </w:hyperlink>
      <w:r>
        <w:rPr>
          <w:b w:val="0"/>
          <w:bCs/>
        </w:rPr>
        <w:t xml:space="preserve"> </w:t>
      </w:r>
    </w:p>
    <w:p w14:paraId="2B380588" w14:textId="77777777" w:rsidR="007541C4" w:rsidRDefault="007541C4" w:rsidP="007541C4">
      <w:pPr>
        <w:pStyle w:val="CETReference"/>
        <w:jc w:val="both"/>
        <w:rPr>
          <w:b w:val="0"/>
          <w:bCs/>
        </w:rPr>
      </w:pPr>
      <w:r>
        <w:rPr>
          <w:b w:val="0"/>
          <w:bCs/>
        </w:rPr>
        <w:t xml:space="preserve">Richard S., Ramirez Santos A., Oliver P., Gallucci F., 2024. Techno-economic analysis of ammonia cracking for large scale power generation, International Journal of Hydrogen Energy, 71, 571-587. </w:t>
      </w:r>
      <w:hyperlink r:id="rId20" w:history="1">
        <w:r w:rsidRPr="00AB6D30">
          <w:rPr>
            <w:rStyle w:val="Hyperlink"/>
            <w:b w:val="0"/>
            <w:bCs/>
          </w:rPr>
          <w:t>https://doi.org/10.1016/j.ijhydene.2024.05.308</w:t>
        </w:r>
      </w:hyperlink>
      <w:r>
        <w:rPr>
          <w:b w:val="0"/>
          <w:bCs/>
        </w:rPr>
        <w:t xml:space="preserve"> </w:t>
      </w:r>
    </w:p>
    <w:p w14:paraId="1F3901C2" w14:textId="77777777" w:rsidR="007541C4" w:rsidRDefault="007541C4" w:rsidP="007541C4">
      <w:pPr>
        <w:pStyle w:val="CETReference"/>
        <w:jc w:val="both"/>
        <w:rPr>
          <w:b w:val="0"/>
          <w:bCs/>
        </w:rPr>
      </w:pPr>
      <w:proofErr w:type="spellStart"/>
      <w:r>
        <w:rPr>
          <w:b w:val="0"/>
          <w:bCs/>
        </w:rPr>
        <w:t>Spatolisano</w:t>
      </w:r>
      <w:proofErr w:type="spellEnd"/>
      <w:r>
        <w:rPr>
          <w:b w:val="0"/>
          <w:bCs/>
        </w:rPr>
        <w:t xml:space="preserve"> E., Pellegrini L.A., de Angelis A.R., Cattaneo S., </w:t>
      </w:r>
      <w:proofErr w:type="spellStart"/>
      <w:r>
        <w:rPr>
          <w:b w:val="0"/>
          <w:bCs/>
        </w:rPr>
        <w:t>Roccaro</w:t>
      </w:r>
      <w:proofErr w:type="spellEnd"/>
      <w:r>
        <w:rPr>
          <w:b w:val="0"/>
          <w:bCs/>
        </w:rPr>
        <w:t xml:space="preserve"> S., 2023. Ammonia as a Carbon-Free Energy Carrier: NH</w:t>
      </w:r>
      <w:r w:rsidRPr="00075649">
        <w:rPr>
          <w:b w:val="0"/>
          <w:bCs/>
          <w:vertAlign w:val="subscript"/>
        </w:rPr>
        <w:t>3</w:t>
      </w:r>
      <w:r>
        <w:rPr>
          <w:b w:val="0"/>
          <w:bCs/>
        </w:rPr>
        <w:t xml:space="preserve"> Cracking to H</w:t>
      </w:r>
      <w:r w:rsidRPr="00075649">
        <w:rPr>
          <w:b w:val="0"/>
          <w:bCs/>
          <w:vertAlign w:val="subscript"/>
        </w:rPr>
        <w:t>2</w:t>
      </w:r>
      <w:r>
        <w:rPr>
          <w:b w:val="0"/>
          <w:bCs/>
        </w:rPr>
        <w:t xml:space="preserve">. Industrial &amp; Engineering Chemistry Research 62, 10813-10827. </w:t>
      </w:r>
      <w:hyperlink r:id="rId21" w:history="1">
        <w:r w:rsidRPr="00AB6D30">
          <w:rPr>
            <w:rStyle w:val="Hyperlink"/>
            <w:b w:val="0"/>
            <w:bCs/>
          </w:rPr>
          <w:t>https://doi.org/10.1021/acs.iecr.3c01419</w:t>
        </w:r>
      </w:hyperlink>
      <w:r>
        <w:rPr>
          <w:b w:val="0"/>
          <w:bCs/>
        </w:rPr>
        <w:t xml:space="preserve"> </w:t>
      </w:r>
    </w:p>
    <w:p w14:paraId="690530A9" w14:textId="77777777" w:rsidR="007541C4" w:rsidRDefault="007541C4" w:rsidP="007541C4">
      <w:pPr>
        <w:pStyle w:val="CETReference"/>
        <w:jc w:val="both"/>
        <w:rPr>
          <w:b w:val="0"/>
          <w:bCs/>
        </w:rPr>
      </w:pPr>
      <w:proofErr w:type="spellStart"/>
      <w:r>
        <w:rPr>
          <w:b w:val="0"/>
          <w:bCs/>
        </w:rPr>
        <w:t>Su</w:t>
      </w:r>
      <w:proofErr w:type="spellEnd"/>
      <w:r>
        <w:rPr>
          <w:b w:val="0"/>
          <w:bCs/>
        </w:rPr>
        <w:t xml:space="preserve"> B., Huang Y., Wang Y., Huang Z., Yuan S., Huang Q., Xu Z., Lin F., 2023. Novel ammonia-driven chemically recuperated gas turbine cycle based on dual fuel mode. Applied Energy 343, 121184. </w:t>
      </w:r>
      <w:hyperlink r:id="rId22" w:history="1">
        <w:r w:rsidRPr="00AB6D30">
          <w:rPr>
            <w:rStyle w:val="Hyperlink"/>
            <w:b w:val="0"/>
            <w:bCs/>
          </w:rPr>
          <w:t>https://doi.org/10.1016/j.apenergy.2023.121184</w:t>
        </w:r>
      </w:hyperlink>
      <w:r>
        <w:rPr>
          <w:b w:val="0"/>
          <w:bCs/>
        </w:rPr>
        <w:t xml:space="preserve"> </w:t>
      </w:r>
    </w:p>
    <w:p w14:paraId="0728C4A6" w14:textId="77777777" w:rsidR="007541C4" w:rsidRDefault="007541C4" w:rsidP="007541C4">
      <w:pPr>
        <w:pStyle w:val="CETReference"/>
        <w:jc w:val="both"/>
        <w:rPr>
          <w:b w:val="0"/>
          <w:bCs/>
        </w:rPr>
      </w:pPr>
      <w:r>
        <w:rPr>
          <w:b w:val="0"/>
          <w:bCs/>
        </w:rPr>
        <w:t xml:space="preserve">Tjaden B., Cooper S.J., Brett D.J.L., Kramer D., Shearing P.R., 2016. On the origin and application of the </w:t>
      </w:r>
      <w:proofErr w:type="spellStart"/>
      <w:r>
        <w:rPr>
          <w:b w:val="0"/>
          <w:bCs/>
        </w:rPr>
        <w:t>Bruggerman</w:t>
      </w:r>
      <w:proofErr w:type="spellEnd"/>
      <w:r>
        <w:rPr>
          <w:b w:val="0"/>
          <w:bCs/>
        </w:rPr>
        <w:t xml:space="preserve"> correlation for analysing transport phenomena in electrochemical systems, Current opinion in Chemical Engineering, 12, 44-51. </w:t>
      </w:r>
      <w:hyperlink r:id="rId23" w:history="1">
        <w:r w:rsidRPr="00AB6D30">
          <w:rPr>
            <w:rStyle w:val="Hyperlink"/>
            <w:b w:val="0"/>
            <w:bCs/>
          </w:rPr>
          <w:t>https://doi.org/10.1016/j.coche.2016.02.006</w:t>
        </w:r>
      </w:hyperlink>
      <w:r>
        <w:rPr>
          <w:b w:val="0"/>
          <w:bCs/>
        </w:rPr>
        <w:t xml:space="preserve"> </w:t>
      </w:r>
    </w:p>
    <w:p w14:paraId="420CD472" w14:textId="77777777" w:rsidR="007541C4" w:rsidRDefault="007541C4" w:rsidP="007541C4">
      <w:pPr>
        <w:pStyle w:val="CETReference"/>
        <w:jc w:val="both"/>
        <w:rPr>
          <w:b w:val="0"/>
          <w:bCs/>
        </w:rPr>
      </w:pPr>
      <w:proofErr w:type="spellStart"/>
      <w:r>
        <w:rPr>
          <w:b w:val="0"/>
          <w:bCs/>
        </w:rPr>
        <w:t>Trangwachirachai</w:t>
      </w:r>
      <w:proofErr w:type="spellEnd"/>
      <w:r>
        <w:rPr>
          <w:b w:val="0"/>
          <w:bCs/>
        </w:rPr>
        <w:t xml:space="preserve"> K., </w:t>
      </w:r>
      <w:proofErr w:type="spellStart"/>
      <w:r>
        <w:rPr>
          <w:b w:val="0"/>
          <w:bCs/>
        </w:rPr>
        <w:t>Rouwenhorst</w:t>
      </w:r>
      <w:proofErr w:type="spellEnd"/>
      <w:r>
        <w:rPr>
          <w:b w:val="0"/>
          <w:bCs/>
        </w:rPr>
        <w:t xml:space="preserve"> K., Lefferts L., Faria Albanese J.A., 2024. Recent progress on ammonia cracking technologies for scalable hydrogen production, Current Opinion in Green and Sustainable Chemistry, 49, 100495. </w:t>
      </w:r>
      <w:hyperlink r:id="rId24" w:history="1">
        <w:r w:rsidRPr="00AB6D30">
          <w:rPr>
            <w:rStyle w:val="Hyperlink"/>
            <w:b w:val="0"/>
            <w:bCs/>
          </w:rPr>
          <w:t>https://doi.org/10.1016/j.cogsc.2024.100945</w:t>
        </w:r>
      </w:hyperlink>
      <w:r>
        <w:rPr>
          <w:b w:val="0"/>
          <w:bCs/>
        </w:rPr>
        <w:t xml:space="preserve"> </w:t>
      </w:r>
    </w:p>
    <w:p w14:paraId="013EDF7A" w14:textId="77777777" w:rsidR="007541C4" w:rsidRDefault="007541C4" w:rsidP="007541C4">
      <w:pPr>
        <w:pStyle w:val="CETReference"/>
        <w:jc w:val="both"/>
      </w:pPr>
      <w:r>
        <w:rPr>
          <w:b w:val="0"/>
          <w:bCs/>
        </w:rPr>
        <w:t>Zheng W., Zhang J., Ge Q., Xu H., Li W., 2008. Effects of CeO</w:t>
      </w:r>
      <w:r w:rsidRPr="004C3B70">
        <w:rPr>
          <w:b w:val="0"/>
          <w:bCs/>
          <w:vertAlign w:val="subscript"/>
        </w:rPr>
        <w:t>2</w:t>
      </w:r>
      <w:r>
        <w:rPr>
          <w:b w:val="0"/>
          <w:bCs/>
        </w:rPr>
        <w:t xml:space="preserve"> addition on Ni/Al</w:t>
      </w:r>
      <w:r w:rsidRPr="003A0F57">
        <w:rPr>
          <w:b w:val="0"/>
          <w:bCs/>
          <w:vertAlign w:val="subscript"/>
        </w:rPr>
        <w:t>2</w:t>
      </w:r>
      <w:r>
        <w:rPr>
          <w:b w:val="0"/>
          <w:bCs/>
        </w:rPr>
        <w:t>O</w:t>
      </w:r>
      <w:r w:rsidRPr="003A0F57">
        <w:rPr>
          <w:b w:val="0"/>
          <w:bCs/>
          <w:vertAlign w:val="subscript"/>
        </w:rPr>
        <w:t>3</w:t>
      </w:r>
      <w:r>
        <w:rPr>
          <w:b w:val="0"/>
          <w:bCs/>
          <w:vertAlign w:val="subscript"/>
        </w:rPr>
        <w:t xml:space="preserve"> </w:t>
      </w:r>
      <w:r>
        <w:rPr>
          <w:b w:val="0"/>
          <w:bCs/>
        </w:rPr>
        <w:t xml:space="preserve">catalysts for the reaction of ammonia decomposition to hydrogen, Applied Catalysis B. Environmental, 80, 98-105. </w:t>
      </w:r>
      <w:hyperlink r:id="rId25" w:history="1">
        <w:r w:rsidRPr="00AB6D30">
          <w:rPr>
            <w:rStyle w:val="Hyperlink"/>
            <w:b w:val="0"/>
            <w:bCs/>
          </w:rPr>
          <w:t>https://doi.org/10.1016/j.apcatb.2007.11.008</w:t>
        </w:r>
      </w:hyperlink>
      <w:r>
        <w:rPr>
          <w:b w:val="0"/>
          <w:bCs/>
        </w:rPr>
        <w:t xml:space="preserve"> </w:t>
      </w:r>
    </w:p>
    <w:p w14:paraId="643C9B49" w14:textId="77777777" w:rsidR="00B068F5" w:rsidRDefault="00B068F5" w:rsidP="002C77C8">
      <w:pPr>
        <w:pStyle w:val="CETBodytext"/>
        <w:rPr>
          <w:lang w:val="en-GB"/>
        </w:rPr>
      </w:pPr>
    </w:p>
    <w:p w14:paraId="4703808C" w14:textId="77777777" w:rsidR="000717F3" w:rsidRDefault="000717F3" w:rsidP="002C77C8">
      <w:pPr>
        <w:pStyle w:val="CETBodytext"/>
        <w:rPr>
          <w:lang w:val="en-GB"/>
        </w:rPr>
      </w:pPr>
    </w:p>
    <w:p w14:paraId="5220B499" w14:textId="77777777" w:rsidR="000717F3" w:rsidRDefault="000717F3" w:rsidP="002C77C8">
      <w:pPr>
        <w:pStyle w:val="CETBodytext"/>
        <w:rPr>
          <w:lang w:val="en-GB"/>
        </w:rPr>
      </w:pPr>
    </w:p>
    <w:p w14:paraId="334A11AD" w14:textId="5D5DA933" w:rsidR="0029034D" w:rsidRDefault="0029034D" w:rsidP="002C77C8">
      <w:pPr>
        <w:pStyle w:val="CETBodytext"/>
        <w:rPr>
          <w:lang w:val="en-GB"/>
        </w:rPr>
      </w:pPr>
    </w:p>
    <w:sectPr w:rsidR="0029034D"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186E6" w14:textId="77777777" w:rsidR="00B8026E" w:rsidRDefault="00B8026E" w:rsidP="004F5E36">
      <w:r>
        <w:separator/>
      </w:r>
    </w:p>
  </w:endnote>
  <w:endnote w:type="continuationSeparator" w:id="0">
    <w:p w14:paraId="55A53B2B" w14:textId="77777777" w:rsidR="00B8026E" w:rsidRDefault="00B8026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91294" w14:textId="77777777" w:rsidR="00B8026E" w:rsidRDefault="00B8026E" w:rsidP="004F5E36">
      <w:r>
        <w:separator/>
      </w:r>
    </w:p>
  </w:footnote>
  <w:footnote w:type="continuationSeparator" w:id="0">
    <w:p w14:paraId="3828D21C" w14:textId="77777777" w:rsidR="00B8026E" w:rsidRDefault="00B8026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25988156">
    <w:abstractNumId w:val="11"/>
  </w:num>
  <w:num w:numId="2" w16cid:durableId="598026838">
    <w:abstractNumId w:val="8"/>
  </w:num>
  <w:num w:numId="3" w16cid:durableId="977302235">
    <w:abstractNumId w:val="3"/>
  </w:num>
  <w:num w:numId="4" w16cid:durableId="1019309278">
    <w:abstractNumId w:val="2"/>
  </w:num>
  <w:num w:numId="5" w16cid:durableId="894438489">
    <w:abstractNumId w:val="1"/>
  </w:num>
  <w:num w:numId="6" w16cid:durableId="1729957161">
    <w:abstractNumId w:val="0"/>
  </w:num>
  <w:num w:numId="7" w16cid:durableId="271522935">
    <w:abstractNumId w:val="9"/>
  </w:num>
  <w:num w:numId="8" w16cid:durableId="1577856799">
    <w:abstractNumId w:val="7"/>
  </w:num>
  <w:num w:numId="9" w16cid:durableId="231434060">
    <w:abstractNumId w:val="6"/>
  </w:num>
  <w:num w:numId="10" w16cid:durableId="1125075670">
    <w:abstractNumId w:val="5"/>
  </w:num>
  <w:num w:numId="11" w16cid:durableId="608704995">
    <w:abstractNumId w:val="4"/>
  </w:num>
  <w:num w:numId="12" w16cid:durableId="720594732">
    <w:abstractNumId w:val="18"/>
  </w:num>
  <w:num w:numId="13" w16cid:durableId="284430825">
    <w:abstractNumId w:val="13"/>
  </w:num>
  <w:num w:numId="14" w16cid:durableId="1895969983">
    <w:abstractNumId w:val="19"/>
  </w:num>
  <w:num w:numId="15" w16cid:durableId="1843397392">
    <w:abstractNumId w:val="21"/>
  </w:num>
  <w:num w:numId="16" w16cid:durableId="1902591661">
    <w:abstractNumId w:val="20"/>
  </w:num>
  <w:num w:numId="17" w16cid:durableId="517626262">
    <w:abstractNumId w:val="12"/>
  </w:num>
  <w:num w:numId="18" w16cid:durableId="1462654601">
    <w:abstractNumId w:val="13"/>
    <w:lvlOverride w:ilvl="0">
      <w:startOverride w:val="1"/>
    </w:lvlOverride>
  </w:num>
  <w:num w:numId="19" w16cid:durableId="1073353915">
    <w:abstractNumId w:val="17"/>
  </w:num>
  <w:num w:numId="20" w16cid:durableId="1782489">
    <w:abstractNumId w:val="16"/>
  </w:num>
  <w:num w:numId="21" w16cid:durableId="1514763179">
    <w:abstractNumId w:val="15"/>
  </w:num>
  <w:num w:numId="22" w16cid:durableId="1835296479">
    <w:abstractNumId w:val="14"/>
  </w:num>
  <w:num w:numId="23" w16cid:durableId="1822036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Chemosphere&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9af2r9lv5xspe2fe5v0a25vpdd9v2xte2t&quot;&gt;Paper_CET&lt;record-ids&gt;&lt;item&gt;2&lt;/item&gt;&lt;item&gt;3&lt;/item&gt;&lt;item&gt;4&lt;/item&gt;&lt;item&gt;5&lt;/item&gt;&lt;item&gt;8&lt;/item&gt;&lt;item&gt;9&lt;/item&gt;&lt;item&gt;10&lt;/item&gt;&lt;/record-ids&gt;&lt;/item&gt;&lt;/Libraries&gt;"/>
  </w:docVars>
  <w:rsids>
    <w:rsidRoot w:val="000E414A"/>
    <w:rsid w:val="000027C0"/>
    <w:rsid w:val="000052FB"/>
    <w:rsid w:val="00005A19"/>
    <w:rsid w:val="00011398"/>
    <w:rsid w:val="000117CB"/>
    <w:rsid w:val="00016894"/>
    <w:rsid w:val="00022342"/>
    <w:rsid w:val="00024B33"/>
    <w:rsid w:val="0003148D"/>
    <w:rsid w:val="00031EEC"/>
    <w:rsid w:val="00041E11"/>
    <w:rsid w:val="000442AF"/>
    <w:rsid w:val="00044C02"/>
    <w:rsid w:val="00046D30"/>
    <w:rsid w:val="00051566"/>
    <w:rsid w:val="00052CE2"/>
    <w:rsid w:val="000533CB"/>
    <w:rsid w:val="000562A9"/>
    <w:rsid w:val="00062A9A"/>
    <w:rsid w:val="00065058"/>
    <w:rsid w:val="000717F3"/>
    <w:rsid w:val="000752EC"/>
    <w:rsid w:val="00075649"/>
    <w:rsid w:val="0007659C"/>
    <w:rsid w:val="00086C39"/>
    <w:rsid w:val="00096739"/>
    <w:rsid w:val="000A03B2"/>
    <w:rsid w:val="000A7478"/>
    <w:rsid w:val="000C76E6"/>
    <w:rsid w:val="000D0268"/>
    <w:rsid w:val="000D2300"/>
    <w:rsid w:val="000D34BE"/>
    <w:rsid w:val="000D4C67"/>
    <w:rsid w:val="000E0B3C"/>
    <w:rsid w:val="000E102F"/>
    <w:rsid w:val="000E36F1"/>
    <w:rsid w:val="000E3A73"/>
    <w:rsid w:val="000E3C3D"/>
    <w:rsid w:val="000E414A"/>
    <w:rsid w:val="000E75FD"/>
    <w:rsid w:val="000F093C"/>
    <w:rsid w:val="000F787B"/>
    <w:rsid w:val="0011173A"/>
    <w:rsid w:val="00115675"/>
    <w:rsid w:val="0011584B"/>
    <w:rsid w:val="001168A5"/>
    <w:rsid w:val="0011733F"/>
    <w:rsid w:val="0012091F"/>
    <w:rsid w:val="00126A16"/>
    <w:rsid w:val="00126BC2"/>
    <w:rsid w:val="001308B6"/>
    <w:rsid w:val="0013121F"/>
    <w:rsid w:val="00131FE6"/>
    <w:rsid w:val="0013263F"/>
    <w:rsid w:val="00133115"/>
    <w:rsid w:val="001331DF"/>
    <w:rsid w:val="00134034"/>
    <w:rsid w:val="00134DE4"/>
    <w:rsid w:val="0013547E"/>
    <w:rsid w:val="0014034D"/>
    <w:rsid w:val="00140706"/>
    <w:rsid w:val="00140FE3"/>
    <w:rsid w:val="00144D16"/>
    <w:rsid w:val="00150E59"/>
    <w:rsid w:val="00152DE3"/>
    <w:rsid w:val="00164CF9"/>
    <w:rsid w:val="001667A6"/>
    <w:rsid w:val="0018171E"/>
    <w:rsid w:val="00184AD6"/>
    <w:rsid w:val="00194C2C"/>
    <w:rsid w:val="001A4634"/>
    <w:rsid w:val="001A4AF7"/>
    <w:rsid w:val="001B0349"/>
    <w:rsid w:val="001B1E93"/>
    <w:rsid w:val="001B65C1"/>
    <w:rsid w:val="001C260F"/>
    <w:rsid w:val="001C56E0"/>
    <w:rsid w:val="001C5C3A"/>
    <w:rsid w:val="001C684B"/>
    <w:rsid w:val="001C7888"/>
    <w:rsid w:val="001D0CFB"/>
    <w:rsid w:val="001D21AF"/>
    <w:rsid w:val="001D53FC"/>
    <w:rsid w:val="001F42A5"/>
    <w:rsid w:val="001F7B9D"/>
    <w:rsid w:val="00200966"/>
    <w:rsid w:val="00201A36"/>
    <w:rsid w:val="00201C93"/>
    <w:rsid w:val="002224B4"/>
    <w:rsid w:val="00222C5D"/>
    <w:rsid w:val="002447EF"/>
    <w:rsid w:val="00251550"/>
    <w:rsid w:val="00252DB9"/>
    <w:rsid w:val="00263B05"/>
    <w:rsid w:val="00270B22"/>
    <w:rsid w:val="0027221A"/>
    <w:rsid w:val="00275B61"/>
    <w:rsid w:val="00280FAF"/>
    <w:rsid w:val="00282241"/>
    <w:rsid w:val="00282656"/>
    <w:rsid w:val="00283C1C"/>
    <w:rsid w:val="0029034D"/>
    <w:rsid w:val="00294225"/>
    <w:rsid w:val="00295E9E"/>
    <w:rsid w:val="00296B83"/>
    <w:rsid w:val="002B0279"/>
    <w:rsid w:val="002B1932"/>
    <w:rsid w:val="002B4015"/>
    <w:rsid w:val="002B4502"/>
    <w:rsid w:val="002B78CE"/>
    <w:rsid w:val="002C2FB6"/>
    <w:rsid w:val="002C77C8"/>
    <w:rsid w:val="002D020B"/>
    <w:rsid w:val="002D694B"/>
    <w:rsid w:val="002E5FA7"/>
    <w:rsid w:val="002F209F"/>
    <w:rsid w:val="002F3309"/>
    <w:rsid w:val="002F4416"/>
    <w:rsid w:val="002F4E74"/>
    <w:rsid w:val="003008CE"/>
    <w:rsid w:val="003009B7"/>
    <w:rsid w:val="00300E56"/>
    <w:rsid w:val="0030152C"/>
    <w:rsid w:val="003042C6"/>
    <w:rsid w:val="0030469C"/>
    <w:rsid w:val="003077A7"/>
    <w:rsid w:val="00310C62"/>
    <w:rsid w:val="0031637C"/>
    <w:rsid w:val="00321CA6"/>
    <w:rsid w:val="0032289E"/>
    <w:rsid w:val="00323763"/>
    <w:rsid w:val="00323C5F"/>
    <w:rsid w:val="00333B01"/>
    <w:rsid w:val="00334C09"/>
    <w:rsid w:val="0034272E"/>
    <w:rsid w:val="00361501"/>
    <w:rsid w:val="00370839"/>
    <w:rsid w:val="003723D4"/>
    <w:rsid w:val="00381905"/>
    <w:rsid w:val="00384CC8"/>
    <w:rsid w:val="003871FD"/>
    <w:rsid w:val="0038796C"/>
    <w:rsid w:val="0039285D"/>
    <w:rsid w:val="003A0F57"/>
    <w:rsid w:val="003A1E30"/>
    <w:rsid w:val="003A2829"/>
    <w:rsid w:val="003A7D1C"/>
    <w:rsid w:val="003B304B"/>
    <w:rsid w:val="003B3146"/>
    <w:rsid w:val="003B49CD"/>
    <w:rsid w:val="003B5694"/>
    <w:rsid w:val="003D1E02"/>
    <w:rsid w:val="003E6009"/>
    <w:rsid w:val="003F015E"/>
    <w:rsid w:val="00400414"/>
    <w:rsid w:val="00411EA7"/>
    <w:rsid w:val="0041446B"/>
    <w:rsid w:val="00416ED5"/>
    <w:rsid w:val="00423AFF"/>
    <w:rsid w:val="00423BCD"/>
    <w:rsid w:val="00425F9C"/>
    <w:rsid w:val="004330BD"/>
    <w:rsid w:val="004368DC"/>
    <w:rsid w:val="0044035B"/>
    <w:rsid w:val="0044071E"/>
    <w:rsid w:val="0044329C"/>
    <w:rsid w:val="00453E24"/>
    <w:rsid w:val="00454DB3"/>
    <w:rsid w:val="00456150"/>
    <w:rsid w:val="00457456"/>
    <w:rsid w:val="004577FE"/>
    <w:rsid w:val="00457B9C"/>
    <w:rsid w:val="0046164A"/>
    <w:rsid w:val="004622C0"/>
    <w:rsid w:val="004628D2"/>
    <w:rsid w:val="00462DCD"/>
    <w:rsid w:val="004648AD"/>
    <w:rsid w:val="00464A41"/>
    <w:rsid w:val="004703A9"/>
    <w:rsid w:val="004760DE"/>
    <w:rsid w:val="004763D7"/>
    <w:rsid w:val="00486A78"/>
    <w:rsid w:val="00495394"/>
    <w:rsid w:val="004A004E"/>
    <w:rsid w:val="004A0E66"/>
    <w:rsid w:val="004A14AC"/>
    <w:rsid w:val="004A24CF"/>
    <w:rsid w:val="004A24EB"/>
    <w:rsid w:val="004A2D84"/>
    <w:rsid w:val="004A4848"/>
    <w:rsid w:val="004A485E"/>
    <w:rsid w:val="004A6E10"/>
    <w:rsid w:val="004B6214"/>
    <w:rsid w:val="004B7239"/>
    <w:rsid w:val="004C095B"/>
    <w:rsid w:val="004C3B70"/>
    <w:rsid w:val="004C3D1D"/>
    <w:rsid w:val="004C3D84"/>
    <w:rsid w:val="004C7913"/>
    <w:rsid w:val="004E4DD6"/>
    <w:rsid w:val="004F5E36"/>
    <w:rsid w:val="004F6528"/>
    <w:rsid w:val="00507B47"/>
    <w:rsid w:val="00507BEF"/>
    <w:rsid w:val="00507CC9"/>
    <w:rsid w:val="005114CF"/>
    <w:rsid w:val="005119A5"/>
    <w:rsid w:val="005161A0"/>
    <w:rsid w:val="005278B7"/>
    <w:rsid w:val="00527CE7"/>
    <w:rsid w:val="00531200"/>
    <w:rsid w:val="00532016"/>
    <w:rsid w:val="005346C8"/>
    <w:rsid w:val="00535718"/>
    <w:rsid w:val="005424FC"/>
    <w:rsid w:val="00543E7D"/>
    <w:rsid w:val="00543F7F"/>
    <w:rsid w:val="00546145"/>
    <w:rsid w:val="00547A68"/>
    <w:rsid w:val="005531C9"/>
    <w:rsid w:val="00554879"/>
    <w:rsid w:val="00565FB4"/>
    <w:rsid w:val="00566A32"/>
    <w:rsid w:val="005677A7"/>
    <w:rsid w:val="00570C43"/>
    <w:rsid w:val="00577AC0"/>
    <w:rsid w:val="00591A07"/>
    <w:rsid w:val="00592274"/>
    <w:rsid w:val="00592896"/>
    <w:rsid w:val="00592CB4"/>
    <w:rsid w:val="00597F09"/>
    <w:rsid w:val="005A7B2F"/>
    <w:rsid w:val="005B2110"/>
    <w:rsid w:val="005B350B"/>
    <w:rsid w:val="005B3CD8"/>
    <w:rsid w:val="005B61E6"/>
    <w:rsid w:val="005C2051"/>
    <w:rsid w:val="005C4979"/>
    <w:rsid w:val="005C77E1"/>
    <w:rsid w:val="005D668A"/>
    <w:rsid w:val="005D6A2F"/>
    <w:rsid w:val="005E0592"/>
    <w:rsid w:val="005E1A82"/>
    <w:rsid w:val="005E1F62"/>
    <w:rsid w:val="005E794C"/>
    <w:rsid w:val="005F0A28"/>
    <w:rsid w:val="005F0E5E"/>
    <w:rsid w:val="005F3C5B"/>
    <w:rsid w:val="00600535"/>
    <w:rsid w:val="00610CD6"/>
    <w:rsid w:val="006200D5"/>
    <w:rsid w:val="00620DEE"/>
    <w:rsid w:val="00621F92"/>
    <w:rsid w:val="006221DF"/>
    <w:rsid w:val="0062280A"/>
    <w:rsid w:val="006231E1"/>
    <w:rsid w:val="00623459"/>
    <w:rsid w:val="006238C2"/>
    <w:rsid w:val="00623C7E"/>
    <w:rsid w:val="00625639"/>
    <w:rsid w:val="00631B33"/>
    <w:rsid w:val="00636C2E"/>
    <w:rsid w:val="0064184D"/>
    <w:rsid w:val="006422CC"/>
    <w:rsid w:val="00644230"/>
    <w:rsid w:val="00651D18"/>
    <w:rsid w:val="006539FD"/>
    <w:rsid w:val="00660E3E"/>
    <w:rsid w:val="00662E74"/>
    <w:rsid w:val="00664BA7"/>
    <w:rsid w:val="0067072D"/>
    <w:rsid w:val="00676B5F"/>
    <w:rsid w:val="00680C23"/>
    <w:rsid w:val="00683208"/>
    <w:rsid w:val="00683E23"/>
    <w:rsid w:val="006859E5"/>
    <w:rsid w:val="00693766"/>
    <w:rsid w:val="006972EB"/>
    <w:rsid w:val="006A0D3F"/>
    <w:rsid w:val="006A3281"/>
    <w:rsid w:val="006A6DE5"/>
    <w:rsid w:val="006B4888"/>
    <w:rsid w:val="006C2E45"/>
    <w:rsid w:val="006C359C"/>
    <w:rsid w:val="006C5579"/>
    <w:rsid w:val="006D6E8B"/>
    <w:rsid w:val="006D7209"/>
    <w:rsid w:val="006E3623"/>
    <w:rsid w:val="006E737D"/>
    <w:rsid w:val="006F1147"/>
    <w:rsid w:val="006F3E83"/>
    <w:rsid w:val="006F5B7E"/>
    <w:rsid w:val="00704D5B"/>
    <w:rsid w:val="00707DD1"/>
    <w:rsid w:val="00711FCE"/>
    <w:rsid w:val="00713973"/>
    <w:rsid w:val="00720A24"/>
    <w:rsid w:val="007232EE"/>
    <w:rsid w:val="00732386"/>
    <w:rsid w:val="007338FD"/>
    <w:rsid w:val="0073514D"/>
    <w:rsid w:val="00742CF1"/>
    <w:rsid w:val="007447F3"/>
    <w:rsid w:val="007541C4"/>
    <w:rsid w:val="007545B9"/>
    <w:rsid w:val="0075499F"/>
    <w:rsid w:val="007629BA"/>
    <w:rsid w:val="007661C8"/>
    <w:rsid w:val="007700CC"/>
    <w:rsid w:val="0077098D"/>
    <w:rsid w:val="00776AC4"/>
    <w:rsid w:val="00777233"/>
    <w:rsid w:val="00785BF9"/>
    <w:rsid w:val="00787250"/>
    <w:rsid w:val="007931FA"/>
    <w:rsid w:val="0079451F"/>
    <w:rsid w:val="00795854"/>
    <w:rsid w:val="007A3E48"/>
    <w:rsid w:val="007A4861"/>
    <w:rsid w:val="007A7BBA"/>
    <w:rsid w:val="007B0C50"/>
    <w:rsid w:val="007B48F9"/>
    <w:rsid w:val="007B4EF2"/>
    <w:rsid w:val="007C1A43"/>
    <w:rsid w:val="007D0951"/>
    <w:rsid w:val="007D3EEA"/>
    <w:rsid w:val="007D610D"/>
    <w:rsid w:val="007E3FAC"/>
    <w:rsid w:val="007E719B"/>
    <w:rsid w:val="007F66CC"/>
    <w:rsid w:val="0080013E"/>
    <w:rsid w:val="00800E66"/>
    <w:rsid w:val="00801759"/>
    <w:rsid w:val="00813288"/>
    <w:rsid w:val="008168FC"/>
    <w:rsid w:val="00827B02"/>
    <w:rsid w:val="00830996"/>
    <w:rsid w:val="008345F1"/>
    <w:rsid w:val="008352FD"/>
    <w:rsid w:val="008442BF"/>
    <w:rsid w:val="008530D0"/>
    <w:rsid w:val="00855FB2"/>
    <w:rsid w:val="0086098C"/>
    <w:rsid w:val="00863778"/>
    <w:rsid w:val="00865B07"/>
    <w:rsid w:val="008667EA"/>
    <w:rsid w:val="0087637F"/>
    <w:rsid w:val="0087757C"/>
    <w:rsid w:val="0088004B"/>
    <w:rsid w:val="00881E6D"/>
    <w:rsid w:val="008824E1"/>
    <w:rsid w:val="008857D0"/>
    <w:rsid w:val="00886414"/>
    <w:rsid w:val="008907CD"/>
    <w:rsid w:val="00892AD5"/>
    <w:rsid w:val="008A1512"/>
    <w:rsid w:val="008B2521"/>
    <w:rsid w:val="008C7093"/>
    <w:rsid w:val="008C71F6"/>
    <w:rsid w:val="008D252A"/>
    <w:rsid w:val="008D32B9"/>
    <w:rsid w:val="008D433B"/>
    <w:rsid w:val="008D4A16"/>
    <w:rsid w:val="008E5401"/>
    <w:rsid w:val="008E566E"/>
    <w:rsid w:val="008E5C0E"/>
    <w:rsid w:val="008F046E"/>
    <w:rsid w:val="008F7912"/>
    <w:rsid w:val="00900BD7"/>
    <w:rsid w:val="0090161A"/>
    <w:rsid w:val="00901EB6"/>
    <w:rsid w:val="009041F8"/>
    <w:rsid w:val="00904C62"/>
    <w:rsid w:val="00912F0F"/>
    <w:rsid w:val="00922BA8"/>
    <w:rsid w:val="00922DCA"/>
    <w:rsid w:val="00924B08"/>
    <w:rsid w:val="00924DAC"/>
    <w:rsid w:val="0092550C"/>
    <w:rsid w:val="00927058"/>
    <w:rsid w:val="00942750"/>
    <w:rsid w:val="009450CE"/>
    <w:rsid w:val="009459BB"/>
    <w:rsid w:val="00947179"/>
    <w:rsid w:val="0095164B"/>
    <w:rsid w:val="00951664"/>
    <w:rsid w:val="00951BA2"/>
    <w:rsid w:val="00954090"/>
    <w:rsid w:val="00954177"/>
    <w:rsid w:val="009573E7"/>
    <w:rsid w:val="009579C9"/>
    <w:rsid w:val="00957F83"/>
    <w:rsid w:val="00963E05"/>
    <w:rsid w:val="00964A45"/>
    <w:rsid w:val="00967843"/>
    <w:rsid w:val="00967D54"/>
    <w:rsid w:val="00971028"/>
    <w:rsid w:val="009931EF"/>
    <w:rsid w:val="00993B84"/>
    <w:rsid w:val="00994C6A"/>
    <w:rsid w:val="00994D5E"/>
    <w:rsid w:val="00996483"/>
    <w:rsid w:val="00996F5A"/>
    <w:rsid w:val="009B041A"/>
    <w:rsid w:val="009B4FF3"/>
    <w:rsid w:val="009C37C3"/>
    <w:rsid w:val="009C6E3F"/>
    <w:rsid w:val="009C7C86"/>
    <w:rsid w:val="009D2FF7"/>
    <w:rsid w:val="009E7884"/>
    <w:rsid w:val="009E788A"/>
    <w:rsid w:val="009F0E08"/>
    <w:rsid w:val="009F60FC"/>
    <w:rsid w:val="00A079AE"/>
    <w:rsid w:val="00A1297C"/>
    <w:rsid w:val="00A129D8"/>
    <w:rsid w:val="00A1763D"/>
    <w:rsid w:val="00A17CEC"/>
    <w:rsid w:val="00A27EF0"/>
    <w:rsid w:val="00A344CA"/>
    <w:rsid w:val="00A42361"/>
    <w:rsid w:val="00A456B2"/>
    <w:rsid w:val="00A50B20"/>
    <w:rsid w:val="00A51390"/>
    <w:rsid w:val="00A52379"/>
    <w:rsid w:val="00A53321"/>
    <w:rsid w:val="00A55F22"/>
    <w:rsid w:val="00A60658"/>
    <w:rsid w:val="00A60D13"/>
    <w:rsid w:val="00A7223D"/>
    <w:rsid w:val="00A7230D"/>
    <w:rsid w:val="00A72745"/>
    <w:rsid w:val="00A76EFC"/>
    <w:rsid w:val="00A86A20"/>
    <w:rsid w:val="00A87D50"/>
    <w:rsid w:val="00A91010"/>
    <w:rsid w:val="00A97F29"/>
    <w:rsid w:val="00AA45D1"/>
    <w:rsid w:val="00AA702E"/>
    <w:rsid w:val="00AA7D26"/>
    <w:rsid w:val="00AB0964"/>
    <w:rsid w:val="00AB3F7E"/>
    <w:rsid w:val="00AB5011"/>
    <w:rsid w:val="00AB52E7"/>
    <w:rsid w:val="00AC123A"/>
    <w:rsid w:val="00AC7368"/>
    <w:rsid w:val="00AD16B9"/>
    <w:rsid w:val="00AD60FC"/>
    <w:rsid w:val="00AE377D"/>
    <w:rsid w:val="00AE6279"/>
    <w:rsid w:val="00AF0EBA"/>
    <w:rsid w:val="00AF19DB"/>
    <w:rsid w:val="00AF2463"/>
    <w:rsid w:val="00AF632D"/>
    <w:rsid w:val="00B02C8A"/>
    <w:rsid w:val="00B068F5"/>
    <w:rsid w:val="00B17FBD"/>
    <w:rsid w:val="00B20C41"/>
    <w:rsid w:val="00B212D4"/>
    <w:rsid w:val="00B315A6"/>
    <w:rsid w:val="00B31813"/>
    <w:rsid w:val="00B33365"/>
    <w:rsid w:val="00B432FC"/>
    <w:rsid w:val="00B45324"/>
    <w:rsid w:val="00B5594C"/>
    <w:rsid w:val="00B57269"/>
    <w:rsid w:val="00B57B36"/>
    <w:rsid w:val="00B57E6F"/>
    <w:rsid w:val="00B57E7F"/>
    <w:rsid w:val="00B713E0"/>
    <w:rsid w:val="00B8026E"/>
    <w:rsid w:val="00B82E75"/>
    <w:rsid w:val="00B85F8F"/>
    <w:rsid w:val="00B8686D"/>
    <w:rsid w:val="00B90383"/>
    <w:rsid w:val="00B93F69"/>
    <w:rsid w:val="00BA036F"/>
    <w:rsid w:val="00BB126E"/>
    <w:rsid w:val="00BB1DDC"/>
    <w:rsid w:val="00BB3C67"/>
    <w:rsid w:val="00BB53F9"/>
    <w:rsid w:val="00BC30C9"/>
    <w:rsid w:val="00BD077D"/>
    <w:rsid w:val="00BE2F9A"/>
    <w:rsid w:val="00BE3E58"/>
    <w:rsid w:val="00BF13CE"/>
    <w:rsid w:val="00BF37EF"/>
    <w:rsid w:val="00BF7873"/>
    <w:rsid w:val="00C01616"/>
    <w:rsid w:val="00C0162B"/>
    <w:rsid w:val="00C068ED"/>
    <w:rsid w:val="00C17F3D"/>
    <w:rsid w:val="00C22E0C"/>
    <w:rsid w:val="00C255F9"/>
    <w:rsid w:val="00C3124B"/>
    <w:rsid w:val="00C315B2"/>
    <w:rsid w:val="00C345B1"/>
    <w:rsid w:val="00C40142"/>
    <w:rsid w:val="00C52C3C"/>
    <w:rsid w:val="00C57182"/>
    <w:rsid w:val="00C57863"/>
    <w:rsid w:val="00C615B0"/>
    <w:rsid w:val="00C640AF"/>
    <w:rsid w:val="00C655FD"/>
    <w:rsid w:val="00C733F2"/>
    <w:rsid w:val="00C75407"/>
    <w:rsid w:val="00C841C6"/>
    <w:rsid w:val="00C870A8"/>
    <w:rsid w:val="00C94434"/>
    <w:rsid w:val="00CA0D75"/>
    <w:rsid w:val="00CA1C95"/>
    <w:rsid w:val="00CA5A9C"/>
    <w:rsid w:val="00CB16C4"/>
    <w:rsid w:val="00CB26A2"/>
    <w:rsid w:val="00CC4C20"/>
    <w:rsid w:val="00CD3517"/>
    <w:rsid w:val="00CD4C2E"/>
    <w:rsid w:val="00CD5FE2"/>
    <w:rsid w:val="00CE7C68"/>
    <w:rsid w:val="00D002E8"/>
    <w:rsid w:val="00D02B4C"/>
    <w:rsid w:val="00D02CC3"/>
    <w:rsid w:val="00D040C4"/>
    <w:rsid w:val="00D06852"/>
    <w:rsid w:val="00D10F16"/>
    <w:rsid w:val="00D14F83"/>
    <w:rsid w:val="00D20AD1"/>
    <w:rsid w:val="00D254AC"/>
    <w:rsid w:val="00D2582C"/>
    <w:rsid w:val="00D27E88"/>
    <w:rsid w:val="00D45E94"/>
    <w:rsid w:val="00D46B7E"/>
    <w:rsid w:val="00D46FA1"/>
    <w:rsid w:val="00D53707"/>
    <w:rsid w:val="00D55F89"/>
    <w:rsid w:val="00D57C84"/>
    <w:rsid w:val="00D6057D"/>
    <w:rsid w:val="00D71640"/>
    <w:rsid w:val="00D76883"/>
    <w:rsid w:val="00D83294"/>
    <w:rsid w:val="00D836C5"/>
    <w:rsid w:val="00D84576"/>
    <w:rsid w:val="00D9200A"/>
    <w:rsid w:val="00D94ADB"/>
    <w:rsid w:val="00DA1399"/>
    <w:rsid w:val="00DA24C6"/>
    <w:rsid w:val="00DA30EE"/>
    <w:rsid w:val="00DA4D7B"/>
    <w:rsid w:val="00DC2840"/>
    <w:rsid w:val="00DC73EE"/>
    <w:rsid w:val="00DD0510"/>
    <w:rsid w:val="00DD271C"/>
    <w:rsid w:val="00DD65D9"/>
    <w:rsid w:val="00DE264A"/>
    <w:rsid w:val="00DF5072"/>
    <w:rsid w:val="00E02D18"/>
    <w:rsid w:val="00E041E7"/>
    <w:rsid w:val="00E072AF"/>
    <w:rsid w:val="00E21C19"/>
    <w:rsid w:val="00E23CA1"/>
    <w:rsid w:val="00E3723B"/>
    <w:rsid w:val="00E409A8"/>
    <w:rsid w:val="00E4108E"/>
    <w:rsid w:val="00E508F3"/>
    <w:rsid w:val="00E50C12"/>
    <w:rsid w:val="00E5173E"/>
    <w:rsid w:val="00E65B91"/>
    <w:rsid w:val="00E71511"/>
    <w:rsid w:val="00E7209D"/>
    <w:rsid w:val="00E72EAD"/>
    <w:rsid w:val="00E77223"/>
    <w:rsid w:val="00E8528B"/>
    <w:rsid w:val="00E85B94"/>
    <w:rsid w:val="00E877DB"/>
    <w:rsid w:val="00E91BE8"/>
    <w:rsid w:val="00E978D0"/>
    <w:rsid w:val="00EA4613"/>
    <w:rsid w:val="00EA7F91"/>
    <w:rsid w:val="00EB01EC"/>
    <w:rsid w:val="00EB0516"/>
    <w:rsid w:val="00EB1523"/>
    <w:rsid w:val="00EB7904"/>
    <w:rsid w:val="00EC0E49"/>
    <w:rsid w:val="00EC101F"/>
    <w:rsid w:val="00EC1D9F"/>
    <w:rsid w:val="00EC52CD"/>
    <w:rsid w:val="00ED5227"/>
    <w:rsid w:val="00EE0131"/>
    <w:rsid w:val="00EE17B0"/>
    <w:rsid w:val="00EE1ABF"/>
    <w:rsid w:val="00EE6C0A"/>
    <w:rsid w:val="00EF06D9"/>
    <w:rsid w:val="00EF42ED"/>
    <w:rsid w:val="00F27EE4"/>
    <w:rsid w:val="00F3049E"/>
    <w:rsid w:val="00F30C64"/>
    <w:rsid w:val="00F30C88"/>
    <w:rsid w:val="00F3141B"/>
    <w:rsid w:val="00F32B9E"/>
    <w:rsid w:val="00F32BA2"/>
    <w:rsid w:val="00F32CDB"/>
    <w:rsid w:val="00F41C1A"/>
    <w:rsid w:val="00F41EE4"/>
    <w:rsid w:val="00F551FC"/>
    <w:rsid w:val="00F565FE"/>
    <w:rsid w:val="00F61D72"/>
    <w:rsid w:val="00F63A70"/>
    <w:rsid w:val="00F63D8C"/>
    <w:rsid w:val="00F64985"/>
    <w:rsid w:val="00F7534E"/>
    <w:rsid w:val="00F9382D"/>
    <w:rsid w:val="00F93EDF"/>
    <w:rsid w:val="00FA1802"/>
    <w:rsid w:val="00FA21D0"/>
    <w:rsid w:val="00FA5F5F"/>
    <w:rsid w:val="00FA7458"/>
    <w:rsid w:val="00FB3B0B"/>
    <w:rsid w:val="00FB730C"/>
    <w:rsid w:val="00FC2695"/>
    <w:rsid w:val="00FC3E03"/>
    <w:rsid w:val="00FC3FC1"/>
    <w:rsid w:val="00FD1FE5"/>
    <w:rsid w:val="00FE4023"/>
    <w:rsid w:val="00FF4834"/>
    <w:rsid w:val="00FF662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customStyle="1" w:styleId="Menzionenonrisolta1">
    <w:name w:val="Menzione non risolta1"/>
    <w:basedOn w:val="DefaultParagraphFont"/>
    <w:uiPriority w:val="99"/>
    <w:semiHidden/>
    <w:unhideWhenUsed/>
    <w:rsid w:val="0079451F"/>
    <w:rPr>
      <w:color w:val="605E5C"/>
      <w:shd w:val="clear" w:color="auto" w:fill="E1DFDD"/>
    </w:rPr>
  </w:style>
  <w:style w:type="paragraph" w:customStyle="1" w:styleId="BOAAddress">
    <w:name w:val="BOA Address"/>
    <w:link w:val="BOAAddressCarattere"/>
    <w:autoRedefine/>
    <w:qFormat/>
    <w:rsid w:val="004368DC"/>
    <w:pPr>
      <w:keepNext/>
      <w:suppressAutoHyphens/>
      <w:spacing w:after="0"/>
      <w:contextualSpacing/>
      <w:jc w:val="center"/>
    </w:pPr>
    <w:rPr>
      <w:rFonts w:ascii="Arial" w:eastAsia="Times New Roman" w:hAnsi="Arial" w:cs="Times New Roman"/>
      <w:i/>
      <w:noProof/>
      <w:sz w:val="20"/>
      <w:szCs w:val="20"/>
      <w:lang w:val="en-GB"/>
    </w:rPr>
  </w:style>
  <w:style w:type="character" w:customStyle="1" w:styleId="BOAAddressCarattere">
    <w:name w:val="BOA Address Carattere"/>
    <w:basedOn w:val="DefaultParagraphFont"/>
    <w:link w:val="BOAAddress"/>
    <w:rsid w:val="004368DC"/>
    <w:rPr>
      <w:rFonts w:ascii="Arial" w:eastAsia="Times New Roman" w:hAnsi="Arial" w:cs="Times New Roman"/>
      <w:i/>
      <w:noProof/>
      <w:sz w:val="20"/>
      <w:szCs w:val="20"/>
      <w:lang w:val="en-GB"/>
    </w:rPr>
  </w:style>
  <w:style w:type="character" w:styleId="UnresolvedMention">
    <w:name w:val="Unresolved Mention"/>
    <w:basedOn w:val="DefaultParagraphFont"/>
    <w:uiPriority w:val="99"/>
    <w:semiHidden/>
    <w:unhideWhenUsed/>
    <w:rsid w:val="007B4EF2"/>
    <w:rPr>
      <w:color w:val="605E5C"/>
      <w:shd w:val="clear" w:color="auto" w:fill="E1DFDD"/>
    </w:rPr>
  </w:style>
  <w:style w:type="character" w:customStyle="1" w:styleId="rynqvb">
    <w:name w:val="rynqvb"/>
    <w:basedOn w:val="DefaultParagraphFont"/>
    <w:rsid w:val="004A14AC"/>
  </w:style>
  <w:style w:type="paragraph" w:customStyle="1" w:styleId="EndNoteBibliographyTitle">
    <w:name w:val="EndNote Bibliography Title"/>
    <w:basedOn w:val="Normal"/>
    <w:link w:val="EndNoteBibliographyTitleChar"/>
    <w:rsid w:val="000717F3"/>
    <w:pPr>
      <w:jc w:val="center"/>
    </w:pPr>
    <w:rPr>
      <w:rFonts w:cs="Arial"/>
      <w:noProof/>
      <w:lang w:val="en-US"/>
    </w:rPr>
  </w:style>
  <w:style w:type="character" w:customStyle="1" w:styleId="EndNoteBibliographyTitleChar">
    <w:name w:val="EndNote Bibliography Title Char"/>
    <w:basedOn w:val="CETBodytextCarattere"/>
    <w:link w:val="EndNoteBibliographyTitle"/>
    <w:rsid w:val="000717F3"/>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0717F3"/>
    <w:pPr>
      <w:spacing w:line="240" w:lineRule="auto"/>
    </w:pPr>
    <w:rPr>
      <w:rFonts w:cs="Arial"/>
      <w:noProof/>
      <w:lang w:val="en-US"/>
    </w:rPr>
  </w:style>
  <w:style w:type="character" w:customStyle="1" w:styleId="EndNoteBibliographyChar">
    <w:name w:val="EndNote Bibliography Char"/>
    <w:basedOn w:val="CETBodytextCarattere"/>
    <w:link w:val="EndNoteBibliography"/>
    <w:rsid w:val="000717F3"/>
    <w:rPr>
      <w:rFonts w:ascii="Arial" w:eastAsia="Times New Roman" w:hAnsi="Arial" w:cs="Arial"/>
      <w:noProof/>
      <w:sz w:val="18"/>
      <w:szCs w:val="20"/>
      <w:lang w:val="en-US"/>
    </w:rPr>
  </w:style>
  <w:style w:type="paragraph" w:styleId="Revision">
    <w:name w:val="Revision"/>
    <w:hidden/>
    <w:uiPriority w:val="99"/>
    <w:semiHidden/>
    <w:rsid w:val="0086098C"/>
    <w:pPr>
      <w:spacing w:after="0" w:line="240" w:lineRule="auto"/>
    </w:pPr>
    <w:rPr>
      <w:rFonts w:ascii="Arial" w:eastAsia="Times New Roman" w:hAnsi="Arial" w:cs="Times New Roman"/>
      <w:sz w:val="18"/>
      <w:szCs w:val="20"/>
      <w:lang w:val="en-GB"/>
    </w:rPr>
  </w:style>
  <w:style w:type="character" w:customStyle="1" w:styleId="c-bibliographic-informationvalue">
    <w:name w:val="c-bibliographic-information__value"/>
    <w:basedOn w:val="DefaultParagraphFont"/>
    <w:rsid w:val="00754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42476907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8440">
      <w:bodyDiv w:val="1"/>
      <w:marLeft w:val="0"/>
      <w:marRight w:val="0"/>
      <w:marTop w:val="0"/>
      <w:marBottom w:val="0"/>
      <w:divBdr>
        <w:top w:val="none" w:sz="0" w:space="0" w:color="auto"/>
        <w:left w:val="none" w:sz="0" w:space="0" w:color="auto"/>
        <w:bottom w:val="none" w:sz="0" w:space="0" w:color="auto"/>
        <w:right w:val="none" w:sz="0" w:space="0" w:color="auto"/>
      </w:divBdr>
    </w:div>
    <w:div w:id="129914652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1007/s10311-021-01322-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21/acs.iecr.3c0141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ijhydene.2024.09.152" TargetMode="External"/><Relationship Id="rId25" Type="http://schemas.openxmlformats.org/officeDocument/2006/relationships/hyperlink" Target="https://doi.org/10.1016/j.apcatb.2007.11.008" TargetMode="External"/><Relationship Id="rId2" Type="http://schemas.openxmlformats.org/officeDocument/2006/relationships/numbering" Target="numbering.xml"/><Relationship Id="rId16" Type="http://schemas.openxmlformats.org/officeDocument/2006/relationships/hyperlink" Target="https://doi.org/10.1016/j.ijhydene.2013.10.110" TargetMode="External"/><Relationship Id="rId20" Type="http://schemas.openxmlformats.org/officeDocument/2006/relationships/hyperlink" Target="https://doi.org/10.1016/j.ijhydene.2024.05.3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cogsc.2024.100945" TargetMode="External"/><Relationship Id="rId5" Type="http://schemas.openxmlformats.org/officeDocument/2006/relationships/webSettings" Target="webSettings.xml"/><Relationship Id="rId15" Type="http://schemas.openxmlformats.org/officeDocument/2006/relationships/hyperlink" Target="https://doi.org/10.3390/en16166035" TargetMode="External"/><Relationship Id="rId23" Type="http://schemas.openxmlformats.org/officeDocument/2006/relationships/hyperlink" Target="https://doi.org/10.1016/j.coche.2016.02.006" TargetMode="External"/><Relationship Id="rId10" Type="http://schemas.openxmlformats.org/officeDocument/2006/relationships/image" Target="media/image3.png"/><Relationship Id="rId19" Type="http://schemas.openxmlformats.org/officeDocument/2006/relationships/hyperlink" Target="https://doi.org/10.1002/cctc.2022011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cej.2023.145381" TargetMode="External"/><Relationship Id="rId22" Type="http://schemas.openxmlformats.org/officeDocument/2006/relationships/hyperlink" Target="https://doi.org/10.1016/j.apenergy.2023.121184"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B0D4A-C567-4BFF-9C0F-7C67F2CE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3361</Words>
  <Characters>20733</Characters>
  <Application>Microsoft Office Word</Application>
  <DocSecurity>0</DocSecurity>
  <Lines>172</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Davide Clematis</cp:lastModifiedBy>
  <cp:revision>63</cp:revision>
  <cp:lastPrinted>2015-05-12T18:31:00Z</cp:lastPrinted>
  <dcterms:created xsi:type="dcterms:W3CDTF">2025-02-13T16:02:00Z</dcterms:created>
  <dcterms:modified xsi:type="dcterms:W3CDTF">2025-07-04T06:50:00Z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