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824AC" w14:paraId="2A131A54" w14:textId="77777777" w:rsidTr="004D5763">
        <w:trPr>
          <w:trHeight w:val="852"/>
          <w:jc w:val="center"/>
        </w:trPr>
        <w:tc>
          <w:tcPr>
            <w:tcW w:w="6940" w:type="dxa"/>
            <w:vMerge w:val="restart"/>
            <w:tcBorders>
              <w:right w:val="single" w:sz="4" w:space="0" w:color="auto"/>
            </w:tcBorders>
          </w:tcPr>
          <w:p w14:paraId="38C3D2BA" w14:textId="77777777" w:rsidR="000A03B2" w:rsidRPr="00A824AC" w:rsidRDefault="000A03B2" w:rsidP="00DE264A">
            <w:pPr>
              <w:tabs>
                <w:tab w:val="left" w:pos="-108"/>
              </w:tabs>
              <w:ind w:left="-108"/>
              <w:jc w:val="left"/>
              <w:rPr>
                <w:rFonts w:cs="Arial"/>
                <w:b/>
                <w:bCs/>
                <w:i/>
                <w:iCs/>
                <w:color w:val="000066"/>
                <w:sz w:val="12"/>
                <w:szCs w:val="12"/>
                <w:lang w:eastAsia="it-IT"/>
              </w:rPr>
            </w:pPr>
            <w:bookmarkStart w:id="0" w:name="_Hlk145068772"/>
            <w:r w:rsidRPr="00A824AC">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824AC">
              <w:rPr>
                <w:rFonts w:ascii="AdvP6960" w:hAnsi="AdvP6960" w:cs="AdvP6960"/>
                <w:color w:val="241F20"/>
                <w:szCs w:val="18"/>
                <w:lang w:eastAsia="it-IT"/>
              </w:rPr>
              <w:t xml:space="preserve"> </w:t>
            </w:r>
            <w:r w:rsidRPr="00A824AC">
              <w:rPr>
                <w:rFonts w:cs="Arial"/>
                <w:b/>
                <w:bCs/>
                <w:i/>
                <w:iCs/>
                <w:color w:val="000066"/>
                <w:sz w:val="24"/>
                <w:szCs w:val="24"/>
                <w:lang w:eastAsia="it-IT"/>
              </w:rPr>
              <w:t>CHEMICAL ENGINEERING</w:t>
            </w:r>
            <w:r w:rsidRPr="00A824AC">
              <w:rPr>
                <w:rFonts w:cs="Arial"/>
                <w:b/>
                <w:bCs/>
                <w:i/>
                <w:iCs/>
                <w:color w:val="0033FF"/>
                <w:sz w:val="24"/>
                <w:szCs w:val="24"/>
                <w:lang w:eastAsia="it-IT"/>
              </w:rPr>
              <w:t xml:space="preserve"> </w:t>
            </w:r>
            <w:r w:rsidRPr="00A824AC">
              <w:rPr>
                <w:rFonts w:cs="Arial"/>
                <w:b/>
                <w:bCs/>
                <w:i/>
                <w:iCs/>
                <w:color w:val="666666"/>
                <w:sz w:val="24"/>
                <w:szCs w:val="24"/>
                <w:lang w:eastAsia="it-IT"/>
              </w:rPr>
              <w:t>TRANSACTIONS</w:t>
            </w:r>
            <w:r w:rsidRPr="00A824AC">
              <w:rPr>
                <w:color w:val="333333"/>
                <w:sz w:val="24"/>
                <w:szCs w:val="24"/>
                <w:lang w:eastAsia="it-IT"/>
              </w:rPr>
              <w:t xml:space="preserve"> </w:t>
            </w:r>
            <w:r w:rsidRPr="00A824AC">
              <w:rPr>
                <w:rFonts w:cs="Arial"/>
                <w:b/>
                <w:bCs/>
                <w:i/>
                <w:iCs/>
                <w:color w:val="000066"/>
                <w:sz w:val="27"/>
                <w:szCs w:val="27"/>
                <w:lang w:eastAsia="it-IT"/>
              </w:rPr>
              <w:br/>
            </w:r>
          </w:p>
          <w:p w14:paraId="4B780582" w14:textId="47EF826C" w:rsidR="000A03B2" w:rsidRPr="00A824AC" w:rsidRDefault="00A76EFC" w:rsidP="001D21AF">
            <w:pPr>
              <w:tabs>
                <w:tab w:val="left" w:pos="-108"/>
              </w:tabs>
              <w:ind w:left="-108"/>
              <w:rPr>
                <w:rFonts w:cs="Arial"/>
                <w:b/>
                <w:bCs/>
                <w:i/>
                <w:iCs/>
                <w:color w:val="000066"/>
                <w:sz w:val="22"/>
                <w:szCs w:val="22"/>
                <w:lang w:eastAsia="it-IT"/>
              </w:rPr>
            </w:pPr>
            <w:r w:rsidRPr="00A824AC">
              <w:rPr>
                <w:rFonts w:cs="Arial"/>
                <w:b/>
                <w:bCs/>
                <w:i/>
                <w:iCs/>
                <w:color w:val="000066"/>
                <w:sz w:val="22"/>
                <w:szCs w:val="22"/>
                <w:lang w:eastAsia="it-IT"/>
              </w:rPr>
              <w:t>VOL.</w:t>
            </w:r>
            <w:r w:rsidR="00785BF9" w:rsidRPr="00A824AC">
              <w:rPr>
                <w:rFonts w:cs="Arial"/>
                <w:b/>
                <w:bCs/>
                <w:i/>
                <w:iCs/>
                <w:color w:val="000066"/>
                <w:sz w:val="22"/>
                <w:szCs w:val="22"/>
                <w:lang w:eastAsia="it-IT"/>
              </w:rPr>
              <w:t xml:space="preserve"> </w:t>
            </w:r>
            <w:r w:rsidR="00994C6A" w:rsidRPr="00A824AC">
              <w:rPr>
                <w:rFonts w:cs="Arial"/>
                <w:b/>
                <w:bCs/>
                <w:i/>
                <w:iCs/>
                <w:color w:val="000066"/>
                <w:sz w:val="22"/>
                <w:szCs w:val="22"/>
                <w:lang w:eastAsia="it-IT"/>
              </w:rPr>
              <w:t>xxx</w:t>
            </w:r>
            <w:r w:rsidR="007B48F9" w:rsidRPr="00A824AC">
              <w:rPr>
                <w:rFonts w:cs="Arial"/>
                <w:b/>
                <w:bCs/>
                <w:i/>
                <w:iCs/>
                <w:color w:val="000066"/>
                <w:sz w:val="22"/>
                <w:szCs w:val="22"/>
                <w:lang w:eastAsia="it-IT"/>
              </w:rPr>
              <w:t>,</w:t>
            </w:r>
            <w:r w:rsidR="00FA5F5F" w:rsidRPr="00A824AC">
              <w:rPr>
                <w:rFonts w:cs="Arial"/>
                <w:b/>
                <w:bCs/>
                <w:i/>
                <w:iCs/>
                <w:color w:val="000066"/>
                <w:sz w:val="22"/>
                <w:szCs w:val="22"/>
                <w:lang w:eastAsia="it-IT"/>
              </w:rPr>
              <w:t xml:space="preserve"> </w:t>
            </w:r>
            <w:r w:rsidR="0030152C" w:rsidRPr="00A824AC">
              <w:rPr>
                <w:rFonts w:cs="Arial"/>
                <w:b/>
                <w:bCs/>
                <w:i/>
                <w:iCs/>
                <w:color w:val="000066"/>
                <w:sz w:val="22"/>
                <w:szCs w:val="22"/>
                <w:lang w:eastAsia="it-IT"/>
              </w:rPr>
              <w:t>202</w:t>
            </w:r>
            <w:r w:rsidR="00994C6A" w:rsidRPr="00A824AC">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A824AC" w:rsidRDefault="000A03B2" w:rsidP="00CD5FE2">
            <w:pPr>
              <w:spacing w:line="140" w:lineRule="atLeast"/>
              <w:jc w:val="right"/>
              <w:rPr>
                <w:rFonts w:cs="Arial"/>
                <w:sz w:val="14"/>
                <w:szCs w:val="14"/>
              </w:rPr>
            </w:pPr>
            <w:r w:rsidRPr="00A824AC">
              <w:rPr>
                <w:rFonts w:cs="Arial"/>
                <w:sz w:val="14"/>
                <w:szCs w:val="14"/>
              </w:rPr>
              <w:t>A publication of</w:t>
            </w:r>
          </w:p>
          <w:p w14:paraId="599E5441" w14:textId="77777777" w:rsidR="000A03B2" w:rsidRPr="00A824AC" w:rsidRDefault="000A03B2" w:rsidP="00CD5FE2">
            <w:pPr>
              <w:jc w:val="right"/>
            </w:pPr>
            <w:r w:rsidRPr="00A824AC">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824AC" w14:paraId="380FA3CD" w14:textId="77777777" w:rsidTr="004D5763">
        <w:trPr>
          <w:trHeight w:val="567"/>
          <w:jc w:val="center"/>
        </w:trPr>
        <w:tc>
          <w:tcPr>
            <w:tcW w:w="6940" w:type="dxa"/>
            <w:vMerge/>
            <w:tcBorders>
              <w:right w:val="single" w:sz="4" w:space="0" w:color="auto"/>
            </w:tcBorders>
          </w:tcPr>
          <w:p w14:paraId="39E5E4C1" w14:textId="77777777" w:rsidR="000A03B2" w:rsidRPr="00A824AC"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A824AC" w:rsidRDefault="000A03B2" w:rsidP="00CD5FE2">
            <w:pPr>
              <w:spacing w:line="140" w:lineRule="atLeast"/>
              <w:jc w:val="right"/>
              <w:rPr>
                <w:rFonts w:cs="Arial"/>
                <w:sz w:val="14"/>
                <w:szCs w:val="14"/>
              </w:rPr>
            </w:pPr>
            <w:r w:rsidRPr="00A824AC">
              <w:rPr>
                <w:rFonts w:cs="Arial"/>
                <w:sz w:val="14"/>
                <w:szCs w:val="14"/>
              </w:rPr>
              <w:t>The Italian Association</w:t>
            </w:r>
          </w:p>
          <w:p w14:paraId="7522B1D2" w14:textId="77777777" w:rsidR="000A03B2" w:rsidRPr="00A824AC" w:rsidRDefault="000A03B2" w:rsidP="00CD5FE2">
            <w:pPr>
              <w:spacing w:line="140" w:lineRule="atLeast"/>
              <w:jc w:val="right"/>
              <w:rPr>
                <w:rFonts w:cs="Arial"/>
                <w:sz w:val="14"/>
                <w:szCs w:val="14"/>
              </w:rPr>
            </w:pPr>
            <w:r w:rsidRPr="00A824AC">
              <w:rPr>
                <w:rFonts w:cs="Arial"/>
                <w:sz w:val="14"/>
                <w:szCs w:val="14"/>
              </w:rPr>
              <w:t>of Chemical Engineering</w:t>
            </w:r>
          </w:p>
          <w:p w14:paraId="4F0CC5DE" w14:textId="47FDB2FC" w:rsidR="000A03B2" w:rsidRPr="00A824AC" w:rsidRDefault="000D0268" w:rsidP="00CD5FE2">
            <w:pPr>
              <w:spacing w:line="140" w:lineRule="atLeast"/>
              <w:jc w:val="right"/>
              <w:rPr>
                <w:rFonts w:cs="Arial"/>
                <w:sz w:val="13"/>
                <w:szCs w:val="13"/>
              </w:rPr>
            </w:pPr>
            <w:r w:rsidRPr="00A824AC">
              <w:rPr>
                <w:rFonts w:cs="Arial"/>
                <w:sz w:val="13"/>
                <w:szCs w:val="13"/>
              </w:rPr>
              <w:t>Online at www.cetjournal.it</w:t>
            </w:r>
          </w:p>
        </w:tc>
      </w:tr>
      <w:tr w:rsidR="000A03B2" w:rsidRPr="00A824AC" w14:paraId="2D1B7169" w14:textId="77777777" w:rsidTr="004D5763">
        <w:trPr>
          <w:trHeight w:val="68"/>
          <w:jc w:val="center"/>
        </w:trPr>
        <w:tc>
          <w:tcPr>
            <w:tcW w:w="8782" w:type="dxa"/>
            <w:gridSpan w:val="2"/>
          </w:tcPr>
          <w:p w14:paraId="366FC5AF" w14:textId="77777777" w:rsidR="002F1A5C" w:rsidRPr="00A824AC" w:rsidRDefault="002F1A5C" w:rsidP="002F1A5C">
            <w:pPr>
              <w:ind w:left="-107"/>
              <w:outlineLvl w:val="2"/>
              <w:rPr>
                <w:rFonts w:ascii="Aptos" w:eastAsiaTheme="minorHAnsi" w:hAnsi="Aptos" w:cs="Aptos"/>
                <w:sz w:val="22"/>
                <w:szCs w:val="22"/>
                <w14:ligatures w14:val="standardContextual"/>
              </w:rPr>
            </w:pPr>
            <w:r w:rsidRPr="00A824AC">
              <w:rPr>
                <w:rFonts w:ascii="Tahoma" w:hAnsi="Tahoma" w:cs="Tahoma"/>
                <w:iCs/>
                <w:color w:val="333333"/>
                <w:sz w:val="14"/>
                <w:szCs w:val="14"/>
                <w:lang w:eastAsia="it-IT"/>
              </w:rPr>
              <w:t>Guest Editors:</w:t>
            </w:r>
            <w:r w:rsidRPr="00A824AC">
              <w:rPr>
                <w:rFonts w:ascii="Aptos" w:eastAsiaTheme="minorHAnsi" w:hAnsi="Aptos" w:cs="Aptos"/>
                <w:sz w:val="22"/>
                <w:szCs w:val="22"/>
              </w:rPr>
              <w:t xml:space="preserve"> </w:t>
            </w:r>
            <w:r w:rsidRPr="00A824AC">
              <w:rPr>
                <w:rFonts w:ascii="Tahoma" w:eastAsiaTheme="minorHAnsi" w:hAnsi="Tahoma" w:cs="Tahoma"/>
                <w:sz w:val="14"/>
                <w:szCs w:val="14"/>
                <w14:ligatures w14:val="standardContextual"/>
              </w:rPr>
              <w:t>David Bogle, Flavio Manenti, Piero Salatino</w:t>
            </w:r>
          </w:p>
          <w:p w14:paraId="1B0F1814" w14:textId="78FF9054" w:rsidR="000A03B2" w:rsidRPr="00A824AC" w:rsidRDefault="002F1A5C" w:rsidP="002F1A5C">
            <w:pPr>
              <w:tabs>
                <w:tab w:val="left" w:pos="-108"/>
              </w:tabs>
              <w:spacing w:line="140" w:lineRule="atLeast"/>
              <w:ind w:left="-107"/>
              <w:jc w:val="left"/>
            </w:pPr>
            <w:r w:rsidRPr="00A824AC">
              <w:rPr>
                <w:rFonts w:ascii="Tahoma" w:hAnsi="Tahoma" w:cs="Tahoma"/>
                <w:iCs/>
                <w:color w:val="333333"/>
                <w:sz w:val="14"/>
                <w:szCs w:val="14"/>
                <w:lang w:eastAsia="it-IT"/>
              </w:rPr>
              <w:t xml:space="preserve">Copyright © 2025, AIDIC </w:t>
            </w:r>
            <w:proofErr w:type="spellStart"/>
            <w:r w:rsidRPr="00A824AC">
              <w:rPr>
                <w:rFonts w:ascii="Tahoma" w:hAnsi="Tahoma" w:cs="Tahoma"/>
                <w:iCs/>
                <w:color w:val="333333"/>
                <w:sz w:val="14"/>
                <w:szCs w:val="14"/>
                <w:lang w:eastAsia="it-IT"/>
              </w:rPr>
              <w:t>Servizi</w:t>
            </w:r>
            <w:proofErr w:type="spellEnd"/>
            <w:r w:rsidRPr="00A824AC">
              <w:rPr>
                <w:rFonts w:ascii="Tahoma" w:hAnsi="Tahoma" w:cs="Tahoma"/>
                <w:iCs/>
                <w:color w:val="333333"/>
                <w:sz w:val="14"/>
                <w:szCs w:val="14"/>
                <w:lang w:eastAsia="it-IT"/>
              </w:rPr>
              <w:t xml:space="preserve"> </w:t>
            </w:r>
            <w:proofErr w:type="spellStart"/>
            <w:r w:rsidRPr="00A824AC">
              <w:rPr>
                <w:rFonts w:ascii="Tahoma" w:hAnsi="Tahoma" w:cs="Tahoma"/>
                <w:iCs/>
                <w:color w:val="333333"/>
                <w:sz w:val="14"/>
                <w:szCs w:val="14"/>
                <w:lang w:eastAsia="it-IT"/>
              </w:rPr>
              <w:t>S.r.l</w:t>
            </w:r>
            <w:proofErr w:type="spellEnd"/>
            <w:r w:rsidRPr="00A824AC">
              <w:rPr>
                <w:rFonts w:ascii="Tahoma" w:hAnsi="Tahoma" w:cs="Tahoma"/>
                <w:iCs/>
                <w:color w:val="333333"/>
                <w:sz w:val="14"/>
                <w:szCs w:val="14"/>
                <w:lang w:eastAsia="it-IT"/>
              </w:rPr>
              <w:t>.</w:t>
            </w:r>
            <w:r w:rsidRPr="00A824AC">
              <w:rPr>
                <w:rFonts w:ascii="Tahoma" w:hAnsi="Tahoma" w:cs="Tahoma"/>
                <w:iCs/>
                <w:color w:val="333333"/>
                <w:sz w:val="14"/>
                <w:szCs w:val="14"/>
                <w:lang w:eastAsia="it-IT"/>
              </w:rPr>
              <w:br/>
            </w:r>
            <w:r w:rsidRPr="00A824AC">
              <w:rPr>
                <w:rFonts w:ascii="Tahoma" w:hAnsi="Tahoma" w:cs="Tahoma"/>
                <w:b/>
                <w:iCs/>
                <w:color w:val="000000"/>
                <w:sz w:val="14"/>
                <w:szCs w:val="14"/>
                <w:lang w:eastAsia="it-IT"/>
              </w:rPr>
              <w:t>ISBN</w:t>
            </w:r>
            <w:r w:rsidRPr="00A824AC">
              <w:rPr>
                <w:rFonts w:ascii="Tahoma" w:hAnsi="Tahoma" w:cs="Tahoma"/>
                <w:iCs/>
                <w:color w:val="000000"/>
                <w:sz w:val="14"/>
                <w:szCs w:val="14"/>
                <w:lang w:eastAsia="it-IT"/>
              </w:rPr>
              <w:t xml:space="preserve"> </w:t>
            </w:r>
            <w:r w:rsidRPr="00A824AC">
              <w:rPr>
                <w:rFonts w:ascii="Tahoma" w:hAnsi="Tahoma" w:cs="Tahoma"/>
                <w:sz w:val="14"/>
                <w:szCs w:val="14"/>
              </w:rPr>
              <w:t>979-12-81206-21-2</w:t>
            </w:r>
            <w:r w:rsidRPr="00A824AC">
              <w:rPr>
                <w:rFonts w:ascii="Tahoma" w:hAnsi="Tahoma" w:cs="Tahoma"/>
                <w:iCs/>
                <w:color w:val="333333"/>
                <w:sz w:val="14"/>
                <w:szCs w:val="14"/>
                <w:lang w:eastAsia="it-IT"/>
              </w:rPr>
              <w:t xml:space="preserve">; </w:t>
            </w:r>
            <w:r w:rsidRPr="00A824AC">
              <w:rPr>
                <w:rFonts w:ascii="Tahoma" w:hAnsi="Tahoma" w:cs="Tahoma"/>
                <w:b/>
                <w:iCs/>
                <w:color w:val="333333"/>
                <w:sz w:val="14"/>
                <w:szCs w:val="14"/>
                <w:lang w:eastAsia="it-IT"/>
              </w:rPr>
              <w:t>ISSN</w:t>
            </w:r>
            <w:r w:rsidRPr="00A824AC">
              <w:rPr>
                <w:rFonts w:ascii="Tahoma" w:hAnsi="Tahoma" w:cs="Tahoma"/>
                <w:iCs/>
                <w:color w:val="333333"/>
                <w:sz w:val="14"/>
                <w:szCs w:val="14"/>
                <w:lang w:eastAsia="it-IT"/>
              </w:rPr>
              <w:t xml:space="preserve"> 2283-9216</w:t>
            </w:r>
          </w:p>
        </w:tc>
      </w:tr>
    </w:tbl>
    <w:bookmarkEnd w:id="0"/>
    <w:p w14:paraId="2E667253" w14:textId="7E2FDA17" w:rsidR="00E978D0" w:rsidRPr="00A824AC" w:rsidRDefault="0053646F" w:rsidP="00E978D0">
      <w:pPr>
        <w:pStyle w:val="CETTitle"/>
      </w:pPr>
      <w:r w:rsidRPr="00A824AC">
        <w:t xml:space="preserve">Index </w:t>
      </w:r>
      <w:r w:rsidR="006F1770" w:rsidRPr="00A824AC">
        <w:t xml:space="preserve">Method </w:t>
      </w:r>
      <w:r w:rsidRPr="00A824AC">
        <w:t xml:space="preserve">for the </w:t>
      </w:r>
      <w:r w:rsidR="006F1770" w:rsidRPr="00A824AC">
        <w:t>A</w:t>
      </w:r>
      <w:r w:rsidRPr="00A824AC">
        <w:t xml:space="preserve">ssessment of </w:t>
      </w:r>
      <w:r w:rsidR="006F1770" w:rsidRPr="00A824AC">
        <w:t>N</w:t>
      </w:r>
      <w:r w:rsidRPr="00A824AC">
        <w:t xml:space="preserve">atech </w:t>
      </w:r>
      <w:r w:rsidR="006F1770" w:rsidRPr="00A824AC">
        <w:t>R</w:t>
      </w:r>
      <w:r w:rsidRPr="00A824AC">
        <w:t xml:space="preserve">isk from </w:t>
      </w:r>
      <w:r w:rsidR="006F1770" w:rsidRPr="00A824AC">
        <w:t>S</w:t>
      </w:r>
      <w:r w:rsidRPr="00A824AC">
        <w:t>torms</w:t>
      </w:r>
    </w:p>
    <w:p w14:paraId="0488FED2" w14:textId="352891C2" w:rsidR="00B57E6F" w:rsidRPr="00A824AC" w:rsidRDefault="008832CA" w:rsidP="00B57E6F">
      <w:pPr>
        <w:pStyle w:val="CETAuthors"/>
      </w:pPr>
      <w:r w:rsidRPr="00A824AC">
        <w:t>Antonino Muratore</w:t>
      </w:r>
      <w:r w:rsidRPr="00A824AC">
        <w:rPr>
          <w:vertAlign w:val="superscript"/>
        </w:rPr>
        <w:t>a</w:t>
      </w:r>
      <w:r w:rsidR="00846B49" w:rsidRPr="00A824AC">
        <w:rPr>
          <w:vertAlign w:val="superscript"/>
        </w:rPr>
        <w:t>,</w:t>
      </w:r>
      <w:r w:rsidR="00846B49" w:rsidRPr="00A824AC">
        <w:t>*</w:t>
      </w:r>
      <w:r w:rsidRPr="00A824AC">
        <w:t>, Giovanni Grillone</w:t>
      </w:r>
      <w:r w:rsidRPr="00A824AC">
        <w:rPr>
          <w:vertAlign w:val="superscript"/>
        </w:rPr>
        <w:t>b</w:t>
      </w:r>
      <w:r w:rsidRPr="00A824AC">
        <w:t xml:space="preserve">, </w:t>
      </w:r>
      <w:r w:rsidR="001742B6" w:rsidRPr="00A824AC">
        <w:t>Maurilio Bellissimo</w:t>
      </w:r>
      <w:r w:rsidR="001742B6" w:rsidRPr="00A824AC">
        <w:rPr>
          <w:vertAlign w:val="superscript"/>
        </w:rPr>
        <w:t>b</w:t>
      </w:r>
      <w:r w:rsidRPr="00A824AC">
        <w:t>, Giuseppe Giannelli</w:t>
      </w:r>
      <w:r w:rsidRPr="00A824AC">
        <w:rPr>
          <w:vertAlign w:val="superscript"/>
        </w:rPr>
        <w:t>a</w:t>
      </w:r>
      <w:r w:rsidRPr="00A824AC">
        <w:t>, Vincenzo Nastasi</w:t>
      </w:r>
      <w:r w:rsidRPr="00A824AC">
        <w:rPr>
          <w:vertAlign w:val="superscript"/>
        </w:rPr>
        <w:t>b</w:t>
      </w:r>
    </w:p>
    <w:p w14:paraId="2456C2E4" w14:textId="77777777" w:rsidR="00133E54" w:rsidRPr="00A824AC" w:rsidRDefault="00133E54" w:rsidP="00133E54">
      <w:pPr>
        <w:pStyle w:val="CETAddress"/>
        <w:rPr>
          <w:noProof w:val="0"/>
        </w:rPr>
      </w:pPr>
      <w:r w:rsidRPr="00A824AC">
        <w:rPr>
          <w:noProof w:val="0"/>
          <w:vertAlign w:val="superscript"/>
        </w:rPr>
        <w:t>a</w:t>
      </w:r>
      <w:r w:rsidRPr="00A824AC">
        <w:rPr>
          <w:noProof w:val="0"/>
        </w:rPr>
        <w:t>Inail, UOT Como, Via Petrarca 4 - 22100 Como, Italy</w:t>
      </w:r>
    </w:p>
    <w:p w14:paraId="2F7F6E56" w14:textId="77777777" w:rsidR="00133E54" w:rsidRPr="00A824AC" w:rsidRDefault="00133E54" w:rsidP="00133E54">
      <w:pPr>
        <w:pStyle w:val="CETAddress"/>
        <w:rPr>
          <w:noProof w:val="0"/>
        </w:rPr>
      </w:pPr>
      <w:r w:rsidRPr="00A824AC">
        <w:rPr>
          <w:noProof w:val="0"/>
          <w:vertAlign w:val="superscript"/>
        </w:rPr>
        <w:t>b</w:t>
      </w:r>
      <w:r w:rsidRPr="00A824AC">
        <w:rPr>
          <w:noProof w:val="0"/>
        </w:rPr>
        <w:t>Inail, UOT Palermo, Viale del Fante 58/D - 90146 Palermo, Italy</w:t>
      </w:r>
    </w:p>
    <w:p w14:paraId="73F1267A" w14:textId="304DC2F9" w:rsidR="00B57E6F" w:rsidRPr="00A824AC" w:rsidRDefault="00133E54" w:rsidP="00133E54">
      <w:pPr>
        <w:pStyle w:val="CETemail"/>
      </w:pPr>
      <w:r w:rsidRPr="00A824AC">
        <w:rPr>
          <w:noProof w:val="0"/>
        </w:rPr>
        <w:t>a.muratore@inail.it</w:t>
      </w:r>
      <w:r w:rsidR="00B57E6F" w:rsidRPr="00A824AC">
        <w:t xml:space="preserve"> </w:t>
      </w:r>
    </w:p>
    <w:p w14:paraId="5A4EACE2" w14:textId="77777777" w:rsidR="00C1378D" w:rsidRPr="00A824AC" w:rsidRDefault="00C1378D" w:rsidP="00C1378D">
      <w:pPr>
        <w:pStyle w:val="CETBodytext"/>
        <w:rPr>
          <w:lang w:val="en-GB"/>
        </w:rPr>
      </w:pPr>
      <w:r w:rsidRPr="00A824AC">
        <w:rPr>
          <w:lang w:val="en-GB"/>
        </w:rPr>
        <w:t>Climate change has an impact on both urban and industrial environments. In the industrial environment, the plants that require the most attention are those that handle hazardous chemicals.</w:t>
      </w:r>
    </w:p>
    <w:p w14:paraId="65EDFACC" w14:textId="6E5AEDA3" w:rsidR="00C1378D" w:rsidRPr="00A824AC" w:rsidRDefault="00C1378D" w:rsidP="00C1378D">
      <w:pPr>
        <w:pStyle w:val="CETBodytext"/>
        <w:rPr>
          <w:lang w:val="en-GB"/>
        </w:rPr>
      </w:pPr>
      <w:r w:rsidRPr="00A824AC">
        <w:rPr>
          <w:lang w:val="en-GB"/>
        </w:rPr>
        <w:t xml:space="preserve">In this work we consider the effects of meteorological climate changes such as storms, with their accompanying </w:t>
      </w:r>
      <w:r w:rsidR="00C071DE" w:rsidRPr="00A824AC">
        <w:rPr>
          <w:lang w:val="en-GB"/>
        </w:rPr>
        <w:t>(</w:t>
      </w:r>
      <w:r w:rsidRPr="00A824AC">
        <w:rPr>
          <w:lang w:val="en-GB"/>
        </w:rPr>
        <w:t>Necci et al.</w:t>
      </w:r>
      <w:r w:rsidR="00C071DE" w:rsidRPr="00A824AC">
        <w:rPr>
          <w:lang w:val="en-GB"/>
        </w:rPr>
        <w:t>, 2022)</w:t>
      </w:r>
      <w:r w:rsidRPr="00A824AC">
        <w:rPr>
          <w:lang w:val="en-GB"/>
        </w:rPr>
        <w:t>:</w:t>
      </w:r>
    </w:p>
    <w:p w14:paraId="5EEE52DE" w14:textId="77777777" w:rsidR="00C1378D" w:rsidRPr="00A824AC" w:rsidRDefault="00C1378D" w:rsidP="00C1378D">
      <w:pPr>
        <w:numPr>
          <w:ilvl w:val="0"/>
          <w:numId w:val="26"/>
        </w:numPr>
        <w:tabs>
          <w:tab w:val="clear" w:pos="7100"/>
        </w:tabs>
      </w:pPr>
      <w:r w:rsidRPr="00A824AC">
        <w:t xml:space="preserve">Heavy precipitation, which can lead to flash floods </w:t>
      </w:r>
    </w:p>
    <w:p w14:paraId="77EDF419" w14:textId="77777777" w:rsidR="00C1378D" w:rsidRPr="00A824AC" w:rsidRDefault="00C1378D" w:rsidP="00C1378D">
      <w:pPr>
        <w:numPr>
          <w:ilvl w:val="0"/>
          <w:numId w:val="26"/>
        </w:numPr>
        <w:tabs>
          <w:tab w:val="clear" w:pos="7100"/>
        </w:tabs>
      </w:pPr>
      <w:r w:rsidRPr="00A824AC">
        <w:t>Storm surges</w:t>
      </w:r>
    </w:p>
    <w:p w14:paraId="7EBA6108" w14:textId="77777777" w:rsidR="00C1378D" w:rsidRPr="00A824AC" w:rsidRDefault="00C1378D" w:rsidP="00C1378D">
      <w:pPr>
        <w:numPr>
          <w:ilvl w:val="0"/>
          <w:numId w:val="26"/>
        </w:numPr>
        <w:tabs>
          <w:tab w:val="clear" w:pos="7100"/>
        </w:tabs>
      </w:pPr>
      <w:r w:rsidRPr="00A824AC">
        <w:t>Strong winds</w:t>
      </w:r>
    </w:p>
    <w:p w14:paraId="4FCC981C" w14:textId="70E835D3" w:rsidR="00D81BE8" w:rsidRPr="00A824AC" w:rsidRDefault="00C1378D" w:rsidP="00C1378D">
      <w:pPr>
        <w:numPr>
          <w:ilvl w:val="0"/>
          <w:numId w:val="26"/>
        </w:numPr>
        <w:tabs>
          <w:tab w:val="clear" w:pos="7100"/>
        </w:tabs>
      </w:pPr>
      <w:r w:rsidRPr="00A824AC">
        <w:t>Lightning</w:t>
      </w:r>
    </w:p>
    <w:p w14:paraId="331AF250" w14:textId="07B85D28" w:rsidR="00C1378D" w:rsidRPr="00A824AC" w:rsidRDefault="008C7C7C" w:rsidP="00C1378D">
      <w:pPr>
        <w:pStyle w:val="CETBodytext"/>
        <w:rPr>
          <w:lang w:val="en-GB"/>
        </w:rPr>
      </w:pPr>
      <w:r w:rsidRPr="00A824AC">
        <w:rPr>
          <w:lang w:val="en-GB"/>
        </w:rPr>
        <w:t>Such effects can cause, in industrial plants with the presence of hazardous substances: fires, explosions, releases of hazardous substances into the environment which often lead to plant and production shutdowns for a long time</w:t>
      </w:r>
      <w:r w:rsidR="00C1378D" w:rsidRPr="00A824AC">
        <w:rPr>
          <w:lang w:val="en-GB"/>
        </w:rPr>
        <w:t xml:space="preserve">. According to the recent approach of the IPCC (Intergovernmental Panel on Climate Change of the United Nations) the concept of risk associated with climate change is based on three fundamental components: hazard, exposure and vulnerability. There is a risk if in a certain place and at a certain time a vulnerable receptor is exposed to a source of danger of a climatic nature </w:t>
      </w:r>
      <w:r w:rsidR="00DE466F" w:rsidRPr="00A824AC">
        <w:rPr>
          <w:lang w:val="en-GB"/>
        </w:rPr>
        <w:t>(IPCC, 2022).</w:t>
      </w:r>
    </w:p>
    <w:p w14:paraId="38F76186" w14:textId="7DF59976" w:rsidR="006A6DE5" w:rsidRPr="00A824AC" w:rsidRDefault="00C1378D" w:rsidP="00C1378D">
      <w:pPr>
        <w:pStyle w:val="CETBodytext"/>
        <w:rPr>
          <w:lang w:val="en-GB"/>
        </w:rPr>
      </w:pPr>
      <w:r w:rsidRPr="00A824AC">
        <w:rPr>
          <w:lang w:val="en-GB"/>
        </w:rPr>
        <w:t>The aim of this work is to introduce, for the Italian production reality, a simplified index method for determining the level of natech risk from storms in industrial activities with presence of dangerous substances. The level of storm natech risk is identified through the index I</w:t>
      </w:r>
      <w:r w:rsidRPr="00A824AC">
        <w:rPr>
          <w:vertAlign w:val="subscript"/>
          <w:lang w:val="en-GB"/>
        </w:rPr>
        <w:t>Rns</w:t>
      </w:r>
      <w:r w:rsidRPr="00A824AC">
        <w:rPr>
          <w:lang w:val="en-GB"/>
        </w:rPr>
        <w:t xml:space="preserve"> which depends </w:t>
      </w:r>
      <w:proofErr w:type="gramStart"/>
      <w:r w:rsidRPr="00A824AC">
        <w:rPr>
          <w:lang w:val="en-GB"/>
        </w:rPr>
        <w:t>on:</w:t>
      </w:r>
      <w:proofErr w:type="gramEnd"/>
      <w:r w:rsidRPr="00A824AC">
        <w:rPr>
          <w:lang w:val="en-GB"/>
        </w:rPr>
        <w:t xml:space="preserve"> the storm hazard index I</w:t>
      </w:r>
      <w:r w:rsidRPr="00A824AC">
        <w:rPr>
          <w:vertAlign w:val="subscript"/>
          <w:lang w:val="en-GB"/>
        </w:rPr>
        <w:t>Hs</w:t>
      </w:r>
      <w:r w:rsidRPr="00A824AC">
        <w:rPr>
          <w:lang w:val="en-GB"/>
        </w:rPr>
        <w:t xml:space="preserve"> (function of lightning, floods, strong wind); the storm vulnerability index, I</w:t>
      </w:r>
      <w:r w:rsidRPr="00A824AC">
        <w:rPr>
          <w:vertAlign w:val="subscript"/>
          <w:lang w:val="en-GB"/>
        </w:rPr>
        <w:t>Vs</w:t>
      </w:r>
      <w:r w:rsidRPr="00A824AC">
        <w:rPr>
          <w:lang w:val="en-GB"/>
        </w:rPr>
        <w:t xml:space="preserve"> and the storm exposure index, I</w:t>
      </w:r>
      <w:r w:rsidRPr="00A824AC">
        <w:rPr>
          <w:vertAlign w:val="subscript"/>
          <w:lang w:val="en-GB"/>
        </w:rPr>
        <w:t>Es</w:t>
      </w:r>
      <w:r w:rsidRPr="00A824AC">
        <w:rPr>
          <w:lang w:val="en-GB"/>
        </w:rPr>
        <w:t>. After having calculated the level of risk natech from storms I</w:t>
      </w:r>
      <w:r w:rsidRPr="00A824AC">
        <w:rPr>
          <w:vertAlign w:val="subscript"/>
          <w:lang w:val="en-GB"/>
        </w:rPr>
        <w:t>Rns</w:t>
      </w:r>
      <w:r w:rsidRPr="00A824AC">
        <w:rPr>
          <w:lang w:val="en-GB"/>
        </w:rPr>
        <w:t xml:space="preserve"> it is possible to predict the main adaptation actions with the aim of increasing the resilience of the plant containing hazardous substances against storms</w:t>
      </w:r>
      <w:r w:rsidR="00D81BE8" w:rsidRPr="00A824AC">
        <w:rPr>
          <w:lang w:val="en-GB"/>
        </w:rPr>
        <w:t>.</w:t>
      </w:r>
    </w:p>
    <w:p w14:paraId="476B2F2E" w14:textId="74EC85F7" w:rsidR="00600535" w:rsidRPr="00A824AC" w:rsidRDefault="001C4669" w:rsidP="00600535">
      <w:pPr>
        <w:pStyle w:val="CETHeading1"/>
        <w:rPr>
          <w:lang w:val="en-GB"/>
        </w:rPr>
      </w:pPr>
      <w:r w:rsidRPr="00A824AC">
        <w:rPr>
          <w:lang w:val="en-GB"/>
        </w:rPr>
        <w:t>What are storms</w:t>
      </w:r>
    </w:p>
    <w:p w14:paraId="66B1E533" w14:textId="40ED7375" w:rsidR="00C123B5" w:rsidRPr="00A824AC" w:rsidRDefault="008C7C7C" w:rsidP="00C123B5">
      <w:pPr>
        <w:pStyle w:val="CETBodytext"/>
        <w:rPr>
          <w:lang w:val="en-GB"/>
        </w:rPr>
      </w:pPr>
      <w:r w:rsidRPr="00A824AC">
        <w:rPr>
          <w:lang w:val="en-GB"/>
        </w:rPr>
        <w:t xml:space="preserve">Storms are extreme weather events, characterized by a very </w:t>
      </w:r>
      <w:proofErr w:type="gramStart"/>
      <w:r w:rsidRPr="00A824AC">
        <w:rPr>
          <w:lang w:val="en-GB"/>
        </w:rPr>
        <w:t>low pressure</w:t>
      </w:r>
      <w:proofErr w:type="gramEnd"/>
      <w:r w:rsidRPr="00A824AC">
        <w:rPr>
          <w:lang w:val="en-GB"/>
        </w:rPr>
        <w:t xml:space="preserve"> area (depression), </w:t>
      </w:r>
      <w:r w:rsidR="00A824AC" w:rsidRPr="00A824AC">
        <w:rPr>
          <w:lang w:val="en-GB"/>
        </w:rPr>
        <w:t>which</w:t>
      </w:r>
      <w:r w:rsidRPr="00A824AC">
        <w:rPr>
          <w:lang w:val="en-GB"/>
        </w:rPr>
        <w:t xml:space="preserve"> are more intense the lower the pressure minimum</w:t>
      </w:r>
      <w:r w:rsidR="009D08F7" w:rsidRPr="00A824AC">
        <w:rPr>
          <w:lang w:val="en-GB"/>
        </w:rPr>
        <w:t xml:space="preserve">. These are disturbances often associated with a cyclone. In the Mediterranean these events also bring very heavy rainfall, strong thunderstorms with violent gusts of wind, tornadoes or hail. </w:t>
      </w:r>
      <w:r w:rsidR="003C068B" w:rsidRPr="00A824AC">
        <w:rPr>
          <w:lang w:val="en-GB"/>
        </w:rPr>
        <w:t xml:space="preserve">A significant example is the storm </w:t>
      </w:r>
      <w:r w:rsidR="009D08F7" w:rsidRPr="00A824AC">
        <w:rPr>
          <w:lang w:val="en-GB"/>
        </w:rPr>
        <w:t xml:space="preserve">called Vaia in October 2018, associated with a pressure minimum of 975 </w:t>
      </w:r>
      <w:proofErr w:type="spellStart"/>
      <w:r w:rsidR="009D08F7" w:rsidRPr="00A824AC">
        <w:rPr>
          <w:lang w:val="en-GB"/>
        </w:rPr>
        <w:t>hPa</w:t>
      </w:r>
      <w:proofErr w:type="spellEnd"/>
      <w:r w:rsidR="009D08F7" w:rsidRPr="00A824AC">
        <w:rPr>
          <w:lang w:val="en-GB"/>
        </w:rPr>
        <w:t>, which caused winds so strong that they knocked down millions of trees in the Dolomites, and exceptional storm surges in Liguria with waves over 10 meters high. In 2015 EUMETNET (Network of European Meteorological Services), a European intergovernmental organization whose objective is to ensure and facilitate cooperation between the national meteorological and hydrological services of Europe, established the “Storm naming” project, to name the most intense storms as already happens in the United States of America for hurricanes. For this program, Europe has been divided into several groups of countries (Fig. 1)</w:t>
      </w:r>
      <w:r w:rsidR="007B34FA" w:rsidRPr="00A824AC">
        <w:rPr>
          <w:lang w:val="en-GB"/>
        </w:rPr>
        <w:t xml:space="preserve"> (</w:t>
      </w:r>
      <w:r w:rsidR="00381FCF" w:rsidRPr="00A824AC">
        <w:rPr>
          <w:lang w:val="en-GB"/>
        </w:rPr>
        <w:t>Canessa, 2021</w:t>
      </w:r>
      <w:r w:rsidR="007B34FA" w:rsidRPr="00A824AC">
        <w:rPr>
          <w:lang w:val="en-GB"/>
        </w:rPr>
        <w:t>).</w:t>
      </w:r>
      <w:r w:rsidR="009D08F7" w:rsidRPr="00A824AC">
        <w:rPr>
          <w:lang w:val="en-GB"/>
        </w:rPr>
        <w:t xml:space="preserve"> Italy belongs to the Central Mediterranean group, which includes Slovenia, Croatia, North Macedonia, Montenegro and Malta. Since 28 September 2021, the Italian Air Force Meteorological Service has been naming the most intense storms affecting Italy, in coordination with the countries of the “Central Mediterranean Group”, consisting of ARSO METEO (Slovenia), DHMZ (Croatia), YXMP (North Macedonia), Malta </w:t>
      </w:r>
      <w:r w:rsidR="00AF08FD" w:rsidRPr="00A824AC">
        <w:rPr>
          <w:lang w:val="en-GB"/>
        </w:rPr>
        <w:t>Meteorological</w:t>
      </w:r>
      <w:r w:rsidR="00471394" w:rsidRPr="00A824AC">
        <w:rPr>
          <w:lang w:val="en-GB"/>
        </w:rPr>
        <w:t xml:space="preserve"> </w:t>
      </w:r>
      <w:r w:rsidR="009D08F7" w:rsidRPr="00A824AC">
        <w:rPr>
          <w:lang w:val="en-GB"/>
        </w:rPr>
        <w:t>Office</w:t>
      </w:r>
      <w:r w:rsidR="00471394" w:rsidRPr="00A824AC">
        <w:rPr>
          <w:lang w:val="en-GB"/>
        </w:rPr>
        <w:t xml:space="preserve"> (Malta)</w:t>
      </w:r>
      <w:r w:rsidR="009D08F7" w:rsidRPr="00A824AC">
        <w:rPr>
          <w:lang w:val="en-GB"/>
        </w:rPr>
        <w:t xml:space="preserve"> and IHMS (Montenegro)</w:t>
      </w:r>
      <w:r w:rsidR="007B34FA" w:rsidRPr="00A824AC">
        <w:rPr>
          <w:lang w:val="en-GB"/>
        </w:rPr>
        <w:t>.</w:t>
      </w:r>
    </w:p>
    <w:p w14:paraId="483DEF94" w14:textId="77777777" w:rsidR="009D08F7" w:rsidRPr="00A824AC" w:rsidRDefault="009D08F7" w:rsidP="00C123B5">
      <w:pPr>
        <w:pStyle w:val="CETBodytext"/>
        <w:rPr>
          <w:lang w:val="en-GB"/>
        </w:rPr>
      </w:pPr>
    </w:p>
    <w:p w14:paraId="6D90B741" w14:textId="7B4FC526" w:rsidR="009D08F7" w:rsidRPr="00A824AC" w:rsidRDefault="00885951" w:rsidP="00C123B5">
      <w:pPr>
        <w:pStyle w:val="CETBodytext"/>
        <w:rPr>
          <w:lang w:val="en-GB"/>
        </w:rPr>
      </w:pPr>
      <w:r w:rsidRPr="00A824AC">
        <w:rPr>
          <w:noProof/>
          <w:lang w:val="en-GB"/>
        </w:rPr>
        <w:lastRenderedPageBreak/>
        <w:t xml:space="preserve"> </w:t>
      </w:r>
      <w:r w:rsidRPr="00A824AC">
        <w:rPr>
          <w:noProof/>
          <w:lang w:val="en-GB"/>
        </w:rPr>
        <w:drawing>
          <wp:inline distT="0" distB="0" distL="0" distR="0" wp14:anchorId="19C94EE8" wp14:editId="68E08BD0">
            <wp:extent cx="5562600" cy="2975527"/>
            <wp:effectExtent l="0" t="0" r="0" b="0"/>
            <wp:docPr id="1523147179"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47179" name="Immagine 1" descr="Immagine che contiene testo, schermata, software, Icona del computer&#10;&#10;Descrizione generata automaticamente"/>
                    <pic:cNvPicPr/>
                  </pic:nvPicPr>
                  <pic:blipFill rotWithShape="1">
                    <a:blip r:embed="rId10"/>
                    <a:srcRect l="5177" t="31887" r="38192" b="14843"/>
                    <a:stretch/>
                  </pic:blipFill>
                  <pic:spPr bwMode="auto">
                    <a:xfrm>
                      <a:off x="0" y="0"/>
                      <a:ext cx="5768444" cy="3085636"/>
                    </a:xfrm>
                    <a:prstGeom prst="rect">
                      <a:avLst/>
                    </a:prstGeom>
                    <a:ln>
                      <a:noFill/>
                    </a:ln>
                    <a:extLst>
                      <a:ext uri="{53640926-AAD7-44D8-BBD7-CCE9431645EC}">
                        <a14:shadowObscured xmlns:a14="http://schemas.microsoft.com/office/drawing/2010/main"/>
                      </a:ext>
                    </a:extLst>
                  </pic:spPr>
                </pic:pic>
              </a:graphicData>
            </a:graphic>
          </wp:inline>
        </w:drawing>
      </w:r>
    </w:p>
    <w:p w14:paraId="35C7E33F" w14:textId="49A1325F" w:rsidR="009D08F7" w:rsidRPr="00A824AC" w:rsidRDefault="009D08F7" w:rsidP="009D08F7">
      <w:pPr>
        <w:pStyle w:val="CETBodytext"/>
        <w:rPr>
          <w:rStyle w:val="CETCaptionCarattere"/>
        </w:rPr>
      </w:pPr>
      <w:r w:rsidRPr="00A824AC">
        <w:rPr>
          <w:rStyle w:val="CETCaptionCarattere"/>
        </w:rPr>
        <w:t>Figure 1: Storm naming project</w:t>
      </w:r>
    </w:p>
    <w:p w14:paraId="0636B784" w14:textId="7E10ED1D" w:rsidR="00453E24" w:rsidRPr="00A824AC" w:rsidRDefault="005C1ECF" w:rsidP="007A1AE2">
      <w:pPr>
        <w:pStyle w:val="CETHeading1"/>
        <w:tabs>
          <w:tab w:val="num" w:pos="360"/>
        </w:tabs>
        <w:rPr>
          <w:lang w:val="en-GB"/>
        </w:rPr>
      </w:pPr>
      <w:r w:rsidRPr="00A824AC">
        <w:rPr>
          <w:lang w:val="en-GB"/>
        </w:rPr>
        <w:t>Impact of storms on industries with major accident hazards</w:t>
      </w:r>
    </w:p>
    <w:p w14:paraId="08053E6A" w14:textId="0666EA33" w:rsidR="005C1ECF" w:rsidRPr="00A824AC" w:rsidRDefault="005C1ECF" w:rsidP="00EB1E3F">
      <w:pPr>
        <w:pStyle w:val="CETBodytext"/>
        <w:rPr>
          <w:lang w:val="en-GB"/>
        </w:rPr>
      </w:pPr>
      <w:r w:rsidRPr="00A824AC">
        <w:rPr>
          <w:lang w:val="en-GB"/>
        </w:rPr>
        <w:t xml:space="preserve">Industrial activities are not normally perceived as sectors vulnerable to climate change. In particular, the increase in frequency and intensity of extreme weather events such as storms significantly impact industries and plants that contain dangerous chemical substances, causing Natech (Natural Hazard Triggering Technological Disaster) events that involve fires, explosions and releases into the environment. All this leads to involving not only the workers of plants but also the citizens who live in their vicinity. </w:t>
      </w:r>
      <w:r w:rsidR="00F43789" w:rsidRPr="00A824AC">
        <w:rPr>
          <w:lang w:val="en-GB"/>
        </w:rPr>
        <w:t xml:space="preserve">The authors introduce </w:t>
      </w:r>
      <w:r w:rsidRPr="00A824AC">
        <w:rPr>
          <w:lang w:val="en-GB"/>
        </w:rPr>
        <w:t xml:space="preserve">an index method for the Italian production reality to determine the level of natech risk induced by storms in industrial activities with the presence of dangerous chemical substances that fall within the scope of the European Directive 2014/18/EU (Seveso Directive). According to the recent approach of the IPCC (Intergovernmental Panel on Climate Change of the United Nations, 2022) in general the concept of meteorological risk from storms associated with climate change is based on three fundamental components: hazard, exposure and vulnerability. We therefore speak of risk if in a certain place and at a certain time a vulnerable receptor, that is, one that can suffer the consequences triggered by the danger, is exposed to a source of danger. In this work we consider the effects of meteorological climate changes such as storms, with their accompanying </w:t>
      </w:r>
      <w:r w:rsidR="00C071DE" w:rsidRPr="00A824AC">
        <w:rPr>
          <w:lang w:val="en-GB"/>
        </w:rPr>
        <w:t>(Necci et al., 2022)</w:t>
      </w:r>
      <w:r w:rsidRPr="00A824AC">
        <w:rPr>
          <w:lang w:val="en-GB"/>
        </w:rPr>
        <w:t>: a) Heavy precipitation, which can lead to floods</w:t>
      </w:r>
      <w:r w:rsidR="008A62F4" w:rsidRPr="00A824AC">
        <w:rPr>
          <w:lang w:val="en-GB"/>
        </w:rPr>
        <w:t>;</w:t>
      </w:r>
      <w:r w:rsidRPr="00A824AC">
        <w:rPr>
          <w:lang w:val="en-GB"/>
        </w:rPr>
        <w:t xml:space="preserve"> b) Storm surges; c) Strong winds</w:t>
      </w:r>
      <w:r w:rsidR="008A62F4" w:rsidRPr="00A824AC">
        <w:rPr>
          <w:lang w:val="en-GB"/>
        </w:rPr>
        <w:t>;</w:t>
      </w:r>
      <w:r w:rsidRPr="00A824AC">
        <w:rPr>
          <w:lang w:val="en-GB"/>
        </w:rPr>
        <w:t xml:space="preserve"> d) Lightning. The level of storm natech risk is identified through the index “I</w:t>
      </w:r>
      <w:r w:rsidRPr="00A824AC">
        <w:rPr>
          <w:vertAlign w:val="subscript"/>
          <w:lang w:val="en-GB"/>
        </w:rPr>
        <w:t>Rns</w:t>
      </w:r>
      <w:r w:rsidRPr="00A824AC">
        <w:rPr>
          <w:lang w:val="en-GB"/>
        </w:rPr>
        <w:t xml:space="preserve">” which depends </w:t>
      </w:r>
      <w:proofErr w:type="gramStart"/>
      <w:r w:rsidRPr="00A824AC">
        <w:rPr>
          <w:lang w:val="en-GB"/>
        </w:rPr>
        <w:t>on:</w:t>
      </w:r>
      <w:proofErr w:type="gramEnd"/>
      <w:r w:rsidRPr="00A824AC">
        <w:rPr>
          <w:lang w:val="en-GB"/>
        </w:rPr>
        <w:t xml:space="preserve"> the storm hazard index “I</w:t>
      </w:r>
      <w:r w:rsidRPr="00A824AC">
        <w:rPr>
          <w:vertAlign w:val="subscript"/>
          <w:lang w:val="en-GB"/>
        </w:rPr>
        <w:t>Hs</w:t>
      </w:r>
      <w:r w:rsidRPr="00A824AC">
        <w:rPr>
          <w:lang w:val="en-GB"/>
        </w:rPr>
        <w:t>”</w:t>
      </w:r>
      <w:r w:rsidRPr="00A824AC">
        <w:rPr>
          <w:vertAlign w:val="subscript"/>
          <w:lang w:val="en-GB"/>
        </w:rPr>
        <w:t xml:space="preserve"> </w:t>
      </w:r>
      <w:r w:rsidRPr="00A824AC">
        <w:rPr>
          <w:lang w:val="en-GB"/>
        </w:rPr>
        <w:t>(function of lightning, flash floods, strong wind); the storm vulnerability index “I</w:t>
      </w:r>
      <w:r w:rsidRPr="00A824AC">
        <w:rPr>
          <w:vertAlign w:val="subscript"/>
          <w:lang w:val="en-GB"/>
        </w:rPr>
        <w:t>Vs</w:t>
      </w:r>
      <w:r w:rsidRPr="00A824AC">
        <w:rPr>
          <w:lang w:val="en-GB"/>
        </w:rPr>
        <w:t>” and the storm exposure index “I</w:t>
      </w:r>
      <w:r w:rsidRPr="00A824AC">
        <w:rPr>
          <w:vertAlign w:val="subscript"/>
          <w:lang w:val="en-GB"/>
        </w:rPr>
        <w:t>Es</w:t>
      </w:r>
      <w:r w:rsidRPr="00A824AC">
        <w:rPr>
          <w:lang w:val="en-GB"/>
        </w:rPr>
        <w:t>”:  I</w:t>
      </w:r>
      <w:r w:rsidRPr="00A824AC">
        <w:rPr>
          <w:vertAlign w:val="subscript"/>
          <w:lang w:val="en-GB"/>
        </w:rPr>
        <w:t xml:space="preserve">Rns = </w:t>
      </w:r>
      <w:r w:rsidRPr="00A824AC">
        <w:rPr>
          <w:lang w:val="en-GB"/>
        </w:rPr>
        <w:t>f (I</w:t>
      </w:r>
      <w:r w:rsidRPr="00A824AC">
        <w:rPr>
          <w:vertAlign w:val="subscript"/>
          <w:lang w:val="en-GB"/>
        </w:rPr>
        <w:t xml:space="preserve">Hs, </w:t>
      </w:r>
      <w:r w:rsidRPr="00A824AC">
        <w:rPr>
          <w:lang w:val="en-GB"/>
        </w:rPr>
        <w:t>I</w:t>
      </w:r>
      <w:r w:rsidRPr="00A824AC">
        <w:rPr>
          <w:vertAlign w:val="subscript"/>
          <w:lang w:val="en-GB"/>
        </w:rPr>
        <w:t xml:space="preserve">Vs, </w:t>
      </w:r>
      <w:r w:rsidRPr="00A824AC">
        <w:rPr>
          <w:lang w:val="en-GB"/>
        </w:rPr>
        <w:t>I</w:t>
      </w:r>
      <w:r w:rsidRPr="00A824AC">
        <w:rPr>
          <w:vertAlign w:val="subscript"/>
          <w:lang w:val="en-GB"/>
        </w:rPr>
        <w:t>Es</w:t>
      </w:r>
      <w:r w:rsidRPr="00A824AC">
        <w:rPr>
          <w:lang w:val="en-GB"/>
        </w:rPr>
        <w:t>). Since determining the function “f” is quite complex in terms of time and resources, the simplified index method proposed by the authors is:</w:t>
      </w:r>
    </w:p>
    <w:p w14:paraId="141D1688" w14:textId="77777777" w:rsidR="005C1ECF" w:rsidRPr="00A824AC" w:rsidRDefault="005C1ECF" w:rsidP="00EB1E3F">
      <w:pPr>
        <w:pStyle w:val="CETBodytext"/>
        <w:rPr>
          <w:lang w:val="en-GB"/>
        </w:rPr>
      </w:pPr>
    </w:p>
    <w:p w14:paraId="36C372FB" w14:textId="1397B47D" w:rsidR="005C1ECF" w:rsidRPr="00A824AC" w:rsidRDefault="005C1ECF" w:rsidP="003569E7">
      <w:pPr>
        <w:tabs>
          <w:tab w:val="clear" w:pos="7100"/>
          <w:tab w:val="left" w:pos="7938"/>
        </w:tabs>
        <w:spacing w:after="200" w:line="276" w:lineRule="auto"/>
        <w:jc w:val="left"/>
      </w:pPr>
      <w:r w:rsidRPr="00A824AC">
        <w:rPr>
          <w:b/>
          <w:bCs/>
        </w:rPr>
        <w:t>I</w:t>
      </w:r>
      <w:r w:rsidRPr="00A824AC">
        <w:rPr>
          <w:b/>
          <w:bCs/>
          <w:vertAlign w:val="subscript"/>
        </w:rPr>
        <w:t xml:space="preserve">Rns = </w:t>
      </w:r>
      <w:r w:rsidRPr="00A824AC">
        <w:rPr>
          <w:b/>
          <w:bCs/>
        </w:rPr>
        <w:t>I</w:t>
      </w:r>
      <w:r w:rsidRPr="00A824AC">
        <w:rPr>
          <w:b/>
          <w:bCs/>
          <w:vertAlign w:val="subscript"/>
        </w:rPr>
        <w:t>Hs</w:t>
      </w:r>
      <w:r w:rsidRPr="00A824AC">
        <w:rPr>
          <w:b/>
          <w:bCs/>
        </w:rPr>
        <w:t xml:space="preserve"> * I</w:t>
      </w:r>
      <w:r w:rsidRPr="00A824AC">
        <w:rPr>
          <w:b/>
          <w:bCs/>
          <w:vertAlign w:val="subscript"/>
        </w:rPr>
        <w:t>Vs</w:t>
      </w:r>
      <w:r w:rsidRPr="00A824AC">
        <w:rPr>
          <w:b/>
          <w:bCs/>
        </w:rPr>
        <w:t xml:space="preserve"> * I</w:t>
      </w:r>
      <w:r w:rsidRPr="00A824AC">
        <w:rPr>
          <w:b/>
          <w:bCs/>
          <w:vertAlign w:val="subscript"/>
        </w:rPr>
        <w:t>Es</w:t>
      </w:r>
      <w:r w:rsidRPr="00A824AC">
        <w:rPr>
          <w:vertAlign w:val="subscript"/>
        </w:rPr>
        <w:t xml:space="preserve">                  </w:t>
      </w:r>
      <w:r w:rsidR="003569E7">
        <w:rPr>
          <w:vertAlign w:val="subscript"/>
        </w:rPr>
        <w:tab/>
      </w:r>
      <w:r w:rsidRPr="00A824AC">
        <w:rPr>
          <w:b/>
          <w:bCs/>
        </w:rPr>
        <w:t>(1)</w:t>
      </w:r>
    </w:p>
    <w:p w14:paraId="1668F5C4" w14:textId="282B7DF1" w:rsidR="005C1ECF" w:rsidRPr="00A824AC" w:rsidRDefault="005C1ECF" w:rsidP="00F441A8">
      <w:r w:rsidRPr="00A824AC">
        <w:t>To determine the level of natech risk from storms “I</w:t>
      </w:r>
      <w:r w:rsidRPr="00A824AC">
        <w:rPr>
          <w:vertAlign w:val="subscript"/>
        </w:rPr>
        <w:t>Rns</w:t>
      </w:r>
      <w:r w:rsidRPr="00A824AC">
        <w:t xml:space="preserve">” it is necessary to determine the values of </w:t>
      </w:r>
      <w:r w:rsidR="001D67DC" w:rsidRPr="00A824AC">
        <w:t>I</w:t>
      </w:r>
      <w:r w:rsidR="001D67DC" w:rsidRPr="00A824AC">
        <w:rPr>
          <w:vertAlign w:val="subscript"/>
        </w:rPr>
        <w:t>Hs,</w:t>
      </w:r>
      <w:r w:rsidRPr="00A824AC">
        <w:t xml:space="preserve"> </w:t>
      </w:r>
      <w:proofErr w:type="gramStart"/>
      <w:r w:rsidRPr="00A824AC">
        <w:t>I</w:t>
      </w:r>
      <w:r w:rsidRPr="00A824AC">
        <w:rPr>
          <w:vertAlign w:val="subscript"/>
        </w:rPr>
        <w:t xml:space="preserve">Vs </w:t>
      </w:r>
      <w:r w:rsidRPr="00A824AC">
        <w:t>,</w:t>
      </w:r>
      <w:proofErr w:type="gramEnd"/>
      <w:r w:rsidRPr="00A824AC">
        <w:t xml:space="preserve"> I</w:t>
      </w:r>
      <w:r w:rsidRPr="00A824AC">
        <w:rPr>
          <w:vertAlign w:val="subscript"/>
        </w:rPr>
        <w:t>Es</w:t>
      </w:r>
      <w:r w:rsidRPr="00A824AC">
        <w:t>.</w:t>
      </w:r>
      <w:r w:rsidRPr="00A824AC">
        <w:rPr>
          <w:vertAlign w:val="subscript"/>
        </w:rPr>
        <w:t xml:space="preserve">  </w:t>
      </w:r>
      <w:r w:rsidRPr="00A824AC">
        <w:t xml:space="preserve"> After having calculated the level of risk natech from storms I</w:t>
      </w:r>
      <w:r w:rsidRPr="00A824AC">
        <w:rPr>
          <w:vertAlign w:val="subscript"/>
        </w:rPr>
        <w:t>Rns</w:t>
      </w:r>
      <w:r w:rsidRPr="00A824AC">
        <w:t xml:space="preserve"> it is possible to predict the main adaptation actions with the aim of increasing the resilience of the plant containing hazardous substances against storms.</w:t>
      </w:r>
      <w:r w:rsidR="006924B1" w:rsidRPr="00A824AC">
        <w:t xml:space="preserve"> </w:t>
      </w:r>
      <w:r w:rsidR="009D0E25" w:rsidRPr="00A824AC">
        <w:t xml:space="preserve">This method allows to perform a preliminary assessment of the Natech risk from Storm, </w:t>
      </w:r>
      <w:proofErr w:type="gramStart"/>
      <w:r w:rsidR="009D0E25" w:rsidRPr="00A824AC">
        <w:t>in order to</w:t>
      </w:r>
      <w:proofErr w:type="gramEnd"/>
      <w:r w:rsidR="009D0E25" w:rsidRPr="00A824AC">
        <w:t xml:space="preserve"> identify the critical elements of a plant. Any further investigations, in cases of non-linear interactions between the three indices, can be performed subsequently.</w:t>
      </w:r>
      <w:r w:rsidRPr="00A824AC">
        <w:rPr>
          <w:vertAlign w:val="subscript"/>
        </w:rPr>
        <w:t xml:space="preserve"> </w:t>
      </w:r>
    </w:p>
    <w:p w14:paraId="05BEE6C0" w14:textId="77BDC364" w:rsidR="005C1ECF" w:rsidRPr="00A824AC" w:rsidRDefault="003A102D" w:rsidP="00170277">
      <w:pPr>
        <w:pStyle w:val="CETHeading1"/>
        <w:tabs>
          <w:tab w:val="num" w:pos="360"/>
        </w:tabs>
        <w:rPr>
          <w:lang w:val="en-GB"/>
        </w:rPr>
      </w:pPr>
      <w:r w:rsidRPr="00A824AC">
        <w:rPr>
          <w:lang w:val="en-GB"/>
        </w:rPr>
        <w:t>How to d</w:t>
      </w:r>
      <w:r w:rsidR="005C1ECF" w:rsidRPr="00A824AC">
        <w:rPr>
          <w:lang w:val="en-GB"/>
        </w:rPr>
        <w:t xml:space="preserve">etermine the storm hazard index, </w:t>
      </w:r>
      <w:r w:rsidR="00C12D7E" w:rsidRPr="00A824AC">
        <w:rPr>
          <w:bCs/>
          <w:lang w:val="en-GB"/>
        </w:rPr>
        <w:t>I</w:t>
      </w:r>
      <w:r w:rsidR="00C12D7E" w:rsidRPr="00A824AC">
        <w:rPr>
          <w:bCs/>
          <w:vertAlign w:val="subscript"/>
          <w:lang w:val="en-GB"/>
        </w:rPr>
        <w:t>Hs</w:t>
      </w:r>
      <w:r w:rsidR="00C12D7E" w:rsidRPr="00A824AC">
        <w:rPr>
          <w:lang w:val="en-GB"/>
        </w:rPr>
        <w:t xml:space="preserve"> </w:t>
      </w:r>
    </w:p>
    <w:p w14:paraId="3C207EB7" w14:textId="2EE2D5C6" w:rsidR="003A102D" w:rsidRPr="00A824AC" w:rsidRDefault="003A102D" w:rsidP="00EB1E3F">
      <w:pPr>
        <w:pStyle w:val="CETBodytext"/>
        <w:rPr>
          <w:lang w:val="en-GB"/>
        </w:rPr>
      </w:pPr>
      <w:r w:rsidRPr="00A824AC">
        <w:rPr>
          <w:lang w:val="en-GB"/>
        </w:rPr>
        <w:t>The storm hazard index “I</w:t>
      </w:r>
      <w:r w:rsidRPr="00A824AC">
        <w:rPr>
          <w:vertAlign w:val="subscript"/>
          <w:lang w:val="en-GB"/>
        </w:rPr>
        <w:t>Hs</w:t>
      </w:r>
      <w:r w:rsidRPr="00A824AC">
        <w:rPr>
          <w:lang w:val="en-GB"/>
        </w:rPr>
        <w:t>” d</w:t>
      </w:r>
      <w:r w:rsidR="00EB1E3F" w:rsidRPr="00A824AC">
        <w:rPr>
          <w:lang w:val="en-GB"/>
        </w:rPr>
        <w:t>epend</w:t>
      </w:r>
      <w:r w:rsidRPr="00A824AC">
        <w:rPr>
          <w:lang w:val="en-GB"/>
        </w:rPr>
        <w:t xml:space="preserve">s on weather events: a) Heavy precipitation, which can lead to flash floods; b) </w:t>
      </w:r>
      <w:bookmarkStart w:id="1" w:name="_Hlk185768006"/>
      <w:r w:rsidRPr="00A824AC">
        <w:rPr>
          <w:lang w:val="en-GB"/>
        </w:rPr>
        <w:t>Storm surges</w:t>
      </w:r>
      <w:bookmarkEnd w:id="1"/>
      <w:r w:rsidRPr="00A824AC">
        <w:rPr>
          <w:lang w:val="en-GB"/>
        </w:rPr>
        <w:t>; c) Strong winds, d) Lightning. This index “I</w:t>
      </w:r>
      <w:r w:rsidRPr="00A824AC">
        <w:rPr>
          <w:vertAlign w:val="subscript"/>
          <w:lang w:val="en-GB"/>
        </w:rPr>
        <w:t>Hs</w:t>
      </w:r>
      <w:r w:rsidRPr="00A824AC">
        <w:rPr>
          <w:lang w:val="en-GB"/>
        </w:rPr>
        <w:t>” is given an increasing value between 1 and 4. Therefore, considering an equal contribution from the previously reported weather events, we obtain:</w:t>
      </w:r>
    </w:p>
    <w:p w14:paraId="7B59F1FF" w14:textId="77777777" w:rsidR="003A102D" w:rsidRPr="00A824AC" w:rsidRDefault="003A102D" w:rsidP="00EB1E3F">
      <w:pPr>
        <w:pStyle w:val="CETBodytext"/>
        <w:rPr>
          <w:lang w:val="en-GB"/>
        </w:rPr>
      </w:pPr>
    </w:p>
    <w:p w14:paraId="60E67E0E" w14:textId="6C5396EE" w:rsidR="003A102D" w:rsidRPr="00A824AC" w:rsidRDefault="003A102D" w:rsidP="00913F5E">
      <w:pPr>
        <w:tabs>
          <w:tab w:val="clear" w:pos="7100"/>
          <w:tab w:val="left" w:pos="7938"/>
        </w:tabs>
        <w:spacing w:after="200" w:line="276" w:lineRule="auto"/>
        <w:jc w:val="left"/>
        <w:rPr>
          <w:b/>
          <w:bCs/>
        </w:rPr>
      </w:pPr>
      <w:r w:rsidRPr="00A824AC">
        <w:rPr>
          <w:b/>
          <w:bCs/>
        </w:rPr>
        <w:lastRenderedPageBreak/>
        <w:t>I</w:t>
      </w:r>
      <w:r w:rsidRPr="00A824AC">
        <w:rPr>
          <w:b/>
          <w:bCs/>
          <w:vertAlign w:val="subscript"/>
        </w:rPr>
        <w:t>Hs</w:t>
      </w:r>
      <w:r w:rsidRPr="00A824AC">
        <w:rPr>
          <w:b/>
          <w:bCs/>
        </w:rPr>
        <w:t xml:space="preserve"> = (</w:t>
      </w:r>
      <w:bookmarkStart w:id="2" w:name="_Hlk185767418"/>
      <w:r w:rsidRPr="00A824AC">
        <w:rPr>
          <w:b/>
          <w:bCs/>
        </w:rPr>
        <w:t>I</w:t>
      </w:r>
      <w:r w:rsidRPr="00A824AC">
        <w:rPr>
          <w:b/>
          <w:bCs/>
          <w:vertAlign w:val="subscript"/>
        </w:rPr>
        <w:t>Hs</w:t>
      </w:r>
      <w:r w:rsidR="00BE0DA4" w:rsidRPr="00A824AC">
        <w:rPr>
          <w:b/>
          <w:bCs/>
          <w:vertAlign w:val="subscript"/>
        </w:rPr>
        <w:t>p</w:t>
      </w:r>
      <w:bookmarkEnd w:id="2"/>
      <w:r w:rsidRPr="00A824AC">
        <w:rPr>
          <w:b/>
          <w:bCs/>
          <w:vertAlign w:val="subscript"/>
        </w:rPr>
        <w:t xml:space="preserve"> </w:t>
      </w:r>
      <w:r w:rsidRPr="00A824AC">
        <w:rPr>
          <w:b/>
          <w:bCs/>
        </w:rPr>
        <w:t>+ I</w:t>
      </w:r>
      <w:r w:rsidRPr="00A824AC">
        <w:rPr>
          <w:b/>
          <w:bCs/>
          <w:vertAlign w:val="subscript"/>
        </w:rPr>
        <w:t>Hs</w:t>
      </w:r>
      <w:r w:rsidR="00BE0DA4" w:rsidRPr="00A824AC">
        <w:rPr>
          <w:b/>
          <w:bCs/>
          <w:vertAlign w:val="subscript"/>
        </w:rPr>
        <w:t>w</w:t>
      </w:r>
      <w:r w:rsidRPr="00A824AC">
        <w:rPr>
          <w:b/>
          <w:bCs/>
          <w:vertAlign w:val="subscript"/>
        </w:rPr>
        <w:t xml:space="preserve"> </w:t>
      </w:r>
      <w:r w:rsidRPr="00A824AC">
        <w:rPr>
          <w:b/>
          <w:bCs/>
        </w:rPr>
        <w:t>+ I</w:t>
      </w:r>
      <w:r w:rsidRPr="00A824AC">
        <w:rPr>
          <w:b/>
          <w:bCs/>
          <w:vertAlign w:val="subscript"/>
        </w:rPr>
        <w:t>Hs</w:t>
      </w:r>
      <w:r w:rsidR="00BE0DA4" w:rsidRPr="00A824AC">
        <w:rPr>
          <w:b/>
          <w:bCs/>
          <w:vertAlign w:val="subscript"/>
        </w:rPr>
        <w:t>l</w:t>
      </w:r>
      <w:r w:rsidRPr="00A824AC">
        <w:rPr>
          <w:b/>
          <w:bCs/>
        </w:rPr>
        <w:t>) / 3</w:t>
      </w:r>
      <w:r w:rsidR="007A0518" w:rsidRPr="00A824AC">
        <w:rPr>
          <w:vertAlign w:val="subscript"/>
        </w:rPr>
        <w:t xml:space="preserve">                </w:t>
      </w:r>
      <w:r w:rsidR="00913F5E">
        <w:rPr>
          <w:vertAlign w:val="subscript"/>
        </w:rPr>
        <w:tab/>
      </w:r>
      <w:r w:rsidR="007A0518" w:rsidRPr="00A824AC">
        <w:rPr>
          <w:b/>
          <w:bCs/>
        </w:rPr>
        <w:t>(2)</w:t>
      </w:r>
    </w:p>
    <w:p w14:paraId="25EC85B7" w14:textId="569AE20D" w:rsidR="003A102D" w:rsidRPr="00A824AC" w:rsidRDefault="007A0518" w:rsidP="00EB1E3F">
      <w:pPr>
        <w:pStyle w:val="CETBodytext"/>
        <w:rPr>
          <w:lang w:val="en-GB"/>
        </w:rPr>
      </w:pPr>
      <w:r w:rsidRPr="00A824AC">
        <w:rPr>
          <w:lang w:val="en-GB"/>
        </w:rPr>
        <w:t>Where: A) “I</w:t>
      </w:r>
      <w:r w:rsidRPr="00A824AC">
        <w:rPr>
          <w:vertAlign w:val="subscript"/>
          <w:lang w:val="en-GB"/>
        </w:rPr>
        <w:t>Hs</w:t>
      </w:r>
      <w:r w:rsidR="00BE0DA4" w:rsidRPr="00A824AC">
        <w:rPr>
          <w:vertAlign w:val="subscript"/>
          <w:lang w:val="en-GB"/>
        </w:rPr>
        <w:t>p</w:t>
      </w:r>
      <w:r w:rsidRPr="00A824AC">
        <w:rPr>
          <w:lang w:val="en-GB"/>
        </w:rPr>
        <w:t>” is an index with a value from 1 to 4, which depends on heavy precipitation (in the presence of flash floods or storm surges, one unit is added to the value obtained); B) “I</w:t>
      </w:r>
      <w:r w:rsidRPr="00A824AC">
        <w:rPr>
          <w:vertAlign w:val="subscript"/>
          <w:lang w:val="en-GB"/>
        </w:rPr>
        <w:t>Hs</w:t>
      </w:r>
      <w:r w:rsidR="00BE0DA4" w:rsidRPr="00A824AC">
        <w:rPr>
          <w:vertAlign w:val="subscript"/>
          <w:lang w:val="en-GB"/>
        </w:rPr>
        <w:t>w</w:t>
      </w:r>
      <w:r w:rsidRPr="00A824AC">
        <w:rPr>
          <w:lang w:val="en-GB"/>
        </w:rPr>
        <w:t>” is an index with a value from 1 to 4, which depends on strong winds; C) “I</w:t>
      </w:r>
      <w:r w:rsidRPr="00A824AC">
        <w:rPr>
          <w:vertAlign w:val="subscript"/>
          <w:lang w:val="en-GB"/>
        </w:rPr>
        <w:t>Hs</w:t>
      </w:r>
      <w:r w:rsidR="00BE0DA4" w:rsidRPr="00A824AC">
        <w:rPr>
          <w:vertAlign w:val="subscript"/>
          <w:lang w:val="en-GB"/>
        </w:rPr>
        <w:t>l</w:t>
      </w:r>
      <w:r w:rsidRPr="00A824AC">
        <w:rPr>
          <w:lang w:val="en-GB"/>
        </w:rPr>
        <w:t>” is an index with a value from 1 to 4, which depends on the density of lightning to the ground (average number of lightning strikes per km</w:t>
      </w:r>
      <w:r w:rsidRPr="00A824AC">
        <w:rPr>
          <w:vertAlign w:val="superscript"/>
          <w:lang w:val="en-GB"/>
        </w:rPr>
        <w:t>2</w:t>
      </w:r>
      <w:r w:rsidRPr="00A824AC">
        <w:rPr>
          <w:lang w:val="en-GB"/>
        </w:rPr>
        <w:t xml:space="preserve"> per year; value detectable from lightning location networks located throughout the territory).</w:t>
      </w:r>
    </w:p>
    <w:p w14:paraId="18BAFA6F" w14:textId="2801B562" w:rsidR="00453E24" w:rsidRPr="00A824AC" w:rsidRDefault="00B256F6" w:rsidP="00641287">
      <w:pPr>
        <w:pStyle w:val="CETheadingx"/>
        <w:rPr>
          <w:lang w:val="en-GB"/>
        </w:rPr>
      </w:pPr>
      <w:r w:rsidRPr="00A824AC">
        <w:rPr>
          <w:lang w:val="en-GB"/>
        </w:rPr>
        <w:t xml:space="preserve">How to determine the precipitation storm hazard index, </w:t>
      </w:r>
      <w:r w:rsidRPr="00A824AC">
        <w:rPr>
          <w:bCs/>
          <w:lang w:val="en-GB"/>
        </w:rPr>
        <w:t>I</w:t>
      </w:r>
      <w:r w:rsidRPr="00A824AC">
        <w:rPr>
          <w:bCs/>
          <w:vertAlign w:val="subscript"/>
          <w:lang w:val="en-GB"/>
        </w:rPr>
        <w:t>Hs</w:t>
      </w:r>
      <w:r w:rsidR="00C33E13" w:rsidRPr="00A824AC">
        <w:rPr>
          <w:bCs/>
          <w:vertAlign w:val="subscript"/>
          <w:lang w:val="en-GB"/>
        </w:rPr>
        <w:t>p</w:t>
      </w:r>
      <w:r w:rsidRPr="00A824AC">
        <w:rPr>
          <w:lang w:val="en-GB"/>
        </w:rPr>
        <w:t xml:space="preserve"> </w:t>
      </w:r>
    </w:p>
    <w:p w14:paraId="5047C187" w14:textId="0C673567" w:rsidR="003E387F" w:rsidRPr="00A824AC" w:rsidRDefault="008030BF" w:rsidP="003E387F">
      <w:pPr>
        <w:pStyle w:val="CETBodytext"/>
        <w:rPr>
          <w:lang w:val="en-GB"/>
        </w:rPr>
      </w:pPr>
      <w:r w:rsidRPr="00A824AC">
        <w:rPr>
          <w:lang w:val="en-GB"/>
        </w:rPr>
        <w:t>According to the recent report n 42/2024, presented by SNPA (Italy, National System for the Protection of the Environment) concerning the climate in Italy in 2023, regarding precipitation, Figs. 2 and 3 are shown below</w:t>
      </w:r>
      <w:r w:rsidR="002265B8" w:rsidRPr="00A824AC">
        <w:rPr>
          <w:lang w:val="en-GB"/>
        </w:rPr>
        <w:t xml:space="preserve"> (SNPA Report, 2024)</w:t>
      </w:r>
      <w:r w:rsidRPr="00A824AC">
        <w:rPr>
          <w:lang w:val="en-GB"/>
        </w:rPr>
        <w:t>.</w:t>
      </w:r>
    </w:p>
    <w:p w14:paraId="403E73CD" w14:textId="77777777" w:rsidR="00573A00" w:rsidRPr="00A824AC" w:rsidRDefault="00573A00" w:rsidP="003E387F">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389"/>
      </w:tblGrid>
      <w:tr w:rsidR="003E387F" w:rsidRPr="00A824AC" w14:paraId="66216789" w14:textId="77777777" w:rsidTr="00573A00">
        <w:tc>
          <w:tcPr>
            <w:tcW w:w="4111" w:type="dxa"/>
          </w:tcPr>
          <w:p w14:paraId="7723A701" w14:textId="77777777" w:rsidR="003E387F" w:rsidRPr="00A824AC" w:rsidRDefault="003E387F" w:rsidP="008030BF">
            <w:pPr>
              <w:jc w:val="left"/>
            </w:pPr>
            <w:r w:rsidRPr="00A824AC">
              <w:rPr>
                <w:noProof/>
              </w:rPr>
              <w:drawing>
                <wp:inline distT="0" distB="0" distL="0" distR="0" wp14:anchorId="0BF2017A" wp14:editId="4A621A6A">
                  <wp:extent cx="2068354" cy="1714500"/>
                  <wp:effectExtent l="0" t="0" r="8255" b="0"/>
                  <wp:docPr id="8047883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88315" name=""/>
                          <pic:cNvPicPr/>
                        </pic:nvPicPr>
                        <pic:blipFill rotWithShape="1">
                          <a:blip r:embed="rId11"/>
                          <a:srcRect l="27216" t="33871" r="31128" b="10883"/>
                          <a:stretch/>
                        </pic:blipFill>
                        <pic:spPr bwMode="auto">
                          <a:xfrm>
                            <a:off x="0" y="0"/>
                            <a:ext cx="2080525" cy="1724589"/>
                          </a:xfrm>
                          <a:prstGeom prst="rect">
                            <a:avLst/>
                          </a:prstGeom>
                          <a:ln>
                            <a:noFill/>
                          </a:ln>
                          <a:extLst>
                            <a:ext uri="{53640926-AAD7-44D8-BBD7-CCE9431645EC}">
                              <a14:shadowObscured xmlns:a14="http://schemas.microsoft.com/office/drawing/2010/main"/>
                            </a:ext>
                          </a:extLst>
                        </pic:spPr>
                      </pic:pic>
                    </a:graphicData>
                  </a:graphic>
                </wp:inline>
              </w:drawing>
            </w:r>
          </w:p>
          <w:p w14:paraId="6BD83E2B" w14:textId="780E400A" w:rsidR="00573A00" w:rsidRPr="00A824AC" w:rsidRDefault="00573A00" w:rsidP="008030BF">
            <w:pPr>
              <w:jc w:val="left"/>
              <w:rPr>
                <w:i/>
                <w:iCs/>
              </w:rPr>
            </w:pPr>
            <w:r w:rsidRPr="00A824AC">
              <w:rPr>
                <w:i/>
                <w:iCs/>
              </w:rPr>
              <w:t>Figure 2. Anomaly of the cumulative annual precipitation 2023, expressed in mm, compared to the normal value 1991-2020.</w:t>
            </w:r>
          </w:p>
        </w:tc>
        <w:tc>
          <w:tcPr>
            <w:tcW w:w="4389" w:type="dxa"/>
          </w:tcPr>
          <w:p w14:paraId="1786EEAF" w14:textId="77777777" w:rsidR="003E387F" w:rsidRPr="00A824AC" w:rsidRDefault="00573A00" w:rsidP="00B923D4">
            <w:r w:rsidRPr="00A824AC">
              <w:rPr>
                <w:noProof/>
              </w:rPr>
              <w:drawing>
                <wp:inline distT="0" distB="0" distL="0" distR="0" wp14:anchorId="28890BE0" wp14:editId="1E9E7A00">
                  <wp:extent cx="1975375" cy="1709057"/>
                  <wp:effectExtent l="0" t="0" r="6350" b="5715"/>
                  <wp:docPr id="4643469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46994" name=""/>
                          <pic:cNvPicPr/>
                        </pic:nvPicPr>
                        <pic:blipFill rotWithShape="1">
                          <a:blip r:embed="rId12"/>
                          <a:srcRect l="22436" t="21227" r="26153" b="7606"/>
                          <a:stretch/>
                        </pic:blipFill>
                        <pic:spPr bwMode="auto">
                          <a:xfrm>
                            <a:off x="0" y="0"/>
                            <a:ext cx="1992468" cy="1723845"/>
                          </a:xfrm>
                          <a:prstGeom prst="rect">
                            <a:avLst/>
                          </a:prstGeom>
                          <a:ln>
                            <a:noFill/>
                          </a:ln>
                          <a:extLst>
                            <a:ext uri="{53640926-AAD7-44D8-BBD7-CCE9431645EC}">
                              <a14:shadowObscured xmlns:a14="http://schemas.microsoft.com/office/drawing/2010/main"/>
                            </a:ext>
                          </a:extLst>
                        </pic:spPr>
                      </pic:pic>
                    </a:graphicData>
                  </a:graphic>
                </wp:inline>
              </w:drawing>
            </w:r>
          </w:p>
          <w:p w14:paraId="61D5E790" w14:textId="7D96F16E" w:rsidR="00573A00" w:rsidRPr="00A824AC" w:rsidRDefault="00573A00" w:rsidP="00573A00">
            <w:pPr>
              <w:rPr>
                <w:i/>
                <w:iCs/>
              </w:rPr>
            </w:pPr>
            <w:r w:rsidRPr="00A824AC">
              <w:rPr>
                <w:i/>
                <w:iCs/>
              </w:rPr>
              <w:t>Figure 3. Maximum daily precipitation 2023.</w:t>
            </w:r>
          </w:p>
        </w:tc>
      </w:tr>
    </w:tbl>
    <w:p w14:paraId="473B5059" w14:textId="77777777" w:rsidR="00573A00" w:rsidRPr="00A824AC" w:rsidRDefault="00573A00" w:rsidP="001F2E37">
      <w:pPr>
        <w:pStyle w:val="CETBodytext"/>
        <w:rPr>
          <w:lang w:val="en-GB"/>
        </w:rPr>
      </w:pPr>
    </w:p>
    <w:p w14:paraId="6A60EA15" w14:textId="5455E2F8" w:rsidR="003E387F" w:rsidRPr="00A824AC" w:rsidRDefault="008030BF" w:rsidP="001F2E37">
      <w:pPr>
        <w:pStyle w:val="CETBodytext"/>
        <w:rPr>
          <w:lang w:val="en-GB"/>
        </w:rPr>
      </w:pPr>
      <w:r w:rsidRPr="00A824AC">
        <w:rPr>
          <w:lang w:val="en-GB"/>
        </w:rPr>
        <w:t xml:space="preserve">Using Fig. 3 where the maximum daily precipitation in mm is reported for Italy, it is possible to determine the </w:t>
      </w:r>
      <w:r w:rsidR="00573A00" w:rsidRPr="00A824AC">
        <w:rPr>
          <w:lang w:val="en-GB"/>
        </w:rPr>
        <w:t xml:space="preserve">precipitation storm hazard index, </w:t>
      </w:r>
      <w:r w:rsidR="00573A00" w:rsidRPr="00A824AC">
        <w:rPr>
          <w:bCs/>
          <w:lang w:val="en-GB"/>
        </w:rPr>
        <w:t>I</w:t>
      </w:r>
      <w:r w:rsidR="00573A00" w:rsidRPr="00A824AC">
        <w:rPr>
          <w:bCs/>
          <w:vertAlign w:val="subscript"/>
          <w:lang w:val="en-GB"/>
        </w:rPr>
        <w:t>Hs</w:t>
      </w:r>
      <w:r w:rsidR="00C33E13" w:rsidRPr="00A824AC">
        <w:rPr>
          <w:bCs/>
          <w:vertAlign w:val="subscript"/>
          <w:lang w:val="en-GB"/>
        </w:rPr>
        <w:t>p</w:t>
      </w:r>
      <w:r w:rsidRPr="00A824AC">
        <w:rPr>
          <w:lang w:val="en-GB"/>
        </w:rPr>
        <w:t>. To calculate the value of this index, the authors, based on their experience, propose the following table 1:</w:t>
      </w:r>
    </w:p>
    <w:p w14:paraId="18C35778" w14:textId="77777777" w:rsidR="00D8138F" w:rsidRPr="00A824AC" w:rsidRDefault="00D8138F" w:rsidP="00D8138F">
      <w:pPr>
        <w:pStyle w:val="CETTabletitle"/>
      </w:pPr>
      <w:r w:rsidRPr="00A824AC">
        <w:t xml:space="preserve">Table 1. Relationship between daily maximum precipitation in mm and precipitation storm hazard index, </w:t>
      </w:r>
      <w:r w:rsidRPr="00A824AC">
        <w:rPr>
          <w:bCs/>
        </w:rPr>
        <w:t>I</w:t>
      </w:r>
      <w:r w:rsidRPr="00A824AC">
        <w:rPr>
          <w:bCs/>
          <w:vertAlign w:val="subscript"/>
        </w:rPr>
        <w:t>HsP</w:t>
      </w:r>
      <w:r w:rsidRPr="00A824AC">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119"/>
        <w:gridCol w:w="2551"/>
      </w:tblGrid>
      <w:tr w:rsidR="00D8138F" w:rsidRPr="00A824AC" w14:paraId="71C99D41" w14:textId="77777777" w:rsidTr="00A824AC">
        <w:tc>
          <w:tcPr>
            <w:tcW w:w="3119" w:type="dxa"/>
            <w:tcBorders>
              <w:top w:val="single" w:sz="12" w:space="0" w:color="008000"/>
              <w:bottom w:val="single" w:sz="6" w:space="0" w:color="008000"/>
            </w:tcBorders>
            <w:shd w:val="clear" w:color="auto" w:fill="FFFFFF"/>
          </w:tcPr>
          <w:p w14:paraId="18FF4B45" w14:textId="77777777" w:rsidR="00D8138F" w:rsidRPr="00A824AC" w:rsidRDefault="00D8138F" w:rsidP="00B728FF">
            <w:pPr>
              <w:pStyle w:val="CETBodytext"/>
              <w:jc w:val="center"/>
              <w:rPr>
                <w:lang w:val="en-GB"/>
              </w:rPr>
            </w:pPr>
            <w:r w:rsidRPr="00A824AC">
              <w:rPr>
                <w:lang w:val="en-GB"/>
              </w:rPr>
              <w:t>Maximum daily precipitation in mm</w:t>
            </w:r>
          </w:p>
        </w:tc>
        <w:tc>
          <w:tcPr>
            <w:tcW w:w="2551" w:type="dxa"/>
            <w:tcBorders>
              <w:top w:val="single" w:sz="12" w:space="0" w:color="008000"/>
              <w:bottom w:val="single" w:sz="6" w:space="0" w:color="008000"/>
            </w:tcBorders>
            <w:shd w:val="clear" w:color="auto" w:fill="FFFFFF"/>
          </w:tcPr>
          <w:p w14:paraId="14F76425" w14:textId="2FF759EF" w:rsidR="00D8138F" w:rsidRPr="00A824AC" w:rsidRDefault="00D8138F" w:rsidP="00B728FF">
            <w:pPr>
              <w:pStyle w:val="CETBodytext"/>
              <w:jc w:val="center"/>
              <w:rPr>
                <w:lang w:val="en-GB"/>
              </w:rPr>
            </w:pPr>
            <w:r w:rsidRPr="00A824AC">
              <w:rPr>
                <w:bCs/>
                <w:lang w:val="en-GB"/>
              </w:rPr>
              <w:t>I</w:t>
            </w:r>
            <w:r w:rsidRPr="00A824AC">
              <w:rPr>
                <w:bCs/>
                <w:vertAlign w:val="subscript"/>
                <w:lang w:val="en-GB"/>
              </w:rPr>
              <w:t>Hs</w:t>
            </w:r>
            <w:r w:rsidR="009F381B" w:rsidRPr="00A824AC">
              <w:rPr>
                <w:bCs/>
                <w:vertAlign w:val="subscript"/>
                <w:lang w:val="en-GB"/>
              </w:rPr>
              <w:t>p</w:t>
            </w:r>
          </w:p>
        </w:tc>
      </w:tr>
      <w:tr w:rsidR="00D8138F" w:rsidRPr="00A824AC" w14:paraId="6CB8EE2B" w14:textId="77777777" w:rsidTr="00A824AC">
        <w:tc>
          <w:tcPr>
            <w:tcW w:w="3119" w:type="dxa"/>
            <w:shd w:val="clear" w:color="auto" w:fill="FFFFFF"/>
          </w:tcPr>
          <w:p w14:paraId="5EA2C132" w14:textId="77777777" w:rsidR="00D8138F" w:rsidRPr="00A824AC" w:rsidRDefault="00D8138F" w:rsidP="00B728FF">
            <w:pPr>
              <w:pStyle w:val="CETBodytext"/>
              <w:jc w:val="center"/>
              <w:rPr>
                <w:lang w:val="en-GB"/>
              </w:rPr>
            </w:pPr>
            <w:r w:rsidRPr="00A824AC">
              <w:rPr>
                <w:lang w:val="en-GB"/>
              </w:rPr>
              <w:t>&lt; 50</w:t>
            </w:r>
          </w:p>
        </w:tc>
        <w:tc>
          <w:tcPr>
            <w:tcW w:w="2551" w:type="dxa"/>
            <w:shd w:val="clear" w:color="auto" w:fill="FFFFFF"/>
          </w:tcPr>
          <w:p w14:paraId="24DA7B4D" w14:textId="77777777" w:rsidR="00D8138F" w:rsidRPr="00A824AC" w:rsidRDefault="00D8138F" w:rsidP="00B728FF">
            <w:pPr>
              <w:pStyle w:val="CETBodytext"/>
              <w:jc w:val="center"/>
              <w:rPr>
                <w:lang w:val="en-GB"/>
              </w:rPr>
            </w:pPr>
            <w:r w:rsidRPr="00A824AC">
              <w:rPr>
                <w:lang w:val="en-GB"/>
              </w:rPr>
              <w:t>1</w:t>
            </w:r>
          </w:p>
        </w:tc>
      </w:tr>
      <w:tr w:rsidR="00D8138F" w:rsidRPr="00A824AC" w14:paraId="012AC662" w14:textId="77777777" w:rsidTr="00A824AC">
        <w:tc>
          <w:tcPr>
            <w:tcW w:w="3119" w:type="dxa"/>
            <w:shd w:val="clear" w:color="auto" w:fill="FFFFFF"/>
          </w:tcPr>
          <w:p w14:paraId="0D95E67A" w14:textId="20BE4CAE" w:rsidR="00D8138F" w:rsidRPr="00A824AC" w:rsidRDefault="002329F4" w:rsidP="00B728FF">
            <w:pPr>
              <w:pStyle w:val="CETBodytext"/>
              <w:ind w:right="-1"/>
              <w:jc w:val="center"/>
              <w:rPr>
                <w:rFonts w:cs="Arial"/>
                <w:szCs w:val="18"/>
                <w:lang w:val="en-GB"/>
              </w:rPr>
            </w:pPr>
            <w:r w:rsidRPr="00A824AC">
              <w:rPr>
                <w:rFonts w:cs="Arial"/>
                <w:szCs w:val="18"/>
                <w:lang w:val="en-GB"/>
              </w:rPr>
              <w:t xml:space="preserve">≥ </w:t>
            </w:r>
            <w:r w:rsidR="00D8138F" w:rsidRPr="00A824AC">
              <w:rPr>
                <w:rFonts w:cs="Arial"/>
                <w:szCs w:val="18"/>
                <w:lang w:val="en-GB"/>
              </w:rPr>
              <w:t xml:space="preserve">50 </w:t>
            </w:r>
            <w:r w:rsidRPr="00A824AC">
              <w:rPr>
                <w:rFonts w:cs="Arial"/>
                <w:szCs w:val="18"/>
                <w:lang w:val="en-GB"/>
              </w:rPr>
              <w:t>&lt;</w:t>
            </w:r>
            <w:r w:rsidR="00D8138F" w:rsidRPr="00A824AC">
              <w:rPr>
                <w:rFonts w:cs="Arial"/>
                <w:szCs w:val="18"/>
                <w:lang w:val="en-GB"/>
              </w:rPr>
              <w:t xml:space="preserve"> 100</w:t>
            </w:r>
          </w:p>
        </w:tc>
        <w:tc>
          <w:tcPr>
            <w:tcW w:w="2551" w:type="dxa"/>
            <w:shd w:val="clear" w:color="auto" w:fill="FFFFFF"/>
          </w:tcPr>
          <w:p w14:paraId="4AB79DBA" w14:textId="77777777" w:rsidR="00D8138F" w:rsidRPr="00A824AC" w:rsidRDefault="00D8138F" w:rsidP="00B728FF">
            <w:pPr>
              <w:pStyle w:val="CETBodytext"/>
              <w:ind w:right="-1"/>
              <w:jc w:val="center"/>
              <w:rPr>
                <w:rFonts w:cs="Arial"/>
                <w:szCs w:val="18"/>
                <w:lang w:val="en-GB"/>
              </w:rPr>
            </w:pPr>
            <w:r w:rsidRPr="00A824AC">
              <w:rPr>
                <w:rFonts w:cs="Arial"/>
                <w:szCs w:val="18"/>
                <w:lang w:val="en-GB"/>
              </w:rPr>
              <w:t>2</w:t>
            </w:r>
          </w:p>
        </w:tc>
      </w:tr>
      <w:tr w:rsidR="00D8138F" w:rsidRPr="00A824AC" w14:paraId="1B3CB5DD" w14:textId="77777777" w:rsidTr="00A824AC">
        <w:tc>
          <w:tcPr>
            <w:tcW w:w="3119" w:type="dxa"/>
            <w:shd w:val="clear" w:color="auto" w:fill="FFFFFF"/>
          </w:tcPr>
          <w:p w14:paraId="610960F6" w14:textId="0BA0A8BB" w:rsidR="00D8138F" w:rsidRPr="00A824AC" w:rsidRDefault="002329F4" w:rsidP="00B728FF">
            <w:pPr>
              <w:pStyle w:val="CETBodytext"/>
              <w:ind w:right="-1"/>
              <w:jc w:val="center"/>
              <w:rPr>
                <w:rFonts w:cs="Arial"/>
                <w:szCs w:val="18"/>
                <w:lang w:val="en-GB"/>
              </w:rPr>
            </w:pPr>
            <w:r w:rsidRPr="00A824AC">
              <w:rPr>
                <w:rFonts w:cs="Arial"/>
                <w:szCs w:val="18"/>
                <w:lang w:val="en-GB"/>
              </w:rPr>
              <w:t xml:space="preserve">≥ </w:t>
            </w:r>
            <w:r w:rsidR="00D8138F" w:rsidRPr="00A824AC">
              <w:rPr>
                <w:rFonts w:cs="Arial"/>
                <w:szCs w:val="18"/>
                <w:lang w:val="en-GB"/>
              </w:rPr>
              <w:t xml:space="preserve">100 </w:t>
            </w:r>
            <w:r w:rsidRPr="00A824AC">
              <w:rPr>
                <w:rFonts w:cs="Arial"/>
                <w:szCs w:val="18"/>
                <w:lang w:val="en-GB"/>
              </w:rPr>
              <w:t>&lt;</w:t>
            </w:r>
            <w:r w:rsidR="00D8138F" w:rsidRPr="00A824AC">
              <w:rPr>
                <w:rFonts w:cs="Arial"/>
                <w:szCs w:val="18"/>
                <w:lang w:val="en-GB"/>
              </w:rPr>
              <w:t xml:space="preserve"> 150</w:t>
            </w:r>
          </w:p>
        </w:tc>
        <w:tc>
          <w:tcPr>
            <w:tcW w:w="2551" w:type="dxa"/>
            <w:shd w:val="clear" w:color="auto" w:fill="FFFFFF"/>
          </w:tcPr>
          <w:p w14:paraId="3FD9A286" w14:textId="77777777" w:rsidR="00D8138F" w:rsidRPr="00A824AC" w:rsidRDefault="00D8138F" w:rsidP="00B728FF">
            <w:pPr>
              <w:pStyle w:val="CETBodytext"/>
              <w:ind w:right="-1"/>
              <w:jc w:val="center"/>
              <w:rPr>
                <w:rFonts w:cs="Arial"/>
                <w:szCs w:val="18"/>
                <w:lang w:val="en-GB"/>
              </w:rPr>
            </w:pPr>
            <w:r w:rsidRPr="00A824AC">
              <w:rPr>
                <w:rFonts w:cs="Arial"/>
                <w:szCs w:val="18"/>
                <w:lang w:val="en-GB"/>
              </w:rPr>
              <w:t>3</w:t>
            </w:r>
          </w:p>
        </w:tc>
      </w:tr>
      <w:tr w:rsidR="00D8138F" w:rsidRPr="00A824AC" w14:paraId="276A0BB7" w14:textId="77777777" w:rsidTr="00A824AC">
        <w:tc>
          <w:tcPr>
            <w:tcW w:w="3119" w:type="dxa"/>
            <w:shd w:val="clear" w:color="auto" w:fill="FFFFFF"/>
          </w:tcPr>
          <w:p w14:paraId="0319A832" w14:textId="1C20BF66" w:rsidR="00D8138F" w:rsidRPr="00A824AC" w:rsidRDefault="00C83116" w:rsidP="00B728FF">
            <w:pPr>
              <w:pStyle w:val="CETBodytext"/>
              <w:ind w:right="-1"/>
              <w:jc w:val="center"/>
              <w:rPr>
                <w:rFonts w:cs="Arial"/>
                <w:szCs w:val="18"/>
                <w:lang w:val="en-GB"/>
              </w:rPr>
            </w:pPr>
            <w:r w:rsidRPr="00A824AC">
              <w:rPr>
                <w:rFonts w:cs="Arial"/>
                <w:szCs w:val="18"/>
                <w:lang w:val="en-GB"/>
              </w:rPr>
              <w:t>≥</w:t>
            </w:r>
            <w:r w:rsidR="00D8138F" w:rsidRPr="00A824AC">
              <w:rPr>
                <w:rFonts w:cs="Arial"/>
                <w:szCs w:val="18"/>
                <w:lang w:val="en-GB"/>
              </w:rPr>
              <w:t xml:space="preserve"> 150</w:t>
            </w:r>
          </w:p>
        </w:tc>
        <w:tc>
          <w:tcPr>
            <w:tcW w:w="2551" w:type="dxa"/>
            <w:shd w:val="clear" w:color="auto" w:fill="FFFFFF"/>
          </w:tcPr>
          <w:p w14:paraId="0A562F87" w14:textId="77777777" w:rsidR="00D8138F" w:rsidRPr="00A824AC" w:rsidRDefault="00D8138F" w:rsidP="00B728FF">
            <w:pPr>
              <w:pStyle w:val="CETBodytext"/>
              <w:ind w:right="-1"/>
              <w:jc w:val="center"/>
              <w:rPr>
                <w:rFonts w:cs="Arial"/>
                <w:szCs w:val="18"/>
                <w:lang w:val="en-GB"/>
              </w:rPr>
            </w:pPr>
            <w:r w:rsidRPr="00A824AC">
              <w:rPr>
                <w:rFonts w:cs="Arial"/>
                <w:szCs w:val="18"/>
                <w:lang w:val="en-GB"/>
              </w:rPr>
              <w:t>4</w:t>
            </w:r>
          </w:p>
        </w:tc>
      </w:tr>
    </w:tbl>
    <w:p w14:paraId="461DC7D8" w14:textId="79F16BC7" w:rsidR="00D8138F" w:rsidRPr="00A824AC" w:rsidRDefault="00C40795" w:rsidP="00C40795">
      <w:pPr>
        <w:pStyle w:val="CETBodytext"/>
        <w:rPr>
          <w:lang w:val="en-GB"/>
        </w:rPr>
      </w:pPr>
      <w:r w:rsidRPr="00A824AC">
        <w:rPr>
          <w:lang w:val="en-GB"/>
        </w:rPr>
        <w:t xml:space="preserve">Heavy rainfall impacts the safety of equipment containing hazardous substances, whether they work under pressure (vessels, reactors, etc.) or not under pressure (fuel storage tanks, etc.). It is necessary to identify and </w:t>
      </w:r>
      <w:r w:rsidR="00C83116" w:rsidRPr="00A824AC">
        <w:rPr>
          <w:lang w:val="en-GB"/>
        </w:rPr>
        <w:t>analyse</w:t>
      </w:r>
      <w:r w:rsidRPr="00A824AC">
        <w:rPr>
          <w:lang w:val="en-GB"/>
        </w:rPr>
        <w:t xml:space="preserve"> equipment </w:t>
      </w:r>
      <w:proofErr w:type="gramStart"/>
      <w:r w:rsidRPr="00A824AC">
        <w:rPr>
          <w:lang w:val="en-GB"/>
        </w:rPr>
        <w:t>in order to</w:t>
      </w:r>
      <w:proofErr w:type="gramEnd"/>
      <w:r w:rsidRPr="00A824AC">
        <w:rPr>
          <w:lang w:val="en-GB"/>
        </w:rPr>
        <w:t xml:space="preserve"> define which are the critical elements of certain industrial plants (Muratore et al., 2022). Finally, it is necessary to define the vulnerability of critical elements that are at the basis of incidental events such as fires, explosions and releases into the environment (Muratore et al., 2024).</w:t>
      </w:r>
    </w:p>
    <w:p w14:paraId="7BB29AB4" w14:textId="76A961C9" w:rsidR="001F2E37" w:rsidRPr="00A824AC" w:rsidRDefault="00641287" w:rsidP="00874BC0">
      <w:pPr>
        <w:pStyle w:val="CETheadingx"/>
        <w:rPr>
          <w:lang w:val="en-GB"/>
        </w:rPr>
      </w:pPr>
      <w:r w:rsidRPr="00A824AC">
        <w:rPr>
          <w:lang w:val="en-GB"/>
        </w:rPr>
        <w:t>How to determine the</w:t>
      </w:r>
      <w:r w:rsidR="00BE0DA4" w:rsidRPr="00A824AC">
        <w:rPr>
          <w:lang w:val="en-GB"/>
        </w:rPr>
        <w:t xml:space="preserve"> wind </w:t>
      </w:r>
      <w:r w:rsidR="00CB68BF" w:rsidRPr="00A824AC">
        <w:rPr>
          <w:lang w:val="en-GB"/>
        </w:rPr>
        <w:t xml:space="preserve">storm </w:t>
      </w:r>
      <w:r w:rsidRPr="00A824AC">
        <w:rPr>
          <w:lang w:val="en-GB"/>
        </w:rPr>
        <w:t xml:space="preserve">hazard index, </w:t>
      </w:r>
      <w:r w:rsidRPr="00A824AC">
        <w:rPr>
          <w:bCs/>
          <w:lang w:val="en-GB"/>
        </w:rPr>
        <w:t>I</w:t>
      </w:r>
      <w:r w:rsidRPr="00A824AC">
        <w:rPr>
          <w:bCs/>
          <w:vertAlign w:val="subscript"/>
          <w:lang w:val="en-GB"/>
        </w:rPr>
        <w:t>Hs</w:t>
      </w:r>
      <w:r w:rsidR="00BE0DA4" w:rsidRPr="00A824AC">
        <w:rPr>
          <w:bCs/>
          <w:vertAlign w:val="subscript"/>
          <w:lang w:val="en-GB"/>
        </w:rPr>
        <w:t>w</w:t>
      </w:r>
      <w:r w:rsidRPr="00A824AC">
        <w:rPr>
          <w:lang w:val="en-GB"/>
        </w:rPr>
        <w:t xml:space="preserve"> </w:t>
      </w:r>
    </w:p>
    <w:p w14:paraId="4F65ABC7" w14:textId="3D0E6DEE" w:rsidR="00251B48" w:rsidRPr="00A824AC" w:rsidRDefault="00251B48" w:rsidP="004C6AB5">
      <w:pPr>
        <w:pStyle w:val="CETBodytext"/>
        <w:rPr>
          <w:lang w:val="en-GB"/>
        </w:rPr>
      </w:pPr>
      <w:r w:rsidRPr="00A824AC">
        <w:rPr>
          <w:lang w:val="en-GB"/>
        </w:rPr>
        <w:t>To determine the index relating to strong wind, reference is made to the Italian Wind Atlas. It is a very useful resource resulting from the collaboration between ERSE</w:t>
      </w:r>
      <w:r w:rsidR="00D529DB" w:rsidRPr="00A824AC">
        <w:rPr>
          <w:lang w:val="en-GB"/>
        </w:rPr>
        <w:t xml:space="preserve"> (ENEA-Electrical System Research)</w:t>
      </w:r>
      <w:r w:rsidRPr="00A824AC">
        <w:rPr>
          <w:lang w:val="en-GB"/>
        </w:rPr>
        <w:t xml:space="preserve"> and the University of </w:t>
      </w:r>
      <w:proofErr w:type="gramStart"/>
      <w:r w:rsidR="00D529DB" w:rsidRPr="00A824AC">
        <w:rPr>
          <w:lang w:val="en-GB"/>
        </w:rPr>
        <w:t>Genoa, and</w:t>
      </w:r>
      <w:proofErr w:type="gramEnd"/>
      <w:r w:rsidRPr="00A824AC">
        <w:rPr>
          <w:lang w:val="en-GB"/>
        </w:rPr>
        <w:t xml:space="preserve"> can be easily viewed in interactive form. For Italy is reported below: the ground measurement stations of the wind atlas anemological database (Fig. 4) and the map of the average wind speed (Fig. 5)</w:t>
      </w:r>
      <w:r w:rsidR="00A90A14" w:rsidRPr="00A824AC">
        <w:rPr>
          <w:lang w:val="en-GB"/>
        </w:rPr>
        <w:t>,</w:t>
      </w:r>
      <w:r w:rsidRPr="00A824AC">
        <w:rPr>
          <w:lang w:val="en-GB"/>
        </w:rPr>
        <w:t xml:space="preserve"> </w:t>
      </w:r>
    </w:p>
    <w:p w14:paraId="49F04BBD" w14:textId="77777777" w:rsidR="00251B48" w:rsidRPr="00A824AC" w:rsidRDefault="00251B48" w:rsidP="004C6AB5">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389"/>
      </w:tblGrid>
      <w:tr w:rsidR="00251B48" w:rsidRPr="00A824AC" w14:paraId="73051336" w14:textId="77777777" w:rsidTr="00181D9C">
        <w:tc>
          <w:tcPr>
            <w:tcW w:w="4111" w:type="dxa"/>
          </w:tcPr>
          <w:p w14:paraId="22835D15" w14:textId="48584D1A" w:rsidR="00251B48" w:rsidRPr="00A824AC" w:rsidRDefault="004A3CBF" w:rsidP="00181D9C">
            <w:pPr>
              <w:jc w:val="left"/>
              <w:rPr>
                <w:highlight w:val="red"/>
              </w:rPr>
            </w:pPr>
            <w:r w:rsidRPr="00A824AC">
              <w:rPr>
                <w:noProof/>
                <w:highlight w:val="red"/>
              </w:rPr>
              <w:lastRenderedPageBreak/>
              <w:drawing>
                <wp:inline distT="0" distB="0" distL="0" distR="0" wp14:anchorId="0E0BDF51" wp14:editId="36060DA7">
                  <wp:extent cx="2037080" cy="1684846"/>
                  <wp:effectExtent l="0" t="0" r="1270" b="0"/>
                  <wp:docPr id="13375790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5" b="967"/>
                          <a:stretch/>
                        </pic:blipFill>
                        <pic:spPr bwMode="auto">
                          <a:xfrm>
                            <a:off x="0" y="0"/>
                            <a:ext cx="2053480" cy="1698411"/>
                          </a:xfrm>
                          <a:prstGeom prst="rect">
                            <a:avLst/>
                          </a:prstGeom>
                          <a:noFill/>
                          <a:ln>
                            <a:noFill/>
                          </a:ln>
                          <a:extLst>
                            <a:ext uri="{53640926-AAD7-44D8-BBD7-CCE9431645EC}">
                              <a14:shadowObscured xmlns:a14="http://schemas.microsoft.com/office/drawing/2010/main"/>
                            </a:ext>
                          </a:extLst>
                        </pic:spPr>
                      </pic:pic>
                    </a:graphicData>
                  </a:graphic>
                </wp:inline>
              </w:drawing>
            </w:r>
          </w:p>
          <w:p w14:paraId="2496A9E6" w14:textId="7CBC2232" w:rsidR="00251B48" w:rsidRPr="00A824AC" w:rsidRDefault="00251B48" w:rsidP="00181D9C">
            <w:pPr>
              <w:jc w:val="left"/>
              <w:rPr>
                <w:i/>
                <w:iCs/>
                <w:highlight w:val="green"/>
              </w:rPr>
            </w:pPr>
            <w:r w:rsidRPr="00A824AC">
              <w:rPr>
                <w:i/>
                <w:iCs/>
              </w:rPr>
              <w:t xml:space="preserve">Figure </w:t>
            </w:r>
            <w:r w:rsidR="00C33E13" w:rsidRPr="00A824AC">
              <w:rPr>
                <w:i/>
                <w:iCs/>
              </w:rPr>
              <w:t>4</w:t>
            </w:r>
            <w:r w:rsidRPr="00A824AC">
              <w:rPr>
                <w:i/>
                <w:iCs/>
              </w:rPr>
              <w:t>. The ground measurement stations of the wind database of the Wind Atlas.</w:t>
            </w:r>
          </w:p>
        </w:tc>
        <w:tc>
          <w:tcPr>
            <w:tcW w:w="4389" w:type="dxa"/>
          </w:tcPr>
          <w:p w14:paraId="4300AA08" w14:textId="5DAD20C7" w:rsidR="00251B48" w:rsidRPr="00A824AC" w:rsidRDefault="004A3CBF" w:rsidP="00181D9C">
            <w:pPr>
              <w:rPr>
                <w:highlight w:val="green"/>
              </w:rPr>
            </w:pPr>
            <w:r w:rsidRPr="00A824AC">
              <w:rPr>
                <w:noProof/>
                <w:highlight w:val="green"/>
              </w:rPr>
              <w:drawing>
                <wp:inline distT="0" distB="0" distL="0" distR="0" wp14:anchorId="4385538F" wp14:editId="2943D49B">
                  <wp:extent cx="2095500" cy="1701835"/>
                  <wp:effectExtent l="0" t="0" r="3810" b="0"/>
                  <wp:docPr id="19804810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3849"/>
                          <a:stretch/>
                        </pic:blipFill>
                        <pic:spPr bwMode="auto">
                          <a:xfrm>
                            <a:off x="0" y="0"/>
                            <a:ext cx="2095500" cy="1701835"/>
                          </a:xfrm>
                          <a:prstGeom prst="rect">
                            <a:avLst/>
                          </a:prstGeom>
                          <a:noFill/>
                          <a:ln>
                            <a:noFill/>
                          </a:ln>
                          <a:extLst>
                            <a:ext uri="{53640926-AAD7-44D8-BBD7-CCE9431645EC}">
                              <a14:shadowObscured xmlns:a14="http://schemas.microsoft.com/office/drawing/2010/main"/>
                            </a:ext>
                          </a:extLst>
                        </pic:spPr>
                      </pic:pic>
                    </a:graphicData>
                  </a:graphic>
                </wp:inline>
              </w:drawing>
            </w:r>
          </w:p>
          <w:p w14:paraId="0B87C7B5" w14:textId="12A0AB52" w:rsidR="00251B48" w:rsidRPr="00A824AC" w:rsidRDefault="00251B48" w:rsidP="00181D9C">
            <w:pPr>
              <w:rPr>
                <w:i/>
                <w:iCs/>
                <w:highlight w:val="green"/>
              </w:rPr>
            </w:pPr>
            <w:r w:rsidRPr="00A824AC">
              <w:rPr>
                <w:i/>
                <w:iCs/>
              </w:rPr>
              <w:t xml:space="preserve">Figure </w:t>
            </w:r>
            <w:r w:rsidR="00C33E13" w:rsidRPr="00A824AC">
              <w:rPr>
                <w:i/>
                <w:iCs/>
              </w:rPr>
              <w:t>5</w:t>
            </w:r>
            <w:r w:rsidRPr="00A824AC">
              <w:rPr>
                <w:i/>
                <w:iCs/>
              </w:rPr>
              <w:t xml:space="preserve">. </w:t>
            </w:r>
            <w:r w:rsidR="00C33E13" w:rsidRPr="00A824AC">
              <w:rPr>
                <w:i/>
                <w:iCs/>
              </w:rPr>
              <w:t>M</w:t>
            </w:r>
            <w:r w:rsidRPr="00A824AC">
              <w:rPr>
                <w:i/>
                <w:iCs/>
              </w:rPr>
              <w:t>ap of the average wind speed at 25 meters above sea level and up to 40 km from the coast. (source: ERSE/Univ</w:t>
            </w:r>
            <w:r w:rsidR="00AA69DF" w:rsidRPr="00A824AC">
              <w:rPr>
                <w:i/>
                <w:iCs/>
              </w:rPr>
              <w:t xml:space="preserve">ersity of </w:t>
            </w:r>
            <w:r w:rsidRPr="00A824AC">
              <w:rPr>
                <w:i/>
                <w:iCs/>
              </w:rPr>
              <w:t>Genoa</w:t>
            </w:r>
            <w:r w:rsidR="00C33E13" w:rsidRPr="00A824AC">
              <w:rPr>
                <w:i/>
                <w:iCs/>
              </w:rPr>
              <w:t>)</w:t>
            </w:r>
            <w:r w:rsidRPr="00A824AC">
              <w:rPr>
                <w:i/>
                <w:iCs/>
              </w:rPr>
              <w:t>.</w:t>
            </w:r>
          </w:p>
        </w:tc>
      </w:tr>
    </w:tbl>
    <w:p w14:paraId="4475DD62" w14:textId="77777777" w:rsidR="002634FD" w:rsidRDefault="002634FD" w:rsidP="004C6AB5">
      <w:pPr>
        <w:pStyle w:val="CETBodytext"/>
        <w:rPr>
          <w:lang w:val="en-GB"/>
        </w:rPr>
      </w:pPr>
    </w:p>
    <w:p w14:paraId="463761EC" w14:textId="0C3410D1" w:rsidR="00251B48" w:rsidRPr="00A824AC" w:rsidRDefault="00A90A14" w:rsidP="004C6AB5">
      <w:pPr>
        <w:pStyle w:val="CETBodytext"/>
        <w:rPr>
          <w:lang w:val="en-GB"/>
        </w:rPr>
      </w:pPr>
      <w:r w:rsidRPr="00A824AC">
        <w:rPr>
          <w:lang w:val="en-GB"/>
        </w:rPr>
        <w:t xml:space="preserve">Where </w:t>
      </w:r>
      <w:r w:rsidR="00803AEC" w:rsidRPr="00A824AC">
        <w:rPr>
          <w:lang w:val="en-GB"/>
        </w:rPr>
        <w:t>ERSE</w:t>
      </w:r>
      <w:r w:rsidRPr="00A824AC">
        <w:rPr>
          <w:lang w:val="en-GB"/>
        </w:rPr>
        <w:t xml:space="preserve"> means </w:t>
      </w:r>
      <w:r w:rsidR="00803AEC" w:rsidRPr="00A824AC">
        <w:rPr>
          <w:lang w:val="en-GB"/>
        </w:rPr>
        <w:t>ENEA-Electrical System Research</w:t>
      </w:r>
      <w:r w:rsidRPr="00A824AC">
        <w:rPr>
          <w:lang w:val="en-GB"/>
        </w:rPr>
        <w:t xml:space="preserve"> and </w:t>
      </w:r>
      <w:r w:rsidR="00D961E1" w:rsidRPr="00A824AC">
        <w:rPr>
          <w:lang w:val="en-GB"/>
        </w:rPr>
        <w:t>ENEA</w:t>
      </w:r>
      <w:r w:rsidRPr="00A824AC">
        <w:rPr>
          <w:lang w:val="en-GB"/>
        </w:rPr>
        <w:t xml:space="preserve"> means</w:t>
      </w:r>
      <w:r w:rsidR="00D961E1" w:rsidRPr="00A824AC">
        <w:rPr>
          <w:lang w:val="en-GB"/>
        </w:rPr>
        <w:t xml:space="preserve"> Italian National Agency for New Technologies, Energy and Sustainable Economic Development.</w:t>
      </w:r>
    </w:p>
    <w:p w14:paraId="1AD59D2D" w14:textId="48012B0D" w:rsidR="00C33E13" w:rsidRPr="00A824AC" w:rsidRDefault="00251B48" w:rsidP="00C33E13">
      <w:pPr>
        <w:pStyle w:val="CETBodytext"/>
        <w:rPr>
          <w:lang w:val="en-GB"/>
        </w:rPr>
      </w:pPr>
      <w:r w:rsidRPr="00A824AC">
        <w:rPr>
          <w:lang w:val="en-GB"/>
        </w:rPr>
        <w:t>For a first preliminary evaluation of the wind index I</w:t>
      </w:r>
      <w:r w:rsidRPr="00A824AC">
        <w:rPr>
          <w:vertAlign w:val="subscript"/>
          <w:lang w:val="en-GB"/>
        </w:rPr>
        <w:t>Hsw</w:t>
      </w:r>
      <w:r w:rsidRPr="00A824AC">
        <w:rPr>
          <w:lang w:val="en-GB"/>
        </w:rPr>
        <w:t xml:space="preserve">, </w:t>
      </w:r>
      <w:r w:rsidR="00C83116" w:rsidRPr="00A824AC">
        <w:rPr>
          <w:lang w:val="en-GB"/>
        </w:rPr>
        <w:t>it</w:t>
      </w:r>
      <w:r w:rsidRPr="00A824AC">
        <w:rPr>
          <w:lang w:val="en-GB"/>
        </w:rPr>
        <w:t xml:space="preserve"> can be related to the average wind speed found in </w:t>
      </w:r>
      <w:r w:rsidR="00C33E13" w:rsidRPr="00A824AC">
        <w:rPr>
          <w:lang w:val="en-GB"/>
        </w:rPr>
        <w:t>figure</w:t>
      </w:r>
      <w:r w:rsidRPr="00A824AC">
        <w:rPr>
          <w:lang w:val="en-GB"/>
        </w:rPr>
        <w:t xml:space="preserve"> 5. </w:t>
      </w:r>
      <w:r w:rsidR="00C33E13" w:rsidRPr="00A824AC">
        <w:rPr>
          <w:lang w:val="en-GB"/>
        </w:rPr>
        <w:t>To calculate the value of this index, the authors, based on their experience, propose the following table 2:</w:t>
      </w:r>
    </w:p>
    <w:p w14:paraId="0FFB9461" w14:textId="6AE9CDF3" w:rsidR="00C33E13" w:rsidRPr="00A824AC" w:rsidRDefault="00C33E13" w:rsidP="00C33E13">
      <w:pPr>
        <w:pStyle w:val="CETTabletitle"/>
      </w:pPr>
      <w:r w:rsidRPr="00A824AC">
        <w:t xml:space="preserve">Table 2. Relationship between wind speed and </w:t>
      </w:r>
      <w:r w:rsidR="00D16BD4" w:rsidRPr="00A824AC">
        <w:t>the</w:t>
      </w:r>
      <w:r w:rsidRPr="00A824AC">
        <w:t xml:space="preserve"> wind</w:t>
      </w:r>
      <w:r w:rsidR="00CB68BF" w:rsidRPr="00A824AC">
        <w:t xml:space="preserve"> storm</w:t>
      </w:r>
      <w:r w:rsidRPr="00A824AC">
        <w:t xml:space="preserve"> hazard index, </w:t>
      </w:r>
      <w:r w:rsidRPr="00A824AC">
        <w:rPr>
          <w:bCs/>
        </w:rPr>
        <w:t>I</w:t>
      </w:r>
      <w:r w:rsidRPr="00A824AC">
        <w:rPr>
          <w:bCs/>
          <w:vertAlign w:val="subscript"/>
        </w:rPr>
        <w:t>Hsw</w:t>
      </w:r>
      <w:r w:rsidRPr="00A824AC">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119"/>
        <w:gridCol w:w="2551"/>
      </w:tblGrid>
      <w:tr w:rsidR="00C33E13" w:rsidRPr="00A824AC" w14:paraId="229B4EDE" w14:textId="77777777" w:rsidTr="00A824AC">
        <w:tc>
          <w:tcPr>
            <w:tcW w:w="3119" w:type="dxa"/>
            <w:tcBorders>
              <w:top w:val="single" w:sz="12" w:space="0" w:color="008000"/>
              <w:bottom w:val="single" w:sz="6" w:space="0" w:color="008000"/>
            </w:tcBorders>
            <w:shd w:val="clear" w:color="auto" w:fill="FFFFFF"/>
          </w:tcPr>
          <w:p w14:paraId="4177F639" w14:textId="7BFF1DAC" w:rsidR="00C33E13" w:rsidRPr="00A824AC" w:rsidRDefault="00D16BD4" w:rsidP="00181D9C">
            <w:pPr>
              <w:pStyle w:val="CETBodytext"/>
              <w:jc w:val="center"/>
              <w:rPr>
                <w:lang w:val="en-GB"/>
              </w:rPr>
            </w:pPr>
            <w:r w:rsidRPr="00A824AC">
              <w:rPr>
                <w:lang w:val="en-GB"/>
              </w:rPr>
              <w:t>Wind speed</w:t>
            </w:r>
            <w:r w:rsidR="00C33E13" w:rsidRPr="00A824AC">
              <w:rPr>
                <w:lang w:val="en-GB"/>
              </w:rPr>
              <w:t xml:space="preserve"> </w:t>
            </w:r>
            <w:r w:rsidRPr="00A824AC">
              <w:rPr>
                <w:lang w:val="en-GB"/>
              </w:rPr>
              <w:t>[</w:t>
            </w:r>
            <w:r w:rsidR="00C33E13" w:rsidRPr="00A824AC">
              <w:rPr>
                <w:lang w:val="en-GB"/>
              </w:rPr>
              <w:t>m</w:t>
            </w:r>
            <w:r w:rsidRPr="00A824AC">
              <w:rPr>
                <w:lang w:val="en-GB"/>
              </w:rPr>
              <w:t>/s]</w:t>
            </w:r>
          </w:p>
        </w:tc>
        <w:tc>
          <w:tcPr>
            <w:tcW w:w="2551" w:type="dxa"/>
            <w:tcBorders>
              <w:top w:val="single" w:sz="12" w:space="0" w:color="008000"/>
              <w:bottom w:val="single" w:sz="6" w:space="0" w:color="008000"/>
            </w:tcBorders>
            <w:shd w:val="clear" w:color="auto" w:fill="FFFFFF"/>
          </w:tcPr>
          <w:p w14:paraId="322DD042" w14:textId="183EA960" w:rsidR="00C33E13" w:rsidRPr="00A824AC" w:rsidRDefault="00C33E13" w:rsidP="00181D9C">
            <w:pPr>
              <w:pStyle w:val="CETBodytext"/>
              <w:jc w:val="center"/>
              <w:rPr>
                <w:lang w:val="en-GB"/>
              </w:rPr>
            </w:pPr>
            <w:r w:rsidRPr="00A824AC">
              <w:rPr>
                <w:bCs/>
                <w:lang w:val="en-GB"/>
              </w:rPr>
              <w:t>I</w:t>
            </w:r>
            <w:r w:rsidRPr="00A824AC">
              <w:rPr>
                <w:bCs/>
                <w:vertAlign w:val="subscript"/>
                <w:lang w:val="en-GB"/>
              </w:rPr>
              <w:t>Hs</w:t>
            </w:r>
            <w:r w:rsidR="00D16BD4" w:rsidRPr="00A824AC">
              <w:rPr>
                <w:bCs/>
                <w:vertAlign w:val="subscript"/>
                <w:lang w:val="en-GB"/>
              </w:rPr>
              <w:t>w</w:t>
            </w:r>
          </w:p>
        </w:tc>
      </w:tr>
      <w:tr w:rsidR="00C33E13" w:rsidRPr="00A824AC" w14:paraId="75706B85" w14:textId="77777777" w:rsidTr="00A824AC">
        <w:tc>
          <w:tcPr>
            <w:tcW w:w="3119" w:type="dxa"/>
            <w:shd w:val="clear" w:color="auto" w:fill="FFFFFF"/>
          </w:tcPr>
          <w:p w14:paraId="3B2D5ACA" w14:textId="42C97E29" w:rsidR="00C33E13" w:rsidRPr="00A824AC" w:rsidRDefault="00C33E13" w:rsidP="00181D9C">
            <w:pPr>
              <w:pStyle w:val="CETBodytext"/>
              <w:jc w:val="center"/>
              <w:rPr>
                <w:lang w:val="en-GB"/>
              </w:rPr>
            </w:pPr>
            <w:r w:rsidRPr="00A824AC">
              <w:rPr>
                <w:lang w:val="en-GB"/>
              </w:rPr>
              <w:t xml:space="preserve">&lt; </w:t>
            </w:r>
            <w:r w:rsidR="00D16BD4" w:rsidRPr="00A824AC">
              <w:rPr>
                <w:lang w:val="en-GB"/>
              </w:rPr>
              <w:t>3</w:t>
            </w:r>
          </w:p>
        </w:tc>
        <w:tc>
          <w:tcPr>
            <w:tcW w:w="2551" w:type="dxa"/>
            <w:shd w:val="clear" w:color="auto" w:fill="FFFFFF"/>
          </w:tcPr>
          <w:p w14:paraId="5600BD71" w14:textId="77777777" w:rsidR="00C33E13" w:rsidRPr="00A824AC" w:rsidRDefault="00C33E13" w:rsidP="00181D9C">
            <w:pPr>
              <w:pStyle w:val="CETBodytext"/>
              <w:jc w:val="center"/>
              <w:rPr>
                <w:lang w:val="en-GB"/>
              </w:rPr>
            </w:pPr>
            <w:r w:rsidRPr="00A824AC">
              <w:rPr>
                <w:lang w:val="en-GB"/>
              </w:rPr>
              <w:t>1</w:t>
            </w:r>
          </w:p>
        </w:tc>
      </w:tr>
      <w:tr w:rsidR="00C33E13" w:rsidRPr="00A824AC" w14:paraId="70F1D3C3" w14:textId="77777777" w:rsidTr="00A824AC">
        <w:tc>
          <w:tcPr>
            <w:tcW w:w="3119" w:type="dxa"/>
            <w:shd w:val="clear" w:color="auto" w:fill="FFFFFF"/>
          </w:tcPr>
          <w:p w14:paraId="74D9B47D" w14:textId="2818C7EE" w:rsidR="00C33E13" w:rsidRPr="00A824AC" w:rsidRDefault="00C83116" w:rsidP="00181D9C">
            <w:pPr>
              <w:pStyle w:val="CETBodytext"/>
              <w:ind w:right="-1"/>
              <w:jc w:val="center"/>
              <w:rPr>
                <w:rFonts w:cs="Arial"/>
                <w:szCs w:val="18"/>
                <w:lang w:val="en-GB"/>
              </w:rPr>
            </w:pPr>
            <w:r w:rsidRPr="00A824AC">
              <w:rPr>
                <w:rFonts w:cs="Arial"/>
                <w:szCs w:val="18"/>
                <w:lang w:val="en-GB"/>
              </w:rPr>
              <w:t xml:space="preserve">≥ </w:t>
            </w:r>
            <w:r w:rsidR="00D16BD4" w:rsidRPr="00A824AC">
              <w:rPr>
                <w:rFonts w:cs="Arial"/>
                <w:szCs w:val="18"/>
                <w:lang w:val="en-GB"/>
              </w:rPr>
              <w:t xml:space="preserve">3 </w:t>
            </w:r>
            <w:r w:rsidRPr="00A824AC">
              <w:rPr>
                <w:rFonts w:cs="Arial"/>
                <w:szCs w:val="18"/>
                <w:lang w:val="en-GB"/>
              </w:rPr>
              <w:t>&lt;</w:t>
            </w:r>
            <w:r w:rsidR="00C33E13" w:rsidRPr="00A824AC">
              <w:rPr>
                <w:rFonts w:cs="Arial"/>
                <w:szCs w:val="18"/>
                <w:lang w:val="en-GB"/>
              </w:rPr>
              <w:t xml:space="preserve"> </w:t>
            </w:r>
            <w:r w:rsidR="00D16BD4" w:rsidRPr="00A824AC">
              <w:rPr>
                <w:rFonts w:cs="Arial"/>
                <w:szCs w:val="18"/>
                <w:lang w:val="en-GB"/>
              </w:rPr>
              <w:t>5</w:t>
            </w:r>
          </w:p>
        </w:tc>
        <w:tc>
          <w:tcPr>
            <w:tcW w:w="2551" w:type="dxa"/>
            <w:shd w:val="clear" w:color="auto" w:fill="FFFFFF"/>
          </w:tcPr>
          <w:p w14:paraId="5EEE2442" w14:textId="77777777" w:rsidR="00C33E13" w:rsidRPr="00A824AC" w:rsidRDefault="00C33E13" w:rsidP="00181D9C">
            <w:pPr>
              <w:pStyle w:val="CETBodytext"/>
              <w:ind w:right="-1"/>
              <w:jc w:val="center"/>
              <w:rPr>
                <w:rFonts w:cs="Arial"/>
                <w:szCs w:val="18"/>
                <w:lang w:val="en-GB"/>
              </w:rPr>
            </w:pPr>
            <w:r w:rsidRPr="00A824AC">
              <w:rPr>
                <w:rFonts w:cs="Arial"/>
                <w:szCs w:val="18"/>
                <w:lang w:val="en-GB"/>
              </w:rPr>
              <w:t>2</w:t>
            </w:r>
          </w:p>
        </w:tc>
      </w:tr>
      <w:tr w:rsidR="00C33E13" w:rsidRPr="00A824AC" w14:paraId="07D4C1F5" w14:textId="77777777" w:rsidTr="00A824AC">
        <w:tc>
          <w:tcPr>
            <w:tcW w:w="3119" w:type="dxa"/>
            <w:shd w:val="clear" w:color="auto" w:fill="FFFFFF"/>
          </w:tcPr>
          <w:p w14:paraId="0855CD3D" w14:textId="6C1A6C63" w:rsidR="00C33E13" w:rsidRPr="00A824AC" w:rsidRDefault="00C83116" w:rsidP="00181D9C">
            <w:pPr>
              <w:pStyle w:val="CETBodytext"/>
              <w:ind w:right="-1"/>
              <w:jc w:val="center"/>
              <w:rPr>
                <w:rFonts w:cs="Arial"/>
                <w:szCs w:val="18"/>
                <w:lang w:val="en-GB"/>
              </w:rPr>
            </w:pPr>
            <w:r w:rsidRPr="00A824AC">
              <w:rPr>
                <w:rFonts w:cs="Arial"/>
                <w:szCs w:val="18"/>
                <w:lang w:val="en-GB"/>
              </w:rPr>
              <w:t>≥</w:t>
            </w:r>
            <w:r w:rsidR="00D16BD4" w:rsidRPr="00A824AC">
              <w:rPr>
                <w:rFonts w:cs="Arial"/>
                <w:szCs w:val="18"/>
                <w:lang w:val="en-GB"/>
              </w:rPr>
              <w:t xml:space="preserve"> 5</w:t>
            </w:r>
            <w:r w:rsidR="00C33E13" w:rsidRPr="00A824AC">
              <w:rPr>
                <w:rFonts w:cs="Arial"/>
                <w:szCs w:val="18"/>
                <w:lang w:val="en-GB"/>
              </w:rPr>
              <w:t xml:space="preserve"> </w:t>
            </w:r>
            <w:r w:rsidRPr="00A824AC">
              <w:rPr>
                <w:rFonts w:cs="Arial"/>
                <w:szCs w:val="18"/>
                <w:lang w:val="en-GB"/>
              </w:rPr>
              <w:t>&lt;</w:t>
            </w:r>
            <w:r w:rsidR="00C33E13" w:rsidRPr="00A824AC">
              <w:rPr>
                <w:rFonts w:cs="Arial"/>
                <w:szCs w:val="18"/>
                <w:lang w:val="en-GB"/>
              </w:rPr>
              <w:t xml:space="preserve"> </w:t>
            </w:r>
            <w:r w:rsidR="00D16BD4" w:rsidRPr="00A824AC">
              <w:rPr>
                <w:rFonts w:cs="Arial"/>
                <w:szCs w:val="18"/>
                <w:lang w:val="en-GB"/>
              </w:rPr>
              <w:t>7</w:t>
            </w:r>
          </w:p>
        </w:tc>
        <w:tc>
          <w:tcPr>
            <w:tcW w:w="2551" w:type="dxa"/>
            <w:shd w:val="clear" w:color="auto" w:fill="FFFFFF"/>
          </w:tcPr>
          <w:p w14:paraId="5EAF5821" w14:textId="77777777" w:rsidR="00C33E13" w:rsidRPr="00A824AC" w:rsidRDefault="00C33E13" w:rsidP="00181D9C">
            <w:pPr>
              <w:pStyle w:val="CETBodytext"/>
              <w:ind w:right="-1"/>
              <w:jc w:val="center"/>
              <w:rPr>
                <w:rFonts w:cs="Arial"/>
                <w:szCs w:val="18"/>
                <w:lang w:val="en-GB"/>
              </w:rPr>
            </w:pPr>
            <w:r w:rsidRPr="00A824AC">
              <w:rPr>
                <w:rFonts w:cs="Arial"/>
                <w:szCs w:val="18"/>
                <w:lang w:val="en-GB"/>
              </w:rPr>
              <w:t>3</w:t>
            </w:r>
          </w:p>
        </w:tc>
      </w:tr>
      <w:tr w:rsidR="00C33E13" w:rsidRPr="00A824AC" w14:paraId="3B9AD9AC" w14:textId="77777777" w:rsidTr="00A824AC">
        <w:tc>
          <w:tcPr>
            <w:tcW w:w="3119" w:type="dxa"/>
            <w:shd w:val="clear" w:color="auto" w:fill="FFFFFF"/>
          </w:tcPr>
          <w:p w14:paraId="082190ED" w14:textId="61B71BB2" w:rsidR="00C33E13" w:rsidRPr="00A824AC" w:rsidRDefault="00C83116" w:rsidP="00181D9C">
            <w:pPr>
              <w:pStyle w:val="CETBodytext"/>
              <w:ind w:right="-1"/>
              <w:jc w:val="center"/>
              <w:rPr>
                <w:rFonts w:cs="Arial"/>
                <w:szCs w:val="18"/>
                <w:lang w:val="en-GB"/>
              </w:rPr>
            </w:pPr>
            <w:r w:rsidRPr="00A824AC">
              <w:rPr>
                <w:rFonts w:cs="Arial"/>
                <w:szCs w:val="18"/>
                <w:lang w:val="en-GB"/>
              </w:rPr>
              <w:t>≥</w:t>
            </w:r>
            <w:r w:rsidR="00C33E13" w:rsidRPr="00A824AC">
              <w:rPr>
                <w:rFonts w:cs="Arial"/>
                <w:szCs w:val="18"/>
                <w:lang w:val="en-GB"/>
              </w:rPr>
              <w:t xml:space="preserve"> </w:t>
            </w:r>
            <w:r w:rsidR="00D16BD4" w:rsidRPr="00A824AC">
              <w:rPr>
                <w:rFonts w:cs="Arial"/>
                <w:szCs w:val="18"/>
                <w:lang w:val="en-GB"/>
              </w:rPr>
              <w:t>7</w:t>
            </w:r>
          </w:p>
        </w:tc>
        <w:tc>
          <w:tcPr>
            <w:tcW w:w="2551" w:type="dxa"/>
            <w:shd w:val="clear" w:color="auto" w:fill="FFFFFF"/>
          </w:tcPr>
          <w:p w14:paraId="0AC17B10" w14:textId="77777777" w:rsidR="00C33E13" w:rsidRPr="00A824AC" w:rsidRDefault="00C33E13" w:rsidP="00181D9C">
            <w:pPr>
              <w:pStyle w:val="CETBodytext"/>
              <w:ind w:right="-1"/>
              <w:jc w:val="center"/>
              <w:rPr>
                <w:rFonts w:cs="Arial"/>
                <w:szCs w:val="18"/>
                <w:lang w:val="en-GB"/>
              </w:rPr>
            </w:pPr>
            <w:r w:rsidRPr="00A824AC">
              <w:rPr>
                <w:rFonts w:cs="Arial"/>
                <w:szCs w:val="18"/>
                <w:lang w:val="en-GB"/>
              </w:rPr>
              <w:t>4</w:t>
            </w:r>
          </w:p>
        </w:tc>
      </w:tr>
    </w:tbl>
    <w:p w14:paraId="037FCFBF" w14:textId="363DAB97" w:rsidR="00D16BD4" w:rsidRPr="00A824AC" w:rsidRDefault="00D16BD4" w:rsidP="00D16BD4">
      <w:pPr>
        <w:pStyle w:val="CETheadingx"/>
        <w:rPr>
          <w:lang w:val="en-GB"/>
        </w:rPr>
      </w:pPr>
      <w:r w:rsidRPr="00A824AC">
        <w:rPr>
          <w:lang w:val="en-GB"/>
        </w:rPr>
        <w:t xml:space="preserve">How to determine the </w:t>
      </w:r>
      <w:r w:rsidR="00CB68BF" w:rsidRPr="00A824AC">
        <w:rPr>
          <w:lang w:val="en-GB"/>
        </w:rPr>
        <w:t>lightning</w:t>
      </w:r>
      <w:r w:rsidRPr="00A824AC">
        <w:rPr>
          <w:lang w:val="en-GB"/>
        </w:rPr>
        <w:t xml:space="preserve"> storm hazard index, </w:t>
      </w:r>
      <w:r w:rsidRPr="00A824AC">
        <w:rPr>
          <w:bCs/>
          <w:lang w:val="en-GB"/>
        </w:rPr>
        <w:t>I</w:t>
      </w:r>
      <w:r w:rsidRPr="00A824AC">
        <w:rPr>
          <w:bCs/>
          <w:vertAlign w:val="subscript"/>
          <w:lang w:val="en-GB"/>
        </w:rPr>
        <w:t>Hs</w:t>
      </w:r>
      <w:r w:rsidR="0095327C" w:rsidRPr="00A824AC">
        <w:rPr>
          <w:bCs/>
          <w:vertAlign w:val="subscript"/>
          <w:lang w:val="en-GB"/>
        </w:rPr>
        <w:t>l</w:t>
      </w:r>
      <w:r w:rsidRPr="00A824AC">
        <w:rPr>
          <w:lang w:val="en-GB"/>
        </w:rPr>
        <w:t xml:space="preserve"> </w:t>
      </w:r>
    </w:p>
    <w:p w14:paraId="05CDB4C6" w14:textId="1A116761" w:rsidR="00D16BD4" w:rsidRPr="00A824AC" w:rsidRDefault="0047647E" w:rsidP="002265B8">
      <w:pPr>
        <w:pStyle w:val="CETBodytext"/>
        <w:rPr>
          <w:lang w:val="en-GB"/>
        </w:rPr>
      </w:pPr>
      <w:r w:rsidRPr="00A824AC">
        <w:rPr>
          <w:lang w:val="en-GB"/>
        </w:rPr>
        <w:t>Among the countries in the world that receive the most lightning strikes in absolute terms are Brazil and the United States, while Italy is among the European countries that receive the most lightning strikes per square kilometres on average. Today in Italy it is possible to determine the point of impact of a lightning strike with a precision of about 500 meters thanks to the SIRF (</w:t>
      </w:r>
      <w:r w:rsidR="00C22A8F" w:rsidRPr="00A824AC">
        <w:rPr>
          <w:lang w:val="en-GB"/>
        </w:rPr>
        <w:t>Italian Lightning Detection System</w:t>
      </w:r>
      <w:r w:rsidRPr="00A824AC">
        <w:rPr>
          <w:lang w:val="en-GB"/>
        </w:rPr>
        <w:t xml:space="preserve">) lightning detection system. For the analysis of the chronology of lightning events, you can refer to the CEI </w:t>
      </w:r>
      <w:proofErr w:type="spellStart"/>
      <w:r w:rsidRPr="00A824AC">
        <w:rPr>
          <w:lang w:val="en-GB"/>
        </w:rPr>
        <w:t>ProDisTM</w:t>
      </w:r>
      <w:proofErr w:type="spellEnd"/>
      <w:r w:rsidRPr="00A824AC">
        <w:rPr>
          <w:lang w:val="en-GB"/>
        </w:rPr>
        <w:t xml:space="preserve"> online application which is structured on data acquired from the SIRF monitoring network. This application provides information (indicated by the symbol Ng) that represents the average number of lightning strikes to the ground per year per Km</w:t>
      </w:r>
      <w:r w:rsidRPr="00A824AC">
        <w:rPr>
          <w:vertAlign w:val="superscript"/>
          <w:lang w:val="en-GB"/>
        </w:rPr>
        <w:t>2</w:t>
      </w:r>
      <w:r w:rsidRPr="00A824AC">
        <w:rPr>
          <w:lang w:val="en-GB"/>
        </w:rPr>
        <w:t xml:space="preserve"> calculated using a grid with square cells with sides equal to 5 Km, based on lightning data collected in over ten years of observations throughout Italy. In relation to this, the manufacturer </w:t>
      </w:r>
      <w:proofErr w:type="gramStart"/>
      <w:r w:rsidRPr="00A824AC">
        <w:rPr>
          <w:lang w:val="en-GB"/>
        </w:rPr>
        <w:t>is able to</w:t>
      </w:r>
      <w:proofErr w:type="gramEnd"/>
      <w:r w:rsidRPr="00A824AC">
        <w:rPr>
          <w:lang w:val="en-GB"/>
        </w:rPr>
        <w:t xml:space="preserve"> determine the value of Ng for his establishment. The higher the Ng value, the greater the probability that lightning strikes the industrial site being assessed. </w:t>
      </w:r>
    </w:p>
    <w:p w14:paraId="3F9CC37B" w14:textId="6C19471F" w:rsidR="00D16BD4" w:rsidRPr="00A824AC" w:rsidRDefault="00D16BD4" w:rsidP="00D16BD4">
      <w:pPr>
        <w:pStyle w:val="CETBodytext"/>
        <w:rPr>
          <w:lang w:val="en-GB"/>
        </w:rPr>
      </w:pPr>
      <w:r w:rsidRPr="00A824AC">
        <w:rPr>
          <w:lang w:val="en-GB"/>
        </w:rPr>
        <w:t xml:space="preserve">Using </w:t>
      </w:r>
      <w:r w:rsidR="0095327C" w:rsidRPr="00A824AC">
        <w:rPr>
          <w:lang w:val="en-GB"/>
        </w:rPr>
        <w:t xml:space="preserve">CEI </w:t>
      </w:r>
      <w:proofErr w:type="spellStart"/>
      <w:r w:rsidR="0095327C" w:rsidRPr="00A824AC">
        <w:rPr>
          <w:lang w:val="en-GB"/>
        </w:rPr>
        <w:t>ProDisTM</w:t>
      </w:r>
      <w:proofErr w:type="spellEnd"/>
      <w:r w:rsidR="0095327C" w:rsidRPr="00A824AC">
        <w:rPr>
          <w:lang w:val="en-GB"/>
        </w:rPr>
        <w:t xml:space="preserve"> online application</w:t>
      </w:r>
      <w:r w:rsidRPr="00A824AC">
        <w:rPr>
          <w:lang w:val="en-GB"/>
        </w:rPr>
        <w:t xml:space="preserve"> it is possible to determine the </w:t>
      </w:r>
      <w:r w:rsidR="0095327C" w:rsidRPr="00A824AC">
        <w:rPr>
          <w:lang w:val="en-GB"/>
        </w:rPr>
        <w:t>lightning</w:t>
      </w:r>
      <w:r w:rsidRPr="00A824AC">
        <w:rPr>
          <w:lang w:val="en-GB"/>
        </w:rPr>
        <w:t xml:space="preserve"> storm hazard index, </w:t>
      </w:r>
      <w:r w:rsidRPr="00A824AC">
        <w:rPr>
          <w:bCs/>
          <w:lang w:val="en-GB"/>
        </w:rPr>
        <w:t>I</w:t>
      </w:r>
      <w:r w:rsidRPr="00A824AC">
        <w:rPr>
          <w:bCs/>
          <w:vertAlign w:val="subscript"/>
          <w:lang w:val="en-GB"/>
        </w:rPr>
        <w:t>Hs</w:t>
      </w:r>
      <w:r w:rsidR="0095327C" w:rsidRPr="00A824AC">
        <w:rPr>
          <w:bCs/>
          <w:vertAlign w:val="subscript"/>
          <w:lang w:val="en-GB"/>
        </w:rPr>
        <w:t>l</w:t>
      </w:r>
      <w:r w:rsidRPr="00A824AC">
        <w:rPr>
          <w:lang w:val="en-GB"/>
        </w:rPr>
        <w:t xml:space="preserve">. To calculate the value of this index, the authors, based on their experience, propose the following table </w:t>
      </w:r>
      <w:r w:rsidR="0095327C" w:rsidRPr="00A824AC">
        <w:rPr>
          <w:lang w:val="en-GB"/>
        </w:rPr>
        <w:t>3</w:t>
      </w:r>
      <w:r w:rsidRPr="00A824AC">
        <w:rPr>
          <w:lang w:val="en-GB"/>
        </w:rPr>
        <w:t>:</w:t>
      </w:r>
    </w:p>
    <w:p w14:paraId="7C041E52" w14:textId="38505F70" w:rsidR="00D16BD4" w:rsidRPr="00A824AC" w:rsidRDefault="00D16BD4" w:rsidP="00D16BD4">
      <w:pPr>
        <w:pStyle w:val="CETTabletitle"/>
      </w:pPr>
      <w:r w:rsidRPr="00A824AC">
        <w:t xml:space="preserve">Table </w:t>
      </w:r>
      <w:r w:rsidR="0095327C" w:rsidRPr="00A824AC">
        <w:t>3</w:t>
      </w:r>
      <w:r w:rsidRPr="00A824AC">
        <w:t xml:space="preserve">. Relationship between </w:t>
      </w:r>
      <w:r w:rsidR="0095327C" w:rsidRPr="00A824AC">
        <w:t xml:space="preserve">Ng </w:t>
      </w:r>
      <w:r w:rsidRPr="00A824AC">
        <w:t xml:space="preserve">and </w:t>
      </w:r>
      <w:r w:rsidR="0095327C" w:rsidRPr="00A824AC">
        <w:t>lightning</w:t>
      </w:r>
      <w:r w:rsidRPr="00A824AC">
        <w:t xml:space="preserve"> storm hazard index, </w:t>
      </w:r>
      <w:r w:rsidRPr="00A824AC">
        <w:rPr>
          <w:bCs/>
        </w:rPr>
        <w:t>I</w:t>
      </w:r>
      <w:r w:rsidRPr="00A824AC">
        <w:rPr>
          <w:bCs/>
          <w:vertAlign w:val="subscript"/>
        </w:rPr>
        <w:t>Hs</w:t>
      </w:r>
      <w:r w:rsidR="0095327C" w:rsidRPr="00A824AC">
        <w:rPr>
          <w:bCs/>
          <w:vertAlign w:val="subscript"/>
        </w:rPr>
        <w:t>l</w:t>
      </w:r>
      <w:r w:rsidRPr="00A824AC">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119"/>
        <w:gridCol w:w="2551"/>
      </w:tblGrid>
      <w:tr w:rsidR="00D16BD4" w:rsidRPr="00A824AC" w14:paraId="099545B8" w14:textId="77777777" w:rsidTr="00A824AC">
        <w:tc>
          <w:tcPr>
            <w:tcW w:w="3119" w:type="dxa"/>
            <w:tcBorders>
              <w:top w:val="single" w:sz="12" w:space="0" w:color="008000"/>
              <w:bottom w:val="single" w:sz="6" w:space="0" w:color="008000"/>
            </w:tcBorders>
            <w:shd w:val="clear" w:color="auto" w:fill="FFFFFF"/>
          </w:tcPr>
          <w:p w14:paraId="450C2B6C" w14:textId="57917E6E" w:rsidR="00D16BD4" w:rsidRPr="00A824AC" w:rsidRDefault="0095327C" w:rsidP="00181D9C">
            <w:pPr>
              <w:pStyle w:val="CETBodytext"/>
              <w:jc w:val="center"/>
              <w:rPr>
                <w:lang w:val="en-GB"/>
              </w:rPr>
            </w:pPr>
            <w:r w:rsidRPr="00A824AC">
              <w:rPr>
                <w:lang w:val="en-GB"/>
              </w:rPr>
              <w:t>Ng</w:t>
            </w:r>
          </w:p>
        </w:tc>
        <w:tc>
          <w:tcPr>
            <w:tcW w:w="2551" w:type="dxa"/>
            <w:tcBorders>
              <w:top w:val="single" w:sz="12" w:space="0" w:color="008000"/>
              <w:bottom w:val="single" w:sz="6" w:space="0" w:color="008000"/>
            </w:tcBorders>
            <w:shd w:val="clear" w:color="auto" w:fill="FFFFFF"/>
          </w:tcPr>
          <w:p w14:paraId="7EEA9CFB" w14:textId="7CA219EB" w:rsidR="00D16BD4" w:rsidRPr="00A824AC" w:rsidRDefault="00D16BD4" w:rsidP="00181D9C">
            <w:pPr>
              <w:pStyle w:val="CETBodytext"/>
              <w:jc w:val="center"/>
              <w:rPr>
                <w:lang w:val="en-GB"/>
              </w:rPr>
            </w:pPr>
            <w:r w:rsidRPr="00A824AC">
              <w:rPr>
                <w:bCs/>
                <w:lang w:val="en-GB"/>
              </w:rPr>
              <w:t>I</w:t>
            </w:r>
            <w:r w:rsidRPr="00A824AC">
              <w:rPr>
                <w:bCs/>
                <w:vertAlign w:val="subscript"/>
                <w:lang w:val="en-GB"/>
              </w:rPr>
              <w:t>Hs</w:t>
            </w:r>
            <w:r w:rsidR="0095327C" w:rsidRPr="00A824AC">
              <w:rPr>
                <w:bCs/>
                <w:vertAlign w:val="subscript"/>
                <w:lang w:val="en-GB"/>
              </w:rPr>
              <w:t>l</w:t>
            </w:r>
          </w:p>
        </w:tc>
      </w:tr>
      <w:tr w:rsidR="00D16BD4" w:rsidRPr="00A824AC" w14:paraId="02F77C62" w14:textId="77777777" w:rsidTr="00A824AC">
        <w:tc>
          <w:tcPr>
            <w:tcW w:w="3119" w:type="dxa"/>
            <w:shd w:val="clear" w:color="auto" w:fill="FFFFFF"/>
          </w:tcPr>
          <w:p w14:paraId="3EA05320" w14:textId="1B677726" w:rsidR="00D16BD4" w:rsidRPr="00A824AC" w:rsidRDefault="00D16BD4" w:rsidP="00181D9C">
            <w:pPr>
              <w:pStyle w:val="CETBodytext"/>
              <w:jc w:val="center"/>
              <w:rPr>
                <w:lang w:val="en-GB"/>
              </w:rPr>
            </w:pPr>
            <w:r w:rsidRPr="00A824AC">
              <w:rPr>
                <w:lang w:val="en-GB"/>
              </w:rPr>
              <w:t xml:space="preserve">&lt; </w:t>
            </w:r>
            <w:r w:rsidR="0095327C" w:rsidRPr="00A824AC">
              <w:rPr>
                <w:lang w:val="en-GB"/>
              </w:rPr>
              <w:t>1</w:t>
            </w:r>
          </w:p>
        </w:tc>
        <w:tc>
          <w:tcPr>
            <w:tcW w:w="2551" w:type="dxa"/>
            <w:shd w:val="clear" w:color="auto" w:fill="FFFFFF"/>
          </w:tcPr>
          <w:p w14:paraId="27A1BDB4" w14:textId="77777777" w:rsidR="00D16BD4" w:rsidRPr="00A824AC" w:rsidRDefault="00D16BD4" w:rsidP="00181D9C">
            <w:pPr>
              <w:pStyle w:val="CETBodytext"/>
              <w:jc w:val="center"/>
              <w:rPr>
                <w:lang w:val="en-GB"/>
              </w:rPr>
            </w:pPr>
            <w:r w:rsidRPr="00A824AC">
              <w:rPr>
                <w:lang w:val="en-GB"/>
              </w:rPr>
              <w:t>1</w:t>
            </w:r>
          </w:p>
        </w:tc>
      </w:tr>
      <w:tr w:rsidR="00D16BD4" w:rsidRPr="00A824AC" w14:paraId="6D4A7829" w14:textId="77777777" w:rsidTr="00A824AC">
        <w:tc>
          <w:tcPr>
            <w:tcW w:w="3119" w:type="dxa"/>
            <w:shd w:val="clear" w:color="auto" w:fill="FFFFFF"/>
          </w:tcPr>
          <w:p w14:paraId="6B6B74D8" w14:textId="7546B8B2" w:rsidR="00D16BD4" w:rsidRPr="00A824AC" w:rsidRDefault="00C83116" w:rsidP="00181D9C">
            <w:pPr>
              <w:pStyle w:val="CETBodytext"/>
              <w:ind w:right="-1"/>
              <w:jc w:val="center"/>
              <w:rPr>
                <w:rFonts w:cs="Arial"/>
                <w:szCs w:val="18"/>
                <w:lang w:val="en-GB"/>
              </w:rPr>
            </w:pPr>
            <w:r w:rsidRPr="00A824AC">
              <w:rPr>
                <w:rFonts w:cs="Arial"/>
                <w:szCs w:val="18"/>
                <w:lang w:val="en-GB"/>
              </w:rPr>
              <w:t xml:space="preserve">≥ </w:t>
            </w:r>
            <w:r w:rsidR="0095327C" w:rsidRPr="00A824AC">
              <w:rPr>
                <w:rFonts w:cs="Arial"/>
                <w:szCs w:val="18"/>
                <w:lang w:val="en-GB"/>
              </w:rPr>
              <w:t>1</w:t>
            </w:r>
            <w:r w:rsidR="00D16BD4" w:rsidRPr="00A824AC">
              <w:rPr>
                <w:rFonts w:cs="Arial"/>
                <w:szCs w:val="18"/>
                <w:lang w:val="en-GB"/>
              </w:rPr>
              <w:t xml:space="preserve"> </w:t>
            </w:r>
            <w:r w:rsidRPr="00A824AC">
              <w:rPr>
                <w:rFonts w:cs="Arial"/>
                <w:szCs w:val="18"/>
                <w:lang w:val="en-GB"/>
              </w:rPr>
              <w:t>&lt;</w:t>
            </w:r>
            <w:r w:rsidR="00D16BD4" w:rsidRPr="00A824AC">
              <w:rPr>
                <w:rFonts w:cs="Arial"/>
                <w:szCs w:val="18"/>
                <w:lang w:val="en-GB"/>
              </w:rPr>
              <w:t xml:space="preserve"> </w:t>
            </w:r>
            <w:r w:rsidR="0095327C" w:rsidRPr="00A824AC">
              <w:rPr>
                <w:rFonts w:cs="Arial"/>
                <w:szCs w:val="18"/>
                <w:lang w:val="en-GB"/>
              </w:rPr>
              <w:t>2.5</w:t>
            </w:r>
          </w:p>
        </w:tc>
        <w:tc>
          <w:tcPr>
            <w:tcW w:w="2551" w:type="dxa"/>
            <w:shd w:val="clear" w:color="auto" w:fill="FFFFFF"/>
          </w:tcPr>
          <w:p w14:paraId="146E79FC" w14:textId="77777777" w:rsidR="00D16BD4" w:rsidRPr="00A824AC" w:rsidRDefault="00D16BD4" w:rsidP="00181D9C">
            <w:pPr>
              <w:pStyle w:val="CETBodytext"/>
              <w:ind w:right="-1"/>
              <w:jc w:val="center"/>
              <w:rPr>
                <w:rFonts w:cs="Arial"/>
                <w:szCs w:val="18"/>
                <w:lang w:val="en-GB"/>
              </w:rPr>
            </w:pPr>
            <w:r w:rsidRPr="00A824AC">
              <w:rPr>
                <w:rFonts w:cs="Arial"/>
                <w:szCs w:val="18"/>
                <w:lang w:val="en-GB"/>
              </w:rPr>
              <w:t>2</w:t>
            </w:r>
          </w:p>
        </w:tc>
      </w:tr>
      <w:tr w:rsidR="00D16BD4" w:rsidRPr="00A824AC" w14:paraId="0442C892" w14:textId="77777777" w:rsidTr="00A824AC">
        <w:tc>
          <w:tcPr>
            <w:tcW w:w="3119" w:type="dxa"/>
            <w:shd w:val="clear" w:color="auto" w:fill="FFFFFF"/>
          </w:tcPr>
          <w:p w14:paraId="5CF09EE6" w14:textId="3415503C" w:rsidR="00D16BD4" w:rsidRPr="00A824AC" w:rsidRDefault="00C83116" w:rsidP="0095327C">
            <w:pPr>
              <w:pStyle w:val="CETBodytext"/>
              <w:ind w:right="-1"/>
              <w:jc w:val="center"/>
              <w:rPr>
                <w:rFonts w:cs="Arial"/>
                <w:szCs w:val="18"/>
                <w:lang w:val="en-GB"/>
              </w:rPr>
            </w:pPr>
            <w:r w:rsidRPr="00A824AC">
              <w:rPr>
                <w:rFonts w:cs="Arial"/>
                <w:szCs w:val="18"/>
                <w:lang w:val="en-GB"/>
              </w:rPr>
              <w:t>≥</w:t>
            </w:r>
            <w:r w:rsidR="0095327C" w:rsidRPr="00A824AC">
              <w:rPr>
                <w:rFonts w:cs="Arial"/>
                <w:szCs w:val="18"/>
                <w:lang w:val="en-GB"/>
              </w:rPr>
              <w:t xml:space="preserve"> 2.5</w:t>
            </w:r>
            <w:r w:rsidR="00D16BD4" w:rsidRPr="00A824AC">
              <w:rPr>
                <w:rFonts w:cs="Arial"/>
                <w:szCs w:val="18"/>
                <w:lang w:val="en-GB"/>
              </w:rPr>
              <w:t xml:space="preserve"> </w:t>
            </w:r>
            <w:r w:rsidRPr="00A824AC">
              <w:rPr>
                <w:rFonts w:cs="Arial"/>
                <w:szCs w:val="18"/>
                <w:lang w:val="en-GB"/>
              </w:rPr>
              <w:t>&lt;</w:t>
            </w:r>
            <w:r w:rsidR="00D16BD4" w:rsidRPr="00A824AC">
              <w:rPr>
                <w:rFonts w:cs="Arial"/>
                <w:szCs w:val="18"/>
                <w:lang w:val="en-GB"/>
              </w:rPr>
              <w:t xml:space="preserve"> </w:t>
            </w:r>
            <w:r w:rsidR="0095327C" w:rsidRPr="00A824AC">
              <w:rPr>
                <w:rFonts w:cs="Arial"/>
                <w:szCs w:val="18"/>
                <w:lang w:val="en-GB"/>
              </w:rPr>
              <w:t>4</w:t>
            </w:r>
          </w:p>
        </w:tc>
        <w:tc>
          <w:tcPr>
            <w:tcW w:w="2551" w:type="dxa"/>
            <w:shd w:val="clear" w:color="auto" w:fill="FFFFFF"/>
          </w:tcPr>
          <w:p w14:paraId="160CCDE0" w14:textId="77777777" w:rsidR="00D16BD4" w:rsidRPr="00A824AC" w:rsidRDefault="00D16BD4" w:rsidP="00181D9C">
            <w:pPr>
              <w:pStyle w:val="CETBodytext"/>
              <w:ind w:right="-1"/>
              <w:jc w:val="center"/>
              <w:rPr>
                <w:rFonts w:cs="Arial"/>
                <w:szCs w:val="18"/>
                <w:lang w:val="en-GB"/>
              </w:rPr>
            </w:pPr>
            <w:r w:rsidRPr="00A824AC">
              <w:rPr>
                <w:rFonts w:cs="Arial"/>
                <w:szCs w:val="18"/>
                <w:lang w:val="en-GB"/>
              </w:rPr>
              <w:t>3</w:t>
            </w:r>
          </w:p>
        </w:tc>
      </w:tr>
      <w:tr w:rsidR="00D16BD4" w:rsidRPr="00A824AC" w14:paraId="1A1C0DDB" w14:textId="77777777" w:rsidTr="00A824AC">
        <w:tc>
          <w:tcPr>
            <w:tcW w:w="3119" w:type="dxa"/>
            <w:shd w:val="clear" w:color="auto" w:fill="FFFFFF"/>
          </w:tcPr>
          <w:p w14:paraId="11153360" w14:textId="48AE585A" w:rsidR="00D16BD4" w:rsidRPr="00A824AC" w:rsidRDefault="00C83116" w:rsidP="00181D9C">
            <w:pPr>
              <w:pStyle w:val="CETBodytext"/>
              <w:ind w:right="-1"/>
              <w:jc w:val="center"/>
              <w:rPr>
                <w:rFonts w:cs="Arial"/>
                <w:szCs w:val="18"/>
                <w:lang w:val="en-GB"/>
              </w:rPr>
            </w:pPr>
            <w:r w:rsidRPr="00A824AC">
              <w:rPr>
                <w:rFonts w:cs="Arial"/>
                <w:szCs w:val="18"/>
                <w:lang w:val="en-GB"/>
              </w:rPr>
              <w:t>≥</w:t>
            </w:r>
            <w:r w:rsidR="00D16BD4" w:rsidRPr="00A824AC">
              <w:rPr>
                <w:rFonts w:cs="Arial"/>
                <w:szCs w:val="18"/>
                <w:lang w:val="en-GB"/>
              </w:rPr>
              <w:t xml:space="preserve"> </w:t>
            </w:r>
            <w:r w:rsidR="0095327C" w:rsidRPr="00A824AC">
              <w:rPr>
                <w:rFonts w:cs="Arial"/>
                <w:szCs w:val="18"/>
                <w:lang w:val="en-GB"/>
              </w:rPr>
              <w:t>4</w:t>
            </w:r>
          </w:p>
        </w:tc>
        <w:tc>
          <w:tcPr>
            <w:tcW w:w="2551" w:type="dxa"/>
            <w:shd w:val="clear" w:color="auto" w:fill="FFFFFF"/>
          </w:tcPr>
          <w:p w14:paraId="7560B566" w14:textId="77777777" w:rsidR="00D16BD4" w:rsidRPr="00A824AC" w:rsidRDefault="00D16BD4" w:rsidP="00181D9C">
            <w:pPr>
              <w:pStyle w:val="CETBodytext"/>
              <w:ind w:right="-1"/>
              <w:jc w:val="center"/>
              <w:rPr>
                <w:rFonts w:cs="Arial"/>
                <w:szCs w:val="18"/>
                <w:lang w:val="en-GB"/>
              </w:rPr>
            </w:pPr>
            <w:r w:rsidRPr="00A824AC">
              <w:rPr>
                <w:rFonts w:cs="Arial"/>
                <w:szCs w:val="18"/>
                <w:lang w:val="en-GB"/>
              </w:rPr>
              <w:t>4</w:t>
            </w:r>
          </w:p>
        </w:tc>
      </w:tr>
    </w:tbl>
    <w:p w14:paraId="389B8E9C" w14:textId="3D2FFF1E" w:rsidR="00C1223D" w:rsidRPr="00A824AC" w:rsidRDefault="001908A2" w:rsidP="00EA44D0">
      <w:pPr>
        <w:pStyle w:val="CETHeading1"/>
        <w:tabs>
          <w:tab w:val="num" w:pos="360"/>
        </w:tabs>
        <w:rPr>
          <w:lang w:val="en-GB"/>
        </w:rPr>
      </w:pPr>
      <w:bookmarkStart w:id="3" w:name="_Hlk189931853"/>
      <w:r w:rsidRPr="00A824AC">
        <w:rPr>
          <w:lang w:val="en-GB"/>
        </w:rPr>
        <w:t xml:space="preserve">How to determine the storm vulnerability index, </w:t>
      </w:r>
      <w:r w:rsidRPr="00A824AC">
        <w:rPr>
          <w:bCs/>
          <w:lang w:val="en-GB"/>
        </w:rPr>
        <w:t>I</w:t>
      </w:r>
      <w:r w:rsidR="006753CF" w:rsidRPr="00A824AC">
        <w:rPr>
          <w:bCs/>
          <w:vertAlign w:val="subscript"/>
          <w:lang w:val="en-GB"/>
        </w:rPr>
        <w:t>Vs</w:t>
      </w:r>
      <w:bookmarkEnd w:id="3"/>
    </w:p>
    <w:p w14:paraId="7738D2CE" w14:textId="5739B28A" w:rsidR="000E6CE1" w:rsidRPr="00A824AC" w:rsidRDefault="00387E8C" w:rsidP="001E613B">
      <w:pPr>
        <w:pStyle w:val="CETBodytext"/>
        <w:rPr>
          <w:lang w:val="en-GB"/>
        </w:rPr>
      </w:pPr>
      <w:r w:rsidRPr="00A824AC">
        <w:rPr>
          <w:lang w:val="en-GB"/>
        </w:rPr>
        <w:t>In industrial plants it is important to identify the vulnerability of critical equipment that is the basis for triggering natech events from storms.</w:t>
      </w:r>
      <w:r w:rsidR="001E613B" w:rsidRPr="00A824AC">
        <w:rPr>
          <w:lang w:val="en-GB"/>
        </w:rPr>
        <w:t xml:space="preserve"> The risk analysis methodology used by the Seveso industry often resulted in scenarios related to </w:t>
      </w:r>
      <w:r w:rsidR="00C17166" w:rsidRPr="00A824AC">
        <w:rPr>
          <w:lang w:val="en-GB"/>
        </w:rPr>
        <w:t>Natech</w:t>
      </w:r>
      <w:r w:rsidR="001E613B" w:rsidRPr="00A824AC">
        <w:rPr>
          <w:lang w:val="en-GB"/>
        </w:rPr>
        <w:t xml:space="preserve"> (</w:t>
      </w:r>
      <w:r w:rsidR="001E613B" w:rsidRPr="00A824AC">
        <w:rPr>
          <w:szCs w:val="18"/>
          <w:lang w:val="en-GB"/>
        </w:rPr>
        <w:t>Castro Rodriguez et al., 2023).</w:t>
      </w:r>
      <w:r w:rsidR="001E613B" w:rsidRPr="00A824AC">
        <w:rPr>
          <w:lang w:val="en-GB"/>
        </w:rPr>
        <w:t xml:space="preserve"> </w:t>
      </w:r>
      <w:r w:rsidRPr="00A824AC">
        <w:rPr>
          <w:lang w:val="en-GB"/>
        </w:rPr>
        <w:t>Among the equipment with greater criticality in this work are considered those containing hazardous substances present in the process and storage industry: pressurized equipment</w:t>
      </w:r>
      <w:r w:rsidR="002B5F07" w:rsidRPr="00A824AC">
        <w:rPr>
          <w:lang w:val="en-GB"/>
        </w:rPr>
        <w:t xml:space="preserve">, built according to </w:t>
      </w:r>
      <w:r w:rsidR="00A619D7" w:rsidRPr="00A824AC">
        <w:rPr>
          <w:lang w:val="en-GB"/>
        </w:rPr>
        <w:t>D</w:t>
      </w:r>
      <w:r w:rsidR="002B5F07" w:rsidRPr="00A824AC">
        <w:rPr>
          <w:lang w:val="en-GB"/>
        </w:rPr>
        <w:t>irective</w:t>
      </w:r>
      <w:r w:rsidR="00A619D7" w:rsidRPr="00A824AC">
        <w:rPr>
          <w:lang w:val="en-GB"/>
        </w:rPr>
        <w:t xml:space="preserve"> 2014/68/EU (PED – Pressure Equipment Directive)</w:t>
      </w:r>
      <w:r w:rsidR="002B5F07" w:rsidRPr="00A824AC">
        <w:rPr>
          <w:lang w:val="en-GB"/>
        </w:rPr>
        <w:t xml:space="preserve"> </w:t>
      </w:r>
      <w:r w:rsidR="002B5F07" w:rsidRPr="00A824AC">
        <w:rPr>
          <w:lang w:val="en-GB"/>
        </w:rPr>
        <w:lastRenderedPageBreak/>
        <w:t>(</w:t>
      </w:r>
      <w:r w:rsidRPr="00A824AC">
        <w:rPr>
          <w:lang w:val="en-GB"/>
        </w:rPr>
        <w:t>spheres, columns, reactors, exchangers, tanks, ovens), atmospheric storage tanks (fixed or floating roof) and piping systems containing or conveying hazardous substances (pressurized or not). In Table 4 we relate the type of equipment containing hazardous substances with the storm vulnerability index "I</w:t>
      </w:r>
      <w:r w:rsidRPr="00A824AC">
        <w:rPr>
          <w:vertAlign w:val="subscript"/>
          <w:lang w:val="en-GB"/>
        </w:rPr>
        <w:t>Vs</w:t>
      </w:r>
      <w:r w:rsidRPr="00A824AC">
        <w:rPr>
          <w:lang w:val="en-GB"/>
        </w:rPr>
        <w:t xml:space="preserve">". The latter is determined in a range from 1 to 4 in the light of the authors' experience in the field. The values must </w:t>
      </w:r>
      <w:proofErr w:type="gramStart"/>
      <w:r w:rsidRPr="00A824AC">
        <w:rPr>
          <w:lang w:val="en-GB"/>
        </w:rPr>
        <w:t>take into account</w:t>
      </w:r>
      <w:proofErr w:type="gramEnd"/>
      <w:r w:rsidRPr="00A824AC">
        <w:rPr>
          <w:lang w:val="en-GB"/>
        </w:rPr>
        <w:t xml:space="preserve"> the maintenance status of said critical equipment</w:t>
      </w:r>
      <w:r w:rsidR="000E6CE1" w:rsidRPr="00A824AC">
        <w:rPr>
          <w:lang w:val="en-GB"/>
        </w:rPr>
        <w:t xml:space="preserve">. </w:t>
      </w:r>
    </w:p>
    <w:p w14:paraId="18C6CEBD" w14:textId="1F79F816" w:rsidR="00387E8C" w:rsidRPr="00A824AC" w:rsidRDefault="00387E8C" w:rsidP="00387E8C">
      <w:pPr>
        <w:pStyle w:val="CETTabletitle"/>
      </w:pPr>
      <w:r w:rsidRPr="00A824AC">
        <w:t xml:space="preserve">Table 4. Relationship between equipment containing hazardous substances and storm vulnerability index, </w:t>
      </w:r>
      <w:r w:rsidRPr="00A824AC">
        <w:rPr>
          <w:bCs/>
        </w:rPr>
        <w:t>I</w:t>
      </w:r>
      <w:r w:rsidRPr="00A824AC">
        <w:rPr>
          <w:bCs/>
          <w:vertAlign w:val="subscript"/>
        </w:rPr>
        <w:t>Vs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65"/>
        <w:gridCol w:w="2060"/>
        <w:gridCol w:w="2060"/>
        <w:gridCol w:w="2102"/>
      </w:tblGrid>
      <w:tr w:rsidR="00387E8C" w:rsidRPr="00A824AC" w14:paraId="4894561F" w14:textId="77777777" w:rsidTr="00A824AC">
        <w:tc>
          <w:tcPr>
            <w:tcW w:w="2565" w:type="dxa"/>
            <w:tcBorders>
              <w:top w:val="single" w:sz="12" w:space="0" w:color="008000"/>
              <w:bottom w:val="single" w:sz="6" w:space="0" w:color="008000"/>
            </w:tcBorders>
            <w:shd w:val="clear" w:color="auto" w:fill="FFFFFF"/>
          </w:tcPr>
          <w:p w14:paraId="1DF5DB9D" w14:textId="77EF1169" w:rsidR="00387E8C" w:rsidRPr="00A824AC" w:rsidRDefault="002B0070" w:rsidP="00387E8C">
            <w:pPr>
              <w:pStyle w:val="CETBodytext"/>
              <w:jc w:val="center"/>
              <w:rPr>
                <w:lang w:val="en-GB"/>
              </w:rPr>
            </w:pPr>
            <w:r w:rsidRPr="00A824AC">
              <w:rPr>
                <w:sz w:val="16"/>
                <w:szCs w:val="16"/>
                <w:lang w:val="en-GB"/>
              </w:rPr>
              <w:t>Equipment type</w:t>
            </w:r>
          </w:p>
        </w:tc>
        <w:tc>
          <w:tcPr>
            <w:tcW w:w="2060" w:type="dxa"/>
            <w:tcBorders>
              <w:top w:val="single" w:sz="12" w:space="0" w:color="008000"/>
              <w:bottom w:val="single" w:sz="6" w:space="0" w:color="008000"/>
            </w:tcBorders>
            <w:shd w:val="clear" w:color="auto" w:fill="FFFFFF"/>
          </w:tcPr>
          <w:p w14:paraId="7218CAB8" w14:textId="54B65B22" w:rsidR="00387E8C" w:rsidRPr="00A824AC" w:rsidRDefault="002B0070" w:rsidP="00387E8C">
            <w:pPr>
              <w:pStyle w:val="CETBodytext"/>
              <w:jc w:val="center"/>
              <w:rPr>
                <w:lang w:val="en-GB"/>
              </w:rPr>
            </w:pPr>
            <w:r w:rsidRPr="00A824AC">
              <w:rPr>
                <w:sz w:val="16"/>
                <w:szCs w:val="16"/>
                <w:lang w:val="en-GB"/>
              </w:rPr>
              <w:t>Filling level</w:t>
            </w:r>
          </w:p>
        </w:tc>
        <w:tc>
          <w:tcPr>
            <w:tcW w:w="2060" w:type="dxa"/>
            <w:tcBorders>
              <w:top w:val="single" w:sz="12" w:space="0" w:color="008000"/>
              <w:bottom w:val="single" w:sz="6" w:space="0" w:color="008000"/>
            </w:tcBorders>
            <w:shd w:val="clear" w:color="auto" w:fill="FFFFFF"/>
          </w:tcPr>
          <w:p w14:paraId="0B3B8D31" w14:textId="09300538" w:rsidR="00387E8C" w:rsidRPr="00A824AC" w:rsidRDefault="002B0070" w:rsidP="00387E8C">
            <w:pPr>
              <w:pStyle w:val="CETBodytext"/>
              <w:jc w:val="center"/>
              <w:rPr>
                <w:lang w:val="en-GB"/>
              </w:rPr>
            </w:pPr>
            <w:r w:rsidRPr="00A824AC">
              <w:rPr>
                <w:sz w:val="16"/>
                <w:szCs w:val="16"/>
                <w:lang w:val="en-GB"/>
              </w:rPr>
              <w:t>Construction features</w:t>
            </w:r>
          </w:p>
        </w:tc>
        <w:tc>
          <w:tcPr>
            <w:tcW w:w="2102" w:type="dxa"/>
            <w:tcBorders>
              <w:top w:val="single" w:sz="12" w:space="0" w:color="008000"/>
              <w:bottom w:val="single" w:sz="6" w:space="0" w:color="008000"/>
            </w:tcBorders>
            <w:shd w:val="clear" w:color="auto" w:fill="FFFFFF"/>
          </w:tcPr>
          <w:p w14:paraId="7BF6DD4A" w14:textId="6F58C99B" w:rsidR="00387E8C" w:rsidRPr="00A824AC" w:rsidRDefault="00387E8C" w:rsidP="00387E8C">
            <w:pPr>
              <w:pStyle w:val="CETBodytext"/>
              <w:jc w:val="center"/>
              <w:rPr>
                <w:lang w:val="en-GB"/>
              </w:rPr>
            </w:pPr>
            <w:r w:rsidRPr="00A824AC">
              <w:rPr>
                <w:lang w:val="en-GB"/>
              </w:rPr>
              <w:t>I</w:t>
            </w:r>
            <w:r w:rsidRPr="00A824AC">
              <w:rPr>
                <w:vertAlign w:val="subscript"/>
                <w:lang w:val="en-GB"/>
              </w:rPr>
              <w:t>Vs</w:t>
            </w:r>
          </w:p>
        </w:tc>
      </w:tr>
      <w:tr w:rsidR="00387E8C" w:rsidRPr="00A824AC" w14:paraId="0C2D74FF" w14:textId="77777777" w:rsidTr="00A824AC">
        <w:tc>
          <w:tcPr>
            <w:tcW w:w="2565" w:type="dxa"/>
            <w:shd w:val="clear" w:color="auto" w:fill="FFFFFF"/>
          </w:tcPr>
          <w:p w14:paraId="7DB8AF03" w14:textId="7FA84091" w:rsidR="00387E8C" w:rsidRPr="00A824AC" w:rsidRDefault="002B0070" w:rsidP="00387E8C">
            <w:pPr>
              <w:pStyle w:val="CETBodytext"/>
              <w:jc w:val="center"/>
              <w:rPr>
                <w:lang w:val="en-GB"/>
              </w:rPr>
            </w:pPr>
            <w:r w:rsidRPr="00A824AC">
              <w:rPr>
                <w:sz w:val="16"/>
                <w:szCs w:val="16"/>
                <w:lang w:val="en-GB"/>
              </w:rPr>
              <w:t>Floating Roof Tanks</w:t>
            </w:r>
          </w:p>
        </w:tc>
        <w:tc>
          <w:tcPr>
            <w:tcW w:w="2060" w:type="dxa"/>
            <w:shd w:val="clear" w:color="auto" w:fill="FFFFFF"/>
          </w:tcPr>
          <w:p w14:paraId="182DD3FD" w14:textId="1EA55628" w:rsidR="00387E8C" w:rsidRPr="00A824AC" w:rsidRDefault="000A1A31" w:rsidP="00387E8C">
            <w:pPr>
              <w:pStyle w:val="CETBodytext"/>
              <w:jc w:val="center"/>
              <w:rPr>
                <w:lang w:val="en-GB"/>
              </w:rPr>
            </w:pPr>
            <w:r w:rsidRPr="00A824AC">
              <w:rPr>
                <w:rFonts w:cs="Arial"/>
                <w:sz w:val="16"/>
                <w:szCs w:val="16"/>
                <w:lang w:val="en-GB"/>
              </w:rPr>
              <w:t>≥</w:t>
            </w:r>
            <w:r w:rsidR="00387E8C" w:rsidRPr="00A824AC">
              <w:rPr>
                <w:sz w:val="16"/>
                <w:szCs w:val="16"/>
                <w:lang w:val="en-GB"/>
              </w:rPr>
              <w:t>50% /</w:t>
            </w:r>
            <w:r w:rsidR="002B0070" w:rsidRPr="00A824AC">
              <w:rPr>
                <w:sz w:val="16"/>
                <w:szCs w:val="16"/>
                <w:lang w:val="en-GB"/>
              </w:rPr>
              <w:t xml:space="preserve"> </w:t>
            </w:r>
            <w:r w:rsidR="00387E8C" w:rsidRPr="00A824AC">
              <w:rPr>
                <w:sz w:val="16"/>
                <w:szCs w:val="16"/>
                <w:lang w:val="en-GB"/>
              </w:rPr>
              <w:t xml:space="preserve">&lt; 50%  </w:t>
            </w:r>
          </w:p>
        </w:tc>
        <w:tc>
          <w:tcPr>
            <w:tcW w:w="2060" w:type="dxa"/>
            <w:shd w:val="clear" w:color="auto" w:fill="FFFFFF"/>
          </w:tcPr>
          <w:p w14:paraId="68CD7317" w14:textId="6FA520C8" w:rsidR="00387E8C" w:rsidRPr="00A824AC" w:rsidRDefault="00387E8C" w:rsidP="00387E8C">
            <w:pPr>
              <w:pStyle w:val="CETBodytext"/>
              <w:jc w:val="center"/>
              <w:rPr>
                <w:lang w:val="en-GB"/>
              </w:rPr>
            </w:pPr>
            <w:r w:rsidRPr="00A824AC">
              <w:rPr>
                <w:sz w:val="16"/>
                <w:szCs w:val="16"/>
                <w:lang w:val="en-GB"/>
              </w:rPr>
              <w:t xml:space="preserve"> </w:t>
            </w:r>
          </w:p>
        </w:tc>
        <w:tc>
          <w:tcPr>
            <w:tcW w:w="2102" w:type="dxa"/>
            <w:shd w:val="clear" w:color="auto" w:fill="FFFFFF"/>
          </w:tcPr>
          <w:p w14:paraId="311EF86F" w14:textId="35051A64" w:rsidR="00387E8C" w:rsidRPr="00A824AC" w:rsidRDefault="00387E8C" w:rsidP="002B0070">
            <w:pPr>
              <w:pStyle w:val="CETBodytext"/>
              <w:jc w:val="center"/>
              <w:rPr>
                <w:lang w:val="en-GB"/>
              </w:rPr>
            </w:pPr>
            <w:r w:rsidRPr="00A824AC">
              <w:rPr>
                <w:sz w:val="16"/>
                <w:szCs w:val="16"/>
                <w:lang w:val="en-GB"/>
              </w:rPr>
              <w:t>4 /</w:t>
            </w:r>
            <w:r w:rsidR="002B0070" w:rsidRPr="00A824AC">
              <w:rPr>
                <w:sz w:val="16"/>
                <w:szCs w:val="16"/>
                <w:lang w:val="en-GB"/>
              </w:rPr>
              <w:t xml:space="preserve"> </w:t>
            </w:r>
            <w:r w:rsidRPr="00A824AC">
              <w:rPr>
                <w:sz w:val="16"/>
                <w:szCs w:val="16"/>
                <w:lang w:val="en-GB"/>
              </w:rPr>
              <w:t>3</w:t>
            </w:r>
          </w:p>
        </w:tc>
      </w:tr>
      <w:tr w:rsidR="00387E8C" w:rsidRPr="00A824AC" w14:paraId="34E3E58C" w14:textId="77777777" w:rsidTr="00A824AC">
        <w:tc>
          <w:tcPr>
            <w:tcW w:w="2565" w:type="dxa"/>
            <w:shd w:val="clear" w:color="auto" w:fill="FFFFFF"/>
          </w:tcPr>
          <w:p w14:paraId="141AAC72" w14:textId="11F8C79F" w:rsidR="00387E8C" w:rsidRPr="00A824AC" w:rsidRDefault="002B0070" w:rsidP="00387E8C">
            <w:pPr>
              <w:pStyle w:val="CETBodytext"/>
              <w:jc w:val="center"/>
              <w:rPr>
                <w:lang w:val="en-GB"/>
              </w:rPr>
            </w:pPr>
            <w:r w:rsidRPr="00A824AC">
              <w:rPr>
                <w:sz w:val="16"/>
                <w:szCs w:val="16"/>
                <w:lang w:val="en-GB"/>
              </w:rPr>
              <w:t>Fixed Roof Tank</w:t>
            </w:r>
          </w:p>
        </w:tc>
        <w:tc>
          <w:tcPr>
            <w:tcW w:w="2060" w:type="dxa"/>
            <w:shd w:val="clear" w:color="auto" w:fill="FFFFFF"/>
          </w:tcPr>
          <w:p w14:paraId="5E565D17" w14:textId="03DCB405" w:rsidR="00387E8C" w:rsidRPr="00A824AC" w:rsidRDefault="000A1A31" w:rsidP="00387E8C">
            <w:pPr>
              <w:pStyle w:val="CETBodytext"/>
              <w:jc w:val="center"/>
              <w:rPr>
                <w:lang w:val="en-GB"/>
              </w:rPr>
            </w:pPr>
            <w:r w:rsidRPr="00A824AC">
              <w:rPr>
                <w:rFonts w:cs="Arial"/>
                <w:sz w:val="16"/>
                <w:szCs w:val="16"/>
                <w:lang w:val="en-GB"/>
              </w:rPr>
              <w:t>≥</w:t>
            </w:r>
            <w:r w:rsidR="00387E8C" w:rsidRPr="00A824AC">
              <w:rPr>
                <w:sz w:val="16"/>
                <w:szCs w:val="16"/>
                <w:lang w:val="en-GB"/>
              </w:rPr>
              <w:t>50 % /</w:t>
            </w:r>
            <w:r w:rsidR="002B0070" w:rsidRPr="00A824AC">
              <w:rPr>
                <w:sz w:val="16"/>
                <w:szCs w:val="16"/>
                <w:lang w:val="en-GB"/>
              </w:rPr>
              <w:t xml:space="preserve"> </w:t>
            </w:r>
            <w:r w:rsidR="00387E8C" w:rsidRPr="00A824AC">
              <w:rPr>
                <w:sz w:val="16"/>
                <w:szCs w:val="16"/>
                <w:lang w:val="en-GB"/>
              </w:rPr>
              <w:t>&lt; 50%</w:t>
            </w:r>
          </w:p>
        </w:tc>
        <w:tc>
          <w:tcPr>
            <w:tcW w:w="2060" w:type="dxa"/>
            <w:shd w:val="clear" w:color="auto" w:fill="FFFFFF"/>
          </w:tcPr>
          <w:p w14:paraId="323E26BB" w14:textId="0813AE05" w:rsidR="00387E8C" w:rsidRPr="00A824AC" w:rsidRDefault="00387E8C" w:rsidP="00387E8C">
            <w:pPr>
              <w:pStyle w:val="CETBodytext"/>
              <w:jc w:val="center"/>
              <w:rPr>
                <w:lang w:val="en-GB"/>
              </w:rPr>
            </w:pPr>
            <w:r w:rsidRPr="00A824AC">
              <w:rPr>
                <w:sz w:val="16"/>
                <w:szCs w:val="16"/>
                <w:lang w:val="en-GB"/>
              </w:rPr>
              <w:t xml:space="preserve"> </w:t>
            </w:r>
          </w:p>
        </w:tc>
        <w:tc>
          <w:tcPr>
            <w:tcW w:w="2102" w:type="dxa"/>
            <w:shd w:val="clear" w:color="auto" w:fill="FFFFFF"/>
          </w:tcPr>
          <w:p w14:paraId="15609294" w14:textId="7607B4AE" w:rsidR="00387E8C" w:rsidRPr="00A824AC" w:rsidRDefault="00387E8C" w:rsidP="002B0070">
            <w:pPr>
              <w:pStyle w:val="CETBodytext"/>
              <w:jc w:val="center"/>
              <w:rPr>
                <w:lang w:val="en-GB"/>
              </w:rPr>
            </w:pPr>
            <w:r w:rsidRPr="00A824AC">
              <w:rPr>
                <w:sz w:val="16"/>
                <w:szCs w:val="16"/>
                <w:lang w:val="en-GB"/>
              </w:rPr>
              <w:t>3 / 2</w:t>
            </w:r>
          </w:p>
        </w:tc>
      </w:tr>
      <w:tr w:rsidR="00387E8C" w:rsidRPr="00A824AC" w14:paraId="696D9C11" w14:textId="77777777" w:rsidTr="00A824AC">
        <w:tc>
          <w:tcPr>
            <w:tcW w:w="2565" w:type="dxa"/>
            <w:shd w:val="clear" w:color="auto" w:fill="FFFFFF"/>
          </w:tcPr>
          <w:p w14:paraId="46EE16BB" w14:textId="4B9AD2E6" w:rsidR="00387E8C" w:rsidRPr="00A824AC" w:rsidRDefault="002B0070" w:rsidP="00387E8C">
            <w:pPr>
              <w:pStyle w:val="CETBodytext"/>
              <w:ind w:right="-1"/>
              <w:jc w:val="center"/>
              <w:rPr>
                <w:rFonts w:cs="Arial"/>
                <w:szCs w:val="18"/>
                <w:lang w:val="en-GB"/>
              </w:rPr>
            </w:pPr>
            <w:r w:rsidRPr="00A824AC">
              <w:rPr>
                <w:sz w:val="16"/>
                <w:szCs w:val="16"/>
                <w:lang w:val="en-GB"/>
              </w:rPr>
              <w:t>Pressure equipment (Spheres, columns, reactors, ovens, etc.)</w:t>
            </w:r>
          </w:p>
        </w:tc>
        <w:tc>
          <w:tcPr>
            <w:tcW w:w="2060" w:type="dxa"/>
            <w:shd w:val="clear" w:color="auto" w:fill="FFFFFF"/>
          </w:tcPr>
          <w:p w14:paraId="3D29C02A" w14:textId="22BC80A1" w:rsidR="00387E8C" w:rsidRPr="00A824AC" w:rsidRDefault="00387E8C" w:rsidP="00387E8C">
            <w:pPr>
              <w:pStyle w:val="CETBodytext"/>
              <w:ind w:right="-1"/>
              <w:jc w:val="center"/>
              <w:rPr>
                <w:rFonts w:cs="Arial"/>
                <w:szCs w:val="18"/>
                <w:lang w:val="en-GB"/>
              </w:rPr>
            </w:pPr>
            <w:r w:rsidRPr="00A824AC">
              <w:rPr>
                <w:sz w:val="16"/>
                <w:szCs w:val="16"/>
                <w:lang w:val="en-GB"/>
              </w:rPr>
              <w:t xml:space="preserve"> </w:t>
            </w:r>
          </w:p>
        </w:tc>
        <w:tc>
          <w:tcPr>
            <w:tcW w:w="2060" w:type="dxa"/>
            <w:shd w:val="clear" w:color="auto" w:fill="FFFFFF"/>
          </w:tcPr>
          <w:p w14:paraId="21D13C11" w14:textId="2CDAAFC8" w:rsidR="00387E8C" w:rsidRPr="00A824AC" w:rsidRDefault="002B0070" w:rsidP="00387E8C">
            <w:pPr>
              <w:pStyle w:val="CETBodytext"/>
              <w:ind w:right="-1"/>
              <w:jc w:val="center"/>
              <w:rPr>
                <w:rFonts w:cs="Arial"/>
                <w:szCs w:val="18"/>
                <w:lang w:val="en-GB"/>
              </w:rPr>
            </w:pPr>
            <w:r w:rsidRPr="00A824AC">
              <w:rPr>
                <w:sz w:val="16"/>
                <w:szCs w:val="16"/>
                <w:lang w:val="en-GB"/>
              </w:rPr>
              <w:t xml:space="preserve">before PED / according to PED </w:t>
            </w:r>
          </w:p>
        </w:tc>
        <w:tc>
          <w:tcPr>
            <w:tcW w:w="2102" w:type="dxa"/>
            <w:shd w:val="clear" w:color="auto" w:fill="FFFFFF"/>
          </w:tcPr>
          <w:p w14:paraId="36EAD156" w14:textId="1FD24399" w:rsidR="00387E8C" w:rsidRPr="00A824AC" w:rsidRDefault="00387E8C" w:rsidP="002B0070">
            <w:pPr>
              <w:pStyle w:val="CETBodytext"/>
              <w:ind w:right="-1"/>
              <w:jc w:val="center"/>
              <w:rPr>
                <w:rFonts w:cs="Arial"/>
                <w:szCs w:val="18"/>
                <w:lang w:val="en-GB"/>
              </w:rPr>
            </w:pPr>
            <w:r w:rsidRPr="00A824AC">
              <w:rPr>
                <w:sz w:val="16"/>
                <w:szCs w:val="16"/>
                <w:lang w:val="en-GB"/>
              </w:rPr>
              <w:t>3 /</w:t>
            </w:r>
            <w:r w:rsidR="002B0070" w:rsidRPr="00A824AC">
              <w:rPr>
                <w:sz w:val="16"/>
                <w:szCs w:val="16"/>
                <w:lang w:val="en-GB"/>
              </w:rPr>
              <w:t xml:space="preserve"> </w:t>
            </w:r>
            <w:r w:rsidRPr="00A824AC">
              <w:rPr>
                <w:sz w:val="16"/>
                <w:szCs w:val="16"/>
                <w:lang w:val="en-GB"/>
              </w:rPr>
              <w:t>2</w:t>
            </w:r>
          </w:p>
        </w:tc>
      </w:tr>
      <w:tr w:rsidR="00387E8C" w:rsidRPr="00A824AC" w14:paraId="54C26018" w14:textId="77777777" w:rsidTr="00A824AC">
        <w:tc>
          <w:tcPr>
            <w:tcW w:w="2565" w:type="dxa"/>
            <w:shd w:val="clear" w:color="auto" w:fill="FFFFFF"/>
          </w:tcPr>
          <w:p w14:paraId="7D18762B" w14:textId="3027BF0B" w:rsidR="00387E8C" w:rsidRPr="00A824AC" w:rsidRDefault="002B0070" w:rsidP="00387E8C">
            <w:pPr>
              <w:tabs>
                <w:tab w:val="clear" w:pos="7100"/>
              </w:tabs>
              <w:spacing w:after="200" w:line="240" w:lineRule="auto"/>
              <w:jc w:val="center"/>
              <w:rPr>
                <w:sz w:val="16"/>
                <w:szCs w:val="16"/>
              </w:rPr>
            </w:pPr>
            <w:r w:rsidRPr="00A824AC">
              <w:rPr>
                <w:sz w:val="16"/>
                <w:szCs w:val="16"/>
              </w:rPr>
              <w:t xml:space="preserve">Pipes under pressure </w:t>
            </w:r>
          </w:p>
          <w:p w14:paraId="2D09317C" w14:textId="0B7A7B63" w:rsidR="00387E8C" w:rsidRPr="00A824AC" w:rsidRDefault="002B0070" w:rsidP="00387E8C">
            <w:pPr>
              <w:pStyle w:val="CETBodytext"/>
              <w:ind w:right="-1"/>
              <w:jc w:val="center"/>
              <w:rPr>
                <w:rFonts w:cs="Arial"/>
                <w:szCs w:val="18"/>
                <w:lang w:val="en-GB"/>
              </w:rPr>
            </w:pPr>
            <w:r w:rsidRPr="00A824AC">
              <w:rPr>
                <w:sz w:val="16"/>
                <w:szCs w:val="16"/>
                <w:lang w:val="en-GB"/>
              </w:rPr>
              <w:t>Pipes not under pressure</w:t>
            </w:r>
          </w:p>
        </w:tc>
        <w:tc>
          <w:tcPr>
            <w:tcW w:w="2060" w:type="dxa"/>
            <w:shd w:val="clear" w:color="auto" w:fill="FFFFFF"/>
          </w:tcPr>
          <w:p w14:paraId="5F97F26F" w14:textId="77777777" w:rsidR="00387E8C" w:rsidRPr="00A824AC" w:rsidRDefault="00387E8C" w:rsidP="00387E8C">
            <w:pPr>
              <w:pStyle w:val="CETBodytext"/>
              <w:ind w:right="-1"/>
              <w:jc w:val="center"/>
              <w:rPr>
                <w:rFonts w:cs="Arial"/>
                <w:szCs w:val="18"/>
                <w:lang w:val="en-GB"/>
              </w:rPr>
            </w:pPr>
          </w:p>
        </w:tc>
        <w:tc>
          <w:tcPr>
            <w:tcW w:w="2060" w:type="dxa"/>
            <w:shd w:val="clear" w:color="auto" w:fill="FFFFFF"/>
          </w:tcPr>
          <w:p w14:paraId="01F0858E" w14:textId="37C75F9E" w:rsidR="00387E8C" w:rsidRPr="00A824AC" w:rsidRDefault="002B0070" w:rsidP="00387E8C">
            <w:pPr>
              <w:pStyle w:val="CETBodytext"/>
              <w:ind w:right="-1"/>
              <w:jc w:val="center"/>
              <w:rPr>
                <w:rFonts w:cs="Arial"/>
                <w:szCs w:val="18"/>
                <w:lang w:val="en-GB"/>
              </w:rPr>
            </w:pPr>
            <w:r w:rsidRPr="00A824AC">
              <w:rPr>
                <w:sz w:val="16"/>
                <w:szCs w:val="16"/>
                <w:lang w:val="en-GB"/>
              </w:rPr>
              <w:t>before PED / according to PED</w:t>
            </w:r>
          </w:p>
        </w:tc>
        <w:tc>
          <w:tcPr>
            <w:tcW w:w="2102" w:type="dxa"/>
            <w:shd w:val="clear" w:color="auto" w:fill="FFFFFF"/>
          </w:tcPr>
          <w:p w14:paraId="35539EA6" w14:textId="77777777" w:rsidR="00387E8C" w:rsidRPr="00A824AC" w:rsidRDefault="00387E8C" w:rsidP="002B0070">
            <w:pPr>
              <w:tabs>
                <w:tab w:val="clear" w:pos="7100"/>
              </w:tabs>
              <w:spacing w:after="200" w:line="240" w:lineRule="auto"/>
              <w:jc w:val="center"/>
              <w:rPr>
                <w:sz w:val="16"/>
                <w:szCs w:val="16"/>
              </w:rPr>
            </w:pPr>
            <w:r w:rsidRPr="00A824AC">
              <w:rPr>
                <w:sz w:val="16"/>
                <w:szCs w:val="16"/>
              </w:rPr>
              <w:t>2 /1</w:t>
            </w:r>
          </w:p>
          <w:p w14:paraId="54BC3ECF" w14:textId="3519ACC0" w:rsidR="00387E8C" w:rsidRPr="00A824AC" w:rsidRDefault="00387E8C" w:rsidP="002B0070">
            <w:pPr>
              <w:pStyle w:val="CETBodytext"/>
              <w:ind w:right="-1"/>
              <w:jc w:val="center"/>
              <w:rPr>
                <w:rFonts w:cs="Arial"/>
                <w:szCs w:val="18"/>
                <w:lang w:val="en-GB"/>
              </w:rPr>
            </w:pPr>
            <w:r w:rsidRPr="00A824AC">
              <w:rPr>
                <w:sz w:val="16"/>
                <w:szCs w:val="16"/>
                <w:lang w:val="en-GB"/>
              </w:rPr>
              <w:t>1</w:t>
            </w:r>
          </w:p>
        </w:tc>
      </w:tr>
    </w:tbl>
    <w:p w14:paraId="1EE593EB" w14:textId="48083032" w:rsidR="00913C74" w:rsidRPr="00A824AC" w:rsidRDefault="00421407" w:rsidP="00C51FF0">
      <w:pPr>
        <w:pStyle w:val="CETHeading1"/>
        <w:rPr>
          <w:lang w:val="en-GB"/>
        </w:rPr>
      </w:pPr>
      <w:r w:rsidRPr="00A824AC">
        <w:rPr>
          <w:lang w:val="en-GB"/>
        </w:rPr>
        <w:t xml:space="preserve">How to determine the storm </w:t>
      </w:r>
      <w:r w:rsidR="003D35D7" w:rsidRPr="00A824AC">
        <w:rPr>
          <w:lang w:val="en-GB"/>
        </w:rPr>
        <w:t>exposure index</w:t>
      </w:r>
      <w:r w:rsidRPr="00A824AC">
        <w:rPr>
          <w:lang w:val="en-GB"/>
        </w:rPr>
        <w:t xml:space="preserve">, </w:t>
      </w:r>
      <w:r w:rsidRPr="00A824AC">
        <w:rPr>
          <w:bCs/>
          <w:lang w:val="en-GB"/>
        </w:rPr>
        <w:t>I</w:t>
      </w:r>
      <w:r w:rsidRPr="00A824AC">
        <w:rPr>
          <w:bCs/>
          <w:vertAlign w:val="subscript"/>
          <w:lang w:val="en-GB"/>
        </w:rPr>
        <w:t>Es</w:t>
      </w:r>
    </w:p>
    <w:p w14:paraId="33F8138F" w14:textId="4023B6CD" w:rsidR="00600535" w:rsidRPr="00A824AC" w:rsidRDefault="00832645" w:rsidP="00D27130">
      <w:pPr>
        <w:pStyle w:val="CETBodytext"/>
        <w:rPr>
          <w:lang w:val="en-GB"/>
        </w:rPr>
      </w:pPr>
      <w:r w:rsidRPr="00A824AC">
        <w:rPr>
          <w:lang w:val="en-GB"/>
        </w:rPr>
        <w:t xml:space="preserve">Exposure means the extent and severity of damage to receptors potentially affected by the effects of incidental events caused by storms (workers, population, environment, assets, infrastructures). As regards industrial structures (intended as buildings, parts of plants, equipment, pipelines, etc. or power lines connecting industrial plants). The analysis of </w:t>
      </w:r>
      <w:r w:rsidR="00C47C9D" w:rsidRPr="00A824AC">
        <w:rPr>
          <w:lang w:val="en-GB"/>
        </w:rPr>
        <w:t>Natech</w:t>
      </w:r>
      <w:r w:rsidRPr="00A824AC">
        <w:rPr>
          <w:lang w:val="en-GB"/>
        </w:rPr>
        <w:t xml:space="preserve"> incidents triggered by storms can cause loss of containment, with the possibility of fire and/or explosion, if they contain combustible, flammable or explosive substances; due to alterations in processes caused by interruptions in electrical power and voltage drops and impacts on electrical and electronic control and safety systems, plants and devices. The consequences of damage and failures can extend to the surroundings, affecting other parts of the plant and in certain cases also affecting the surrounding environment (Domino Effects). </w:t>
      </w:r>
      <w:r w:rsidR="00F355C1" w:rsidRPr="00A824AC">
        <w:rPr>
          <w:lang w:val="en-GB"/>
        </w:rPr>
        <w:t>In relation to the above, the authors propose to give the exposure index I</w:t>
      </w:r>
      <w:r w:rsidR="00F355C1" w:rsidRPr="00A824AC">
        <w:rPr>
          <w:vertAlign w:val="subscript"/>
          <w:lang w:val="en-GB"/>
        </w:rPr>
        <w:t>Es</w:t>
      </w:r>
      <w:r w:rsidR="00F355C1" w:rsidRPr="00A824AC">
        <w:rPr>
          <w:lang w:val="en-GB"/>
        </w:rPr>
        <w:t xml:space="preserve"> from storms the following values shown in table 5</w:t>
      </w:r>
      <w:r w:rsidRPr="00A824AC">
        <w:rPr>
          <w:lang w:val="en-GB"/>
        </w:rPr>
        <w:t>:</w:t>
      </w:r>
    </w:p>
    <w:p w14:paraId="707A07E5" w14:textId="18BE7204" w:rsidR="00911CAA" w:rsidRPr="00A824AC" w:rsidRDefault="00911CAA" w:rsidP="00911CAA">
      <w:pPr>
        <w:pStyle w:val="CETTabletitle"/>
      </w:pPr>
      <w:r w:rsidRPr="00A824AC">
        <w:t xml:space="preserve">Table 5. Relationship between storm exposure type and storm exposure index, </w:t>
      </w:r>
      <w:r w:rsidRPr="00A824AC">
        <w:rPr>
          <w:bCs/>
        </w:rPr>
        <w:t>I</w:t>
      </w:r>
      <w:r w:rsidRPr="00A824AC">
        <w:rPr>
          <w:bCs/>
          <w:vertAlign w:val="subscript"/>
        </w:rPr>
        <w:t>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678"/>
        <w:gridCol w:w="992"/>
      </w:tblGrid>
      <w:tr w:rsidR="00911CAA" w:rsidRPr="00A824AC" w14:paraId="121FEAE1" w14:textId="77777777" w:rsidTr="00A824AC">
        <w:tc>
          <w:tcPr>
            <w:tcW w:w="4678" w:type="dxa"/>
            <w:tcBorders>
              <w:top w:val="single" w:sz="12" w:space="0" w:color="008000"/>
              <w:bottom w:val="single" w:sz="6" w:space="0" w:color="008000"/>
            </w:tcBorders>
            <w:shd w:val="clear" w:color="auto" w:fill="FFFFFF"/>
          </w:tcPr>
          <w:p w14:paraId="148DC279" w14:textId="48029408" w:rsidR="00911CAA" w:rsidRPr="00A824AC" w:rsidRDefault="00911CAA" w:rsidP="0041147A">
            <w:pPr>
              <w:pStyle w:val="CETBodytext"/>
              <w:jc w:val="center"/>
              <w:rPr>
                <w:lang w:val="en-GB"/>
              </w:rPr>
            </w:pPr>
            <w:r w:rsidRPr="00A824AC">
              <w:rPr>
                <w:lang w:val="en-GB"/>
              </w:rPr>
              <w:t>Storm exposure type</w:t>
            </w:r>
          </w:p>
        </w:tc>
        <w:tc>
          <w:tcPr>
            <w:tcW w:w="992" w:type="dxa"/>
            <w:tcBorders>
              <w:top w:val="single" w:sz="12" w:space="0" w:color="008000"/>
              <w:bottom w:val="single" w:sz="6" w:space="0" w:color="008000"/>
            </w:tcBorders>
            <w:shd w:val="clear" w:color="auto" w:fill="FFFFFF"/>
          </w:tcPr>
          <w:p w14:paraId="1D6A4D30" w14:textId="54B2D942" w:rsidR="00911CAA" w:rsidRPr="00A824AC" w:rsidRDefault="00911CAA" w:rsidP="0041147A">
            <w:pPr>
              <w:pStyle w:val="CETBodytext"/>
              <w:jc w:val="center"/>
              <w:rPr>
                <w:lang w:val="en-GB"/>
              </w:rPr>
            </w:pPr>
            <w:r w:rsidRPr="00A824AC">
              <w:rPr>
                <w:bCs/>
                <w:lang w:val="en-GB"/>
              </w:rPr>
              <w:t>I</w:t>
            </w:r>
            <w:r w:rsidRPr="00A824AC">
              <w:rPr>
                <w:bCs/>
                <w:vertAlign w:val="subscript"/>
                <w:lang w:val="en-GB"/>
              </w:rPr>
              <w:t>Es</w:t>
            </w:r>
          </w:p>
        </w:tc>
      </w:tr>
      <w:tr w:rsidR="00911CAA" w:rsidRPr="00A824AC" w14:paraId="309B9466" w14:textId="77777777" w:rsidTr="00A824AC">
        <w:tc>
          <w:tcPr>
            <w:tcW w:w="4678" w:type="dxa"/>
            <w:shd w:val="clear" w:color="auto" w:fill="FFFFFF"/>
          </w:tcPr>
          <w:p w14:paraId="6D82754E" w14:textId="764C9C01" w:rsidR="00911CAA" w:rsidRPr="00A824AC" w:rsidRDefault="00911CAA" w:rsidP="0041147A">
            <w:pPr>
              <w:pStyle w:val="CETBodytext"/>
              <w:jc w:val="center"/>
              <w:rPr>
                <w:lang w:val="en-GB"/>
              </w:rPr>
            </w:pPr>
            <w:r w:rsidRPr="00A824AC">
              <w:rPr>
                <w:lang w:val="en-GB"/>
              </w:rPr>
              <w:t>Only possible impacts that lead to the failure of equipment without loss of content of hazardous substances</w:t>
            </w:r>
          </w:p>
        </w:tc>
        <w:tc>
          <w:tcPr>
            <w:tcW w:w="992" w:type="dxa"/>
            <w:shd w:val="clear" w:color="auto" w:fill="FFFFFF"/>
          </w:tcPr>
          <w:p w14:paraId="40DB1AAF" w14:textId="77777777" w:rsidR="00911CAA" w:rsidRPr="00A824AC" w:rsidRDefault="00911CAA" w:rsidP="0041147A">
            <w:pPr>
              <w:pStyle w:val="CETBodytext"/>
              <w:jc w:val="center"/>
              <w:rPr>
                <w:lang w:val="en-GB"/>
              </w:rPr>
            </w:pPr>
            <w:r w:rsidRPr="00A824AC">
              <w:rPr>
                <w:lang w:val="en-GB"/>
              </w:rPr>
              <w:t>1</w:t>
            </w:r>
          </w:p>
        </w:tc>
      </w:tr>
      <w:tr w:rsidR="00911CAA" w:rsidRPr="00A824AC" w14:paraId="4B6E4F39" w14:textId="77777777" w:rsidTr="00A824AC">
        <w:tc>
          <w:tcPr>
            <w:tcW w:w="4678" w:type="dxa"/>
            <w:shd w:val="clear" w:color="auto" w:fill="FFFFFF"/>
          </w:tcPr>
          <w:p w14:paraId="5B98EB50" w14:textId="14025883" w:rsidR="00911CAA" w:rsidRPr="00A824AC" w:rsidRDefault="00832645" w:rsidP="0041147A">
            <w:pPr>
              <w:pStyle w:val="CETBodytext"/>
              <w:ind w:right="-1"/>
              <w:jc w:val="center"/>
              <w:rPr>
                <w:rFonts w:cs="Arial"/>
                <w:szCs w:val="18"/>
                <w:lang w:val="en-GB"/>
              </w:rPr>
            </w:pPr>
            <w:r w:rsidRPr="00A824AC">
              <w:rPr>
                <w:rFonts w:cs="Arial"/>
                <w:szCs w:val="18"/>
                <w:lang w:val="en-GB"/>
              </w:rPr>
              <w:t>Possible impacts in the vicinity of the affected unit. There is no possibility of a domino effect (for example, a tank adjacent to other tanks)</w:t>
            </w:r>
          </w:p>
        </w:tc>
        <w:tc>
          <w:tcPr>
            <w:tcW w:w="992" w:type="dxa"/>
            <w:shd w:val="clear" w:color="auto" w:fill="FFFFFF"/>
          </w:tcPr>
          <w:p w14:paraId="1488493C" w14:textId="77777777" w:rsidR="00911CAA" w:rsidRPr="00A824AC" w:rsidRDefault="00911CAA" w:rsidP="0041147A">
            <w:pPr>
              <w:pStyle w:val="CETBodytext"/>
              <w:ind w:right="-1"/>
              <w:jc w:val="center"/>
              <w:rPr>
                <w:rFonts w:cs="Arial"/>
                <w:szCs w:val="18"/>
                <w:lang w:val="en-GB"/>
              </w:rPr>
            </w:pPr>
            <w:r w:rsidRPr="00A824AC">
              <w:rPr>
                <w:rFonts w:cs="Arial"/>
                <w:szCs w:val="18"/>
                <w:lang w:val="en-GB"/>
              </w:rPr>
              <w:t>2</w:t>
            </w:r>
          </w:p>
        </w:tc>
      </w:tr>
      <w:tr w:rsidR="00911CAA" w:rsidRPr="00A824AC" w14:paraId="37B14E7D" w14:textId="77777777" w:rsidTr="00A824AC">
        <w:tc>
          <w:tcPr>
            <w:tcW w:w="4678" w:type="dxa"/>
            <w:shd w:val="clear" w:color="auto" w:fill="FFFFFF"/>
          </w:tcPr>
          <w:p w14:paraId="61E22209" w14:textId="0A7F5015" w:rsidR="00911CAA" w:rsidRPr="00A824AC" w:rsidRDefault="00832645" w:rsidP="0041147A">
            <w:pPr>
              <w:pStyle w:val="CETBodytext"/>
              <w:ind w:right="-1"/>
              <w:jc w:val="center"/>
              <w:rPr>
                <w:rFonts w:cs="Arial"/>
                <w:szCs w:val="18"/>
                <w:lang w:val="en-GB"/>
              </w:rPr>
            </w:pPr>
            <w:r w:rsidRPr="00A824AC">
              <w:rPr>
                <w:rFonts w:cs="Arial"/>
                <w:szCs w:val="18"/>
                <w:lang w:val="en-GB"/>
              </w:rPr>
              <w:t>Possible impacts that may involve the entire plant</w:t>
            </w:r>
          </w:p>
        </w:tc>
        <w:tc>
          <w:tcPr>
            <w:tcW w:w="992" w:type="dxa"/>
            <w:shd w:val="clear" w:color="auto" w:fill="FFFFFF"/>
          </w:tcPr>
          <w:p w14:paraId="3B40956D" w14:textId="77777777" w:rsidR="00911CAA" w:rsidRPr="00A824AC" w:rsidRDefault="00911CAA" w:rsidP="0041147A">
            <w:pPr>
              <w:pStyle w:val="CETBodytext"/>
              <w:ind w:right="-1"/>
              <w:jc w:val="center"/>
              <w:rPr>
                <w:rFonts w:cs="Arial"/>
                <w:szCs w:val="18"/>
                <w:lang w:val="en-GB"/>
              </w:rPr>
            </w:pPr>
            <w:r w:rsidRPr="00A824AC">
              <w:rPr>
                <w:rFonts w:cs="Arial"/>
                <w:szCs w:val="18"/>
                <w:lang w:val="en-GB"/>
              </w:rPr>
              <w:t>3</w:t>
            </w:r>
          </w:p>
        </w:tc>
      </w:tr>
      <w:tr w:rsidR="00911CAA" w:rsidRPr="00A824AC" w14:paraId="2A0B2884" w14:textId="77777777" w:rsidTr="00A824AC">
        <w:tc>
          <w:tcPr>
            <w:tcW w:w="4678" w:type="dxa"/>
            <w:shd w:val="clear" w:color="auto" w:fill="FFFFFF"/>
          </w:tcPr>
          <w:p w14:paraId="281CEDB9" w14:textId="79AC65A5" w:rsidR="00911CAA" w:rsidRPr="00A824AC" w:rsidRDefault="00832645" w:rsidP="0041147A">
            <w:pPr>
              <w:pStyle w:val="CETBodytext"/>
              <w:ind w:right="-1"/>
              <w:jc w:val="center"/>
              <w:rPr>
                <w:rFonts w:cs="Arial"/>
                <w:szCs w:val="18"/>
                <w:lang w:val="en-GB"/>
              </w:rPr>
            </w:pPr>
            <w:r w:rsidRPr="00A824AC">
              <w:rPr>
                <w:rFonts w:cs="Arial"/>
                <w:szCs w:val="18"/>
                <w:lang w:val="en-GB"/>
              </w:rPr>
              <w:t>Possible impacts that may involve the outside of the plant with the possibility of a domino effect</w:t>
            </w:r>
          </w:p>
        </w:tc>
        <w:tc>
          <w:tcPr>
            <w:tcW w:w="992" w:type="dxa"/>
            <w:shd w:val="clear" w:color="auto" w:fill="FFFFFF"/>
          </w:tcPr>
          <w:p w14:paraId="78D8A3A7" w14:textId="77777777" w:rsidR="00911CAA" w:rsidRPr="00A824AC" w:rsidRDefault="00911CAA" w:rsidP="0041147A">
            <w:pPr>
              <w:pStyle w:val="CETBodytext"/>
              <w:ind w:right="-1"/>
              <w:jc w:val="center"/>
              <w:rPr>
                <w:rFonts w:cs="Arial"/>
                <w:szCs w:val="18"/>
                <w:lang w:val="en-GB"/>
              </w:rPr>
            </w:pPr>
            <w:r w:rsidRPr="00A824AC">
              <w:rPr>
                <w:rFonts w:cs="Arial"/>
                <w:szCs w:val="18"/>
                <w:lang w:val="en-GB"/>
              </w:rPr>
              <w:t>4</w:t>
            </w:r>
          </w:p>
        </w:tc>
      </w:tr>
    </w:tbl>
    <w:p w14:paraId="0A1EE48D" w14:textId="04831FB7" w:rsidR="00F64437" w:rsidRPr="00A824AC" w:rsidRDefault="00F64437" w:rsidP="00F64437">
      <w:pPr>
        <w:pStyle w:val="CETHeading1"/>
        <w:rPr>
          <w:lang w:val="en-GB"/>
        </w:rPr>
      </w:pPr>
      <w:r w:rsidRPr="00A824AC">
        <w:rPr>
          <w:lang w:val="en-GB"/>
        </w:rPr>
        <w:t>Level of acceptability of natech risk from storms</w:t>
      </w:r>
    </w:p>
    <w:p w14:paraId="5ACBF230" w14:textId="010F8078" w:rsidR="00F64437" w:rsidRPr="00A824AC" w:rsidRDefault="00F64437" w:rsidP="00F64437">
      <w:pPr>
        <w:pStyle w:val="CETBodytext"/>
        <w:rPr>
          <w:lang w:val="en-GB"/>
        </w:rPr>
      </w:pPr>
      <w:r w:rsidRPr="00A824AC">
        <w:rPr>
          <w:lang w:val="en-GB"/>
        </w:rPr>
        <w:t>Once the three factors that influence the level of natech risk from storms have been identified through the respective I</w:t>
      </w:r>
      <w:r w:rsidRPr="00A824AC">
        <w:rPr>
          <w:vertAlign w:val="subscript"/>
          <w:lang w:val="en-GB"/>
        </w:rPr>
        <w:t>Hs</w:t>
      </w:r>
      <w:r w:rsidRPr="00A824AC">
        <w:rPr>
          <w:lang w:val="en-GB"/>
        </w:rPr>
        <w:t>, I</w:t>
      </w:r>
      <w:r w:rsidRPr="00A824AC">
        <w:rPr>
          <w:vertAlign w:val="subscript"/>
          <w:lang w:val="en-GB"/>
        </w:rPr>
        <w:t>Vs</w:t>
      </w:r>
      <w:r w:rsidRPr="00A824AC">
        <w:rPr>
          <w:lang w:val="en-GB"/>
        </w:rPr>
        <w:t xml:space="preserve"> and I</w:t>
      </w:r>
      <w:r w:rsidRPr="00A824AC">
        <w:rPr>
          <w:vertAlign w:val="subscript"/>
          <w:lang w:val="en-GB"/>
        </w:rPr>
        <w:t>Es</w:t>
      </w:r>
      <w:r w:rsidRPr="00A824AC">
        <w:rPr>
          <w:lang w:val="en-GB"/>
        </w:rPr>
        <w:t xml:space="preserve"> indices, it is possible to determine the natech risk index from storms I</w:t>
      </w:r>
      <w:r w:rsidRPr="00A824AC">
        <w:rPr>
          <w:vertAlign w:val="subscript"/>
          <w:lang w:val="en-GB"/>
        </w:rPr>
        <w:t>Rns</w:t>
      </w:r>
      <w:r w:rsidRPr="00A824AC">
        <w:rPr>
          <w:lang w:val="en-GB"/>
        </w:rPr>
        <w:t xml:space="preserve"> as per report (1) of paragraph 2 of this article.</w:t>
      </w:r>
      <w:r w:rsidR="00153B4C" w:rsidRPr="00A824AC">
        <w:rPr>
          <w:lang w:val="en-GB"/>
        </w:rPr>
        <w:t xml:space="preserve"> </w:t>
      </w:r>
      <w:r w:rsidRPr="00A824AC">
        <w:rPr>
          <w:lang w:val="en-GB"/>
        </w:rPr>
        <w:t>For I</w:t>
      </w:r>
      <w:r w:rsidRPr="00A824AC">
        <w:rPr>
          <w:vertAlign w:val="subscript"/>
          <w:lang w:val="en-GB"/>
        </w:rPr>
        <w:t>Rns</w:t>
      </w:r>
      <w:r w:rsidRPr="00A824AC">
        <w:rPr>
          <w:lang w:val="en-GB"/>
        </w:rPr>
        <w:t xml:space="preserve"> values up to 8, the risk is acceptable but appropriate prevention and protection actions must be planned over time. For values of I</w:t>
      </w:r>
      <w:r w:rsidRPr="00A824AC">
        <w:rPr>
          <w:vertAlign w:val="subscript"/>
          <w:lang w:val="en-GB"/>
        </w:rPr>
        <w:t>Rns</w:t>
      </w:r>
      <w:r w:rsidRPr="00A824AC">
        <w:rPr>
          <w:lang w:val="en-GB"/>
        </w:rPr>
        <w:t xml:space="preserve"> higher than 8 and lower than 32, the natech risk from storms must provide for urgent prevention and/or protection interventions such as to make it acceptable. For values of I</w:t>
      </w:r>
      <w:r w:rsidRPr="00A824AC">
        <w:rPr>
          <w:vertAlign w:val="subscript"/>
          <w:lang w:val="en-GB"/>
        </w:rPr>
        <w:t>Rns</w:t>
      </w:r>
      <w:r w:rsidRPr="00A824AC">
        <w:rPr>
          <w:lang w:val="en-GB"/>
        </w:rPr>
        <w:t xml:space="preserve"> greater than 32, the natech risk from storms is not acceptable.</w:t>
      </w:r>
    </w:p>
    <w:p w14:paraId="703C847A" w14:textId="41285D0F" w:rsidR="00F64437" w:rsidRPr="00A824AC" w:rsidRDefault="00F64437" w:rsidP="00F64437">
      <w:pPr>
        <w:pStyle w:val="CETHeading1"/>
        <w:rPr>
          <w:lang w:val="en-GB"/>
        </w:rPr>
      </w:pPr>
      <w:r w:rsidRPr="00A824AC">
        <w:rPr>
          <w:lang w:val="en-GB"/>
        </w:rPr>
        <w:t xml:space="preserve">Interventions </w:t>
      </w:r>
      <w:proofErr w:type="gramStart"/>
      <w:r w:rsidRPr="00A824AC">
        <w:rPr>
          <w:lang w:val="en-GB"/>
        </w:rPr>
        <w:t>in order to</w:t>
      </w:r>
      <w:proofErr w:type="gramEnd"/>
      <w:r w:rsidRPr="00A824AC">
        <w:rPr>
          <w:lang w:val="en-GB"/>
        </w:rPr>
        <w:t xml:space="preserve"> reduce the vulnerability of critical elements of natech risk from storms</w:t>
      </w:r>
    </w:p>
    <w:p w14:paraId="4A28AC4E" w14:textId="454EF354" w:rsidR="00F64437" w:rsidRPr="00A824AC" w:rsidRDefault="00F64437" w:rsidP="00F64437">
      <w:pPr>
        <w:pStyle w:val="CETBodytext"/>
        <w:rPr>
          <w:lang w:val="en-GB"/>
        </w:rPr>
      </w:pPr>
      <w:r w:rsidRPr="00A824AC">
        <w:rPr>
          <w:lang w:val="en-GB"/>
        </w:rPr>
        <w:t xml:space="preserve">In the case of newly built industrial plants, it is important to identify the installation site. In this way, you </w:t>
      </w:r>
      <w:proofErr w:type="gramStart"/>
      <w:r w:rsidRPr="00A824AC">
        <w:rPr>
          <w:lang w:val="en-GB"/>
        </w:rPr>
        <w:t>are able to</w:t>
      </w:r>
      <w:proofErr w:type="gramEnd"/>
      <w:r w:rsidRPr="00A824AC">
        <w:rPr>
          <w:lang w:val="en-GB"/>
        </w:rPr>
        <w:t xml:space="preserve"> manage the three factors that influence natech risk from storms: I</w:t>
      </w:r>
      <w:r w:rsidRPr="00A824AC">
        <w:rPr>
          <w:vertAlign w:val="subscript"/>
          <w:lang w:val="en-GB"/>
        </w:rPr>
        <w:t>Hs</w:t>
      </w:r>
      <w:r w:rsidRPr="00A824AC">
        <w:rPr>
          <w:lang w:val="en-GB"/>
        </w:rPr>
        <w:t>, I</w:t>
      </w:r>
      <w:r w:rsidRPr="00A824AC">
        <w:rPr>
          <w:vertAlign w:val="subscript"/>
          <w:lang w:val="en-GB"/>
        </w:rPr>
        <w:t>Vs</w:t>
      </w:r>
      <w:r w:rsidRPr="00A824AC">
        <w:rPr>
          <w:lang w:val="en-GB"/>
        </w:rPr>
        <w:t xml:space="preserve"> and I</w:t>
      </w:r>
      <w:r w:rsidRPr="00A824AC">
        <w:rPr>
          <w:vertAlign w:val="subscript"/>
          <w:lang w:val="en-GB"/>
        </w:rPr>
        <w:t>Es</w:t>
      </w:r>
      <w:r w:rsidRPr="00A824AC">
        <w:rPr>
          <w:lang w:val="en-GB"/>
        </w:rPr>
        <w:t>, bringing them to the lowest possible values. In the case of existing establishments, for the purposes of managing the natech risk from storms, only one factor can be acted upon, which is vulnerability I</w:t>
      </w:r>
      <w:r w:rsidRPr="00A824AC">
        <w:rPr>
          <w:vertAlign w:val="subscript"/>
          <w:lang w:val="en-GB"/>
        </w:rPr>
        <w:t>Vs</w:t>
      </w:r>
      <w:r w:rsidRPr="00A824AC">
        <w:rPr>
          <w:lang w:val="en-GB"/>
        </w:rPr>
        <w:t>, while little can be done about the other two factors I</w:t>
      </w:r>
      <w:r w:rsidRPr="00A824AC">
        <w:rPr>
          <w:vertAlign w:val="subscript"/>
          <w:lang w:val="en-GB"/>
        </w:rPr>
        <w:t>Hs</w:t>
      </w:r>
      <w:r w:rsidRPr="00A824AC">
        <w:rPr>
          <w:lang w:val="en-GB"/>
        </w:rPr>
        <w:t xml:space="preserve"> and I</w:t>
      </w:r>
      <w:r w:rsidRPr="00A824AC">
        <w:rPr>
          <w:vertAlign w:val="subscript"/>
          <w:lang w:val="en-GB"/>
        </w:rPr>
        <w:t>Es</w:t>
      </w:r>
      <w:r w:rsidRPr="00A824AC">
        <w:rPr>
          <w:lang w:val="en-GB"/>
        </w:rPr>
        <w:t xml:space="preserve"> which depend on the location of the industrial site and the neighboring urban planning. The following are some (non-exhaustive) examples of how to reduce the vulnerability of Critical Industrial Plants from storms:</w:t>
      </w:r>
    </w:p>
    <w:p w14:paraId="15670355" w14:textId="15D08F65" w:rsidR="00F64437" w:rsidRPr="00A824AC" w:rsidRDefault="00F64437" w:rsidP="00F64437">
      <w:pPr>
        <w:pStyle w:val="CETBodytext"/>
        <w:numPr>
          <w:ilvl w:val="0"/>
          <w:numId w:val="33"/>
        </w:numPr>
        <w:rPr>
          <w:lang w:val="en-GB"/>
        </w:rPr>
      </w:pPr>
      <w:r w:rsidRPr="00A824AC">
        <w:rPr>
          <w:lang w:val="en-GB"/>
        </w:rPr>
        <w:lastRenderedPageBreak/>
        <w:t xml:space="preserve">Technical interventions: In this regard, place generators, pumps and control rooms above the hydrometric level that can normally be found from the time series that affect the plant. Provide for the installation of devices to ensure electrical continuity or to limit overvoltages, adopting protective measures to ensure that the path of lightning strikes is kept away from </w:t>
      </w:r>
      <w:r w:rsidR="008E221E" w:rsidRPr="00A824AC">
        <w:rPr>
          <w:lang w:val="en-GB"/>
        </w:rPr>
        <w:t>flammable and</w:t>
      </w:r>
      <w:r w:rsidRPr="00A824AC">
        <w:rPr>
          <w:lang w:val="en-GB"/>
        </w:rPr>
        <w:t xml:space="preserve"> explosive substances, through preferential low-impedance routes, taking advantage of the characteristic of metals to be good conductors. Provide: a) appropriate anchoring of equipment and systems </w:t>
      </w:r>
      <w:proofErr w:type="gramStart"/>
      <w:r w:rsidRPr="00A824AC">
        <w:rPr>
          <w:lang w:val="en-GB"/>
        </w:rPr>
        <w:t>taking into account</w:t>
      </w:r>
      <w:proofErr w:type="gramEnd"/>
      <w:r w:rsidRPr="00A824AC">
        <w:rPr>
          <w:lang w:val="en-GB"/>
        </w:rPr>
        <w:t xml:space="preserve"> the wind speed of the site; b) special walls and diaphragms in order to prevent water from entering the production site from outside; c) special tanks for the collection of water coming from the yards and basins of the plant; etc.</w:t>
      </w:r>
    </w:p>
    <w:p w14:paraId="2BF782EF" w14:textId="5D1894D1" w:rsidR="00F64437" w:rsidRPr="00A824AC" w:rsidRDefault="00F64437" w:rsidP="00F64437">
      <w:pPr>
        <w:pStyle w:val="CETBodytext"/>
        <w:numPr>
          <w:ilvl w:val="0"/>
          <w:numId w:val="33"/>
        </w:numPr>
        <w:rPr>
          <w:lang w:val="en-GB"/>
        </w:rPr>
      </w:pPr>
      <w:r w:rsidRPr="00A824AC">
        <w:rPr>
          <w:lang w:val="en-GB"/>
        </w:rPr>
        <w:t>Maintenance, control and verification interventions: Appropriate maintenance and inspection of the protection systems from lightning risks must be provided, which includes the carrying out of tests and electrical continuity measurements; in fact, systems against atmospheric discharges tend to lose their effectiveness over time due to corrosion and damage due to environmental conditions, mechanical shocks and lightning strikes. Systematically clean any ducts that are located near the production site.</w:t>
      </w:r>
    </w:p>
    <w:p w14:paraId="6073D177" w14:textId="131210F6" w:rsidR="00F64437" w:rsidRPr="00A824AC" w:rsidRDefault="00F64437" w:rsidP="00F64437">
      <w:pPr>
        <w:pStyle w:val="CETBodytext"/>
        <w:numPr>
          <w:ilvl w:val="0"/>
          <w:numId w:val="33"/>
        </w:numPr>
        <w:rPr>
          <w:lang w:val="en-GB"/>
        </w:rPr>
      </w:pPr>
      <w:r w:rsidRPr="00A824AC">
        <w:rPr>
          <w:lang w:val="en-GB"/>
        </w:rPr>
        <w:t xml:space="preserve">Organisational interventions: Activate suitable weather alert systems. In this regard, prepare suitable procedures to be activated in time </w:t>
      </w:r>
      <w:proofErr w:type="gramStart"/>
      <w:r w:rsidRPr="00A824AC">
        <w:rPr>
          <w:lang w:val="en-GB"/>
        </w:rPr>
        <w:t>in order to</w:t>
      </w:r>
      <w:proofErr w:type="gramEnd"/>
      <w:r w:rsidRPr="00A824AC">
        <w:rPr>
          <w:lang w:val="en-GB"/>
        </w:rPr>
        <w:t xml:space="preserve"> make people and plants safe.</w:t>
      </w:r>
    </w:p>
    <w:p w14:paraId="42797E12" w14:textId="05220E2D" w:rsidR="006924B1" w:rsidRPr="00A824AC" w:rsidRDefault="00EB32A4" w:rsidP="00F441A8">
      <w:pPr>
        <w:pStyle w:val="CETBodytext"/>
        <w:rPr>
          <w:lang w:val="en-GB"/>
        </w:rPr>
      </w:pPr>
      <w:r w:rsidRPr="00A824AC">
        <w:rPr>
          <w:lang w:val="en-GB"/>
        </w:rPr>
        <w:t>The above-mentioned interventions improve the resilience of individual industrial activities, both in terms of vulnerability of critical elements and in terms of exposure for settlements near the establishment</w:t>
      </w:r>
      <w:r w:rsidR="006924B1" w:rsidRPr="00A824AC">
        <w:rPr>
          <w:lang w:val="en-GB"/>
        </w:rPr>
        <w:t>.</w:t>
      </w:r>
    </w:p>
    <w:p w14:paraId="1C4509BE" w14:textId="77777777" w:rsidR="00F64437" w:rsidRPr="00A824AC" w:rsidRDefault="00F64437" w:rsidP="00F64437">
      <w:pPr>
        <w:pStyle w:val="CETHeading1"/>
        <w:rPr>
          <w:lang w:val="en-GB"/>
        </w:rPr>
      </w:pPr>
      <w:r w:rsidRPr="00A824AC">
        <w:rPr>
          <w:lang w:val="en-GB"/>
        </w:rPr>
        <w:t>Conclusions</w:t>
      </w:r>
    </w:p>
    <w:p w14:paraId="7910EF2A" w14:textId="46E93941" w:rsidR="00F64437" w:rsidRPr="00A824AC" w:rsidRDefault="00F64437" w:rsidP="00F64437">
      <w:pPr>
        <w:pStyle w:val="CETBodytext"/>
        <w:rPr>
          <w:lang w:val="en-GB"/>
        </w:rPr>
      </w:pPr>
      <w:r w:rsidRPr="00A824AC">
        <w:rPr>
          <w:lang w:val="en-GB"/>
        </w:rPr>
        <w:t>The increase in the frequency and intensity of extreme weather events such as storms have a significant impact on industries and plants that contain hazardous chemicals, with the possibility of causing Natech events that involve fires, explosions and releases into the environment.</w:t>
      </w:r>
      <w:r w:rsidR="00153B4C" w:rsidRPr="00A824AC">
        <w:rPr>
          <w:lang w:val="en-GB"/>
        </w:rPr>
        <w:t xml:space="preserve"> </w:t>
      </w:r>
      <w:r w:rsidRPr="00A824AC">
        <w:rPr>
          <w:lang w:val="en-GB"/>
        </w:rPr>
        <w:t xml:space="preserve">All this leads to the involvement not only of the workers of these plants but also of the citizens who live in the vicinity of them. In the light of what has been highlighted in this article, a preliminary index method is introduced for the Italian production reality to determine the level of natech risk induced by storms in industrial activities. The purpose of this work is to give managers/employers indications regarding the adaptation to storms that are often accompanied by </w:t>
      </w:r>
      <w:r w:rsidR="001A30B8" w:rsidRPr="00A824AC">
        <w:rPr>
          <w:lang w:val="en-GB"/>
        </w:rPr>
        <w:t>h</w:t>
      </w:r>
      <w:r w:rsidRPr="00A824AC">
        <w:rPr>
          <w:lang w:val="en-GB"/>
        </w:rPr>
        <w:t>eavy precipitation, which can lead to flash floods, storm surges, strong wind</w:t>
      </w:r>
      <w:r w:rsidR="001A30B8" w:rsidRPr="00A824AC">
        <w:rPr>
          <w:lang w:val="en-GB"/>
        </w:rPr>
        <w:t xml:space="preserve"> and</w:t>
      </w:r>
      <w:r w:rsidRPr="00A824AC">
        <w:rPr>
          <w:lang w:val="en-GB"/>
        </w:rPr>
        <w:t xml:space="preserve"> </w:t>
      </w:r>
      <w:r w:rsidR="001A30B8" w:rsidRPr="00A824AC">
        <w:rPr>
          <w:lang w:val="en-GB"/>
        </w:rPr>
        <w:t>l</w:t>
      </w:r>
      <w:r w:rsidRPr="00A824AC">
        <w:rPr>
          <w:lang w:val="en-GB"/>
        </w:rPr>
        <w:t>ightning.</w:t>
      </w:r>
      <w:r w:rsidR="009F381B" w:rsidRPr="00A824AC">
        <w:rPr>
          <w:lang w:val="en-GB"/>
        </w:rPr>
        <w:t xml:space="preserve"> </w:t>
      </w:r>
      <w:r w:rsidR="005B2B64" w:rsidRPr="00A824AC">
        <w:rPr>
          <w:lang w:val="en-GB"/>
        </w:rPr>
        <w:t xml:space="preserve">The proposed method can be applied to all geographical areas, </w:t>
      </w:r>
      <w:proofErr w:type="gramStart"/>
      <w:r w:rsidR="005B2B64" w:rsidRPr="00A824AC">
        <w:rPr>
          <w:lang w:val="en-GB"/>
        </w:rPr>
        <w:t>provided that</w:t>
      </w:r>
      <w:proofErr w:type="gramEnd"/>
      <w:r w:rsidR="005B2B64" w:rsidRPr="00A824AC">
        <w:rPr>
          <w:lang w:val="en-GB"/>
        </w:rPr>
        <w:t xml:space="preserve"> it is possible to determine the storm hazard index, </w:t>
      </w:r>
      <w:r w:rsidR="005B2B64" w:rsidRPr="00A824AC">
        <w:rPr>
          <w:bCs/>
          <w:lang w:val="en-GB"/>
        </w:rPr>
        <w:t>I</w:t>
      </w:r>
      <w:r w:rsidR="005B2B64" w:rsidRPr="00A824AC">
        <w:rPr>
          <w:bCs/>
          <w:vertAlign w:val="subscript"/>
          <w:lang w:val="en-GB"/>
        </w:rPr>
        <w:t>Hs</w:t>
      </w:r>
      <w:r w:rsidR="005B2B64" w:rsidRPr="00A824AC">
        <w:rPr>
          <w:lang w:val="en-GB"/>
        </w:rPr>
        <w:t xml:space="preserve"> for the single area. This is possible if are available: a) Maximum daily precipitation in mm, b) Wind speed in m/s, c) The average number of lightning strikes to the ground per year per Km</w:t>
      </w:r>
      <w:r w:rsidR="005B2B64" w:rsidRPr="00A824AC">
        <w:rPr>
          <w:vertAlign w:val="superscript"/>
          <w:lang w:val="en-GB"/>
        </w:rPr>
        <w:t>2</w:t>
      </w:r>
      <w:r w:rsidR="005B2B64" w:rsidRPr="00A824AC">
        <w:rPr>
          <w:lang w:val="en-GB"/>
        </w:rPr>
        <w:t xml:space="preserve">, for each single area. The other two indices storm vulnerability index, </w:t>
      </w:r>
      <w:r w:rsidR="005B2B64" w:rsidRPr="00A824AC">
        <w:rPr>
          <w:bCs/>
          <w:lang w:val="en-GB"/>
        </w:rPr>
        <w:t>I</w:t>
      </w:r>
      <w:r w:rsidR="005B2B64" w:rsidRPr="00A824AC">
        <w:rPr>
          <w:bCs/>
          <w:vertAlign w:val="subscript"/>
          <w:lang w:val="en-GB"/>
        </w:rPr>
        <w:t>Vs</w:t>
      </w:r>
      <w:r w:rsidR="005B2B64" w:rsidRPr="00A824AC">
        <w:rPr>
          <w:lang w:val="en-GB"/>
        </w:rPr>
        <w:t xml:space="preserve"> and storm exposure index, </w:t>
      </w:r>
      <w:r w:rsidR="005B2B64" w:rsidRPr="00A824AC">
        <w:rPr>
          <w:bCs/>
          <w:lang w:val="en-GB"/>
        </w:rPr>
        <w:t>I</w:t>
      </w:r>
      <w:r w:rsidR="005B2B64" w:rsidRPr="00A824AC">
        <w:rPr>
          <w:bCs/>
          <w:vertAlign w:val="subscript"/>
          <w:lang w:val="en-GB"/>
        </w:rPr>
        <w:t>Es</w:t>
      </w:r>
      <w:r w:rsidR="005B2B64" w:rsidRPr="00A824AC">
        <w:rPr>
          <w:lang w:val="en-GB"/>
        </w:rPr>
        <w:t xml:space="preserve"> are not influenced by the geographical area.</w:t>
      </w:r>
    </w:p>
    <w:p w14:paraId="4F1327F8" w14:textId="48A00E47" w:rsidR="00600535" w:rsidRPr="00A824AC" w:rsidRDefault="00600535" w:rsidP="00600535">
      <w:pPr>
        <w:pStyle w:val="CETReference"/>
        <w:rPr>
          <w:szCs w:val="18"/>
        </w:rPr>
      </w:pPr>
      <w:r w:rsidRPr="00A824AC">
        <w:rPr>
          <w:szCs w:val="18"/>
        </w:rPr>
        <w:t>References</w:t>
      </w:r>
    </w:p>
    <w:p w14:paraId="4BED17BE" w14:textId="1E530759" w:rsidR="00885951" w:rsidRPr="00A824AC" w:rsidRDefault="00885951" w:rsidP="00B43045">
      <w:pPr>
        <w:pStyle w:val="CETReferencetext"/>
        <w:rPr>
          <w:szCs w:val="18"/>
        </w:rPr>
      </w:pPr>
      <w:r w:rsidRPr="00A824AC">
        <w:rPr>
          <w:szCs w:val="18"/>
        </w:rPr>
        <w:t xml:space="preserve">Canessa A., 2021, Storm naming, Rivista di </w:t>
      </w:r>
      <w:proofErr w:type="spellStart"/>
      <w:r w:rsidRPr="00A824AC">
        <w:rPr>
          <w:szCs w:val="18"/>
        </w:rPr>
        <w:t>Meteorologia</w:t>
      </w:r>
      <w:proofErr w:type="spellEnd"/>
      <w:r w:rsidRPr="00A824AC">
        <w:rPr>
          <w:szCs w:val="18"/>
        </w:rPr>
        <w:t xml:space="preserve"> Aeronautica </w:t>
      </w:r>
      <w:proofErr w:type="spellStart"/>
      <w:r w:rsidRPr="00A824AC">
        <w:rPr>
          <w:szCs w:val="18"/>
        </w:rPr>
        <w:t>Militare</w:t>
      </w:r>
      <w:proofErr w:type="spellEnd"/>
      <w:r w:rsidRPr="00A824AC">
        <w:rPr>
          <w:szCs w:val="18"/>
        </w:rPr>
        <w:t xml:space="preserve"> N.4 OTT/DIC 2021, p. 34-43.</w:t>
      </w:r>
    </w:p>
    <w:p w14:paraId="72334B9D" w14:textId="0A997D15" w:rsidR="001E613B" w:rsidRPr="00A824AC" w:rsidRDefault="001E613B" w:rsidP="001E613B">
      <w:pPr>
        <w:pStyle w:val="CETReferencetext"/>
        <w:rPr>
          <w:szCs w:val="18"/>
        </w:rPr>
      </w:pPr>
      <w:r w:rsidRPr="00A824AC">
        <w:rPr>
          <w:szCs w:val="18"/>
        </w:rPr>
        <w:t xml:space="preserve">Castro Rodriguez D.J., Pilone E., </w:t>
      </w:r>
      <w:proofErr w:type="spellStart"/>
      <w:r w:rsidRPr="00A824AC">
        <w:rPr>
          <w:szCs w:val="18"/>
        </w:rPr>
        <w:t>Camuncoli</w:t>
      </w:r>
      <w:proofErr w:type="spellEnd"/>
      <w:r w:rsidRPr="00A824AC">
        <w:rPr>
          <w:szCs w:val="18"/>
        </w:rPr>
        <w:t xml:space="preserve"> G., </w:t>
      </w:r>
      <w:proofErr w:type="spellStart"/>
      <w:r w:rsidRPr="00A824AC">
        <w:rPr>
          <w:szCs w:val="18"/>
        </w:rPr>
        <w:t>Demichela</w:t>
      </w:r>
      <w:proofErr w:type="spellEnd"/>
      <w:r w:rsidRPr="00A824AC">
        <w:rPr>
          <w:szCs w:val="18"/>
        </w:rPr>
        <w:t xml:space="preserve"> M., 2023, Implementation of a Natech Vulnerability Index in a Seveso Plant, Chemical Engineering Transactions, 100, 43-48 DOI:10.3303/CET23100008.</w:t>
      </w:r>
    </w:p>
    <w:p w14:paraId="747CCFDE" w14:textId="112F4908" w:rsidR="00B43045" w:rsidRPr="00A824AC" w:rsidRDefault="00B43045" w:rsidP="00B43045">
      <w:pPr>
        <w:pStyle w:val="CETReferencetext"/>
        <w:rPr>
          <w:szCs w:val="18"/>
        </w:rPr>
      </w:pPr>
      <w:r w:rsidRPr="00A824AC">
        <w:rPr>
          <w:szCs w:val="18"/>
        </w:rPr>
        <w:t>European Union, 2012</w:t>
      </w:r>
      <w:r w:rsidR="00C708DC" w:rsidRPr="00A824AC">
        <w:rPr>
          <w:szCs w:val="18"/>
        </w:rPr>
        <w:t>,</w:t>
      </w:r>
      <w:r w:rsidRPr="00A824AC">
        <w:rPr>
          <w:szCs w:val="18"/>
        </w:rPr>
        <w:t xml:space="preserve"> Directive 2012/18/EU of the European Parliament and of the Council of 4 July 2012 on the control of major-accident hazards involving dangerous substances, amending and subsequently repealing Council Directive 96/82/EC (SEVESO III), Official Journal of the European Union, L197, p.1-37.</w:t>
      </w:r>
    </w:p>
    <w:p w14:paraId="159D7EF3" w14:textId="2BC9CE0D" w:rsidR="00DA7C7D" w:rsidRPr="00A824AC" w:rsidRDefault="00DA7C7D" w:rsidP="00B43045">
      <w:pPr>
        <w:pStyle w:val="CETReferencetext"/>
        <w:rPr>
          <w:szCs w:val="18"/>
        </w:rPr>
      </w:pPr>
      <w:r w:rsidRPr="00A824AC">
        <w:rPr>
          <w:szCs w:val="18"/>
        </w:rPr>
        <w:t xml:space="preserve">European Union, 2014, Directive </w:t>
      </w:r>
      <w:bookmarkStart w:id="4" w:name="_Hlk191217080"/>
      <w:r w:rsidRPr="00A824AC">
        <w:rPr>
          <w:szCs w:val="18"/>
        </w:rPr>
        <w:t xml:space="preserve">2014/68/EU </w:t>
      </w:r>
      <w:bookmarkEnd w:id="4"/>
      <w:r w:rsidRPr="00A824AC">
        <w:rPr>
          <w:szCs w:val="18"/>
        </w:rPr>
        <w:t>of the European Parliament and of the Council of 15 May 2014 on the harmonization of the laws of the Member States relating to the making available on the market of pressure equipment (recast), Official Journal of the European Union, N. 189, 27.6.2014, p. 164–259.</w:t>
      </w:r>
    </w:p>
    <w:p w14:paraId="118D0B11" w14:textId="5A5D26FF" w:rsidR="00DE466F" w:rsidRPr="00A824AC" w:rsidRDefault="00DE466F" w:rsidP="00DE466F">
      <w:pPr>
        <w:pStyle w:val="CETReferencetext"/>
        <w:rPr>
          <w:szCs w:val="18"/>
        </w:rPr>
      </w:pPr>
      <w:r w:rsidRPr="00A824AC">
        <w:rPr>
          <w:szCs w:val="18"/>
        </w:rPr>
        <w:t xml:space="preserve">IPCC, 2022: Climate Change 2022: Impacts, Adaptation and Vulnerability. Contribution of Working Group II to the Sixth Assessment Report of the Intergovernmental Panel on Climate Change [H.-O. </w:t>
      </w:r>
      <w:proofErr w:type="spellStart"/>
      <w:r w:rsidRPr="00A824AC">
        <w:rPr>
          <w:szCs w:val="18"/>
        </w:rPr>
        <w:t>Pörtner</w:t>
      </w:r>
      <w:proofErr w:type="spellEnd"/>
      <w:r w:rsidRPr="00A824AC">
        <w:rPr>
          <w:szCs w:val="18"/>
        </w:rPr>
        <w:t xml:space="preserve">, D.C. Roberts, M. Tignor, E.S. </w:t>
      </w:r>
      <w:proofErr w:type="spellStart"/>
      <w:r w:rsidRPr="00A824AC">
        <w:rPr>
          <w:szCs w:val="18"/>
        </w:rPr>
        <w:t>Poloczanska</w:t>
      </w:r>
      <w:proofErr w:type="spellEnd"/>
      <w:r w:rsidRPr="00A824AC">
        <w:rPr>
          <w:szCs w:val="18"/>
        </w:rPr>
        <w:t xml:space="preserve">, K. </w:t>
      </w:r>
      <w:proofErr w:type="spellStart"/>
      <w:r w:rsidRPr="00A824AC">
        <w:rPr>
          <w:szCs w:val="18"/>
        </w:rPr>
        <w:t>Mintenbeck</w:t>
      </w:r>
      <w:proofErr w:type="spellEnd"/>
      <w:r w:rsidRPr="00A824AC">
        <w:rPr>
          <w:szCs w:val="18"/>
        </w:rPr>
        <w:t xml:space="preserve">, A. Alegría, M. Craig, S. Langsdorf, S. </w:t>
      </w:r>
      <w:proofErr w:type="spellStart"/>
      <w:r w:rsidRPr="00A824AC">
        <w:rPr>
          <w:szCs w:val="18"/>
        </w:rPr>
        <w:t>Löschke</w:t>
      </w:r>
      <w:proofErr w:type="spellEnd"/>
      <w:r w:rsidRPr="00A824AC">
        <w:rPr>
          <w:szCs w:val="18"/>
        </w:rPr>
        <w:t xml:space="preserve">, V. Möller, A. </w:t>
      </w:r>
      <w:proofErr w:type="spellStart"/>
      <w:r w:rsidRPr="00A824AC">
        <w:rPr>
          <w:szCs w:val="18"/>
        </w:rPr>
        <w:t>Okem</w:t>
      </w:r>
      <w:proofErr w:type="spellEnd"/>
      <w:r w:rsidRPr="00A824AC">
        <w:rPr>
          <w:szCs w:val="18"/>
        </w:rPr>
        <w:t xml:space="preserve">, B. Rama (eds.)]. Cambridge University Press. Cambridge University Press, Cambridge, UK and New York, NY, USA, 3056 pp., </w:t>
      </w:r>
      <w:r w:rsidR="002634FD">
        <w:rPr>
          <w:szCs w:val="18"/>
        </w:rPr>
        <w:t>DOI</w:t>
      </w:r>
      <w:r w:rsidRPr="00A824AC">
        <w:rPr>
          <w:szCs w:val="18"/>
        </w:rPr>
        <w:t>:10.1017/9781009325844.</w:t>
      </w:r>
    </w:p>
    <w:p w14:paraId="40014218" w14:textId="5D975863" w:rsidR="00A551C3" w:rsidRPr="00A824AC" w:rsidRDefault="00A551C3" w:rsidP="00A551C3">
      <w:pPr>
        <w:pStyle w:val="CETReferencetext"/>
        <w:rPr>
          <w:szCs w:val="18"/>
        </w:rPr>
      </w:pPr>
      <w:r w:rsidRPr="00A824AC">
        <w:rPr>
          <w:szCs w:val="18"/>
        </w:rPr>
        <w:t>Muratore A., Giannelli G., Nastasi V., Sferruzza G., Grillone G., Delle Site C., 2022, Flood risk identification and analysis for pressure equipment. Proceedings of 32nd European Safety and Reliability Conference, Dublin, Ireland, 28 August - 1 September 2022, ESREL2022 Organizers, pp. 885-890. Published by Research Publishing, Singapore. ISBN: 978-981-18-5183-4. DOI: 10.3850/978-981-18-5183-4_R17-03-059-cd.</w:t>
      </w:r>
    </w:p>
    <w:p w14:paraId="0B517494" w14:textId="6BEF3B9E" w:rsidR="00A551C3" w:rsidRPr="00A824AC" w:rsidRDefault="00A551C3" w:rsidP="00A551C3">
      <w:pPr>
        <w:pStyle w:val="CETReferencetext"/>
        <w:rPr>
          <w:szCs w:val="18"/>
        </w:rPr>
      </w:pPr>
      <w:r w:rsidRPr="00A824AC">
        <w:rPr>
          <w:szCs w:val="18"/>
        </w:rPr>
        <w:t>Muratore A., Grillone G., Delle Site C., Giannelli G., Nastasi V., 2024, Natech Risk from Floods. Vulnerability of Critical Technical Systems Containing Hazardous Substances, Chemical Engineering Transactions, 111, 559-564 DOI:10.3303/CET24111094.</w:t>
      </w:r>
    </w:p>
    <w:p w14:paraId="4D4C516E" w14:textId="78BAC450" w:rsidR="00457B8B" w:rsidRPr="00A824AC" w:rsidRDefault="00457B8B" w:rsidP="00457B8B">
      <w:pPr>
        <w:pStyle w:val="CETReferencetext"/>
        <w:rPr>
          <w:szCs w:val="18"/>
        </w:rPr>
      </w:pPr>
      <w:r w:rsidRPr="00A824AC">
        <w:rPr>
          <w:szCs w:val="18"/>
        </w:rPr>
        <w:t>Necci A., Krausmann E., Natech risk management – Guidance for operators of hazardous industrial sites and for national authorities, EUR 31122 EN, Publications Office of the European Union, Luxembourg, 2022, ISBN</w:t>
      </w:r>
      <w:r w:rsidR="002634FD">
        <w:rPr>
          <w:szCs w:val="18"/>
        </w:rPr>
        <w:t>:</w:t>
      </w:r>
      <w:r w:rsidRPr="00A824AC">
        <w:rPr>
          <w:szCs w:val="18"/>
        </w:rPr>
        <w:t xml:space="preserve"> 978-92-76-53493-8. DOI: 10.2760/666413, JRC129450.</w:t>
      </w:r>
    </w:p>
    <w:p w14:paraId="577E2957" w14:textId="4F14D9C6" w:rsidR="00FD285F" w:rsidRPr="00A824AC" w:rsidRDefault="00FD285F" w:rsidP="00FD285F">
      <w:pPr>
        <w:pStyle w:val="CETReferencetext"/>
        <w:rPr>
          <w:szCs w:val="18"/>
        </w:rPr>
      </w:pPr>
      <w:r w:rsidRPr="00A824AC">
        <w:rPr>
          <w:szCs w:val="18"/>
        </w:rPr>
        <w:t>SNPA Report 42/2024, The climate in Italy in 2023, ISBN 978-88-448-1217-1.</w:t>
      </w:r>
    </w:p>
    <w:sectPr w:rsidR="00FD285F" w:rsidRPr="00A824AC"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27CB2" w14:textId="77777777" w:rsidR="00DF294B" w:rsidRDefault="00DF294B" w:rsidP="004F5E36">
      <w:r>
        <w:separator/>
      </w:r>
    </w:p>
  </w:endnote>
  <w:endnote w:type="continuationSeparator" w:id="0">
    <w:p w14:paraId="4603453A" w14:textId="77777777" w:rsidR="00DF294B" w:rsidRDefault="00DF294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DA49D" w14:textId="77777777" w:rsidR="00DF294B" w:rsidRDefault="00DF294B" w:rsidP="004F5E36">
      <w:r>
        <w:separator/>
      </w:r>
    </w:p>
  </w:footnote>
  <w:footnote w:type="continuationSeparator" w:id="0">
    <w:p w14:paraId="72BAA17C" w14:textId="77777777" w:rsidR="00DF294B" w:rsidRDefault="00DF294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5156E6"/>
    <w:multiLevelType w:val="hybridMultilevel"/>
    <w:tmpl w:val="162A96C8"/>
    <w:lvl w:ilvl="0" w:tplc="4D3C8F18">
      <w:start w:val="1"/>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3124C4F"/>
    <w:multiLevelType w:val="hybridMultilevel"/>
    <w:tmpl w:val="66AE7FBE"/>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5505DE7"/>
    <w:multiLevelType w:val="hybridMultilevel"/>
    <w:tmpl w:val="FC56179A"/>
    <w:lvl w:ilvl="0" w:tplc="B6F8B5C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CCA3267"/>
    <w:multiLevelType w:val="hybridMultilevel"/>
    <w:tmpl w:val="C99AA340"/>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482B0C"/>
    <w:multiLevelType w:val="hybridMultilevel"/>
    <w:tmpl w:val="33362A86"/>
    <w:lvl w:ilvl="0" w:tplc="5FA262D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438217E"/>
    <w:multiLevelType w:val="multilevel"/>
    <w:tmpl w:val="94EEF3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2797756E"/>
    <w:multiLevelType w:val="hybridMultilevel"/>
    <w:tmpl w:val="5708681C"/>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5C4C03"/>
    <w:multiLevelType w:val="hybridMultilevel"/>
    <w:tmpl w:val="88300B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6E10655"/>
    <w:multiLevelType w:val="hybridMultilevel"/>
    <w:tmpl w:val="07A48610"/>
    <w:lvl w:ilvl="0" w:tplc="EE248B7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9221A0"/>
    <w:multiLevelType w:val="hybridMultilevel"/>
    <w:tmpl w:val="D9DC8FD2"/>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BF15D2B"/>
    <w:multiLevelType w:val="hybridMultilevel"/>
    <w:tmpl w:val="841A41E2"/>
    <w:lvl w:ilvl="0" w:tplc="9C18DA8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5F55D97"/>
    <w:multiLevelType w:val="hybridMultilevel"/>
    <w:tmpl w:val="5CC0AE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0" w15:restartNumberingAfterBreak="0">
    <w:nsid w:val="591B211F"/>
    <w:multiLevelType w:val="hybridMultilevel"/>
    <w:tmpl w:val="AD4CEB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6756ECE"/>
    <w:multiLevelType w:val="hybridMultilevel"/>
    <w:tmpl w:val="5EAE8E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E25107"/>
    <w:multiLevelType w:val="hybridMultilevel"/>
    <w:tmpl w:val="2F1A679E"/>
    <w:lvl w:ilvl="0" w:tplc="D2F6BAB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BBD5DBF"/>
    <w:multiLevelType w:val="hybridMultilevel"/>
    <w:tmpl w:val="89C8670A"/>
    <w:lvl w:ilvl="0" w:tplc="9C18DA8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6"/>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9"/>
  </w:num>
  <w:num w:numId="13" w16cid:durableId="695733619">
    <w:abstractNumId w:val="19"/>
  </w:num>
  <w:num w:numId="14" w16cid:durableId="145903400">
    <w:abstractNumId w:val="31"/>
  </w:num>
  <w:num w:numId="15" w16cid:durableId="19162326">
    <w:abstractNumId w:val="34"/>
  </w:num>
  <w:num w:numId="16" w16cid:durableId="1977102699">
    <w:abstractNumId w:val="32"/>
  </w:num>
  <w:num w:numId="17" w16cid:durableId="860774865">
    <w:abstractNumId w:val="18"/>
  </w:num>
  <w:num w:numId="18" w16cid:durableId="313221457">
    <w:abstractNumId w:val="19"/>
    <w:lvlOverride w:ilvl="0">
      <w:startOverride w:val="1"/>
    </w:lvlOverride>
  </w:num>
  <w:num w:numId="19" w16cid:durableId="534971577">
    <w:abstractNumId w:val="27"/>
  </w:num>
  <w:num w:numId="20" w16cid:durableId="1150947773">
    <w:abstractNumId w:val="26"/>
  </w:num>
  <w:num w:numId="21" w16cid:durableId="124660497">
    <w:abstractNumId w:val="25"/>
  </w:num>
  <w:num w:numId="22" w16cid:durableId="2099861471">
    <w:abstractNumId w:val="22"/>
  </w:num>
  <w:num w:numId="23" w16cid:durableId="84351335">
    <w:abstractNumId w:val="11"/>
  </w:num>
  <w:num w:numId="24" w16cid:durableId="1558390907">
    <w:abstractNumId w:val="20"/>
  </w:num>
  <w:num w:numId="25" w16cid:durableId="716396342">
    <w:abstractNumId w:val="35"/>
  </w:num>
  <w:num w:numId="26" w16cid:durableId="1283993703">
    <w:abstractNumId w:val="17"/>
  </w:num>
  <w:num w:numId="27" w16cid:durableId="525290783">
    <w:abstractNumId w:val="33"/>
  </w:num>
  <w:num w:numId="28" w16cid:durableId="1899659096">
    <w:abstractNumId w:val="15"/>
  </w:num>
  <w:num w:numId="29" w16cid:durableId="615599778">
    <w:abstractNumId w:val="23"/>
  </w:num>
  <w:num w:numId="30" w16cid:durableId="2091391435">
    <w:abstractNumId w:val="28"/>
  </w:num>
  <w:num w:numId="31" w16cid:durableId="1479422180">
    <w:abstractNumId w:val="30"/>
  </w:num>
  <w:num w:numId="32" w16cid:durableId="955870221">
    <w:abstractNumId w:val="21"/>
  </w:num>
  <w:num w:numId="33" w16cid:durableId="1015116098">
    <w:abstractNumId w:val="12"/>
  </w:num>
  <w:num w:numId="34" w16cid:durableId="2109079826">
    <w:abstractNumId w:val="36"/>
  </w:num>
  <w:num w:numId="35" w16cid:durableId="1648893411">
    <w:abstractNumId w:val="24"/>
  </w:num>
  <w:num w:numId="36" w16cid:durableId="1221089641">
    <w:abstractNumId w:val="14"/>
  </w:num>
  <w:num w:numId="37" w16cid:durableId="1695839596">
    <w:abstractNumId w:val="16"/>
  </w:num>
  <w:num w:numId="38" w16cid:durableId="1534686341">
    <w:abstractNumId w:val="16"/>
  </w:num>
  <w:num w:numId="39" w16cid:durableId="2107992562">
    <w:abstractNumId w:val="10"/>
  </w:num>
  <w:num w:numId="40" w16cid:durableId="7202527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9F0"/>
    <w:rsid w:val="000052FB"/>
    <w:rsid w:val="00005A19"/>
    <w:rsid w:val="000117CB"/>
    <w:rsid w:val="000159FA"/>
    <w:rsid w:val="000301EA"/>
    <w:rsid w:val="0003148D"/>
    <w:rsid w:val="00031EEC"/>
    <w:rsid w:val="0003785D"/>
    <w:rsid w:val="000450C8"/>
    <w:rsid w:val="00051566"/>
    <w:rsid w:val="0005298A"/>
    <w:rsid w:val="00053E2C"/>
    <w:rsid w:val="00055AC5"/>
    <w:rsid w:val="000562A9"/>
    <w:rsid w:val="00062A9A"/>
    <w:rsid w:val="00062E51"/>
    <w:rsid w:val="00065058"/>
    <w:rsid w:val="00082AA0"/>
    <w:rsid w:val="00086C39"/>
    <w:rsid w:val="000879FD"/>
    <w:rsid w:val="000913A0"/>
    <w:rsid w:val="00096CFC"/>
    <w:rsid w:val="00097ED5"/>
    <w:rsid w:val="000A03B2"/>
    <w:rsid w:val="000A1A31"/>
    <w:rsid w:val="000A60E4"/>
    <w:rsid w:val="000B029C"/>
    <w:rsid w:val="000B02E8"/>
    <w:rsid w:val="000C1820"/>
    <w:rsid w:val="000D0268"/>
    <w:rsid w:val="000D34BE"/>
    <w:rsid w:val="000E0B3C"/>
    <w:rsid w:val="000E102F"/>
    <w:rsid w:val="000E36F1"/>
    <w:rsid w:val="000E3A73"/>
    <w:rsid w:val="000E414A"/>
    <w:rsid w:val="000E5024"/>
    <w:rsid w:val="000E6CE1"/>
    <w:rsid w:val="000E75FD"/>
    <w:rsid w:val="000F093C"/>
    <w:rsid w:val="000F787B"/>
    <w:rsid w:val="0012091F"/>
    <w:rsid w:val="001214C3"/>
    <w:rsid w:val="00126BC2"/>
    <w:rsid w:val="00126D89"/>
    <w:rsid w:val="001308B6"/>
    <w:rsid w:val="0013121F"/>
    <w:rsid w:val="00131FE6"/>
    <w:rsid w:val="0013263F"/>
    <w:rsid w:val="001331DF"/>
    <w:rsid w:val="00133E54"/>
    <w:rsid w:val="00134DE4"/>
    <w:rsid w:val="00136A8D"/>
    <w:rsid w:val="0014034D"/>
    <w:rsid w:val="00140FE3"/>
    <w:rsid w:val="00144D16"/>
    <w:rsid w:val="00150E59"/>
    <w:rsid w:val="00152DE3"/>
    <w:rsid w:val="00153B4C"/>
    <w:rsid w:val="00164CF9"/>
    <w:rsid w:val="001667A6"/>
    <w:rsid w:val="001742B6"/>
    <w:rsid w:val="0017569A"/>
    <w:rsid w:val="0018171E"/>
    <w:rsid w:val="00184AD6"/>
    <w:rsid w:val="001908A2"/>
    <w:rsid w:val="001A30B8"/>
    <w:rsid w:val="001A4AF7"/>
    <w:rsid w:val="001B0349"/>
    <w:rsid w:val="001B1E93"/>
    <w:rsid w:val="001B2CBF"/>
    <w:rsid w:val="001B65C1"/>
    <w:rsid w:val="001C0E88"/>
    <w:rsid w:val="001C20BD"/>
    <w:rsid w:val="001C260F"/>
    <w:rsid w:val="001C4669"/>
    <w:rsid w:val="001C5C3A"/>
    <w:rsid w:val="001C684B"/>
    <w:rsid w:val="001D0CFB"/>
    <w:rsid w:val="001D21AF"/>
    <w:rsid w:val="001D53FC"/>
    <w:rsid w:val="001D67DC"/>
    <w:rsid w:val="001E613B"/>
    <w:rsid w:val="001F2E37"/>
    <w:rsid w:val="001F3EBB"/>
    <w:rsid w:val="001F42A5"/>
    <w:rsid w:val="001F7B9D"/>
    <w:rsid w:val="001F7F3A"/>
    <w:rsid w:val="00201C93"/>
    <w:rsid w:val="002103A2"/>
    <w:rsid w:val="00221D96"/>
    <w:rsid w:val="002224B4"/>
    <w:rsid w:val="00225EB9"/>
    <w:rsid w:val="002265B8"/>
    <w:rsid w:val="002329F4"/>
    <w:rsid w:val="00235816"/>
    <w:rsid w:val="00237972"/>
    <w:rsid w:val="002447EF"/>
    <w:rsid w:val="002470C5"/>
    <w:rsid w:val="00251550"/>
    <w:rsid w:val="00251B48"/>
    <w:rsid w:val="00257537"/>
    <w:rsid w:val="00257978"/>
    <w:rsid w:val="002634FD"/>
    <w:rsid w:val="00263B05"/>
    <w:rsid w:val="0027221A"/>
    <w:rsid w:val="00275B61"/>
    <w:rsid w:val="00280FAF"/>
    <w:rsid w:val="00282656"/>
    <w:rsid w:val="002919CF"/>
    <w:rsid w:val="00296B83"/>
    <w:rsid w:val="002B0070"/>
    <w:rsid w:val="002B0B09"/>
    <w:rsid w:val="002B4015"/>
    <w:rsid w:val="002B5F07"/>
    <w:rsid w:val="002B78CE"/>
    <w:rsid w:val="002C2FB6"/>
    <w:rsid w:val="002C4EBC"/>
    <w:rsid w:val="002E5FA7"/>
    <w:rsid w:val="002F0BFE"/>
    <w:rsid w:val="002F156C"/>
    <w:rsid w:val="002F1A5C"/>
    <w:rsid w:val="002F3309"/>
    <w:rsid w:val="003008CE"/>
    <w:rsid w:val="003009B7"/>
    <w:rsid w:val="00300E56"/>
    <w:rsid w:val="0030152C"/>
    <w:rsid w:val="0030469C"/>
    <w:rsid w:val="0030588E"/>
    <w:rsid w:val="0032156A"/>
    <w:rsid w:val="00321CA6"/>
    <w:rsid w:val="003232F0"/>
    <w:rsid w:val="00323763"/>
    <w:rsid w:val="00323C5F"/>
    <w:rsid w:val="00334C09"/>
    <w:rsid w:val="003569E7"/>
    <w:rsid w:val="003723D4"/>
    <w:rsid w:val="00376B88"/>
    <w:rsid w:val="00381905"/>
    <w:rsid w:val="00381FCF"/>
    <w:rsid w:val="00384CC8"/>
    <w:rsid w:val="003871FD"/>
    <w:rsid w:val="00387E8C"/>
    <w:rsid w:val="00396BC3"/>
    <w:rsid w:val="003A102D"/>
    <w:rsid w:val="003A1E30"/>
    <w:rsid w:val="003A2829"/>
    <w:rsid w:val="003A7D1C"/>
    <w:rsid w:val="003B0363"/>
    <w:rsid w:val="003B304B"/>
    <w:rsid w:val="003B3146"/>
    <w:rsid w:val="003B49CD"/>
    <w:rsid w:val="003C068B"/>
    <w:rsid w:val="003C2FCE"/>
    <w:rsid w:val="003D1E02"/>
    <w:rsid w:val="003D35D7"/>
    <w:rsid w:val="003D364A"/>
    <w:rsid w:val="003E387F"/>
    <w:rsid w:val="003F015E"/>
    <w:rsid w:val="00400414"/>
    <w:rsid w:val="00403FE6"/>
    <w:rsid w:val="004042BC"/>
    <w:rsid w:val="0041446B"/>
    <w:rsid w:val="00421407"/>
    <w:rsid w:val="0044071E"/>
    <w:rsid w:val="0044329C"/>
    <w:rsid w:val="00453E24"/>
    <w:rsid w:val="00454979"/>
    <w:rsid w:val="00457456"/>
    <w:rsid w:val="004577FE"/>
    <w:rsid w:val="00457B8B"/>
    <w:rsid w:val="00457B9C"/>
    <w:rsid w:val="0046164A"/>
    <w:rsid w:val="004628D2"/>
    <w:rsid w:val="00462DCD"/>
    <w:rsid w:val="004648AD"/>
    <w:rsid w:val="004703A9"/>
    <w:rsid w:val="00471394"/>
    <w:rsid w:val="0047426E"/>
    <w:rsid w:val="00474EF9"/>
    <w:rsid w:val="00475047"/>
    <w:rsid w:val="004760DE"/>
    <w:rsid w:val="004763D7"/>
    <w:rsid w:val="0047647E"/>
    <w:rsid w:val="00482096"/>
    <w:rsid w:val="00487840"/>
    <w:rsid w:val="004A004E"/>
    <w:rsid w:val="004A24CF"/>
    <w:rsid w:val="004A3CBF"/>
    <w:rsid w:val="004C3D1D"/>
    <w:rsid w:val="004C3D84"/>
    <w:rsid w:val="004C6AB5"/>
    <w:rsid w:val="004C7913"/>
    <w:rsid w:val="004D3258"/>
    <w:rsid w:val="004D5763"/>
    <w:rsid w:val="004E4DD6"/>
    <w:rsid w:val="004E605B"/>
    <w:rsid w:val="004F5E36"/>
    <w:rsid w:val="00507B47"/>
    <w:rsid w:val="00507BEF"/>
    <w:rsid w:val="00507CC9"/>
    <w:rsid w:val="005119A5"/>
    <w:rsid w:val="00512843"/>
    <w:rsid w:val="005177DF"/>
    <w:rsid w:val="00523B9A"/>
    <w:rsid w:val="0052611C"/>
    <w:rsid w:val="005278B7"/>
    <w:rsid w:val="0053054D"/>
    <w:rsid w:val="00532016"/>
    <w:rsid w:val="005346C8"/>
    <w:rsid w:val="0053646F"/>
    <w:rsid w:val="005424FC"/>
    <w:rsid w:val="00543E7D"/>
    <w:rsid w:val="00547A68"/>
    <w:rsid w:val="005531C9"/>
    <w:rsid w:val="00554879"/>
    <w:rsid w:val="00557B83"/>
    <w:rsid w:val="005675CA"/>
    <w:rsid w:val="00570C43"/>
    <w:rsid w:val="0057257D"/>
    <w:rsid w:val="00573A00"/>
    <w:rsid w:val="0057728C"/>
    <w:rsid w:val="00577316"/>
    <w:rsid w:val="00592274"/>
    <w:rsid w:val="0059580B"/>
    <w:rsid w:val="005A0BCC"/>
    <w:rsid w:val="005B0CAB"/>
    <w:rsid w:val="005B2110"/>
    <w:rsid w:val="005B2B64"/>
    <w:rsid w:val="005B350B"/>
    <w:rsid w:val="005B61E6"/>
    <w:rsid w:val="005C1ECF"/>
    <w:rsid w:val="005C77E1"/>
    <w:rsid w:val="005D222F"/>
    <w:rsid w:val="005D668A"/>
    <w:rsid w:val="005D6A2F"/>
    <w:rsid w:val="005E0592"/>
    <w:rsid w:val="005E1A82"/>
    <w:rsid w:val="005E238A"/>
    <w:rsid w:val="005E794C"/>
    <w:rsid w:val="005F0A28"/>
    <w:rsid w:val="005F0E5E"/>
    <w:rsid w:val="00600535"/>
    <w:rsid w:val="0060580F"/>
    <w:rsid w:val="00607B00"/>
    <w:rsid w:val="00610CD6"/>
    <w:rsid w:val="00620DEE"/>
    <w:rsid w:val="00621F92"/>
    <w:rsid w:val="0062280A"/>
    <w:rsid w:val="006231E1"/>
    <w:rsid w:val="00625639"/>
    <w:rsid w:val="0062757D"/>
    <w:rsid w:val="00631B33"/>
    <w:rsid w:val="00637DC2"/>
    <w:rsid w:val="00641287"/>
    <w:rsid w:val="0064184D"/>
    <w:rsid w:val="006422CC"/>
    <w:rsid w:val="00650C71"/>
    <w:rsid w:val="00651D18"/>
    <w:rsid w:val="00653A59"/>
    <w:rsid w:val="00654C14"/>
    <w:rsid w:val="00660469"/>
    <w:rsid w:val="00660E3E"/>
    <w:rsid w:val="00662E74"/>
    <w:rsid w:val="00665408"/>
    <w:rsid w:val="006753CF"/>
    <w:rsid w:val="00680C23"/>
    <w:rsid w:val="00683E23"/>
    <w:rsid w:val="006850AD"/>
    <w:rsid w:val="0068770B"/>
    <w:rsid w:val="006924B1"/>
    <w:rsid w:val="00693766"/>
    <w:rsid w:val="006A3281"/>
    <w:rsid w:val="006A6DE5"/>
    <w:rsid w:val="006B2D41"/>
    <w:rsid w:val="006B4888"/>
    <w:rsid w:val="006C0A01"/>
    <w:rsid w:val="006C2E45"/>
    <w:rsid w:val="006C359C"/>
    <w:rsid w:val="006C5579"/>
    <w:rsid w:val="006D6E8B"/>
    <w:rsid w:val="006D7209"/>
    <w:rsid w:val="006E3731"/>
    <w:rsid w:val="006E737D"/>
    <w:rsid w:val="006F1770"/>
    <w:rsid w:val="007041A5"/>
    <w:rsid w:val="00707DD1"/>
    <w:rsid w:val="00713973"/>
    <w:rsid w:val="00720A24"/>
    <w:rsid w:val="00720A4B"/>
    <w:rsid w:val="00732386"/>
    <w:rsid w:val="00732D5F"/>
    <w:rsid w:val="0073514D"/>
    <w:rsid w:val="00742CF1"/>
    <w:rsid w:val="007447F3"/>
    <w:rsid w:val="00750426"/>
    <w:rsid w:val="0075499F"/>
    <w:rsid w:val="007661C8"/>
    <w:rsid w:val="0077098D"/>
    <w:rsid w:val="00785BF9"/>
    <w:rsid w:val="007931FA"/>
    <w:rsid w:val="007A0518"/>
    <w:rsid w:val="007A068D"/>
    <w:rsid w:val="007A4861"/>
    <w:rsid w:val="007A7BBA"/>
    <w:rsid w:val="007B0C50"/>
    <w:rsid w:val="007B34FA"/>
    <w:rsid w:val="007B48F9"/>
    <w:rsid w:val="007C1A43"/>
    <w:rsid w:val="007D0951"/>
    <w:rsid w:val="007D1352"/>
    <w:rsid w:val="007D610D"/>
    <w:rsid w:val="007D72F4"/>
    <w:rsid w:val="007E267E"/>
    <w:rsid w:val="0080013E"/>
    <w:rsid w:val="00801759"/>
    <w:rsid w:val="008030BF"/>
    <w:rsid w:val="00803AEC"/>
    <w:rsid w:val="008047CD"/>
    <w:rsid w:val="008106AA"/>
    <w:rsid w:val="00812ABF"/>
    <w:rsid w:val="00813288"/>
    <w:rsid w:val="00814DDE"/>
    <w:rsid w:val="00816637"/>
    <w:rsid w:val="008168FC"/>
    <w:rsid w:val="00817D75"/>
    <w:rsid w:val="00830996"/>
    <w:rsid w:val="00832645"/>
    <w:rsid w:val="008345F1"/>
    <w:rsid w:val="00842E76"/>
    <w:rsid w:val="00844864"/>
    <w:rsid w:val="00846B49"/>
    <w:rsid w:val="00847EE6"/>
    <w:rsid w:val="008533A7"/>
    <w:rsid w:val="00865B07"/>
    <w:rsid w:val="008667EA"/>
    <w:rsid w:val="0087637F"/>
    <w:rsid w:val="008832CA"/>
    <w:rsid w:val="00885951"/>
    <w:rsid w:val="00892AD5"/>
    <w:rsid w:val="00892EA6"/>
    <w:rsid w:val="00893F50"/>
    <w:rsid w:val="00895360"/>
    <w:rsid w:val="008A1512"/>
    <w:rsid w:val="008A62F4"/>
    <w:rsid w:val="008B4D8C"/>
    <w:rsid w:val="008C7C7C"/>
    <w:rsid w:val="008D32B9"/>
    <w:rsid w:val="008D433B"/>
    <w:rsid w:val="008D46E3"/>
    <w:rsid w:val="008D4A16"/>
    <w:rsid w:val="008E18C0"/>
    <w:rsid w:val="008E221E"/>
    <w:rsid w:val="008E3F39"/>
    <w:rsid w:val="008E5401"/>
    <w:rsid w:val="008E566E"/>
    <w:rsid w:val="0090161A"/>
    <w:rsid w:val="00901EB6"/>
    <w:rsid w:val="009041F8"/>
    <w:rsid w:val="00904C62"/>
    <w:rsid w:val="00905354"/>
    <w:rsid w:val="009053ED"/>
    <w:rsid w:val="00911CAA"/>
    <w:rsid w:val="00913C74"/>
    <w:rsid w:val="00913F5E"/>
    <w:rsid w:val="00916B03"/>
    <w:rsid w:val="009223EA"/>
    <w:rsid w:val="00922BA8"/>
    <w:rsid w:val="00924DAC"/>
    <w:rsid w:val="00927058"/>
    <w:rsid w:val="00942750"/>
    <w:rsid w:val="00942D8F"/>
    <w:rsid w:val="009450CE"/>
    <w:rsid w:val="009459BB"/>
    <w:rsid w:val="00947179"/>
    <w:rsid w:val="0095164B"/>
    <w:rsid w:val="0095327C"/>
    <w:rsid w:val="00954090"/>
    <w:rsid w:val="009573E7"/>
    <w:rsid w:val="00963CD2"/>
    <w:rsid w:val="00963E05"/>
    <w:rsid w:val="00964A45"/>
    <w:rsid w:val="00967843"/>
    <w:rsid w:val="00967D54"/>
    <w:rsid w:val="00971028"/>
    <w:rsid w:val="00993B84"/>
    <w:rsid w:val="00994C6A"/>
    <w:rsid w:val="00996483"/>
    <w:rsid w:val="00996F5A"/>
    <w:rsid w:val="009B041A"/>
    <w:rsid w:val="009B30B3"/>
    <w:rsid w:val="009C0DC1"/>
    <w:rsid w:val="009C15EC"/>
    <w:rsid w:val="009C37C3"/>
    <w:rsid w:val="009C49D1"/>
    <w:rsid w:val="009C7C86"/>
    <w:rsid w:val="009D04AD"/>
    <w:rsid w:val="009D08F7"/>
    <w:rsid w:val="009D0E25"/>
    <w:rsid w:val="009D2FF7"/>
    <w:rsid w:val="009E1227"/>
    <w:rsid w:val="009E235D"/>
    <w:rsid w:val="009E7884"/>
    <w:rsid w:val="009E788A"/>
    <w:rsid w:val="009F0E08"/>
    <w:rsid w:val="009F381B"/>
    <w:rsid w:val="009F4F21"/>
    <w:rsid w:val="009F72A5"/>
    <w:rsid w:val="00A03488"/>
    <w:rsid w:val="00A079AE"/>
    <w:rsid w:val="00A1160A"/>
    <w:rsid w:val="00A11A73"/>
    <w:rsid w:val="00A14D5C"/>
    <w:rsid w:val="00A1763D"/>
    <w:rsid w:val="00A17CEC"/>
    <w:rsid w:val="00A27EF0"/>
    <w:rsid w:val="00A42361"/>
    <w:rsid w:val="00A50B20"/>
    <w:rsid w:val="00A51390"/>
    <w:rsid w:val="00A5425E"/>
    <w:rsid w:val="00A5468A"/>
    <w:rsid w:val="00A551C3"/>
    <w:rsid w:val="00A60D13"/>
    <w:rsid w:val="00A619D7"/>
    <w:rsid w:val="00A67C45"/>
    <w:rsid w:val="00A7223D"/>
    <w:rsid w:val="00A72745"/>
    <w:rsid w:val="00A76EFC"/>
    <w:rsid w:val="00A824AC"/>
    <w:rsid w:val="00A87D50"/>
    <w:rsid w:val="00A90A14"/>
    <w:rsid w:val="00A91010"/>
    <w:rsid w:val="00A92383"/>
    <w:rsid w:val="00A94B4D"/>
    <w:rsid w:val="00A97F29"/>
    <w:rsid w:val="00AA69DF"/>
    <w:rsid w:val="00AA702E"/>
    <w:rsid w:val="00AA7D26"/>
    <w:rsid w:val="00AB0964"/>
    <w:rsid w:val="00AB3F7E"/>
    <w:rsid w:val="00AB5011"/>
    <w:rsid w:val="00AB5EE5"/>
    <w:rsid w:val="00AC7368"/>
    <w:rsid w:val="00AD16B9"/>
    <w:rsid w:val="00AE377D"/>
    <w:rsid w:val="00AF08FD"/>
    <w:rsid w:val="00AF0EBA"/>
    <w:rsid w:val="00AF2463"/>
    <w:rsid w:val="00AF3BB3"/>
    <w:rsid w:val="00AF5566"/>
    <w:rsid w:val="00B02C8A"/>
    <w:rsid w:val="00B13FBA"/>
    <w:rsid w:val="00B17F0E"/>
    <w:rsid w:val="00B17FBD"/>
    <w:rsid w:val="00B20F1D"/>
    <w:rsid w:val="00B2312C"/>
    <w:rsid w:val="00B256F6"/>
    <w:rsid w:val="00B315A6"/>
    <w:rsid w:val="00B31813"/>
    <w:rsid w:val="00B33365"/>
    <w:rsid w:val="00B43045"/>
    <w:rsid w:val="00B50E58"/>
    <w:rsid w:val="00B53B77"/>
    <w:rsid w:val="00B57B36"/>
    <w:rsid w:val="00B57E6F"/>
    <w:rsid w:val="00B85550"/>
    <w:rsid w:val="00B8686D"/>
    <w:rsid w:val="00B90F2F"/>
    <w:rsid w:val="00B93F69"/>
    <w:rsid w:val="00B95582"/>
    <w:rsid w:val="00BA16D4"/>
    <w:rsid w:val="00BB1DDC"/>
    <w:rsid w:val="00BB25F5"/>
    <w:rsid w:val="00BC23D5"/>
    <w:rsid w:val="00BC30C9"/>
    <w:rsid w:val="00BC489A"/>
    <w:rsid w:val="00BD077D"/>
    <w:rsid w:val="00BD133F"/>
    <w:rsid w:val="00BE0DA4"/>
    <w:rsid w:val="00BE3E58"/>
    <w:rsid w:val="00BF0B50"/>
    <w:rsid w:val="00BF13CE"/>
    <w:rsid w:val="00C01616"/>
    <w:rsid w:val="00C0162B"/>
    <w:rsid w:val="00C068ED"/>
    <w:rsid w:val="00C071DE"/>
    <w:rsid w:val="00C1223D"/>
    <w:rsid w:val="00C123B5"/>
    <w:rsid w:val="00C12D7E"/>
    <w:rsid w:val="00C13246"/>
    <w:rsid w:val="00C1378D"/>
    <w:rsid w:val="00C14C6E"/>
    <w:rsid w:val="00C17166"/>
    <w:rsid w:val="00C203B6"/>
    <w:rsid w:val="00C22A8F"/>
    <w:rsid w:val="00C22E0C"/>
    <w:rsid w:val="00C27117"/>
    <w:rsid w:val="00C27B93"/>
    <w:rsid w:val="00C33E13"/>
    <w:rsid w:val="00C345B1"/>
    <w:rsid w:val="00C40142"/>
    <w:rsid w:val="00C40795"/>
    <w:rsid w:val="00C46F71"/>
    <w:rsid w:val="00C47C9D"/>
    <w:rsid w:val="00C51FF0"/>
    <w:rsid w:val="00C528E7"/>
    <w:rsid w:val="00C52C3C"/>
    <w:rsid w:val="00C57182"/>
    <w:rsid w:val="00C57863"/>
    <w:rsid w:val="00C640AF"/>
    <w:rsid w:val="00C64B63"/>
    <w:rsid w:val="00C655FD"/>
    <w:rsid w:val="00C708DC"/>
    <w:rsid w:val="00C74796"/>
    <w:rsid w:val="00C75407"/>
    <w:rsid w:val="00C83116"/>
    <w:rsid w:val="00C841C6"/>
    <w:rsid w:val="00C870A8"/>
    <w:rsid w:val="00C94434"/>
    <w:rsid w:val="00CA0D75"/>
    <w:rsid w:val="00CA1C95"/>
    <w:rsid w:val="00CA5A9C"/>
    <w:rsid w:val="00CB68BF"/>
    <w:rsid w:val="00CC4C20"/>
    <w:rsid w:val="00CC6952"/>
    <w:rsid w:val="00CD3517"/>
    <w:rsid w:val="00CD4315"/>
    <w:rsid w:val="00CD5FE2"/>
    <w:rsid w:val="00CD601B"/>
    <w:rsid w:val="00CE6261"/>
    <w:rsid w:val="00CE7C68"/>
    <w:rsid w:val="00D02B4C"/>
    <w:rsid w:val="00D0381D"/>
    <w:rsid w:val="00D040C4"/>
    <w:rsid w:val="00D16BD4"/>
    <w:rsid w:val="00D20AD1"/>
    <w:rsid w:val="00D2582C"/>
    <w:rsid w:val="00D27130"/>
    <w:rsid w:val="00D40947"/>
    <w:rsid w:val="00D46B7E"/>
    <w:rsid w:val="00D529DB"/>
    <w:rsid w:val="00D57C84"/>
    <w:rsid w:val="00D6057D"/>
    <w:rsid w:val="00D67968"/>
    <w:rsid w:val="00D71640"/>
    <w:rsid w:val="00D753AE"/>
    <w:rsid w:val="00D75F5E"/>
    <w:rsid w:val="00D8138F"/>
    <w:rsid w:val="00D81495"/>
    <w:rsid w:val="00D817F2"/>
    <w:rsid w:val="00D81BE8"/>
    <w:rsid w:val="00D836C5"/>
    <w:rsid w:val="00D84576"/>
    <w:rsid w:val="00D855FD"/>
    <w:rsid w:val="00D92A19"/>
    <w:rsid w:val="00D961E1"/>
    <w:rsid w:val="00DA1399"/>
    <w:rsid w:val="00DA24C6"/>
    <w:rsid w:val="00DA4D7B"/>
    <w:rsid w:val="00DA7118"/>
    <w:rsid w:val="00DA7C7D"/>
    <w:rsid w:val="00DB6400"/>
    <w:rsid w:val="00DB6593"/>
    <w:rsid w:val="00DC2840"/>
    <w:rsid w:val="00DC73EE"/>
    <w:rsid w:val="00DD271C"/>
    <w:rsid w:val="00DD7E8A"/>
    <w:rsid w:val="00DE264A"/>
    <w:rsid w:val="00DE397E"/>
    <w:rsid w:val="00DE41F4"/>
    <w:rsid w:val="00DE466F"/>
    <w:rsid w:val="00DF294B"/>
    <w:rsid w:val="00DF5072"/>
    <w:rsid w:val="00E0034B"/>
    <w:rsid w:val="00E02D18"/>
    <w:rsid w:val="00E041E7"/>
    <w:rsid w:val="00E06947"/>
    <w:rsid w:val="00E23CA1"/>
    <w:rsid w:val="00E34CCB"/>
    <w:rsid w:val="00E409A8"/>
    <w:rsid w:val="00E50C12"/>
    <w:rsid w:val="00E52EAA"/>
    <w:rsid w:val="00E6538A"/>
    <w:rsid w:val="00E65B91"/>
    <w:rsid w:val="00E7209D"/>
    <w:rsid w:val="00E72EAD"/>
    <w:rsid w:val="00E73A93"/>
    <w:rsid w:val="00E77223"/>
    <w:rsid w:val="00E82D7C"/>
    <w:rsid w:val="00E83A63"/>
    <w:rsid w:val="00E8528B"/>
    <w:rsid w:val="00E85B94"/>
    <w:rsid w:val="00E978D0"/>
    <w:rsid w:val="00EA4613"/>
    <w:rsid w:val="00EA7F91"/>
    <w:rsid w:val="00EB1523"/>
    <w:rsid w:val="00EB1E3F"/>
    <w:rsid w:val="00EB32A4"/>
    <w:rsid w:val="00EC0E49"/>
    <w:rsid w:val="00EC101F"/>
    <w:rsid w:val="00EC1D9F"/>
    <w:rsid w:val="00EC66A3"/>
    <w:rsid w:val="00EC72B6"/>
    <w:rsid w:val="00ED4C07"/>
    <w:rsid w:val="00EE0131"/>
    <w:rsid w:val="00EE17B0"/>
    <w:rsid w:val="00EE5340"/>
    <w:rsid w:val="00EF06D9"/>
    <w:rsid w:val="00F24F5B"/>
    <w:rsid w:val="00F2574A"/>
    <w:rsid w:val="00F27EE4"/>
    <w:rsid w:val="00F3049E"/>
    <w:rsid w:val="00F30C64"/>
    <w:rsid w:val="00F32BA2"/>
    <w:rsid w:val="00F32CDB"/>
    <w:rsid w:val="00F355C1"/>
    <w:rsid w:val="00F41EE4"/>
    <w:rsid w:val="00F43789"/>
    <w:rsid w:val="00F441A8"/>
    <w:rsid w:val="00F565FE"/>
    <w:rsid w:val="00F63A70"/>
    <w:rsid w:val="00F63D8C"/>
    <w:rsid w:val="00F64437"/>
    <w:rsid w:val="00F72817"/>
    <w:rsid w:val="00F7534E"/>
    <w:rsid w:val="00F92ED5"/>
    <w:rsid w:val="00F93EDF"/>
    <w:rsid w:val="00F953C4"/>
    <w:rsid w:val="00FA1802"/>
    <w:rsid w:val="00FA21D0"/>
    <w:rsid w:val="00FA350C"/>
    <w:rsid w:val="00FA5F5F"/>
    <w:rsid w:val="00FB730C"/>
    <w:rsid w:val="00FC2695"/>
    <w:rsid w:val="00FC3E03"/>
    <w:rsid w:val="00FC3FC1"/>
    <w:rsid w:val="00FC4248"/>
    <w:rsid w:val="00FD285F"/>
    <w:rsid w:val="00FF2A1E"/>
    <w:rsid w:val="00FF2D7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41287"/>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41287"/>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styleId="Revisione">
    <w:name w:val="Revision"/>
    <w:hidden/>
    <w:uiPriority w:val="99"/>
    <w:semiHidden/>
    <w:rsid w:val="009F381B"/>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3355">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0386944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6</Pages>
  <Words>3255</Words>
  <Characters>18555</Characters>
  <Application>Microsoft Office Word</Application>
  <DocSecurity>0</DocSecurity>
  <Lines>154</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Muratore Antonino</cp:lastModifiedBy>
  <cp:revision>141</cp:revision>
  <cp:lastPrinted>2015-05-12T18:31:00Z</cp:lastPrinted>
  <dcterms:created xsi:type="dcterms:W3CDTF">2024-11-18T19:27:00Z</dcterms:created>
  <dcterms:modified xsi:type="dcterms:W3CDTF">2025-04-19T08:30:00Z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