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F721BB9" w:rsidR="00AA7D26" w:rsidRPr="008832AA" w:rsidRDefault="00AA7D26" w:rsidP="008832AA">
            <w:pPr>
              <w:ind w:left="-107"/>
              <w:outlineLvl w:val="2"/>
              <w:rPr>
                <w:rFonts w:ascii="Aptos" w:eastAsiaTheme="minorHAnsi" w:hAnsi="Aptos" w:cs="Aptos"/>
                <w:sz w:val="22"/>
                <w:szCs w:val="22"/>
                <w:lang w:val="it-IT"/>
                <w14:ligatures w14:val="standardContextual"/>
              </w:rPr>
            </w:pPr>
            <w:r w:rsidRPr="007D610D">
              <w:rPr>
                <w:rFonts w:ascii="Tahoma" w:hAnsi="Tahoma" w:cs="Tahoma"/>
                <w:iCs/>
                <w:color w:val="333333"/>
                <w:sz w:val="14"/>
                <w:szCs w:val="14"/>
                <w:lang w:val="it-IT" w:eastAsia="it-IT"/>
              </w:rPr>
              <w:t>Guest Editors:</w:t>
            </w:r>
            <w:r w:rsidR="008832AA" w:rsidRPr="008832AA">
              <w:rPr>
                <w:rFonts w:ascii="Aptos" w:eastAsiaTheme="minorHAnsi" w:hAnsi="Aptos" w:cs="Aptos"/>
                <w:sz w:val="22"/>
                <w:szCs w:val="22"/>
                <w:lang w:val="it-IT"/>
              </w:rPr>
              <w:t xml:space="preserve"> </w:t>
            </w:r>
            <w:r w:rsidR="008832AA" w:rsidRPr="008832AA">
              <w:rPr>
                <w:rFonts w:ascii="Tahoma" w:eastAsiaTheme="minorHAnsi" w:hAnsi="Tahoma" w:cs="Tahoma"/>
                <w:sz w:val="14"/>
                <w:szCs w:val="14"/>
                <w:lang w:val="it-IT"/>
                <w14:ligatures w14:val="standardContextual"/>
              </w:rPr>
              <w:t>David Bogle, Flavio Manenti, Piero Salatino</w:t>
            </w:r>
          </w:p>
          <w:p w14:paraId="1B0F1814" w14:textId="39433521"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3904D3">
              <w:rPr>
                <w:rFonts w:ascii="Tahoma" w:hAnsi="Tahoma" w:cs="Tahoma"/>
                <w:sz w:val="14"/>
                <w:szCs w:val="14"/>
              </w:rPr>
              <w:t>21</w:t>
            </w:r>
            <w:r w:rsidR="003B49CD" w:rsidRPr="003904D3">
              <w:rPr>
                <w:rFonts w:ascii="Tahoma" w:hAnsi="Tahoma" w:cs="Tahoma"/>
                <w:sz w:val="14"/>
                <w:szCs w:val="14"/>
              </w:rPr>
              <w:t>-</w:t>
            </w:r>
            <w:r w:rsidR="003904D3">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53DD5EA0" w:rsidR="00E978D0" w:rsidRPr="00B57B36" w:rsidRDefault="00B65DED" w:rsidP="00E978D0">
      <w:pPr>
        <w:pStyle w:val="CETTitle"/>
      </w:pPr>
      <w:r>
        <w:t>On the Path to Efficient CO</w:t>
      </w:r>
      <w:r w:rsidRPr="00173E57">
        <w:rPr>
          <w:vertAlign w:val="subscript"/>
        </w:rPr>
        <w:t>2</w:t>
      </w:r>
      <w:r>
        <w:t xml:space="preserve"> </w:t>
      </w:r>
      <w:r w:rsidR="009D310D">
        <w:t>Liquefaction</w:t>
      </w:r>
      <w:r>
        <w:t xml:space="preserve">: Overcoming Limits </w:t>
      </w:r>
      <w:r w:rsidR="004F29E4">
        <w:t>for Large-Scale CCS Projects</w:t>
      </w:r>
    </w:p>
    <w:p w14:paraId="0488FED2" w14:textId="75B28E19" w:rsidR="00B57E6F" w:rsidRPr="00E47D41" w:rsidRDefault="00E328E0" w:rsidP="00B57E6F">
      <w:pPr>
        <w:pStyle w:val="CETAuthors"/>
        <w:rPr>
          <w:lang w:val="en-US"/>
        </w:rPr>
      </w:pPr>
      <w:r w:rsidRPr="00E328E0">
        <w:rPr>
          <w:lang w:val="it-IT"/>
        </w:rPr>
        <w:t>Disar</w:t>
      </w:r>
      <w:r w:rsidR="00116E1E">
        <w:rPr>
          <w:lang w:val="it-IT"/>
        </w:rPr>
        <w:t>ò</w:t>
      </w:r>
      <w:r w:rsidRPr="00E328E0">
        <w:rPr>
          <w:lang w:val="it-IT"/>
        </w:rPr>
        <w:t xml:space="preserve"> E.</w:t>
      </w:r>
      <w:r w:rsidR="00F61544">
        <w:rPr>
          <w:vertAlign w:val="superscript"/>
          <w:lang w:val="it-IT"/>
        </w:rPr>
        <w:t>*</w:t>
      </w:r>
      <w:r w:rsidR="00B57E6F" w:rsidRPr="00E328E0">
        <w:rPr>
          <w:lang w:val="it-IT"/>
        </w:rPr>
        <w:t xml:space="preserve">, </w:t>
      </w:r>
      <w:r w:rsidRPr="00E328E0">
        <w:rPr>
          <w:lang w:val="it-IT"/>
        </w:rPr>
        <w:t>Felici P.</w:t>
      </w:r>
      <w:r w:rsidR="00B57E6F" w:rsidRPr="00E328E0">
        <w:rPr>
          <w:lang w:val="it-IT"/>
        </w:rPr>
        <w:t xml:space="preserve">, </w:t>
      </w:r>
      <w:r>
        <w:rPr>
          <w:lang w:val="it-IT"/>
        </w:rPr>
        <w:t>Orsetti A.</w:t>
      </w:r>
      <w:r w:rsidR="00564899">
        <w:rPr>
          <w:lang w:val="it-IT"/>
        </w:rPr>
        <w:t xml:space="preserve">, Ferrari. </w:t>
      </w:r>
      <w:r w:rsidR="00564899" w:rsidRPr="00E47D41">
        <w:rPr>
          <w:lang w:val="en-US"/>
        </w:rPr>
        <w:t>F.</w:t>
      </w:r>
    </w:p>
    <w:p w14:paraId="6B2D21B3" w14:textId="581F0792" w:rsidR="00B57E6F" w:rsidRPr="00B57B36" w:rsidRDefault="00FB6E48" w:rsidP="00B57E6F">
      <w:pPr>
        <w:pStyle w:val="CETAddress"/>
      </w:pPr>
      <w:r>
        <w:t>NEXTCHEM</w:t>
      </w:r>
      <w:r w:rsidR="00564899">
        <w:t>, Milano</w:t>
      </w:r>
    </w:p>
    <w:p w14:paraId="73F1267A" w14:textId="3ABF4DF8" w:rsidR="00B57E6F" w:rsidRPr="00B57B36" w:rsidRDefault="000E50B4" w:rsidP="00B57E6F">
      <w:pPr>
        <w:pStyle w:val="CETemail"/>
      </w:pPr>
      <w:r>
        <w:t>e.disaro@nextchem.it</w:t>
      </w:r>
    </w:p>
    <w:p w14:paraId="5B3D0691" w14:textId="6437F118" w:rsidR="00ED05BD" w:rsidRPr="00ED05BD" w:rsidRDefault="00ED05BD" w:rsidP="00ED05BD">
      <w:pPr>
        <w:pStyle w:val="CETBodytext"/>
        <w:rPr>
          <w:lang w:val="en-GB"/>
        </w:rPr>
      </w:pPr>
      <w:r w:rsidRPr="00ED05BD">
        <w:rPr>
          <w:lang w:val="en-GB"/>
        </w:rPr>
        <w:t xml:space="preserve">The </w:t>
      </w:r>
      <w:r w:rsidR="009D310D">
        <w:rPr>
          <w:lang w:val="en-GB"/>
        </w:rPr>
        <w:t>Liquefaction</w:t>
      </w:r>
      <w:r w:rsidRPr="00ED05BD">
        <w:rPr>
          <w:lang w:val="en-GB"/>
        </w:rPr>
        <w:t xml:space="preserve"> of captured CO</w:t>
      </w:r>
      <w:r w:rsidRPr="00781E26">
        <w:rPr>
          <w:vertAlign w:val="subscript"/>
          <w:lang w:val="en-GB"/>
        </w:rPr>
        <w:t>2</w:t>
      </w:r>
      <w:r w:rsidRPr="00ED05BD">
        <w:rPr>
          <w:lang w:val="en-GB"/>
        </w:rPr>
        <w:t xml:space="preserve"> is a critical step for efficient transport within </w:t>
      </w:r>
      <w:r w:rsidR="007A4BCC">
        <w:rPr>
          <w:lang w:val="en-GB"/>
        </w:rPr>
        <w:t>Carbon Capture</w:t>
      </w:r>
      <w:r w:rsidRPr="00ED05BD">
        <w:rPr>
          <w:lang w:val="en-GB"/>
        </w:rPr>
        <w:t xml:space="preserve"> and storage (CCS) </w:t>
      </w:r>
      <w:r w:rsidR="00781E26">
        <w:rPr>
          <w:lang w:val="en-GB"/>
        </w:rPr>
        <w:t>s</w:t>
      </w:r>
      <w:r w:rsidRPr="00ED05BD">
        <w:rPr>
          <w:lang w:val="en-GB"/>
        </w:rPr>
        <w:t>ystems, enabling the connection of locations lacking CO</w:t>
      </w:r>
      <w:r w:rsidRPr="00781E26">
        <w:rPr>
          <w:vertAlign w:val="subscript"/>
          <w:lang w:val="en-GB"/>
        </w:rPr>
        <w:t>2</w:t>
      </w:r>
      <w:r w:rsidR="00781E26">
        <w:rPr>
          <w:lang w:val="en-GB"/>
        </w:rPr>
        <w:t xml:space="preserve"> </w:t>
      </w:r>
      <w:r w:rsidRPr="00ED05BD">
        <w:rPr>
          <w:lang w:val="en-GB"/>
        </w:rPr>
        <w:t>pipeline infrastructure. This work provides a techno-economic comparison of two CO</w:t>
      </w:r>
      <w:r w:rsidRPr="00781E26">
        <w:rPr>
          <w:vertAlign w:val="subscript"/>
          <w:lang w:val="en-GB"/>
        </w:rPr>
        <w:t>2</w:t>
      </w:r>
      <w:r w:rsidRPr="00ED05BD">
        <w:rPr>
          <w:lang w:val="en-GB"/>
        </w:rPr>
        <w:t xml:space="preserve"> </w:t>
      </w:r>
      <w:r w:rsidR="009D310D">
        <w:rPr>
          <w:lang w:val="en-GB"/>
        </w:rPr>
        <w:t>Liquefaction</w:t>
      </w:r>
      <w:r w:rsidRPr="00ED05BD">
        <w:rPr>
          <w:lang w:val="en-GB"/>
        </w:rPr>
        <w:t xml:space="preserve"> technologies applied to post-combustion </w:t>
      </w:r>
      <w:r w:rsidR="007A4BCC">
        <w:rPr>
          <w:lang w:val="en-GB"/>
        </w:rPr>
        <w:t>Carbon Capture</w:t>
      </w:r>
      <w:r w:rsidRPr="00ED05BD">
        <w:rPr>
          <w:lang w:val="en-GB"/>
        </w:rPr>
        <w:t>:</w:t>
      </w:r>
      <w:r w:rsidR="00781E26">
        <w:rPr>
          <w:lang w:val="en-GB"/>
        </w:rPr>
        <w:t xml:space="preserve"> </w:t>
      </w:r>
      <w:r w:rsidR="008B5E32">
        <w:rPr>
          <w:lang w:val="en-GB"/>
        </w:rPr>
        <w:t>Ammonia</w:t>
      </w:r>
      <w:r w:rsidR="001F1EEC">
        <w:rPr>
          <w:lang w:val="en-GB"/>
        </w:rPr>
        <w:t>-Refrigerated</w:t>
      </w:r>
      <w:r w:rsidRPr="00ED05BD">
        <w:rPr>
          <w:lang w:val="en-GB"/>
        </w:rPr>
        <w:t xml:space="preserve"> and </w:t>
      </w:r>
      <w:r w:rsidR="001F1EEC">
        <w:rPr>
          <w:lang w:val="en-GB"/>
        </w:rPr>
        <w:t>Self-Refrigerated</w:t>
      </w:r>
      <w:r w:rsidRPr="00ED05BD">
        <w:rPr>
          <w:lang w:val="en-GB"/>
        </w:rPr>
        <w:t xml:space="preserve"> CO</w:t>
      </w:r>
      <w:r w:rsidRPr="00781E26">
        <w:rPr>
          <w:vertAlign w:val="subscript"/>
          <w:lang w:val="en-GB"/>
        </w:rPr>
        <w:t>2</w:t>
      </w:r>
      <w:r w:rsidRPr="00ED05BD">
        <w:rPr>
          <w:lang w:val="en-GB"/>
        </w:rPr>
        <w:t xml:space="preserve"> </w:t>
      </w:r>
      <w:r w:rsidR="009D310D">
        <w:rPr>
          <w:lang w:val="en-GB"/>
        </w:rPr>
        <w:t>Liquefaction</w:t>
      </w:r>
      <w:r w:rsidRPr="00ED05BD">
        <w:rPr>
          <w:lang w:val="en-GB"/>
        </w:rPr>
        <w:t>.</w:t>
      </w:r>
    </w:p>
    <w:p w14:paraId="03C2CFC4" w14:textId="3AE296B6" w:rsidR="00ED05BD" w:rsidRPr="00ED05BD" w:rsidRDefault="008B5E32" w:rsidP="00ED05BD">
      <w:pPr>
        <w:pStyle w:val="CETBodytext"/>
        <w:rPr>
          <w:lang w:val="en-GB"/>
        </w:rPr>
      </w:pPr>
      <w:r>
        <w:rPr>
          <w:lang w:val="en-GB"/>
        </w:rPr>
        <w:t>Ammonia</w:t>
      </w:r>
      <w:r w:rsidR="001F1EEC">
        <w:rPr>
          <w:lang w:val="en-GB"/>
        </w:rPr>
        <w:t>-Refrigerated</w:t>
      </w:r>
      <w:r w:rsidR="00ED05BD" w:rsidRPr="00ED05BD">
        <w:rPr>
          <w:lang w:val="en-GB"/>
        </w:rPr>
        <w:t xml:space="preserve"> CO</w:t>
      </w:r>
      <w:r w:rsidR="00ED05BD" w:rsidRPr="00A9673B">
        <w:rPr>
          <w:vertAlign w:val="subscript"/>
          <w:lang w:val="en-GB"/>
        </w:rPr>
        <w:t>2</w:t>
      </w:r>
      <w:r w:rsidR="00ED05BD" w:rsidRPr="00ED05BD">
        <w:rPr>
          <w:lang w:val="en-GB"/>
        </w:rPr>
        <w:t xml:space="preserve"> </w:t>
      </w:r>
      <w:r w:rsidR="009D310D">
        <w:rPr>
          <w:lang w:val="en-GB"/>
        </w:rPr>
        <w:t>Liquefaction</w:t>
      </w:r>
      <w:r w:rsidR="00ED05BD" w:rsidRPr="00ED05BD">
        <w:rPr>
          <w:lang w:val="en-GB"/>
        </w:rPr>
        <w:t xml:space="preserve"> has become the industry standard for small-scale applications </w:t>
      </w:r>
      <w:r w:rsidR="00C038CC">
        <w:rPr>
          <w:lang w:val="en-GB"/>
        </w:rPr>
        <w:t>tha</w:t>
      </w:r>
      <w:r w:rsidR="004C6AEA">
        <w:rPr>
          <w:lang w:val="en-GB"/>
        </w:rPr>
        <w:t>n</w:t>
      </w:r>
      <w:r w:rsidR="00C038CC">
        <w:rPr>
          <w:lang w:val="en-GB"/>
        </w:rPr>
        <w:t>ks</w:t>
      </w:r>
      <w:r w:rsidR="00C038CC" w:rsidRPr="00ED05BD">
        <w:rPr>
          <w:lang w:val="en-GB"/>
        </w:rPr>
        <w:t xml:space="preserve"> </w:t>
      </w:r>
      <w:r w:rsidR="00ED05BD" w:rsidRPr="00ED05BD">
        <w:rPr>
          <w:lang w:val="en-GB"/>
        </w:rPr>
        <w:t xml:space="preserve">to its high efficiency and the extensive knowledge behind </w:t>
      </w:r>
      <w:r>
        <w:rPr>
          <w:lang w:val="en-GB"/>
        </w:rPr>
        <w:t>Ammonia</w:t>
      </w:r>
      <w:r w:rsidR="00ED05BD" w:rsidRPr="00ED05BD">
        <w:rPr>
          <w:lang w:val="en-GB"/>
        </w:rPr>
        <w:t xml:space="preserve"> refrigeration cycles. However, due to limitations in compression technology, its application to large-scale CO</w:t>
      </w:r>
      <w:r w:rsidR="00ED05BD" w:rsidRPr="00A9673B">
        <w:rPr>
          <w:vertAlign w:val="subscript"/>
          <w:lang w:val="en-GB"/>
        </w:rPr>
        <w:t>2</w:t>
      </w:r>
      <w:r w:rsidR="00ED05BD" w:rsidRPr="00ED05BD">
        <w:rPr>
          <w:lang w:val="en-GB"/>
        </w:rPr>
        <w:t xml:space="preserve"> </w:t>
      </w:r>
      <w:r w:rsidR="009D310D">
        <w:rPr>
          <w:lang w:val="en-GB"/>
        </w:rPr>
        <w:t>Liquefaction</w:t>
      </w:r>
      <w:r w:rsidR="00ED05BD" w:rsidRPr="00ED05BD">
        <w:rPr>
          <w:lang w:val="en-GB"/>
        </w:rPr>
        <w:t xml:space="preserve"> projects—essential to meet the growing demands of energy transition—is less efficient and less viable.</w:t>
      </w:r>
    </w:p>
    <w:p w14:paraId="7B845328" w14:textId="38AD9206" w:rsidR="003A7ED8" w:rsidRDefault="00ED05BD" w:rsidP="00ED05BD">
      <w:pPr>
        <w:pStyle w:val="CETBodytext"/>
        <w:rPr>
          <w:lang w:val="en-GB"/>
        </w:rPr>
      </w:pPr>
      <w:r w:rsidRPr="00ED05BD">
        <w:rPr>
          <w:lang w:val="en-GB"/>
        </w:rPr>
        <w:t>Conversely, advancements in CO</w:t>
      </w:r>
      <w:r w:rsidRPr="00A9673B">
        <w:rPr>
          <w:vertAlign w:val="subscript"/>
          <w:lang w:val="en-GB"/>
        </w:rPr>
        <w:t>2</w:t>
      </w:r>
      <w:r w:rsidRPr="00ED05BD">
        <w:rPr>
          <w:lang w:val="en-GB"/>
        </w:rPr>
        <w:t xml:space="preserve"> compression technology have enabled </w:t>
      </w:r>
      <w:r w:rsidR="001F1EEC">
        <w:rPr>
          <w:lang w:val="en-GB"/>
        </w:rPr>
        <w:t>Self-Refrigerated</w:t>
      </w:r>
      <w:r w:rsidRPr="00ED05BD">
        <w:rPr>
          <w:lang w:val="en-GB"/>
        </w:rPr>
        <w:t xml:space="preserve"> </w:t>
      </w:r>
      <w:r w:rsidR="009D310D">
        <w:rPr>
          <w:lang w:val="en-GB"/>
        </w:rPr>
        <w:t>Liquefaction</w:t>
      </w:r>
      <w:r w:rsidRPr="00ED05BD">
        <w:rPr>
          <w:lang w:val="en-GB"/>
        </w:rPr>
        <w:t xml:space="preserve"> to effectively address the challenges of large-scale projects, overcoming the constraints of </w:t>
      </w:r>
      <w:r w:rsidR="008B5E32">
        <w:rPr>
          <w:lang w:val="en-GB"/>
        </w:rPr>
        <w:t>Ammonia</w:t>
      </w:r>
      <w:r w:rsidRPr="00ED05BD">
        <w:rPr>
          <w:lang w:val="en-GB"/>
        </w:rPr>
        <w:t xml:space="preserve"> refrigeration. On the other hand, traditional </w:t>
      </w:r>
      <w:r w:rsidR="001F1EEC">
        <w:rPr>
          <w:lang w:val="en-GB"/>
        </w:rPr>
        <w:t>Self-Refrigerated</w:t>
      </w:r>
      <w:r w:rsidRPr="00ED05BD">
        <w:rPr>
          <w:lang w:val="en-GB"/>
        </w:rPr>
        <w:t xml:space="preserve"> systems face limitations in achieving high efficiencies due to the thermodynamic properties of CO</w:t>
      </w:r>
      <w:r w:rsidRPr="00A9673B">
        <w:rPr>
          <w:vertAlign w:val="subscript"/>
          <w:lang w:val="en-GB"/>
        </w:rPr>
        <w:t>2</w:t>
      </w:r>
      <w:r w:rsidRPr="00ED05BD">
        <w:rPr>
          <w:lang w:val="en-GB"/>
        </w:rPr>
        <w:t xml:space="preserve">. Recent advancements, such as those developed by </w:t>
      </w:r>
      <w:r w:rsidR="00FB6E48">
        <w:rPr>
          <w:lang w:val="en-GB"/>
        </w:rPr>
        <w:t>NEXTCHEM</w:t>
      </w:r>
      <w:r w:rsidRPr="00ED05BD">
        <w:rPr>
          <w:lang w:val="en-GB"/>
        </w:rPr>
        <w:t xml:space="preserve">, have successfully overcome these limitations through innovative process design and highly efficient heat integration strategies. These advancements enable the deployment of </w:t>
      </w:r>
      <w:r w:rsidR="001F1EEC">
        <w:rPr>
          <w:lang w:val="en-GB"/>
        </w:rPr>
        <w:t>Self-Refrigerated</w:t>
      </w:r>
      <w:r w:rsidRPr="00ED05BD">
        <w:rPr>
          <w:lang w:val="en-GB"/>
        </w:rPr>
        <w:t xml:space="preserve"> systems with significantly improved performance, delivering high efficiency with fewer rotating machines, thereby reducing capital expenditures and operational complexity.</w:t>
      </w:r>
    </w:p>
    <w:p w14:paraId="5CBB85EF" w14:textId="6A201281" w:rsidR="003A7ED8" w:rsidRDefault="002F5572" w:rsidP="001D1B45">
      <w:pPr>
        <w:pStyle w:val="CETHeading1"/>
      </w:pPr>
      <w:r>
        <w:t>Introduction</w:t>
      </w:r>
    </w:p>
    <w:p w14:paraId="12584864" w14:textId="2D8A710D" w:rsidR="003A7ED8" w:rsidRDefault="002C539D" w:rsidP="0089707C">
      <w:pPr>
        <w:pStyle w:val="CETBodytext"/>
        <w:rPr>
          <w:lang w:val="en-GB"/>
        </w:rPr>
      </w:pPr>
      <w:r w:rsidRPr="3064E2AE">
        <w:rPr>
          <w:lang w:val="en-GB"/>
        </w:rPr>
        <w:t>The CO</w:t>
      </w:r>
      <w:r w:rsidRPr="3064E2AE">
        <w:rPr>
          <w:rFonts w:ascii="Cambria Math" w:hAnsi="Cambria Math" w:cs="Cambria Math"/>
          <w:lang w:val="en-GB"/>
        </w:rPr>
        <w:t>₂</w:t>
      </w:r>
      <w:r w:rsidRPr="3064E2AE">
        <w:rPr>
          <w:lang w:val="en-GB"/>
        </w:rPr>
        <w:t xml:space="preserve"> </w:t>
      </w:r>
      <w:r w:rsidR="009D310D" w:rsidRPr="3064E2AE">
        <w:rPr>
          <w:lang w:val="en-GB"/>
        </w:rPr>
        <w:t>Liquefaction</w:t>
      </w:r>
      <w:r w:rsidRPr="3064E2AE">
        <w:rPr>
          <w:lang w:val="en-GB"/>
        </w:rPr>
        <w:t xml:space="preserve"> process involves compressing</w:t>
      </w:r>
      <w:r w:rsidR="0037698F">
        <w:rPr>
          <w:lang w:val="en-GB"/>
        </w:rPr>
        <w:t xml:space="preserve"> and cooling</w:t>
      </w:r>
      <w:r w:rsidRPr="3064E2AE">
        <w:rPr>
          <w:lang w:val="en-GB"/>
        </w:rPr>
        <w:t xml:space="preserve"> </w:t>
      </w:r>
      <w:r w:rsidR="00667BB4">
        <w:rPr>
          <w:lang w:val="en-GB"/>
        </w:rPr>
        <w:t>CO</w:t>
      </w:r>
      <w:r w:rsidR="00667BB4" w:rsidRPr="00667BB4">
        <w:rPr>
          <w:vertAlign w:val="subscript"/>
          <w:lang w:val="en-GB"/>
        </w:rPr>
        <w:t>2</w:t>
      </w:r>
      <w:r w:rsidRPr="3064E2AE">
        <w:rPr>
          <w:lang w:val="en-GB"/>
        </w:rPr>
        <w:t xml:space="preserve"> gas to </w:t>
      </w:r>
      <w:r w:rsidR="004D3B9B">
        <w:rPr>
          <w:lang w:val="en-GB"/>
        </w:rPr>
        <w:t>condense</w:t>
      </w:r>
      <w:r w:rsidRPr="3064E2AE">
        <w:rPr>
          <w:lang w:val="en-GB"/>
        </w:rPr>
        <w:t xml:space="preserve"> it into a liquid state, essential for efficient transport and storage</w:t>
      </w:r>
      <w:r w:rsidR="002B1E2C">
        <w:rPr>
          <w:lang w:val="en-GB"/>
        </w:rPr>
        <w:t xml:space="preserve">, while </w:t>
      </w:r>
      <w:r w:rsidR="00AC5B0B">
        <w:rPr>
          <w:lang w:val="en-GB"/>
        </w:rPr>
        <w:t>also</w:t>
      </w:r>
      <w:r w:rsidRPr="3064E2AE">
        <w:rPr>
          <w:lang w:val="en-GB"/>
        </w:rPr>
        <w:t xml:space="preserve"> reducing impurity levels to meet the stringent transport</w:t>
      </w:r>
      <w:r w:rsidR="00470616">
        <w:rPr>
          <w:lang w:val="en-GB"/>
        </w:rPr>
        <w:t xml:space="preserve"> </w:t>
      </w:r>
      <w:r w:rsidR="00B278E8">
        <w:rPr>
          <w:lang w:val="en-GB"/>
        </w:rPr>
        <w:t>specifications</w:t>
      </w:r>
      <w:r w:rsidR="0088305C">
        <w:rPr>
          <w:lang w:val="en-GB"/>
        </w:rPr>
        <w:t xml:space="preserve"> </w:t>
      </w:r>
      <w:r w:rsidR="00470616">
        <w:rPr>
          <w:lang w:val="en-GB"/>
        </w:rPr>
        <w:t>(Northern Lights, 2024)</w:t>
      </w:r>
      <w:r w:rsidRPr="3064E2AE">
        <w:rPr>
          <w:lang w:val="en-GB"/>
        </w:rPr>
        <w:t>.</w:t>
      </w:r>
      <w:r w:rsidR="008815F7">
        <w:rPr>
          <w:lang w:val="en-GB"/>
        </w:rPr>
        <w:t xml:space="preserve"> </w:t>
      </w:r>
      <w:r w:rsidR="00721B7E">
        <w:rPr>
          <w:lang w:val="en-GB"/>
        </w:rPr>
        <w:t>Liquefaction</w:t>
      </w:r>
      <w:r w:rsidR="00721B7E" w:rsidRPr="3064E2AE">
        <w:rPr>
          <w:lang w:val="en-GB"/>
        </w:rPr>
        <w:t xml:space="preserve"> </w:t>
      </w:r>
      <w:r w:rsidR="0088305C">
        <w:rPr>
          <w:lang w:val="en-GB"/>
        </w:rPr>
        <w:t>is</w:t>
      </w:r>
      <w:r w:rsidR="00721B7E" w:rsidRPr="3064E2AE">
        <w:rPr>
          <w:lang w:val="en-GB"/>
        </w:rPr>
        <w:t xml:space="preserve"> particularly</w:t>
      </w:r>
      <w:r w:rsidR="0088305C">
        <w:rPr>
          <w:lang w:val="en-GB"/>
        </w:rPr>
        <w:t xml:space="preserve"> </w:t>
      </w:r>
      <w:r w:rsidR="0041297E">
        <w:rPr>
          <w:lang w:val="en-GB"/>
        </w:rPr>
        <w:t>valuable</w:t>
      </w:r>
      <w:r w:rsidR="0088305C">
        <w:rPr>
          <w:lang w:val="en-GB"/>
        </w:rPr>
        <w:t xml:space="preserve"> for</w:t>
      </w:r>
      <w:r w:rsidR="00721B7E" w:rsidRPr="3064E2AE">
        <w:rPr>
          <w:lang w:val="en-GB"/>
        </w:rPr>
        <w:t xml:space="preserve"> long</w:t>
      </w:r>
      <w:r w:rsidR="00336160">
        <w:rPr>
          <w:lang w:val="en-GB"/>
        </w:rPr>
        <w:t>-</w:t>
      </w:r>
      <w:r w:rsidR="00721B7E" w:rsidRPr="3064E2AE">
        <w:rPr>
          <w:lang w:val="en-GB"/>
        </w:rPr>
        <w:t>distance</w:t>
      </w:r>
      <w:r w:rsidR="00336160">
        <w:rPr>
          <w:lang w:val="en-GB"/>
        </w:rPr>
        <w:t xml:space="preserve"> transport</w:t>
      </w:r>
      <w:r w:rsidR="00721B7E" w:rsidRPr="3064E2AE">
        <w:rPr>
          <w:lang w:val="en-GB"/>
        </w:rPr>
        <w:t xml:space="preserve"> where pipelines </w:t>
      </w:r>
      <w:r w:rsidR="00B278E8">
        <w:rPr>
          <w:lang w:val="en-GB"/>
        </w:rPr>
        <w:t>are impractical</w:t>
      </w:r>
      <w:r w:rsidR="00336160">
        <w:rPr>
          <w:lang w:val="en-GB"/>
        </w:rPr>
        <w:t xml:space="preserve">, </w:t>
      </w:r>
      <w:r w:rsidR="00F8728C">
        <w:rPr>
          <w:lang w:val="en-GB"/>
        </w:rPr>
        <w:t>enabl</w:t>
      </w:r>
      <w:r w:rsidR="00336160">
        <w:rPr>
          <w:lang w:val="en-GB"/>
        </w:rPr>
        <w:t>ing</w:t>
      </w:r>
      <w:r w:rsidR="00721B7E" w:rsidRPr="3064E2AE">
        <w:rPr>
          <w:lang w:val="en-GB"/>
        </w:rPr>
        <w:t xml:space="preserve"> ship</w:t>
      </w:r>
      <w:r w:rsidR="00A8533B">
        <w:rPr>
          <w:lang w:val="en-GB"/>
        </w:rPr>
        <w:t xml:space="preserve">-based </w:t>
      </w:r>
      <w:r w:rsidR="00CA63E2">
        <w:rPr>
          <w:lang w:val="en-GB"/>
        </w:rPr>
        <w:t>transportation</w:t>
      </w:r>
      <w:r w:rsidR="00EE1014">
        <w:rPr>
          <w:lang w:val="en-GB"/>
        </w:rPr>
        <w:t xml:space="preserve"> and</w:t>
      </w:r>
      <w:r w:rsidR="00721B7E" w:rsidRPr="3064E2AE">
        <w:rPr>
          <w:lang w:val="en-GB"/>
        </w:rPr>
        <w:t xml:space="preserve"> offering flexibility in connecting emission sources with storage sites</w:t>
      </w:r>
      <w:r w:rsidR="00721B7E">
        <w:rPr>
          <w:lang w:val="en-GB"/>
        </w:rPr>
        <w:t xml:space="preserve"> (Cha, 2024)</w:t>
      </w:r>
      <w:r w:rsidR="00721B7E" w:rsidRPr="3064E2AE">
        <w:rPr>
          <w:lang w:val="en-GB"/>
        </w:rPr>
        <w:t>.</w:t>
      </w:r>
      <w:r w:rsidR="00721B7E">
        <w:rPr>
          <w:lang w:val="en-GB"/>
        </w:rPr>
        <w:t xml:space="preserve"> </w:t>
      </w:r>
      <w:r w:rsidR="004258A1" w:rsidRPr="004258A1">
        <w:rPr>
          <w:lang w:val="en-GB"/>
        </w:rPr>
        <w:t>Historically, CO</w:t>
      </w:r>
      <w:r w:rsidR="004258A1" w:rsidRPr="004258A1">
        <w:rPr>
          <w:rFonts w:ascii="Cambria Math" w:hAnsi="Cambria Math" w:cs="Cambria Math"/>
          <w:lang w:val="en-GB"/>
        </w:rPr>
        <w:t>₂</w:t>
      </w:r>
      <w:r w:rsidR="004258A1" w:rsidRPr="004258A1">
        <w:rPr>
          <w:lang w:val="en-GB"/>
        </w:rPr>
        <w:t xml:space="preserve"> </w:t>
      </w:r>
      <w:r w:rsidR="001F1EEC">
        <w:rPr>
          <w:lang w:val="en-GB"/>
        </w:rPr>
        <w:t>Liquefaction</w:t>
      </w:r>
      <w:r w:rsidR="004258A1" w:rsidRPr="004258A1">
        <w:rPr>
          <w:lang w:val="en-GB"/>
        </w:rPr>
        <w:t xml:space="preserve"> has </w:t>
      </w:r>
      <w:r w:rsidR="00E23D3E">
        <w:rPr>
          <w:lang w:val="en-GB"/>
        </w:rPr>
        <w:t xml:space="preserve">been </w:t>
      </w:r>
      <w:r w:rsidR="00532C96">
        <w:rPr>
          <w:lang w:val="en-GB"/>
        </w:rPr>
        <w:t xml:space="preserve">utilized </w:t>
      </w:r>
      <w:r w:rsidR="00D7204B">
        <w:rPr>
          <w:lang w:val="en-GB"/>
        </w:rPr>
        <w:t>across</w:t>
      </w:r>
      <w:r w:rsidR="004258A1" w:rsidRPr="004258A1">
        <w:rPr>
          <w:lang w:val="en-GB"/>
        </w:rPr>
        <w:t xml:space="preserve"> various industri</w:t>
      </w:r>
      <w:r w:rsidR="00E62104">
        <w:rPr>
          <w:lang w:val="en-GB"/>
        </w:rPr>
        <w:t>es</w:t>
      </w:r>
      <w:r w:rsidR="004258A1" w:rsidRPr="004258A1">
        <w:rPr>
          <w:lang w:val="en-GB"/>
        </w:rPr>
        <w:t xml:space="preserve">, including beverage carbonation, chemical manufacturing, and </w:t>
      </w:r>
      <w:r w:rsidR="001E176F" w:rsidRPr="004258A1">
        <w:rPr>
          <w:lang w:val="en-GB"/>
        </w:rPr>
        <w:t>pharmaceuticals</w:t>
      </w:r>
      <w:r w:rsidR="008D1BFB">
        <w:rPr>
          <w:lang w:val="en-GB"/>
        </w:rPr>
        <w:t xml:space="preserve">, </w:t>
      </w:r>
      <w:r w:rsidR="00556E4E">
        <w:rPr>
          <w:lang w:val="en-GB"/>
        </w:rPr>
        <w:t>primarily</w:t>
      </w:r>
      <w:r w:rsidR="00E47D41" w:rsidRPr="3064E2AE">
        <w:rPr>
          <w:lang w:val="en-GB"/>
        </w:rPr>
        <w:t xml:space="preserve"> </w:t>
      </w:r>
      <w:r w:rsidR="00301336" w:rsidRPr="3064E2AE">
        <w:rPr>
          <w:lang w:val="en-GB"/>
        </w:rPr>
        <w:t>rel</w:t>
      </w:r>
      <w:r w:rsidR="008D1BFB">
        <w:rPr>
          <w:lang w:val="en-GB"/>
        </w:rPr>
        <w:t>ying</w:t>
      </w:r>
      <w:r w:rsidR="00301336" w:rsidRPr="3064E2AE">
        <w:rPr>
          <w:lang w:val="en-GB"/>
        </w:rPr>
        <w:t xml:space="preserve"> on</w:t>
      </w:r>
      <w:r w:rsidR="00F734FD">
        <w:rPr>
          <w:lang w:val="en-GB"/>
        </w:rPr>
        <w:t xml:space="preserve"> the</w:t>
      </w:r>
      <w:r w:rsidR="00E47D41" w:rsidRPr="3064E2AE">
        <w:rPr>
          <w:lang w:val="en-GB"/>
        </w:rPr>
        <w:t xml:space="preserve"> </w:t>
      </w:r>
      <w:r w:rsidR="009A5C2B">
        <w:rPr>
          <w:lang w:val="en-GB"/>
        </w:rPr>
        <w:t>NH</w:t>
      </w:r>
      <w:r w:rsidR="009A5C2B" w:rsidRPr="00BD6286">
        <w:rPr>
          <w:vertAlign w:val="subscript"/>
          <w:lang w:val="en-GB"/>
        </w:rPr>
        <w:t>3</w:t>
      </w:r>
      <w:r w:rsidR="001F1EEC">
        <w:rPr>
          <w:lang w:val="en-GB"/>
        </w:rPr>
        <w:t>-Refrigerated</w:t>
      </w:r>
      <w:r w:rsidR="00E47D41" w:rsidRPr="3064E2AE">
        <w:rPr>
          <w:lang w:val="en-GB"/>
        </w:rPr>
        <w:t xml:space="preserve"> </w:t>
      </w:r>
      <w:r w:rsidR="008B248D">
        <w:rPr>
          <w:lang w:val="en-GB"/>
        </w:rPr>
        <w:t>technology</w:t>
      </w:r>
      <w:r w:rsidR="00E47D41" w:rsidRPr="3064E2AE">
        <w:rPr>
          <w:lang w:val="en-GB"/>
        </w:rPr>
        <w:t>.</w:t>
      </w:r>
      <w:r w:rsidR="0055086A">
        <w:rPr>
          <w:lang w:val="en-GB"/>
        </w:rPr>
        <w:t xml:space="preserve"> </w:t>
      </w:r>
      <w:r w:rsidR="0089707C" w:rsidRPr="0089707C">
        <w:rPr>
          <w:lang w:val="en-GB"/>
        </w:rPr>
        <w:t>However, its role has expanded significantly within the Carbon Capture and Storage (CCS) value chain, where projects operate at scales reaching millions of tons of CO</w:t>
      </w:r>
      <w:r w:rsidR="0089707C" w:rsidRPr="0089707C">
        <w:rPr>
          <w:rFonts w:ascii="Cambria Math" w:hAnsi="Cambria Math" w:cs="Cambria Math"/>
          <w:lang w:val="en-GB"/>
        </w:rPr>
        <w:t>₂</w:t>
      </w:r>
      <w:r w:rsidR="0089707C" w:rsidRPr="0089707C">
        <w:rPr>
          <w:lang w:val="en-GB"/>
        </w:rPr>
        <w:t xml:space="preserve"> annually. This shift demands highly efficient, large-scale liquefaction units</w:t>
      </w:r>
      <w:r w:rsidR="0089707C" w:rsidRPr="0089707C">
        <w:rPr>
          <w:rFonts w:cs="Arial"/>
          <w:lang w:val="en-GB"/>
        </w:rPr>
        <w:t>—</w:t>
      </w:r>
      <w:r w:rsidR="0089707C" w:rsidRPr="0089707C">
        <w:rPr>
          <w:lang w:val="en-GB"/>
        </w:rPr>
        <w:t xml:space="preserve">making them </w:t>
      </w:r>
      <w:r w:rsidR="00CA63E2">
        <w:rPr>
          <w:lang w:val="en-GB"/>
        </w:rPr>
        <w:t>crucial for</w:t>
      </w:r>
      <w:r w:rsidR="0089707C" w:rsidRPr="0089707C">
        <w:rPr>
          <w:lang w:val="en-GB"/>
        </w:rPr>
        <w:t xml:space="preserve"> CCS project feasibility</w:t>
      </w:r>
      <w:r w:rsidR="00B52803" w:rsidRPr="00B52803">
        <w:rPr>
          <w:lang w:val="en-GB"/>
        </w:rPr>
        <w:t>.</w:t>
      </w:r>
    </w:p>
    <w:p w14:paraId="21EDD2D1" w14:textId="62AEF2B2" w:rsidR="00EA10BE" w:rsidRPr="00EA10BE" w:rsidRDefault="00CA7EC4" w:rsidP="00F76A23">
      <w:pPr>
        <w:pStyle w:val="CETBodytext"/>
        <w:rPr>
          <w:lang w:val="en-GB"/>
        </w:rPr>
      </w:pPr>
      <w:r w:rsidRPr="3064E2AE">
        <w:rPr>
          <w:lang w:val="en-GB"/>
        </w:rPr>
        <w:t xml:space="preserve">Traditional </w:t>
      </w:r>
      <w:r w:rsidR="009F5C7C">
        <w:rPr>
          <w:lang w:val="en-GB"/>
        </w:rPr>
        <w:t>NH</w:t>
      </w:r>
      <w:r w:rsidR="009F5C7C" w:rsidRPr="00BD6286">
        <w:rPr>
          <w:vertAlign w:val="subscript"/>
          <w:lang w:val="en-GB"/>
        </w:rPr>
        <w:t>3</w:t>
      </w:r>
      <w:r w:rsidR="001F1EEC">
        <w:rPr>
          <w:lang w:val="en-GB"/>
        </w:rPr>
        <w:t>-Refrigerated</w:t>
      </w:r>
      <w:r w:rsidRPr="3064E2AE">
        <w:rPr>
          <w:lang w:val="en-GB"/>
        </w:rPr>
        <w:t xml:space="preserve"> systems are</w:t>
      </w:r>
      <w:r w:rsidR="0018148D">
        <w:rPr>
          <w:lang w:val="en-GB"/>
        </w:rPr>
        <w:t xml:space="preserve"> </w:t>
      </w:r>
      <w:r w:rsidR="00C94ACC">
        <w:rPr>
          <w:lang w:val="en-GB"/>
        </w:rPr>
        <w:t>unsuitable</w:t>
      </w:r>
      <w:r w:rsidR="0018148D">
        <w:rPr>
          <w:lang w:val="en-GB"/>
        </w:rPr>
        <w:t xml:space="preserve"> for </w:t>
      </w:r>
      <w:r w:rsidR="009F5C7C">
        <w:rPr>
          <w:lang w:val="en-GB"/>
        </w:rPr>
        <w:t xml:space="preserve">large-scale </w:t>
      </w:r>
      <w:r w:rsidR="00101104" w:rsidRPr="004258A1">
        <w:rPr>
          <w:lang w:val="en-GB"/>
        </w:rPr>
        <w:t>CO</w:t>
      </w:r>
      <w:r w:rsidR="00101104" w:rsidRPr="004258A1">
        <w:rPr>
          <w:rFonts w:ascii="Cambria Math" w:hAnsi="Cambria Math" w:cs="Cambria Math"/>
          <w:lang w:val="en-GB"/>
        </w:rPr>
        <w:t>₂</w:t>
      </w:r>
      <w:r w:rsidR="00101104" w:rsidRPr="004258A1">
        <w:rPr>
          <w:lang w:val="en-GB"/>
        </w:rPr>
        <w:t xml:space="preserve"> </w:t>
      </w:r>
      <w:r w:rsidR="00101104">
        <w:rPr>
          <w:lang w:val="en-GB"/>
        </w:rPr>
        <w:t>Liquefaction</w:t>
      </w:r>
      <w:r w:rsidR="0018148D">
        <w:rPr>
          <w:lang w:val="en-GB"/>
        </w:rPr>
        <w:t xml:space="preserve"> </w:t>
      </w:r>
      <w:r w:rsidR="00B62497">
        <w:rPr>
          <w:lang w:val="en-GB"/>
        </w:rPr>
        <w:t>due to inherent capacity limitations</w:t>
      </w:r>
      <w:r w:rsidRPr="3064E2AE">
        <w:rPr>
          <w:lang w:val="en-GB"/>
        </w:rPr>
        <w:t xml:space="preserve"> of CO</w:t>
      </w:r>
      <w:r w:rsidRPr="3064E2AE">
        <w:rPr>
          <w:rFonts w:ascii="Cambria Math" w:hAnsi="Cambria Math" w:cs="Cambria Math"/>
          <w:lang w:val="en-GB"/>
        </w:rPr>
        <w:t>₂</w:t>
      </w:r>
      <w:r w:rsidRPr="3064E2AE">
        <w:rPr>
          <w:lang w:val="en-GB"/>
        </w:rPr>
        <w:t xml:space="preserve"> screw compressors. </w:t>
      </w:r>
      <w:r w:rsidR="003B1A51">
        <w:rPr>
          <w:lang w:val="en-GB"/>
        </w:rPr>
        <w:t>T</w:t>
      </w:r>
      <w:r w:rsidR="003B1A51" w:rsidRPr="3064E2AE">
        <w:rPr>
          <w:lang w:val="en-GB"/>
        </w:rPr>
        <w:t xml:space="preserve">o meet </w:t>
      </w:r>
      <w:r w:rsidR="003B1A51">
        <w:rPr>
          <w:lang w:val="en-GB"/>
        </w:rPr>
        <w:t>high throughput demands, m</w:t>
      </w:r>
      <w:r w:rsidR="00C35867" w:rsidRPr="3064E2AE">
        <w:rPr>
          <w:lang w:val="en-GB"/>
        </w:rPr>
        <w:t xml:space="preserve">ultiple </w:t>
      </w:r>
      <w:r w:rsidR="00C35867">
        <w:rPr>
          <w:lang w:val="en-GB"/>
        </w:rPr>
        <w:t xml:space="preserve">parallel </w:t>
      </w:r>
      <w:r w:rsidR="009D310D" w:rsidRPr="3064E2AE">
        <w:rPr>
          <w:lang w:val="en-GB"/>
        </w:rPr>
        <w:t>Liquefaction</w:t>
      </w:r>
      <w:r w:rsidRPr="3064E2AE">
        <w:rPr>
          <w:lang w:val="en-GB"/>
        </w:rPr>
        <w:t xml:space="preserve"> </w:t>
      </w:r>
      <w:r w:rsidR="00CA709C">
        <w:rPr>
          <w:lang w:val="en-GB"/>
        </w:rPr>
        <w:t>un</w:t>
      </w:r>
      <w:r w:rsidR="003B1A51">
        <w:rPr>
          <w:lang w:val="en-GB"/>
        </w:rPr>
        <w:t>i</w:t>
      </w:r>
      <w:r w:rsidR="00CA709C">
        <w:rPr>
          <w:lang w:val="en-GB"/>
        </w:rPr>
        <w:t xml:space="preserve">ts </w:t>
      </w:r>
      <w:r w:rsidR="009F5C7C">
        <w:rPr>
          <w:lang w:val="en-GB"/>
        </w:rPr>
        <w:t>are required</w:t>
      </w:r>
      <w:r w:rsidR="00FB1CB8">
        <w:rPr>
          <w:lang w:val="en-GB"/>
        </w:rPr>
        <w:t xml:space="preserve">, </w:t>
      </w:r>
      <w:r w:rsidR="00EF2A7B">
        <w:rPr>
          <w:lang w:val="en-GB"/>
        </w:rPr>
        <w:t xml:space="preserve">which </w:t>
      </w:r>
      <w:r w:rsidR="00C35867">
        <w:rPr>
          <w:lang w:val="en-GB"/>
        </w:rPr>
        <w:t>undermin</w:t>
      </w:r>
      <w:r w:rsidR="00EF2A7B">
        <w:rPr>
          <w:lang w:val="en-GB"/>
        </w:rPr>
        <w:t>es</w:t>
      </w:r>
      <w:r w:rsidRPr="3064E2AE">
        <w:rPr>
          <w:lang w:val="en-GB"/>
        </w:rPr>
        <w:t xml:space="preserve"> economies of scale</w:t>
      </w:r>
      <w:r w:rsidR="00087E7B">
        <w:rPr>
          <w:lang w:val="en-GB"/>
        </w:rPr>
        <w:t xml:space="preserve"> and</w:t>
      </w:r>
      <w:r w:rsidRPr="3064E2AE">
        <w:rPr>
          <w:lang w:val="en-GB"/>
        </w:rPr>
        <w:t xml:space="preserve"> lead</w:t>
      </w:r>
      <w:r w:rsidR="00EF2A7B">
        <w:rPr>
          <w:lang w:val="en-GB"/>
        </w:rPr>
        <w:t>s</w:t>
      </w:r>
      <w:r w:rsidRPr="3064E2AE">
        <w:rPr>
          <w:lang w:val="en-GB"/>
        </w:rPr>
        <w:t xml:space="preserve"> to higher capital and operational expenditures. </w:t>
      </w:r>
      <w:r w:rsidR="00E52C87" w:rsidRPr="00E52C87">
        <w:rPr>
          <w:rFonts w:ascii="Segoe UI" w:hAnsi="Segoe UI" w:cs="Segoe UI"/>
          <w:color w:val="424242"/>
          <w:shd w:val="clear" w:color="auto" w:fill="FAFAFA"/>
          <w:lang w:val="en-GB"/>
        </w:rPr>
        <w:t xml:space="preserve"> </w:t>
      </w:r>
      <w:r w:rsidR="00E52C87" w:rsidRPr="00E52C87">
        <w:rPr>
          <w:lang w:val="en-GB"/>
        </w:rPr>
        <w:t xml:space="preserve">This configuration also adds system complexity, </w:t>
      </w:r>
      <w:r w:rsidR="00E52C87">
        <w:rPr>
          <w:lang w:val="en-GB"/>
        </w:rPr>
        <w:t>increas</w:t>
      </w:r>
      <w:r w:rsidR="00E52C87" w:rsidRPr="00E52C87">
        <w:rPr>
          <w:lang w:val="en-GB"/>
        </w:rPr>
        <w:t xml:space="preserve">es maintenance and coordination </w:t>
      </w:r>
      <w:r w:rsidR="00E52C87">
        <w:rPr>
          <w:lang w:val="en-GB"/>
        </w:rPr>
        <w:t>effor</w:t>
      </w:r>
      <w:r w:rsidR="00E52C87" w:rsidRPr="00E52C87">
        <w:rPr>
          <w:lang w:val="en-GB"/>
        </w:rPr>
        <w:t>ts, and reduces overall efficiency and reliability.</w:t>
      </w:r>
      <w:r w:rsidR="001D4476">
        <w:rPr>
          <w:lang w:val="en-GB"/>
        </w:rPr>
        <w:t xml:space="preserve"> </w:t>
      </w:r>
      <w:r w:rsidR="000F102B">
        <w:rPr>
          <w:lang w:val="en-GB"/>
        </w:rPr>
        <w:t xml:space="preserve">Moreover, </w:t>
      </w:r>
      <w:r w:rsidR="00F958CC">
        <w:rPr>
          <w:lang w:val="en-GB"/>
        </w:rPr>
        <w:t>d</w:t>
      </w:r>
      <w:r w:rsidR="00F958CC" w:rsidRPr="00F958CC">
        <w:rPr>
          <w:lang w:val="en-GB"/>
        </w:rPr>
        <w:t xml:space="preserve">ue to its flammability and toxicity, </w:t>
      </w:r>
      <w:r w:rsidR="00891108">
        <w:rPr>
          <w:lang w:val="en-GB"/>
        </w:rPr>
        <w:t>NH</w:t>
      </w:r>
      <w:r w:rsidR="00891108" w:rsidRPr="00BF787D">
        <w:rPr>
          <w:vertAlign w:val="subscript"/>
          <w:lang w:val="en-GB"/>
        </w:rPr>
        <w:t>3</w:t>
      </w:r>
      <w:r w:rsidR="00891108" w:rsidRPr="00F958CC">
        <w:rPr>
          <w:lang w:val="en-GB"/>
        </w:rPr>
        <w:t xml:space="preserve"> </w:t>
      </w:r>
      <w:r w:rsidR="00F958CC" w:rsidRPr="00F958CC">
        <w:rPr>
          <w:lang w:val="en-GB"/>
        </w:rPr>
        <w:t>presents additional safety hazards</w:t>
      </w:r>
      <w:r w:rsidR="00F958CC">
        <w:rPr>
          <w:lang w:val="en-GB"/>
        </w:rPr>
        <w:t xml:space="preserve"> compared to CO</w:t>
      </w:r>
      <w:r w:rsidR="00F958CC" w:rsidRPr="00F958CC">
        <w:rPr>
          <w:vertAlign w:val="subscript"/>
          <w:lang w:val="en-GB"/>
        </w:rPr>
        <w:t>2</w:t>
      </w:r>
      <w:r w:rsidR="00F958CC" w:rsidRPr="00F958CC">
        <w:rPr>
          <w:lang w:val="en-GB"/>
        </w:rPr>
        <w:t>.</w:t>
      </w:r>
      <w:r w:rsidR="00980907">
        <w:rPr>
          <w:lang w:val="en-GB"/>
        </w:rPr>
        <w:t xml:space="preserve"> </w:t>
      </w:r>
      <w:r w:rsidR="00F76A23">
        <w:rPr>
          <w:lang w:val="en-GB"/>
        </w:rPr>
        <w:t>In contrast</w:t>
      </w:r>
      <w:r w:rsidR="00980907">
        <w:rPr>
          <w:lang w:val="en-GB"/>
        </w:rPr>
        <w:t>, S</w:t>
      </w:r>
      <w:r w:rsidR="001F1EEC">
        <w:rPr>
          <w:lang w:val="en-GB"/>
        </w:rPr>
        <w:t>elf-Refrigerated</w:t>
      </w:r>
      <w:r w:rsidR="00EA10BE" w:rsidRPr="00EA10BE">
        <w:rPr>
          <w:lang w:val="en-GB"/>
        </w:rPr>
        <w:t xml:space="preserve"> </w:t>
      </w:r>
      <w:r w:rsidR="009D310D">
        <w:rPr>
          <w:lang w:val="en-GB"/>
        </w:rPr>
        <w:t>Liquefaction</w:t>
      </w:r>
      <w:r w:rsidR="00EA10BE" w:rsidRPr="00EA10BE">
        <w:rPr>
          <w:lang w:val="en-GB"/>
        </w:rPr>
        <w:t xml:space="preserve"> systems </w:t>
      </w:r>
      <w:r w:rsidR="00597FB6">
        <w:rPr>
          <w:lang w:val="en-GB"/>
        </w:rPr>
        <w:t>can</w:t>
      </w:r>
      <w:r w:rsidR="00EA10BE" w:rsidRPr="00EA10BE">
        <w:rPr>
          <w:lang w:val="en-GB"/>
        </w:rPr>
        <w:t xml:space="preserve"> overcome</w:t>
      </w:r>
      <w:r w:rsidR="00A302A7">
        <w:rPr>
          <w:lang w:val="en-GB"/>
        </w:rPr>
        <w:t xml:space="preserve"> </w:t>
      </w:r>
      <w:r w:rsidR="00EA10BE" w:rsidRPr="00EA10BE">
        <w:rPr>
          <w:lang w:val="en-GB"/>
        </w:rPr>
        <w:t>scalability limitations</w:t>
      </w:r>
      <w:r w:rsidR="00597FB6">
        <w:rPr>
          <w:lang w:val="en-GB"/>
        </w:rPr>
        <w:t xml:space="preserve"> by employing</w:t>
      </w:r>
      <w:r w:rsidR="00597FB6" w:rsidRPr="00EA10BE">
        <w:rPr>
          <w:lang w:val="en-GB"/>
        </w:rPr>
        <w:t xml:space="preserve"> </w:t>
      </w:r>
      <w:r w:rsidR="00597FB6">
        <w:rPr>
          <w:lang w:val="en-GB"/>
        </w:rPr>
        <w:t xml:space="preserve">Integrally Geared (IG) </w:t>
      </w:r>
      <w:r w:rsidR="00597FB6" w:rsidRPr="00EA10BE">
        <w:rPr>
          <w:lang w:val="en-GB"/>
        </w:rPr>
        <w:t>centrifugal compressors</w:t>
      </w:r>
      <w:r w:rsidR="00597FB6">
        <w:rPr>
          <w:lang w:val="en-GB"/>
        </w:rPr>
        <w:t xml:space="preserve"> instead of screw compressors</w:t>
      </w:r>
      <w:r w:rsidR="00EA10BE" w:rsidRPr="00EA10BE">
        <w:rPr>
          <w:lang w:val="en-GB"/>
        </w:rPr>
        <w:t xml:space="preserve">. These systems </w:t>
      </w:r>
      <w:r w:rsidR="007603FA">
        <w:rPr>
          <w:lang w:val="en-GB"/>
        </w:rPr>
        <w:t>exploit</w:t>
      </w:r>
      <w:r w:rsidR="007603FA" w:rsidRPr="00EA10BE">
        <w:rPr>
          <w:lang w:val="en-GB"/>
        </w:rPr>
        <w:t xml:space="preserve"> </w:t>
      </w:r>
      <w:r w:rsidR="00EA10BE" w:rsidRPr="00EA10BE">
        <w:rPr>
          <w:lang w:val="en-GB"/>
        </w:rPr>
        <w:t>the Joule-Thomson effect, where high-pressure CO</w:t>
      </w:r>
      <w:r w:rsidR="00EA10BE" w:rsidRPr="00EA10BE">
        <w:rPr>
          <w:rFonts w:ascii="Cambria Math" w:hAnsi="Cambria Math" w:cs="Cambria Math"/>
          <w:lang w:val="en-GB"/>
        </w:rPr>
        <w:t>₂</w:t>
      </w:r>
      <w:r w:rsidR="00EA10BE" w:rsidRPr="00EA10BE">
        <w:rPr>
          <w:lang w:val="en-GB"/>
        </w:rPr>
        <w:t xml:space="preserve"> expands through a valve or expansion device, cooling and partially liquefying in the process</w:t>
      </w:r>
      <w:r w:rsidR="00CC2EE1">
        <w:rPr>
          <w:lang w:val="en-GB"/>
        </w:rPr>
        <w:t>, without the need of an external refrigerant</w:t>
      </w:r>
      <w:r w:rsidR="00EA10BE" w:rsidRPr="00EA10BE">
        <w:rPr>
          <w:lang w:val="en-GB"/>
        </w:rPr>
        <w:t xml:space="preserve">. </w:t>
      </w:r>
      <w:r w:rsidR="00AB7D48" w:rsidRPr="00AB7D48">
        <w:rPr>
          <w:lang w:val="en-GB"/>
        </w:rPr>
        <w:t xml:space="preserve">A typical example is the Linde-Hampson cycle, where liquefaction occurs by compressing, cooling, and expanding the gas </w:t>
      </w:r>
      <w:r w:rsidR="005E4F89">
        <w:rPr>
          <w:lang w:val="en-GB"/>
        </w:rPr>
        <w:t>to</w:t>
      </w:r>
      <w:r w:rsidR="005E4F89" w:rsidRPr="00AB7D48">
        <w:rPr>
          <w:lang w:val="en-GB"/>
        </w:rPr>
        <w:t xml:space="preserve"> </w:t>
      </w:r>
      <w:r w:rsidR="00AB7D48" w:rsidRPr="00AB7D48">
        <w:rPr>
          <w:lang w:val="en-GB"/>
        </w:rPr>
        <w:t>a lower</w:t>
      </w:r>
      <w:r w:rsidR="005E4F89">
        <w:rPr>
          <w:lang w:val="en-GB"/>
        </w:rPr>
        <w:t xml:space="preserve"> </w:t>
      </w:r>
      <w:r w:rsidR="00AB7D48" w:rsidRPr="00AB7D48">
        <w:rPr>
          <w:lang w:val="en-GB"/>
        </w:rPr>
        <w:t>pressure, allowing the cold gas to absorb heat from the incoming compressed gas</w:t>
      </w:r>
      <w:r w:rsidR="00AB7D48">
        <w:rPr>
          <w:lang w:val="en-GB"/>
        </w:rPr>
        <w:t xml:space="preserve"> (Linde, 1903)</w:t>
      </w:r>
      <w:r w:rsidR="00AB7D48" w:rsidRPr="00AB7D48">
        <w:rPr>
          <w:lang w:val="en-GB"/>
        </w:rPr>
        <w:t>.</w:t>
      </w:r>
    </w:p>
    <w:p w14:paraId="670CDBD8" w14:textId="7CE0A7C7" w:rsidR="001B2F8A" w:rsidRDefault="00323BC2" w:rsidP="00EA10BE">
      <w:pPr>
        <w:pStyle w:val="CETBodytext"/>
        <w:rPr>
          <w:lang w:val="en-GB"/>
        </w:rPr>
      </w:pPr>
      <w:r>
        <w:rPr>
          <w:lang w:val="en-GB"/>
        </w:rPr>
        <w:lastRenderedPageBreak/>
        <w:t>However, u</w:t>
      </w:r>
      <w:r w:rsidR="00734CFD">
        <w:rPr>
          <w:lang w:val="en-GB"/>
        </w:rPr>
        <w:t xml:space="preserve">sing </w:t>
      </w:r>
      <w:r w:rsidR="00EA10BE" w:rsidRPr="00EA10BE">
        <w:rPr>
          <w:lang w:val="en-GB"/>
        </w:rPr>
        <w:t>CO</w:t>
      </w:r>
      <w:r w:rsidR="00EA10BE" w:rsidRPr="00EA10BE">
        <w:rPr>
          <w:rFonts w:ascii="Cambria Math" w:hAnsi="Cambria Math" w:cs="Cambria Math"/>
          <w:lang w:val="en-GB"/>
        </w:rPr>
        <w:t>₂</w:t>
      </w:r>
      <w:r w:rsidR="00EA10BE" w:rsidRPr="00EA10BE">
        <w:rPr>
          <w:lang w:val="en-GB"/>
        </w:rPr>
        <w:t xml:space="preserve"> </w:t>
      </w:r>
      <w:r w:rsidR="00734CFD">
        <w:rPr>
          <w:lang w:val="en-GB"/>
        </w:rPr>
        <w:t xml:space="preserve">as a </w:t>
      </w:r>
      <w:r w:rsidR="00EA10BE" w:rsidRPr="00EA10BE">
        <w:rPr>
          <w:lang w:val="en-GB"/>
        </w:rPr>
        <w:t>refrigera</w:t>
      </w:r>
      <w:r w:rsidR="00734CFD">
        <w:rPr>
          <w:lang w:val="en-GB"/>
        </w:rPr>
        <w:t>nt</w:t>
      </w:r>
      <w:r w:rsidR="00EA10BE" w:rsidRPr="00EA10BE">
        <w:rPr>
          <w:lang w:val="en-GB"/>
        </w:rPr>
        <w:t xml:space="preserve"> p</w:t>
      </w:r>
      <w:r w:rsidR="00B37741">
        <w:rPr>
          <w:lang w:val="en-GB"/>
        </w:rPr>
        <w:t>ose</w:t>
      </w:r>
      <w:r w:rsidR="00EA10BE" w:rsidRPr="00EA10BE">
        <w:rPr>
          <w:lang w:val="en-GB"/>
        </w:rPr>
        <w:t>s additional challenges</w:t>
      </w:r>
      <w:r w:rsidR="00734CFD">
        <w:rPr>
          <w:lang w:val="en-GB"/>
        </w:rPr>
        <w:t xml:space="preserve"> compared to </w:t>
      </w:r>
      <w:r w:rsidR="00C559AE">
        <w:rPr>
          <w:lang w:val="en-GB"/>
        </w:rPr>
        <w:t>NH</w:t>
      </w:r>
      <w:r w:rsidR="00C559AE" w:rsidRPr="00BD6286">
        <w:rPr>
          <w:vertAlign w:val="subscript"/>
          <w:lang w:val="en-GB"/>
        </w:rPr>
        <w:t>3</w:t>
      </w:r>
      <w:r w:rsidR="00EA10BE" w:rsidRPr="00EA10BE">
        <w:rPr>
          <w:lang w:val="en-GB"/>
        </w:rPr>
        <w:t>, particularly due to its low critical temperature (31</w:t>
      </w:r>
      <w:r w:rsidR="00EA10BE" w:rsidRPr="00EA10BE">
        <w:rPr>
          <w:rFonts w:cs="Arial"/>
          <w:lang w:val="en-GB"/>
        </w:rPr>
        <w:t>°</w:t>
      </w:r>
      <w:r w:rsidR="00EA10BE" w:rsidRPr="00EA10BE">
        <w:rPr>
          <w:lang w:val="en-GB"/>
        </w:rPr>
        <w:t>C), which prevents conventional condensation and necessitates the use of a gas cooler. This makes CO</w:t>
      </w:r>
      <w:r w:rsidR="00EA10BE" w:rsidRPr="00EA10BE">
        <w:rPr>
          <w:rFonts w:ascii="Cambria Math" w:hAnsi="Cambria Math" w:cs="Cambria Math"/>
          <w:lang w:val="en-GB"/>
        </w:rPr>
        <w:t>₂</w:t>
      </w:r>
      <w:r w:rsidR="00EA10BE" w:rsidRPr="00EA10BE">
        <w:rPr>
          <w:lang w:val="en-GB"/>
        </w:rPr>
        <w:t xml:space="preserve"> cycles inherently transcritical, requiring higher operating pressures </w:t>
      </w:r>
      <w:r w:rsidR="000A45E4">
        <w:rPr>
          <w:lang w:val="en-GB"/>
        </w:rPr>
        <w:t xml:space="preserve">to operate </w:t>
      </w:r>
      <w:r w:rsidR="00B71A02" w:rsidRPr="00AC15AF">
        <w:rPr>
          <w:lang w:val="en-GB"/>
        </w:rPr>
        <w:t>efficiently</w:t>
      </w:r>
      <w:r w:rsidR="00B71A02">
        <w:rPr>
          <w:lang w:val="en-GB"/>
        </w:rPr>
        <w:t xml:space="preserve"> </w:t>
      </w:r>
      <w:r w:rsidR="00AC15AF">
        <w:rPr>
          <w:lang w:val="en-GB"/>
        </w:rPr>
        <w:t>(Liao</w:t>
      </w:r>
      <w:r w:rsidR="00EA2377">
        <w:rPr>
          <w:lang w:val="en-GB"/>
        </w:rPr>
        <w:t xml:space="preserve"> and</w:t>
      </w:r>
      <w:r w:rsidR="00AC15AF">
        <w:rPr>
          <w:lang w:val="en-GB"/>
        </w:rPr>
        <w:t xml:space="preserve"> Jakobsen, 1998)</w:t>
      </w:r>
      <w:r w:rsidR="00423234">
        <w:rPr>
          <w:lang w:val="en-GB"/>
        </w:rPr>
        <w:t>,</w:t>
      </w:r>
      <w:r w:rsidR="00654ADD">
        <w:rPr>
          <w:lang w:val="en-GB"/>
        </w:rPr>
        <w:t xml:space="preserve"> and</w:t>
      </w:r>
      <w:r w:rsidR="00423234">
        <w:rPr>
          <w:lang w:val="en-GB"/>
        </w:rPr>
        <w:t xml:space="preserve"> leading</w:t>
      </w:r>
      <w:r w:rsidR="00EA10BE" w:rsidRPr="00EA10BE">
        <w:rPr>
          <w:lang w:val="en-GB"/>
        </w:rPr>
        <w:t xml:space="preserve"> to more complex and costly equipment, especially for compressors. CO</w:t>
      </w:r>
      <w:r w:rsidR="00EA10BE" w:rsidRPr="00EA10BE">
        <w:rPr>
          <w:rFonts w:ascii="Cambria Math" w:hAnsi="Cambria Math" w:cs="Cambria Math"/>
          <w:lang w:val="en-GB"/>
        </w:rPr>
        <w:t>₂</w:t>
      </w:r>
      <w:r w:rsidR="00EA10BE" w:rsidRPr="00EA10BE">
        <w:rPr>
          <w:lang w:val="en-GB"/>
        </w:rPr>
        <w:t xml:space="preserve"> </w:t>
      </w:r>
      <w:r w:rsidR="00EA10BE" w:rsidRPr="006031B9">
        <w:rPr>
          <w:lang w:val="en-GB"/>
        </w:rPr>
        <w:t xml:space="preserve">refrigeration cycles may </w:t>
      </w:r>
      <w:r w:rsidR="006831CC">
        <w:rPr>
          <w:lang w:val="en-GB"/>
        </w:rPr>
        <w:t xml:space="preserve">also </w:t>
      </w:r>
      <w:r w:rsidR="00EA10BE" w:rsidRPr="006031B9">
        <w:rPr>
          <w:lang w:val="en-GB"/>
        </w:rPr>
        <w:t xml:space="preserve">exhibit a lower coefficient of performance compared to </w:t>
      </w:r>
      <w:r w:rsidR="00194134">
        <w:rPr>
          <w:lang w:val="en-GB"/>
        </w:rPr>
        <w:t>NH</w:t>
      </w:r>
      <w:r w:rsidR="00194134" w:rsidRPr="00BD6286">
        <w:rPr>
          <w:vertAlign w:val="subscript"/>
          <w:lang w:val="en-GB"/>
        </w:rPr>
        <w:t>3</w:t>
      </w:r>
      <w:r w:rsidR="00EA10BE" w:rsidRPr="006031B9">
        <w:rPr>
          <w:lang w:val="en-GB"/>
        </w:rPr>
        <w:t xml:space="preserve">-based systems, with studies indicating an efficiency penalty of around 20%, primarily due to </w:t>
      </w:r>
      <w:r w:rsidR="006031B9" w:rsidRPr="006031B9">
        <w:rPr>
          <w:lang w:val="en-GB"/>
        </w:rPr>
        <w:t>thermodynamic</w:t>
      </w:r>
      <w:r w:rsidR="00EA10BE" w:rsidRPr="006031B9">
        <w:rPr>
          <w:lang w:val="en-GB"/>
        </w:rPr>
        <w:t xml:space="preserve"> losses</w:t>
      </w:r>
      <w:r w:rsidR="006031B9">
        <w:rPr>
          <w:lang w:val="en-GB"/>
        </w:rPr>
        <w:t xml:space="preserve"> during throttling (Cavallini and </w:t>
      </w:r>
      <w:proofErr w:type="spellStart"/>
      <w:r w:rsidR="006031B9">
        <w:rPr>
          <w:lang w:val="en-GB"/>
        </w:rPr>
        <w:t>Zilio</w:t>
      </w:r>
      <w:proofErr w:type="spellEnd"/>
      <w:r w:rsidR="006031B9">
        <w:rPr>
          <w:lang w:val="en-GB"/>
        </w:rPr>
        <w:t>, 2007)</w:t>
      </w:r>
      <w:r w:rsidR="00EA10BE" w:rsidRPr="00EA10BE">
        <w:rPr>
          <w:lang w:val="en-GB"/>
        </w:rPr>
        <w:t>. Another challenge is the risk of CO</w:t>
      </w:r>
      <w:r w:rsidR="00EA10BE" w:rsidRPr="00EA10BE">
        <w:rPr>
          <w:rFonts w:ascii="Cambria Math" w:hAnsi="Cambria Math" w:cs="Cambria Math"/>
          <w:lang w:val="en-GB"/>
        </w:rPr>
        <w:t>₂</w:t>
      </w:r>
      <w:r w:rsidR="00EA10BE" w:rsidRPr="00EA10BE">
        <w:rPr>
          <w:lang w:val="en-GB"/>
        </w:rPr>
        <w:t xml:space="preserve"> solidification, as operating temperatures near the triple point (-56.6</w:t>
      </w:r>
      <w:r w:rsidR="00EA10BE" w:rsidRPr="00EA10BE">
        <w:rPr>
          <w:rFonts w:cs="Arial"/>
          <w:lang w:val="en-GB"/>
        </w:rPr>
        <w:t>°</w:t>
      </w:r>
      <w:r w:rsidR="00EA10BE" w:rsidRPr="00EA10BE">
        <w:rPr>
          <w:lang w:val="en-GB"/>
        </w:rPr>
        <w:t>C) can lead to dry ice formation, potentially causing system blockages.</w:t>
      </w:r>
      <w:r w:rsidR="001B2F8A">
        <w:rPr>
          <w:lang w:val="en-GB"/>
        </w:rPr>
        <w:t xml:space="preserve"> </w:t>
      </w:r>
      <w:r w:rsidR="00F22410" w:rsidRPr="00F22410">
        <w:rPr>
          <w:lang w:val="en-GB"/>
        </w:rPr>
        <w:t xml:space="preserve">Previous comparisons in the literature </w:t>
      </w:r>
      <w:r w:rsidR="00F22410">
        <w:rPr>
          <w:lang w:val="en-GB"/>
        </w:rPr>
        <w:t xml:space="preserve">(Jackson and </w:t>
      </w:r>
      <w:r w:rsidR="00091989">
        <w:rPr>
          <w:lang w:val="en-GB"/>
        </w:rPr>
        <w:t>Brodal, 2019</w:t>
      </w:r>
      <w:r w:rsidR="00F22410">
        <w:rPr>
          <w:lang w:val="en-GB"/>
        </w:rPr>
        <w:t xml:space="preserve">) </w:t>
      </w:r>
      <w:r w:rsidR="00F22410" w:rsidRPr="00F22410">
        <w:rPr>
          <w:lang w:val="en-GB"/>
        </w:rPr>
        <w:t xml:space="preserve">have consistently shown </w:t>
      </w:r>
      <w:r w:rsidR="00F22410" w:rsidRPr="00091989">
        <w:rPr>
          <w:rFonts w:cs="Arial"/>
          <w:lang w:val="en-GB"/>
        </w:rPr>
        <w:t xml:space="preserve">that </w:t>
      </w:r>
      <w:r w:rsidR="00292828">
        <w:rPr>
          <w:rFonts w:cs="Arial"/>
          <w:lang w:val="en-GB"/>
        </w:rPr>
        <w:t>NH</w:t>
      </w:r>
      <w:r w:rsidR="00292828" w:rsidRPr="00BF787D">
        <w:rPr>
          <w:rFonts w:cs="Arial"/>
          <w:vertAlign w:val="subscript"/>
          <w:lang w:val="en-GB"/>
        </w:rPr>
        <w:t>3</w:t>
      </w:r>
      <w:r w:rsidR="00F22410" w:rsidRPr="00091989">
        <w:rPr>
          <w:rFonts w:cs="Arial"/>
          <w:lang w:val="en-GB"/>
        </w:rPr>
        <w:t>-</w:t>
      </w:r>
      <w:r w:rsidR="00D02743">
        <w:rPr>
          <w:lang w:val="en-GB"/>
        </w:rPr>
        <w:t>refrigerated Liquefaction</w:t>
      </w:r>
      <w:r w:rsidR="00F22410" w:rsidRPr="00F22410">
        <w:rPr>
          <w:lang w:val="en-GB"/>
        </w:rPr>
        <w:t xml:space="preserve"> offer</w:t>
      </w:r>
      <w:r w:rsidR="00D02743">
        <w:rPr>
          <w:lang w:val="en-GB"/>
        </w:rPr>
        <w:t>s</w:t>
      </w:r>
      <w:r w:rsidR="00F22410" w:rsidRPr="00F22410">
        <w:rPr>
          <w:lang w:val="en-GB"/>
        </w:rPr>
        <w:t xml:space="preserve"> superior energy efficiency under industrially relevant conditions</w:t>
      </w:r>
      <w:r w:rsidR="00091989">
        <w:rPr>
          <w:lang w:val="en-GB"/>
        </w:rPr>
        <w:t>, compared to</w:t>
      </w:r>
      <w:r w:rsidR="00292828">
        <w:rPr>
          <w:lang w:val="en-GB"/>
        </w:rPr>
        <w:t xml:space="preserve"> </w:t>
      </w:r>
      <w:r w:rsidR="00292828" w:rsidRPr="00EA10BE">
        <w:rPr>
          <w:lang w:val="en-GB"/>
        </w:rPr>
        <w:t>CO</w:t>
      </w:r>
      <w:r w:rsidR="00292828" w:rsidRPr="00EA10BE">
        <w:rPr>
          <w:rFonts w:ascii="Cambria Math" w:hAnsi="Cambria Math" w:cs="Cambria Math"/>
          <w:lang w:val="en-GB"/>
        </w:rPr>
        <w:t>₂</w:t>
      </w:r>
      <w:r w:rsidR="00292828" w:rsidRPr="00091989">
        <w:rPr>
          <w:rFonts w:cs="Arial"/>
          <w:lang w:val="en-GB"/>
        </w:rPr>
        <w:t>-</w:t>
      </w:r>
      <w:r w:rsidR="00292828" w:rsidRPr="00F22410">
        <w:rPr>
          <w:lang w:val="en-GB"/>
        </w:rPr>
        <w:t>based refrigeration</w:t>
      </w:r>
      <w:r w:rsidR="00F22410" w:rsidRPr="00F22410">
        <w:rPr>
          <w:lang w:val="en-GB"/>
        </w:rPr>
        <w:t>. These findings are largely based on variations of the Linde-Hampson process</w:t>
      </w:r>
      <w:r w:rsidR="00687E20">
        <w:rPr>
          <w:lang w:val="en-GB"/>
        </w:rPr>
        <w:t xml:space="preserve"> for Self-refrigerated systems</w:t>
      </w:r>
      <w:r w:rsidR="00F22410" w:rsidRPr="00F22410">
        <w:rPr>
          <w:lang w:val="en-GB"/>
        </w:rPr>
        <w:t>.</w:t>
      </w:r>
      <w:r w:rsidR="00687E20">
        <w:rPr>
          <w:lang w:val="en-GB"/>
        </w:rPr>
        <w:t xml:space="preserve"> </w:t>
      </w:r>
      <w:r w:rsidR="00FB6E48">
        <w:rPr>
          <w:lang w:val="en-GB"/>
        </w:rPr>
        <w:t>NEXTCHEM</w:t>
      </w:r>
      <w:r w:rsidR="00D02743" w:rsidRPr="00D02743">
        <w:rPr>
          <w:lang w:val="en-GB"/>
        </w:rPr>
        <w:t xml:space="preserve"> has successfully implemented an innovative Self-Refrigerated Liquefaction design that leverages nested CO</w:t>
      </w:r>
      <w:r w:rsidR="00D02743" w:rsidRPr="00D02743">
        <w:rPr>
          <w:rFonts w:ascii="Cambria Math" w:hAnsi="Cambria Math" w:cs="Cambria Math"/>
          <w:lang w:val="en-GB"/>
        </w:rPr>
        <w:t>₂</w:t>
      </w:r>
      <w:r w:rsidR="00D02743" w:rsidRPr="00D02743">
        <w:rPr>
          <w:lang w:val="en-GB"/>
        </w:rPr>
        <w:t xml:space="preserve"> refrigeration and advanced heat integration. This approach minimizes the performance losses typically associated with transcritical CO</w:t>
      </w:r>
      <w:r w:rsidR="00D02743" w:rsidRPr="00D02743">
        <w:rPr>
          <w:rFonts w:ascii="Cambria Math" w:hAnsi="Cambria Math" w:cs="Cambria Math"/>
          <w:lang w:val="en-GB"/>
        </w:rPr>
        <w:t>₂</w:t>
      </w:r>
      <w:r w:rsidR="00D02743" w:rsidRPr="00D02743">
        <w:rPr>
          <w:lang w:val="en-GB"/>
        </w:rPr>
        <w:t xml:space="preserve"> cycles and achieves energy efficiencies that exceed those of </w:t>
      </w:r>
      <w:r w:rsidR="008517B6">
        <w:rPr>
          <w:lang w:val="en-GB"/>
        </w:rPr>
        <w:t>NH</w:t>
      </w:r>
      <w:r w:rsidR="008517B6" w:rsidRPr="00BD6286">
        <w:rPr>
          <w:vertAlign w:val="subscript"/>
          <w:lang w:val="en-GB"/>
        </w:rPr>
        <w:t>3</w:t>
      </w:r>
      <w:r w:rsidR="00D02743" w:rsidRPr="00D02743">
        <w:rPr>
          <w:lang w:val="en-GB"/>
        </w:rPr>
        <w:t>-based systems</w:t>
      </w:r>
      <w:r w:rsidR="00973C5A">
        <w:rPr>
          <w:lang w:val="en-GB"/>
        </w:rPr>
        <w:t>, particularly at large scale</w:t>
      </w:r>
      <w:r w:rsidR="00D02743">
        <w:rPr>
          <w:lang w:val="en-GB"/>
        </w:rPr>
        <w:t>.</w:t>
      </w:r>
      <w:r w:rsidR="00D24B4B">
        <w:rPr>
          <w:lang w:val="en-GB"/>
        </w:rPr>
        <w:t xml:space="preserve"> </w:t>
      </w:r>
      <w:r w:rsidR="00B76202" w:rsidRPr="00B76202">
        <w:rPr>
          <w:lang w:val="en-GB"/>
        </w:rPr>
        <w:t xml:space="preserve">This work provides a comprehensive overview of </w:t>
      </w:r>
      <w:r w:rsidR="008517B6">
        <w:rPr>
          <w:lang w:val="en-GB"/>
        </w:rPr>
        <w:t>NH</w:t>
      </w:r>
      <w:r w:rsidR="008517B6" w:rsidRPr="00BD6286">
        <w:rPr>
          <w:vertAlign w:val="subscript"/>
          <w:lang w:val="en-GB"/>
        </w:rPr>
        <w:t>3</w:t>
      </w:r>
      <w:r w:rsidR="00B76202" w:rsidRPr="00B76202">
        <w:rPr>
          <w:lang w:val="en-GB"/>
        </w:rPr>
        <w:t>-Refrigerated and</w:t>
      </w:r>
      <w:r w:rsidR="00973C5A">
        <w:rPr>
          <w:lang w:val="en-GB"/>
        </w:rPr>
        <w:t xml:space="preserve"> </w:t>
      </w:r>
      <w:r w:rsidR="00FB6E48">
        <w:rPr>
          <w:lang w:val="en-GB"/>
        </w:rPr>
        <w:t>NEXTCHEM</w:t>
      </w:r>
      <w:r w:rsidR="00B76202" w:rsidRPr="00B76202">
        <w:rPr>
          <w:lang w:val="en-GB"/>
        </w:rPr>
        <w:t xml:space="preserve"> Self-Refrigerated CO</w:t>
      </w:r>
      <w:r w:rsidR="00B76202" w:rsidRPr="00B76202">
        <w:rPr>
          <w:rFonts w:ascii="Cambria Math" w:hAnsi="Cambria Math" w:cs="Cambria Math"/>
          <w:lang w:val="en-GB"/>
        </w:rPr>
        <w:t>₂</w:t>
      </w:r>
      <w:r w:rsidR="00B76202" w:rsidRPr="00B76202">
        <w:rPr>
          <w:lang w:val="en-GB"/>
        </w:rPr>
        <w:t xml:space="preserve"> Liquefaction technologies, examining their </w:t>
      </w:r>
      <w:r w:rsidR="00E91C0F">
        <w:rPr>
          <w:lang w:val="en-GB"/>
        </w:rPr>
        <w:t>main features</w:t>
      </w:r>
      <w:r w:rsidR="00B76202" w:rsidRPr="00B76202">
        <w:rPr>
          <w:lang w:val="en-GB"/>
        </w:rPr>
        <w:t xml:space="preserve"> and providing a detailed comparison to assess key indicators, including energy efficiency, capital costs, scalability, and safety aspects, to determine the most suitable solution for large-scale CO</w:t>
      </w:r>
      <w:r w:rsidR="00B76202" w:rsidRPr="00B76202">
        <w:rPr>
          <w:vertAlign w:val="subscript"/>
          <w:lang w:val="en-GB"/>
        </w:rPr>
        <w:t>2</w:t>
      </w:r>
      <w:r w:rsidR="00B76202" w:rsidRPr="00B76202">
        <w:rPr>
          <w:lang w:val="en-GB"/>
        </w:rPr>
        <w:t xml:space="preserve"> Liquefaction systems</w:t>
      </w:r>
      <w:r w:rsidR="0078618A">
        <w:rPr>
          <w:lang w:val="en-GB"/>
        </w:rPr>
        <w:t>.</w:t>
      </w:r>
    </w:p>
    <w:p w14:paraId="26E53B23" w14:textId="13C2BC21" w:rsidR="00BF3480" w:rsidRDefault="00BF3480" w:rsidP="00BF3480">
      <w:pPr>
        <w:pStyle w:val="CETHeading1"/>
      </w:pPr>
      <w:r>
        <w:t>Technologies Description</w:t>
      </w:r>
    </w:p>
    <w:p w14:paraId="66B05F3A" w14:textId="2D88C2CD" w:rsidR="00BF3480" w:rsidRDefault="001F1EEC" w:rsidP="00AF6C18">
      <w:pPr>
        <w:pStyle w:val="CETheadingx"/>
      </w:pPr>
      <w:r>
        <w:t>Ammonia-Refrigerated</w:t>
      </w:r>
      <w:r w:rsidR="00781DD7">
        <w:t xml:space="preserve"> </w:t>
      </w:r>
      <w:r w:rsidR="00AF6C18">
        <w:t>CO</w:t>
      </w:r>
      <w:r w:rsidR="00AF6C18" w:rsidRPr="00AF6C18">
        <w:rPr>
          <w:vertAlign w:val="subscript"/>
        </w:rPr>
        <w:t>2</w:t>
      </w:r>
      <w:r w:rsidR="00AF6C18">
        <w:t xml:space="preserve"> </w:t>
      </w:r>
      <w:r w:rsidR="009D310D">
        <w:t>Liquefaction</w:t>
      </w:r>
    </w:p>
    <w:p w14:paraId="58479F34" w14:textId="57DBD01D" w:rsidR="00B9431D" w:rsidRPr="00BF787D" w:rsidRDefault="002C1753" w:rsidP="00B9431D">
      <w:pPr>
        <w:pStyle w:val="CETBodytext"/>
      </w:pPr>
      <w:r w:rsidRPr="005D405A">
        <w:t xml:space="preserve">In </w:t>
      </w:r>
      <w:r w:rsidR="001F1EEC">
        <w:t>Ammonia-Refrigerated</w:t>
      </w:r>
      <w:r w:rsidRPr="005D405A">
        <w:t xml:space="preserve"> CO</w:t>
      </w:r>
      <w:r w:rsidRPr="005D405A">
        <w:rPr>
          <w:rFonts w:ascii="Cambria Math" w:hAnsi="Cambria Math" w:cs="Cambria Math"/>
        </w:rPr>
        <w:t>₂</w:t>
      </w:r>
      <w:r w:rsidRPr="005D405A">
        <w:t xml:space="preserve"> </w:t>
      </w:r>
      <w:r w:rsidR="001D069A">
        <w:t>L</w:t>
      </w:r>
      <w:r w:rsidRPr="005D405A">
        <w:t>iquefaction, raw CO</w:t>
      </w:r>
      <w:r w:rsidRPr="005D405A">
        <w:rPr>
          <w:rFonts w:ascii="Cambria Math" w:hAnsi="Cambria Math" w:cs="Cambria Math"/>
        </w:rPr>
        <w:t>₂</w:t>
      </w:r>
      <w:r w:rsidRPr="005D405A">
        <w:t xml:space="preserve"> gas from the </w:t>
      </w:r>
      <w:r w:rsidR="007A4BCC">
        <w:t>Carbon Capture</w:t>
      </w:r>
      <w:r w:rsidRPr="005D405A">
        <w:t xml:space="preserve"> plant is initially compressed in a screw compressor to </w:t>
      </w:r>
      <w:r w:rsidR="00BB6020">
        <w:t>reach the required outlet pressure</w:t>
      </w:r>
      <w:r w:rsidRPr="005D405A">
        <w:t>.</w:t>
      </w:r>
      <w:r w:rsidR="00BB6020">
        <w:t xml:space="preserve"> </w:t>
      </w:r>
      <w:r w:rsidRPr="005D405A">
        <w:t xml:space="preserve">Since </w:t>
      </w:r>
      <w:r w:rsidR="00BF0D98">
        <w:t xml:space="preserve">this </w:t>
      </w:r>
      <w:r w:rsidRPr="005D405A">
        <w:t>CO</w:t>
      </w:r>
      <w:r w:rsidRPr="005D405A">
        <w:rPr>
          <w:rFonts w:ascii="Cambria Math" w:hAnsi="Cambria Math" w:cs="Cambria Math"/>
        </w:rPr>
        <w:t>₂</w:t>
      </w:r>
      <w:r w:rsidRPr="005D405A">
        <w:t xml:space="preserve"> </w:t>
      </w:r>
      <w:r w:rsidR="00BF0D98">
        <w:t>stream</w:t>
      </w:r>
      <w:r w:rsidRPr="005D405A">
        <w:t xml:space="preserve"> </w:t>
      </w:r>
      <w:r w:rsidR="00186683">
        <w:t xml:space="preserve">is typically </w:t>
      </w:r>
      <w:r w:rsidRPr="005D405A">
        <w:t xml:space="preserve">saturated with water, it </w:t>
      </w:r>
      <w:r w:rsidR="00444339">
        <w:t xml:space="preserve">is </w:t>
      </w:r>
      <w:r w:rsidR="00D52855">
        <w:t xml:space="preserve">first </w:t>
      </w:r>
      <w:r w:rsidR="00444339">
        <w:t>dried</w:t>
      </w:r>
      <w:r w:rsidR="00D52855">
        <w:t xml:space="preserve"> </w:t>
      </w:r>
      <w:r w:rsidRPr="005D405A">
        <w:t xml:space="preserve">to prevent </w:t>
      </w:r>
      <w:r w:rsidR="00571C5A">
        <w:t>ice formation</w:t>
      </w:r>
      <w:r w:rsidRPr="005D405A">
        <w:t xml:space="preserve"> in the cold downstream sections of the plant, which could lead to operational disruptions and equipment damage. The dried CO</w:t>
      </w:r>
      <w:r w:rsidRPr="005D405A">
        <w:rPr>
          <w:rFonts w:ascii="Cambria Math" w:hAnsi="Cambria Math" w:cs="Cambria Math"/>
        </w:rPr>
        <w:t>₂</w:t>
      </w:r>
      <w:r w:rsidRPr="005D405A">
        <w:t xml:space="preserve"> vapor stream is then directed into the stripping column where non-condensable impurities—such as nitrogen, oxygen—are reduced to levels that meet the </w:t>
      </w:r>
      <w:r w:rsidR="006D36D2">
        <w:t>product specifications</w:t>
      </w:r>
      <w:r w:rsidRPr="005D405A">
        <w:t>.</w:t>
      </w:r>
      <w:r w:rsidR="00C41379">
        <w:t xml:space="preserve"> </w:t>
      </w:r>
      <w:r w:rsidR="006A4E03">
        <w:t xml:space="preserve">The heating medium </w:t>
      </w:r>
      <w:r w:rsidR="00971AAD">
        <w:t xml:space="preserve">for the stripping process is the </w:t>
      </w:r>
      <w:r w:rsidR="00C41379" w:rsidRPr="005D405A">
        <w:t>CO</w:t>
      </w:r>
      <w:r w:rsidR="00C41379" w:rsidRPr="005D405A">
        <w:rPr>
          <w:rFonts w:ascii="Cambria Math" w:hAnsi="Cambria Math" w:cs="Cambria Math"/>
        </w:rPr>
        <w:t>₂</w:t>
      </w:r>
      <w:r w:rsidR="00C41379" w:rsidRPr="005D405A">
        <w:t xml:space="preserve"> vapor feedstock to the column</w:t>
      </w:r>
      <w:r w:rsidR="00E24B13">
        <w:t xml:space="preserve">, thus </w:t>
      </w:r>
      <w:r w:rsidR="00302490" w:rsidRPr="005D405A">
        <w:t>reduc</w:t>
      </w:r>
      <w:r w:rsidR="00E24B13">
        <w:t>ing</w:t>
      </w:r>
      <w:r w:rsidR="00302490" w:rsidRPr="005D405A">
        <w:t xml:space="preserve"> the condensation load </w:t>
      </w:r>
      <w:r w:rsidR="00E24B13">
        <w:t>and</w:t>
      </w:r>
      <w:r w:rsidR="00302490" w:rsidRPr="005D405A">
        <w:t xml:space="preserve"> leading to improved overall energy efficiency.</w:t>
      </w:r>
      <w:r w:rsidR="00B9431D">
        <w:t xml:space="preserve"> At the top of the stripping column, most of the CO</w:t>
      </w:r>
      <w:r w:rsidR="00B9431D" w:rsidRPr="3064E2AE">
        <w:rPr>
          <w:rFonts w:ascii="Cambria Math" w:hAnsi="Cambria Math" w:cs="Cambria Math"/>
        </w:rPr>
        <w:t>₂</w:t>
      </w:r>
      <w:r w:rsidR="00B9431D">
        <w:t xml:space="preserve"> vapors are condensed using Ammonia refrigerant as the cooling medium and recycled to the column, while a small fraction is lost as vent</w:t>
      </w:r>
      <w:r w:rsidR="00067B53">
        <w:t>.</w:t>
      </w:r>
      <w:r w:rsidR="0082362E">
        <w:t xml:space="preserve"> In the condenser,</w:t>
      </w:r>
      <w:r w:rsidR="00067B53" w:rsidRPr="00067B53">
        <w:rPr>
          <w:rFonts w:ascii="Segoe UI" w:hAnsi="Segoe UI" w:cs="Segoe UI"/>
          <w:color w:val="424242"/>
          <w:shd w:val="clear" w:color="auto" w:fill="FAFAFA"/>
          <w:lang w:val="en-GB"/>
        </w:rPr>
        <w:t xml:space="preserve"> </w:t>
      </w:r>
      <w:r w:rsidR="00067B53" w:rsidRPr="00067B53">
        <w:rPr>
          <w:lang w:val="en-GB"/>
        </w:rPr>
        <w:t xml:space="preserve">Ammonia </w:t>
      </w:r>
      <w:r w:rsidR="0082362E">
        <w:rPr>
          <w:lang w:val="en-GB"/>
        </w:rPr>
        <w:t xml:space="preserve">refrigerant </w:t>
      </w:r>
      <w:r w:rsidR="00067B53" w:rsidRPr="00067B53">
        <w:rPr>
          <w:lang w:val="en-GB"/>
        </w:rPr>
        <w:t>absorbs heat from the CO</w:t>
      </w:r>
      <w:r w:rsidR="00067B53" w:rsidRPr="00067B53">
        <w:rPr>
          <w:rFonts w:ascii="Cambria Math" w:hAnsi="Cambria Math" w:cs="Cambria Math"/>
          <w:lang w:val="en-GB"/>
        </w:rPr>
        <w:t>₂</w:t>
      </w:r>
      <w:r w:rsidR="00067B53" w:rsidRPr="00067B53">
        <w:rPr>
          <w:lang w:val="en-GB"/>
        </w:rPr>
        <w:t xml:space="preserve"> stream, vaporizes, and is then recompressed via a dedicated compressor for reuse in the </w:t>
      </w:r>
      <w:r w:rsidR="00067B53">
        <w:rPr>
          <w:lang w:val="en-GB"/>
        </w:rPr>
        <w:t xml:space="preserve">Ammonia Refrigeration </w:t>
      </w:r>
      <w:r w:rsidR="00067B53" w:rsidRPr="00067B53">
        <w:rPr>
          <w:lang w:val="en-GB"/>
        </w:rPr>
        <w:t>cycle.</w:t>
      </w:r>
      <w:r w:rsidR="00D87DCC">
        <w:t xml:space="preserve"> </w:t>
      </w:r>
      <w:r w:rsidR="00B9431D" w:rsidRPr="3064E2AE">
        <w:rPr>
          <w:lang w:val="en-GB"/>
        </w:rPr>
        <w:t xml:space="preserve">The process scheme for </w:t>
      </w:r>
      <w:r w:rsidR="00B9431D">
        <w:rPr>
          <w:lang w:val="en-GB"/>
        </w:rPr>
        <w:t>Ammonia-Refrigerated</w:t>
      </w:r>
      <w:r w:rsidR="00B9431D" w:rsidRPr="3064E2AE">
        <w:rPr>
          <w:lang w:val="en-GB"/>
        </w:rPr>
        <w:t xml:space="preserve"> CO</w:t>
      </w:r>
      <w:r w:rsidR="00B9431D" w:rsidRPr="3064E2AE">
        <w:rPr>
          <w:rFonts w:ascii="Cambria Math" w:hAnsi="Cambria Math" w:cs="Cambria Math"/>
          <w:lang w:val="en-GB"/>
        </w:rPr>
        <w:t>₂</w:t>
      </w:r>
      <w:r w:rsidR="00B9431D" w:rsidRPr="3064E2AE">
        <w:rPr>
          <w:lang w:val="en-GB"/>
        </w:rPr>
        <w:t xml:space="preserve"> </w:t>
      </w:r>
      <w:r w:rsidR="00B9431D">
        <w:rPr>
          <w:lang w:val="en-GB"/>
        </w:rPr>
        <w:t>Liquefaction</w:t>
      </w:r>
      <w:r w:rsidR="00B9431D" w:rsidRPr="3064E2AE">
        <w:rPr>
          <w:lang w:val="en-GB"/>
        </w:rPr>
        <w:t xml:space="preserve"> is well-established, with numerous references available in industrial practice. Unlike more complex </w:t>
      </w:r>
      <w:r w:rsidR="00B9431D">
        <w:rPr>
          <w:lang w:val="en-GB"/>
        </w:rPr>
        <w:t>systems</w:t>
      </w:r>
      <w:r w:rsidR="00B9431D" w:rsidRPr="3064E2AE">
        <w:rPr>
          <w:lang w:val="en-GB"/>
        </w:rPr>
        <w:t xml:space="preserve">, this approach leverages an external refrigeration </w:t>
      </w:r>
      <w:r w:rsidR="00B9431D">
        <w:rPr>
          <w:lang w:val="en-GB"/>
        </w:rPr>
        <w:t>cycle</w:t>
      </w:r>
      <w:r w:rsidR="00B9431D" w:rsidRPr="3064E2AE">
        <w:rPr>
          <w:lang w:val="en-GB"/>
        </w:rPr>
        <w:t>, simplifying process control and reducing the need for extensive heat integration.</w:t>
      </w:r>
    </w:p>
    <w:p w14:paraId="5EE53712" w14:textId="77777777" w:rsidR="00E54E02" w:rsidRDefault="00E54E02" w:rsidP="00E54E02">
      <w:pPr>
        <w:pStyle w:val="CETheadingx"/>
      </w:pPr>
      <w:r>
        <w:t>Self-Refrigerated CO</w:t>
      </w:r>
      <w:r w:rsidRPr="00F33209">
        <w:rPr>
          <w:vertAlign w:val="subscript"/>
        </w:rPr>
        <w:t>2</w:t>
      </w:r>
      <w:r>
        <w:t xml:space="preserve"> Liquefaction</w:t>
      </w:r>
    </w:p>
    <w:p w14:paraId="2E6CCD4A" w14:textId="79BDD1C4" w:rsidR="00E50452" w:rsidRDefault="00E54E02" w:rsidP="00E50452">
      <w:pPr>
        <w:pStyle w:val="CETCaption"/>
      </w:pPr>
      <w:r w:rsidRPr="00BF787D">
        <w:rPr>
          <w:i w:val="0"/>
          <w:lang w:val="en-US"/>
        </w:rPr>
        <w:t>In Self-Refrigerated CO</w:t>
      </w:r>
      <w:r w:rsidRPr="00BF787D">
        <w:rPr>
          <w:rFonts w:ascii="Cambria Math" w:hAnsi="Cambria Math" w:cs="Cambria Math"/>
          <w:i w:val="0"/>
          <w:lang w:val="en-US"/>
        </w:rPr>
        <w:t>₂</w:t>
      </w:r>
      <w:r w:rsidRPr="00BF787D">
        <w:rPr>
          <w:i w:val="0"/>
          <w:lang w:val="en-US"/>
        </w:rPr>
        <w:t xml:space="preserve"> Liquefaction, </w:t>
      </w:r>
      <w:r w:rsidR="00E50452" w:rsidRPr="00BD6286">
        <w:rPr>
          <w:i w:val="0"/>
          <w:lang w:val="en-US"/>
        </w:rPr>
        <w:t>CO</w:t>
      </w:r>
      <w:r w:rsidR="00E50452" w:rsidRPr="00BD6286">
        <w:rPr>
          <w:rFonts w:ascii="Cambria Math" w:hAnsi="Cambria Math" w:cs="Cambria Math"/>
          <w:i w:val="0"/>
          <w:lang w:val="en-US"/>
        </w:rPr>
        <w:t>₂</w:t>
      </w:r>
      <w:r w:rsidRPr="00BF787D">
        <w:rPr>
          <w:i w:val="0"/>
          <w:lang w:val="en-US"/>
        </w:rPr>
        <w:t xml:space="preserve"> </w:t>
      </w:r>
      <w:r w:rsidR="00062405" w:rsidRPr="00BF787D">
        <w:rPr>
          <w:i w:val="0"/>
          <w:lang w:val="en-US"/>
        </w:rPr>
        <w:t>act</w:t>
      </w:r>
      <w:r w:rsidRPr="00BF787D">
        <w:rPr>
          <w:i w:val="0"/>
          <w:lang w:val="en-US"/>
        </w:rPr>
        <w:t>s as both the refrigerant fluid and the process fluid to be liquefied</w:t>
      </w:r>
      <w:r w:rsidR="00062405" w:rsidRPr="00BF787D">
        <w:rPr>
          <w:i w:val="0"/>
          <w:lang w:val="en-US"/>
        </w:rPr>
        <w:t>, with</w:t>
      </w:r>
      <w:r w:rsidRPr="00BF787D">
        <w:rPr>
          <w:i w:val="0"/>
          <w:lang w:val="en-US"/>
        </w:rPr>
        <w:t xml:space="preserve"> all compression duties handled by a single compressor. The raw CO</w:t>
      </w:r>
      <w:r w:rsidRPr="00BF787D">
        <w:rPr>
          <w:rFonts w:ascii="Cambria Math" w:hAnsi="Cambria Math" w:cs="Cambria Math"/>
          <w:i w:val="0"/>
          <w:lang w:val="en-US"/>
        </w:rPr>
        <w:t>₂</w:t>
      </w:r>
      <w:r w:rsidRPr="00BF787D">
        <w:rPr>
          <w:i w:val="0"/>
          <w:lang w:val="en-US"/>
        </w:rPr>
        <w:t xml:space="preserve"> gas is first fed into the CO</w:t>
      </w:r>
      <w:r w:rsidRPr="00BF787D">
        <w:rPr>
          <w:rFonts w:ascii="Cambria Math" w:hAnsi="Cambria Math" w:cs="Cambria Math"/>
          <w:i w:val="0"/>
          <w:lang w:val="en-US"/>
        </w:rPr>
        <w:t>₂</w:t>
      </w:r>
      <w:r w:rsidRPr="00BF787D">
        <w:rPr>
          <w:i w:val="0"/>
          <w:lang w:val="en-US"/>
        </w:rPr>
        <w:t xml:space="preserve"> compressor, where its pressure is increased above the critical value. This compressor also manages </w:t>
      </w:r>
      <w:proofErr w:type="gramStart"/>
      <w:r w:rsidRPr="00BF787D">
        <w:rPr>
          <w:i w:val="0"/>
          <w:lang w:val="en-US"/>
        </w:rPr>
        <w:t>recycle</w:t>
      </w:r>
      <w:proofErr w:type="gramEnd"/>
      <w:r w:rsidRPr="00BF787D">
        <w:rPr>
          <w:i w:val="0"/>
          <w:lang w:val="en-US"/>
        </w:rPr>
        <w:t xml:space="preserve"> streams from the downstream refrigeration cycle</w:t>
      </w:r>
      <w:r w:rsidR="00D81F56">
        <w:rPr>
          <w:i w:val="0"/>
          <w:lang w:val="en-US"/>
        </w:rPr>
        <w:t>, therefore</w:t>
      </w:r>
      <w:r w:rsidRPr="00BF787D">
        <w:rPr>
          <w:i w:val="0"/>
          <w:lang w:val="en-US"/>
        </w:rPr>
        <w:t xml:space="preserve"> </w:t>
      </w:r>
      <w:r w:rsidR="007772D4">
        <w:rPr>
          <w:i w:val="0"/>
          <w:lang w:val="en-US"/>
        </w:rPr>
        <w:t>act</w:t>
      </w:r>
      <w:r w:rsidR="00D81F56">
        <w:rPr>
          <w:i w:val="0"/>
          <w:lang w:val="en-US"/>
        </w:rPr>
        <w:t>ing</w:t>
      </w:r>
      <w:r w:rsidRPr="00BF787D">
        <w:rPr>
          <w:i w:val="0"/>
          <w:lang w:val="en-US"/>
        </w:rPr>
        <w:t xml:space="preserve"> as the compressor for both the process fluid and the refrigerant fluid. In this setup, the CO</w:t>
      </w:r>
      <w:r w:rsidRPr="00BF787D">
        <w:rPr>
          <w:rFonts w:ascii="Cambria Math" w:hAnsi="Cambria Math" w:cs="Cambria Math"/>
          <w:i w:val="0"/>
          <w:lang w:val="en-US"/>
        </w:rPr>
        <w:t>₂</w:t>
      </w:r>
      <w:r w:rsidRPr="00BF787D">
        <w:rPr>
          <w:i w:val="0"/>
          <w:lang w:val="en-US"/>
        </w:rPr>
        <w:t xml:space="preserve"> compressor is an Integrally Geared Centrifugal </w:t>
      </w:r>
      <w:r w:rsidR="00E5045D">
        <w:rPr>
          <w:i w:val="0"/>
          <w:lang w:val="en-US"/>
        </w:rPr>
        <w:t>type</w:t>
      </w:r>
      <w:r w:rsidRPr="00BF787D">
        <w:rPr>
          <w:i w:val="0"/>
          <w:lang w:val="en-US"/>
        </w:rPr>
        <w:t>, optimized for handling the high compressibility of CO</w:t>
      </w:r>
      <w:r w:rsidRPr="00BF787D">
        <w:rPr>
          <w:rFonts w:ascii="Cambria Math" w:hAnsi="Cambria Math" w:cs="Cambria Math"/>
          <w:i w:val="0"/>
          <w:lang w:val="en-US"/>
        </w:rPr>
        <w:t>₂</w:t>
      </w:r>
      <w:r w:rsidRPr="00BF787D">
        <w:rPr>
          <w:i w:val="0"/>
          <w:lang w:val="en-US"/>
        </w:rPr>
        <w:t xml:space="preserve"> while maintaining high efficiency</w:t>
      </w:r>
      <w:r w:rsidR="00E8276F">
        <w:rPr>
          <w:i w:val="0"/>
          <w:lang w:val="en-US"/>
        </w:rPr>
        <w:t xml:space="preserve">. </w:t>
      </w:r>
      <w:r w:rsidR="00130FDF" w:rsidRPr="00BF787D">
        <w:rPr>
          <w:i w:val="0"/>
          <w:lang w:val="en-US"/>
        </w:rPr>
        <w:t>T</w:t>
      </w:r>
      <w:r w:rsidR="00B5564E" w:rsidRPr="00BF787D">
        <w:rPr>
          <w:i w:val="0"/>
          <w:lang w:val="en-US"/>
        </w:rPr>
        <w:t>he compressed CO</w:t>
      </w:r>
      <w:r w:rsidR="00B5564E" w:rsidRPr="00BF787D">
        <w:rPr>
          <w:rFonts w:ascii="Cambria Math" w:hAnsi="Cambria Math" w:cs="Cambria Math"/>
          <w:i w:val="0"/>
          <w:lang w:val="en-US"/>
        </w:rPr>
        <w:t>₂</w:t>
      </w:r>
      <w:r w:rsidR="00B5564E" w:rsidRPr="00BF787D">
        <w:rPr>
          <w:i w:val="0"/>
          <w:lang w:val="en-US"/>
        </w:rPr>
        <w:t xml:space="preserve"> is </w:t>
      </w:r>
      <w:r w:rsidR="00130FDF" w:rsidRPr="00BF787D">
        <w:rPr>
          <w:i w:val="0"/>
          <w:lang w:val="en-US"/>
        </w:rPr>
        <w:t xml:space="preserve">then </w:t>
      </w:r>
      <w:r w:rsidR="00B5564E" w:rsidRPr="00BF787D">
        <w:rPr>
          <w:i w:val="0"/>
          <w:lang w:val="en-US"/>
        </w:rPr>
        <w:t xml:space="preserve">sent to a drying </w:t>
      </w:r>
      <w:r w:rsidR="000B2DFC">
        <w:rPr>
          <w:i w:val="0"/>
          <w:lang w:val="en-US"/>
        </w:rPr>
        <w:t>unit</w:t>
      </w:r>
      <w:r w:rsidR="00B5564E" w:rsidRPr="00BF787D">
        <w:rPr>
          <w:i w:val="0"/>
          <w:lang w:val="en-US"/>
        </w:rPr>
        <w:t xml:space="preserve"> to reduce its water content and prevent ice formation in the colder sections of the plant. Drying </w:t>
      </w:r>
      <w:r w:rsidR="00FD649F" w:rsidRPr="00BF787D">
        <w:rPr>
          <w:i w:val="0"/>
          <w:lang w:val="en-US"/>
        </w:rPr>
        <w:t>occurs</w:t>
      </w:r>
      <w:r w:rsidR="00B5564E" w:rsidRPr="00BF787D">
        <w:rPr>
          <w:i w:val="0"/>
          <w:lang w:val="en-US"/>
        </w:rPr>
        <w:t xml:space="preserve"> at an intermediate </w:t>
      </w:r>
      <w:r w:rsidR="00FD649F" w:rsidRPr="00BF787D">
        <w:rPr>
          <w:i w:val="0"/>
          <w:lang w:val="en-US"/>
        </w:rPr>
        <w:t xml:space="preserve">compression </w:t>
      </w:r>
      <w:r w:rsidR="00B5564E" w:rsidRPr="00BF787D">
        <w:rPr>
          <w:i w:val="0"/>
          <w:lang w:val="en-US"/>
        </w:rPr>
        <w:t xml:space="preserve">stage </w:t>
      </w:r>
      <w:r w:rsidR="00FD649F" w:rsidRPr="00BF787D">
        <w:rPr>
          <w:i w:val="0"/>
          <w:lang w:val="en-US"/>
        </w:rPr>
        <w:t>before</w:t>
      </w:r>
      <w:r w:rsidR="00B5564E" w:rsidRPr="00BF787D">
        <w:rPr>
          <w:i w:val="0"/>
          <w:lang w:val="en-US"/>
        </w:rPr>
        <w:t xml:space="preserve"> reach</w:t>
      </w:r>
      <w:r w:rsidR="00FD649F" w:rsidRPr="00BF787D">
        <w:rPr>
          <w:i w:val="0"/>
          <w:lang w:val="en-US"/>
        </w:rPr>
        <w:t>ing</w:t>
      </w:r>
      <w:r w:rsidR="00B5564E" w:rsidRPr="00BF787D">
        <w:rPr>
          <w:i w:val="0"/>
          <w:lang w:val="en-US"/>
        </w:rPr>
        <w:t xml:space="preserve"> supercritical </w:t>
      </w:r>
      <w:r w:rsidR="00281362" w:rsidRPr="00BF787D">
        <w:rPr>
          <w:i w:val="0"/>
          <w:lang w:val="en-US"/>
        </w:rPr>
        <w:t>conditions</w:t>
      </w:r>
      <w:r w:rsidR="00DE5DEB" w:rsidRPr="00BF787D">
        <w:rPr>
          <w:i w:val="0"/>
          <w:lang w:val="en-US"/>
        </w:rPr>
        <w:t>, which would hinder desiccant performance</w:t>
      </w:r>
      <w:r w:rsidR="00B5564E" w:rsidRPr="00BF787D">
        <w:rPr>
          <w:i w:val="0"/>
          <w:lang w:val="en-US"/>
        </w:rPr>
        <w:t xml:space="preserve">. At the compressor outlet, </w:t>
      </w:r>
      <w:r w:rsidR="00CC337D">
        <w:rPr>
          <w:i w:val="0"/>
          <w:lang w:val="en-US"/>
        </w:rPr>
        <w:t xml:space="preserve">supercritical </w:t>
      </w:r>
      <w:r w:rsidR="00B5564E" w:rsidRPr="00BF787D">
        <w:rPr>
          <w:i w:val="0"/>
          <w:lang w:val="en-US"/>
        </w:rPr>
        <w:t>CO</w:t>
      </w:r>
      <w:r w:rsidR="00B5564E" w:rsidRPr="00BF787D">
        <w:rPr>
          <w:i w:val="0"/>
          <w:vertAlign w:val="subscript"/>
          <w:lang w:val="en-US"/>
        </w:rPr>
        <w:t xml:space="preserve">2 </w:t>
      </w:r>
      <w:r w:rsidR="00B5564E" w:rsidRPr="00BF787D">
        <w:rPr>
          <w:i w:val="0"/>
          <w:lang w:val="en-US"/>
        </w:rPr>
        <w:t>is split into two streams: process CO</w:t>
      </w:r>
      <w:r w:rsidR="00B5564E" w:rsidRPr="00BF787D">
        <w:rPr>
          <w:i w:val="0"/>
          <w:vertAlign w:val="subscript"/>
          <w:lang w:val="en-US"/>
        </w:rPr>
        <w:t>2</w:t>
      </w:r>
      <w:r w:rsidR="00B5564E" w:rsidRPr="00BF787D">
        <w:rPr>
          <w:i w:val="0"/>
          <w:lang w:val="en-US"/>
        </w:rPr>
        <w:t>, which is subsequently liquified, and refrigerant CO</w:t>
      </w:r>
      <w:r w:rsidR="00B5564E" w:rsidRPr="00BF787D">
        <w:rPr>
          <w:i w:val="0"/>
          <w:vertAlign w:val="subscript"/>
          <w:lang w:val="en-US"/>
        </w:rPr>
        <w:t>2</w:t>
      </w:r>
      <w:r w:rsidR="00B5564E" w:rsidRPr="00BF787D">
        <w:rPr>
          <w:i w:val="0"/>
          <w:lang w:val="en-US"/>
        </w:rPr>
        <w:t>, which is flashed to a lower pressure level to generate a liquid phase in the CO</w:t>
      </w:r>
      <w:r w:rsidR="00B5564E" w:rsidRPr="00BF787D">
        <w:rPr>
          <w:i w:val="0"/>
          <w:vertAlign w:val="subscript"/>
          <w:lang w:val="en-US"/>
        </w:rPr>
        <w:t>2</w:t>
      </w:r>
      <w:r w:rsidR="00B5564E" w:rsidRPr="00BF787D">
        <w:rPr>
          <w:i w:val="0"/>
          <w:lang w:val="en-US"/>
        </w:rPr>
        <w:t xml:space="preserve"> refrigeration section.</w:t>
      </w:r>
      <w:r w:rsidR="001E6A4F">
        <w:rPr>
          <w:i w:val="0"/>
          <w:lang w:val="en-US"/>
        </w:rPr>
        <w:t xml:space="preserve"> </w:t>
      </w:r>
      <w:r w:rsidR="00121F14">
        <w:rPr>
          <w:i w:val="0"/>
          <w:lang w:val="en-US"/>
        </w:rPr>
        <w:t>Therefore, u</w:t>
      </w:r>
      <w:r w:rsidR="001E6A4F" w:rsidRPr="001E6A4F">
        <w:rPr>
          <w:i w:val="0"/>
          <w:lang w:val="en-US"/>
        </w:rPr>
        <w:t>nlike the Linde-Hampson process, which relies solely on the vapor generated during expansion for refrigeration, this process uses a dedicated liquid CO</w:t>
      </w:r>
      <w:r w:rsidR="001E6A4F" w:rsidRPr="001E6A4F">
        <w:rPr>
          <w:rFonts w:ascii="Cambria Math" w:hAnsi="Cambria Math" w:cs="Cambria Math"/>
          <w:i w:val="0"/>
          <w:lang w:val="en-US"/>
        </w:rPr>
        <w:t>₂</w:t>
      </w:r>
      <w:r w:rsidR="001E6A4F" w:rsidRPr="001E6A4F">
        <w:rPr>
          <w:i w:val="0"/>
          <w:lang w:val="en-US"/>
        </w:rPr>
        <w:t xml:space="preserve"> stream as a refrigerant</w:t>
      </w:r>
      <w:r w:rsidR="00121F14">
        <w:rPr>
          <w:i w:val="0"/>
          <w:lang w:val="en-US"/>
        </w:rPr>
        <w:t>.</w:t>
      </w:r>
      <w:r w:rsidR="00DE5DEB" w:rsidRPr="00BF787D">
        <w:rPr>
          <w:i w:val="0"/>
          <w:lang w:val="en-US"/>
        </w:rPr>
        <w:t xml:space="preserve"> Process CO</w:t>
      </w:r>
      <w:r w:rsidR="00DE5DEB" w:rsidRPr="00BF787D">
        <w:rPr>
          <w:i w:val="0"/>
          <w:vertAlign w:val="subscript"/>
          <w:lang w:val="en-US"/>
        </w:rPr>
        <w:t>2</w:t>
      </w:r>
      <w:r w:rsidR="00DE5DEB" w:rsidRPr="00BF787D">
        <w:rPr>
          <w:i w:val="0"/>
          <w:lang w:val="en-US"/>
        </w:rPr>
        <w:t xml:space="preserve"> is first cooled in the Heat Recovery System, which exploits frigories from CO</w:t>
      </w:r>
      <w:r w:rsidR="00DE5DEB" w:rsidRPr="00BF787D">
        <w:rPr>
          <w:i w:val="0"/>
          <w:vertAlign w:val="subscript"/>
          <w:lang w:val="en-US"/>
        </w:rPr>
        <w:t>2</w:t>
      </w:r>
      <w:r w:rsidR="00DE5DEB" w:rsidRPr="00BF787D">
        <w:rPr>
          <w:i w:val="0"/>
          <w:lang w:val="en-US"/>
        </w:rPr>
        <w:t xml:space="preserve"> recycle streams to lower the Liquefaction duty and maximize heat </w:t>
      </w:r>
      <w:r w:rsidR="00723A53" w:rsidRPr="00723A53">
        <w:rPr>
          <w:i w:val="0"/>
          <w:lang w:val="en-US"/>
        </w:rPr>
        <w:t>integration</w:t>
      </w:r>
      <w:r w:rsidR="00723A53">
        <w:rPr>
          <w:i w:val="0"/>
          <w:lang w:val="en-US"/>
        </w:rPr>
        <w:t xml:space="preserve"> and</w:t>
      </w:r>
      <w:r w:rsidR="001801CB">
        <w:rPr>
          <w:i w:val="0"/>
          <w:lang w:val="en-US"/>
        </w:rPr>
        <w:t xml:space="preserve"> </w:t>
      </w:r>
      <w:r w:rsidR="00E50452" w:rsidRPr="00BF787D">
        <w:rPr>
          <w:i w:val="0"/>
          <w:lang w:val="en-US"/>
        </w:rPr>
        <w:t xml:space="preserve">is then </w:t>
      </w:r>
      <w:r w:rsidR="001801CB">
        <w:rPr>
          <w:i w:val="0"/>
          <w:lang w:val="en-US"/>
        </w:rPr>
        <w:t xml:space="preserve">flashed </w:t>
      </w:r>
      <w:r w:rsidR="00E50452" w:rsidRPr="00BF787D">
        <w:rPr>
          <w:i w:val="0"/>
          <w:lang w:val="en-US"/>
        </w:rPr>
        <w:t>and fed at the top of the</w:t>
      </w:r>
      <w:r w:rsidR="00E50452" w:rsidRPr="00BF787D">
        <w:rPr>
          <w:i w:val="0"/>
        </w:rPr>
        <w:t xml:space="preserve"> </w:t>
      </w:r>
      <w:r w:rsidR="00E50452" w:rsidRPr="00BF787D">
        <w:rPr>
          <w:i w:val="0"/>
          <w:lang w:val="en-US"/>
        </w:rPr>
        <w:t>Stripping Column, where it is purified to remove impurities similarly to the Ammonia-Refrigerated process.</w:t>
      </w:r>
      <w:r w:rsidR="00E50452" w:rsidRPr="00BF787D">
        <w:rPr>
          <w:i w:val="0"/>
        </w:rPr>
        <w:t xml:space="preserve"> </w:t>
      </w:r>
      <w:r w:rsidR="00567D62" w:rsidRPr="00BD6286">
        <w:rPr>
          <w:i w:val="0"/>
        </w:rPr>
        <w:t xml:space="preserve">The stripped </w:t>
      </w:r>
      <w:proofErr w:type="spellStart"/>
      <w:r w:rsidR="00567D62" w:rsidRPr="00BD6286">
        <w:rPr>
          <w:i w:val="0"/>
        </w:rPr>
        <w:t>vapors</w:t>
      </w:r>
      <w:proofErr w:type="spellEnd"/>
      <w:r w:rsidR="00567D62" w:rsidRPr="00BD6286">
        <w:rPr>
          <w:i w:val="0"/>
        </w:rPr>
        <w:t xml:space="preserve"> are cooled down via evaporation of the refrigerant CO</w:t>
      </w:r>
      <w:r w:rsidR="00567D62" w:rsidRPr="00BD6286">
        <w:rPr>
          <w:i w:val="0"/>
          <w:vertAlign w:val="subscript"/>
        </w:rPr>
        <w:t>2</w:t>
      </w:r>
      <w:r w:rsidR="00567D62" w:rsidRPr="00BD6286">
        <w:rPr>
          <w:i w:val="0"/>
        </w:rPr>
        <w:t xml:space="preserve"> in the </w:t>
      </w:r>
      <w:r w:rsidR="00567D62">
        <w:rPr>
          <w:i w:val="0"/>
        </w:rPr>
        <w:t>column condenser</w:t>
      </w:r>
      <w:r w:rsidR="00567D62" w:rsidRPr="00BD6286">
        <w:rPr>
          <w:i w:val="0"/>
        </w:rPr>
        <w:t xml:space="preserve"> and sent back to the column as reflux, while a small fraction is lost as vent.</w:t>
      </w:r>
      <w:r w:rsidR="00567D62">
        <w:rPr>
          <w:i w:val="0"/>
        </w:rPr>
        <w:t xml:space="preserve"> Evaporated</w:t>
      </w:r>
      <w:r w:rsidR="00567D62" w:rsidRPr="00BD6286">
        <w:rPr>
          <w:i w:val="0"/>
        </w:rPr>
        <w:t xml:space="preserve"> refrigerant CO</w:t>
      </w:r>
      <w:r w:rsidR="00567D62" w:rsidRPr="00BD6286">
        <w:rPr>
          <w:i w:val="0"/>
          <w:vertAlign w:val="subscript"/>
        </w:rPr>
        <w:t>2</w:t>
      </w:r>
      <w:r w:rsidR="00567D62" w:rsidRPr="00BD6286">
        <w:rPr>
          <w:i w:val="0"/>
        </w:rPr>
        <w:t xml:space="preserve"> is subsequently recycled to the CO</w:t>
      </w:r>
      <w:r w:rsidR="00567D62" w:rsidRPr="00BD6286">
        <w:rPr>
          <w:i w:val="0"/>
          <w:vertAlign w:val="subscript"/>
        </w:rPr>
        <w:t>2</w:t>
      </w:r>
      <w:r w:rsidR="00567D62" w:rsidRPr="00BD6286">
        <w:rPr>
          <w:i w:val="0"/>
        </w:rPr>
        <w:t xml:space="preserve"> Compressor through the Heat Recovery System, therefore closing the Refrigeration cycle. To enhance flexibility, the Liquefaction column pressure is decoupled from the final product pressure. This allows the system to deliver CO</w:t>
      </w:r>
      <w:r w:rsidR="00567D62" w:rsidRPr="00BD6286">
        <w:rPr>
          <w:rFonts w:ascii="Cambria Math" w:hAnsi="Cambria Math" w:cs="Cambria Math"/>
          <w:i w:val="0"/>
        </w:rPr>
        <w:t>₂</w:t>
      </w:r>
      <w:r w:rsidR="00567D62" w:rsidRPr="00BD6286">
        <w:rPr>
          <w:i w:val="0"/>
        </w:rPr>
        <w:t xml:space="preserve"> at different pressure levels, making it particularly suitable for large-scale CCS projects where </w:t>
      </w:r>
      <w:r w:rsidR="00567D62">
        <w:rPr>
          <w:i w:val="0"/>
        </w:rPr>
        <w:t>different</w:t>
      </w:r>
      <w:r w:rsidR="00567D62" w:rsidRPr="00BD6286">
        <w:rPr>
          <w:i w:val="0"/>
        </w:rPr>
        <w:t xml:space="preserve"> CO</w:t>
      </w:r>
      <w:r w:rsidR="00567D62" w:rsidRPr="00BD6286">
        <w:rPr>
          <w:rFonts w:ascii="Cambria Math" w:hAnsi="Cambria Math" w:cs="Cambria Math"/>
          <w:i w:val="0"/>
        </w:rPr>
        <w:t>₂</w:t>
      </w:r>
      <w:r w:rsidR="00567D62" w:rsidRPr="00BD6286">
        <w:rPr>
          <w:i w:val="0"/>
        </w:rPr>
        <w:t xml:space="preserve"> specifications may be required.</w:t>
      </w:r>
    </w:p>
    <w:p w14:paraId="09F313F9" w14:textId="6F8598AC" w:rsidR="00E50452" w:rsidRDefault="00AA7BE0" w:rsidP="00BF787D">
      <w:pPr>
        <w:pStyle w:val="CETCaption"/>
        <w:jc w:val="center"/>
      </w:pPr>
      <w:r>
        <w:rPr>
          <w:noProof/>
        </w:rPr>
        <w:lastRenderedPageBreak/>
        <mc:AlternateContent>
          <mc:Choice Requires="wps">
            <w:drawing>
              <wp:anchor distT="45720" distB="45720" distL="114300" distR="114300" simplePos="0" relativeHeight="251661312" behindDoc="0" locked="0" layoutInCell="1" allowOverlap="1" wp14:anchorId="733EF35C" wp14:editId="46ED9B12">
                <wp:simplePos x="0" y="0"/>
                <wp:positionH relativeFrom="column">
                  <wp:posOffset>880741</wp:posOffset>
                </wp:positionH>
                <wp:positionV relativeFrom="paragraph">
                  <wp:posOffset>1453783</wp:posOffset>
                </wp:positionV>
                <wp:extent cx="392687" cy="1404620"/>
                <wp:effectExtent l="0" t="0" r="7620" b="2540"/>
                <wp:wrapNone/>
                <wp:docPr id="303981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687" cy="1404620"/>
                        </a:xfrm>
                        <a:prstGeom prst="rect">
                          <a:avLst/>
                        </a:prstGeom>
                        <a:solidFill>
                          <a:srgbClr val="FFFFFF"/>
                        </a:solidFill>
                        <a:ln w="9525">
                          <a:noFill/>
                          <a:miter lim="800000"/>
                          <a:headEnd/>
                          <a:tailEnd/>
                        </a:ln>
                      </wps:spPr>
                      <wps:txbx>
                        <w:txbxContent>
                          <w:p w14:paraId="0045AD11" w14:textId="79C74F8E" w:rsidR="00AA7BE0" w:rsidRDefault="00AA7BE0" w:rsidP="00AA7BE0">
                            <w: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3EF35C" id="_x0000_t202" coordsize="21600,21600" o:spt="202" path="m,l,21600r21600,l21600,xe">
                <v:stroke joinstyle="miter"/>
                <v:path gradientshapeok="t" o:connecttype="rect"/>
              </v:shapetype>
              <v:shape id="Text Box 2" o:spid="_x0000_s1026" type="#_x0000_t202" style="position:absolute;left:0;text-align:left;margin-left:69.35pt;margin-top:114.45pt;width:30.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" stroked="f">
                <v:textbox style="mso-fit-shape-to-text:t">
                  <w:txbxContent>
                    <w:p w14:paraId="0045AD11" w14:textId="79C74F8E" w:rsidR="00AA7BE0" w:rsidRDefault="00AA7BE0" w:rsidP="00AA7BE0">
                      <w:r>
                        <w:t>(b)</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2F7788F5" wp14:editId="33F20B02">
                <wp:simplePos x="0" y="0"/>
                <wp:positionH relativeFrom="column">
                  <wp:posOffset>865400</wp:posOffset>
                </wp:positionH>
                <wp:positionV relativeFrom="paragraph">
                  <wp:posOffset>6985</wp:posOffset>
                </wp:positionV>
                <wp:extent cx="392687" cy="1404620"/>
                <wp:effectExtent l="0" t="0" r="762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687" cy="1404620"/>
                        </a:xfrm>
                        <a:prstGeom prst="rect">
                          <a:avLst/>
                        </a:prstGeom>
                        <a:solidFill>
                          <a:srgbClr val="FFFFFF"/>
                        </a:solidFill>
                        <a:ln w="9525">
                          <a:noFill/>
                          <a:miter lim="800000"/>
                          <a:headEnd/>
                          <a:tailEnd/>
                        </a:ln>
                      </wps:spPr>
                      <wps:txbx>
                        <w:txbxContent>
                          <w:p w14:paraId="2BEDB749" w14:textId="6649EAF7" w:rsidR="00AA7BE0" w:rsidRDefault="00AA7BE0">
                            <w: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7788F5" id="_x0000_s1027" type="#_x0000_t202" style="position:absolute;left:0;text-align:left;margin-left:68.15pt;margin-top:.55pt;width:30.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" stroked="f">
                <v:textbox style="mso-fit-shape-to-text:t">
                  <w:txbxContent>
                    <w:p w14:paraId="2BEDB749" w14:textId="6649EAF7" w:rsidR="00AA7BE0" w:rsidRDefault="00AA7BE0">
                      <w:r>
                        <w:t>(a)</w:t>
                      </w:r>
                    </w:p>
                  </w:txbxContent>
                </v:textbox>
              </v:shape>
            </w:pict>
          </mc:Fallback>
        </mc:AlternateContent>
      </w:r>
      <w:r w:rsidR="00E50452" w:rsidRPr="005D405A">
        <w:rPr>
          <w:noProof/>
        </w:rPr>
        <w:drawing>
          <wp:inline distT="0" distB="0" distL="0" distR="0" wp14:anchorId="351AD8B6" wp14:editId="0ABE3E48">
            <wp:extent cx="3752292" cy="1396212"/>
            <wp:effectExtent l="0" t="0" r="635" b="0"/>
            <wp:docPr id="1015615614" name="Immagine 1" descr="Immagine che contiene diagramma, schermata, testo,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920126" name="Immagine 1" descr="Immagine che contiene diagramma, schermata, testo, linea&#10;&#10;Descrizione generata automaticamente"/>
                    <pic:cNvPicPr/>
                  </pic:nvPicPr>
                  <pic:blipFill rotWithShape="1">
                    <a:blip r:embed="rId13"/>
                    <a:srcRect l="-54" t="10264" r="-12" b="10538"/>
                    <a:stretch>
                      <a:fillRect/>
                    </a:stretch>
                  </pic:blipFill>
                  <pic:spPr bwMode="auto">
                    <a:xfrm>
                      <a:off x="0" y="0"/>
                      <a:ext cx="3753993" cy="1396845"/>
                    </a:xfrm>
                    <a:prstGeom prst="rect">
                      <a:avLst/>
                    </a:prstGeom>
                    <a:ln>
                      <a:noFill/>
                    </a:ln>
                    <a:extLst>
                      <a:ext uri="{53640926-AAD7-44D8-BBD7-CCE9431645EC}">
                        <a14:shadowObscured xmlns:a14="http://schemas.microsoft.com/office/drawing/2010/main"/>
                      </a:ext>
                    </a:extLst>
                  </pic:spPr>
                </pic:pic>
              </a:graphicData>
            </a:graphic>
          </wp:inline>
        </w:drawing>
      </w:r>
      <w:r w:rsidR="00E50452">
        <w:rPr>
          <w:noProof/>
        </w:rPr>
        <w:drawing>
          <wp:inline distT="0" distB="0" distL="0" distR="0" wp14:anchorId="4E0D0A3D" wp14:editId="6D5A6C58">
            <wp:extent cx="3781527" cy="1386680"/>
            <wp:effectExtent l="0" t="0" r="0" b="4445"/>
            <wp:docPr id="280256442" name="Immagine 1" descr="Immagine che contiene diagramma,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405557" name="Immagine 1" descr="Immagine che contiene diagramma, testo, schermata, Carattere&#10;&#10;Descrizione generata automaticamente"/>
                    <pic:cNvPicPr/>
                  </pic:nvPicPr>
                  <pic:blipFill rotWithShape="1">
                    <a:blip r:embed="rId14"/>
                    <a:srcRect l="-306" t="9588" r="150" b="12155"/>
                    <a:stretch>
                      <a:fillRect/>
                    </a:stretch>
                  </pic:blipFill>
                  <pic:spPr bwMode="auto">
                    <a:xfrm>
                      <a:off x="0" y="0"/>
                      <a:ext cx="3782654" cy="1387093"/>
                    </a:xfrm>
                    <a:prstGeom prst="rect">
                      <a:avLst/>
                    </a:prstGeom>
                    <a:ln>
                      <a:noFill/>
                    </a:ln>
                    <a:extLst>
                      <a:ext uri="{53640926-AAD7-44D8-BBD7-CCE9431645EC}">
                        <a14:shadowObscured xmlns:a14="http://schemas.microsoft.com/office/drawing/2010/main"/>
                      </a:ext>
                    </a:extLst>
                  </pic:spPr>
                </pic:pic>
              </a:graphicData>
            </a:graphic>
          </wp:inline>
        </w:drawing>
      </w:r>
    </w:p>
    <w:p w14:paraId="7E05D12D" w14:textId="6E90D820" w:rsidR="00302490" w:rsidRDefault="00E50452" w:rsidP="00BF787D">
      <w:pPr>
        <w:pStyle w:val="CETCaption"/>
      </w:pPr>
      <w:r>
        <w:t xml:space="preserve">Figure </w:t>
      </w:r>
      <w:r w:rsidR="003E7C5F">
        <w:t>1</w:t>
      </w:r>
      <w:r>
        <w:rPr>
          <w:noProof/>
        </w:rPr>
        <w:t xml:space="preserve"> - Schematic representation of (a) Ammonia Refrigerated Liquefaction and (b) </w:t>
      </w:r>
      <w:r w:rsidR="00FB6E48">
        <w:rPr>
          <w:noProof/>
        </w:rPr>
        <w:t>NEXTCHEM</w:t>
      </w:r>
      <w:r>
        <w:rPr>
          <w:noProof/>
        </w:rPr>
        <w:t xml:space="preserve"> Self-Refrigerated CO</w:t>
      </w:r>
      <w:r w:rsidRPr="00906869">
        <w:rPr>
          <w:noProof/>
          <w:vertAlign w:val="subscript"/>
        </w:rPr>
        <w:t>2</w:t>
      </w:r>
      <w:r>
        <w:rPr>
          <w:noProof/>
        </w:rPr>
        <w:t xml:space="preserve"> Liquefaction</w:t>
      </w:r>
    </w:p>
    <w:p w14:paraId="052BDA0A" w14:textId="77FF3B44" w:rsidR="00E07865" w:rsidRDefault="00B207DA" w:rsidP="00E65BF8">
      <w:pPr>
        <w:pStyle w:val="CETHeading1"/>
      </w:pPr>
      <w:r>
        <w:t>Comparison</w:t>
      </w:r>
    </w:p>
    <w:p w14:paraId="1F8EE1BC" w14:textId="5C57DF9E" w:rsidR="00F13FF6" w:rsidRDefault="00F13FF6" w:rsidP="00F13FF6">
      <w:pPr>
        <w:pStyle w:val="CETBodytext"/>
      </w:pPr>
      <w:r>
        <w:t>The comparison for</w:t>
      </w:r>
      <w:r w:rsidR="0061035B">
        <w:t xml:space="preserve"> the two</w:t>
      </w:r>
      <w:r>
        <w:t xml:space="preserve"> CO</w:t>
      </w:r>
      <w:r>
        <w:rPr>
          <w:rFonts w:ascii="Cambria Math" w:hAnsi="Cambria Math" w:cs="Cambria Math"/>
        </w:rPr>
        <w:t>₂</w:t>
      </w:r>
      <w:r>
        <w:t xml:space="preserve"> </w:t>
      </w:r>
      <w:r w:rsidR="001F1EEC">
        <w:t>Liquefaction</w:t>
      </w:r>
      <w:r>
        <w:t xml:space="preserve"> </w:t>
      </w:r>
      <w:r w:rsidR="004F6C17">
        <w:t xml:space="preserve">technologies </w:t>
      </w:r>
      <w:r>
        <w:t xml:space="preserve">is </w:t>
      </w:r>
      <w:r w:rsidR="00446569">
        <w:t>carried out</w:t>
      </w:r>
      <w:r>
        <w:t xml:space="preserve"> for a capacity of 1,500 MTPD, a typical scale found downstream of cement and power plants.</w:t>
      </w:r>
      <w:r w:rsidR="00446569">
        <w:t xml:space="preserve"> </w:t>
      </w:r>
      <w:r>
        <w:t>Two scenarios are analyzed, each targeting a different liquid CO</w:t>
      </w:r>
      <w:r>
        <w:rPr>
          <w:rFonts w:ascii="Cambria Math" w:hAnsi="Cambria Math" w:cs="Cambria Math"/>
        </w:rPr>
        <w:t>₂</w:t>
      </w:r>
      <w:r>
        <w:t xml:space="preserve"> delivery pressure: 7 bar(g) and 15 bar(g).</w:t>
      </w:r>
      <w:r w:rsidR="00EC4036">
        <w:t xml:space="preserve"> </w:t>
      </w:r>
      <w:r>
        <w:t>In the first case, CO</w:t>
      </w:r>
      <w:r>
        <w:rPr>
          <w:rFonts w:ascii="Cambria Math" w:hAnsi="Cambria Math" w:cs="Cambria Math"/>
        </w:rPr>
        <w:t>₂</w:t>
      </w:r>
      <w:r>
        <w:t xml:space="preserve"> is liquefied at approximately -</w:t>
      </w:r>
      <w:r w:rsidR="00A93394">
        <w:t>45</w:t>
      </w:r>
      <w:r>
        <w:rPr>
          <w:rFonts w:cs="Arial"/>
        </w:rPr>
        <w:t>°</w:t>
      </w:r>
      <w:r>
        <w:t>C, a temperature commonly associated with long-distance transport via ship. The second case</w:t>
      </w:r>
      <w:r w:rsidR="003E0969">
        <w:t xml:space="preserve"> </w:t>
      </w:r>
      <w:r>
        <w:t xml:space="preserve">is more typical for bulk storage tanks used in industrial applications and distribution, as it offers a practical balance between temperature and pressure, facilitating easier storage and handling. </w:t>
      </w:r>
    </w:p>
    <w:p w14:paraId="65CEF052" w14:textId="00C27C4F" w:rsidR="00975ACB" w:rsidRPr="002F0EEC" w:rsidRDefault="00A16C8C" w:rsidP="002F0EEC">
      <w:pPr>
        <w:pStyle w:val="CETBodytext"/>
      </w:pPr>
      <w:r w:rsidRPr="00A16C8C">
        <w:t xml:space="preserve">Table 1 presents the </w:t>
      </w:r>
      <w:r w:rsidR="00B12D33">
        <w:t>quality</w:t>
      </w:r>
      <w:r w:rsidRPr="00A16C8C">
        <w:t xml:space="preserve"> of the raw CO</w:t>
      </w:r>
      <w:r w:rsidRPr="00A16C8C">
        <w:rPr>
          <w:rFonts w:ascii="Cambria Math" w:hAnsi="Cambria Math" w:cs="Cambria Math"/>
        </w:rPr>
        <w:t>₂</w:t>
      </w:r>
      <w:r w:rsidRPr="00A16C8C">
        <w:t xml:space="preserve"> gas entering the </w:t>
      </w:r>
      <w:r w:rsidR="001F1EEC">
        <w:t>Liquefaction</w:t>
      </w:r>
      <w:r w:rsidRPr="00A16C8C">
        <w:t xml:space="preserve"> process, along with the minimum required purity for the resulting liquid CO</w:t>
      </w:r>
      <w:r w:rsidRPr="00A16C8C">
        <w:rPr>
          <w:rFonts w:ascii="Cambria Math" w:hAnsi="Cambria Math" w:cs="Cambria Math"/>
        </w:rPr>
        <w:t>₂</w:t>
      </w:r>
      <w:r w:rsidR="00825A6A">
        <w:t xml:space="preserve"> </w:t>
      </w:r>
      <w:r w:rsidR="00825A6A" w:rsidRPr="00825A6A">
        <w:t>(</w:t>
      </w:r>
      <w:r w:rsidRPr="00825A6A">
        <w:t>Northern Lights</w:t>
      </w:r>
      <w:r w:rsidR="00825A6A" w:rsidRPr="00825A6A">
        <w:t>, 2024)</w:t>
      </w:r>
      <w:r w:rsidRPr="00825A6A">
        <w:t>.</w:t>
      </w:r>
      <w:r w:rsidRPr="00A16C8C">
        <w:t xml:space="preserve"> Any additional impurities in the raw CO</w:t>
      </w:r>
      <w:r w:rsidRPr="00A16C8C">
        <w:rPr>
          <w:rFonts w:ascii="Cambria Math" w:hAnsi="Cambria Math" w:cs="Cambria Math"/>
        </w:rPr>
        <w:t>₂</w:t>
      </w:r>
      <w:r w:rsidRPr="00A16C8C">
        <w:t xml:space="preserve"> stream may necessitate dedicated purification systems. However, since these purification steps can be integrated into both </w:t>
      </w:r>
      <w:r w:rsidR="001F1EEC">
        <w:t>Liquefaction</w:t>
      </w:r>
      <w:r w:rsidRPr="00A16C8C">
        <w:t xml:space="preserve"> technologies with comparable cost and efficiency, they fall outside the scope of this technology comparison</w:t>
      </w:r>
      <w:r w:rsidR="00C8486F">
        <w:t xml:space="preserve">. </w:t>
      </w:r>
      <w:r w:rsidR="00C8486F" w:rsidRPr="00C8486F">
        <w:t xml:space="preserve">As a result, only the most common impurities typically found downstream of an amine-based </w:t>
      </w:r>
      <w:r w:rsidR="007A4BCC">
        <w:t>Carbon Capture</w:t>
      </w:r>
      <w:r w:rsidR="00C8486F" w:rsidRPr="00C8486F">
        <w:t xml:space="preserve"> process have been considered.</w:t>
      </w:r>
    </w:p>
    <w:p w14:paraId="56CAFBEE" w14:textId="223A55CE" w:rsidR="0027656C" w:rsidRDefault="0027656C" w:rsidP="00577903">
      <w:pPr>
        <w:pStyle w:val="CETTabletitle"/>
      </w:pPr>
      <w:r w:rsidRPr="00B57B36">
        <w:t xml:space="preserve">Table 1: </w:t>
      </w:r>
      <w:r w:rsidR="00975ACB">
        <w:t>CO</w:t>
      </w:r>
      <w:r w:rsidR="00975ACB" w:rsidRPr="00975ACB">
        <w:rPr>
          <w:vertAlign w:val="subscript"/>
        </w:rPr>
        <w:t>2</w:t>
      </w:r>
      <w:r w:rsidR="00975ACB">
        <w:t xml:space="preserve"> </w:t>
      </w:r>
      <w:r w:rsidR="00B12D33">
        <w:t>quality</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350"/>
        <w:gridCol w:w="918"/>
        <w:gridCol w:w="1512"/>
        <w:gridCol w:w="1350"/>
      </w:tblGrid>
      <w:tr w:rsidR="002734C8" w:rsidRPr="00B57B36" w14:paraId="2787AA1B" w14:textId="77777777" w:rsidTr="00AC2395">
        <w:tc>
          <w:tcPr>
            <w:tcW w:w="1350" w:type="dxa"/>
            <w:tcBorders>
              <w:top w:val="single" w:sz="12" w:space="0" w:color="008000"/>
              <w:bottom w:val="single" w:sz="6" w:space="0" w:color="008000"/>
            </w:tcBorders>
            <w:shd w:val="clear" w:color="auto" w:fill="FFFFFF"/>
          </w:tcPr>
          <w:p w14:paraId="7988CC57" w14:textId="4704FAE7" w:rsidR="002734C8" w:rsidRPr="00B57B36" w:rsidRDefault="002734C8" w:rsidP="00552577">
            <w:pPr>
              <w:pStyle w:val="CETBodytext"/>
              <w:rPr>
                <w:lang w:val="en-GB"/>
              </w:rPr>
            </w:pPr>
          </w:p>
        </w:tc>
        <w:tc>
          <w:tcPr>
            <w:tcW w:w="918" w:type="dxa"/>
            <w:tcBorders>
              <w:top w:val="single" w:sz="12" w:space="0" w:color="008000"/>
              <w:bottom w:val="single" w:sz="6" w:space="0" w:color="008000"/>
            </w:tcBorders>
            <w:shd w:val="clear" w:color="auto" w:fill="FFFFFF"/>
          </w:tcPr>
          <w:p w14:paraId="10140F68" w14:textId="263A6F3B" w:rsidR="002734C8" w:rsidRPr="00B57B36" w:rsidRDefault="002734C8" w:rsidP="00552577">
            <w:pPr>
              <w:pStyle w:val="CETBodytext"/>
              <w:rPr>
                <w:lang w:val="en-GB"/>
              </w:rPr>
            </w:pPr>
            <w:r>
              <w:rPr>
                <w:lang w:val="en-GB"/>
              </w:rPr>
              <w:t>Unit</w:t>
            </w:r>
          </w:p>
        </w:tc>
        <w:tc>
          <w:tcPr>
            <w:tcW w:w="1512" w:type="dxa"/>
            <w:tcBorders>
              <w:top w:val="single" w:sz="12" w:space="0" w:color="008000"/>
              <w:bottom w:val="single" w:sz="6" w:space="0" w:color="008000"/>
            </w:tcBorders>
            <w:shd w:val="clear" w:color="auto" w:fill="FFFFFF"/>
          </w:tcPr>
          <w:p w14:paraId="6C9FCE89" w14:textId="630D7048" w:rsidR="002734C8" w:rsidRPr="00B57B36" w:rsidRDefault="002734C8" w:rsidP="002734C8">
            <w:pPr>
              <w:pStyle w:val="CETBodytext"/>
              <w:jc w:val="center"/>
              <w:rPr>
                <w:lang w:val="en-GB"/>
              </w:rPr>
            </w:pPr>
            <w:r>
              <w:rPr>
                <w:lang w:val="en-GB"/>
              </w:rPr>
              <w:t>Raw CO</w:t>
            </w:r>
            <w:r w:rsidRPr="00577903">
              <w:rPr>
                <w:vertAlign w:val="subscript"/>
                <w:lang w:val="en-GB"/>
              </w:rPr>
              <w:t>2</w:t>
            </w:r>
            <w:r>
              <w:rPr>
                <w:lang w:val="en-GB"/>
              </w:rPr>
              <w:t xml:space="preserve"> gas</w:t>
            </w:r>
          </w:p>
        </w:tc>
        <w:tc>
          <w:tcPr>
            <w:tcW w:w="1350" w:type="dxa"/>
            <w:tcBorders>
              <w:top w:val="single" w:sz="12" w:space="0" w:color="008000"/>
              <w:bottom w:val="single" w:sz="6" w:space="0" w:color="008000"/>
            </w:tcBorders>
            <w:shd w:val="clear" w:color="auto" w:fill="FFFFFF"/>
          </w:tcPr>
          <w:p w14:paraId="6797042A" w14:textId="1F76B463" w:rsidR="002734C8" w:rsidRPr="00B57B36" w:rsidRDefault="002734C8" w:rsidP="002734C8">
            <w:pPr>
              <w:pStyle w:val="CETBodytext"/>
              <w:ind w:right="-1"/>
              <w:jc w:val="center"/>
              <w:rPr>
                <w:rFonts w:cs="Arial"/>
                <w:szCs w:val="18"/>
                <w:lang w:val="en-GB"/>
              </w:rPr>
            </w:pPr>
            <w:r>
              <w:rPr>
                <w:rFonts w:cs="Arial"/>
                <w:szCs w:val="18"/>
                <w:lang w:val="en-GB"/>
              </w:rPr>
              <w:t>Liquid CO</w:t>
            </w:r>
            <w:r w:rsidRPr="00577903">
              <w:rPr>
                <w:rFonts w:cs="Arial"/>
                <w:szCs w:val="18"/>
                <w:vertAlign w:val="subscript"/>
                <w:lang w:val="en-GB"/>
              </w:rPr>
              <w:t>2</w:t>
            </w:r>
          </w:p>
        </w:tc>
      </w:tr>
      <w:tr w:rsidR="002734C8" w:rsidRPr="00B57B36" w14:paraId="7B3F7504" w14:textId="77777777" w:rsidTr="00AC2395">
        <w:tc>
          <w:tcPr>
            <w:tcW w:w="1350" w:type="dxa"/>
            <w:shd w:val="clear" w:color="auto" w:fill="FFFFFF"/>
          </w:tcPr>
          <w:p w14:paraId="55283E74" w14:textId="60189782" w:rsidR="002734C8" w:rsidRDefault="00B12D33" w:rsidP="00577903">
            <w:pPr>
              <w:pStyle w:val="CETBodytext"/>
              <w:rPr>
                <w:lang w:val="en-GB"/>
              </w:rPr>
            </w:pPr>
            <w:r>
              <w:rPr>
                <w:lang w:val="en-GB"/>
              </w:rPr>
              <w:t>Temp</w:t>
            </w:r>
            <w:r w:rsidR="00AC2395">
              <w:rPr>
                <w:lang w:val="en-GB"/>
              </w:rPr>
              <w:t>erature</w:t>
            </w:r>
          </w:p>
        </w:tc>
        <w:tc>
          <w:tcPr>
            <w:tcW w:w="918" w:type="dxa"/>
            <w:shd w:val="clear" w:color="auto" w:fill="FFFFFF"/>
          </w:tcPr>
          <w:p w14:paraId="03F0C654" w14:textId="3A3C4096" w:rsidR="002734C8" w:rsidRDefault="00F9028F" w:rsidP="00577903">
            <w:pPr>
              <w:pStyle w:val="CETBodytext"/>
              <w:rPr>
                <w:lang w:val="en-GB"/>
              </w:rPr>
            </w:pPr>
            <w:r>
              <w:rPr>
                <w:rFonts w:cs="Arial"/>
                <w:lang w:val="en-GB"/>
              </w:rPr>
              <w:t>°</w:t>
            </w:r>
            <w:r>
              <w:rPr>
                <w:lang w:val="en-GB"/>
              </w:rPr>
              <w:t>C</w:t>
            </w:r>
          </w:p>
        </w:tc>
        <w:tc>
          <w:tcPr>
            <w:tcW w:w="1512" w:type="dxa"/>
            <w:shd w:val="clear" w:color="auto" w:fill="FFFFFF"/>
          </w:tcPr>
          <w:p w14:paraId="46F5445B" w14:textId="2640BD3B" w:rsidR="002734C8" w:rsidRPr="00B57B36" w:rsidRDefault="00F9028F" w:rsidP="002734C8">
            <w:pPr>
              <w:pStyle w:val="CETBodytext"/>
              <w:jc w:val="center"/>
              <w:rPr>
                <w:lang w:val="en-GB"/>
              </w:rPr>
            </w:pPr>
            <w:r>
              <w:rPr>
                <w:lang w:val="en-GB"/>
              </w:rPr>
              <w:t>40</w:t>
            </w:r>
          </w:p>
        </w:tc>
        <w:tc>
          <w:tcPr>
            <w:tcW w:w="1350" w:type="dxa"/>
            <w:shd w:val="clear" w:color="auto" w:fill="FFFFFF"/>
          </w:tcPr>
          <w:p w14:paraId="66984943" w14:textId="0431DBAB" w:rsidR="002734C8" w:rsidRPr="00B57B36" w:rsidRDefault="00A93394" w:rsidP="002734C8">
            <w:pPr>
              <w:pStyle w:val="CETBodytext"/>
              <w:ind w:right="-1"/>
              <w:jc w:val="center"/>
              <w:rPr>
                <w:rFonts w:cs="Arial"/>
                <w:szCs w:val="18"/>
                <w:lang w:val="en-GB"/>
              </w:rPr>
            </w:pPr>
            <w:r>
              <w:rPr>
                <w:rFonts w:cs="Arial"/>
                <w:szCs w:val="18"/>
                <w:lang w:val="en-GB"/>
              </w:rPr>
              <w:t>-26/-45</w:t>
            </w:r>
          </w:p>
        </w:tc>
      </w:tr>
      <w:tr w:rsidR="00B12D33" w:rsidRPr="00B57B36" w14:paraId="386035DD" w14:textId="77777777" w:rsidTr="00AC2395">
        <w:tc>
          <w:tcPr>
            <w:tcW w:w="1350" w:type="dxa"/>
            <w:shd w:val="clear" w:color="auto" w:fill="FFFFFF"/>
          </w:tcPr>
          <w:p w14:paraId="61ED39B6" w14:textId="171028A3" w:rsidR="00B12D33" w:rsidRDefault="00B12D33" w:rsidP="00577903">
            <w:pPr>
              <w:pStyle w:val="CETBodytext"/>
              <w:rPr>
                <w:rFonts w:cs="Arial"/>
                <w:szCs w:val="18"/>
                <w:lang w:val="en-GB"/>
              </w:rPr>
            </w:pPr>
            <w:r>
              <w:rPr>
                <w:rFonts w:cs="Arial"/>
                <w:szCs w:val="18"/>
                <w:lang w:val="en-GB"/>
              </w:rPr>
              <w:t>Press</w:t>
            </w:r>
            <w:r w:rsidR="00AC2395">
              <w:rPr>
                <w:rFonts w:cs="Arial"/>
                <w:szCs w:val="18"/>
                <w:lang w:val="en-GB"/>
              </w:rPr>
              <w:t>ure</w:t>
            </w:r>
          </w:p>
        </w:tc>
        <w:tc>
          <w:tcPr>
            <w:tcW w:w="918" w:type="dxa"/>
            <w:shd w:val="clear" w:color="auto" w:fill="FFFFFF"/>
          </w:tcPr>
          <w:p w14:paraId="64CBF014" w14:textId="1D1E0533" w:rsidR="00B12D33" w:rsidRDefault="00F9028F" w:rsidP="00577903">
            <w:pPr>
              <w:pStyle w:val="CETBodytext"/>
              <w:rPr>
                <w:rFonts w:cs="Arial"/>
                <w:szCs w:val="18"/>
                <w:lang w:val="en-GB"/>
              </w:rPr>
            </w:pPr>
            <w:r>
              <w:rPr>
                <w:rFonts w:cs="Arial"/>
                <w:szCs w:val="18"/>
                <w:lang w:val="en-GB"/>
              </w:rPr>
              <w:t>bar(g)</w:t>
            </w:r>
          </w:p>
        </w:tc>
        <w:tc>
          <w:tcPr>
            <w:tcW w:w="1512" w:type="dxa"/>
            <w:shd w:val="clear" w:color="auto" w:fill="FFFFFF"/>
          </w:tcPr>
          <w:p w14:paraId="7EC61DDB" w14:textId="49ABFB53" w:rsidR="00B12D33" w:rsidRDefault="00F9028F" w:rsidP="002734C8">
            <w:pPr>
              <w:pStyle w:val="CETBodytext"/>
              <w:jc w:val="center"/>
              <w:rPr>
                <w:lang w:val="en-GB"/>
              </w:rPr>
            </w:pPr>
            <w:r>
              <w:rPr>
                <w:lang w:val="en-GB"/>
              </w:rPr>
              <w:t>0.5</w:t>
            </w:r>
          </w:p>
        </w:tc>
        <w:tc>
          <w:tcPr>
            <w:tcW w:w="1350" w:type="dxa"/>
            <w:shd w:val="clear" w:color="auto" w:fill="FFFFFF"/>
          </w:tcPr>
          <w:p w14:paraId="11745EA9" w14:textId="7BEEDCCC" w:rsidR="00B12D33" w:rsidRDefault="00F9028F" w:rsidP="002734C8">
            <w:pPr>
              <w:pStyle w:val="CETBodytext"/>
              <w:ind w:right="-1"/>
              <w:jc w:val="center"/>
              <w:rPr>
                <w:rFonts w:cs="Arial"/>
                <w:szCs w:val="18"/>
                <w:lang w:val="en-GB"/>
              </w:rPr>
            </w:pPr>
            <w:r>
              <w:rPr>
                <w:rFonts w:cs="Arial"/>
                <w:szCs w:val="18"/>
                <w:lang w:val="en-GB"/>
              </w:rPr>
              <w:t>15/7</w:t>
            </w:r>
          </w:p>
        </w:tc>
      </w:tr>
      <w:tr w:rsidR="00B12D33" w:rsidRPr="00B57B36" w14:paraId="5A957EAF" w14:textId="77777777" w:rsidTr="00AC2395">
        <w:tc>
          <w:tcPr>
            <w:tcW w:w="1350" w:type="dxa"/>
            <w:shd w:val="clear" w:color="auto" w:fill="FFFFFF"/>
          </w:tcPr>
          <w:p w14:paraId="3DDAA03A" w14:textId="69D8A49B" w:rsidR="00B12D33" w:rsidRDefault="00B12D33" w:rsidP="00B12D33">
            <w:pPr>
              <w:pStyle w:val="CETBodytext"/>
              <w:rPr>
                <w:rFonts w:cs="Arial"/>
                <w:szCs w:val="18"/>
                <w:lang w:val="en-GB"/>
              </w:rPr>
            </w:pPr>
            <w:r>
              <w:rPr>
                <w:rFonts w:cs="Arial"/>
                <w:szCs w:val="18"/>
                <w:lang w:val="en-GB"/>
              </w:rPr>
              <w:t>N</w:t>
            </w:r>
            <w:r w:rsidRPr="00577903">
              <w:rPr>
                <w:rFonts w:cs="Arial"/>
                <w:szCs w:val="18"/>
                <w:vertAlign w:val="subscript"/>
                <w:lang w:val="en-GB"/>
              </w:rPr>
              <w:t>2</w:t>
            </w:r>
          </w:p>
        </w:tc>
        <w:tc>
          <w:tcPr>
            <w:tcW w:w="918" w:type="dxa"/>
            <w:shd w:val="clear" w:color="auto" w:fill="FFFFFF"/>
          </w:tcPr>
          <w:p w14:paraId="0741AC90" w14:textId="372FBF14" w:rsidR="00B12D33" w:rsidRDefault="00B12D33" w:rsidP="00B12D33">
            <w:pPr>
              <w:pStyle w:val="CETBodytext"/>
              <w:rPr>
                <w:rFonts w:cs="Arial"/>
                <w:szCs w:val="18"/>
                <w:lang w:val="en-GB"/>
              </w:rPr>
            </w:pPr>
            <w:proofErr w:type="spellStart"/>
            <w:r>
              <w:rPr>
                <w:rFonts w:cs="Arial"/>
                <w:szCs w:val="18"/>
                <w:lang w:val="en-GB"/>
              </w:rPr>
              <w:t>ppmvol</w:t>
            </w:r>
            <w:proofErr w:type="spellEnd"/>
            <w:r>
              <w:rPr>
                <w:rFonts w:cs="Arial"/>
                <w:szCs w:val="18"/>
                <w:lang w:val="en-GB"/>
              </w:rPr>
              <w:t>-dry</w:t>
            </w:r>
          </w:p>
        </w:tc>
        <w:tc>
          <w:tcPr>
            <w:tcW w:w="1512" w:type="dxa"/>
            <w:shd w:val="clear" w:color="auto" w:fill="FFFFFF"/>
          </w:tcPr>
          <w:p w14:paraId="7D85BB78" w14:textId="3DC223E7" w:rsidR="00B12D33" w:rsidRDefault="00B12D33" w:rsidP="00B12D33">
            <w:pPr>
              <w:pStyle w:val="CETBodytext"/>
              <w:jc w:val="center"/>
              <w:rPr>
                <w:lang w:val="en-GB"/>
              </w:rPr>
            </w:pPr>
            <w:r>
              <w:rPr>
                <w:lang w:val="en-GB"/>
              </w:rPr>
              <w:t>300</w:t>
            </w:r>
          </w:p>
        </w:tc>
        <w:tc>
          <w:tcPr>
            <w:tcW w:w="1350" w:type="dxa"/>
            <w:shd w:val="clear" w:color="auto" w:fill="FFFFFF"/>
          </w:tcPr>
          <w:p w14:paraId="0E75DC6A" w14:textId="5BE83340" w:rsidR="00B12D33" w:rsidRDefault="00B12D33" w:rsidP="00B12D33">
            <w:pPr>
              <w:pStyle w:val="CETBodytext"/>
              <w:ind w:right="-1"/>
              <w:jc w:val="center"/>
              <w:rPr>
                <w:rFonts w:cs="Arial"/>
                <w:szCs w:val="18"/>
                <w:lang w:val="en-GB"/>
              </w:rPr>
            </w:pPr>
            <w:r>
              <w:rPr>
                <w:rFonts w:cs="Arial"/>
                <w:szCs w:val="18"/>
                <w:lang w:val="en-GB"/>
              </w:rPr>
              <w:t>&lt;50</w:t>
            </w:r>
          </w:p>
        </w:tc>
      </w:tr>
      <w:tr w:rsidR="00B12D33" w:rsidRPr="00B57B36" w14:paraId="19C77FCE" w14:textId="77777777" w:rsidTr="00AC2395">
        <w:tc>
          <w:tcPr>
            <w:tcW w:w="1350" w:type="dxa"/>
            <w:shd w:val="clear" w:color="auto" w:fill="FFFFFF"/>
          </w:tcPr>
          <w:p w14:paraId="1E812E6C" w14:textId="6C7CD4A3" w:rsidR="00B12D33" w:rsidRDefault="00B12D33" w:rsidP="00B12D33">
            <w:pPr>
              <w:pStyle w:val="CETBodytext"/>
              <w:rPr>
                <w:lang w:val="en-GB"/>
              </w:rPr>
            </w:pPr>
            <w:r>
              <w:rPr>
                <w:rFonts w:cs="Arial"/>
                <w:szCs w:val="18"/>
                <w:lang w:val="en-GB"/>
              </w:rPr>
              <w:t>O</w:t>
            </w:r>
            <w:r w:rsidRPr="00577903">
              <w:rPr>
                <w:rFonts w:cs="Arial"/>
                <w:szCs w:val="18"/>
                <w:vertAlign w:val="subscript"/>
                <w:lang w:val="en-GB"/>
              </w:rPr>
              <w:t>2</w:t>
            </w:r>
          </w:p>
        </w:tc>
        <w:tc>
          <w:tcPr>
            <w:tcW w:w="918" w:type="dxa"/>
            <w:shd w:val="clear" w:color="auto" w:fill="FFFFFF"/>
          </w:tcPr>
          <w:p w14:paraId="5CDEB302" w14:textId="16BD09EE" w:rsidR="00B12D33" w:rsidRDefault="00B12D33" w:rsidP="00B12D33">
            <w:pPr>
              <w:pStyle w:val="CETBodytext"/>
              <w:rPr>
                <w:lang w:val="en-GB"/>
              </w:rPr>
            </w:pPr>
            <w:proofErr w:type="spellStart"/>
            <w:r>
              <w:rPr>
                <w:rFonts w:cs="Arial"/>
                <w:szCs w:val="18"/>
                <w:lang w:val="en-GB"/>
              </w:rPr>
              <w:t>ppmvol</w:t>
            </w:r>
            <w:proofErr w:type="spellEnd"/>
            <w:r>
              <w:rPr>
                <w:rFonts w:cs="Arial"/>
                <w:szCs w:val="18"/>
                <w:lang w:val="en-GB"/>
              </w:rPr>
              <w:t>-dry</w:t>
            </w:r>
          </w:p>
        </w:tc>
        <w:tc>
          <w:tcPr>
            <w:tcW w:w="1512" w:type="dxa"/>
            <w:shd w:val="clear" w:color="auto" w:fill="FFFFFF"/>
          </w:tcPr>
          <w:p w14:paraId="66864265" w14:textId="7FD7AAD1" w:rsidR="00B12D33" w:rsidRPr="00B57B36" w:rsidRDefault="00B12D33" w:rsidP="00B12D33">
            <w:pPr>
              <w:pStyle w:val="CETBodytext"/>
              <w:jc w:val="center"/>
              <w:rPr>
                <w:lang w:val="en-GB"/>
              </w:rPr>
            </w:pPr>
            <w:r>
              <w:rPr>
                <w:lang w:val="en-GB"/>
              </w:rPr>
              <w:t>50</w:t>
            </w:r>
          </w:p>
        </w:tc>
        <w:tc>
          <w:tcPr>
            <w:tcW w:w="1350" w:type="dxa"/>
            <w:shd w:val="clear" w:color="auto" w:fill="FFFFFF"/>
          </w:tcPr>
          <w:p w14:paraId="79785E53" w14:textId="5DDA4AEF" w:rsidR="00B12D33" w:rsidRPr="00B57B36" w:rsidRDefault="00B12D33" w:rsidP="00B12D33">
            <w:pPr>
              <w:pStyle w:val="CETBodytext"/>
              <w:ind w:right="-1"/>
              <w:jc w:val="center"/>
              <w:rPr>
                <w:rFonts w:cs="Arial"/>
                <w:szCs w:val="18"/>
                <w:lang w:val="en-GB"/>
              </w:rPr>
            </w:pPr>
            <w:r>
              <w:rPr>
                <w:rFonts w:cs="Arial"/>
                <w:szCs w:val="18"/>
                <w:lang w:val="en-GB"/>
              </w:rPr>
              <w:t>&lt;10</w:t>
            </w:r>
          </w:p>
        </w:tc>
      </w:tr>
      <w:tr w:rsidR="00B12D33" w:rsidRPr="00B57B36" w14:paraId="06839351" w14:textId="77777777" w:rsidTr="00AC2395">
        <w:tc>
          <w:tcPr>
            <w:tcW w:w="1350" w:type="dxa"/>
            <w:shd w:val="clear" w:color="auto" w:fill="FFFFFF"/>
          </w:tcPr>
          <w:p w14:paraId="10011935" w14:textId="3F2EFB2E" w:rsidR="00B12D33" w:rsidRPr="00B57B36" w:rsidRDefault="00B12D33" w:rsidP="00B12D33">
            <w:pPr>
              <w:pStyle w:val="CETBodytext"/>
              <w:ind w:right="-1"/>
              <w:rPr>
                <w:rFonts w:cs="Arial"/>
                <w:szCs w:val="18"/>
                <w:lang w:val="en-GB"/>
              </w:rPr>
            </w:pPr>
            <w:r>
              <w:rPr>
                <w:rFonts w:cs="Arial"/>
                <w:szCs w:val="18"/>
                <w:lang w:val="en-GB"/>
              </w:rPr>
              <w:t>H</w:t>
            </w:r>
            <w:r w:rsidRPr="00577903">
              <w:rPr>
                <w:rFonts w:cs="Arial"/>
                <w:szCs w:val="18"/>
                <w:vertAlign w:val="subscript"/>
                <w:lang w:val="en-GB"/>
              </w:rPr>
              <w:t>2</w:t>
            </w:r>
            <w:r w:rsidRPr="00577903">
              <w:rPr>
                <w:rFonts w:cs="Arial"/>
                <w:szCs w:val="18"/>
                <w:lang w:val="en-GB"/>
              </w:rPr>
              <w:t>O</w:t>
            </w:r>
          </w:p>
        </w:tc>
        <w:tc>
          <w:tcPr>
            <w:tcW w:w="918" w:type="dxa"/>
            <w:shd w:val="clear" w:color="auto" w:fill="FFFFFF"/>
          </w:tcPr>
          <w:p w14:paraId="1530C0A0" w14:textId="1B73FBD1" w:rsidR="00B12D33" w:rsidRPr="00B57B36" w:rsidRDefault="00B12D33" w:rsidP="00B12D33">
            <w:pPr>
              <w:pStyle w:val="CETBodytext"/>
              <w:ind w:right="-1"/>
              <w:rPr>
                <w:rFonts w:cs="Arial"/>
                <w:szCs w:val="18"/>
                <w:lang w:val="en-GB"/>
              </w:rPr>
            </w:pPr>
            <w:proofErr w:type="spellStart"/>
            <w:r>
              <w:rPr>
                <w:rFonts w:cs="Arial"/>
                <w:szCs w:val="18"/>
                <w:lang w:val="en-GB"/>
              </w:rPr>
              <w:t>ppmvol</w:t>
            </w:r>
            <w:proofErr w:type="spellEnd"/>
            <w:r>
              <w:rPr>
                <w:rFonts w:cs="Arial"/>
                <w:szCs w:val="18"/>
                <w:lang w:val="en-GB"/>
              </w:rPr>
              <w:t>-dry</w:t>
            </w:r>
          </w:p>
        </w:tc>
        <w:tc>
          <w:tcPr>
            <w:tcW w:w="1512" w:type="dxa"/>
            <w:shd w:val="clear" w:color="auto" w:fill="FFFFFF"/>
          </w:tcPr>
          <w:p w14:paraId="0A5A80B6" w14:textId="1478AC75" w:rsidR="00B12D33" w:rsidRPr="00B57B36" w:rsidRDefault="00B12D33" w:rsidP="00B12D33">
            <w:pPr>
              <w:pStyle w:val="CETBodytext"/>
              <w:ind w:right="-1"/>
              <w:jc w:val="center"/>
              <w:rPr>
                <w:rFonts w:cs="Arial"/>
                <w:szCs w:val="18"/>
                <w:lang w:val="en-GB"/>
              </w:rPr>
            </w:pPr>
            <w:r>
              <w:rPr>
                <w:rFonts w:cs="Arial"/>
                <w:szCs w:val="18"/>
                <w:lang w:val="en-GB"/>
              </w:rPr>
              <w:t>Sat.</w:t>
            </w:r>
          </w:p>
        </w:tc>
        <w:tc>
          <w:tcPr>
            <w:tcW w:w="1350" w:type="dxa"/>
            <w:shd w:val="clear" w:color="auto" w:fill="FFFFFF"/>
          </w:tcPr>
          <w:p w14:paraId="59C8C6E8" w14:textId="7BD67511" w:rsidR="00B12D33" w:rsidRPr="00B57B36" w:rsidRDefault="00B12D33" w:rsidP="00B12D33">
            <w:pPr>
              <w:pStyle w:val="CETBodytext"/>
              <w:ind w:right="-1"/>
              <w:jc w:val="center"/>
              <w:rPr>
                <w:rFonts w:cs="Arial"/>
                <w:szCs w:val="18"/>
                <w:lang w:val="en-GB"/>
              </w:rPr>
            </w:pPr>
            <w:r w:rsidRPr="00220B41">
              <w:rPr>
                <w:rFonts w:cs="Arial"/>
                <w:szCs w:val="18"/>
                <w:lang w:val="en-GB"/>
              </w:rPr>
              <w:t>&lt;30</w:t>
            </w:r>
          </w:p>
        </w:tc>
      </w:tr>
    </w:tbl>
    <w:p w14:paraId="6225CC34" w14:textId="3CAC6786" w:rsidR="001A40D5" w:rsidRDefault="00C240CC" w:rsidP="00C240CC">
      <w:pPr>
        <w:pStyle w:val="CETTabletitle"/>
        <w:jc w:val="both"/>
        <w:rPr>
          <w:i w:val="0"/>
          <w:lang w:val="en-US"/>
        </w:rPr>
      </w:pPr>
      <w:r w:rsidRPr="00BF787D">
        <w:rPr>
          <w:i w:val="0"/>
        </w:rPr>
        <w:t xml:space="preserve">The </w:t>
      </w:r>
      <w:r w:rsidR="002C24D5">
        <w:rPr>
          <w:i w:val="0"/>
        </w:rPr>
        <w:t xml:space="preserve">performance of the </w:t>
      </w:r>
      <w:r w:rsidRPr="00BF787D">
        <w:rPr>
          <w:i w:val="0"/>
        </w:rPr>
        <w:t>two processes w</w:t>
      </w:r>
      <w:r w:rsidR="002C24D5">
        <w:rPr>
          <w:i w:val="0"/>
        </w:rPr>
        <w:t>as</w:t>
      </w:r>
      <w:r w:rsidRPr="00BF787D">
        <w:rPr>
          <w:i w:val="0"/>
        </w:rPr>
        <w:t xml:space="preserve"> evaluated using an Aspen HYSYS V14 simulation. Table 2 presents the assumptions used in both simulations.</w:t>
      </w:r>
      <w:r>
        <w:rPr>
          <w:i w:val="0"/>
        </w:rPr>
        <w:t xml:space="preserve"> </w:t>
      </w:r>
      <w:r w:rsidR="00EC34BC" w:rsidRPr="00BF787D">
        <w:rPr>
          <w:i w:val="0"/>
        </w:rPr>
        <w:t xml:space="preserve">The comparison </w:t>
      </w:r>
      <w:r w:rsidR="00EC34BC">
        <w:rPr>
          <w:i w:val="0"/>
        </w:rPr>
        <w:t xml:space="preserve">is carried out under a </w:t>
      </w:r>
      <w:r w:rsidR="008A645F">
        <w:rPr>
          <w:i w:val="0"/>
        </w:rPr>
        <w:t>typical</w:t>
      </w:r>
      <w:r w:rsidR="00EC34BC" w:rsidRPr="00BF787D">
        <w:rPr>
          <w:i w:val="0"/>
        </w:rPr>
        <w:t xml:space="preserve"> cooling temperature of 40 °C, where the </w:t>
      </w:r>
      <w:r w:rsidR="008A645F">
        <w:rPr>
          <w:i w:val="0"/>
        </w:rPr>
        <w:t>NH</w:t>
      </w:r>
      <w:r w:rsidR="008A645F" w:rsidRPr="00BF787D">
        <w:rPr>
          <w:i w:val="0"/>
          <w:vertAlign w:val="subscript"/>
        </w:rPr>
        <w:t>3</w:t>
      </w:r>
      <w:r w:rsidR="00EC34BC" w:rsidRPr="00BF787D">
        <w:rPr>
          <w:i w:val="0"/>
        </w:rPr>
        <w:t>-based process is</w:t>
      </w:r>
      <w:r w:rsidR="005A3FBB">
        <w:rPr>
          <w:i w:val="0"/>
        </w:rPr>
        <w:t xml:space="preserve"> commonly</w:t>
      </w:r>
      <w:r w:rsidR="00EC34BC" w:rsidRPr="00BF787D">
        <w:rPr>
          <w:i w:val="0"/>
        </w:rPr>
        <w:t xml:space="preserve"> </w:t>
      </w:r>
      <w:r w:rsidR="008A645F">
        <w:rPr>
          <w:i w:val="0"/>
        </w:rPr>
        <w:t>regarded as</w:t>
      </w:r>
      <w:r w:rsidR="00EC34BC" w:rsidRPr="00BF787D">
        <w:rPr>
          <w:i w:val="0"/>
        </w:rPr>
        <w:t xml:space="preserve"> more efficient (Jackson and Brodal, 2019).</w:t>
      </w:r>
    </w:p>
    <w:p w14:paraId="5BACA62F" w14:textId="6C333D53" w:rsidR="00A72DBC" w:rsidRDefault="00A72DBC" w:rsidP="00A72DBC">
      <w:pPr>
        <w:pStyle w:val="CETTabletitle"/>
      </w:pPr>
      <w:r w:rsidRPr="00B57B36">
        <w:t xml:space="preserve">Table </w:t>
      </w:r>
      <w:r w:rsidR="001441ED">
        <w:t>2</w:t>
      </w:r>
      <w:r w:rsidRPr="00B57B36">
        <w:t xml:space="preserve">: </w:t>
      </w:r>
      <w:r w:rsidR="001441ED">
        <w:t xml:space="preserve">Input data for the </w:t>
      </w:r>
      <w:r w:rsidR="00BB5CDF">
        <w:t xml:space="preserve">Aspen HYSYS </w:t>
      </w:r>
      <w:r w:rsidR="00623EA7">
        <w:t>Simulation</w:t>
      </w:r>
    </w:p>
    <w:tbl>
      <w:tblPr>
        <w:tblW w:w="767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939"/>
        <w:gridCol w:w="1365"/>
        <w:gridCol w:w="1366"/>
      </w:tblGrid>
      <w:tr w:rsidR="00FF3F9F" w:rsidRPr="00B57B36" w14:paraId="0DD8E294" w14:textId="628B2A88" w:rsidTr="3064E2AE">
        <w:tc>
          <w:tcPr>
            <w:tcW w:w="4939" w:type="dxa"/>
            <w:tcBorders>
              <w:top w:val="single" w:sz="12" w:space="0" w:color="008000"/>
              <w:bottom w:val="single" w:sz="6" w:space="0" w:color="008000"/>
            </w:tcBorders>
            <w:shd w:val="clear" w:color="auto" w:fill="FFFFFF" w:themeFill="background1"/>
          </w:tcPr>
          <w:p w14:paraId="09704DE4" w14:textId="437C6327" w:rsidR="00FF3F9F" w:rsidRPr="00B57B36" w:rsidRDefault="0098518A" w:rsidP="00552577">
            <w:pPr>
              <w:pStyle w:val="CETBodytext"/>
              <w:rPr>
                <w:lang w:val="en-GB"/>
              </w:rPr>
            </w:pPr>
            <w:r>
              <w:rPr>
                <w:lang w:val="en-GB"/>
              </w:rPr>
              <w:t>Item</w:t>
            </w:r>
          </w:p>
        </w:tc>
        <w:tc>
          <w:tcPr>
            <w:tcW w:w="1365" w:type="dxa"/>
            <w:tcBorders>
              <w:top w:val="single" w:sz="12" w:space="0" w:color="008000"/>
              <w:bottom w:val="single" w:sz="6" w:space="0" w:color="008000"/>
            </w:tcBorders>
            <w:shd w:val="clear" w:color="auto" w:fill="FFFFFF" w:themeFill="background1"/>
          </w:tcPr>
          <w:p w14:paraId="3468DE20" w14:textId="093CAB59" w:rsidR="00FF3F9F" w:rsidRPr="00B57B36" w:rsidRDefault="00FF3F9F" w:rsidP="00FF3F9F">
            <w:pPr>
              <w:pStyle w:val="CETBodytext"/>
              <w:jc w:val="center"/>
              <w:rPr>
                <w:lang w:val="en-GB"/>
              </w:rPr>
            </w:pPr>
            <w:r>
              <w:rPr>
                <w:lang w:val="en-GB"/>
              </w:rPr>
              <w:t>Value</w:t>
            </w:r>
          </w:p>
        </w:tc>
        <w:tc>
          <w:tcPr>
            <w:tcW w:w="1366" w:type="dxa"/>
            <w:tcBorders>
              <w:top w:val="single" w:sz="12" w:space="0" w:color="008000"/>
              <w:bottom w:val="single" w:sz="6" w:space="0" w:color="008000"/>
            </w:tcBorders>
            <w:shd w:val="clear" w:color="auto" w:fill="FFFFFF" w:themeFill="background1"/>
          </w:tcPr>
          <w:p w14:paraId="361E313D" w14:textId="107FB454" w:rsidR="00FF3F9F" w:rsidRPr="00B57B36" w:rsidRDefault="00FF3F9F" w:rsidP="00552577">
            <w:pPr>
              <w:pStyle w:val="CETBodytext"/>
              <w:jc w:val="center"/>
              <w:rPr>
                <w:lang w:val="en-GB"/>
              </w:rPr>
            </w:pPr>
            <w:r>
              <w:rPr>
                <w:lang w:val="en-GB"/>
              </w:rPr>
              <w:t>Unit</w:t>
            </w:r>
          </w:p>
        </w:tc>
      </w:tr>
      <w:tr w:rsidR="00FF3F9F" w:rsidRPr="00B57B36" w14:paraId="4EC7AC15" w14:textId="41A56B9A" w:rsidTr="3064E2AE">
        <w:tc>
          <w:tcPr>
            <w:tcW w:w="4939" w:type="dxa"/>
            <w:shd w:val="clear" w:color="auto" w:fill="FFFFFF" w:themeFill="background1"/>
          </w:tcPr>
          <w:p w14:paraId="547905F5" w14:textId="1A4EFFF5" w:rsidR="00FF3F9F" w:rsidRDefault="00FF3F9F" w:rsidP="00552577">
            <w:pPr>
              <w:pStyle w:val="CETBodytext"/>
              <w:rPr>
                <w:lang w:val="en-GB"/>
              </w:rPr>
            </w:pPr>
            <w:proofErr w:type="spellStart"/>
            <w:r>
              <w:rPr>
                <w:lang w:val="en-GB"/>
              </w:rPr>
              <w:t>Isoentropic</w:t>
            </w:r>
            <w:proofErr w:type="spellEnd"/>
            <w:r>
              <w:rPr>
                <w:lang w:val="en-GB"/>
              </w:rPr>
              <w:t xml:space="preserve"> efficiency Screw Compressor</w:t>
            </w:r>
          </w:p>
        </w:tc>
        <w:tc>
          <w:tcPr>
            <w:tcW w:w="1365" w:type="dxa"/>
            <w:shd w:val="clear" w:color="auto" w:fill="FFFFFF" w:themeFill="background1"/>
          </w:tcPr>
          <w:p w14:paraId="41E658B4" w14:textId="37C0A512" w:rsidR="00FF3F9F" w:rsidRDefault="5C783361" w:rsidP="3064E2AE">
            <w:pPr>
              <w:pStyle w:val="CETBodytext"/>
              <w:jc w:val="center"/>
              <w:rPr>
                <w:highlight w:val="yellow"/>
                <w:lang w:val="en-GB"/>
              </w:rPr>
            </w:pPr>
            <w:r w:rsidRPr="00165BB5">
              <w:rPr>
                <w:rFonts w:cs="Arial"/>
                <w:lang w:val="en-GB"/>
              </w:rPr>
              <w:t>70</w:t>
            </w:r>
          </w:p>
        </w:tc>
        <w:tc>
          <w:tcPr>
            <w:tcW w:w="1366" w:type="dxa"/>
            <w:shd w:val="clear" w:color="auto" w:fill="FFFFFF" w:themeFill="background1"/>
          </w:tcPr>
          <w:p w14:paraId="3CE5BCEB" w14:textId="7571CA6B" w:rsidR="00FF3F9F" w:rsidRPr="00B57B36" w:rsidRDefault="00FF3F9F" w:rsidP="00552577">
            <w:pPr>
              <w:pStyle w:val="CETBodytext"/>
              <w:jc w:val="center"/>
              <w:rPr>
                <w:lang w:val="en-GB"/>
              </w:rPr>
            </w:pPr>
            <w:r>
              <w:rPr>
                <w:lang w:val="en-GB"/>
              </w:rPr>
              <w:t>%</w:t>
            </w:r>
          </w:p>
        </w:tc>
      </w:tr>
      <w:tr w:rsidR="00FF3F9F" w:rsidRPr="00B57B36" w14:paraId="5FC639E0" w14:textId="77777777" w:rsidTr="3064E2AE">
        <w:tc>
          <w:tcPr>
            <w:tcW w:w="4939" w:type="dxa"/>
            <w:shd w:val="clear" w:color="auto" w:fill="FFFFFF" w:themeFill="background1"/>
          </w:tcPr>
          <w:p w14:paraId="1F1CBF26" w14:textId="5C68B6DB" w:rsidR="00FF3F9F" w:rsidRDefault="00FF3F9F" w:rsidP="00552577">
            <w:pPr>
              <w:pStyle w:val="CETBodytext"/>
              <w:rPr>
                <w:rFonts w:cs="Arial"/>
                <w:szCs w:val="18"/>
                <w:lang w:val="en-GB"/>
              </w:rPr>
            </w:pPr>
            <w:proofErr w:type="spellStart"/>
            <w:r>
              <w:rPr>
                <w:lang w:val="en-GB"/>
              </w:rPr>
              <w:t>Isoentropic</w:t>
            </w:r>
            <w:proofErr w:type="spellEnd"/>
            <w:r>
              <w:rPr>
                <w:lang w:val="en-GB"/>
              </w:rPr>
              <w:t xml:space="preserve"> efficiency IG Compressor</w:t>
            </w:r>
          </w:p>
        </w:tc>
        <w:tc>
          <w:tcPr>
            <w:tcW w:w="1365" w:type="dxa"/>
            <w:shd w:val="clear" w:color="auto" w:fill="FFFFFF" w:themeFill="background1"/>
          </w:tcPr>
          <w:p w14:paraId="2CDDD911" w14:textId="6B1ECA38" w:rsidR="00FF3F9F" w:rsidRDefault="00FF3F9F" w:rsidP="00FF3F9F">
            <w:pPr>
              <w:pStyle w:val="CETBodytext"/>
              <w:jc w:val="center"/>
              <w:rPr>
                <w:rFonts w:cs="Arial"/>
                <w:szCs w:val="18"/>
                <w:lang w:val="en-GB"/>
              </w:rPr>
            </w:pPr>
            <w:r>
              <w:rPr>
                <w:rFonts w:cs="Arial"/>
                <w:szCs w:val="18"/>
                <w:lang w:val="en-GB"/>
              </w:rPr>
              <w:t>80</w:t>
            </w:r>
          </w:p>
        </w:tc>
        <w:tc>
          <w:tcPr>
            <w:tcW w:w="1366" w:type="dxa"/>
            <w:shd w:val="clear" w:color="auto" w:fill="FFFFFF" w:themeFill="background1"/>
          </w:tcPr>
          <w:p w14:paraId="55DD26DC" w14:textId="721E1D9F" w:rsidR="00FF3F9F" w:rsidRDefault="00FF3F9F" w:rsidP="00552577">
            <w:pPr>
              <w:pStyle w:val="CETBodytext"/>
              <w:jc w:val="center"/>
              <w:rPr>
                <w:lang w:val="en-GB"/>
              </w:rPr>
            </w:pPr>
            <w:r>
              <w:rPr>
                <w:lang w:val="en-GB"/>
              </w:rPr>
              <w:t>%</w:t>
            </w:r>
          </w:p>
        </w:tc>
      </w:tr>
      <w:tr w:rsidR="00FF3F9F" w:rsidRPr="00B57B36" w14:paraId="017AE9AA" w14:textId="77777777" w:rsidTr="3064E2AE">
        <w:tc>
          <w:tcPr>
            <w:tcW w:w="4939" w:type="dxa"/>
            <w:shd w:val="clear" w:color="auto" w:fill="FFFFFF" w:themeFill="background1"/>
          </w:tcPr>
          <w:p w14:paraId="727316D3" w14:textId="5BB948E6" w:rsidR="00FF3F9F" w:rsidRDefault="00FF3F9F" w:rsidP="00552577">
            <w:pPr>
              <w:pStyle w:val="CETBodytext"/>
              <w:rPr>
                <w:rFonts w:cs="Arial"/>
                <w:szCs w:val="18"/>
                <w:lang w:val="en-GB"/>
              </w:rPr>
            </w:pPr>
            <w:r>
              <w:rPr>
                <w:lang w:val="en-GB"/>
              </w:rPr>
              <w:t>Heat Exchanger Pressure Drop</w:t>
            </w:r>
          </w:p>
        </w:tc>
        <w:tc>
          <w:tcPr>
            <w:tcW w:w="1365" w:type="dxa"/>
            <w:shd w:val="clear" w:color="auto" w:fill="FFFFFF" w:themeFill="background1"/>
          </w:tcPr>
          <w:p w14:paraId="443F8D58" w14:textId="71AFDA1C" w:rsidR="00FF3F9F" w:rsidRDefault="00FF3F9F" w:rsidP="00FF3F9F">
            <w:pPr>
              <w:pStyle w:val="CETBodytext"/>
              <w:jc w:val="center"/>
              <w:rPr>
                <w:rFonts w:cs="Arial"/>
                <w:szCs w:val="18"/>
                <w:lang w:val="en-GB"/>
              </w:rPr>
            </w:pPr>
            <w:r>
              <w:rPr>
                <w:rFonts w:cs="Arial"/>
                <w:szCs w:val="18"/>
                <w:lang w:val="en-GB"/>
              </w:rPr>
              <w:t>10</w:t>
            </w:r>
          </w:p>
        </w:tc>
        <w:tc>
          <w:tcPr>
            <w:tcW w:w="1366" w:type="dxa"/>
            <w:shd w:val="clear" w:color="auto" w:fill="FFFFFF" w:themeFill="background1"/>
          </w:tcPr>
          <w:p w14:paraId="551E4A00" w14:textId="7E9CF516" w:rsidR="00FF3F9F" w:rsidRDefault="00FF3F9F" w:rsidP="00552577">
            <w:pPr>
              <w:pStyle w:val="CETBodytext"/>
              <w:jc w:val="center"/>
              <w:rPr>
                <w:lang w:val="en-GB"/>
              </w:rPr>
            </w:pPr>
            <w:r>
              <w:rPr>
                <w:lang w:val="en-GB"/>
              </w:rPr>
              <w:t>kPa</w:t>
            </w:r>
          </w:p>
        </w:tc>
      </w:tr>
      <w:tr w:rsidR="000022A9" w:rsidRPr="00B57B36" w14:paraId="03E7EE47" w14:textId="77777777" w:rsidTr="3064E2AE">
        <w:tc>
          <w:tcPr>
            <w:tcW w:w="4939" w:type="dxa"/>
            <w:shd w:val="clear" w:color="auto" w:fill="FFFFFF" w:themeFill="background1"/>
          </w:tcPr>
          <w:p w14:paraId="3B1EB216" w14:textId="091448CE" w:rsidR="000022A9" w:rsidRDefault="000022A9" w:rsidP="000022A9">
            <w:pPr>
              <w:pStyle w:val="CETBodytext"/>
              <w:rPr>
                <w:rFonts w:cs="Arial"/>
                <w:szCs w:val="18"/>
                <w:lang w:val="en-GB"/>
              </w:rPr>
            </w:pPr>
            <w:r>
              <w:rPr>
                <w:rFonts w:cs="Arial"/>
                <w:szCs w:val="18"/>
                <w:lang w:val="en-GB"/>
              </w:rPr>
              <w:t>Cooling Water Coolers Outlet Temperature</w:t>
            </w:r>
          </w:p>
        </w:tc>
        <w:tc>
          <w:tcPr>
            <w:tcW w:w="1365" w:type="dxa"/>
            <w:shd w:val="clear" w:color="auto" w:fill="FFFFFF" w:themeFill="background1"/>
          </w:tcPr>
          <w:p w14:paraId="23A2C079" w14:textId="4134FD30" w:rsidR="000022A9" w:rsidRDefault="000022A9" w:rsidP="000022A9">
            <w:pPr>
              <w:pStyle w:val="CETBodytext"/>
              <w:jc w:val="center"/>
              <w:rPr>
                <w:rFonts w:cs="Arial"/>
                <w:szCs w:val="18"/>
                <w:lang w:val="en-GB"/>
              </w:rPr>
            </w:pPr>
            <w:r>
              <w:rPr>
                <w:rFonts w:cs="Arial"/>
                <w:szCs w:val="18"/>
                <w:lang w:val="en-GB"/>
              </w:rPr>
              <w:t>40</w:t>
            </w:r>
          </w:p>
        </w:tc>
        <w:tc>
          <w:tcPr>
            <w:tcW w:w="1366" w:type="dxa"/>
            <w:shd w:val="clear" w:color="auto" w:fill="FFFFFF" w:themeFill="background1"/>
          </w:tcPr>
          <w:p w14:paraId="35BEAA90" w14:textId="7D37728D" w:rsidR="000022A9" w:rsidRDefault="000022A9" w:rsidP="000022A9">
            <w:pPr>
              <w:pStyle w:val="CETBodytext"/>
              <w:jc w:val="center"/>
              <w:rPr>
                <w:lang w:val="en-GB"/>
              </w:rPr>
            </w:pPr>
            <w:r>
              <w:rPr>
                <w:rFonts w:cs="Arial"/>
                <w:lang w:val="en-GB"/>
              </w:rPr>
              <w:t>°</w:t>
            </w:r>
            <w:r>
              <w:rPr>
                <w:lang w:val="en-GB"/>
              </w:rPr>
              <w:t>C</w:t>
            </w:r>
          </w:p>
        </w:tc>
      </w:tr>
    </w:tbl>
    <w:p w14:paraId="228DA994" w14:textId="77777777" w:rsidR="001D6DCB" w:rsidRDefault="001D6DCB" w:rsidP="00B207DA">
      <w:pPr>
        <w:pStyle w:val="CETBodytext"/>
      </w:pPr>
    </w:p>
    <w:p w14:paraId="249B4A8C" w14:textId="75A7039C" w:rsidR="004601A6" w:rsidRDefault="004601A6" w:rsidP="004601A6">
      <w:pPr>
        <w:pStyle w:val="CETheadingx"/>
      </w:pPr>
      <w:r>
        <w:lastRenderedPageBreak/>
        <w:t>Maximum Capacity</w:t>
      </w:r>
    </w:p>
    <w:p w14:paraId="5C2837A8" w14:textId="4DD1EEE0" w:rsidR="004601A6" w:rsidRDefault="005C2FC0" w:rsidP="00B207DA">
      <w:pPr>
        <w:pStyle w:val="CETBodytext"/>
      </w:pPr>
      <w:r w:rsidRPr="008F5C72">
        <w:rPr>
          <w:lang w:val="en-GB"/>
        </w:rPr>
        <w:t xml:space="preserve">The </w:t>
      </w:r>
      <w:r w:rsidR="00E43D7C">
        <w:rPr>
          <w:lang w:val="en-GB"/>
        </w:rPr>
        <w:t>m</w:t>
      </w:r>
      <w:r w:rsidRPr="008F5C72">
        <w:rPr>
          <w:lang w:val="en-GB"/>
        </w:rPr>
        <w:t xml:space="preserve">aximum </w:t>
      </w:r>
      <w:r w:rsidR="00E43D7C">
        <w:rPr>
          <w:lang w:val="en-GB"/>
        </w:rPr>
        <w:t>c</w:t>
      </w:r>
      <w:r w:rsidRPr="008F5C72">
        <w:rPr>
          <w:lang w:val="en-GB"/>
        </w:rPr>
        <w:t xml:space="preserve">apacity of the </w:t>
      </w:r>
      <w:r w:rsidR="008B5E32">
        <w:rPr>
          <w:lang w:val="en-GB"/>
        </w:rPr>
        <w:t>Ammonia</w:t>
      </w:r>
      <w:r w:rsidR="001F1EEC">
        <w:rPr>
          <w:lang w:val="en-GB"/>
        </w:rPr>
        <w:t>-Refrigerated</w:t>
      </w:r>
      <w:r>
        <w:rPr>
          <w:lang w:val="en-GB"/>
        </w:rPr>
        <w:t xml:space="preserve"> </w:t>
      </w:r>
      <w:r w:rsidR="001F1EEC">
        <w:rPr>
          <w:lang w:val="en-GB"/>
        </w:rPr>
        <w:t>Liquefaction</w:t>
      </w:r>
      <w:r w:rsidRPr="008F5C72">
        <w:rPr>
          <w:lang w:val="en-GB"/>
        </w:rPr>
        <w:t xml:space="preserve"> is constrained by the available screw compressor technology, which is limited </w:t>
      </w:r>
      <w:r w:rsidR="00F560C4">
        <w:rPr>
          <w:lang w:val="en-GB"/>
        </w:rPr>
        <w:t>to</w:t>
      </w:r>
      <w:r w:rsidRPr="008F5C72">
        <w:rPr>
          <w:lang w:val="en-GB"/>
        </w:rPr>
        <w:t xml:space="preserve"> a throughput of </w:t>
      </w:r>
      <w:r w:rsidR="00100168">
        <w:rPr>
          <w:lang w:val="en-GB"/>
        </w:rPr>
        <w:t>CO</w:t>
      </w:r>
      <w:r w:rsidR="00100168" w:rsidRPr="00100168">
        <w:rPr>
          <w:vertAlign w:val="subscript"/>
          <w:lang w:val="en-GB"/>
        </w:rPr>
        <w:t>2</w:t>
      </w:r>
      <w:r w:rsidR="00100168">
        <w:rPr>
          <w:lang w:val="en-GB"/>
        </w:rPr>
        <w:t xml:space="preserve"> of </w:t>
      </w:r>
      <w:r w:rsidR="004D5D39">
        <w:rPr>
          <w:lang w:val="en-GB"/>
        </w:rPr>
        <w:t xml:space="preserve">a </w:t>
      </w:r>
      <w:r w:rsidR="00414759">
        <w:rPr>
          <w:lang w:val="en-GB"/>
        </w:rPr>
        <w:t>maximum</w:t>
      </w:r>
      <w:r w:rsidR="004D5D39">
        <w:rPr>
          <w:lang w:val="en-GB"/>
        </w:rPr>
        <w:t xml:space="preserve"> of</w:t>
      </w:r>
      <w:r w:rsidR="00414759">
        <w:rPr>
          <w:lang w:val="en-GB"/>
        </w:rPr>
        <w:t xml:space="preserve"> </w:t>
      </w:r>
      <w:r w:rsidRPr="008F5C72">
        <w:rPr>
          <w:lang w:val="en-GB"/>
        </w:rPr>
        <w:t xml:space="preserve">15-20 t/h. </w:t>
      </w:r>
      <w:r w:rsidR="00F3349A">
        <w:t xml:space="preserve">For </w:t>
      </w:r>
      <w:r w:rsidR="002F72D7">
        <w:t xml:space="preserve">the capacity considered in this </w:t>
      </w:r>
      <w:r w:rsidR="00175131">
        <w:t>work</w:t>
      </w:r>
      <w:r w:rsidR="002F72D7">
        <w:t xml:space="preserve">, a minimum of 4 </w:t>
      </w:r>
      <w:r w:rsidR="001F1EEC">
        <w:t>Liquefaction</w:t>
      </w:r>
      <w:r w:rsidR="00C80DE2">
        <w:t xml:space="preserve"> Trains</w:t>
      </w:r>
      <w:r w:rsidR="00F57330">
        <w:t xml:space="preserve"> - </w:t>
      </w:r>
      <w:r w:rsidR="00C80DE2">
        <w:t>and therefore 8 compressors</w:t>
      </w:r>
      <w:r w:rsidR="00F57330">
        <w:t>-</w:t>
      </w:r>
      <w:r w:rsidR="00C80DE2">
        <w:t xml:space="preserve"> shall be considered to achieve the indicated capacity.</w:t>
      </w:r>
      <w:r w:rsidR="00CF6372">
        <w:t xml:space="preserve"> </w:t>
      </w:r>
      <w:r w:rsidR="00DE4C67">
        <w:rPr>
          <w:lang w:val="en-GB"/>
        </w:rPr>
        <w:t>I</w:t>
      </w:r>
      <w:r w:rsidR="00DE4C67" w:rsidRPr="008F5C72">
        <w:rPr>
          <w:lang w:val="en-GB"/>
        </w:rPr>
        <w:t>ncreasing</w:t>
      </w:r>
      <w:r w:rsidR="00C80DE2" w:rsidRPr="008F5C72">
        <w:rPr>
          <w:lang w:val="en-GB"/>
        </w:rPr>
        <w:t xml:space="preserve"> the number of rotating machines</w:t>
      </w:r>
      <w:r w:rsidR="00C80DE2" w:rsidRPr="008F5C72">
        <w:t xml:space="preserve"> impacts maintenance efforts</w:t>
      </w:r>
      <w:r w:rsidR="00AD5DEF">
        <w:t xml:space="preserve"> and</w:t>
      </w:r>
      <w:r w:rsidR="00C80DE2" w:rsidRPr="008F5C72">
        <w:t xml:space="preserve"> operational complexity</w:t>
      </w:r>
      <w:r w:rsidR="00AD5DEF">
        <w:t>, as e</w:t>
      </w:r>
      <w:r w:rsidR="00C80DE2" w:rsidRPr="008F5C72">
        <w:t>ach compressor requires lubrication</w:t>
      </w:r>
      <w:r w:rsidR="00AD5DEF">
        <w:t xml:space="preserve"> and </w:t>
      </w:r>
      <w:r w:rsidR="00C80DE2" w:rsidRPr="008F5C72">
        <w:t>monitoring</w:t>
      </w:r>
      <w:r w:rsidR="00AD5DEF">
        <w:t xml:space="preserve">. </w:t>
      </w:r>
      <w:r w:rsidR="007F0BDE">
        <w:t xml:space="preserve">Moreover, </w:t>
      </w:r>
      <w:r w:rsidR="007C7F02">
        <w:t xml:space="preserve">with </w:t>
      </w:r>
      <w:r w:rsidR="006A532F">
        <w:t>limited</w:t>
      </w:r>
      <w:r w:rsidR="007C7F02">
        <w:t xml:space="preserve"> maximum capacity, economies of scale cannot be leveraged. </w:t>
      </w:r>
      <w:r w:rsidR="00DF5D47">
        <w:t xml:space="preserve">On the other hand, </w:t>
      </w:r>
      <w:r w:rsidR="001F1EEC">
        <w:t>Self-Refrigerated</w:t>
      </w:r>
      <w:r w:rsidR="00DF5D47">
        <w:t xml:space="preserve"> CO</w:t>
      </w:r>
      <w:r w:rsidR="00DF5D47" w:rsidRPr="00DF5D47">
        <w:rPr>
          <w:vertAlign w:val="subscript"/>
        </w:rPr>
        <w:t>2</w:t>
      </w:r>
      <w:r w:rsidR="00DF5D47">
        <w:t xml:space="preserve"> </w:t>
      </w:r>
      <w:r w:rsidR="001F1EEC">
        <w:t>Liquefaction</w:t>
      </w:r>
      <w:r w:rsidR="00DF5D47" w:rsidRPr="004637BE">
        <w:t xml:space="preserve"> enables large-scale CO</w:t>
      </w:r>
      <w:r w:rsidR="00DF5D47" w:rsidRPr="004637BE">
        <w:rPr>
          <w:rFonts w:ascii="Cambria Math" w:hAnsi="Cambria Math" w:cs="Cambria Math"/>
        </w:rPr>
        <w:t>₂</w:t>
      </w:r>
      <w:r w:rsidR="00DF5D47" w:rsidRPr="004637BE">
        <w:t xml:space="preserve"> </w:t>
      </w:r>
      <w:r w:rsidR="001F1EEC">
        <w:t>Liquefaction</w:t>
      </w:r>
      <w:r w:rsidR="00C07DB1">
        <w:t xml:space="preserve"> </w:t>
      </w:r>
      <w:r w:rsidR="00DF5D47" w:rsidRPr="004637BE">
        <w:t xml:space="preserve">by utilizing </w:t>
      </w:r>
      <w:r w:rsidR="006A532F">
        <w:t>IG</w:t>
      </w:r>
      <w:r w:rsidR="00DF5D47" w:rsidRPr="004637BE">
        <w:t xml:space="preserve"> compressors. These compressors support high-capacity processing,</w:t>
      </w:r>
      <w:r w:rsidR="004D1A8E">
        <w:t xml:space="preserve"> reaching </w:t>
      </w:r>
      <w:r w:rsidR="00FC6E06">
        <w:t>suction volumetric flow rates</w:t>
      </w:r>
      <w:r w:rsidR="004D1A8E">
        <w:t xml:space="preserve"> up to</w:t>
      </w:r>
      <w:r w:rsidR="005F5A3A">
        <w:t xml:space="preserve"> </w:t>
      </w:r>
      <w:r w:rsidR="005F5A3A" w:rsidRPr="00FC6E06">
        <w:t>500000 m</w:t>
      </w:r>
      <w:r w:rsidR="005F5A3A" w:rsidRPr="00FC6E06">
        <w:rPr>
          <w:vertAlign w:val="superscript"/>
        </w:rPr>
        <w:t>3</w:t>
      </w:r>
      <w:r w:rsidR="005F5A3A" w:rsidRPr="00FC6E06">
        <w:t>/h</w:t>
      </w:r>
      <w:r w:rsidR="00125830">
        <w:t>,</w:t>
      </w:r>
      <w:r w:rsidR="00DF5D47" w:rsidRPr="004637BE">
        <w:t xml:space="preserve"> </w:t>
      </w:r>
      <w:r w:rsidR="002E5361">
        <w:t>ensuring they are not a bottleneck in the system.</w:t>
      </w:r>
    </w:p>
    <w:p w14:paraId="4A3FB52E" w14:textId="48D63E06" w:rsidR="00CF062A" w:rsidRDefault="00CF062A" w:rsidP="00CF062A">
      <w:pPr>
        <w:pStyle w:val="CETheadingx"/>
      </w:pPr>
      <w:r>
        <w:t>Operational Flexibility</w:t>
      </w:r>
    </w:p>
    <w:p w14:paraId="22C3DED6" w14:textId="23425DF3" w:rsidR="00CF062A" w:rsidRDefault="00CF062A" w:rsidP="00CF062A">
      <w:pPr>
        <w:pStyle w:val="CETBodytext"/>
      </w:pPr>
      <w:r w:rsidRPr="00CF062A">
        <w:t xml:space="preserve">A key advantage of </w:t>
      </w:r>
      <w:r w:rsidR="008B5E32">
        <w:t>Ammonia</w:t>
      </w:r>
      <w:r w:rsidR="001F1EEC">
        <w:t>-Refrigerated</w:t>
      </w:r>
      <w:r>
        <w:t xml:space="preserve"> </w:t>
      </w:r>
      <w:r w:rsidR="001F1EEC">
        <w:t>Liquefaction</w:t>
      </w:r>
      <w:r w:rsidRPr="00CF062A">
        <w:t xml:space="preserve"> is its high </w:t>
      </w:r>
      <w:r>
        <w:t xml:space="preserve">degree of </w:t>
      </w:r>
      <w:r w:rsidRPr="00CF062A">
        <w:t xml:space="preserve">operational flexibility, largely due to the use of screw compressors for </w:t>
      </w:r>
      <w:r w:rsidR="008B5E32">
        <w:t>Ammonia</w:t>
      </w:r>
      <w:r w:rsidRPr="00CF062A">
        <w:t xml:space="preserve"> and CO</w:t>
      </w:r>
      <w:r w:rsidRPr="00CF062A">
        <w:rPr>
          <w:vertAlign w:val="subscript"/>
        </w:rPr>
        <w:t>2</w:t>
      </w:r>
      <w:r w:rsidRPr="00CF062A">
        <w:t xml:space="preserve"> compression. Screw compressors are well-suited for variable load conditions, provide continuous operation, and require lower maintenance compared to other type</w:t>
      </w:r>
      <w:r w:rsidR="00414759">
        <w:t>s</w:t>
      </w:r>
      <w:r w:rsidRPr="00CF062A">
        <w:t xml:space="preserve"> of compressors. Additionally, the decoupling of the CO</w:t>
      </w:r>
      <w:r w:rsidRPr="00CF062A">
        <w:rPr>
          <w:rFonts w:ascii="Cambria Math" w:hAnsi="Cambria Math" w:cs="Cambria Math"/>
        </w:rPr>
        <w:t>₂</w:t>
      </w:r>
      <w:r w:rsidRPr="00CF062A">
        <w:t xml:space="preserve"> </w:t>
      </w:r>
      <w:r w:rsidR="008142B6">
        <w:t xml:space="preserve">liquefaction </w:t>
      </w:r>
      <w:r w:rsidRPr="00CF062A">
        <w:t xml:space="preserve">and </w:t>
      </w:r>
      <w:r w:rsidR="008B5E32">
        <w:t>Ammonia</w:t>
      </w:r>
      <w:r w:rsidRPr="00CF062A">
        <w:t xml:space="preserve"> </w:t>
      </w:r>
      <w:r w:rsidR="008142B6">
        <w:t>refrigeration</w:t>
      </w:r>
      <w:r w:rsidR="008142B6" w:rsidRPr="00CF062A">
        <w:t xml:space="preserve"> </w:t>
      </w:r>
      <w:r w:rsidRPr="00CF062A">
        <w:t>allows for independent operation, making this approach particularly robust in fluctuating process conditions</w:t>
      </w:r>
      <w:r w:rsidR="008D0EDF">
        <w:t xml:space="preserve">, </w:t>
      </w:r>
      <w:proofErr w:type="gramStart"/>
      <w:r w:rsidR="008D0EDF">
        <w:t>and,</w:t>
      </w:r>
      <w:proofErr w:type="gramEnd"/>
      <w:r w:rsidRPr="00CF062A">
        <w:t xml:space="preserve"> </w:t>
      </w:r>
      <w:r w:rsidR="008D0EDF">
        <w:t>c</w:t>
      </w:r>
      <w:r w:rsidRPr="00CF062A">
        <w:t xml:space="preserve">ompared to more integrated refrigeration cycles, an external </w:t>
      </w:r>
      <w:r w:rsidR="008B5E32">
        <w:t>Ammonia</w:t>
      </w:r>
      <w:r w:rsidRPr="00CF062A">
        <w:t xml:space="preserve"> refrigeration system offers easier start-up procedures. Since the</w:t>
      </w:r>
      <w:r w:rsidR="00D26A52">
        <w:t xml:space="preserve"> </w:t>
      </w:r>
      <w:r w:rsidR="008B5E32">
        <w:t>Ammonia</w:t>
      </w:r>
      <w:r w:rsidR="00D26A52">
        <w:t>-Refrigerated</w:t>
      </w:r>
      <w:r w:rsidRPr="00CF062A">
        <w:t xml:space="preserve"> CO</w:t>
      </w:r>
      <w:r w:rsidRPr="00CF062A">
        <w:rPr>
          <w:rFonts w:ascii="Cambria Math" w:hAnsi="Cambria Math" w:cs="Cambria Math"/>
        </w:rPr>
        <w:t>₂</w:t>
      </w:r>
      <w:r w:rsidRPr="00CF062A">
        <w:t xml:space="preserve"> </w:t>
      </w:r>
      <w:r w:rsidR="001F1EEC">
        <w:t>Liquefaction</w:t>
      </w:r>
      <w:r w:rsidRPr="00CF062A">
        <w:t xml:space="preserve"> process does not rely on complex heat integration, </w:t>
      </w:r>
      <w:r w:rsidR="00D26A52">
        <w:t xml:space="preserve">it </w:t>
      </w:r>
      <w:r w:rsidRPr="00CF062A">
        <w:t>can reach operational stability faster, reducing downtime.</w:t>
      </w:r>
      <w:r w:rsidR="00EE578C">
        <w:t xml:space="preserve"> </w:t>
      </w:r>
      <w:r w:rsidR="00D26A52">
        <w:t>Conversely, t</w:t>
      </w:r>
      <w:r w:rsidR="00EE578C">
        <w:t xml:space="preserve">he </w:t>
      </w:r>
      <w:r w:rsidR="00D26A52">
        <w:t>IG</w:t>
      </w:r>
      <w:r w:rsidR="00555C78" w:rsidRPr="00555C78">
        <w:t xml:space="preserve"> compressors </w:t>
      </w:r>
      <w:r w:rsidR="00EE578C">
        <w:t xml:space="preserve">used in the </w:t>
      </w:r>
      <w:r w:rsidR="001F1EEC">
        <w:t>Self-Refrigerated</w:t>
      </w:r>
      <w:r w:rsidR="00EE578C">
        <w:t xml:space="preserve"> </w:t>
      </w:r>
      <w:r w:rsidR="001F1EEC">
        <w:t>Liquefaction</w:t>
      </w:r>
      <w:r w:rsidR="00EE578C">
        <w:t xml:space="preserve"> </w:t>
      </w:r>
      <w:r w:rsidR="00555C78" w:rsidRPr="00555C78">
        <w:t>operate optimally within a specific load range. While they are highly efficient at full capacity, they are less flexible, which may limit adaptability when CO</w:t>
      </w:r>
      <w:r w:rsidR="00555C78" w:rsidRPr="00555C78">
        <w:rPr>
          <w:rFonts w:ascii="Cambria Math" w:hAnsi="Cambria Math" w:cs="Cambria Math"/>
        </w:rPr>
        <w:t>₂</w:t>
      </w:r>
      <w:r w:rsidR="00555C78" w:rsidRPr="00555C78">
        <w:t xml:space="preserve"> supply fluctuates</w:t>
      </w:r>
      <w:r w:rsidR="00182B07">
        <w:t>, and decrease performance efficiency</w:t>
      </w:r>
      <w:r w:rsidR="00E657FC">
        <w:t xml:space="preserve"> </w:t>
      </w:r>
      <w:r w:rsidR="00E657FC" w:rsidRPr="00555C78">
        <w:t>at lower loads</w:t>
      </w:r>
      <w:r w:rsidR="00182B07">
        <w:t>.</w:t>
      </w:r>
    </w:p>
    <w:p w14:paraId="584CD852" w14:textId="18C4FFCD" w:rsidR="00AA0131" w:rsidRDefault="00AA0131" w:rsidP="00AA0131">
      <w:pPr>
        <w:pStyle w:val="CETheadingx"/>
      </w:pPr>
      <w:r>
        <w:t>Liquid CO</w:t>
      </w:r>
      <w:r w:rsidRPr="00D52FD7">
        <w:rPr>
          <w:vertAlign w:val="subscript"/>
        </w:rPr>
        <w:t>2</w:t>
      </w:r>
      <w:r>
        <w:t xml:space="preserve"> Quality Range</w:t>
      </w:r>
    </w:p>
    <w:p w14:paraId="19366EFE" w14:textId="5896250D" w:rsidR="00AA0131" w:rsidRPr="00CF062A" w:rsidRDefault="00AA0131" w:rsidP="00CF062A">
      <w:pPr>
        <w:pStyle w:val="CETBodytext"/>
      </w:pPr>
      <w:r>
        <w:t>Delivery conditions, including pressure and temperature, determine the system’s adaptability to varying market demands and its integration with downstream transport and storage. In a</w:t>
      </w:r>
      <w:r w:rsidR="00EA3ABD">
        <w:t>n</w:t>
      </w:r>
      <w:r>
        <w:t xml:space="preserve"> emerging market like CO</w:t>
      </w:r>
      <w:r>
        <w:rPr>
          <w:rFonts w:ascii="Cambria Math" w:hAnsi="Cambria Math" w:cs="Cambria Math"/>
        </w:rPr>
        <w:t>₂</w:t>
      </w:r>
      <w:r>
        <w:t xml:space="preserve"> </w:t>
      </w:r>
      <w:r w:rsidR="001F1EEC">
        <w:t>Liquefaction</w:t>
      </w:r>
      <w:r>
        <w:t>, where</w:t>
      </w:r>
      <w:r w:rsidR="00F623A5">
        <w:t xml:space="preserve"> there is</w:t>
      </w:r>
      <w:r>
        <w:t xml:space="preserve"> </w:t>
      </w:r>
      <w:proofErr w:type="gramStart"/>
      <w:r>
        <w:t>no</w:t>
      </w:r>
      <w:proofErr w:type="gramEnd"/>
      <w:r>
        <w:t xml:space="preserve"> globally accepted standard yet </w:t>
      </w:r>
      <w:r w:rsidR="00C864C3">
        <w:t xml:space="preserve">that </w:t>
      </w:r>
      <w:r>
        <w:t>defines the precise conditions for liquid CO</w:t>
      </w:r>
      <w:r>
        <w:rPr>
          <w:rFonts w:ascii="Cambria Math" w:hAnsi="Cambria Math" w:cs="Cambria Math"/>
        </w:rPr>
        <w:t>₂</w:t>
      </w:r>
      <w:r>
        <w:t xml:space="preserve"> transport, ensuring flexibility in production is a key factor in de-risking a</w:t>
      </w:r>
      <w:r w:rsidR="00C864C3">
        <w:t>ny</w:t>
      </w:r>
      <w:r>
        <w:t xml:space="preserve"> project. Different industries and regions may adopt varying specifications based on infrastructure, regulatory requirements, or end-use applications. A </w:t>
      </w:r>
      <w:r w:rsidR="001F1EEC">
        <w:t>Liquefaction</w:t>
      </w:r>
      <w:r>
        <w:t xml:space="preserve"> unit capable of adjusting delivery conditions across a range of pressures and temperatures allows operators to respond to evolving standards and market demands without requiring costly retrofits or process modifications. For these reasons, </w:t>
      </w:r>
      <w:r w:rsidR="003616E2">
        <w:t>t</w:t>
      </w:r>
      <w:r>
        <w:t xml:space="preserve">he flexibility in the output </w:t>
      </w:r>
      <w:r w:rsidR="003616E2">
        <w:t xml:space="preserve">of </w:t>
      </w:r>
      <w:r w:rsidR="000B440D">
        <w:t>Self-Refrigerated</w:t>
      </w:r>
      <w:r w:rsidR="003616E2">
        <w:t xml:space="preserve"> </w:t>
      </w:r>
      <w:r w:rsidR="001F1EEC">
        <w:t>Liquefaction</w:t>
      </w:r>
      <w:r w:rsidR="003616E2">
        <w:t xml:space="preserve"> is a high</w:t>
      </w:r>
      <w:r w:rsidR="00FB0228">
        <w:t>-</w:t>
      </w:r>
      <w:r w:rsidR="003616E2">
        <w:t>value advantage.</w:t>
      </w:r>
      <w:r w:rsidR="00FB0228">
        <w:t xml:space="preserve"> </w:t>
      </w:r>
      <w:r w:rsidR="003616E2" w:rsidRPr="00F83678">
        <w:t>Moreo</w:t>
      </w:r>
      <w:r w:rsidR="00177CA9" w:rsidRPr="00F83678">
        <w:t xml:space="preserve">ver, </w:t>
      </w:r>
      <w:r w:rsidR="00177CA9">
        <w:t>since the pressure of the Liquid CO</w:t>
      </w:r>
      <w:r w:rsidR="00177CA9" w:rsidRPr="00E27F1E">
        <w:rPr>
          <w:vertAlign w:val="subscript"/>
        </w:rPr>
        <w:t>2</w:t>
      </w:r>
      <w:r w:rsidR="00177CA9">
        <w:t xml:space="preserve"> is decoupled by that of the stripping column, </w:t>
      </w:r>
      <w:r w:rsidR="001F1EEC">
        <w:t>Self-Refrigerated</w:t>
      </w:r>
      <w:r w:rsidR="00E27F1E">
        <w:t xml:space="preserve"> </w:t>
      </w:r>
      <w:r w:rsidR="001F1EEC">
        <w:t>Liquefaction</w:t>
      </w:r>
      <w:r w:rsidR="00E27F1E">
        <w:t xml:space="preserve"> can achieve lower temperatures </w:t>
      </w:r>
      <w:r w:rsidR="00823ED4">
        <w:t xml:space="preserve">and pressure levels than the minimum values reached for the </w:t>
      </w:r>
      <w:r w:rsidR="008B5E32">
        <w:t>Ammonia</w:t>
      </w:r>
      <w:r w:rsidR="001F1EEC">
        <w:t>-Refrigerated</w:t>
      </w:r>
      <w:r w:rsidR="00823ED4">
        <w:t xml:space="preserve"> solution</w:t>
      </w:r>
      <w:r w:rsidR="00F404D1">
        <w:t xml:space="preserve"> while</w:t>
      </w:r>
      <w:r w:rsidR="00823ED4">
        <w:t xml:space="preserve"> maintaining high efficiency</w:t>
      </w:r>
      <w:r w:rsidR="004B1F14">
        <w:t xml:space="preserve"> and CO</w:t>
      </w:r>
      <w:r w:rsidR="004B1F14" w:rsidRPr="004B1F14">
        <w:rPr>
          <w:vertAlign w:val="subscript"/>
        </w:rPr>
        <w:t>2</w:t>
      </w:r>
      <w:r w:rsidR="004B1F14">
        <w:t xml:space="preserve"> recovery</w:t>
      </w:r>
      <w:r w:rsidR="00823ED4">
        <w:t>.</w:t>
      </w:r>
    </w:p>
    <w:p w14:paraId="6A1ADF05" w14:textId="441B0ADE" w:rsidR="00C34E79" w:rsidRDefault="00C34E79" w:rsidP="00C34E79">
      <w:pPr>
        <w:pStyle w:val="CETheadingx"/>
      </w:pPr>
      <w:r>
        <w:t>Energy efficiency</w:t>
      </w:r>
    </w:p>
    <w:p w14:paraId="7D2EAC45" w14:textId="7A8DB209" w:rsidR="00B221AE" w:rsidRDefault="00E36E0B" w:rsidP="00E36E0B">
      <w:pPr>
        <w:pStyle w:val="CETBodytext"/>
        <w:rPr>
          <w:lang w:val="en-GB"/>
        </w:rPr>
      </w:pPr>
      <w:r>
        <w:t>Energy efficiency in CO</w:t>
      </w:r>
      <w:r>
        <w:rPr>
          <w:rFonts w:ascii="Cambria Math" w:hAnsi="Cambria Math" w:cs="Cambria Math"/>
        </w:rPr>
        <w:t>₂</w:t>
      </w:r>
      <w:r>
        <w:t xml:space="preserve"> liquefaction</w:t>
      </w:r>
      <w:r>
        <w:rPr>
          <w:rFonts w:cs="Arial"/>
        </w:rPr>
        <w:t>—</w:t>
      </w:r>
      <w:r>
        <w:t>typically measured in kWh per ton of CO</w:t>
      </w:r>
      <w:r>
        <w:rPr>
          <w:rFonts w:ascii="Cambria Math" w:hAnsi="Cambria Math" w:cs="Cambria Math"/>
        </w:rPr>
        <w:t>₂</w:t>
      </w:r>
      <w:r>
        <w:t xml:space="preserve"> liquefied</w:t>
      </w:r>
      <w:r>
        <w:rPr>
          <w:rFonts w:cs="Arial"/>
        </w:rPr>
        <w:t>—</w:t>
      </w:r>
      <w:r>
        <w:t xml:space="preserve">is a critical factor in operational cost optimization, especially given the fully electrified nature of the process. In the 15 bar(g) case, </w:t>
      </w:r>
      <w:r w:rsidR="00FB6E48">
        <w:t>NEXTCHEM</w:t>
      </w:r>
      <w:r>
        <w:t>’s Self-Refrigerated Liquefaction achieves an energy consumption of 111.9 kWh/</w:t>
      </w:r>
      <w:proofErr w:type="spellStart"/>
      <w:r>
        <w:t>tCO</w:t>
      </w:r>
      <w:proofErr w:type="spellEnd"/>
      <w:r>
        <w:rPr>
          <w:rFonts w:ascii="Cambria Math" w:hAnsi="Cambria Math" w:cs="Cambria Math"/>
        </w:rPr>
        <w:t>₂</w:t>
      </w:r>
      <w:r>
        <w:t>, compared to 125.9 kWh/</w:t>
      </w:r>
      <w:proofErr w:type="spellStart"/>
      <w:r>
        <w:t>tCO</w:t>
      </w:r>
      <w:proofErr w:type="spellEnd"/>
      <w:r>
        <w:rPr>
          <w:rFonts w:ascii="Cambria Math" w:hAnsi="Cambria Math" w:cs="Cambria Math"/>
        </w:rPr>
        <w:t>₂</w:t>
      </w:r>
      <w:r>
        <w:t xml:space="preserve"> for the ammonia-refrigerated alternative</w:t>
      </w:r>
      <w:r>
        <w:rPr>
          <w:rFonts w:cs="Arial"/>
        </w:rPr>
        <w:t>—</w:t>
      </w:r>
      <w:r>
        <w:t xml:space="preserve">a 12% improvement. The difference is even more pronounced at 7 </w:t>
      </w:r>
      <w:proofErr w:type="gramStart"/>
      <w:r>
        <w:t>bar</w:t>
      </w:r>
      <w:proofErr w:type="gramEnd"/>
      <w:r>
        <w:t>(g), where the Self-Refrigerated system consumes 123.5 kWh/</w:t>
      </w:r>
      <w:proofErr w:type="spellStart"/>
      <w:r>
        <w:t>tCO</w:t>
      </w:r>
      <w:proofErr w:type="spellEnd"/>
      <w:r>
        <w:rPr>
          <w:rFonts w:ascii="Cambria Math" w:hAnsi="Cambria Math" w:cs="Cambria Math"/>
        </w:rPr>
        <w:t>₂</w:t>
      </w:r>
      <w:r>
        <w:t xml:space="preserve"> versus 142.5 kWh/</w:t>
      </w:r>
      <w:proofErr w:type="spellStart"/>
      <w:r>
        <w:t>tCO</w:t>
      </w:r>
      <w:proofErr w:type="spellEnd"/>
      <w:r>
        <w:rPr>
          <w:rFonts w:ascii="Cambria Math" w:hAnsi="Cambria Math" w:cs="Cambria Math"/>
        </w:rPr>
        <w:t>₂</w:t>
      </w:r>
      <w:r>
        <w:t xml:space="preserve"> for the ammonia-based solution. </w:t>
      </w:r>
      <w:r w:rsidR="00CE0D9B" w:rsidRPr="00CE0D9B">
        <w:t xml:space="preserve">One of the key contributors to efficiency is compressor technology: Self-Refrigerated Liquefaction systems developed by </w:t>
      </w:r>
      <w:r w:rsidR="00FB6E48">
        <w:t>NEXTCHEM</w:t>
      </w:r>
      <w:r w:rsidR="00CE0D9B" w:rsidRPr="00CE0D9B">
        <w:t xml:space="preserve"> utilize integrally geared (IG) centrifugal compressors, which</w:t>
      </w:r>
      <w:r w:rsidR="00487F98">
        <w:t xml:space="preserve"> typically</w:t>
      </w:r>
      <w:r w:rsidR="00CE0D9B" w:rsidRPr="00CE0D9B">
        <w:t xml:space="preserve"> offer superior isentropic efficiency compared to the screw compressors commonly used in </w:t>
      </w:r>
      <w:r w:rsidR="00487F98">
        <w:t>A</w:t>
      </w:r>
      <w:r w:rsidR="00CE0D9B" w:rsidRPr="00CE0D9B">
        <w:t>mmonia-refrigerated systems. This mechanical advantage alone contributes to lower energy consumption, but it is further amplified by the process design itself.</w:t>
      </w:r>
      <w:r w:rsidR="00CE0D9B">
        <w:t xml:space="preserve"> </w:t>
      </w:r>
      <w:r>
        <w:t>The ammonia-refrigerated system would be penalized if it adopted IG compressors, as it would require multiple rotating machines to manage both the CO</w:t>
      </w:r>
      <w:r>
        <w:rPr>
          <w:rFonts w:ascii="Cambria Math" w:hAnsi="Cambria Math" w:cs="Cambria Math"/>
        </w:rPr>
        <w:t>₂</w:t>
      </w:r>
      <w:r>
        <w:t xml:space="preserve"> and NH</w:t>
      </w:r>
      <w:r>
        <w:rPr>
          <w:rFonts w:ascii="Cambria Math" w:hAnsi="Cambria Math" w:cs="Cambria Math"/>
        </w:rPr>
        <w:t>₃</w:t>
      </w:r>
      <w:r>
        <w:t xml:space="preserve"> cycles, increasing capital costs, operational complexity, and maintenance demands.</w:t>
      </w:r>
      <w:r w:rsidR="00487F98">
        <w:t xml:space="preserve"> </w:t>
      </w:r>
      <w:r>
        <w:t>Moreover, the ammonia-based process operates as a separate external refrigeration unit, limiting opportunities for heat integration and resulting in lower overall thermodynamic efficiency. In contrast, the Self-Refrigerated Liquefaction system integrates refrigeration and liquefaction into a single train, enabling advanced heat recovery and internal energy reuse. This design not only reduces the number of rotating machines but also enhances process efficiency beyond what is achievable with conventional multi-stage CO</w:t>
      </w:r>
      <w:r>
        <w:rPr>
          <w:rFonts w:ascii="Cambria Math" w:hAnsi="Cambria Math" w:cs="Cambria Math"/>
        </w:rPr>
        <w:t>₂</w:t>
      </w:r>
      <w:r>
        <w:t xml:space="preserve"> depressurization schemes. Indeed, as shown in the study by Jackson </w:t>
      </w:r>
      <w:r w:rsidR="00365587">
        <w:t xml:space="preserve">et al. (Jackson and Brodal, 2019), </w:t>
      </w:r>
      <w:r>
        <w:t>even optimized multi-stage CO</w:t>
      </w:r>
      <w:r>
        <w:rPr>
          <w:rFonts w:ascii="Cambria Math" w:hAnsi="Cambria Math" w:cs="Cambria Math"/>
        </w:rPr>
        <w:t>₂</w:t>
      </w:r>
      <w:r>
        <w:t xml:space="preserve"> cycles only manage to match the performance of ammonia-based systems under </w:t>
      </w:r>
      <w:r w:rsidR="00DA39B5">
        <w:t xml:space="preserve">a cooling temperature of </w:t>
      </w:r>
      <w:r w:rsidR="00D94A73" w:rsidRPr="00BD6286">
        <w:t>40 °C</w:t>
      </w:r>
      <w:r w:rsidR="00DA39B5">
        <w:t xml:space="preserve"> </w:t>
      </w:r>
      <w:r>
        <w:t xml:space="preserve">—whereas NextChem Tech’s </w:t>
      </w:r>
      <w:r w:rsidR="0071361B">
        <w:t>configuration</w:t>
      </w:r>
      <w:r>
        <w:t xml:space="preserve"> consistently exceeds it.</w:t>
      </w:r>
    </w:p>
    <w:p w14:paraId="215EE333" w14:textId="41284312" w:rsidR="00F53990" w:rsidRDefault="0014404A" w:rsidP="00BF787D">
      <w:pPr>
        <w:pStyle w:val="CETCaption"/>
      </w:pPr>
      <w:r>
        <w:rPr>
          <w:noProof/>
        </w:rPr>
        <w:lastRenderedPageBreak/>
        <mc:AlternateContent>
          <mc:Choice Requires="wps">
            <w:drawing>
              <wp:anchor distT="45720" distB="45720" distL="114300" distR="114300" simplePos="0" relativeHeight="251665408" behindDoc="0" locked="0" layoutInCell="1" allowOverlap="1" wp14:anchorId="31E2D36C" wp14:editId="0A3DEC57">
                <wp:simplePos x="0" y="0"/>
                <wp:positionH relativeFrom="margin">
                  <wp:align>center</wp:align>
                </wp:positionH>
                <wp:positionV relativeFrom="paragraph">
                  <wp:posOffset>348338</wp:posOffset>
                </wp:positionV>
                <wp:extent cx="392687" cy="1404620"/>
                <wp:effectExtent l="0" t="0" r="0" b="2540"/>
                <wp:wrapNone/>
                <wp:docPr id="11298268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687" cy="1404620"/>
                        </a:xfrm>
                        <a:prstGeom prst="rect">
                          <a:avLst/>
                        </a:prstGeom>
                        <a:noFill/>
                        <a:ln w="9525">
                          <a:noFill/>
                          <a:miter lim="800000"/>
                          <a:headEnd/>
                          <a:tailEnd/>
                        </a:ln>
                      </wps:spPr>
                      <wps:txbx>
                        <w:txbxContent>
                          <w:p w14:paraId="7195FC09" w14:textId="35A41215" w:rsidR="00AA7BE0" w:rsidRDefault="00AA7BE0" w:rsidP="00AA7BE0">
                            <w: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E2D36C" id="_x0000_s1028" type="#_x0000_t202" style="position:absolute;left:0;text-align:left;margin-left:0;margin-top:27.45pt;width:30.9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" filled="f" stroked="f">
                <v:textbox style="mso-fit-shape-to-text:t">
                  <w:txbxContent>
                    <w:p w14:paraId="7195FC09" w14:textId="35A41215" w:rsidR="00AA7BE0" w:rsidRDefault="00AA7BE0" w:rsidP="00AA7BE0">
                      <w:r>
                        <w:t>(b)</w:t>
                      </w:r>
                    </w:p>
                  </w:txbxContent>
                </v:textbox>
                <w10:wrap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24AAFF6E" wp14:editId="2264C2E3">
                <wp:simplePos x="0" y="0"/>
                <wp:positionH relativeFrom="margin">
                  <wp:posOffset>-112197</wp:posOffset>
                </wp:positionH>
                <wp:positionV relativeFrom="paragraph">
                  <wp:posOffset>338560</wp:posOffset>
                </wp:positionV>
                <wp:extent cx="353418" cy="1404620"/>
                <wp:effectExtent l="0" t="0" r="0" b="2540"/>
                <wp:wrapNone/>
                <wp:docPr id="1147761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418" cy="1404620"/>
                        </a:xfrm>
                        <a:prstGeom prst="rect">
                          <a:avLst/>
                        </a:prstGeom>
                        <a:noFill/>
                        <a:ln w="9525">
                          <a:noFill/>
                          <a:miter lim="800000"/>
                          <a:headEnd/>
                          <a:tailEnd/>
                        </a:ln>
                      </wps:spPr>
                      <wps:txbx>
                        <w:txbxContent>
                          <w:p w14:paraId="7AE3BDB9" w14:textId="77777777" w:rsidR="00AA7BE0" w:rsidRDefault="00AA7BE0" w:rsidP="00BF787D">
                            <w:pPr>
                              <w:jc w:val="left"/>
                            </w:pPr>
                            <w: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AAFF6E" id="_x0000_s1029" type="#_x0000_t202" style="position:absolute;left:0;text-align:left;margin-left:-8.85pt;margin-top:26.65pt;width:27.8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" filled="f" stroked="f">
                <v:textbox style="mso-fit-shape-to-text:t">
                  <w:txbxContent>
                    <w:p w14:paraId="7AE3BDB9" w14:textId="77777777" w:rsidR="00AA7BE0" w:rsidRDefault="00AA7BE0" w:rsidP="00BF787D">
                      <w:pPr>
                        <w:jc w:val="left"/>
                      </w:pPr>
                      <w:r>
                        <w:t>(a)</w:t>
                      </w:r>
                    </w:p>
                  </w:txbxContent>
                </v:textbox>
                <w10:wrap anchorx="margin"/>
              </v:shape>
            </w:pict>
          </mc:Fallback>
        </mc:AlternateContent>
      </w:r>
      <w:r w:rsidR="00E94079" w:rsidRPr="00E94079">
        <w:rPr>
          <w:i w:val="0"/>
          <w:noProof/>
        </w:rPr>
        <w:drawing>
          <wp:inline distT="0" distB="0" distL="0" distR="0" wp14:anchorId="2C8374B3" wp14:editId="73E4ED1E">
            <wp:extent cx="5579745" cy="1321844"/>
            <wp:effectExtent l="0" t="0" r="1905" b="0"/>
            <wp:docPr id="1284927648" name="Picture 1" descr="A comparison of a rectangular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927648" name="Picture 1" descr="A comparison of a rectangular object&#10;&#10;AI-generated content may be incorrect."/>
                    <pic:cNvPicPr/>
                  </pic:nvPicPr>
                  <pic:blipFill rotWithShape="1">
                    <a:blip r:embed="rId15"/>
                    <a:srcRect t="8539"/>
                    <a:stretch>
                      <a:fillRect/>
                    </a:stretch>
                  </pic:blipFill>
                  <pic:spPr bwMode="auto">
                    <a:xfrm>
                      <a:off x="0" y="0"/>
                      <a:ext cx="5579745" cy="1321844"/>
                    </a:xfrm>
                    <a:prstGeom prst="rect">
                      <a:avLst/>
                    </a:prstGeom>
                    <a:ln>
                      <a:noFill/>
                    </a:ln>
                    <a:extLst>
                      <a:ext uri="{53640926-AAD7-44D8-BBD7-CCE9431645EC}">
                        <a14:shadowObscured xmlns:a14="http://schemas.microsoft.com/office/drawing/2010/main"/>
                      </a:ext>
                    </a:extLst>
                  </pic:spPr>
                </pic:pic>
              </a:graphicData>
            </a:graphic>
          </wp:inline>
        </w:drawing>
      </w:r>
      <w:r w:rsidR="00B551EF" w:rsidRPr="00B551EF">
        <w:t xml:space="preserve"> </w:t>
      </w:r>
      <w:r w:rsidR="00B551EF">
        <w:t xml:space="preserve">Figure </w:t>
      </w:r>
      <w:r w:rsidR="005A593B">
        <w:t>2</w:t>
      </w:r>
      <w:r w:rsidR="00B551EF">
        <w:rPr>
          <w:noProof/>
        </w:rPr>
        <w:t xml:space="preserve"> – Comparison </w:t>
      </w:r>
      <w:r w:rsidR="00B14B84">
        <w:rPr>
          <w:noProof/>
        </w:rPr>
        <w:t>for Energy Efficiency (a) and CO</w:t>
      </w:r>
      <w:r w:rsidR="00B14B84" w:rsidRPr="00BF787D">
        <w:rPr>
          <w:noProof/>
          <w:vertAlign w:val="subscript"/>
        </w:rPr>
        <w:t>2</w:t>
      </w:r>
      <w:r w:rsidR="00B14B84">
        <w:rPr>
          <w:noProof/>
        </w:rPr>
        <w:t xml:space="preserve"> Recovery (b) </w:t>
      </w:r>
      <w:r w:rsidR="00460124">
        <w:rPr>
          <w:noProof/>
        </w:rPr>
        <w:t>between Ammonia-Refrigerated and Self-Refrigerated Technology</w:t>
      </w:r>
    </w:p>
    <w:p w14:paraId="2EA0A983" w14:textId="06F22E2F" w:rsidR="00A27E4D" w:rsidRDefault="00A27E4D" w:rsidP="00A27E4D">
      <w:pPr>
        <w:pStyle w:val="CETheadingx"/>
      </w:pPr>
      <w:r>
        <w:t>CO</w:t>
      </w:r>
      <w:r w:rsidRPr="00D52FD7">
        <w:rPr>
          <w:vertAlign w:val="subscript"/>
        </w:rPr>
        <w:t>2</w:t>
      </w:r>
      <w:r>
        <w:t xml:space="preserve"> </w:t>
      </w:r>
      <w:r w:rsidR="00E413B2">
        <w:t>R</w:t>
      </w:r>
      <w:r>
        <w:t>ecover</w:t>
      </w:r>
      <w:r w:rsidR="00236905">
        <w:t>y</w:t>
      </w:r>
    </w:p>
    <w:p w14:paraId="6CC2E983" w14:textId="42C32CE5" w:rsidR="00992246" w:rsidRDefault="00423684" w:rsidP="00992246">
      <w:pPr>
        <w:pStyle w:val="CETBodytext"/>
      </w:pPr>
      <w:r>
        <w:t xml:space="preserve">The </w:t>
      </w:r>
      <w:r w:rsidR="00463C7C">
        <w:t>CO</w:t>
      </w:r>
      <w:r w:rsidR="00463C7C" w:rsidRPr="005C172A">
        <w:rPr>
          <w:vertAlign w:val="subscript"/>
        </w:rPr>
        <w:t>2</w:t>
      </w:r>
      <w:r>
        <w:t xml:space="preserve"> recovery rate, or the proportion of captured </w:t>
      </w:r>
      <w:r w:rsidR="00463C7C">
        <w:t>CO</w:t>
      </w:r>
      <w:r w:rsidR="00463C7C" w:rsidRPr="005C172A">
        <w:rPr>
          <w:vertAlign w:val="subscript"/>
        </w:rPr>
        <w:t>2</w:t>
      </w:r>
      <w:r>
        <w:t xml:space="preserve"> successfully liquefied, is a key factor in determining the system</w:t>
      </w:r>
      <w:r>
        <w:rPr>
          <w:rFonts w:cs="Arial"/>
        </w:rPr>
        <w:t>’</w:t>
      </w:r>
      <w:r>
        <w:t xml:space="preserve">s </w:t>
      </w:r>
      <w:r w:rsidR="005340F6">
        <w:t>efficiency</w:t>
      </w:r>
      <w:r>
        <w:t xml:space="preserve">. Any </w:t>
      </w:r>
      <w:r w:rsidR="00463C7C">
        <w:t>CO</w:t>
      </w:r>
      <w:r w:rsidR="00463C7C" w:rsidRPr="005C172A">
        <w:rPr>
          <w:vertAlign w:val="subscript"/>
        </w:rPr>
        <w:t>2</w:t>
      </w:r>
      <w:r w:rsidR="00463C7C">
        <w:rPr>
          <w:vertAlign w:val="subscript"/>
        </w:rPr>
        <w:t xml:space="preserve"> </w:t>
      </w:r>
      <w:r>
        <w:t xml:space="preserve">lost at the top of the </w:t>
      </w:r>
      <w:proofErr w:type="gramStart"/>
      <w:r>
        <w:t>stripping</w:t>
      </w:r>
      <w:proofErr w:type="gramEnd"/>
      <w:r>
        <w:t xml:space="preserve"> column </w:t>
      </w:r>
      <w:r w:rsidR="008D4B54">
        <w:t xml:space="preserve">may be </w:t>
      </w:r>
      <w:r>
        <w:t xml:space="preserve">recycled back to the upstream </w:t>
      </w:r>
      <w:r w:rsidR="00F96500">
        <w:t>CO</w:t>
      </w:r>
      <w:r w:rsidR="00F96500" w:rsidRPr="005C172A">
        <w:rPr>
          <w:vertAlign w:val="subscript"/>
        </w:rPr>
        <w:t>2</w:t>
      </w:r>
      <w:r w:rsidR="007A4BCC">
        <w:t xml:space="preserve"> Capture</w:t>
      </w:r>
      <w:r>
        <w:t xml:space="preserve"> unit for recovery, but this incurs a significant energy penalty</w:t>
      </w:r>
      <w:r w:rsidR="008D4B54">
        <w:t xml:space="preserve">, as </w:t>
      </w:r>
      <w:r w:rsidR="00EF6E6D">
        <w:t>CO</w:t>
      </w:r>
      <w:r w:rsidR="00EF6E6D" w:rsidRPr="005C172A">
        <w:rPr>
          <w:vertAlign w:val="subscript"/>
        </w:rPr>
        <w:t>2</w:t>
      </w:r>
      <w:r w:rsidR="008D4B54">
        <w:t xml:space="preserve"> Capture is </w:t>
      </w:r>
      <w:r w:rsidR="00A21700">
        <w:t>highly energy intensive</w:t>
      </w:r>
      <w:r>
        <w:t xml:space="preserve">. Therefore, maximizing recovery is crucial for </w:t>
      </w:r>
      <w:r w:rsidR="00F13F15">
        <w:t xml:space="preserve">the </w:t>
      </w:r>
      <w:r>
        <w:t>overall efficiency of the CCS project.</w:t>
      </w:r>
      <w:r w:rsidR="00EF6E6D">
        <w:t xml:space="preserve"> </w:t>
      </w:r>
      <w:r>
        <w:t xml:space="preserve">Both </w:t>
      </w:r>
      <w:r w:rsidR="001F1EEC">
        <w:t>Self-</w:t>
      </w:r>
      <w:r>
        <w:t xml:space="preserve"> and </w:t>
      </w:r>
      <w:r w:rsidR="00FB2925">
        <w:t>NH</w:t>
      </w:r>
      <w:r w:rsidR="00FB2925" w:rsidRPr="00BD6286">
        <w:rPr>
          <w:vertAlign w:val="subscript"/>
        </w:rPr>
        <w:t>3</w:t>
      </w:r>
      <w:r>
        <w:t>-</w:t>
      </w:r>
      <w:r w:rsidR="005C172A">
        <w:t>refrigerated</w:t>
      </w:r>
      <w:r>
        <w:t xml:space="preserve"> </w:t>
      </w:r>
      <w:r w:rsidR="001F1EEC">
        <w:t>Liquefaction</w:t>
      </w:r>
      <w:r>
        <w:t xml:space="preserve"> can achieve high </w:t>
      </w:r>
      <w:r w:rsidR="005C172A">
        <w:t>CO</w:t>
      </w:r>
      <w:r w:rsidR="005C172A" w:rsidRPr="005C172A">
        <w:rPr>
          <w:vertAlign w:val="subscript"/>
        </w:rPr>
        <w:t>2</w:t>
      </w:r>
      <w:r w:rsidR="005C172A">
        <w:t xml:space="preserve"> </w:t>
      </w:r>
      <w:r>
        <w:t>recovery</w:t>
      </w:r>
      <w:r w:rsidR="00A21700">
        <w:t xml:space="preserve"> values</w:t>
      </w:r>
      <w:r>
        <w:t xml:space="preserve">; however, their performance is influenced by temperature constraints. </w:t>
      </w:r>
      <w:r w:rsidR="00D91A9B">
        <w:t>NH</w:t>
      </w:r>
      <w:r w:rsidR="00D91A9B" w:rsidRPr="00BF787D">
        <w:rPr>
          <w:vertAlign w:val="subscript"/>
        </w:rPr>
        <w:t>3</w:t>
      </w:r>
      <w:r w:rsidR="001F1EEC">
        <w:t>-</w:t>
      </w:r>
      <w:r w:rsidR="00DE25D4">
        <w:t xml:space="preserve">based </w:t>
      </w:r>
      <w:r>
        <w:t xml:space="preserve">systems are limited by the </w:t>
      </w:r>
      <w:r w:rsidR="00DE25D4">
        <w:t xml:space="preserve">evaporation </w:t>
      </w:r>
      <w:r>
        <w:t xml:space="preserve">temperature </w:t>
      </w:r>
      <w:r w:rsidR="00DE25D4">
        <w:t>of</w:t>
      </w:r>
      <w:r w:rsidR="00881EC9">
        <w:t xml:space="preserve"> </w:t>
      </w:r>
      <w:r w:rsidR="00FB2925">
        <w:t>NH</w:t>
      </w:r>
      <w:r w:rsidR="00FB2925" w:rsidRPr="00BD6286">
        <w:rPr>
          <w:vertAlign w:val="subscript"/>
        </w:rPr>
        <w:t>3</w:t>
      </w:r>
      <w:r>
        <w:t xml:space="preserve"> at atmospheric pressure (-33°C). This </w:t>
      </w:r>
      <w:r w:rsidR="003F0E80">
        <w:t>limitatio</w:t>
      </w:r>
      <w:r>
        <w:t xml:space="preserve">n prevents the system from reaching </w:t>
      </w:r>
      <w:r w:rsidR="001B5FB0">
        <w:t xml:space="preserve">the </w:t>
      </w:r>
      <w:r>
        <w:t xml:space="preserve">lower temperatures necessary for full </w:t>
      </w:r>
      <w:r w:rsidR="00463C7C">
        <w:t>CO</w:t>
      </w:r>
      <w:r w:rsidR="00463C7C" w:rsidRPr="005C172A">
        <w:rPr>
          <w:vertAlign w:val="subscript"/>
        </w:rPr>
        <w:t>2</w:t>
      </w:r>
      <w:r>
        <w:t xml:space="preserve"> condensation, leading to higher CO</w:t>
      </w:r>
      <w:r>
        <w:rPr>
          <w:rFonts w:ascii="Cambria Math" w:hAnsi="Cambria Math" w:cs="Cambria Math"/>
        </w:rPr>
        <w:t>₂</w:t>
      </w:r>
      <w:r>
        <w:t xml:space="preserve"> losses at the top of the stripping column.</w:t>
      </w:r>
      <w:r w:rsidR="00992246" w:rsidRPr="00992246">
        <w:t xml:space="preserve"> </w:t>
      </w:r>
      <w:r w:rsidR="00992246">
        <w:t>The difference becomes especially pronounced at lower pressure targets</w:t>
      </w:r>
      <w:r w:rsidR="005378A3">
        <w:t xml:space="preserve"> of the CO</w:t>
      </w:r>
      <w:r w:rsidR="005378A3" w:rsidRPr="005378A3">
        <w:rPr>
          <w:vertAlign w:val="subscript"/>
        </w:rPr>
        <w:t>2</w:t>
      </w:r>
      <w:r w:rsidR="005378A3">
        <w:t xml:space="preserve"> product.</w:t>
      </w:r>
      <w:r w:rsidR="00992246">
        <w:t xml:space="preserve"> </w:t>
      </w:r>
      <w:r w:rsidR="00203F14">
        <w:t>I</w:t>
      </w:r>
      <w:r w:rsidR="00992246">
        <w:t xml:space="preserve">n the 7 bar(g) case, the </w:t>
      </w:r>
      <w:r w:rsidR="00203F14">
        <w:t>CO</w:t>
      </w:r>
      <w:r w:rsidR="00203F14" w:rsidRPr="005C172A">
        <w:rPr>
          <w:vertAlign w:val="subscript"/>
        </w:rPr>
        <w:t>2</w:t>
      </w:r>
      <w:r w:rsidR="00992246">
        <w:t xml:space="preserve"> recovery rate of the </w:t>
      </w:r>
      <w:r w:rsidR="00FB2925">
        <w:t>NH</w:t>
      </w:r>
      <w:r w:rsidR="00FB2925" w:rsidRPr="00BD6286">
        <w:rPr>
          <w:vertAlign w:val="subscript"/>
        </w:rPr>
        <w:t>3</w:t>
      </w:r>
      <w:r w:rsidR="001F1EEC">
        <w:t>-Refrigerated</w:t>
      </w:r>
      <w:r w:rsidR="00992246">
        <w:t xml:space="preserve"> system drops to </w:t>
      </w:r>
      <w:r w:rsidR="003F0E80">
        <w:t>87.43</w:t>
      </w:r>
      <w:r w:rsidR="00992246">
        <w:t xml:space="preserve">%, whereas the </w:t>
      </w:r>
      <w:r w:rsidR="001F1EEC">
        <w:t>Self-Refrigerated</w:t>
      </w:r>
      <w:r w:rsidR="00992246">
        <w:t xml:space="preserve"> solution maintains its performance</w:t>
      </w:r>
      <w:r w:rsidR="00487304">
        <w:t>, since</w:t>
      </w:r>
      <w:r w:rsidR="005378A3">
        <w:t xml:space="preserve"> u</w:t>
      </w:r>
      <w:r>
        <w:t>sing CO</w:t>
      </w:r>
      <w:r>
        <w:rPr>
          <w:rFonts w:ascii="Cambria Math" w:hAnsi="Cambria Math" w:cs="Cambria Math"/>
        </w:rPr>
        <w:t>₂</w:t>
      </w:r>
      <w:r>
        <w:t xml:space="preserve"> as a refrigerant allows for lower </w:t>
      </w:r>
      <w:r w:rsidR="00487304">
        <w:t xml:space="preserve">condensation </w:t>
      </w:r>
      <w:r>
        <w:t>temperatures.</w:t>
      </w:r>
    </w:p>
    <w:p w14:paraId="76284958" w14:textId="70FB1E36" w:rsidR="002168E7" w:rsidRDefault="00BD0224" w:rsidP="00992246">
      <w:pPr>
        <w:pStyle w:val="CETheadingx"/>
      </w:pPr>
      <w:r>
        <w:t>Refrigerant Characteristics and Safety</w:t>
      </w:r>
    </w:p>
    <w:p w14:paraId="4B01BF12" w14:textId="6891BF05" w:rsidR="00E258D2" w:rsidRDefault="00AD4F71" w:rsidP="00BD0224">
      <w:pPr>
        <w:pStyle w:val="CETBodytext"/>
      </w:pPr>
      <w:r>
        <w:t>NH</w:t>
      </w:r>
      <w:r w:rsidRPr="00BD6286">
        <w:rPr>
          <w:vertAlign w:val="subscript"/>
        </w:rPr>
        <w:t>3</w:t>
      </w:r>
      <w:r w:rsidR="00180354" w:rsidRPr="00180354">
        <w:t xml:space="preserve"> is</w:t>
      </w:r>
      <w:r w:rsidR="00DF72C6">
        <w:t xml:space="preserve"> toxic and</w:t>
      </w:r>
      <w:r w:rsidR="00180354" w:rsidRPr="00180354">
        <w:t xml:space="preserve"> flammable, posing both safety and regulatory challenges. Depending on site-specific regulations, </w:t>
      </w:r>
      <w:r>
        <w:t>NH</w:t>
      </w:r>
      <w:r w:rsidRPr="00BD6286">
        <w:rPr>
          <w:vertAlign w:val="subscript"/>
        </w:rPr>
        <w:t>3</w:t>
      </w:r>
      <w:r w:rsidR="00180354" w:rsidRPr="00180354">
        <w:t xml:space="preserve"> refrigeration systems may require area classification, enhanced ventilation, </w:t>
      </w:r>
      <w:r w:rsidR="00B2461A">
        <w:t xml:space="preserve">and </w:t>
      </w:r>
      <w:r w:rsidR="00180354" w:rsidRPr="00180354">
        <w:t>leak detection. In contrast, CO</w:t>
      </w:r>
      <w:r w:rsidR="00180354" w:rsidRPr="00180354">
        <w:rPr>
          <w:rFonts w:ascii="Cambria Math" w:hAnsi="Cambria Math" w:cs="Cambria Math"/>
        </w:rPr>
        <w:t>₂</w:t>
      </w:r>
      <w:r w:rsidR="00180354" w:rsidRPr="00180354">
        <w:t xml:space="preserve"> is inherently safe </w:t>
      </w:r>
      <w:r w:rsidR="007D7B0F">
        <w:t xml:space="preserve">and </w:t>
      </w:r>
      <w:r w:rsidR="00180354" w:rsidRPr="00180354">
        <w:t>inert</w:t>
      </w:r>
      <w:r w:rsidR="00B2461A">
        <w:t>.</w:t>
      </w:r>
      <w:r w:rsidR="00180354" w:rsidRPr="00180354">
        <w:t xml:space="preserve"> </w:t>
      </w:r>
      <w:r w:rsidR="00B2461A">
        <w:t>It</w:t>
      </w:r>
      <w:r w:rsidR="00180354" w:rsidRPr="00180354">
        <w:t xml:space="preserve"> does not require area classification, which simplifies plant design and safety measures. </w:t>
      </w:r>
      <w:r w:rsidR="00B2461A">
        <w:t>CO</w:t>
      </w:r>
      <w:r w:rsidR="00B2461A" w:rsidRPr="00B2461A">
        <w:rPr>
          <w:vertAlign w:val="subscript"/>
        </w:rPr>
        <w:t>2</w:t>
      </w:r>
      <w:r w:rsidR="00180354" w:rsidRPr="00180354">
        <w:t xml:space="preserve"> is non-flammable, non-toxic </w:t>
      </w:r>
      <w:r w:rsidR="002C1C92">
        <w:t>and</w:t>
      </w:r>
      <w:r w:rsidR="00180354" w:rsidRPr="00180354">
        <w:t xml:space="preserve"> eliminates refrigerant costs, as it is already </w:t>
      </w:r>
      <w:r w:rsidR="0032644A">
        <w:t>present in</w:t>
      </w:r>
      <w:r w:rsidR="00180354" w:rsidRPr="00180354">
        <w:t xml:space="preserve"> the </w:t>
      </w:r>
      <w:r w:rsidR="00B576F0">
        <w:t>system</w:t>
      </w:r>
      <w:r w:rsidR="00180354" w:rsidRPr="00180354">
        <w:t xml:space="preserve">. In </w:t>
      </w:r>
      <w:r w:rsidR="00FB6E48">
        <w:t>NEXTCHEM</w:t>
      </w:r>
      <w:r w:rsidR="00B576F0">
        <w:t>’s</w:t>
      </w:r>
      <w:r w:rsidR="00180354" w:rsidRPr="00180354">
        <w:t xml:space="preserve"> </w:t>
      </w:r>
      <w:r w:rsidR="001F1EEC">
        <w:t>Liquefaction</w:t>
      </w:r>
      <w:r w:rsidR="00180354" w:rsidRPr="00180354">
        <w:t>, CO</w:t>
      </w:r>
      <w:r w:rsidR="00180354" w:rsidRPr="00180354">
        <w:rPr>
          <w:rFonts w:ascii="Cambria Math" w:hAnsi="Cambria Math" w:cs="Cambria Math"/>
        </w:rPr>
        <w:t>₂</w:t>
      </w:r>
      <w:r w:rsidR="00180354" w:rsidRPr="00180354">
        <w:t xml:space="preserve"> is used as a refrigerant before being purified in the stripping stage, meaning it must maintain a relatively high level of purity. </w:t>
      </w:r>
      <w:r w:rsidR="001431BB">
        <w:t>Downstream</w:t>
      </w:r>
      <w:r w:rsidR="00180354" w:rsidRPr="00180354">
        <w:t xml:space="preserve"> </w:t>
      </w:r>
      <w:r w:rsidR="001431BB">
        <w:t>P</w:t>
      </w:r>
      <w:r w:rsidR="00180354" w:rsidRPr="00180354">
        <w:t>ost-</w:t>
      </w:r>
      <w:r w:rsidR="001431BB">
        <w:t>C</w:t>
      </w:r>
      <w:r w:rsidR="00180354" w:rsidRPr="00180354">
        <w:t xml:space="preserve">ombustion </w:t>
      </w:r>
      <w:r w:rsidR="007A4BCC">
        <w:t>Carbon Capture</w:t>
      </w:r>
      <w:r w:rsidR="00180354" w:rsidRPr="00180354">
        <w:t>, this is generally not a concern, as contaminants such as N</w:t>
      </w:r>
      <w:r w:rsidR="00180354" w:rsidRPr="00180354">
        <w:rPr>
          <w:rFonts w:ascii="Cambria Math" w:hAnsi="Cambria Math" w:cs="Cambria Math"/>
        </w:rPr>
        <w:t>₂</w:t>
      </w:r>
      <w:r w:rsidR="00180354" w:rsidRPr="00180354">
        <w:t xml:space="preserve"> and O</w:t>
      </w:r>
      <w:r w:rsidR="00180354" w:rsidRPr="00180354">
        <w:rPr>
          <w:rFonts w:ascii="Cambria Math" w:hAnsi="Cambria Math" w:cs="Cambria Math"/>
        </w:rPr>
        <w:t>₂</w:t>
      </w:r>
      <w:r w:rsidR="00180354" w:rsidRPr="00180354">
        <w:t xml:space="preserve"> are typically present only in trace amounts</w:t>
      </w:r>
      <w:r w:rsidR="00B576F0">
        <w:t>.</w:t>
      </w:r>
    </w:p>
    <w:p w14:paraId="1B9BAAEB" w14:textId="2F6424B3" w:rsidR="00E258D2" w:rsidRDefault="00E258D2" w:rsidP="00BF787D">
      <w:pPr>
        <w:pStyle w:val="CETheadingx"/>
      </w:pPr>
      <w:r>
        <w:t>Operational Costs</w:t>
      </w:r>
    </w:p>
    <w:p w14:paraId="6C96C54A" w14:textId="709C2F3C" w:rsidR="00E258D2" w:rsidRDefault="00E258D2" w:rsidP="00BD0224">
      <w:pPr>
        <w:pStyle w:val="CETBodytext"/>
      </w:pPr>
      <w:r w:rsidRPr="00E258D2">
        <w:t xml:space="preserve">Operational </w:t>
      </w:r>
      <w:r w:rsidR="00512BE2">
        <w:t>costs</w:t>
      </w:r>
      <w:r w:rsidRPr="00E258D2">
        <w:t xml:space="preserve"> in CO</w:t>
      </w:r>
      <w:r w:rsidRPr="00E258D2">
        <w:rPr>
          <w:rFonts w:ascii="Cambria Math" w:hAnsi="Cambria Math" w:cs="Cambria Math"/>
        </w:rPr>
        <w:t>₂</w:t>
      </w:r>
      <w:r w:rsidRPr="00E258D2">
        <w:t xml:space="preserve"> liquefaction are primarily driven by electricity consumption, as the process is fully electrified</w:t>
      </w:r>
      <w:r w:rsidR="00512BE2">
        <w:t>.</w:t>
      </w:r>
      <w:r w:rsidRPr="00E258D2">
        <w:t xml:space="preserve"> At 15 </w:t>
      </w:r>
      <w:proofErr w:type="gramStart"/>
      <w:r w:rsidRPr="00E258D2">
        <w:t>bar</w:t>
      </w:r>
      <w:proofErr w:type="gramEnd"/>
      <w:r w:rsidRPr="00E258D2">
        <w:t>(g), the Self-Refrigerated Liquefaction process developed by NEXTCHEM achieves an energy consumption of 111.9 kWh/</w:t>
      </w:r>
      <w:proofErr w:type="spellStart"/>
      <w:r w:rsidRPr="00E258D2">
        <w:t>tCO</w:t>
      </w:r>
      <w:proofErr w:type="spellEnd"/>
      <w:r w:rsidRPr="00E258D2">
        <w:rPr>
          <w:rFonts w:ascii="Cambria Math" w:hAnsi="Cambria Math" w:cs="Cambria Math"/>
        </w:rPr>
        <w:t>₂</w:t>
      </w:r>
      <w:r w:rsidRPr="00E258D2">
        <w:t xml:space="preserve">. </w:t>
      </w:r>
      <w:r w:rsidR="00D568DC">
        <w:t>Considering other utilities and a</w:t>
      </w:r>
      <w:r w:rsidRPr="00E258D2">
        <w:t>ssuming an electricity price of 100</w:t>
      </w:r>
      <w:r w:rsidRPr="00E258D2">
        <w:rPr>
          <w:rFonts w:cs="Arial"/>
        </w:rPr>
        <w:t> €</w:t>
      </w:r>
      <w:r w:rsidRPr="00E258D2">
        <w:t>/MWh, this translates to an operational cost of approximately 11.</w:t>
      </w:r>
      <w:r w:rsidR="00D568DC">
        <w:t>5</w:t>
      </w:r>
      <w:r w:rsidRPr="00E258D2">
        <w:rPr>
          <w:rFonts w:cs="Arial"/>
        </w:rPr>
        <w:t> €</w:t>
      </w:r>
      <w:r w:rsidRPr="00E258D2">
        <w:t>/</w:t>
      </w:r>
      <w:proofErr w:type="spellStart"/>
      <w:r w:rsidRPr="00E258D2">
        <w:t>tCO</w:t>
      </w:r>
      <w:proofErr w:type="spellEnd"/>
      <w:r w:rsidRPr="00E258D2">
        <w:rPr>
          <w:rFonts w:ascii="Cambria Math" w:hAnsi="Cambria Math" w:cs="Cambria Math"/>
        </w:rPr>
        <w:t>₂</w:t>
      </w:r>
      <w:r w:rsidRPr="00E258D2">
        <w:t>, which accounts for around 8</w:t>
      </w:r>
      <w:r w:rsidR="00463C7C">
        <w:t>8</w:t>
      </w:r>
      <w:r w:rsidRPr="00E258D2">
        <w:t xml:space="preserve">% of </w:t>
      </w:r>
      <w:r w:rsidR="00463C7C">
        <w:t>the operational cost of the NH</w:t>
      </w:r>
      <w:r w:rsidR="00463C7C" w:rsidRPr="00BF787D">
        <w:rPr>
          <w:vertAlign w:val="subscript"/>
        </w:rPr>
        <w:t>3</w:t>
      </w:r>
      <w:r w:rsidR="00463C7C">
        <w:t>-refrigerated process</w:t>
      </w:r>
      <w:r w:rsidRPr="00E258D2">
        <w:t>. In contrast, at 7 bar(g), ammonia-refrigerated systems suffer from reduced CO</w:t>
      </w:r>
      <w:r w:rsidRPr="00E258D2">
        <w:rPr>
          <w:rFonts w:ascii="Cambria Math" w:hAnsi="Cambria Math" w:cs="Cambria Math"/>
        </w:rPr>
        <w:t>₂</w:t>
      </w:r>
      <w:r w:rsidRPr="00E258D2">
        <w:t xml:space="preserve"> recovery, with </w:t>
      </w:r>
      <w:r w:rsidR="00ED0DA9">
        <w:t>around</w:t>
      </w:r>
      <w:r w:rsidRPr="00E258D2">
        <w:t xml:space="preserve"> 13% of the captured CO</w:t>
      </w:r>
      <w:r w:rsidRPr="00E258D2">
        <w:rPr>
          <w:rFonts w:ascii="Cambria Math" w:hAnsi="Cambria Math" w:cs="Cambria Math"/>
        </w:rPr>
        <w:t>₂</w:t>
      </w:r>
      <w:r w:rsidRPr="00E258D2">
        <w:t xml:space="preserve"> lost in the vent stream. Recapturing this loss</w:t>
      </w:r>
      <w:r w:rsidRPr="00E258D2">
        <w:rPr>
          <w:rFonts w:cs="Arial"/>
        </w:rPr>
        <w:t>—</w:t>
      </w:r>
      <w:r w:rsidRPr="00E258D2">
        <w:t>typically via an aminic post-combustion capture unit</w:t>
      </w:r>
      <w:r w:rsidRPr="00E258D2">
        <w:rPr>
          <w:rFonts w:cs="Arial"/>
        </w:rPr>
        <w:t>—</w:t>
      </w:r>
      <w:r w:rsidRPr="00E258D2">
        <w:t>would incur an additional cost of roughly 5.</w:t>
      </w:r>
      <w:r w:rsidR="00ED0DA9">
        <w:t>6</w:t>
      </w:r>
      <w:r w:rsidRPr="00E258D2">
        <w:rPr>
          <w:rFonts w:cs="Arial"/>
        </w:rPr>
        <w:t> €</w:t>
      </w:r>
      <w:r w:rsidRPr="00E258D2">
        <w:t>/</w:t>
      </w:r>
      <w:proofErr w:type="spellStart"/>
      <w:r w:rsidRPr="00E258D2">
        <w:t>tCO</w:t>
      </w:r>
      <w:proofErr w:type="spellEnd"/>
      <w:r w:rsidRPr="00E258D2">
        <w:rPr>
          <w:rFonts w:ascii="Cambria Math" w:hAnsi="Cambria Math" w:cs="Cambria Math"/>
        </w:rPr>
        <w:t>₂</w:t>
      </w:r>
      <w:r w:rsidRPr="00E258D2">
        <w:t xml:space="preserve">, assuming a </w:t>
      </w:r>
      <w:r w:rsidR="009A6DAC">
        <w:t xml:space="preserve">typical </w:t>
      </w:r>
      <w:r w:rsidRPr="00E258D2">
        <w:t>capture cost of 40</w:t>
      </w:r>
      <w:r w:rsidRPr="00E258D2">
        <w:rPr>
          <w:rFonts w:cs="Arial"/>
        </w:rPr>
        <w:t> €</w:t>
      </w:r>
      <w:r w:rsidRPr="00E258D2">
        <w:t>/</w:t>
      </w:r>
      <w:proofErr w:type="spellStart"/>
      <w:r w:rsidRPr="00E258D2">
        <w:t>tCO</w:t>
      </w:r>
      <w:proofErr w:type="spellEnd"/>
      <w:r w:rsidRPr="00E258D2">
        <w:rPr>
          <w:rFonts w:ascii="Cambria Math" w:hAnsi="Cambria Math" w:cs="Cambria Math"/>
        </w:rPr>
        <w:t>₂</w:t>
      </w:r>
      <w:r w:rsidRPr="00E258D2">
        <w:t>. This further increases the operational advantage of the Self-Refrigerated solution</w:t>
      </w:r>
      <w:r w:rsidR="00D87C47">
        <w:t>, which displays a 35% reduction in operational costs</w:t>
      </w:r>
      <w:r w:rsidRPr="00E258D2">
        <w:t xml:space="preserve">, </w:t>
      </w:r>
      <w:r w:rsidR="00D87C47">
        <w:t>as it</w:t>
      </w:r>
      <w:r w:rsidRPr="00E258D2">
        <w:t xml:space="preserve"> maintains high recovery rates even at lower pressures, avoiding the energy penalty and the added cost of reprocessing vented CO</w:t>
      </w:r>
      <w:r w:rsidRPr="00E258D2">
        <w:rPr>
          <w:rFonts w:ascii="Cambria Math" w:hAnsi="Cambria Math" w:cs="Cambria Math"/>
        </w:rPr>
        <w:t>₂</w:t>
      </w:r>
      <w:r w:rsidRPr="00E258D2">
        <w:t>.</w:t>
      </w:r>
    </w:p>
    <w:p w14:paraId="0C5B5AE6" w14:textId="5C7CCD73" w:rsidR="00250186" w:rsidRDefault="00250186" w:rsidP="00250186">
      <w:pPr>
        <w:pStyle w:val="CETheadingx"/>
      </w:pPr>
      <w:r>
        <w:t>Investment Costs</w:t>
      </w:r>
    </w:p>
    <w:p w14:paraId="31E777B9" w14:textId="07A5DC57" w:rsidR="00757E3D" w:rsidRDefault="00BB3A44" w:rsidP="009D5D29">
      <w:pPr>
        <w:pStyle w:val="CETBodytext"/>
      </w:pPr>
      <w:r w:rsidRPr="00BB3A44">
        <w:t>Investment costs are a critical factor in the feasibility of CCS projects. Given the early-stage adoption of these technologies, securing financing is often challenging, making cost efficiency essential. Unlike traditional revenue-generating ventures, CCS projects typically depend on government incentives, carbon pricing mechanisms, or corporate sustainability commitments to justify expenditures. As a result, investors and stakeholders evaluate capital requirements against expected savings, regulatory frameworks, and potential revenue streams such as carbon credits. High upfront costs without a clear financial return can delay or even prevent project deployment—making cost-effective, scalable design a prerequisite for success.</w:t>
      </w:r>
      <w:r w:rsidR="00250186">
        <w:t xml:space="preserve"> In this context, a technology that effectively leverages economies of scale, such as </w:t>
      </w:r>
      <w:r w:rsidR="001F1EEC">
        <w:t>Self-Refrigerated</w:t>
      </w:r>
      <w:r w:rsidR="00250186">
        <w:t xml:space="preserve"> CO</w:t>
      </w:r>
      <w:r w:rsidR="00250186" w:rsidRPr="3064E2AE">
        <w:rPr>
          <w:rFonts w:ascii="Cambria Math" w:hAnsi="Cambria Math" w:cs="Cambria Math"/>
        </w:rPr>
        <w:t>₂</w:t>
      </w:r>
      <w:r w:rsidR="00250186">
        <w:t xml:space="preserve"> </w:t>
      </w:r>
      <w:r w:rsidR="001F1EEC">
        <w:t>Liquefaction</w:t>
      </w:r>
      <w:r w:rsidR="00250186">
        <w:t xml:space="preserve">, provides a significant competitive advantage </w:t>
      </w:r>
      <w:r w:rsidR="00A0456C">
        <w:t>for large</w:t>
      </w:r>
      <w:r w:rsidR="00905FA6">
        <w:t>-</w:t>
      </w:r>
      <w:r w:rsidR="00A0456C">
        <w:t xml:space="preserve">scale CCS projects </w:t>
      </w:r>
      <w:r w:rsidR="00250186">
        <w:t xml:space="preserve">by reducing costs at high capacities. </w:t>
      </w:r>
      <w:r w:rsidR="009D5D29" w:rsidRPr="002C5ABE">
        <w:t xml:space="preserve">According to Table 3, the investment cost for the Self-Refrigerated Liquefaction system, as estimated using a Class III AACE approach, is approximately 45% lower than that of the Ammonia-Refrigerated Liquefaction </w:t>
      </w:r>
      <w:r w:rsidR="009D5D29" w:rsidRPr="002C5ABE">
        <w:lastRenderedPageBreak/>
        <w:t>system.</w:t>
      </w:r>
      <w:r w:rsidR="009D5D29">
        <w:t xml:space="preserve"> </w:t>
      </w:r>
      <w:r w:rsidR="00250186">
        <w:t xml:space="preserve">This cost reduction is primarily driven by the possibility </w:t>
      </w:r>
      <w:r w:rsidR="000839A9">
        <w:t>of</w:t>
      </w:r>
      <w:r w:rsidR="00250186">
        <w:t xml:space="preserve"> manag</w:t>
      </w:r>
      <w:r w:rsidR="000839A9">
        <w:t>ing</w:t>
      </w:r>
      <w:r w:rsidR="00250186">
        <w:t xml:space="preserve"> the required capacity in a single unit, without the need to use multiple trains in parallel, and by the integration of refrigeration and </w:t>
      </w:r>
      <w:r w:rsidR="001F1EEC">
        <w:t>Liquefaction</w:t>
      </w:r>
      <w:r w:rsidR="00250186">
        <w:t xml:space="preserve"> within a single system, which reduces the number of rotating machines and the footprint of the installation.</w:t>
      </w:r>
    </w:p>
    <w:p w14:paraId="062D8EEC" w14:textId="77777777" w:rsidR="003B7B70" w:rsidRPr="00E07865" w:rsidRDefault="003B7B70" w:rsidP="003B7B70">
      <w:pPr>
        <w:pStyle w:val="CETHeading1"/>
      </w:pPr>
      <w:r>
        <w:t>Conclusions</w:t>
      </w:r>
    </w:p>
    <w:p w14:paraId="664CC03F" w14:textId="1CD0A963" w:rsidR="003B7B70" w:rsidRDefault="003B7B70" w:rsidP="003B7B70">
      <w:pPr>
        <w:pStyle w:val="CETBodytext"/>
      </w:pPr>
      <w:r w:rsidRPr="005E0E05">
        <w:rPr>
          <w:lang w:val="en-GB"/>
        </w:rPr>
        <w:t>Historically, Self-Refrigerated Liquefaction has been regarded as a less efficient alternative</w:t>
      </w:r>
      <w:r>
        <w:rPr>
          <w:lang w:val="en-GB"/>
        </w:rPr>
        <w:t xml:space="preserve"> compared to NH</w:t>
      </w:r>
      <w:r w:rsidRPr="00BD6286">
        <w:rPr>
          <w:vertAlign w:val="subscript"/>
          <w:lang w:val="en-GB"/>
        </w:rPr>
        <w:t>3</w:t>
      </w:r>
      <w:r w:rsidRPr="005E0E05">
        <w:rPr>
          <w:lang w:val="en-GB"/>
        </w:rPr>
        <w:t>-Refrigerated</w:t>
      </w:r>
      <w:r>
        <w:rPr>
          <w:lang w:val="en-GB"/>
        </w:rPr>
        <w:t xml:space="preserve"> Liquefaction</w:t>
      </w:r>
      <w:r w:rsidRPr="005E0E05">
        <w:rPr>
          <w:lang w:val="en-GB"/>
        </w:rPr>
        <w:t>, primarily due to the thermodynamic challenges of using CO</w:t>
      </w:r>
      <w:r w:rsidRPr="005E0E05">
        <w:rPr>
          <w:rFonts w:ascii="Cambria Math" w:hAnsi="Cambria Math" w:cs="Cambria Math"/>
          <w:lang w:val="en-GB"/>
        </w:rPr>
        <w:t>₂</w:t>
      </w:r>
      <w:r w:rsidRPr="005E0E05">
        <w:rPr>
          <w:lang w:val="en-GB"/>
        </w:rPr>
        <w:t xml:space="preserve"> as a refrigerant. However, this paper demonstrates that with the innovative process design developed by NEXTCHEM</w:t>
      </w:r>
      <w:r w:rsidRPr="005E0E05">
        <w:rPr>
          <w:rFonts w:cs="Arial"/>
          <w:lang w:val="en-GB"/>
        </w:rPr>
        <w:t>—</w:t>
      </w:r>
      <w:r w:rsidRPr="005E0E05">
        <w:rPr>
          <w:lang w:val="en-GB"/>
        </w:rPr>
        <w:t xml:space="preserve">featuring advanced heat integration, internal refrigeration loops, and high-performance </w:t>
      </w:r>
      <w:r>
        <w:rPr>
          <w:lang w:val="en-GB"/>
        </w:rPr>
        <w:t>IG</w:t>
      </w:r>
      <w:r w:rsidRPr="005E0E05">
        <w:rPr>
          <w:lang w:val="en-GB"/>
        </w:rPr>
        <w:t xml:space="preserve"> compressors</w:t>
      </w:r>
      <w:r w:rsidRPr="005E0E05">
        <w:rPr>
          <w:rFonts w:cs="Arial"/>
          <w:lang w:val="en-GB"/>
        </w:rPr>
        <w:t>—</w:t>
      </w:r>
      <w:r w:rsidRPr="005E0E05">
        <w:rPr>
          <w:lang w:val="en-GB"/>
        </w:rPr>
        <w:t>this paradigm is reversed.</w:t>
      </w:r>
      <w:r>
        <w:rPr>
          <w:lang w:val="en-GB"/>
        </w:rPr>
        <w:t xml:space="preserve"> </w:t>
      </w:r>
      <w:r w:rsidRPr="78442421">
        <w:rPr>
          <w:lang w:val="en-GB"/>
        </w:rPr>
        <w:t xml:space="preserve">The comparison between </w:t>
      </w:r>
      <w:r>
        <w:rPr>
          <w:lang w:val="en-GB"/>
        </w:rPr>
        <w:t>NH</w:t>
      </w:r>
      <w:r w:rsidRPr="00BD6286">
        <w:rPr>
          <w:vertAlign w:val="subscript"/>
          <w:lang w:val="en-GB"/>
        </w:rPr>
        <w:t>3</w:t>
      </w:r>
      <w:r>
        <w:rPr>
          <w:lang w:val="en-GB"/>
        </w:rPr>
        <w:t>-Refrigerated</w:t>
      </w:r>
      <w:r w:rsidRPr="78442421">
        <w:rPr>
          <w:lang w:val="en-GB"/>
        </w:rPr>
        <w:t xml:space="preserve"> and </w:t>
      </w:r>
      <w:r>
        <w:rPr>
          <w:lang w:val="en-GB"/>
        </w:rPr>
        <w:t>Self-Refrigerated</w:t>
      </w:r>
      <w:r w:rsidRPr="78442421">
        <w:rPr>
          <w:lang w:val="en-GB"/>
        </w:rPr>
        <w:t xml:space="preserve"> CO</w:t>
      </w:r>
      <w:r w:rsidRPr="78442421">
        <w:rPr>
          <w:rFonts w:ascii="Cambria Math" w:hAnsi="Cambria Math" w:cs="Cambria Math"/>
          <w:lang w:val="en-GB"/>
        </w:rPr>
        <w:t>₂</w:t>
      </w:r>
      <w:r w:rsidRPr="78442421">
        <w:rPr>
          <w:lang w:val="en-GB"/>
        </w:rPr>
        <w:t xml:space="preserve"> </w:t>
      </w:r>
      <w:r>
        <w:rPr>
          <w:lang w:val="en-GB"/>
        </w:rPr>
        <w:t>Liquefaction</w:t>
      </w:r>
      <w:r w:rsidRPr="78442421">
        <w:rPr>
          <w:lang w:val="en-GB"/>
        </w:rPr>
        <w:t xml:space="preserve"> highlights the significant advantages of the </w:t>
      </w:r>
      <w:r>
        <w:rPr>
          <w:lang w:val="en-GB"/>
        </w:rPr>
        <w:t>Self-Refrigerated</w:t>
      </w:r>
      <w:r w:rsidRPr="78442421">
        <w:rPr>
          <w:lang w:val="en-GB"/>
        </w:rPr>
        <w:t xml:space="preserve"> approach, particularly for large-scale </w:t>
      </w:r>
      <w:r>
        <w:rPr>
          <w:lang w:val="en-GB"/>
        </w:rPr>
        <w:t>CCS</w:t>
      </w:r>
      <w:r w:rsidRPr="78442421">
        <w:rPr>
          <w:lang w:val="en-GB"/>
        </w:rPr>
        <w:t xml:space="preserve"> projects. While </w:t>
      </w:r>
      <w:r>
        <w:rPr>
          <w:lang w:val="en-GB"/>
        </w:rPr>
        <w:t>Ammonia</w:t>
      </w:r>
      <w:r w:rsidRPr="78442421">
        <w:rPr>
          <w:lang w:val="en-GB"/>
        </w:rPr>
        <w:t>-</w:t>
      </w:r>
      <w:r>
        <w:rPr>
          <w:lang w:val="en-GB"/>
        </w:rPr>
        <w:t>Refrigerat</w:t>
      </w:r>
      <w:r w:rsidRPr="78442421">
        <w:rPr>
          <w:lang w:val="en-GB"/>
        </w:rPr>
        <w:t xml:space="preserve">ed </w:t>
      </w:r>
      <w:r>
        <w:rPr>
          <w:lang w:val="en-GB"/>
        </w:rPr>
        <w:t>Liquefaction</w:t>
      </w:r>
      <w:r w:rsidRPr="78442421">
        <w:rPr>
          <w:lang w:val="en-GB"/>
        </w:rPr>
        <w:t xml:space="preserve"> offers operational flexibility and is an established technology, its limitations in maximum capacity, energy efficiency, and CO</w:t>
      </w:r>
      <w:r w:rsidRPr="78442421">
        <w:rPr>
          <w:rFonts w:ascii="Cambria Math" w:hAnsi="Cambria Math" w:cs="Cambria Math"/>
          <w:lang w:val="en-GB"/>
        </w:rPr>
        <w:t>₂</w:t>
      </w:r>
      <w:r w:rsidRPr="78442421">
        <w:rPr>
          <w:lang w:val="en-GB"/>
        </w:rPr>
        <w:t xml:space="preserve"> recovery in a range of conditions present challenges for large-scale applications. </w:t>
      </w:r>
      <w:r>
        <w:rPr>
          <w:lang w:val="en-GB"/>
        </w:rPr>
        <w:t>Self-Refrigerated</w:t>
      </w:r>
      <w:r w:rsidRPr="78442421">
        <w:rPr>
          <w:lang w:val="en-GB"/>
        </w:rPr>
        <w:t xml:space="preserve"> CO</w:t>
      </w:r>
      <w:r w:rsidRPr="78442421">
        <w:rPr>
          <w:rFonts w:ascii="Cambria Math" w:hAnsi="Cambria Math" w:cs="Cambria Math"/>
          <w:lang w:val="en-GB"/>
        </w:rPr>
        <w:t>₂</w:t>
      </w:r>
      <w:r w:rsidRPr="78442421">
        <w:rPr>
          <w:lang w:val="en-GB"/>
        </w:rPr>
        <w:t xml:space="preserve"> </w:t>
      </w:r>
      <w:r>
        <w:rPr>
          <w:lang w:val="en-GB"/>
        </w:rPr>
        <w:t>Liquefaction</w:t>
      </w:r>
      <w:r w:rsidRPr="78442421">
        <w:rPr>
          <w:lang w:val="en-GB"/>
        </w:rPr>
        <w:t xml:space="preserve">, as developed by </w:t>
      </w:r>
      <w:r>
        <w:rPr>
          <w:lang w:val="en-GB"/>
        </w:rPr>
        <w:t>NEXTCHEM</w:t>
      </w:r>
      <w:r w:rsidRPr="78442421">
        <w:rPr>
          <w:lang w:val="en-GB"/>
        </w:rPr>
        <w:t>, emerges as the preferred solution due to its ability to handle high processing capacities with fewer rotating machines, reducing complexity</w:t>
      </w:r>
      <w:r>
        <w:rPr>
          <w:lang w:val="en-GB"/>
        </w:rPr>
        <w:t xml:space="preserve"> and improving</w:t>
      </w:r>
      <w:r w:rsidRPr="78442421">
        <w:rPr>
          <w:lang w:val="en-GB"/>
        </w:rPr>
        <w:t xml:space="preserve"> energy efficiency</w:t>
      </w:r>
      <w:r>
        <w:rPr>
          <w:lang w:val="en-GB"/>
        </w:rPr>
        <w:t xml:space="preserve">, which </w:t>
      </w:r>
      <w:r w:rsidRPr="78442421">
        <w:rPr>
          <w:lang w:val="en-GB"/>
        </w:rPr>
        <w:t>translat</w:t>
      </w:r>
      <w:r>
        <w:rPr>
          <w:lang w:val="en-GB"/>
        </w:rPr>
        <w:t>es</w:t>
      </w:r>
      <w:r w:rsidRPr="78442421">
        <w:rPr>
          <w:lang w:val="en-GB"/>
        </w:rPr>
        <w:t xml:space="preserve"> into lower operational costs. Additionally, the ability to achieve lower operating temperatures ensures higher CO</w:t>
      </w:r>
      <w:r w:rsidRPr="78442421">
        <w:rPr>
          <w:rFonts w:ascii="Cambria Math" w:hAnsi="Cambria Math" w:cs="Cambria Math"/>
          <w:lang w:val="en-GB"/>
        </w:rPr>
        <w:t>₂</w:t>
      </w:r>
      <w:r w:rsidRPr="78442421">
        <w:rPr>
          <w:lang w:val="en-GB"/>
        </w:rPr>
        <w:t xml:space="preserve"> recovery rates, minimizing losses and maximizing the effectiveness of carbon management efforts. From a safety and regulatory perspective, using CO</w:t>
      </w:r>
      <w:r w:rsidRPr="78442421">
        <w:rPr>
          <w:rFonts w:ascii="Cambria Math" w:hAnsi="Cambria Math" w:cs="Cambria Math"/>
          <w:lang w:val="en-GB"/>
        </w:rPr>
        <w:t>₂</w:t>
      </w:r>
      <w:r w:rsidRPr="78442421">
        <w:rPr>
          <w:lang w:val="en-GB"/>
        </w:rPr>
        <w:t xml:space="preserve"> as a refrigerant eliminates the hazards associated with </w:t>
      </w:r>
      <w:r>
        <w:rPr>
          <w:lang w:val="en-GB"/>
        </w:rPr>
        <w:t>NH</w:t>
      </w:r>
      <w:r w:rsidRPr="00BD6286">
        <w:rPr>
          <w:vertAlign w:val="subscript"/>
          <w:lang w:val="en-GB"/>
        </w:rPr>
        <w:t>3</w:t>
      </w:r>
      <w:r w:rsidRPr="78442421">
        <w:rPr>
          <w:lang w:val="en-GB"/>
        </w:rPr>
        <w:t xml:space="preserve">, simplifying plant design </w:t>
      </w:r>
      <w:r>
        <w:rPr>
          <w:lang w:val="en-GB"/>
        </w:rPr>
        <w:t xml:space="preserve">and </w:t>
      </w:r>
      <w:r w:rsidRPr="78442421">
        <w:rPr>
          <w:lang w:val="en-GB"/>
        </w:rPr>
        <w:t xml:space="preserve">reducing compliance costs. Furthermore, the scalability of </w:t>
      </w:r>
      <w:r>
        <w:rPr>
          <w:lang w:val="en-GB"/>
        </w:rPr>
        <w:t>Self-Refrigerated</w:t>
      </w:r>
      <w:r w:rsidRPr="78442421">
        <w:rPr>
          <w:lang w:val="en-GB"/>
        </w:rPr>
        <w:t xml:space="preserve"> </w:t>
      </w:r>
      <w:r>
        <w:rPr>
          <w:lang w:val="en-GB"/>
        </w:rPr>
        <w:t>Liquefaction</w:t>
      </w:r>
      <w:r w:rsidRPr="78442421">
        <w:rPr>
          <w:lang w:val="en-GB"/>
        </w:rPr>
        <w:t xml:space="preserve"> allows for significant capital cost reductions, leveraging economies of scale that make large CCS projects more financially viable. Given these advantages, </w:t>
      </w:r>
      <w:r>
        <w:rPr>
          <w:lang w:val="en-GB"/>
        </w:rPr>
        <w:t>NEXTCHEM</w:t>
      </w:r>
      <w:r w:rsidRPr="78442421">
        <w:rPr>
          <w:lang w:val="en-GB"/>
        </w:rPr>
        <w:t xml:space="preserve">’s </w:t>
      </w:r>
      <w:r>
        <w:rPr>
          <w:lang w:val="en-GB"/>
        </w:rPr>
        <w:t>Self-Refrigerated</w:t>
      </w:r>
      <w:r w:rsidRPr="78442421">
        <w:rPr>
          <w:lang w:val="en-GB"/>
        </w:rPr>
        <w:t xml:space="preserve"> CO</w:t>
      </w:r>
      <w:r w:rsidRPr="78442421">
        <w:rPr>
          <w:rFonts w:ascii="Cambria Math" w:hAnsi="Cambria Math" w:cs="Cambria Math"/>
          <w:lang w:val="en-GB"/>
        </w:rPr>
        <w:t>₂</w:t>
      </w:r>
      <w:r w:rsidRPr="78442421">
        <w:rPr>
          <w:lang w:val="en-GB"/>
        </w:rPr>
        <w:t xml:space="preserve"> </w:t>
      </w:r>
      <w:r>
        <w:rPr>
          <w:lang w:val="en-GB"/>
        </w:rPr>
        <w:t>Liquefaction</w:t>
      </w:r>
      <w:r w:rsidRPr="78442421">
        <w:rPr>
          <w:lang w:val="en-GB"/>
        </w:rPr>
        <w:t xml:space="preserve"> stands out as the optimal choice for </w:t>
      </w:r>
      <w:r>
        <w:rPr>
          <w:lang w:val="en-GB"/>
        </w:rPr>
        <w:t>large-</w:t>
      </w:r>
      <w:r w:rsidRPr="78442421">
        <w:rPr>
          <w:lang w:val="en-GB"/>
        </w:rPr>
        <w:t xml:space="preserve">scale </w:t>
      </w:r>
      <w:r>
        <w:rPr>
          <w:lang w:val="en-GB"/>
        </w:rPr>
        <w:t>CCS projects</w:t>
      </w:r>
      <w:r w:rsidRPr="78442421">
        <w:rPr>
          <w:lang w:val="en-GB"/>
        </w:rPr>
        <w:t xml:space="preserve">, </w:t>
      </w:r>
      <w:r>
        <w:rPr>
          <w:lang w:val="en-GB"/>
        </w:rPr>
        <w:t>ensuring high performance and improving economic viability</w:t>
      </w:r>
      <w:r w:rsidRPr="78442421">
        <w:rPr>
          <w:lang w:val="en-GB"/>
        </w:rPr>
        <w:t>.</w:t>
      </w:r>
    </w:p>
    <w:p w14:paraId="05118657" w14:textId="1852E5AF" w:rsidR="00250186" w:rsidRPr="005634C2" w:rsidRDefault="005634C2" w:rsidP="005634C2">
      <w:pPr>
        <w:pStyle w:val="CETTabletitle"/>
      </w:pPr>
      <w:r w:rsidRPr="00B57B36">
        <w:t xml:space="preserve">Table </w:t>
      </w:r>
      <w:r>
        <w:t>3</w:t>
      </w:r>
      <w:r w:rsidRPr="00B57B36">
        <w:t xml:space="preserve">: </w:t>
      </w:r>
      <w:r>
        <w:t>Comparison Summary</w:t>
      </w:r>
    </w:p>
    <w:tbl>
      <w:tblPr>
        <w:tblW w:w="878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600"/>
        <w:gridCol w:w="1170"/>
        <w:gridCol w:w="1980"/>
        <w:gridCol w:w="2037"/>
      </w:tblGrid>
      <w:tr w:rsidR="005634C2" w:rsidRPr="00B57B36" w14:paraId="63099DDC" w14:textId="77777777" w:rsidTr="00BF787D">
        <w:tc>
          <w:tcPr>
            <w:tcW w:w="3600" w:type="dxa"/>
            <w:tcBorders>
              <w:top w:val="single" w:sz="12" w:space="0" w:color="008000"/>
              <w:bottom w:val="single" w:sz="6" w:space="0" w:color="008000"/>
            </w:tcBorders>
            <w:shd w:val="clear" w:color="auto" w:fill="FFFFFF"/>
          </w:tcPr>
          <w:p w14:paraId="45F37170" w14:textId="77777777" w:rsidR="005634C2" w:rsidRPr="00B57B36" w:rsidRDefault="005634C2" w:rsidP="00552577">
            <w:pPr>
              <w:pStyle w:val="CETBodytext"/>
              <w:rPr>
                <w:lang w:val="en-GB"/>
              </w:rPr>
            </w:pPr>
            <w:r>
              <w:rPr>
                <w:lang w:val="en-GB"/>
              </w:rPr>
              <w:t>Item</w:t>
            </w:r>
          </w:p>
        </w:tc>
        <w:tc>
          <w:tcPr>
            <w:tcW w:w="1170" w:type="dxa"/>
            <w:tcBorders>
              <w:top w:val="single" w:sz="12" w:space="0" w:color="008000"/>
              <w:bottom w:val="single" w:sz="6" w:space="0" w:color="008000"/>
            </w:tcBorders>
            <w:shd w:val="clear" w:color="auto" w:fill="FFFFFF"/>
          </w:tcPr>
          <w:p w14:paraId="2753A124" w14:textId="109291AD" w:rsidR="005634C2" w:rsidRPr="00B57B36" w:rsidRDefault="005634C2" w:rsidP="00552577">
            <w:pPr>
              <w:pStyle w:val="CETBodytext"/>
              <w:jc w:val="center"/>
              <w:rPr>
                <w:lang w:val="en-GB"/>
              </w:rPr>
            </w:pPr>
            <w:r>
              <w:rPr>
                <w:lang w:val="en-GB"/>
              </w:rPr>
              <w:t>Unit</w:t>
            </w:r>
          </w:p>
        </w:tc>
        <w:tc>
          <w:tcPr>
            <w:tcW w:w="1980" w:type="dxa"/>
            <w:tcBorders>
              <w:top w:val="single" w:sz="12" w:space="0" w:color="008000"/>
              <w:bottom w:val="single" w:sz="6" w:space="0" w:color="008000"/>
            </w:tcBorders>
            <w:shd w:val="clear" w:color="auto" w:fill="FFFFFF"/>
          </w:tcPr>
          <w:p w14:paraId="22C79C7D" w14:textId="4B54B94C" w:rsidR="005634C2" w:rsidRDefault="008B5E32" w:rsidP="00552577">
            <w:pPr>
              <w:pStyle w:val="CETBodytext"/>
              <w:jc w:val="center"/>
              <w:rPr>
                <w:lang w:val="en-GB"/>
              </w:rPr>
            </w:pPr>
            <w:r>
              <w:rPr>
                <w:lang w:val="en-GB"/>
              </w:rPr>
              <w:t>Ammonia</w:t>
            </w:r>
            <w:r w:rsidR="005634C2">
              <w:rPr>
                <w:lang w:val="en-GB"/>
              </w:rPr>
              <w:t>-Refrigerated</w:t>
            </w:r>
          </w:p>
          <w:p w14:paraId="4F015940" w14:textId="05FE1577" w:rsidR="005634C2" w:rsidRDefault="001F1EEC" w:rsidP="00552577">
            <w:pPr>
              <w:pStyle w:val="CETBodytext"/>
              <w:jc w:val="center"/>
              <w:rPr>
                <w:lang w:val="en-GB"/>
              </w:rPr>
            </w:pPr>
            <w:r>
              <w:rPr>
                <w:lang w:val="en-GB"/>
              </w:rPr>
              <w:t>Liquefaction</w:t>
            </w:r>
          </w:p>
        </w:tc>
        <w:tc>
          <w:tcPr>
            <w:tcW w:w="2037" w:type="dxa"/>
            <w:tcBorders>
              <w:top w:val="single" w:sz="12" w:space="0" w:color="008000"/>
              <w:bottom w:val="single" w:sz="6" w:space="0" w:color="008000"/>
            </w:tcBorders>
            <w:shd w:val="clear" w:color="auto" w:fill="FFFFFF"/>
          </w:tcPr>
          <w:p w14:paraId="4E59B88B" w14:textId="3776F687" w:rsidR="005634C2" w:rsidRPr="00B57B36" w:rsidRDefault="00241761" w:rsidP="00552577">
            <w:pPr>
              <w:pStyle w:val="CETBodytext"/>
              <w:jc w:val="center"/>
              <w:rPr>
                <w:lang w:val="en-GB"/>
              </w:rPr>
            </w:pPr>
            <w:r>
              <w:rPr>
                <w:lang w:val="en-GB"/>
              </w:rPr>
              <w:t xml:space="preserve">NEXTCHEM </w:t>
            </w:r>
            <w:r w:rsidR="001F1EEC">
              <w:rPr>
                <w:lang w:val="en-GB"/>
              </w:rPr>
              <w:t>Self-Refrigerated</w:t>
            </w:r>
            <w:r w:rsidR="00CD6A88">
              <w:rPr>
                <w:lang w:val="en-GB"/>
              </w:rPr>
              <w:t xml:space="preserve"> </w:t>
            </w:r>
            <w:r w:rsidR="001F1EEC">
              <w:rPr>
                <w:lang w:val="en-GB"/>
              </w:rPr>
              <w:t>Liquefaction</w:t>
            </w:r>
          </w:p>
        </w:tc>
      </w:tr>
      <w:tr w:rsidR="005634C2" w:rsidRPr="00B57B36" w14:paraId="772FD5C6" w14:textId="77777777" w:rsidTr="00BF787D">
        <w:tc>
          <w:tcPr>
            <w:tcW w:w="3600" w:type="dxa"/>
            <w:shd w:val="clear" w:color="auto" w:fill="FFFFFF"/>
          </w:tcPr>
          <w:p w14:paraId="02F9FA4F" w14:textId="21CD3977" w:rsidR="005634C2" w:rsidRDefault="000C19CA" w:rsidP="00552577">
            <w:pPr>
              <w:pStyle w:val="CETBodytext"/>
              <w:rPr>
                <w:lang w:val="en-GB"/>
              </w:rPr>
            </w:pPr>
            <w:r>
              <w:rPr>
                <w:lang w:val="en-GB"/>
              </w:rPr>
              <w:t xml:space="preserve">Maximum </w:t>
            </w:r>
            <w:r w:rsidR="00CD6A88">
              <w:rPr>
                <w:lang w:val="en-GB"/>
              </w:rPr>
              <w:t>Capacity</w:t>
            </w:r>
          </w:p>
        </w:tc>
        <w:tc>
          <w:tcPr>
            <w:tcW w:w="1170" w:type="dxa"/>
            <w:shd w:val="clear" w:color="auto" w:fill="FFFFFF"/>
          </w:tcPr>
          <w:p w14:paraId="4B046611" w14:textId="3FEB7839" w:rsidR="005634C2" w:rsidRDefault="00CD6A88" w:rsidP="00552577">
            <w:pPr>
              <w:pStyle w:val="CETBodytext"/>
              <w:jc w:val="center"/>
              <w:rPr>
                <w:lang w:val="en-GB"/>
              </w:rPr>
            </w:pPr>
            <w:r>
              <w:rPr>
                <w:lang w:val="en-GB"/>
              </w:rPr>
              <w:t>MTPD</w:t>
            </w:r>
          </w:p>
        </w:tc>
        <w:tc>
          <w:tcPr>
            <w:tcW w:w="1980" w:type="dxa"/>
            <w:shd w:val="clear" w:color="auto" w:fill="FFFFFF"/>
          </w:tcPr>
          <w:p w14:paraId="6C9329E1" w14:textId="0916EAD1" w:rsidR="005634C2" w:rsidRPr="00C92F49" w:rsidRDefault="00C35E3F" w:rsidP="00552577">
            <w:pPr>
              <w:pStyle w:val="CETBodytext"/>
              <w:jc w:val="center"/>
              <w:rPr>
                <w:lang w:val="en-GB"/>
              </w:rPr>
            </w:pPr>
            <w:r w:rsidRPr="00C92F49">
              <w:rPr>
                <w:lang w:val="en-GB"/>
              </w:rPr>
              <w:t>400</w:t>
            </w:r>
          </w:p>
        </w:tc>
        <w:tc>
          <w:tcPr>
            <w:tcW w:w="2037" w:type="dxa"/>
            <w:shd w:val="clear" w:color="auto" w:fill="FFFFFF"/>
          </w:tcPr>
          <w:p w14:paraId="02CC6AF4" w14:textId="38ADFFD3" w:rsidR="005634C2" w:rsidRPr="00C92F49" w:rsidRDefault="0063448D" w:rsidP="00552577">
            <w:pPr>
              <w:pStyle w:val="CETBodytext"/>
              <w:jc w:val="center"/>
              <w:rPr>
                <w:lang w:val="en-GB"/>
              </w:rPr>
            </w:pPr>
            <w:r w:rsidRPr="00C92F49">
              <w:rPr>
                <w:lang w:val="en-GB"/>
              </w:rPr>
              <w:t>5</w:t>
            </w:r>
            <w:r w:rsidR="00F85DE9" w:rsidRPr="00C92F49">
              <w:rPr>
                <w:lang w:val="en-GB"/>
              </w:rPr>
              <w:t>000</w:t>
            </w:r>
          </w:p>
        </w:tc>
      </w:tr>
      <w:tr w:rsidR="000C19CA" w:rsidRPr="00B57B36" w14:paraId="5667F2C6" w14:textId="77777777" w:rsidTr="00BF787D">
        <w:tc>
          <w:tcPr>
            <w:tcW w:w="3600" w:type="dxa"/>
            <w:shd w:val="clear" w:color="auto" w:fill="FFFFFF"/>
          </w:tcPr>
          <w:p w14:paraId="275367EE" w14:textId="5C954D1A" w:rsidR="000C19CA" w:rsidRDefault="00F85DE9" w:rsidP="000C19CA">
            <w:pPr>
              <w:pStyle w:val="CETBodytext"/>
              <w:rPr>
                <w:lang w:val="en-GB"/>
              </w:rPr>
            </w:pPr>
            <w:r>
              <w:rPr>
                <w:lang w:val="en-GB"/>
              </w:rPr>
              <w:t xml:space="preserve">Case Study </w:t>
            </w:r>
            <w:r w:rsidR="000C19CA">
              <w:rPr>
                <w:lang w:val="en-GB"/>
              </w:rPr>
              <w:t>Capacity</w:t>
            </w:r>
          </w:p>
        </w:tc>
        <w:tc>
          <w:tcPr>
            <w:tcW w:w="1170" w:type="dxa"/>
            <w:shd w:val="clear" w:color="auto" w:fill="FFFFFF"/>
          </w:tcPr>
          <w:p w14:paraId="45C6EAF5" w14:textId="42F3D3F4" w:rsidR="000C19CA" w:rsidRDefault="000C19CA" w:rsidP="000C19CA">
            <w:pPr>
              <w:pStyle w:val="CETBodytext"/>
              <w:jc w:val="center"/>
              <w:rPr>
                <w:lang w:val="en-GB"/>
              </w:rPr>
            </w:pPr>
            <w:r>
              <w:rPr>
                <w:lang w:val="en-GB"/>
              </w:rPr>
              <w:t>MTPD</w:t>
            </w:r>
          </w:p>
        </w:tc>
        <w:tc>
          <w:tcPr>
            <w:tcW w:w="1980" w:type="dxa"/>
            <w:shd w:val="clear" w:color="auto" w:fill="FFFFFF"/>
          </w:tcPr>
          <w:p w14:paraId="7B3081A5" w14:textId="1F1706B2" w:rsidR="000C19CA" w:rsidRPr="00C92F49" w:rsidRDefault="000C19CA" w:rsidP="000C19CA">
            <w:pPr>
              <w:pStyle w:val="CETBodytext"/>
              <w:jc w:val="center"/>
              <w:rPr>
                <w:lang w:val="en-GB"/>
              </w:rPr>
            </w:pPr>
            <w:r w:rsidRPr="00C92F49">
              <w:rPr>
                <w:lang w:val="en-GB"/>
              </w:rPr>
              <w:t>1500</w:t>
            </w:r>
          </w:p>
        </w:tc>
        <w:tc>
          <w:tcPr>
            <w:tcW w:w="2037" w:type="dxa"/>
            <w:shd w:val="clear" w:color="auto" w:fill="FFFFFF"/>
          </w:tcPr>
          <w:p w14:paraId="0EEA87C9" w14:textId="516896FB" w:rsidR="000C19CA" w:rsidRPr="00C92F49" w:rsidRDefault="000C19CA" w:rsidP="000C19CA">
            <w:pPr>
              <w:pStyle w:val="CETBodytext"/>
              <w:jc w:val="center"/>
              <w:rPr>
                <w:lang w:val="en-GB"/>
              </w:rPr>
            </w:pPr>
            <w:r w:rsidRPr="00C92F49">
              <w:rPr>
                <w:lang w:val="en-GB"/>
              </w:rPr>
              <w:t>1500</w:t>
            </w:r>
          </w:p>
        </w:tc>
      </w:tr>
      <w:tr w:rsidR="000C19CA" w:rsidRPr="00B57B36" w14:paraId="718BFB3E" w14:textId="77777777" w:rsidTr="00BF787D">
        <w:tc>
          <w:tcPr>
            <w:tcW w:w="3600" w:type="dxa"/>
            <w:shd w:val="clear" w:color="auto" w:fill="FFFFFF"/>
          </w:tcPr>
          <w:p w14:paraId="0129038C" w14:textId="54F75814" w:rsidR="000C19CA" w:rsidRDefault="000C19CA" w:rsidP="000C19CA">
            <w:pPr>
              <w:pStyle w:val="CETBodytext"/>
              <w:rPr>
                <w:rFonts w:cs="Arial"/>
                <w:szCs w:val="18"/>
                <w:lang w:val="en-GB"/>
              </w:rPr>
            </w:pPr>
            <w:r>
              <w:rPr>
                <w:rFonts w:cs="Arial"/>
                <w:szCs w:val="18"/>
                <w:lang w:val="en-GB"/>
              </w:rPr>
              <w:t xml:space="preserve">Number of </w:t>
            </w:r>
            <w:r w:rsidR="001F1EEC">
              <w:rPr>
                <w:rFonts w:cs="Arial"/>
                <w:szCs w:val="18"/>
                <w:lang w:val="en-GB"/>
              </w:rPr>
              <w:t>Liquefaction</w:t>
            </w:r>
            <w:r>
              <w:rPr>
                <w:rFonts w:cs="Arial"/>
                <w:szCs w:val="18"/>
                <w:lang w:val="en-GB"/>
              </w:rPr>
              <w:t xml:space="preserve"> Trains</w:t>
            </w:r>
          </w:p>
        </w:tc>
        <w:tc>
          <w:tcPr>
            <w:tcW w:w="1170" w:type="dxa"/>
            <w:shd w:val="clear" w:color="auto" w:fill="FFFFFF"/>
          </w:tcPr>
          <w:p w14:paraId="1D79CA95" w14:textId="10C51888" w:rsidR="000C19CA" w:rsidRDefault="00AC2395" w:rsidP="000C19CA">
            <w:pPr>
              <w:pStyle w:val="CETBodytext"/>
              <w:jc w:val="center"/>
              <w:rPr>
                <w:rFonts w:cs="Arial"/>
                <w:szCs w:val="18"/>
                <w:lang w:val="en-GB"/>
              </w:rPr>
            </w:pPr>
            <w:r>
              <w:rPr>
                <w:rFonts w:cs="Arial"/>
                <w:szCs w:val="18"/>
                <w:lang w:val="en-GB"/>
              </w:rPr>
              <w:t>-</w:t>
            </w:r>
          </w:p>
        </w:tc>
        <w:tc>
          <w:tcPr>
            <w:tcW w:w="1980" w:type="dxa"/>
            <w:shd w:val="clear" w:color="auto" w:fill="FFFFFF"/>
          </w:tcPr>
          <w:p w14:paraId="355C4715" w14:textId="3DA27DE8" w:rsidR="000C19CA" w:rsidRPr="00C92F49" w:rsidRDefault="000C19CA" w:rsidP="000C19CA">
            <w:pPr>
              <w:pStyle w:val="CETBodytext"/>
              <w:jc w:val="center"/>
              <w:rPr>
                <w:lang w:val="en-GB"/>
              </w:rPr>
            </w:pPr>
            <w:r w:rsidRPr="00C92F49">
              <w:rPr>
                <w:lang w:val="en-GB"/>
              </w:rPr>
              <w:t>4</w:t>
            </w:r>
          </w:p>
        </w:tc>
        <w:tc>
          <w:tcPr>
            <w:tcW w:w="2037" w:type="dxa"/>
            <w:shd w:val="clear" w:color="auto" w:fill="FFFFFF"/>
          </w:tcPr>
          <w:p w14:paraId="645D7CDC" w14:textId="1DC4FBBC" w:rsidR="000C19CA" w:rsidRPr="00C92F49" w:rsidRDefault="000C19CA" w:rsidP="000C19CA">
            <w:pPr>
              <w:pStyle w:val="CETBodytext"/>
              <w:jc w:val="center"/>
              <w:rPr>
                <w:lang w:val="en-GB"/>
              </w:rPr>
            </w:pPr>
            <w:r w:rsidRPr="00C92F49">
              <w:rPr>
                <w:lang w:val="en-GB"/>
              </w:rPr>
              <w:t>1</w:t>
            </w:r>
          </w:p>
        </w:tc>
      </w:tr>
      <w:tr w:rsidR="000C19CA" w:rsidRPr="00B57B36" w14:paraId="4A0BD77B" w14:textId="77777777" w:rsidTr="00BF787D">
        <w:tc>
          <w:tcPr>
            <w:tcW w:w="3600" w:type="dxa"/>
            <w:shd w:val="clear" w:color="auto" w:fill="FFFFFF"/>
          </w:tcPr>
          <w:p w14:paraId="223270A9" w14:textId="4190C262" w:rsidR="000C19CA" w:rsidRDefault="000C19CA" w:rsidP="000C19CA">
            <w:pPr>
              <w:pStyle w:val="CETBodytext"/>
              <w:rPr>
                <w:rFonts w:cs="Arial"/>
                <w:szCs w:val="18"/>
                <w:lang w:val="en-GB"/>
              </w:rPr>
            </w:pPr>
            <w:r>
              <w:rPr>
                <w:rFonts w:cs="Arial"/>
                <w:szCs w:val="18"/>
                <w:lang w:val="en-GB"/>
              </w:rPr>
              <w:t>Number of Compressors</w:t>
            </w:r>
          </w:p>
        </w:tc>
        <w:tc>
          <w:tcPr>
            <w:tcW w:w="1170" w:type="dxa"/>
            <w:shd w:val="clear" w:color="auto" w:fill="FFFFFF"/>
          </w:tcPr>
          <w:p w14:paraId="0418D60B" w14:textId="744ADCC4" w:rsidR="000C19CA" w:rsidRDefault="00AC2395" w:rsidP="000C19CA">
            <w:pPr>
              <w:pStyle w:val="CETBodytext"/>
              <w:jc w:val="center"/>
              <w:rPr>
                <w:rFonts w:cs="Arial"/>
                <w:szCs w:val="18"/>
                <w:lang w:val="en-GB"/>
              </w:rPr>
            </w:pPr>
            <w:r>
              <w:rPr>
                <w:rFonts w:cs="Arial"/>
                <w:szCs w:val="18"/>
                <w:lang w:val="en-GB"/>
              </w:rPr>
              <w:t>-</w:t>
            </w:r>
          </w:p>
        </w:tc>
        <w:tc>
          <w:tcPr>
            <w:tcW w:w="1980" w:type="dxa"/>
            <w:shd w:val="clear" w:color="auto" w:fill="FFFFFF"/>
          </w:tcPr>
          <w:p w14:paraId="53472B18" w14:textId="697E1173" w:rsidR="000C19CA" w:rsidRPr="00C92F49" w:rsidRDefault="000C19CA" w:rsidP="000C19CA">
            <w:pPr>
              <w:pStyle w:val="CETBodytext"/>
              <w:jc w:val="center"/>
              <w:rPr>
                <w:lang w:val="en-GB"/>
              </w:rPr>
            </w:pPr>
            <w:r w:rsidRPr="00C92F49">
              <w:rPr>
                <w:lang w:val="en-GB"/>
              </w:rPr>
              <w:t>8</w:t>
            </w:r>
          </w:p>
        </w:tc>
        <w:tc>
          <w:tcPr>
            <w:tcW w:w="2037" w:type="dxa"/>
            <w:shd w:val="clear" w:color="auto" w:fill="FFFFFF"/>
          </w:tcPr>
          <w:p w14:paraId="47D824E2" w14:textId="24705F8A" w:rsidR="000C19CA" w:rsidRPr="00C92F49" w:rsidRDefault="000C19CA" w:rsidP="000C19CA">
            <w:pPr>
              <w:pStyle w:val="CETBodytext"/>
              <w:jc w:val="center"/>
              <w:rPr>
                <w:lang w:val="en-GB"/>
              </w:rPr>
            </w:pPr>
            <w:r w:rsidRPr="00C92F49">
              <w:rPr>
                <w:lang w:val="en-GB"/>
              </w:rPr>
              <w:t>1</w:t>
            </w:r>
          </w:p>
        </w:tc>
      </w:tr>
      <w:tr w:rsidR="000C19CA" w:rsidRPr="00B57B36" w14:paraId="5E655447" w14:textId="77777777" w:rsidTr="00BF787D">
        <w:tc>
          <w:tcPr>
            <w:tcW w:w="3600" w:type="dxa"/>
            <w:shd w:val="clear" w:color="auto" w:fill="FFFFFF"/>
          </w:tcPr>
          <w:p w14:paraId="43565A4E" w14:textId="37034B3A" w:rsidR="000C19CA" w:rsidRPr="005557EE" w:rsidRDefault="005557EE" w:rsidP="000C19CA">
            <w:pPr>
              <w:pStyle w:val="CETBodytext"/>
              <w:rPr>
                <w:rFonts w:cs="Arial"/>
                <w:szCs w:val="18"/>
                <w:lang w:val="en-GB"/>
              </w:rPr>
            </w:pPr>
            <w:r>
              <w:rPr>
                <w:rFonts w:cs="Arial"/>
                <w:szCs w:val="18"/>
                <w:lang w:val="en-GB"/>
              </w:rPr>
              <w:t>CO</w:t>
            </w:r>
            <w:r w:rsidRPr="005557EE">
              <w:rPr>
                <w:rFonts w:cs="Arial"/>
                <w:szCs w:val="18"/>
                <w:vertAlign w:val="subscript"/>
                <w:lang w:val="en-GB"/>
              </w:rPr>
              <w:t>2</w:t>
            </w:r>
            <w:r>
              <w:rPr>
                <w:rFonts w:cs="Arial"/>
                <w:szCs w:val="18"/>
                <w:lang w:val="en-GB"/>
              </w:rPr>
              <w:t xml:space="preserve"> Recovery @15 bar(g) LCO</w:t>
            </w:r>
            <w:r w:rsidRPr="005557EE">
              <w:rPr>
                <w:rFonts w:cs="Arial"/>
                <w:szCs w:val="18"/>
                <w:vertAlign w:val="subscript"/>
                <w:lang w:val="en-GB"/>
              </w:rPr>
              <w:t>2</w:t>
            </w:r>
            <w:r>
              <w:rPr>
                <w:rFonts w:cs="Arial"/>
                <w:szCs w:val="18"/>
                <w:lang w:val="en-GB"/>
              </w:rPr>
              <w:t xml:space="preserve"> pressure</w:t>
            </w:r>
          </w:p>
        </w:tc>
        <w:tc>
          <w:tcPr>
            <w:tcW w:w="1170" w:type="dxa"/>
            <w:shd w:val="clear" w:color="auto" w:fill="FFFFFF"/>
          </w:tcPr>
          <w:p w14:paraId="62D34D42" w14:textId="1469B3BC" w:rsidR="000C19CA" w:rsidRDefault="005557EE" w:rsidP="000C19CA">
            <w:pPr>
              <w:pStyle w:val="CETBodytext"/>
              <w:jc w:val="center"/>
              <w:rPr>
                <w:rFonts w:cs="Arial"/>
                <w:szCs w:val="18"/>
                <w:lang w:val="en-GB"/>
              </w:rPr>
            </w:pPr>
            <w:r>
              <w:rPr>
                <w:rFonts w:cs="Arial"/>
                <w:szCs w:val="18"/>
                <w:lang w:val="en-GB"/>
              </w:rPr>
              <w:t>%</w:t>
            </w:r>
          </w:p>
        </w:tc>
        <w:tc>
          <w:tcPr>
            <w:tcW w:w="1980" w:type="dxa"/>
            <w:shd w:val="clear" w:color="auto" w:fill="FFFFFF"/>
          </w:tcPr>
          <w:p w14:paraId="3067D7E4" w14:textId="0F94AFAD" w:rsidR="000C19CA" w:rsidRPr="00C92F49" w:rsidRDefault="00F403C7" w:rsidP="000C19CA">
            <w:pPr>
              <w:pStyle w:val="CETBodytext"/>
              <w:jc w:val="center"/>
              <w:rPr>
                <w:rFonts w:cs="Arial"/>
                <w:lang w:val="en-GB"/>
              </w:rPr>
            </w:pPr>
            <w:r w:rsidRPr="00C92F49">
              <w:rPr>
                <w:rFonts w:cs="Arial"/>
                <w:lang w:val="en-GB"/>
              </w:rPr>
              <w:t>99.</w:t>
            </w:r>
            <w:r w:rsidR="00874BB0" w:rsidRPr="00C92F49">
              <w:rPr>
                <w:rFonts w:cs="Arial"/>
                <w:lang w:val="en-GB"/>
              </w:rPr>
              <w:t>42</w:t>
            </w:r>
          </w:p>
        </w:tc>
        <w:tc>
          <w:tcPr>
            <w:tcW w:w="2037" w:type="dxa"/>
            <w:shd w:val="clear" w:color="auto" w:fill="FFFFFF"/>
          </w:tcPr>
          <w:p w14:paraId="5F47BE88" w14:textId="22074636" w:rsidR="000C19CA" w:rsidRPr="00C92F49" w:rsidRDefault="00F403C7" w:rsidP="000C19CA">
            <w:pPr>
              <w:pStyle w:val="CETBodytext"/>
              <w:jc w:val="center"/>
              <w:rPr>
                <w:lang w:val="en-GB"/>
              </w:rPr>
            </w:pPr>
            <w:r w:rsidRPr="00C92F49">
              <w:rPr>
                <w:lang w:val="en-GB"/>
              </w:rPr>
              <w:t>99.68</w:t>
            </w:r>
          </w:p>
        </w:tc>
      </w:tr>
      <w:tr w:rsidR="000C19CA" w:rsidRPr="00B57B36" w14:paraId="31377BBA" w14:textId="77777777" w:rsidTr="00BF787D">
        <w:tc>
          <w:tcPr>
            <w:tcW w:w="3600" w:type="dxa"/>
            <w:shd w:val="clear" w:color="auto" w:fill="FFFFFF"/>
          </w:tcPr>
          <w:p w14:paraId="705EFEB5" w14:textId="3A95DFB3" w:rsidR="000C19CA" w:rsidRDefault="005557EE" w:rsidP="000C19CA">
            <w:pPr>
              <w:pStyle w:val="CETBodytext"/>
              <w:rPr>
                <w:rFonts w:cs="Arial"/>
                <w:szCs w:val="18"/>
                <w:lang w:val="en-GB"/>
              </w:rPr>
            </w:pPr>
            <w:r>
              <w:rPr>
                <w:rFonts w:cs="Arial"/>
                <w:szCs w:val="18"/>
                <w:lang w:val="en-GB"/>
              </w:rPr>
              <w:t>CO</w:t>
            </w:r>
            <w:r w:rsidRPr="005557EE">
              <w:rPr>
                <w:rFonts w:cs="Arial"/>
                <w:szCs w:val="18"/>
                <w:vertAlign w:val="subscript"/>
                <w:lang w:val="en-GB"/>
              </w:rPr>
              <w:t>2</w:t>
            </w:r>
            <w:r>
              <w:rPr>
                <w:rFonts w:cs="Arial"/>
                <w:szCs w:val="18"/>
                <w:lang w:val="en-GB"/>
              </w:rPr>
              <w:t xml:space="preserve"> Recovery @7 bar(g) LCO</w:t>
            </w:r>
            <w:r w:rsidRPr="005557EE">
              <w:rPr>
                <w:rFonts w:cs="Arial"/>
                <w:szCs w:val="18"/>
                <w:vertAlign w:val="subscript"/>
                <w:lang w:val="en-GB"/>
              </w:rPr>
              <w:t>2</w:t>
            </w:r>
            <w:r>
              <w:rPr>
                <w:rFonts w:cs="Arial"/>
                <w:szCs w:val="18"/>
                <w:lang w:val="en-GB"/>
              </w:rPr>
              <w:t xml:space="preserve"> pressure</w:t>
            </w:r>
          </w:p>
        </w:tc>
        <w:tc>
          <w:tcPr>
            <w:tcW w:w="1170" w:type="dxa"/>
            <w:shd w:val="clear" w:color="auto" w:fill="FFFFFF"/>
          </w:tcPr>
          <w:p w14:paraId="075E5A92" w14:textId="22B3A168" w:rsidR="000C19CA" w:rsidRDefault="005557EE" w:rsidP="000C19CA">
            <w:pPr>
              <w:pStyle w:val="CETBodytext"/>
              <w:jc w:val="center"/>
              <w:rPr>
                <w:rFonts w:cs="Arial"/>
                <w:szCs w:val="18"/>
                <w:lang w:val="en-GB"/>
              </w:rPr>
            </w:pPr>
            <w:r>
              <w:rPr>
                <w:rFonts w:cs="Arial"/>
                <w:szCs w:val="18"/>
                <w:lang w:val="en-GB"/>
              </w:rPr>
              <w:t>%</w:t>
            </w:r>
          </w:p>
        </w:tc>
        <w:tc>
          <w:tcPr>
            <w:tcW w:w="1980" w:type="dxa"/>
            <w:shd w:val="clear" w:color="auto" w:fill="FFFFFF"/>
          </w:tcPr>
          <w:p w14:paraId="26E2FA0D" w14:textId="6EFFC7CA" w:rsidR="000C19CA" w:rsidRPr="00C92F49" w:rsidRDefault="0053656B" w:rsidP="000C19CA">
            <w:pPr>
              <w:pStyle w:val="CETBodytext"/>
              <w:jc w:val="center"/>
              <w:rPr>
                <w:rFonts w:cs="Arial"/>
                <w:lang w:val="en-GB"/>
              </w:rPr>
            </w:pPr>
            <w:r w:rsidRPr="00C92F49">
              <w:rPr>
                <w:rFonts w:cs="Arial"/>
                <w:lang w:val="en-GB"/>
              </w:rPr>
              <w:t>87.43</w:t>
            </w:r>
          </w:p>
        </w:tc>
        <w:tc>
          <w:tcPr>
            <w:tcW w:w="2037" w:type="dxa"/>
            <w:shd w:val="clear" w:color="auto" w:fill="FFFFFF"/>
          </w:tcPr>
          <w:p w14:paraId="49C54D68" w14:textId="5976BBE8" w:rsidR="000C19CA" w:rsidRPr="00C92F49" w:rsidRDefault="00F403C7" w:rsidP="000C19CA">
            <w:pPr>
              <w:pStyle w:val="CETBodytext"/>
              <w:jc w:val="center"/>
              <w:rPr>
                <w:lang w:val="en-GB"/>
              </w:rPr>
            </w:pPr>
            <w:r w:rsidRPr="00C92F49">
              <w:rPr>
                <w:lang w:val="en-GB"/>
              </w:rPr>
              <w:t>99.68</w:t>
            </w:r>
          </w:p>
        </w:tc>
      </w:tr>
      <w:tr w:rsidR="000C19CA" w:rsidRPr="00B57B36" w14:paraId="7F3F3899" w14:textId="77777777" w:rsidTr="00BF787D">
        <w:tc>
          <w:tcPr>
            <w:tcW w:w="3600" w:type="dxa"/>
            <w:shd w:val="clear" w:color="auto" w:fill="FFFFFF"/>
          </w:tcPr>
          <w:p w14:paraId="38926C75" w14:textId="0B30FE3F" w:rsidR="000C19CA" w:rsidRDefault="005557EE" w:rsidP="000C19CA">
            <w:pPr>
              <w:pStyle w:val="CETBodytext"/>
              <w:rPr>
                <w:rFonts w:cs="Arial"/>
                <w:szCs w:val="18"/>
                <w:lang w:val="en-GB"/>
              </w:rPr>
            </w:pPr>
            <w:r>
              <w:rPr>
                <w:rFonts w:cs="Arial"/>
                <w:szCs w:val="18"/>
                <w:lang w:val="en-GB"/>
              </w:rPr>
              <w:t>Energy Efficiency @15 bar(g) LCO</w:t>
            </w:r>
            <w:r w:rsidRPr="005557EE">
              <w:rPr>
                <w:rFonts w:cs="Arial"/>
                <w:szCs w:val="18"/>
                <w:vertAlign w:val="subscript"/>
                <w:lang w:val="en-GB"/>
              </w:rPr>
              <w:t>2</w:t>
            </w:r>
            <w:r>
              <w:rPr>
                <w:rFonts w:cs="Arial"/>
                <w:szCs w:val="18"/>
                <w:lang w:val="en-GB"/>
              </w:rPr>
              <w:t xml:space="preserve"> pressure</w:t>
            </w:r>
          </w:p>
        </w:tc>
        <w:tc>
          <w:tcPr>
            <w:tcW w:w="1170" w:type="dxa"/>
            <w:shd w:val="clear" w:color="auto" w:fill="FFFFFF"/>
          </w:tcPr>
          <w:p w14:paraId="64578ED5" w14:textId="642738AE" w:rsidR="000C19CA" w:rsidRDefault="005557EE" w:rsidP="000C19CA">
            <w:pPr>
              <w:pStyle w:val="CETBodytext"/>
              <w:jc w:val="center"/>
              <w:rPr>
                <w:rFonts w:cs="Arial"/>
                <w:szCs w:val="18"/>
                <w:lang w:val="en-GB"/>
              </w:rPr>
            </w:pPr>
            <w:r>
              <w:rPr>
                <w:rFonts w:cs="Arial"/>
                <w:szCs w:val="18"/>
                <w:lang w:val="en-GB"/>
              </w:rPr>
              <w:t>kWh/t</w:t>
            </w:r>
            <w:r w:rsidRPr="005557EE">
              <w:rPr>
                <w:rFonts w:cs="Arial"/>
                <w:szCs w:val="18"/>
                <w:vertAlign w:val="subscript"/>
                <w:lang w:val="en-GB"/>
              </w:rPr>
              <w:t>CO2</w:t>
            </w:r>
          </w:p>
        </w:tc>
        <w:tc>
          <w:tcPr>
            <w:tcW w:w="1980" w:type="dxa"/>
            <w:shd w:val="clear" w:color="auto" w:fill="FFFFFF"/>
          </w:tcPr>
          <w:p w14:paraId="57EB5019" w14:textId="10E795A1" w:rsidR="000C19CA" w:rsidRPr="00C92F49" w:rsidRDefault="00CE179F" w:rsidP="000C19CA">
            <w:pPr>
              <w:pStyle w:val="CETBodytext"/>
              <w:jc w:val="center"/>
              <w:rPr>
                <w:rFonts w:cs="Arial"/>
                <w:lang w:val="en-GB"/>
              </w:rPr>
            </w:pPr>
            <w:r w:rsidRPr="00C92F49">
              <w:rPr>
                <w:rFonts w:cs="Arial"/>
                <w:lang w:val="en-GB"/>
              </w:rPr>
              <w:t>125.</w:t>
            </w:r>
            <w:r w:rsidR="00C216AB" w:rsidRPr="00C92F49">
              <w:rPr>
                <w:rFonts w:cs="Arial"/>
                <w:lang w:val="en-GB"/>
              </w:rPr>
              <w:t>9</w:t>
            </w:r>
          </w:p>
        </w:tc>
        <w:tc>
          <w:tcPr>
            <w:tcW w:w="2037" w:type="dxa"/>
            <w:shd w:val="clear" w:color="auto" w:fill="FFFFFF"/>
          </w:tcPr>
          <w:p w14:paraId="0E0F626A" w14:textId="58C39F75" w:rsidR="000C19CA" w:rsidRPr="00C92F49" w:rsidRDefault="00F80798" w:rsidP="000C19CA">
            <w:pPr>
              <w:pStyle w:val="CETBodytext"/>
              <w:jc w:val="center"/>
              <w:rPr>
                <w:rFonts w:cs="Arial"/>
                <w:lang w:val="en-GB"/>
              </w:rPr>
            </w:pPr>
            <w:r w:rsidRPr="00C92F49">
              <w:rPr>
                <w:rFonts w:cs="Arial"/>
                <w:lang w:val="en-GB"/>
              </w:rPr>
              <w:t>111.9</w:t>
            </w:r>
          </w:p>
        </w:tc>
      </w:tr>
      <w:tr w:rsidR="000C19CA" w:rsidRPr="00B57B36" w14:paraId="754008C1" w14:textId="77777777" w:rsidTr="00BF787D">
        <w:tc>
          <w:tcPr>
            <w:tcW w:w="3600" w:type="dxa"/>
            <w:shd w:val="clear" w:color="auto" w:fill="FFFFFF"/>
          </w:tcPr>
          <w:p w14:paraId="376B3959" w14:textId="06D1E0D5" w:rsidR="000C19CA" w:rsidRDefault="005557EE" w:rsidP="000C19CA">
            <w:pPr>
              <w:pStyle w:val="CETBodytext"/>
              <w:rPr>
                <w:rFonts w:cs="Arial"/>
                <w:szCs w:val="18"/>
                <w:lang w:val="en-GB"/>
              </w:rPr>
            </w:pPr>
            <w:r>
              <w:rPr>
                <w:rFonts w:cs="Arial"/>
                <w:szCs w:val="18"/>
                <w:lang w:val="en-GB"/>
              </w:rPr>
              <w:t>Energy Efficiency @7 bar(g) LCO</w:t>
            </w:r>
            <w:r w:rsidRPr="005557EE">
              <w:rPr>
                <w:rFonts w:cs="Arial"/>
                <w:szCs w:val="18"/>
                <w:vertAlign w:val="subscript"/>
                <w:lang w:val="en-GB"/>
              </w:rPr>
              <w:t>2</w:t>
            </w:r>
            <w:r>
              <w:rPr>
                <w:rFonts w:cs="Arial"/>
                <w:szCs w:val="18"/>
                <w:lang w:val="en-GB"/>
              </w:rPr>
              <w:t xml:space="preserve"> pressure</w:t>
            </w:r>
          </w:p>
        </w:tc>
        <w:tc>
          <w:tcPr>
            <w:tcW w:w="1170" w:type="dxa"/>
            <w:shd w:val="clear" w:color="auto" w:fill="FFFFFF"/>
          </w:tcPr>
          <w:p w14:paraId="2783D73C" w14:textId="715BC493" w:rsidR="000C19CA" w:rsidRDefault="005557EE" w:rsidP="000C19CA">
            <w:pPr>
              <w:pStyle w:val="CETBodytext"/>
              <w:jc w:val="center"/>
              <w:rPr>
                <w:rFonts w:cs="Arial"/>
                <w:szCs w:val="18"/>
                <w:lang w:val="en-GB"/>
              </w:rPr>
            </w:pPr>
            <w:r>
              <w:rPr>
                <w:rFonts w:cs="Arial"/>
                <w:szCs w:val="18"/>
                <w:lang w:val="en-GB"/>
              </w:rPr>
              <w:t>kWh/t</w:t>
            </w:r>
            <w:r w:rsidRPr="005557EE">
              <w:rPr>
                <w:rFonts w:cs="Arial"/>
                <w:szCs w:val="18"/>
                <w:vertAlign w:val="subscript"/>
                <w:lang w:val="en-GB"/>
              </w:rPr>
              <w:t>CO2</w:t>
            </w:r>
          </w:p>
        </w:tc>
        <w:tc>
          <w:tcPr>
            <w:tcW w:w="1980" w:type="dxa"/>
            <w:shd w:val="clear" w:color="auto" w:fill="FFFFFF"/>
          </w:tcPr>
          <w:p w14:paraId="172802B8" w14:textId="5402FE55" w:rsidR="000C19CA" w:rsidRPr="00C92F49" w:rsidRDefault="0053656B" w:rsidP="000C19CA">
            <w:pPr>
              <w:pStyle w:val="CETBodytext"/>
              <w:jc w:val="center"/>
              <w:rPr>
                <w:lang w:val="en-GB"/>
              </w:rPr>
            </w:pPr>
            <w:r w:rsidRPr="00C92F49">
              <w:rPr>
                <w:lang w:val="en-GB"/>
              </w:rPr>
              <w:t>142.5</w:t>
            </w:r>
          </w:p>
        </w:tc>
        <w:tc>
          <w:tcPr>
            <w:tcW w:w="2037" w:type="dxa"/>
            <w:shd w:val="clear" w:color="auto" w:fill="FFFFFF"/>
          </w:tcPr>
          <w:p w14:paraId="07E4F2B7" w14:textId="0AEED5A1" w:rsidR="000C19CA" w:rsidRPr="00C92F49" w:rsidRDefault="00F80798" w:rsidP="000C19CA">
            <w:pPr>
              <w:pStyle w:val="CETBodytext"/>
              <w:jc w:val="center"/>
              <w:rPr>
                <w:lang w:val="en-GB"/>
              </w:rPr>
            </w:pPr>
            <w:r w:rsidRPr="00C92F49">
              <w:rPr>
                <w:lang w:val="en-GB"/>
              </w:rPr>
              <w:t>123.5</w:t>
            </w:r>
          </w:p>
        </w:tc>
      </w:tr>
      <w:tr w:rsidR="00334C91" w:rsidRPr="00B57B36" w14:paraId="71903739" w14:textId="77777777" w:rsidTr="00241761">
        <w:tc>
          <w:tcPr>
            <w:tcW w:w="3600" w:type="dxa"/>
            <w:shd w:val="clear" w:color="auto" w:fill="FFFFFF"/>
          </w:tcPr>
          <w:p w14:paraId="605546AF" w14:textId="4BB38FB1" w:rsidR="00334C91" w:rsidRDefault="00334C91" w:rsidP="00334C91">
            <w:pPr>
              <w:pStyle w:val="CETBodytext"/>
              <w:rPr>
                <w:rFonts w:cs="Arial"/>
                <w:szCs w:val="18"/>
                <w:lang w:val="en-GB"/>
              </w:rPr>
            </w:pPr>
            <w:r>
              <w:rPr>
                <w:rFonts w:cs="Arial"/>
                <w:szCs w:val="18"/>
                <w:lang w:val="en-GB"/>
              </w:rPr>
              <w:t>Operational Costs @15 bar(g) LCO</w:t>
            </w:r>
            <w:r w:rsidRPr="005557EE">
              <w:rPr>
                <w:rFonts w:cs="Arial"/>
                <w:szCs w:val="18"/>
                <w:vertAlign w:val="subscript"/>
                <w:lang w:val="en-GB"/>
              </w:rPr>
              <w:t>2</w:t>
            </w:r>
            <w:r>
              <w:rPr>
                <w:rFonts w:cs="Arial"/>
                <w:szCs w:val="18"/>
                <w:lang w:val="en-GB"/>
              </w:rPr>
              <w:t xml:space="preserve"> pressure</w:t>
            </w:r>
          </w:p>
        </w:tc>
        <w:tc>
          <w:tcPr>
            <w:tcW w:w="1170" w:type="dxa"/>
            <w:shd w:val="clear" w:color="auto" w:fill="FFFFFF"/>
          </w:tcPr>
          <w:p w14:paraId="4285A0A9" w14:textId="4DD99D19" w:rsidR="00334C91" w:rsidRDefault="00284BC4" w:rsidP="00334C91">
            <w:pPr>
              <w:pStyle w:val="CETBodytext"/>
              <w:jc w:val="center"/>
              <w:rPr>
                <w:rFonts w:cs="Arial"/>
                <w:szCs w:val="18"/>
                <w:lang w:val="en-GB"/>
              </w:rPr>
            </w:pPr>
            <w:r>
              <w:rPr>
                <w:rFonts w:cs="Arial"/>
                <w:szCs w:val="18"/>
                <w:lang w:val="en-GB"/>
              </w:rPr>
              <w:t>€/t</w:t>
            </w:r>
            <w:r w:rsidRPr="005557EE">
              <w:rPr>
                <w:rFonts w:cs="Arial"/>
                <w:szCs w:val="18"/>
                <w:vertAlign w:val="subscript"/>
                <w:lang w:val="en-GB"/>
              </w:rPr>
              <w:t>CO2</w:t>
            </w:r>
          </w:p>
        </w:tc>
        <w:tc>
          <w:tcPr>
            <w:tcW w:w="1980" w:type="dxa"/>
            <w:shd w:val="clear" w:color="auto" w:fill="FFFFFF"/>
          </w:tcPr>
          <w:p w14:paraId="1B713B41" w14:textId="0B65E806" w:rsidR="00334C91" w:rsidRPr="00C92F49" w:rsidRDefault="00D276D2" w:rsidP="00334C91">
            <w:pPr>
              <w:pStyle w:val="CETBodytext"/>
              <w:jc w:val="center"/>
              <w:rPr>
                <w:lang w:val="en-GB"/>
              </w:rPr>
            </w:pPr>
            <w:r>
              <w:rPr>
                <w:lang w:val="en-GB"/>
              </w:rPr>
              <w:t>13.0</w:t>
            </w:r>
          </w:p>
        </w:tc>
        <w:tc>
          <w:tcPr>
            <w:tcW w:w="2037" w:type="dxa"/>
            <w:shd w:val="clear" w:color="auto" w:fill="FFFFFF"/>
          </w:tcPr>
          <w:p w14:paraId="61FAE781" w14:textId="18E43B94" w:rsidR="00334C91" w:rsidRPr="00C92F49" w:rsidRDefault="00CA5C88" w:rsidP="00334C91">
            <w:pPr>
              <w:pStyle w:val="CETBodytext"/>
              <w:jc w:val="center"/>
              <w:rPr>
                <w:lang w:val="en-GB"/>
              </w:rPr>
            </w:pPr>
            <w:r>
              <w:rPr>
                <w:lang w:val="en-GB"/>
              </w:rPr>
              <w:t>1</w:t>
            </w:r>
            <w:r w:rsidR="00D276D2">
              <w:rPr>
                <w:lang w:val="en-GB"/>
              </w:rPr>
              <w:t>1.5</w:t>
            </w:r>
          </w:p>
        </w:tc>
      </w:tr>
      <w:tr w:rsidR="00334C91" w:rsidRPr="00B57B36" w14:paraId="17F5709E" w14:textId="77777777" w:rsidTr="00241761">
        <w:tc>
          <w:tcPr>
            <w:tcW w:w="3600" w:type="dxa"/>
            <w:shd w:val="clear" w:color="auto" w:fill="FFFFFF"/>
          </w:tcPr>
          <w:p w14:paraId="656C2BE5" w14:textId="4C4EE074" w:rsidR="00334C91" w:rsidRDefault="00334C91" w:rsidP="00334C91">
            <w:pPr>
              <w:pStyle w:val="CETBodytext"/>
              <w:rPr>
                <w:rFonts w:cs="Arial"/>
                <w:szCs w:val="18"/>
                <w:lang w:val="en-GB"/>
              </w:rPr>
            </w:pPr>
            <w:r>
              <w:rPr>
                <w:rFonts w:cs="Arial"/>
                <w:szCs w:val="18"/>
                <w:lang w:val="en-GB"/>
              </w:rPr>
              <w:t>Operational Costs @7 bar(g) LCO</w:t>
            </w:r>
            <w:r w:rsidRPr="005557EE">
              <w:rPr>
                <w:rFonts w:cs="Arial"/>
                <w:szCs w:val="18"/>
                <w:vertAlign w:val="subscript"/>
                <w:lang w:val="en-GB"/>
              </w:rPr>
              <w:t>2</w:t>
            </w:r>
            <w:r>
              <w:rPr>
                <w:rFonts w:cs="Arial"/>
                <w:szCs w:val="18"/>
                <w:lang w:val="en-GB"/>
              </w:rPr>
              <w:t xml:space="preserve"> pressure</w:t>
            </w:r>
          </w:p>
        </w:tc>
        <w:tc>
          <w:tcPr>
            <w:tcW w:w="1170" w:type="dxa"/>
            <w:shd w:val="clear" w:color="auto" w:fill="FFFFFF"/>
          </w:tcPr>
          <w:p w14:paraId="01DCEBFA" w14:textId="6CDBA66D" w:rsidR="00334C91" w:rsidRDefault="00284BC4" w:rsidP="00334C91">
            <w:pPr>
              <w:pStyle w:val="CETBodytext"/>
              <w:jc w:val="center"/>
              <w:rPr>
                <w:rFonts w:cs="Arial"/>
                <w:szCs w:val="18"/>
                <w:lang w:val="en-GB"/>
              </w:rPr>
            </w:pPr>
            <w:r>
              <w:rPr>
                <w:rFonts w:cs="Arial"/>
                <w:szCs w:val="18"/>
                <w:lang w:val="en-GB"/>
              </w:rPr>
              <w:t>€/t</w:t>
            </w:r>
            <w:r w:rsidRPr="005557EE">
              <w:rPr>
                <w:rFonts w:cs="Arial"/>
                <w:szCs w:val="18"/>
                <w:vertAlign w:val="subscript"/>
                <w:lang w:val="en-GB"/>
              </w:rPr>
              <w:t>CO2</w:t>
            </w:r>
          </w:p>
        </w:tc>
        <w:tc>
          <w:tcPr>
            <w:tcW w:w="1980" w:type="dxa"/>
            <w:shd w:val="clear" w:color="auto" w:fill="FFFFFF"/>
          </w:tcPr>
          <w:p w14:paraId="13558BFF" w14:textId="5E316ED1" w:rsidR="00334C91" w:rsidRPr="00C92F49" w:rsidRDefault="00130E64" w:rsidP="00334C91">
            <w:pPr>
              <w:pStyle w:val="CETBodytext"/>
              <w:jc w:val="center"/>
              <w:rPr>
                <w:lang w:val="en-GB"/>
              </w:rPr>
            </w:pPr>
            <w:r>
              <w:rPr>
                <w:lang w:val="en-GB"/>
              </w:rPr>
              <w:t>2</w:t>
            </w:r>
            <w:r w:rsidR="00D87C47">
              <w:rPr>
                <w:lang w:val="en-GB"/>
              </w:rPr>
              <w:t>0</w:t>
            </w:r>
            <w:r>
              <w:rPr>
                <w:lang w:val="en-GB"/>
              </w:rPr>
              <w:t>.0</w:t>
            </w:r>
          </w:p>
        </w:tc>
        <w:tc>
          <w:tcPr>
            <w:tcW w:w="2037" w:type="dxa"/>
            <w:shd w:val="clear" w:color="auto" w:fill="FFFFFF"/>
          </w:tcPr>
          <w:p w14:paraId="53E875A0" w14:textId="01BF4F21" w:rsidR="00334C91" w:rsidRPr="00C92F49" w:rsidRDefault="00D276D2" w:rsidP="00334C91">
            <w:pPr>
              <w:pStyle w:val="CETBodytext"/>
              <w:jc w:val="center"/>
              <w:rPr>
                <w:lang w:val="en-GB"/>
              </w:rPr>
            </w:pPr>
            <w:r>
              <w:rPr>
                <w:lang w:val="en-GB"/>
              </w:rPr>
              <w:t>13.0</w:t>
            </w:r>
          </w:p>
        </w:tc>
      </w:tr>
      <w:tr w:rsidR="00334C91" w:rsidRPr="00B57B36" w14:paraId="35495350" w14:textId="77777777" w:rsidTr="00BF787D">
        <w:tc>
          <w:tcPr>
            <w:tcW w:w="3600" w:type="dxa"/>
            <w:shd w:val="clear" w:color="auto" w:fill="FFFFFF"/>
          </w:tcPr>
          <w:p w14:paraId="4FC2C15B" w14:textId="4BD4D95E" w:rsidR="00334C91" w:rsidRDefault="00334C91" w:rsidP="00334C91">
            <w:pPr>
              <w:pStyle w:val="CETBodytext"/>
              <w:rPr>
                <w:rFonts w:cs="Arial"/>
                <w:szCs w:val="18"/>
                <w:lang w:val="en-GB"/>
              </w:rPr>
            </w:pPr>
            <w:r>
              <w:rPr>
                <w:rFonts w:cs="Arial"/>
                <w:szCs w:val="18"/>
                <w:lang w:val="en-GB"/>
              </w:rPr>
              <w:t>Investment Costs</w:t>
            </w:r>
          </w:p>
        </w:tc>
        <w:tc>
          <w:tcPr>
            <w:tcW w:w="1170" w:type="dxa"/>
            <w:shd w:val="clear" w:color="auto" w:fill="FFFFFF"/>
          </w:tcPr>
          <w:p w14:paraId="7D80AB21" w14:textId="0AE63389" w:rsidR="00334C91" w:rsidRDefault="00334C91" w:rsidP="00334C91">
            <w:pPr>
              <w:pStyle w:val="CETBodytext"/>
              <w:jc w:val="center"/>
              <w:rPr>
                <w:rFonts w:cs="Arial"/>
                <w:szCs w:val="18"/>
                <w:lang w:val="en-GB"/>
              </w:rPr>
            </w:pPr>
            <w:r>
              <w:rPr>
                <w:rFonts w:cs="Arial"/>
                <w:szCs w:val="18"/>
                <w:lang w:val="en-GB"/>
              </w:rPr>
              <w:t>%</w:t>
            </w:r>
          </w:p>
        </w:tc>
        <w:tc>
          <w:tcPr>
            <w:tcW w:w="1980" w:type="dxa"/>
            <w:shd w:val="clear" w:color="auto" w:fill="FFFFFF"/>
          </w:tcPr>
          <w:p w14:paraId="0FA0A9F5" w14:textId="046731B9" w:rsidR="00334C91" w:rsidRPr="00C92F49" w:rsidRDefault="00334C91" w:rsidP="00334C91">
            <w:pPr>
              <w:pStyle w:val="CETBodytext"/>
              <w:jc w:val="center"/>
              <w:rPr>
                <w:lang w:val="en-GB"/>
              </w:rPr>
            </w:pPr>
            <w:r w:rsidRPr="00C92F49">
              <w:rPr>
                <w:lang w:val="en-GB"/>
              </w:rPr>
              <w:t>100%</w:t>
            </w:r>
          </w:p>
        </w:tc>
        <w:tc>
          <w:tcPr>
            <w:tcW w:w="2037" w:type="dxa"/>
            <w:shd w:val="clear" w:color="auto" w:fill="FFFFFF"/>
          </w:tcPr>
          <w:p w14:paraId="4C32007B" w14:textId="0631F84B" w:rsidR="00334C91" w:rsidRPr="00C92F49" w:rsidRDefault="00334C91" w:rsidP="00334C91">
            <w:pPr>
              <w:pStyle w:val="CETBodytext"/>
              <w:jc w:val="center"/>
              <w:rPr>
                <w:lang w:val="en-GB"/>
              </w:rPr>
            </w:pPr>
            <w:r w:rsidRPr="00C92F49">
              <w:rPr>
                <w:lang w:val="en-GB"/>
              </w:rPr>
              <w:t>55%</w:t>
            </w:r>
          </w:p>
        </w:tc>
      </w:tr>
    </w:tbl>
    <w:p w14:paraId="1EBDA1CB" w14:textId="77777777" w:rsidR="002168E7" w:rsidRDefault="002168E7" w:rsidP="00E07865">
      <w:pPr>
        <w:pStyle w:val="CETBodytext"/>
      </w:pPr>
    </w:p>
    <w:p w14:paraId="02A1BB99" w14:textId="77777777" w:rsidR="000755B4" w:rsidRPr="00280FAF" w:rsidRDefault="000755B4" w:rsidP="000755B4">
      <w:pPr>
        <w:pStyle w:val="CETHeadingxx"/>
        <w:rPr>
          <w:lang w:val="en-GB"/>
        </w:rPr>
        <w:sectPr w:rsidR="000755B4" w:rsidRPr="00280FAF" w:rsidSect="000755B4">
          <w:type w:val="continuous"/>
          <w:pgSz w:w="11906" w:h="16838" w:code="9"/>
          <w:pgMar w:top="1701" w:right="1418" w:bottom="1701" w:left="1701" w:header="1701" w:footer="0" w:gutter="0"/>
          <w:cols w:space="708"/>
          <w:formProt w:val="0"/>
          <w:titlePg/>
          <w:docGrid w:linePitch="360"/>
        </w:sectPr>
      </w:pPr>
      <w:r>
        <w:t>Nomenclature</w:t>
      </w:r>
    </w:p>
    <w:p w14:paraId="56371AC1" w14:textId="6C2A1DE1" w:rsidR="000755B4" w:rsidRPr="00442B92" w:rsidRDefault="00442B92" w:rsidP="000755B4">
      <w:pPr>
        <w:pStyle w:val="CETBodytext"/>
        <w:jc w:val="left"/>
        <w:rPr>
          <w:rFonts w:eastAsia="SimSun"/>
        </w:rPr>
      </w:pPr>
      <w:r w:rsidRPr="00442B92">
        <w:rPr>
          <w:rFonts w:eastAsia="SimSun"/>
        </w:rPr>
        <w:t>CCS</w:t>
      </w:r>
      <w:r w:rsidR="000755B4" w:rsidRPr="00442B92">
        <w:rPr>
          <w:rFonts w:eastAsia="SimSun"/>
        </w:rPr>
        <w:t xml:space="preserve"> – </w:t>
      </w:r>
      <w:r w:rsidR="007A4BCC">
        <w:rPr>
          <w:rFonts w:eastAsia="SimSun"/>
        </w:rPr>
        <w:t>Carbon Capture</w:t>
      </w:r>
      <w:r w:rsidRPr="00442B92">
        <w:rPr>
          <w:rFonts w:eastAsia="SimSun"/>
        </w:rPr>
        <w:t xml:space="preserve"> and Storage</w:t>
      </w:r>
    </w:p>
    <w:p w14:paraId="1B0A4119" w14:textId="3FBE5B1B" w:rsidR="000755B4" w:rsidRPr="00442B92" w:rsidRDefault="000755B4" w:rsidP="000755B4">
      <w:pPr>
        <w:pStyle w:val="CETBodytext"/>
        <w:jc w:val="left"/>
        <w:rPr>
          <w:rFonts w:eastAsia="SimSun"/>
        </w:rPr>
      </w:pPr>
      <w:r w:rsidRPr="00442B92">
        <w:rPr>
          <w:rFonts w:eastAsia="SimSun"/>
        </w:rPr>
        <w:t>L</w:t>
      </w:r>
      <w:r w:rsidR="00346BC4" w:rsidRPr="00442B92">
        <w:rPr>
          <w:rFonts w:eastAsia="SimSun"/>
        </w:rPr>
        <w:t>CO</w:t>
      </w:r>
      <w:r w:rsidR="00346BC4" w:rsidRPr="00442B92">
        <w:rPr>
          <w:rFonts w:eastAsia="SimSun"/>
          <w:vertAlign w:val="subscript"/>
        </w:rPr>
        <w:t>2</w:t>
      </w:r>
      <w:r w:rsidRPr="00442B92">
        <w:rPr>
          <w:rFonts w:eastAsia="SimSun"/>
        </w:rPr>
        <w:t xml:space="preserve"> – </w:t>
      </w:r>
      <w:r w:rsidR="00346BC4" w:rsidRPr="00442B92">
        <w:rPr>
          <w:rFonts w:eastAsia="SimSun"/>
        </w:rPr>
        <w:t>Liquid CO</w:t>
      </w:r>
      <w:r w:rsidR="00346BC4" w:rsidRPr="00442B92">
        <w:rPr>
          <w:rFonts w:eastAsia="SimSun"/>
          <w:vertAlign w:val="subscript"/>
        </w:rPr>
        <w:t>2</w:t>
      </w:r>
    </w:p>
    <w:p w14:paraId="73700D88" w14:textId="78904956" w:rsidR="000755B4" w:rsidRPr="00442B92" w:rsidRDefault="00346BC4" w:rsidP="000755B4">
      <w:pPr>
        <w:pStyle w:val="CETBodytext"/>
        <w:jc w:val="left"/>
        <w:rPr>
          <w:rFonts w:eastAsia="SimSun"/>
        </w:rPr>
      </w:pPr>
      <w:r w:rsidRPr="00442B92">
        <w:rPr>
          <w:rFonts w:eastAsia="SimSun"/>
        </w:rPr>
        <w:t xml:space="preserve">IG </w:t>
      </w:r>
      <w:r w:rsidR="000755B4" w:rsidRPr="00442B92">
        <w:rPr>
          <w:rFonts w:eastAsia="SimSun"/>
        </w:rPr>
        <w:t xml:space="preserve">– </w:t>
      </w:r>
      <w:r w:rsidRPr="00442B92">
        <w:rPr>
          <w:rFonts w:eastAsia="SimSun"/>
        </w:rPr>
        <w:t>Integrally Geared</w:t>
      </w:r>
    </w:p>
    <w:p w14:paraId="25AB77A7" w14:textId="15B6CB00" w:rsidR="000755B4" w:rsidRPr="00E377D0" w:rsidRDefault="00346BC4" w:rsidP="000755B4">
      <w:pPr>
        <w:pStyle w:val="CETBodytext"/>
        <w:jc w:val="left"/>
        <w:rPr>
          <w:rFonts w:eastAsia="SimSun"/>
        </w:rPr>
        <w:sectPr w:rsidR="000755B4" w:rsidRPr="00E377D0" w:rsidSect="000755B4">
          <w:type w:val="continuous"/>
          <w:pgSz w:w="11906" w:h="16838" w:code="9"/>
          <w:pgMar w:top="1701" w:right="1418" w:bottom="1701" w:left="1701" w:header="1701" w:footer="0" w:gutter="0"/>
          <w:cols w:num="2" w:space="708"/>
          <w:formProt w:val="0"/>
          <w:titlePg/>
          <w:docGrid w:linePitch="360"/>
        </w:sectPr>
      </w:pPr>
      <w:r w:rsidRPr="00442B92">
        <w:rPr>
          <w:rFonts w:eastAsia="SimSun"/>
        </w:rPr>
        <w:t>MTPD</w:t>
      </w:r>
      <w:r w:rsidR="000755B4" w:rsidRPr="00442B92">
        <w:rPr>
          <w:rFonts w:eastAsia="SimSun"/>
        </w:rPr>
        <w:t xml:space="preserve"> – </w:t>
      </w:r>
      <w:r w:rsidRPr="00442B92">
        <w:rPr>
          <w:rFonts w:eastAsia="SimSun"/>
        </w:rPr>
        <w:t>Metric Tons Per Day</w:t>
      </w:r>
      <w:r w:rsidR="000755B4" w:rsidRPr="00280FAF">
        <w:rPr>
          <w:rFonts w:eastAsia="SimSun"/>
        </w:rPr>
        <w:t xml:space="preserve"> </w:t>
      </w:r>
    </w:p>
    <w:p w14:paraId="031B65DF" w14:textId="77777777" w:rsidR="000755B4" w:rsidRPr="00B57B36" w:rsidRDefault="000755B4" w:rsidP="000755B4">
      <w:pPr>
        <w:pStyle w:val="CETReference"/>
      </w:pPr>
      <w:r w:rsidRPr="00B57B36">
        <w:t>References</w:t>
      </w:r>
    </w:p>
    <w:p w14:paraId="515DBD5B" w14:textId="18CF3E05" w:rsidR="008D491C" w:rsidRPr="00D92D69" w:rsidRDefault="002A0B43" w:rsidP="008D491C">
      <w:pPr>
        <w:pStyle w:val="CETBodytext"/>
      </w:pPr>
      <w:r w:rsidRPr="00D92D69">
        <w:t>Cavallini</w:t>
      </w:r>
      <w:r w:rsidR="008D491C" w:rsidRPr="00D92D69">
        <w:t xml:space="preserve"> </w:t>
      </w:r>
      <w:r w:rsidRPr="00D92D69">
        <w:t>A</w:t>
      </w:r>
      <w:r w:rsidR="008D491C" w:rsidRPr="00D92D69">
        <w:t xml:space="preserve">., </w:t>
      </w:r>
      <w:proofErr w:type="spellStart"/>
      <w:r w:rsidRPr="00D92D69">
        <w:t>Zilio</w:t>
      </w:r>
      <w:proofErr w:type="spellEnd"/>
      <w:r w:rsidR="008D491C" w:rsidRPr="00D92D69">
        <w:t xml:space="preserve"> </w:t>
      </w:r>
      <w:r w:rsidRPr="00D92D69">
        <w:t>C</w:t>
      </w:r>
      <w:r w:rsidR="008D491C" w:rsidRPr="00D92D69">
        <w:t>., 20</w:t>
      </w:r>
      <w:r w:rsidRPr="00D92D69">
        <w:t>07</w:t>
      </w:r>
      <w:r w:rsidR="008D491C" w:rsidRPr="00D92D69">
        <w:t xml:space="preserve">, </w:t>
      </w:r>
      <w:r w:rsidR="00D92D69" w:rsidRPr="00D92D69">
        <w:t>Carbon dioxide as a natural refrigerant</w:t>
      </w:r>
      <w:r w:rsidR="008D491C" w:rsidRPr="00D92D69">
        <w:t xml:space="preserve">, </w:t>
      </w:r>
      <w:r w:rsidR="00D92D69" w:rsidRPr="00D92D69">
        <w:t>International Journal of</w:t>
      </w:r>
      <w:r w:rsidR="00D92D69">
        <w:t xml:space="preserve"> Low-Carbon Technologies</w:t>
      </w:r>
      <w:r w:rsidR="008D491C" w:rsidRPr="00D92D69">
        <w:t xml:space="preserve">, </w:t>
      </w:r>
      <w:r w:rsidR="00D92D69">
        <w:t>2</w:t>
      </w:r>
      <w:r w:rsidR="00016881">
        <w:t>(3)</w:t>
      </w:r>
      <w:r w:rsidR="008D491C" w:rsidRPr="00D92D69">
        <w:t xml:space="preserve">, </w:t>
      </w:r>
      <w:r w:rsidR="00AA3A67">
        <w:t>225</w:t>
      </w:r>
      <w:r w:rsidR="008D491C" w:rsidRPr="00D92D69">
        <w:t>–2</w:t>
      </w:r>
      <w:r w:rsidR="00AA3A67">
        <w:t>49</w:t>
      </w:r>
      <w:r w:rsidR="008D491C" w:rsidRPr="00D92D69">
        <w:t>.</w:t>
      </w:r>
    </w:p>
    <w:p w14:paraId="14362E11" w14:textId="0D8320B4" w:rsidR="008D491C" w:rsidRDefault="00EC7730" w:rsidP="00475ABD">
      <w:pPr>
        <w:pStyle w:val="CETBodytext"/>
        <w:rPr>
          <w:lang w:val="en-GB"/>
        </w:rPr>
      </w:pPr>
      <w:r>
        <w:rPr>
          <w:lang w:val="en-GB"/>
        </w:rPr>
        <w:t>Cha</w:t>
      </w:r>
      <w:r w:rsidR="008D491C" w:rsidRPr="008D491C">
        <w:rPr>
          <w:lang w:val="en-GB"/>
        </w:rPr>
        <w:t xml:space="preserve"> </w:t>
      </w:r>
      <w:r>
        <w:rPr>
          <w:lang w:val="en-GB"/>
        </w:rPr>
        <w:t>D</w:t>
      </w:r>
      <w:r w:rsidR="008D491C" w:rsidRPr="008D491C">
        <w:rPr>
          <w:lang w:val="en-GB"/>
        </w:rPr>
        <w:t xml:space="preserve">., </w:t>
      </w:r>
      <w:r w:rsidR="00B020B6">
        <w:rPr>
          <w:lang w:val="en-GB"/>
        </w:rPr>
        <w:t xml:space="preserve">2024, </w:t>
      </w:r>
      <w:r w:rsidR="00475ABD" w:rsidRPr="00475ABD">
        <w:rPr>
          <w:lang w:val="en-GB"/>
        </w:rPr>
        <w:t xml:space="preserve">Development of long-distance and large-scale </w:t>
      </w:r>
      <w:r w:rsidR="007A4BCC">
        <w:rPr>
          <w:lang w:val="en-GB"/>
        </w:rPr>
        <w:t>Carbon Capture</w:t>
      </w:r>
      <w:r w:rsidR="00475ABD" w:rsidRPr="00475ABD">
        <w:rPr>
          <w:lang w:val="en-GB"/>
        </w:rPr>
        <w:t xml:space="preserve"> and</w:t>
      </w:r>
      <w:r w:rsidR="00475ABD">
        <w:rPr>
          <w:lang w:val="en-GB"/>
        </w:rPr>
        <w:t xml:space="preserve"> </w:t>
      </w:r>
      <w:r w:rsidR="00475ABD" w:rsidRPr="00475ABD">
        <w:rPr>
          <w:lang w:val="en-GB"/>
        </w:rPr>
        <w:t>storage (CCS) value chain using liquefied CO</w:t>
      </w:r>
      <w:r w:rsidR="00475ABD" w:rsidRPr="00475ABD">
        <w:rPr>
          <w:vertAlign w:val="subscript"/>
          <w:lang w:val="en-GB"/>
        </w:rPr>
        <w:t>2</w:t>
      </w:r>
      <w:r w:rsidR="00475ABD" w:rsidRPr="00475ABD">
        <w:rPr>
          <w:lang w:val="en-GB"/>
        </w:rPr>
        <w:t xml:space="preserve"> ship transportation</w:t>
      </w:r>
      <w:r w:rsidR="008D491C" w:rsidRPr="008D491C">
        <w:rPr>
          <w:lang w:val="en-GB"/>
        </w:rPr>
        <w:t>,</w:t>
      </w:r>
      <w:r w:rsidR="00060A30">
        <w:rPr>
          <w:lang w:val="en-GB"/>
        </w:rPr>
        <w:t xml:space="preserve"> Australian</w:t>
      </w:r>
      <w:r w:rsidR="00016881">
        <w:rPr>
          <w:lang w:val="en-GB"/>
        </w:rPr>
        <w:t xml:space="preserve"> Energy Producers Journal, 64(S1), S119-S124</w:t>
      </w:r>
      <w:r w:rsidR="008D491C" w:rsidRPr="008D491C">
        <w:rPr>
          <w:lang w:val="en-GB"/>
        </w:rPr>
        <w:t>.</w:t>
      </w:r>
    </w:p>
    <w:p w14:paraId="104E3B95" w14:textId="3896A948" w:rsidR="009F1F69" w:rsidRDefault="009F1F69" w:rsidP="00475ABD">
      <w:pPr>
        <w:pStyle w:val="CETBodytext"/>
        <w:rPr>
          <w:lang w:val="en-GB"/>
        </w:rPr>
      </w:pPr>
      <w:r>
        <w:rPr>
          <w:lang w:val="en-GB"/>
        </w:rPr>
        <w:t>Jackson S., Brodal</w:t>
      </w:r>
      <w:r w:rsidR="0064230B">
        <w:rPr>
          <w:lang w:val="en-GB"/>
        </w:rPr>
        <w:t xml:space="preserve"> E., </w:t>
      </w:r>
      <w:r w:rsidR="00EE7EF4">
        <w:rPr>
          <w:lang w:val="en-GB"/>
        </w:rPr>
        <w:t xml:space="preserve">2019, </w:t>
      </w:r>
      <w:r w:rsidR="0064230B" w:rsidRPr="0064230B">
        <w:rPr>
          <w:lang w:val="en-GB"/>
        </w:rPr>
        <w:t>Optimization of the CO2 Liquefaction Process-Performance Study with Varying Ambient Temperature</w:t>
      </w:r>
      <w:r w:rsidR="0064230B">
        <w:rPr>
          <w:lang w:val="en-GB"/>
        </w:rPr>
        <w:t xml:space="preserve">, </w:t>
      </w:r>
      <w:r w:rsidR="00371E91" w:rsidRPr="00371E91">
        <w:rPr>
          <w:i/>
          <w:iCs/>
          <w:lang w:val="en-GB"/>
        </w:rPr>
        <w:t>Appl. Sci.</w:t>
      </w:r>
      <w:r w:rsidR="00371E91" w:rsidRPr="00371E91">
        <w:rPr>
          <w:lang w:val="en-GB"/>
        </w:rPr>
        <w:t> </w:t>
      </w:r>
      <w:r w:rsidR="00371E91" w:rsidRPr="00BF787D">
        <w:rPr>
          <w:lang w:val="en-GB"/>
        </w:rPr>
        <w:t>2019</w:t>
      </w:r>
      <w:r w:rsidR="00371E91" w:rsidRPr="00371E91">
        <w:rPr>
          <w:lang w:val="en-GB"/>
        </w:rPr>
        <w:t>, </w:t>
      </w:r>
      <w:r w:rsidR="00371E91" w:rsidRPr="00371E91">
        <w:rPr>
          <w:i/>
          <w:iCs/>
          <w:lang w:val="en-GB"/>
        </w:rPr>
        <w:t>9</w:t>
      </w:r>
      <w:r w:rsidR="00371E91" w:rsidRPr="00371E91">
        <w:rPr>
          <w:lang w:val="en-GB"/>
        </w:rPr>
        <w:t>(20)</w:t>
      </w:r>
    </w:p>
    <w:p w14:paraId="11C69664" w14:textId="59E000F1" w:rsidR="00AC15AF" w:rsidRDefault="00F537A9" w:rsidP="00475ABD">
      <w:pPr>
        <w:pStyle w:val="CETBodytext"/>
        <w:rPr>
          <w:lang w:val="en-GB"/>
        </w:rPr>
      </w:pPr>
      <w:r>
        <w:rPr>
          <w:lang w:val="en-GB"/>
        </w:rPr>
        <w:t xml:space="preserve">Liao S., Jakobsen A., 1998, </w:t>
      </w:r>
      <w:r w:rsidRPr="00F537A9">
        <w:rPr>
          <w:lang w:val="en-GB"/>
        </w:rPr>
        <w:t>Optima</w:t>
      </w:r>
      <w:r>
        <w:rPr>
          <w:lang w:val="en-GB"/>
        </w:rPr>
        <w:t>l</w:t>
      </w:r>
      <w:r w:rsidRPr="00F537A9">
        <w:rPr>
          <w:lang w:val="en-GB"/>
        </w:rPr>
        <w:t xml:space="preserve"> Heat Rejection Pressure in Transcritical Carbon Dioxide Air-conditioning and Heat Pump Systems</w:t>
      </w:r>
      <w:r>
        <w:rPr>
          <w:lang w:val="en-GB"/>
        </w:rPr>
        <w:t>,</w:t>
      </w:r>
      <w:r w:rsidR="004C490A">
        <w:rPr>
          <w:lang w:val="en-GB"/>
        </w:rPr>
        <w:t xml:space="preserve"> </w:t>
      </w:r>
      <w:r w:rsidR="004C490A" w:rsidRPr="004C490A">
        <w:rPr>
          <w:lang w:val="en-GB"/>
        </w:rPr>
        <w:t>Natural Working Fluids ’98, IIR Gustav Lorentzen Conference, 346–355</w:t>
      </w:r>
    </w:p>
    <w:p w14:paraId="3631279C" w14:textId="11C2A3E9" w:rsidR="004958AC" w:rsidRPr="008D491C" w:rsidRDefault="004958AC" w:rsidP="00B020B6">
      <w:pPr>
        <w:pStyle w:val="CETBodytext"/>
        <w:rPr>
          <w:lang w:val="en-GB"/>
        </w:rPr>
      </w:pPr>
      <w:r>
        <w:rPr>
          <w:lang w:val="en-GB"/>
        </w:rPr>
        <w:t>Linde C.,</w:t>
      </w:r>
      <w:r w:rsidR="00B020B6">
        <w:rPr>
          <w:lang w:val="en-GB"/>
        </w:rPr>
        <w:t xml:space="preserve"> 1903, </w:t>
      </w:r>
      <w:r w:rsidR="00B020B6" w:rsidRPr="00B020B6">
        <w:rPr>
          <w:lang w:val="en-GB"/>
        </w:rPr>
        <w:t>Process of producing low temperatures, the liquefaction of gases, and the</w:t>
      </w:r>
      <w:r w:rsidR="00B020B6">
        <w:rPr>
          <w:lang w:val="en-GB"/>
        </w:rPr>
        <w:t xml:space="preserve"> </w:t>
      </w:r>
      <w:r w:rsidR="00B020B6" w:rsidRPr="00B020B6">
        <w:rPr>
          <w:lang w:val="en-GB"/>
        </w:rPr>
        <w:t xml:space="preserve">separation of the constituents of </w:t>
      </w:r>
      <w:r w:rsidR="00B020B6">
        <w:rPr>
          <w:lang w:val="en-GB"/>
        </w:rPr>
        <w:t>g</w:t>
      </w:r>
      <w:r w:rsidR="00B020B6" w:rsidRPr="00B020B6">
        <w:rPr>
          <w:lang w:val="en-GB"/>
        </w:rPr>
        <w:t>aseous mixtures</w:t>
      </w:r>
      <w:r w:rsidR="00B8086B">
        <w:rPr>
          <w:lang w:val="en-GB"/>
        </w:rPr>
        <w:t>, United States</w:t>
      </w:r>
      <w:r w:rsidR="00B020B6" w:rsidRPr="00B020B6">
        <w:rPr>
          <w:lang w:val="en-GB"/>
        </w:rPr>
        <w:t>.</w:t>
      </w:r>
    </w:p>
    <w:p w14:paraId="20C449C7" w14:textId="2D52A7AC" w:rsidR="003F30FF" w:rsidRDefault="00E1563E" w:rsidP="00B30E86">
      <w:pPr>
        <w:pStyle w:val="CETBodytext"/>
        <w:rPr>
          <w:lang w:val="en-GB"/>
        </w:rPr>
      </w:pPr>
      <w:r>
        <w:rPr>
          <w:lang w:val="en-GB"/>
        </w:rPr>
        <w:t>Northern Lights</w:t>
      </w:r>
      <w:r w:rsidR="008D491C" w:rsidRPr="008D491C">
        <w:rPr>
          <w:lang w:val="en-GB"/>
        </w:rPr>
        <w:t>, 20</w:t>
      </w:r>
      <w:r>
        <w:rPr>
          <w:lang w:val="en-GB"/>
        </w:rPr>
        <w:t>24</w:t>
      </w:r>
      <w:r w:rsidR="008D491C" w:rsidRPr="008D491C">
        <w:rPr>
          <w:lang w:val="en-GB"/>
        </w:rPr>
        <w:t xml:space="preserve">, </w:t>
      </w:r>
      <w:r w:rsidR="00605E98">
        <w:rPr>
          <w:lang w:val="en-GB"/>
        </w:rPr>
        <w:t>Liquid CO</w:t>
      </w:r>
      <w:r w:rsidR="00605E98" w:rsidRPr="00825A6A">
        <w:rPr>
          <w:vertAlign w:val="subscript"/>
          <w:lang w:val="en-GB"/>
        </w:rPr>
        <w:t>2</w:t>
      </w:r>
      <w:r w:rsidR="00605E98">
        <w:rPr>
          <w:lang w:val="en-GB"/>
        </w:rPr>
        <w:t xml:space="preserve"> (LCO2) Quality Specifications</w:t>
      </w:r>
      <w:r w:rsidR="008D491C" w:rsidRPr="008D491C">
        <w:rPr>
          <w:lang w:val="en-GB"/>
        </w:rPr>
        <w:t xml:space="preserve">, </w:t>
      </w:r>
      <w:r w:rsidR="00B74996">
        <w:rPr>
          <w:lang w:val="en-GB"/>
        </w:rPr>
        <w:t>&lt;</w:t>
      </w:r>
      <w:r w:rsidR="00605E98" w:rsidRPr="00605E98">
        <w:rPr>
          <w:lang w:val="en-GB"/>
        </w:rPr>
        <w:t>norlights.com/wp-content/uploads/2024/06/NorthernLights-GS-co2-spec2024</w:t>
      </w:r>
      <w:r w:rsidR="00605E98">
        <w:rPr>
          <w:lang w:val="en-GB"/>
        </w:rPr>
        <w:t>.pdf</w:t>
      </w:r>
      <w:r w:rsidR="00B74996">
        <w:rPr>
          <w:lang w:val="en-GB"/>
        </w:rPr>
        <w:t>&gt;</w:t>
      </w:r>
    </w:p>
    <w:sectPr w:rsidR="003F30FF"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9A61A" w14:textId="77777777" w:rsidR="005B515E" w:rsidRDefault="005B515E" w:rsidP="004F5E36">
      <w:r>
        <w:separator/>
      </w:r>
    </w:p>
  </w:endnote>
  <w:endnote w:type="continuationSeparator" w:id="0">
    <w:p w14:paraId="5393E3F8" w14:textId="77777777" w:rsidR="005B515E" w:rsidRDefault="005B515E" w:rsidP="004F5E36">
      <w:r>
        <w:continuationSeparator/>
      </w:r>
    </w:p>
  </w:endnote>
  <w:endnote w:type="continuationNotice" w:id="1">
    <w:p w14:paraId="14314C9C" w14:textId="77777777" w:rsidR="005B515E" w:rsidRDefault="005B51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7D866" w14:textId="77777777" w:rsidR="005B515E" w:rsidRDefault="005B515E" w:rsidP="004F5E36">
      <w:r>
        <w:separator/>
      </w:r>
    </w:p>
  </w:footnote>
  <w:footnote w:type="continuationSeparator" w:id="0">
    <w:p w14:paraId="10E848C4" w14:textId="77777777" w:rsidR="005B515E" w:rsidRDefault="005B515E" w:rsidP="004F5E36">
      <w:r>
        <w:continuationSeparator/>
      </w:r>
    </w:p>
  </w:footnote>
  <w:footnote w:type="continuationNotice" w:id="1">
    <w:p w14:paraId="35B1FF38" w14:textId="77777777" w:rsidR="005B515E" w:rsidRDefault="005B515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EF1241E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 w:numId="24" w16cid:durableId="1363899575">
    <w:abstractNumId w:val="11"/>
  </w:num>
  <w:num w:numId="25" w16cid:durableId="10056730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BD3"/>
    <w:rsid w:val="000022A9"/>
    <w:rsid w:val="000027C0"/>
    <w:rsid w:val="00003D70"/>
    <w:rsid w:val="000052FB"/>
    <w:rsid w:val="00005A19"/>
    <w:rsid w:val="000071AD"/>
    <w:rsid w:val="000077DB"/>
    <w:rsid w:val="00010A06"/>
    <w:rsid w:val="000117CB"/>
    <w:rsid w:val="00013CFE"/>
    <w:rsid w:val="00016881"/>
    <w:rsid w:val="0002245F"/>
    <w:rsid w:val="00022568"/>
    <w:rsid w:val="00023C3F"/>
    <w:rsid w:val="000241FD"/>
    <w:rsid w:val="00026A5A"/>
    <w:rsid w:val="0003148D"/>
    <w:rsid w:val="000315EE"/>
    <w:rsid w:val="00031EEC"/>
    <w:rsid w:val="00033E5A"/>
    <w:rsid w:val="00040B49"/>
    <w:rsid w:val="00045B5B"/>
    <w:rsid w:val="00051566"/>
    <w:rsid w:val="000527F0"/>
    <w:rsid w:val="000562A9"/>
    <w:rsid w:val="00060961"/>
    <w:rsid w:val="00060A30"/>
    <w:rsid w:val="00061CDE"/>
    <w:rsid w:val="00062405"/>
    <w:rsid w:val="00062A9A"/>
    <w:rsid w:val="00065058"/>
    <w:rsid w:val="00065426"/>
    <w:rsid w:val="00065AF9"/>
    <w:rsid w:val="00066A78"/>
    <w:rsid w:val="00067B53"/>
    <w:rsid w:val="00072BB1"/>
    <w:rsid w:val="00074E1B"/>
    <w:rsid w:val="000755B4"/>
    <w:rsid w:val="000839A9"/>
    <w:rsid w:val="00086C39"/>
    <w:rsid w:val="00087E7B"/>
    <w:rsid w:val="00091989"/>
    <w:rsid w:val="0009291A"/>
    <w:rsid w:val="00097286"/>
    <w:rsid w:val="000A03B2"/>
    <w:rsid w:val="000A45E4"/>
    <w:rsid w:val="000A4A54"/>
    <w:rsid w:val="000B0253"/>
    <w:rsid w:val="000B0426"/>
    <w:rsid w:val="000B1D4F"/>
    <w:rsid w:val="000B2D9C"/>
    <w:rsid w:val="000B2DFC"/>
    <w:rsid w:val="000B440D"/>
    <w:rsid w:val="000B559D"/>
    <w:rsid w:val="000B67BE"/>
    <w:rsid w:val="000B6AE7"/>
    <w:rsid w:val="000B7E2A"/>
    <w:rsid w:val="000C19CA"/>
    <w:rsid w:val="000C2270"/>
    <w:rsid w:val="000C4479"/>
    <w:rsid w:val="000C46EE"/>
    <w:rsid w:val="000C4F49"/>
    <w:rsid w:val="000C63EF"/>
    <w:rsid w:val="000D0268"/>
    <w:rsid w:val="000D28B2"/>
    <w:rsid w:val="000D34BE"/>
    <w:rsid w:val="000D5461"/>
    <w:rsid w:val="000D616D"/>
    <w:rsid w:val="000D69C4"/>
    <w:rsid w:val="000D74CC"/>
    <w:rsid w:val="000E0B3C"/>
    <w:rsid w:val="000E102F"/>
    <w:rsid w:val="000E323F"/>
    <w:rsid w:val="000E36F1"/>
    <w:rsid w:val="000E3A73"/>
    <w:rsid w:val="000E414A"/>
    <w:rsid w:val="000E50B4"/>
    <w:rsid w:val="000E756E"/>
    <w:rsid w:val="000E75FD"/>
    <w:rsid w:val="000F093C"/>
    <w:rsid w:val="000F102B"/>
    <w:rsid w:val="000F59A6"/>
    <w:rsid w:val="000F787B"/>
    <w:rsid w:val="00100168"/>
    <w:rsid w:val="00101104"/>
    <w:rsid w:val="00102768"/>
    <w:rsid w:val="0010466A"/>
    <w:rsid w:val="00110F6F"/>
    <w:rsid w:val="00111412"/>
    <w:rsid w:val="00116E1E"/>
    <w:rsid w:val="001207AC"/>
    <w:rsid w:val="0012091F"/>
    <w:rsid w:val="00121F14"/>
    <w:rsid w:val="00124277"/>
    <w:rsid w:val="00125830"/>
    <w:rsid w:val="00126BC2"/>
    <w:rsid w:val="0012703B"/>
    <w:rsid w:val="00127C9B"/>
    <w:rsid w:val="001308B6"/>
    <w:rsid w:val="00130E64"/>
    <w:rsid w:val="00130FDF"/>
    <w:rsid w:val="0013121F"/>
    <w:rsid w:val="00131FE6"/>
    <w:rsid w:val="0013263F"/>
    <w:rsid w:val="001326DB"/>
    <w:rsid w:val="001331DF"/>
    <w:rsid w:val="00134DE4"/>
    <w:rsid w:val="001365E3"/>
    <w:rsid w:val="00136B78"/>
    <w:rsid w:val="0014034D"/>
    <w:rsid w:val="00140FE3"/>
    <w:rsid w:val="001431BB"/>
    <w:rsid w:val="0014404A"/>
    <w:rsid w:val="001441ED"/>
    <w:rsid w:val="00144D16"/>
    <w:rsid w:val="00144E85"/>
    <w:rsid w:val="00147770"/>
    <w:rsid w:val="00150E59"/>
    <w:rsid w:val="00152DE3"/>
    <w:rsid w:val="001545A3"/>
    <w:rsid w:val="00154B02"/>
    <w:rsid w:val="001573EC"/>
    <w:rsid w:val="0016273D"/>
    <w:rsid w:val="00164CF9"/>
    <w:rsid w:val="00165BB5"/>
    <w:rsid w:val="001667A6"/>
    <w:rsid w:val="001706A5"/>
    <w:rsid w:val="0017339F"/>
    <w:rsid w:val="00173E57"/>
    <w:rsid w:val="00175131"/>
    <w:rsid w:val="00176833"/>
    <w:rsid w:val="00177CA9"/>
    <w:rsid w:val="001801CB"/>
    <w:rsid w:val="00180354"/>
    <w:rsid w:val="00181168"/>
    <w:rsid w:val="0018148D"/>
    <w:rsid w:val="0018171E"/>
    <w:rsid w:val="00182B07"/>
    <w:rsid w:val="00183F11"/>
    <w:rsid w:val="00184AD6"/>
    <w:rsid w:val="00186683"/>
    <w:rsid w:val="00194134"/>
    <w:rsid w:val="001962CA"/>
    <w:rsid w:val="001969A2"/>
    <w:rsid w:val="001A03CC"/>
    <w:rsid w:val="001A1FD9"/>
    <w:rsid w:val="001A40D5"/>
    <w:rsid w:val="001A4AF7"/>
    <w:rsid w:val="001A62DE"/>
    <w:rsid w:val="001B0349"/>
    <w:rsid w:val="001B086A"/>
    <w:rsid w:val="001B1E93"/>
    <w:rsid w:val="001B2F8A"/>
    <w:rsid w:val="001B52F4"/>
    <w:rsid w:val="001B5FB0"/>
    <w:rsid w:val="001B65C1"/>
    <w:rsid w:val="001C02E7"/>
    <w:rsid w:val="001C1D5B"/>
    <w:rsid w:val="001C2032"/>
    <w:rsid w:val="001C260F"/>
    <w:rsid w:val="001C52C8"/>
    <w:rsid w:val="001C5C3A"/>
    <w:rsid w:val="001C684B"/>
    <w:rsid w:val="001C7DB7"/>
    <w:rsid w:val="001D069A"/>
    <w:rsid w:val="001D0CFB"/>
    <w:rsid w:val="001D1B45"/>
    <w:rsid w:val="001D21AF"/>
    <w:rsid w:val="001D2EB2"/>
    <w:rsid w:val="001D4476"/>
    <w:rsid w:val="001D4BA0"/>
    <w:rsid w:val="001D53FC"/>
    <w:rsid w:val="001D5644"/>
    <w:rsid w:val="001D6DCB"/>
    <w:rsid w:val="001E176F"/>
    <w:rsid w:val="001E5B57"/>
    <w:rsid w:val="001E6A4F"/>
    <w:rsid w:val="001F0996"/>
    <w:rsid w:val="001F1EEC"/>
    <w:rsid w:val="001F42A5"/>
    <w:rsid w:val="001F4657"/>
    <w:rsid w:val="001F4913"/>
    <w:rsid w:val="001F7185"/>
    <w:rsid w:val="001F7B9D"/>
    <w:rsid w:val="0020137B"/>
    <w:rsid w:val="00201C93"/>
    <w:rsid w:val="00203F14"/>
    <w:rsid w:val="00205002"/>
    <w:rsid w:val="002101A1"/>
    <w:rsid w:val="00215B70"/>
    <w:rsid w:val="00215D9F"/>
    <w:rsid w:val="00215E71"/>
    <w:rsid w:val="00215FD4"/>
    <w:rsid w:val="00216173"/>
    <w:rsid w:val="002168E7"/>
    <w:rsid w:val="002205F0"/>
    <w:rsid w:val="00220ADC"/>
    <w:rsid w:val="00220B41"/>
    <w:rsid w:val="002213FD"/>
    <w:rsid w:val="002224B4"/>
    <w:rsid w:val="0022346A"/>
    <w:rsid w:val="00230FD9"/>
    <w:rsid w:val="002366E7"/>
    <w:rsid w:val="00236905"/>
    <w:rsid w:val="00241761"/>
    <w:rsid w:val="0024308C"/>
    <w:rsid w:val="002447EF"/>
    <w:rsid w:val="00247198"/>
    <w:rsid w:val="00250186"/>
    <w:rsid w:val="00251550"/>
    <w:rsid w:val="00252E85"/>
    <w:rsid w:val="00255C8F"/>
    <w:rsid w:val="00257E6E"/>
    <w:rsid w:val="00260952"/>
    <w:rsid w:val="00262BD6"/>
    <w:rsid w:val="00263397"/>
    <w:rsid w:val="00263B05"/>
    <w:rsid w:val="0026542F"/>
    <w:rsid w:val="0026598A"/>
    <w:rsid w:val="00271486"/>
    <w:rsid w:val="0027221A"/>
    <w:rsid w:val="002734C8"/>
    <w:rsid w:val="00275B61"/>
    <w:rsid w:val="0027656C"/>
    <w:rsid w:val="00280FAF"/>
    <w:rsid w:val="002810CE"/>
    <w:rsid w:val="00281362"/>
    <w:rsid w:val="00282656"/>
    <w:rsid w:val="00284BC4"/>
    <w:rsid w:val="002871D9"/>
    <w:rsid w:val="00291827"/>
    <w:rsid w:val="00292828"/>
    <w:rsid w:val="00296B83"/>
    <w:rsid w:val="002A0B43"/>
    <w:rsid w:val="002A279E"/>
    <w:rsid w:val="002A2B5F"/>
    <w:rsid w:val="002A3B58"/>
    <w:rsid w:val="002B1E2C"/>
    <w:rsid w:val="002B37BA"/>
    <w:rsid w:val="002B4015"/>
    <w:rsid w:val="002B4C36"/>
    <w:rsid w:val="002B5908"/>
    <w:rsid w:val="002B67B6"/>
    <w:rsid w:val="002B78CE"/>
    <w:rsid w:val="002C1753"/>
    <w:rsid w:val="002C1C92"/>
    <w:rsid w:val="002C24D5"/>
    <w:rsid w:val="002C2531"/>
    <w:rsid w:val="002C2955"/>
    <w:rsid w:val="002C2FB6"/>
    <w:rsid w:val="002C3BF1"/>
    <w:rsid w:val="002C4209"/>
    <w:rsid w:val="002C4EDC"/>
    <w:rsid w:val="002C539D"/>
    <w:rsid w:val="002C6EC7"/>
    <w:rsid w:val="002D22A9"/>
    <w:rsid w:val="002E3758"/>
    <w:rsid w:val="002E4D01"/>
    <w:rsid w:val="002E5361"/>
    <w:rsid w:val="002E5FA7"/>
    <w:rsid w:val="002F0EEC"/>
    <w:rsid w:val="002F3309"/>
    <w:rsid w:val="002F5572"/>
    <w:rsid w:val="002F72D7"/>
    <w:rsid w:val="003008CE"/>
    <w:rsid w:val="003009B7"/>
    <w:rsid w:val="00300E56"/>
    <w:rsid w:val="00301336"/>
    <w:rsid w:val="0030152C"/>
    <w:rsid w:val="003015F6"/>
    <w:rsid w:val="00302490"/>
    <w:rsid w:val="0030469C"/>
    <w:rsid w:val="00310AFC"/>
    <w:rsid w:val="00311297"/>
    <w:rsid w:val="00311B90"/>
    <w:rsid w:val="00316466"/>
    <w:rsid w:val="00316851"/>
    <w:rsid w:val="00317F49"/>
    <w:rsid w:val="00321CA6"/>
    <w:rsid w:val="00323763"/>
    <w:rsid w:val="00323BC2"/>
    <w:rsid w:val="00323C5F"/>
    <w:rsid w:val="0032644A"/>
    <w:rsid w:val="0033473A"/>
    <w:rsid w:val="00334C09"/>
    <w:rsid w:val="00334C91"/>
    <w:rsid w:val="00336160"/>
    <w:rsid w:val="003439D1"/>
    <w:rsid w:val="0034473D"/>
    <w:rsid w:val="0034546C"/>
    <w:rsid w:val="00346BC4"/>
    <w:rsid w:val="00351BBA"/>
    <w:rsid w:val="00351C09"/>
    <w:rsid w:val="003616E2"/>
    <w:rsid w:val="0036370A"/>
    <w:rsid w:val="00363AC4"/>
    <w:rsid w:val="00364495"/>
    <w:rsid w:val="00365587"/>
    <w:rsid w:val="00371E91"/>
    <w:rsid w:val="003723D4"/>
    <w:rsid w:val="00374A8D"/>
    <w:rsid w:val="00375F5D"/>
    <w:rsid w:val="0037698F"/>
    <w:rsid w:val="00381905"/>
    <w:rsid w:val="00382C27"/>
    <w:rsid w:val="00384CC8"/>
    <w:rsid w:val="003871FD"/>
    <w:rsid w:val="003904D3"/>
    <w:rsid w:val="00390551"/>
    <w:rsid w:val="003957B6"/>
    <w:rsid w:val="003A1E30"/>
    <w:rsid w:val="003A2829"/>
    <w:rsid w:val="003A31A2"/>
    <w:rsid w:val="003A38A7"/>
    <w:rsid w:val="003A6A78"/>
    <w:rsid w:val="003A7B0F"/>
    <w:rsid w:val="003A7CA6"/>
    <w:rsid w:val="003A7D1C"/>
    <w:rsid w:val="003A7ED8"/>
    <w:rsid w:val="003B08ED"/>
    <w:rsid w:val="003B0D92"/>
    <w:rsid w:val="003B1770"/>
    <w:rsid w:val="003B1A51"/>
    <w:rsid w:val="003B304B"/>
    <w:rsid w:val="003B3146"/>
    <w:rsid w:val="003B49CD"/>
    <w:rsid w:val="003B5732"/>
    <w:rsid w:val="003B6243"/>
    <w:rsid w:val="003B6E0E"/>
    <w:rsid w:val="003B7B70"/>
    <w:rsid w:val="003C53F8"/>
    <w:rsid w:val="003D1E02"/>
    <w:rsid w:val="003D75C7"/>
    <w:rsid w:val="003E0969"/>
    <w:rsid w:val="003E7ABE"/>
    <w:rsid w:val="003E7C5F"/>
    <w:rsid w:val="003F015E"/>
    <w:rsid w:val="003F0E80"/>
    <w:rsid w:val="003F30FF"/>
    <w:rsid w:val="003F34AE"/>
    <w:rsid w:val="003F5219"/>
    <w:rsid w:val="0040027B"/>
    <w:rsid w:val="00400413"/>
    <w:rsid w:val="00400414"/>
    <w:rsid w:val="00404488"/>
    <w:rsid w:val="00411313"/>
    <w:rsid w:val="0041297E"/>
    <w:rsid w:val="0041446B"/>
    <w:rsid w:val="00414759"/>
    <w:rsid w:val="00420CE8"/>
    <w:rsid w:val="00421796"/>
    <w:rsid w:val="00421985"/>
    <w:rsid w:val="00423234"/>
    <w:rsid w:val="00423684"/>
    <w:rsid w:val="004258A1"/>
    <w:rsid w:val="00426F51"/>
    <w:rsid w:val="00427254"/>
    <w:rsid w:val="00430795"/>
    <w:rsid w:val="00436AFC"/>
    <w:rsid w:val="0044071E"/>
    <w:rsid w:val="00440F26"/>
    <w:rsid w:val="0044137C"/>
    <w:rsid w:val="00442B92"/>
    <w:rsid w:val="0044329C"/>
    <w:rsid w:val="00444339"/>
    <w:rsid w:val="00446569"/>
    <w:rsid w:val="004467D6"/>
    <w:rsid w:val="00450717"/>
    <w:rsid w:val="004533CB"/>
    <w:rsid w:val="00453E24"/>
    <w:rsid w:val="00457456"/>
    <w:rsid w:val="004577FE"/>
    <w:rsid w:val="00457B9C"/>
    <w:rsid w:val="00460124"/>
    <w:rsid w:val="004601A6"/>
    <w:rsid w:val="0046124E"/>
    <w:rsid w:val="0046164A"/>
    <w:rsid w:val="004628D2"/>
    <w:rsid w:val="00462DCD"/>
    <w:rsid w:val="004637BE"/>
    <w:rsid w:val="00463C7C"/>
    <w:rsid w:val="004648AD"/>
    <w:rsid w:val="00465422"/>
    <w:rsid w:val="00467D6D"/>
    <w:rsid w:val="004703A9"/>
    <w:rsid w:val="0047058E"/>
    <w:rsid w:val="00470616"/>
    <w:rsid w:val="00475ABD"/>
    <w:rsid w:val="004760DE"/>
    <w:rsid w:val="004763D7"/>
    <w:rsid w:val="00480117"/>
    <w:rsid w:val="00480D6D"/>
    <w:rsid w:val="0048292F"/>
    <w:rsid w:val="004867F8"/>
    <w:rsid w:val="0048706D"/>
    <w:rsid w:val="00487304"/>
    <w:rsid w:val="00487F98"/>
    <w:rsid w:val="00494E13"/>
    <w:rsid w:val="004958AC"/>
    <w:rsid w:val="004A004E"/>
    <w:rsid w:val="004A0355"/>
    <w:rsid w:val="004A24CF"/>
    <w:rsid w:val="004A5250"/>
    <w:rsid w:val="004B0258"/>
    <w:rsid w:val="004B17D9"/>
    <w:rsid w:val="004B1F14"/>
    <w:rsid w:val="004B5E86"/>
    <w:rsid w:val="004C035A"/>
    <w:rsid w:val="004C0CC7"/>
    <w:rsid w:val="004C24BC"/>
    <w:rsid w:val="004C2733"/>
    <w:rsid w:val="004C3D1D"/>
    <w:rsid w:val="004C3D84"/>
    <w:rsid w:val="004C423B"/>
    <w:rsid w:val="004C490A"/>
    <w:rsid w:val="004C64F6"/>
    <w:rsid w:val="004C665F"/>
    <w:rsid w:val="004C6AEA"/>
    <w:rsid w:val="004C7913"/>
    <w:rsid w:val="004D0670"/>
    <w:rsid w:val="004D1A8E"/>
    <w:rsid w:val="004D3B9B"/>
    <w:rsid w:val="004D585E"/>
    <w:rsid w:val="004D5D39"/>
    <w:rsid w:val="004E0543"/>
    <w:rsid w:val="004E15BA"/>
    <w:rsid w:val="004E1754"/>
    <w:rsid w:val="004E2B84"/>
    <w:rsid w:val="004E4DD6"/>
    <w:rsid w:val="004F232B"/>
    <w:rsid w:val="004F29E4"/>
    <w:rsid w:val="004F5E36"/>
    <w:rsid w:val="004F6C17"/>
    <w:rsid w:val="00500725"/>
    <w:rsid w:val="005067B6"/>
    <w:rsid w:val="005075C8"/>
    <w:rsid w:val="00507B47"/>
    <w:rsid w:val="00507BEF"/>
    <w:rsid w:val="00507CC9"/>
    <w:rsid w:val="005119A5"/>
    <w:rsid w:val="00511A2E"/>
    <w:rsid w:val="00512807"/>
    <w:rsid w:val="00512BE2"/>
    <w:rsid w:val="00522DC7"/>
    <w:rsid w:val="005278B7"/>
    <w:rsid w:val="0052793B"/>
    <w:rsid w:val="00531B62"/>
    <w:rsid w:val="00532016"/>
    <w:rsid w:val="00532C96"/>
    <w:rsid w:val="005340F6"/>
    <w:rsid w:val="005346C8"/>
    <w:rsid w:val="0053656B"/>
    <w:rsid w:val="005378A3"/>
    <w:rsid w:val="0054023B"/>
    <w:rsid w:val="00541143"/>
    <w:rsid w:val="00542F82"/>
    <w:rsid w:val="00543E7D"/>
    <w:rsid w:val="00544AC5"/>
    <w:rsid w:val="00547A68"/>
    <w:rsid w:val="0055086A"/>
    <w:rsid w:val="00552577"/>
    <w:rsid w:val="00552BC7"/>
    <w:rsid w:val="005531C9"/>
    <w:rsid w:val="00554879"/>
    <w:rsid w:val="005557EE"/>
    <w:rsid w:val="005558AD"/>
    <w:rsid w:val="00555C78"/>
    <w:rsid w:val="00556B89"/>
    <w:rsid w:val="00556E4E"/>
    <w:rsid w:val="00557455"/>
    <w:rsid w:val="005575C0"/>
    <w:rsid w:val="00560924"/>
    <w:rsid w:val="00560C15"/>
    <w:rsid w:val="005634C2"/>
    <w:rsid w:val="00564899"/>
    <w:rsid w:val="00566E94"/>
    <w:rsid w:val="005677F6"/>
    <w:rsid w:val="00567D62"/>
    <w:rsid w:val="00570C43"/>
    <w:rsid w:val="00571C5A"/>
    <w:rsid w:val="005723B5"/>
    <w:rsid w:val="00572588"/>
    <w:rsid w:val="00577903"/>
    <w:rsid w:val="005849C0"/>
    <w:rsid w:val="00585CE5"/>
    <w:rsid w:val="00592274"/>
    <w:rsid w:val="0059493E"/>
    <w:rsid w:val="00594C3C"/>
    <w:rsid w:val="00594FD9"/>
    <w:rsid w:val="005971A4"/>
    <w:rsid w:val="00597FB6"/>
    <w:rsid w:val="005A3FBB"/>
    <w:rsid w:val="005A593B"/>
    <w:rsid w:val="005B2110"/>
    <w:rsid w:val="005B350B"/>
    <w:rsid w:val="005B515E"/>
    <w:rsid w:val="005B61E6"/>
    <w:rsid w:val="005C172A"/>
    <w:rsid w:val="005C2FC0"/>
    <w:rsid w:val="005C54F1"/>
    <w:rsid w:val="005C61B9"/>
    <w:rsid w:val="005C63E7"/>
    <w:rsid w:val="005C6956"/>
    <w:rsid w:val="005C77E1"/>
    <w:rsid w:val="005D3D48"/>
    <w:rsid w:val="005D405A"/>
    <w:rsid w:val="005D668A"/>
    <w:rsid w:val="005D6A2F"/>
    <w:rsid w:val="005E0592"/>
    <w:rsid w:val="005E0E05"/>
    <w:rsid w:val="005E1A82"/>
    <w:rsid w:val="005E4F89"/>
    <w:rsid w:val="005E794C"/>
    <w:rsid w:val="005E7B74"/>
    <w:rsid w:val="005F0A28"/>
    <w:rsid w:val="005F0E5E"/>
    <w:rsid w:val="005F1D61"/>
    <w:rsid w:val="005F5A3A"/>
    <w:rsid w:val="00600535"/>
    <w:rsid w:val="00600AA8"/>
    <w:rsid w:val="006031B9"/>
    <w:rsid w:val="00605E98"/>
    <w:rsid w:val="00607ED7"/>
    <w:rsid w:val="0061035B"/>
    <w:rsid w:val="00610CD6"/>
    <w:rsid w:val="006131FD"/>
    <w:rsid w:val="00614000"/>
    <w:rsid w:val="00620DEE"/>
    <w:rsid w:val="00621F92"/>
    <w:rsid w:val="0062280A"/>
    <w:rsid w:val="006231E1"/>
    <w:rsid w:val="00623EA7"/>
    <w:rsid w:val="00625639"/>
    <w:rsid w:val="00626972"/>
    <w:rsid w:val="006300D2"/>
    <w:rsid w:val="00630A4A"/>
    <w:rsid w:val="00631B33"/>
    <w:rsid w:val="006326E8"/>
    <w:rsid w:val="00633AF9"/>
    <w:rsid w:val="00633B2B"/>
    <w:rsid w:val="0063448D"/>
    <w:rsid w:val="0064184D"/>
    <w:rsid w:val="00641A69"/>
    <w:rsid w:val="006422CC"/>
    <w:rsid w:val="0064230B"/>
    <w:rsid w:val="00646E08"/>
    <w:rsid w:val="00651D18"/>
    <w:rsid w:val="00654ADD"/>
    <w:rsid w:val="00654FFF"/>
    <w:rsid w:val="00656C41"/>
    <w:rsid w:val="006606CD"/>
    <w:rsid w:val="00660E3E"/>
    <w:rsid w:val="00662015"/>
    <w:rsid w:val="00662E74"/>
    <w:rsid w:val="00667BB4"/>
    <w:rsid w:val="00675C7D"/>
    <w:rsid w:val="00680C23"/>
    <w:rsid w:val="00682CE8"/>
    <w:rsid w:val="006831CC"/>
    <w:rsid w:val="00683E23"/>
    <w:rsid w:val="00687E20"/>
    <w:rsid w:val="0069372A"/>
    <w:rsid w:val="00693766"/>
    <w:rsid w:val="006951D5"/>
    <w:rsid w:val="0069658C"/>
    <w:rsid w:val="006A15FD"/>
    <w:rsid w:val="006A1DA0"/>
    <w:rsid w:val="006A3281"/>
    <w:rsid w:val="006A4E03"/>
    <w:rsid w:val="006A532F"/>
    <w:rsid w:val="006A6DE5"/>
    <w:rsid w:val="006B4209"/>
    <w:rsid w:val="006B4888"/>
    <w:rsid w:val="006B61CD"/>
    <w:rsid w:val="006B6AA3"/>
    <w:rsid w:val="006B7DF2"/>
    <w:rsid w:val="006C0C30"/>
    <w:rsid w:val="006C2E45"/>
    <w:rsid w:val="006C359C"/>
    <w:rsid w:val="006C5579"/>
    <w:rsid w:val="006C5BFE"/>
    <w:rsid w:val="006C6134"/>
    <w:rsid w:val="006C738E"/>
    <w:rsid w:val="006D04BB"/>
    <w:rsid w:val="006D31B8"/>
    <w:rsid w:val="006D36D2"/>
    <w:rsid w:val="006D4870"/>
    <w:rsid w:val="006D5A75"/>
    <w:rsid w:val="006D6E8B"/>
    <w:rsid w:val="006D7209"/>
    <w:rsid w:val="006E4B18"/>
    <w:rsid w:val="006E633C"/>
    <w:rsid w:val="006E737D"/>
    <w:rsid w:val="006F199D"/>
    <w:rsid w:val="006F3166"/>
    <w:rsid w:val="006F39E5"/>
    <w:rsid w:val="007023B0"/>
    <w:rsid w:val="00707DA9"/>
    <w:rsid w:val="00707DD1"/>
    <w:rsid w:val="00711E30"/>
    <w:rsid w:val="0071361B"/>
    <w:rsid w:val="00713973"/>
    <w:rsid w:val="0071424E"/>
    <w:rsid w:val="00714301"/>
    <w:rsid w:val="00714E0E"/>
    <w:rsid w:val="007174C6"/>
    <w:rsid w:val="0072014E"/>
    <w:rsid w:val="00720A24"/>
    <w:rsid w:val="00721B7E"/>
    <w:rsid w:val="00723A53"/>
    <w:rsid w:val="00723BAC"/>
    <w:rsid w:val="00727548"/>
    <w:rsid w:val="00732386"/>
    <w:rsid w:val="00732505"/>
    <w:rsid w:val="00734CFD"/>
    <w:rsid w:val="0073514D"/>
    <w:rsid w:val="0073568C"/>
    <w:rsid w:val="007369CC"/>
    <w:rsid w:val="00737722"/>
    <w:rsid w:val="0074218F"/>
    <w:rsid w:val="007447F3"/>
    <w:rsid w:val="00744E41"/>
    <w:rsid w:val="0074639E"/>
    <w:rsid w:val="0075175C"/>
    <w:rsid w:val="0075499F"/>
    <w:rsid w:val="0075564D"/>
    <w:rsid w:val="00757220"/>
    <w:rsid w:val="00757269"/>
    <w:rsid w:val="00757B43"/>
    <w:rsid w:val="00757E3D"/>
    <w:rsid w:val="007603FA"/>
    <w:rsid w:val="00760B8B"/>
    <w:rsid w:val="007619E3"/>
    <w:rsid w:val="00761E55"/>
    <w:rsid w:val="00764619"/>
    <w:rsid w:val="00764D85"/>
    <w:rsid w:val="00765053"/>
    <w:rsid w:val="007661C8"/>
    <w:rsid w:val="0076658D"/>
    <w:rsid w:val="00770681"/>
    <w:rsid w:val="0077098D"/>
    <w:rsid w:val="007772D4"/>
    <w:rsid w:val="00781DD7"/>
    <w:rsid w:val="00781E26"/>
    <w:rsid w:val="007839CD"/>
    <w:rsid w:val="00783BB2"/>
    <w:rsid w:val="00785BF9"/>
    <w:rsid w:val="0078618A"/>
    <w:rsid w:val="00787186"/>
    <w:rsid w:val="007931FA"/>
    <w:rsid w:val="00796E7F"/>
    <w:rsid w:val="007A0414"/>
    <w:rsid w:val="007A3CC8"/>
    <w:rsid w:val="007A4373"/>
    <w:rsid w:val="007A4861"/>
    <w:rsid w:val="007A4BCC"/>
    <w:rsid w:val="007A7BBA"/>
    <w:rsid w:val="007B0C50"/>
    <w:rsid w:val="007B2837"/>
    <w:rsid w:val="007B2BE5"/>
    <w:rsid w:val="007B38F6"/>
    <w:rsid w:val="007B4358"/>
    <w:rsid w:val="007B48F9"/>
    <w:rsid w:val="007B4B9D"/>
    <w:rsid w:val="007C0589"/>
    <w:rsid w:val="007C1A43"/>
    <w:rsid w:val="007C6CA3"/>
    <w:rsid w:val="007C7F02"/>
    <w:rsid w:val="007D0951"/>
    <w:rsid w:val="007D0AB5"/>
    <w:rsid w:val="007D2BB9"/>
    <w:rsid w:val="007D465D"/>
    <w:rsid w:val="007D524E"/>
    <w:rsid w:val="007D610D"/>
    <w:rsid w:val="007D7B0F"/>
    <w:rsid w:val="007E0F81"/>
    <w:rsid w:val="007E506F"/>
    <w:rsid w:val="007F0BDE"/>
    <w:rsid w:val="007F1A4D"/>
    <w:rsid w:val="007F697D"/>
    <w:rsid w:val="0080013E"/>
    <w:rsid w:val="00801759"/>
    <w:rsid w:val="0080489E"/>
    <w:rsid w:val="00813288"/>
    <w:rsid w:val="0081415B"/>
    <w:rsid w:val="008142B6"/>
    <w:rsid w:val="008158CF"/>
    <w:rsid w:val="008168FC"/>
    <w:rsid w:val="0082362E"/>
    <w:rsid w:val="00823ED4"/>
    <w:rsid w:val="0082568F"/>
    <w:rsid w:val="00825A6A"/>
    <w:rsid w:val="00827EFE"/>
    <w:rsid w:val="00830996"/>
    <w:rsid w:val="00832653"/>
    <w:rsid w:val="008345F1"/>
    <w:rsid w:val="00842CA8"/>
    <w:rsid w:val="008479B8"/>
    <w:rsid w:val="008517B6"/>
    <w:rsid w:val="0086332A"/>
    <w:rsid w:val="00865B07"/>
    <w:rsid w:val="008667EA"/>
    <w:rsid w:val="00872F60"/>
    <w:rsid w:val="00874BB0"/>
    <w:rsid w:val="0087597A"/>
    <w:rsid w:val="00875BC5"/>
    <w:rsid w:val="0087617A"/>
    <w:rsid w:val="0087637F"/>
    <w:rsid w:val="008815F7"/>
    <w:rsid w:val="00881EC9"/>
    <w:rsid w:val="0088305C"/>
    <w:rsid w:val="008832AA"/>
    <w:rsid w:val="00891108"/>
    <w:rsid w:val="008914DF"/>
    <w:rsid w:val="00892AD5"/>
    <w:rsid w:val="0089707C"/>
    <w:rsid w:val="008978FD"/>
    <w:rsid w:val="008A1512"/>
    <w:rsid w:val="008A2B08"/>
    <w:rsid w:val="008A381B"/>
    <w:rsid w:val="008A4D1F"/>
    <w:rsid w:val="008A645F"/>
    <w:rsid w:val="008B248D"/>
    <w:rsid w:val="008B5E32"/>
    <w:rsid w:val="008B5F48"/>
    <w:rsid w:val="008B640B"/>
    <w:rsid w:val="008C3864"/>
    <w:rsid w:val="008C7AD6"/>
    <w:rsid w:val="008D0EDF"/>
    <w:rsid w:val="008D1030"/>
    <w:rsid w:val="008D1BFB"/>
    <w:rsid w:val="008D32B9"/>
    <w:rsid w:val="008D3C25"/>
    <w:rsid w:val="008D433B"/>
    <w:rsid w:val="008D491C"/>
    <w:rsid w:val="008D4A16"/>
    <w:rsid w:val="008D4B54"/>
    <w:rsid w:val="008E5401"/>
    <w:rsid w:val="008E566E"/>
    <w:rsid w:val="008F3E7F"/>
    <w:rsid w:val="008F5C72"/>
    <w:rsid w:val="008F6515"/>
    <w:rsid w:val="008F7D33"/>
    <w:rsid w:val="0090161A"/>
    <w:rsid w:val="00901EB6"/>
    <w:rsid w:val="0090237A"/>
    <w:rsid w:val="00902DF9"/>
    <w:rsid w:val="00903A50"/>
    <w:rsid w:val="009041F8"/>
    <w:rsid w:val="00904C62"/>
    <w:rsid w:val="00905FA6"/>
    <w:rsid w:val="00906869"/>
    <w:rsid w:val="00910675"/>
    <w:rsid w:val="0091504B"/>
    <w:rsid w:val="00921165"/>
    <w:rsid w:val="00922BA8"/>
    <w:rsid w:val="009249B7"/>
    <w:rsid w:val="00924DAC"/>
    <w:rsid w:val="00925D5D"/>
    <w:rsid w:val="00927058"/>
    <w:rsid w:val="00932E94"/>
    <w:rsid w:val="00936948"/>
    <w:rsid w:val="00940136"/>
    <w:rsid w:val="009404F7"/>
    <w:rsid w:val="00942750"/>
    <w:rsid w:val="009450CE"/>
    <w:rsid w:val="009459BB"/>
    <w:rsid w:val="00946CCE"/>
    <w:rsid w:val="00947179"/>
    <w:rsid w:val="0095164B"/>
    <w:rsid w:val="00953712"/>
    <w:rsid w:val="00954090"/>
    <w:rsid w:val="009547F6"/>
    <w:rsid w:val="009573E7"/>
    <w:rsid w:val="00963CCD"/>
    <w:rsid w:val="00963E05"/>
    <w:rsid w:val="00964A45"/>
    <w:rsid w:val="0096738F"/>
    <w:rsid w:val="00967843"/>
    <w:rsid w:val="00967D54"/>
    <w:rsid w:val="0097066C"/>
    <w:rsid w:val="00971028"/>
    <w:rsid w:val="00971503"/>
    <w:rsid w:val="00971AAD"/>
    <w:rsid w:val="00973C5A"/>
    <w:rsid w:val="00975ACB"/>
    <w:rsid w:val="00980907"/>
    <w:rsid w:val="00982479"/>
    <w:rsid w:val="0098482D"/>
    <w:rsid w:val="0098518A"/>
    <w:rsid w:val="00992246"/>
    <w:rsid w:val="00993B84"/>
    <w:rsid w:val="00994505"/>
    <w:rsid w:val="00994C6A"/>
    <w:rsid w:val="00996483"/>
    <w:rsid w:val="00996E71"/>
    <w:rsid w:val="00996F5A"/>
    <w:rsid w:val="009A0F23"/>
    <w:rsid w:val="009A171A"/>
    <w:rsid w:val="009A2BF6"/>
    <w:rsid w:val="009A3D20"/>
    <w:rsid w:val="009A5C2B"/>
    <w:rsid w:val="009A6DAC"/>
    <w:rsid w:val="009A711E"/>
    <w:rsid w:val="009B041A"/>
    <w:rsid w:val="009B1171"/>
    <w:rsid w:val="009B5A50"/>
    <w:rsid w:val="009C37C3"/>
    <w:rsid w:val="009C5C6B"/>
    <w:rsid w:val="009C7C86"/>
    <w:rsid w:val="009D2FF7"/>
    <w:rsid w:val="009D310D"/>
    <w:rsid w:val="009D5D29"/>
    <w:rsid w:val="009E24AD"/>
    <w:rsid w:val="009E3FA5"/>
    <w:rsid w:val="009E7884"/>
    <w:rsid w:val="009E788A"/>
    <w:rsid w:val="009F0E08"/>
    <w:rsid w:val="009F1F69"/>
    <w:rsid w:val="009F4E6E"/>
    <w:rsid w:val="009F5C7C"/>
    <w:rsid w:val="009F6144"/>
    <w:rsid w:val="009F6903"/>
    <w:rsid w:val="009F7C2C"/>
    <w:rsid w:val="00A0063F"/>
    <w:rsid w:val="00A010D5"/>
    <w:rsid w:val="00A03774"/>
    <w:rsid w:val="00A0456C"/>
    <w:rsid w:val="00A079AE"/>
    <w:rsid w:val="00A13F20"/>
    <w:rsid w:val="00A14951"/>
    <w:rsid w:val="00A14AFE"/>
    <w:rsid w:val="00A16C8C"/>
    <w:rsid w:val="00A1763D"/>
    <w:rsid w:val="00A177B3"/>
    <w:rsid w:val="00A17CEC"/>
    <w:rsid w:val="00A2017B"/>
    <w:rsid w:val="00A203D3"/>
    <w:rsid w:val="00A20C76"/>
    <w:rsid w:val="00A21700"/>
    <w:rsid w:val="00A27E4D"/>
    <w:rsid w:val="00A27EF0"/>
    <w:rsid w:val="00A302A7"/>
    <w:rsid w:val="00A31E77"/>
    <w:rsid w:val="00A34F9A"/>
    <w:rsid w:val="00A42361"/>
    <w:rsid w:val="00A4465B"/>
    <w:rsid w:val="00A4551F"/>
    <w:rsid w:val="00A50A86"/>
    <w:rsid w:val="00A50B20"/>
    <w:rsid w:val="00A51390"/>
    <w:rsid w:val="00A604BE"/>
    <w:rsid w:val="00A6055B"/>
    <w:rsid w:val="00A60D13"/>
    <w:rsid w:val="00A658CA"/>
    <w:rsid w:val="00A65D29"/>
    <w:rsid w:val="00A66D10"/>
    <w:rsid w:val="00A7223D"/>
    <w:rsid w:val="00A72745"/>
    <w:rsid w:val="00A72DBC"/>
    <w:rsid w:val="00A76BB0"/>
    <w:rsid w:val="00A76EFC"/>
    <w:rsid w:val="00A83700"/>
    <w:rsid w:val="00A8533B"/>
    <w:rsid w:val="00A85736"/>
    <w:rsid w:val="00A87D50"/>
    <w:rsid w:val="00A91010"/>
    <w:rsid w:val="00A93394"/>
    <w:rsid w:val="00A9673B"/>
    <w:rsid w:val="00A97F29"/>
    <w:rsid w:val="00AA0131"/>
    <w:rsid w:val="00AA3A67"/>
    <w:rsid w:val="00AA702E"/>
    <w:rsid w:val="00AA7BE0"/>
    <w:rsid w:val="00AA7D26"/>
    <w:rsid w:val="00AB0964"/>
    <w:rsid w:val="00AB5011"/>
    <w:rsid w:val="00AB7D48"/>
    <w:rsid w:val="00AC15AF"/>
    <w:rsid w:val="00AC2395"/>
    <w:rsid w:val="00AC5B0B"/>
    <w:rsid w:val="00AC6AEB"/>
    <w:rsid w:val="00AC7368"/>
    <w:rsid w:val="00AD16B9"/>
    <w:rsid w:val="00AD497E"/>
    <w:rsid w:val="00AD4F71"/>
    <w:rsid w:val="00AD5DEF"/>
    <w:rsid w:val="00AD74AA"/>
    <w:rsid w:val="00AE1F63"/>
    <w:rsid w:val="00AE377D"/>
    <w:rsid w:val="00AF0EBA"/>
    <w:rsid w:val="00AF2463"/>
    <w:rsid w:val="00AF318F"/>
    <w:rsid w:val="00AF6C18"/>
    <w:rsid w:val="00B0119C"/>
    <w:rsid w:val="00B019BB"/>
    <w:rsid w:val="00B020B6"/>
    <w:rsid w:val="00B02812"/>
    <w:rsid w:val="00B02C8A"/>
    <w:rsid w:val="00B030B9"/>
    <w:rsid w:val="00B04C1A"/>
    <w:rsid w:val="00B12D33"/>
    <w:rsid w:val="00B1497F"/>
    <w:rsid w:val="00B14B84"/>
    <w:rsid w:val="00B17FBD"/>
    <w:rsid w:val="00B20382"/>
    <w:rsid w:val="00B207DA"/>
    <w:rsid w:val="00B221AE"/>
    <w:rsid w:val="00B2461A"/>
    <w:rsid w:val="00B278E8"/>
    <w:rsid w:val="00B30E86"/>
    <w:rsid w:val="00B315A6"/>
    <w:rsid w:val="00B31813"/>
    <w:rsid w:val="00B33365"/>
    <w:rsid w:val="00B37741"/>
    <w:rsid w:val="00B46D50"/>
    <w:rsid w:val="00B52803"/>
    <w:rsid w:val="00B55163"/>
    <w:rsid w:val="00B551EF"/>
    <w:rsid w:val="00B5564E"/>
    <w:rsid w:val="00B55BBC"/>
    <w:rsid w:val="00B576F0"/>
    <w:rsid w:val="00B57B36"/>
    <w:rsid w:val="00B57E6F"/>
    <w:rsid w:val="00B62497"/>
    <w:rsid w:val="00B65DED"/>
    <w:rsid w:val="00B70082"/>
    <w:rsid w:val="00B70D0B"/>
    <w:rsid w:val="00B71A02"/>
    <w:rsid w:val="00B74996"/>
    <w:rsid w:val="00B755FA"/>
    <w:rsid w:val="00B76202"/>
    <w:rsid w:val="00B77A2B"/>
    <w:rsid w:val="00B8086B"/>
    <w:rsid w:val="00B8686D"/>
    <w:rsid w:val="00B93F69"/>
    <w:rsid w:val="00B9431D"/>
    <w:rsid w:val="00B97EE5"/>
    <w:rsid w:val="00BA1BD1"/>
    <w:rsid w:val="00BA5123"/>
    <w:rsid w:val="00BB0A21"/>
    <w:rsid w:val="00BB1DDC"/>
    <w:rsid w:val="00BB3A44"/>
    <w:rsid w:val="00BB5928"/>
    <w:rsid w:val="00BB5CDF"/>
    <w:rsid w:val="00BB6020"/>
    <w:rsid w:val="00BC30C9"/>
    <w:rsid w:val="00BC6FB7"/>
    <w:rsid w:val="00BD0224"/>
    <w:rsid w:val="00BD077D"/>
    <w:rsid w:val="00BD356A"/>
    <w:rsid w:val="00BD5BA5"/>
    <w:rsid w:val="00BE3E58"/>
    <w:rsid w:val="00BE44E0"/>
    <w:rsid w:val="00BE493D"/>
    <w:rsid w:val="00BE573C"/>
    <w:rsid w:val="00BF0986"/>
    <w:rsid w:val="00BF0D98"/>
    <w:rsid w:val="00BF13CE"/>
    <w:rsid w:val="00BF1C7B"/>
    <w:rsid w:val="00BF3480"/>
    <w:rsid w:val="00BF7464"/>
    <w:rsid w:val="00BF787D"/>
    <w:rsid w:val="00C01616"/>
    <w:rsid w:val="00C0162B"/>
    <w:rsid w:val="00C038CC"/>
    <w:rsid w:val="00C058C1"/>
    <w:rsid w:val="00C068ED"/>
    <w:rsid w:val="00C06E05"/>
    <w:rsid w:val="00C07C2A"/>
    <w:rsid w:val="00C07DB1"/>
    <w:rsid w:val="00C10748"/>
    <w:rsid w:val="00C1255A"/>
    <w:rsid w:val="00C14DBE"/>
    <w:rsid w:val="00C216AB"/>
    <w:rsid w:val="00C21AFF"/>
    <w:rsid w:val="00C220F5"/>
    <w:rsid w:val="00C22113"/>
    <w:rsid w:val="00C22E0C"/>
    <w:rsid w:val="00C240CC"/>
    <w:rsid w:val="00C32C7D"/>
    <w:rsid w:val="00C32CDC"/>
    <w:rsid w:val="00C345B1"/>
    <w:rsid w:val="00C34E79"/>
    <w:rsid w:val="00C35556"/>
    <w:rsid w:val="00C35867"/>
    <w:rsid w:val="00C35E3F"/>
    <w:rsid w:val="00C40142"/>
    <w:rsid w:val="00C41379"/>
    <w:rsid w:val="00C4761B"/>
    <w:rsid w:val="00C52C3C"/>
    <w:rsid w:val="00C52FEB"/>
    <w:rsid w:val="00C545F9"/>
    <w:rsid w:val="00C557FE"/>
    <w:rsid w:val="00C559AE"/>
    <w:rsid w:val="00C57182"/>
    <w:rsid w:val="00C57863"/>
    <w:rsid w:val="00C57E5B"/>
    <w:rsid w:val="00C640AF"/>
    <w:rsid w:val="00C655FD"/>
    <w:rsid w:val="00C75407"/>
    <w:rsid w:val="00C80DE2"/>
    <w:rsid w:val="00C81E7D"/>
    <w:rsid w:val="00C81FEA"/>
    <w:rsid w:val="00C841C6"/>
    <w:rsid w:val="00C8486F"/>
    <w:rsid w:val="00C864C3"/>
    <w:rsid w:val="00C870A8"/>
    <w:rsid w:val="00C9110F"/>
    <w:rsid w:val="00C91679"/>
    <w:rsid w:val="00C92D22"/>
    <w:rsid w:val="00C92F49"/>
    <w:rsid w:val="00C94434"/>
    <w:rsid w:val="00C94ACC"/>
    <w:rsid w:val="00CA0D75"/>
    <w:rsid w:val="00CA1C95"/>
    <w:rsid w:val="00CA5A9C"/>
    <w:rsid w:val="00CA5C88"/>
    <w:rsid w:val="00CA63E2"/>
    <w:rsid w:val="00CA709C"/>
    <w:rsid w:val="00CA7EC4"/>
    <w:rsid w:val="00CB2DF6"/>
    <w:rsid w:val="00CB3662"/>
    <w:rsid w:val="00CB6B14"/>
    <w:rsid w:val="00CB6FBC"/>
    <w:rsid w:val="00CC1EE1"/>
    <w:rsid w:val="00CC2EE1"/>
    <w:rsid w:val="00CC337D"/>
    <w:rsid w:val="00CC4C20"/>
    <w:rsid w:val="00CC683A"/>
    <w:rsid w:val="00CC71DD"/>
    <w:rsid w:val="00CD3517"/>
    <w:rsid w:val="00CD390E"/>
    <w:rsid w:val="00CD39F3"/>
    <w:rsid w:val="00CD5A8C"/>
    <w:rsid w:val="00CD5FE2"/>
    <w:rsid w:val="00CD6A88"/>
    <w:rsid w:val="00CE0086"/>
    <w:rsid w:val="00CE0D9B"/>
    <w:rsid w:val="00CE179F"/>
    <w:rsid w:val="00CE30EA"/>
    <w:rsid w:val="00CE36FF"/>
    <w:rsid w:val="00CE4F81"/>
    <w:rsid w:val="00CE7C68"/>
    <w:rsid w:val="00CE7CB8"/>
    <w:rsid w:val="00CF062A"/>
    <w:rsid w:val="00CF6372"/>
    <w:rsid w:val="00CF63DC"/>
    <w:rsid w:val="00D01790"/>
    <w:rsid w:val="00D02743"/>
    <w:rsid w:val="00D02B4C"/>
    <w:rsid w:val="00D040B2"/>
    <w:rsid w:val="00D040C4"/>
    <w:rsid w:val="00D13887"/>
    <w:rsid w:val="00D1420C"/>
    <w:rsid w:val="00D14B7D"/>
    <w:rsid w:val="00D20AD1"/>
    <w:rsid w:val="00D2259F"/>
    <w:rsid w:val="00D23213"/>
    <w:rsid w:val="00D2337F"/>
    <w:rsid w:val="00D24B4B"/>
    <w:rsid w:val="00D2582C"/>
    <w:rsid w:val="00D26A52"/>
    <w:rsid w:val="00D276D2"/>
    <w:rsid w:val="00D30626"/>
    <w:rsid w:val="00D31872"/>
    <w:rsid w:val="00D4026C"/>
    <w:rsid w:val="00D46B7E"/>
    <w:rsid w:val="00D47A0C"/>
    <w:rsid w:val="00D5017A"/>
    <w:rsid w:val="00D52855"/>
    <w:rsid w:val="00D52E40"/>
    <w:rsid w:val="00D52FD7"/>
    <w:rsid w:val="00D568DC"/>
    <w:rsid w:val="00D57C84"/>
    <w:rsid w:val="00D6023E"/>
    <w:rsid w:val="00D6057D"/>
    <w:rsid w:val="00D65E96"/>
    <w:rsid w:val="00D71640"/>
    <w:rsid w:val="00D7204B"/>
    <w:rsid w:val="00D73FD9"/>
    <w:rsid w:val="00D74042"/>
    <w:rsid w:val="00D7600F"/>
    <w:rsid w:val="00D765CE"/>
    <w:rsid w:val="00D7700E"/>
    <w:rsid w:val="00D81198"/>
    <w:rsid w:val="00D81F56"/>
    <w:rsid w:val="00D82187"/>
    <w:rsid w:val="00D836C5"/>
    <w:rsid w:val="00D84576"/>
    <w:rsid w:val="00D871B9"/>
    <w:rsid w:val="00D87C47"/>
    <w:rsid w:val="00D87DCC"/>
    <w:rsid w:val="00D91A9B"/>
    <w:rsid w:val="00D92D69"/>
    <w:rsid w:val="00D941F8"/>
    <w:rsid w:val="00D94A73"/>
    <w:rsid w:val="00D94F38"/>
    <w:rsid w:val="00DA1399"/>
    <w:rsid w:val="00DA1CF8"/>
    <w:rsid w:val="00DA1E09"/>
    <w:rsid w:val="00DA24C6"/>
    <w:rsid w:val="00DA25D8"/>
    <w:rsid w:val="00DA39B5"/>
    <w:rsid w:val="00DA4D7B"/>
    <w:rsid w:val="00DA4F8C"/>
    <w:rsid w:val="00DA5FC0"/>
    <w:rsid w:val="00DB0959"/>
    <w:rsid w:val="00DB1754"/>
    <w:rsid w:val="00DB2730"/>
    <w:rsid w:val="00DB631D"/>
    <w:rsid w:val="00DC020E"/>
    <w:rsid w:val="00DC15CE"/>
    <w:rsid w:val="00DC2840"/>
    <w:rsid w:val="00DC2C61"/>
    <w:rsid w:val="00DC49AE"/>
    <w:rsid w:val="00DC49FE"/>
    <w:rsid w:val="00DC5E77"/>
    <w:rsid w:val="00DC73EE"/>
    <w:rsid w:val="00DC7C78"/>
    <w:rsid w:val="00DD1F66"/>
    <w:rsid w:val="00DD271C"/>
    <w:rsid w:val="00DD3127"/>
    <w:rsid w:val="00DE054C"/>
    <w:rsid w:val="00DE25D4"/>
    <w:rsid w:val="00DE264A"/>
    <w:rsid w:val="00DE269E"/>
    <w:rsid w:val="00DE4C67"/>
    <w:rsid w:val="00DE5DEB"/>
    <w:rsid w:val="00DE601C"/>
    <w:rsid w:val="00DF5072"/>
    <w:rsid w:val="00DF5D47"/>
    <w:rsid w:val="00DF72C6"/>
    <w:rsid w:val="00E02D18"/>
    <w:rsid w:val="00E041E7"/>
    <w:rsid w:val="00E07865"/>
    <w:rsid w:val="00E1563E"/>
    <w:rsid w:val="00E16829"/>
    <w:rsid w:val="00E23B0D"/>
    <w:rsid w:val="00E23CA1"/>
    <w:rsid w:val="00E23D3E"/>
    <w:rsid w:val="00E24B13"/>
    <w:rsid w:val="00E258D2"/>
    <w:rsid w:val="00E2656D"/>
    <w:rsid w:val="00E27F1E"/>
    <w:rsid w:val="00E326DA"/>
    <w:rsid w:val="00E328E0"/>
    <w:rsid w:val="00E36E0B"/>
    <w:rsid w:val="00E409A8"/>
    <w:rsid w:val="00E413B2"/>
    <w:rsid w:val="00E418EC"/>
    <w:rsid w:val="00E420E6"/>
    <w:rsid w:val="00E43D7C"/>
    <w:rsid w:val="00E43EE7"/>
    <w:rsid w:val="00E45320"/>
    <w:rsid w:val="00E47D41"/>
    <w:rsid w:val="00E500D4"/>
    <w:rsid w:val="00E50452"/>
    <w:rsid w:val="00E5045D"/>
    <w:rsid w:val="00E50C12"/>
    <w:rsid w:val="00E510D8"/>
    <w:rsid w:val="00E52C87"/>
    <w:rsid w:val="00E52F70"/>
    <w:rsid w:val="00E54E02"/>
    <w:rsid w:val="00E55F4E"/>
    <w:rsid w:val="00E57C64"/>
    <w:rsid w:val="00E62104"/>
    <w:rsid w:val="00E6301E"/>
    <w:rsid w:val="00E657FC"/>
    <w:rsid w:val="00E65B91"/>
    <w:rsid w:val="00E65BF8"/>
    <w:rsid w:val="00E71B50"/>
    <w:rsid w:val="00E7209D"/>
    <w:rsid w:val="00E72EAD"/>
    <w:rsid w:val="00E74A23"/>
    <w:rsid w:val="00E76AAC"/>
    <w:rsid w:val="00E77223"/>
    <w:rsid w:val="00E8276F"/>
    <w:rsid w:val="00E8528B"/>
    <w:rsid w:val="00E85B94"/>
    <w:rsid w:val="00E91C0F"/>
    <w:rsid w:val="00E92405"/>
    <w:rsid w:val="00E94079"/>
    <w:rsid w:val="00E978D0"/>
    <w:rsid w:val="00EA10BE"/>
    <w:rsid w:val="00EA13FE"/>
    <w:rsid w:val="00EA2377"/>
    <w:rsid w:val="00EA3ABD"/>
    <w:rsid w:val="00EA4613"/>
    <w:rsid w:val="00EA4B2B"/>
    <w:rsid w:val="00EA5099"/>
    <w:rsid w:val="00EA7F91"/>
    <w:rsid w:val="00EB1523"/>
    <w:rsid w:val="00EB1FA2"/>
    <w:rsid w:val="00EC0E49"/>
    <w:rsid w:val="00EC101F"/>
    <w:rsid w:val="00EC1D9F"/>
    <w:rsid w:val="00EC2E02"/>
    <w:rsid w:val="00EC34BC"/>
    <w:rsid w:val="00EC3E59"/>
    <w:rsid w:val="00EC4036"/>
    <w:rsid w:val="00EC5245"/>
    <w:rsid w:val="00EC650D"/>
    <w:rsid w:val="00EC7730"/>
    <w:rsid w:val="00ED05BD"/>
    <w:rsid w:val="00ED0DA9"/>
    <w:rsid w:val="00ED5E1A"/>
    <w:rsid w:val="00ED6FC9"/>
    <w:rsid w:val="00EE0131"/>
    <w:rsid w:val="00EE1014"/>
    <w:rsid w:val="00EE17B0"/>
    <w:rsid w:val="00EE4401"/>
    <w:rsid w:val="00EE578C"/>
    <w:rsid w:val="00EE7EF4"/>
    <w:rsid w:val="00EF06D9"/>
    <w:rsid w:val="00EF2817"/>
    <w:rsid w:val="00EF2A7B"/>
    <w:rsid w:val="00EF6E6D"/>
    <w:rsid w:val="00F00969"/>
    <w:rsid w:val="00F059C8"/>
    <w:rsid w:val="00F109BA"/>
    <w:rsid w:val="00F13F15"/>
    <w:rsid w:val="00F13FF6"/>
    <w:rsid w:val="00F17D17"/>
    <w:rsid w:val="00F20C05"/>
    <w:rsid w:val="00F21382"/>
    <w:rsid w:val="00F22410"/>
    <w:rsid w:val="00F27C35"/>
    <w:rsid w:val="00F3049E"/>
    <w:rsid w:val="00F30C64"/>
    <w:rsid w:val="00F30D5D"/>
    <w:rsid w:val="00F3117C"/>
    <w:rsid w:val="00F32BA2"/>
    <w:rsid w:val="00F32CDB"/>
    <w:rsid w:val="00F33209"/>
    <w:rsid w:val="00F3349A"/>
    <w:rsid w:val="00F33B61"/>
    <w:rsid w:val="00F35207"/>
    <w:rsid w:val="00F403C7"/>
    <w:rsid w:val="00F404D1"/>
    <w:rsid w:val="00F41EE4"/>
    <w:rsid w:val="00F47A46"/>
    <w:rsid w:val="00F50F97"/>
    <w:rsid w:val="00F527B0"/>
    <w:rsid w:val="00F537A9"/>
    <w:rsid w:val="00F53990"/>
    <w:rsid w:val="00F54CBF"/>
    <w:rsid w:val="00F560C4"/>
    <w:rsid w:val="00F565FE"/>
    <w:rsid w:val="00F57330"/>
    <w:rsid w:val="00F61544"/>
    <w:rsid w:val="00F623A5"/>
    <w:rsid w:val="00F63A70"/>
    <w:rsid w:val="00F63D8C"/>
    <w:rsid w:val="00F734FD"/>
    <w:rsid w:val="00F7534E"/>
    <w:rsid w:val="00F76A23"/>
    <w:rsid w:val="00F80798"/>
    <w:rsid w:val="00F83678"/>
    <w:rsid w:val="00F850E3"/>
    <w:rsid w:val="00F85DE9"/>
    <w:rsid w:val="00F8728C"/>
    <w:rsid w:val="00F9028F"/>
    <w:rsid w:val="00F93EDF"/>
    <w:rsid w:val="00F958CC"/>
    <w:rsid w:val="00F96500"/>
    <w:rsid w:val="00F9744C"/>
    <w:rsid w:val="00FA01C1"/>
    <w:rsid w:val="00FA1802"/>
    <w:rsid w:val="00FA19D7"/>
    <w:rsid w:val="00FA21D0"/>
    <w:rsid w:val="00FA2AC4"/>
    <w:rsid w:val="00FA46FC"/>
    <w:rsid w:val="00FA5F5F"/>
    <w:rsid w:val="00FA7992"/>
    <w:rsid w:val="00FB0228"/>
    <w:rsid w:val="00FB07C1"/>
    <w:rsid w:val="00FB1B7A"/>
    <w:rsid w:val="00FB1CB8"/>
    <w:rsid w:val="00FB2577"/>
    <w:rsid w:val="00FB2925"/>
    <w:rsid w:val="00FB6E48"/>
    <w:rsid w:val="00FB730C"/>
    <w:rsid w:val="00FC2695"/>
    <w:rsid w:val="00FC3E03"/>
    <w:rsid w:val="00FC3FC1"/>
    <w:rsid w:val="00FC6E06"/>
    <w:rsid w:val="00FD4980"/>
    <w:rsid w:val="00FD649F"/>
    <w:rsid w:val="00FE1227"/>
    <w:rsid w:val="00FE5FA0"/>
    <w:rsid w:val="00FF3F9F"/>
    <w:rsid w:val="00FF49A5"/>
    <w:rsid w:val="00FF69BD"/>
    <w:rsid w:val="058344E3"/>
    <w:rsid w:val="099D09EE"/>
    <w:rsid w:val="09E349D0"/>
    <w:rsid w:val="10E6B717"/>
    <w:rsid w:val="15BF13C2"/>
    <w:rsid w:val="18982F98"/>
    <w:rsid w:val="2250AB62"/>
    <w:rsid w:val="24A45907"/>
    <w:rsid w:val="289C4E92"/>
    <w:rsid w:val="3064E2AE"/>
    <w:rsid w:val="333E99BB"/>
    <w:rsid w:val="47985161"/>
    <w:rsid w:val="5C783361"/>
    <w:rsid w:val="5E1A7D4A"/>
    <w:rsid w:val="611E65E8"/>
    <w:rsid w:val="6D70F67E"/>
    <w:rsid w:val="6D9C68B3"/>
    <w:rsid w:val="711745B2"/>
    <w:rsid w:val="78442421"/>
    <w:rsid w:val="7AB36740"/>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974AFFF-5C5E-4C8D-ACF6-C9053120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33209"/>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33209"/>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paragraph" w:styleId="Revision">
    <w:name w:val="Revision"/>
    <w:hidden/>
    <w:uiPriority w:val="99"/>
    <w:semiHidden/>
    <w:rsid w:val="00646E08"/>
    <w:pPr>
      <w:spacing w:after="0" w:line="240" w:lineRule="auto"/>
    </w:pPr>
    <w:rPr>
      <w:rFonts w:ascii="Arial" w:eastAsia="Times New Roman" w:hAnsi="Arial" w:cs="Times New Roman"/>
      <w:sz w:val="18"/>
      <w:szCs w:val="20"/>
      <w:lang w:val="en-GB"/>
    </w:rPr>
  </w:style>
  <w:style w:type="character" w:styleId="UnresolvedMention">
    <w:name w:val="Unresolved Mention"/>
    <w:basedOn w:val="DefaultParagraphFont"/>
    <w:uiPriority w:val="99"/>
    <w:semiHidden/>
    <w:unhideWhenUsed/>
    <w:rsid w:val="00605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24029">
      <w:bodyDiv w:val="1"/>
      <w:marLeft w:val="0"/>
      <w:marRight w:val="0"/>
      <w:marTop w:val="0"/>
      <w:marBottom w:val="0"/>
      <w:divBdr>
        <w:top w:val="none" w:sz="0" w:space="0" w:color="auto"/>
        <w:left w:val="none" w:sz="0" w:space="0" w:color="auto"/>
        <w:bottom w:val="none" w:sz="0" w:space="0" w:color="auto"/>
        <w:right w:val="none" w:sz="0" w:space="0" w:color="auto"/>
      </w:divBdr>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212437806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712FA0D642F4AA1E1A1A510AE81C0" ma:contentTypeVersion="17" ma:contentTypeDescription="Create a new document." ma:contentTypeScope="" ma:versionID="6bfb564fdc4375dd0094fc23d3a442cd">
  <xsd:schema xmlns:xsd="http://www.w3.org/2001/XMLSchema" xmlns:xs="http://www.w3.org/2001/XMLSchema" xmlns:p="http://schemas.microsoft.com/office/2006/metadata/properties" xmlns:ns2="42da0ee4-96db-4ff3-bc32-b20af218176f" xmlns:ns3="0844b5b3-4e21-4f0c-8892-99d882f5a257" targetNamespace="http://schemas.microsoft.com/office/2006/metadata/properties" ma:root="true" ma:fieldsID="21a96592f15d11a96cb9ce9f97896a79" ns2:_="" ns3:_="">
    <xsd:import namespace="42da0ee4-96db-4ff3-bc32-b20af218176f"/>
    <xsd:import namespace="0844b5b3-4e21-4f0c-8892-99d882f5a2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a0ee4-96db-4ff3-bc32-b20af2181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448396-408b-4432-96f7-7c4181d1c83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44b5b3-4e21-4f0c-8892-99d882f5a2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4e40d7-b806-42cc-969c-9168c41d00b4}" ma:internalName="TaxCatchAll" ma:showField="CatchAllData" ma:web="0844b5b3-4e21-4f0c-8892-99d882f5a2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da0ee4-96db-4ff3-bc32-b20af218176f">
      <Terms xmlns="http://schemas.microsoft.com/office/infopath/2007/PartnerControls"/>
    </lcf76f155ced4ddcb4097134ff3c332f>
    <TaxCatchAll xmlns="0844b5b3-4e21-4f0c-8892-99d882f5a25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57091-D697-4D63-8A14-25897BBDC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a0ee4-96db-4ff3-bc32-b20af218176f"/>
    <ds:schemaRef ds:uri="0844b5b3-4e21-4f0c-8892-99d882f5a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6FAB8-DF93-48AC-8A79-C0EDCB4C8088}">
  <ds:schemaRefs>
    <ds:schemaRef ds:uri="http://schemas.microsoft.com/sharepoint/v3/contenttype/forms"/>
  </ds:schemaRefs>
</ds:datastoreItem>
</file>

<file path=customXml/itemProps3.xml><?xml version="1.0" encoding="utf-8"?>
<ds:datastoreItem xmlns:ds="http://schemas.openxmlformats.org/officeDocument/2006/customXml" ds:itemID="{340B9EBB-626D-47D0-8AA0-244945222FB3}">
  <ds:schemaRefs>
    <ds:schemaRef ds:uri="http://schemas.microsoft.com/office/2006/metadata/properties"/>
    <ds:schemaRef ds:uri="http://schemas.microsoft.com/office/infopath/2007/PartnerControls"/>
    <ds:schemaRef ds:uri="42da0ee4-96db-4ff3-bc32-b20af218176f"/>
    <ds:schemaRef ds:uri="0844b5b3-4e21-4f0c-8892-99d882f5a257"/>
  </ds:schemaRefs>
</ds:datastoreItem>
</file>

<file path=customXml/itemProps4.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2286</TotalTime>
  <Pages>6</Pages>
  <Words>3863</Words>
  <Characters>22022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Dipartimento CMIC - Politecnico di Milano</Company>
  <LinksUpToDate>false</LinksUpToDate>
  <CharactersWithSpaces>25834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Disaro' Edoardo</cp:lastModifiedBy>
  <cp:revision>342</cp:revision>
  <cp:lastPrinted>2015-05-12T18:31:00Z</cp:lastPrinted>
  <dcterms:created xsi:type="dcterms:W3CDTF">2025-06-30T13:33:00Z</dcterms:created>
  <dcterms:modified xsi:type="dcterms:W3CDTF">2025-08-01T16:00:00Z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0x010100E06712FA0D642F4AA1E1A1A510AE81C0</vt:lpwstr>
  </property>
  <property fmtid="{D5CDD505-2E9C-101B-9397-08002B2CF9AE}" pid="5" name="MSIP_Label_e18d9558-26a3-4f93-8788-04a494c05692_Enabled">
    <vt:lpwstr>true</vt:lpwstr>
  </property>
  <property fmtid="{D5CDD505-2E9C-101B-9397-08002B2CF9AE}" pid="6" name="MSIP_Label_e18d9558-26a3-4f93-8788-04a494c05692_SetDate">
    <vt:lpwstr>2025-02-05T10:55:43Z</vt:lpwstr>
  </property>
  <property fmtid="{D5CDD505-2E9C-101B-9397-08002B2CF9AE}" pid="7" name="MSIP_Label_e18d9558-26a3-4f93-8788-04a494c05692_Method">
    <vt:lpwstr>Standard</vt:lpwstr>
  </property>
  <property fmtid="{D5CDD505-2E9C-101B-9397-08002B2CF9AE}" pid="8" name="MSIP_Label_e18d9558-26a3-4f93-8788-04a494c05692_Name">
    <vt:lpwstr>e18d9558-26a3-4f93-8788-04a494c05692</vt:lpwstr>
  </property>
  <property fmtid="{D5CDD505-2E9C-101B-9397-08002B2CF9AE}" pid="9" name="MSIP_Label_e18d9558-26a3-4f93-8788-04a494c05692_SiteId">
    <vt:lpwstr>7cc91888-5aa0-49e5-a836-22cda2eae0fc</vt:lpwstr>
  </property>
  <property fmtid="{D5CDD505-2E9C-101B-9397-08002B2CF9AE}" pid="10" name="MSIP_Label_e18d9558-26a3-4f93-8788-04a494c05692_ActionId">
    <vt:lpwstr>5353edee-5c87-46cd-9c7f-1dc225c7addb</vt:lpwstr>
  </property>
  <property fmtid="{D5CDD505-2E9C-101B-9397-08002B2CF9AE}" pid="11" name="MSIP_Label_e18d9558-26a3-4f93-8788-04a494c05692_ContentBits">
    <vt:lpwstr>0</vt:lpwstr>
  </property>
  <property fmtid="{D5CDD505-2E9C-101B-9397-08002B2CF9AE}" pid="12" name="MediaServiceImageTags">
    <vt:lpwstr/>
  </property>
</Properties>
</file>