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F6FE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7159546"/>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F6FE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F6FEE">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5F2835FF" w14:textId="77777777" w:rsidR="00EF6FEE" w:rsidRPr="00B57B36" w:rsidRDefault="00EF6FEE" w:rsidP="00EF6FEE">
      <w:pPr>
        <w:pStyle w:val="CETTitle"/>
      </w:pPr>
      <w:r w:rsidRPr="00715D8C">
        <w:t>Soft-</w:t>
      </w:r>
      <w:r>
        <w:t>S</w:t>
      </w:r>
      <w:r w:rsidRPr="00715D8C">
        <w:t xml:space="preserve">ensors </w:t>
      </w:r>
      <w:r>
        <w:t>S</w:t>
      </w:r>
      <w:r w:rsidRPr="00715D8C">
        <w:t xml:space="preserve">trategy for </w:t>
      </w:r>
      <w:r>
        <w:t>E</w:t>
      </w:r>
      <w:r w:rsidRPr="00715D8C">
        <w:t xml:space="preserve">stimating the </w:t>
      </w:r>
      <w:r>
        <w:t>C</w:t>
      </w:r>
      <w:r w:rsidRPr="00715D8C">
        <w:t xml:space="preserve">ell </w:t>
      </w:r>
      <w:r>
        <w:t>B</w:t>
      </w:r>
      <w:r w:rsidRPr="00715D8C">
        <w:t xml:space="preserve">iomass and the </w:t>
      </w:r>
      <w:r>
        <w:t>N</w:t>
      </w:r>
      <w:r w:rsidRPr="00715D8C">
        <w:t>anobody-</w:t>
      </w:r>
      <w:r>
        <w:t>B</w:t>
      </w:r>
      <w:r w:rsidRPr="00715D8C">
        <w:t xml:space="preserve">ased </w:t>
      </w:r>
      <w:r>
        <w:t>S</w:t>
      </w:r>
      <w:r w:rsidRPr="00715D8C">
        <w:t xml:space="preserve">corpion </w:t>
      </w:r>
      <w:r>
        <w:t>A</w:t>
      </w:r>
      <w:r w:rsidRPr="00715D8C">
        <w:t xml:space="preserve">ntivenom </w:t>
      </w:r>
      <w:r>
        <w:t>P</w:t>
      </w:r>
      <w:r w:rsidRPr="00715D8C">
        <w:t xml:space="preserve">roduction: from ML </w:t>
      </w:r>
      <w:r>
        <w:t>A</w:t>
      </w:r>
      <w:r w:rsidRPr="00715D8C">
        <w:t xml:space="preserve">lgorithms </w:t>
      </w:r>
      <w:r>
        <w:t>S</w:t>
      </w:r>
      <w:r w:rsidRPr="00715D8C">
        <w:t xml:space="preserve">election to </w:t>
      </w:r>
      <w:r>
        <w:t>S</w:t>
      </w:r>
      <w:r w:rsidRPr="00715D8C">
        <w:t>cale-</w:t>
      </w:r>
      <w:r>
        <w:t>D</w:t>
      </w:r>
      <w:r w:rsidRPr="00715D8C">
        <w:t xml:space="preserve">own </w:t>
      </w:r>
      <w:r>
        <w:t>B</w:t>
      </w:r>
      <w:r w:rsidRPr="00715D8C">
        <w:t xml:space="preserve">ioprocess </w:t>
      </w:r>
      <w:r>
        <w:t>A</w:t>
      </w:r>
      <w:r w:rsidRPr="00715D8C">
        <w:t>pplication</w:t>
      </w:r>
    </w:p>
    <w:p w14:paraId="24AC5B5E" w14:textId="491A82E5" w:rsidR="00EF6FEE" w:rsidRPr="00715D8C" w:rsidRDefault="00EF6FEE" w:rsidP="00EF6FEE">
      <w:pPr>
        <w:pStyle w:val="CETAuthors"/>
        <w:rPr>
          <w:szCs w:val="24"/>
        </w:rPr>
      </w:pPr>
      <w:r w:rsidRPr="00715D8C">
        <w:rPr>
          <w:szCs w:val="24"/>
        </w:rPr>
        <w:t>Juan C. Acosta-Pavas</w:t>
      </w:r>
      <w:r w:rsidRPr="00715D8C">
        <w:rPr>
          <w:szCs w:val="24"/>
          <w:vertAlign w:val="superscript"/>
        </w:rPr>
        <w:t>a</w:t>
      </w:r>
      <w:r w:rsidRPr="00715D8C">
        <w:rPr>
          <w:szCs w:val="24"/>
        </w:rPr>
        <w:t>, David C</w:t>
      </w:r>
      <w:r w:rsidR="0029414F">
        <w:rPr>
          <w:szCs w:val="24"/>
        </w:rPr>
        <w:t>amilo</w:t>
      </w:r>
      <w:r w:rsidRPr="00715D8C">
        <w:rPr>
          <w:szCs w:val="24"/>
        </w:rPr>
        <w:t xml:space="preserve"> Corrales</w:t>
      </w:r>
      <w:r w:rsidRPr="00715D8C">
        <w:rPr>
          <w:szCs w:val="24"/>
          <w:vertAlign w:val="superscript"/>
        </w:rPr>
        <w:t>b</w:t>
      </w:r>
      <w:r w:rsidRPr="00715D8C">
        <w:rPr>
          <w:szCs w:val="24"/>
        </w:rPr>
        <w:t>,</w:t>
      </w:r>
      <w:r w:rsidRPr="00715D8C">
        <w:rPr>
          <w:rFonts w:cs="Arial"/>
          <w:szCs w:val="24"/>
        </w:rPr>
        <w:t xml:space="preserve"> </w:t>
      </w:r>
      <w:r w:rsidRPr="00715D8C">
        <w:rPr>
          <w:szCs w:val="24"/>
        </w:rPr>
        <w:t>Susana M. Alonso Villela</w:t>
      </w:r>
      <w:r w:rsidRPr="00715D8C">
        <w:rPr>
          <w:szCs w:val="24"/>
          <w:vertAlign w:val="superscript"/>
        </w:rPr>
        <w:t>a</w:t>
      </w:r>
      <w:r w:rsidRPr="00715D8C">
        <w:rPr>
          <w:szCs w:val="24"/>
        </w:rPr>
        <w:t>,</w:t>
      </w:r>
      <w:r w:rsidRPr="00715D8C">
        <w:rPr>
          <w:rFonts w:cs="Arial"/>
          <w:szCs w:val="24"/>
        </w:rPr>
        <w:t xml:space="preserve"> </w:t>
      </w:r>
      <w:r w:rsidRPr="00715D8C">
        <w:rPr>
          <w:szCs w:val="24"/>
        </w:rPr>
        <w:t>Georgios Georgakilas</w:t>
      </w:r>
      <w:r w:rsidRPr="00715D8C">
        <w:rPr>
          <w:rFonts w:cs="Arial"/>
          <w:szCs w:val="24"/>
          <w:vertAlign w:val="superscript"/>
        </w:rPr>
        <w:t>c</w:t>
      </w:r>
      <w:r w:rsidRPr="00715D8C">
        <w:rPr>
          <w:rFonts w:cs="Arial"/>
          <w:szCs w:val="24"/>
        </w:rPr>
        <w:t xml:space="preserve">, </w:t>
      </w:r>
      <w:r w:rsidRPr="00715D8C">
        <w:rPr>
          <w:szCs w:val="24"/>
        </w:rPr>
        <w:t>Balkiss Bouhaouala-Zahar</w:t>
      </w:r>
      <w:r w:rsidRPr="00715D8C">
        <w:rPr>
          <w:rFonts w:cs="Arial"/>
          <w:szCs w:val="24"/>
          <w:vertAlign w:val="superscript"/>
        </w:rPr>
        <w:t>d</w:t>
      </w:r>
      <w:r w:rsidRPr="00715D8C">
        <w:rPr>
          <w:rFonts w:cs="Arial"/>
          <w:szCs w:val="24"/>
        </w:rPr>
        <w:t xml:space="preserve">, </w:t>
      </w:r>
      <w:r w:rsidRPr="00715D8C">
        <w:rPr>
          <w:szCs w:val="24"/>
        </w:rPr>
        <w:t>Julien Cescut</w:t>
      </w:r>
      <w:r w:rsidRPr="00715D8C">
        <w:rPr>
          <w:rFonts w:cs="Arial"/>
          <w:szCs w:val="24"/>
          <w:vertAlign w:val="superscript"/>
        </w:rPr>
        <w:t>b</w:t>
      </w:r>
      <w:r w:rsidRPr="00715D8C">
        <w:rPr>
          <w:rFonts w:cs="Arial"/>
          <w:szCs w:val="24"/>
        </w:rPr>
        <w:t xml:space="preserve">, </w:t>
      </w:r>
      <w:r w:rsidRPr="00715D8C">
        <w:rPr>
          <w:szCs w:val="24"/>
        </w:rPr>
        <w:t>Luc Fillaudeau</w:t>
      </w:r>
      <w:r w:rsidRPr="00715D8C">
        <w:rPr>
          <w:rFonts w:cs="Arial"/>
          <w:szCs w:val="24"/>
          <w:vertAlign w:val="superscript"/>
        </w:rPr>
        <w:t>a</w:t>
      </w:r>
      <w:r w:rsidRPr="00715D8C">
        <w:rPr>
          <w:rFonts w:cs="Arial"/>
          <w:szCs w:val="24"/>
        </w:rPr>
        <w:t xml:space="preserve">, </w:t>
      </w:r>
      <w:r w:rsidRPr="00715D8C">
        <w:rPr>
          <w:szCs w:val="24"/>
        </w:rPr>
        <w:t>César Arturo Aceves-Lara</w:t>
      </w:r>
      <w:r w:rsidRPr="00715D8C">
        <w:rPr>
          <w:rFonts w:cs="Arial"/>
          <w:szCs w:val="24"/>
          <w:vertAlign w:val="superscript"/>
        </w:rPr>
        <w:t>a,</w:t>
      </w:r>
      <w:r w:rsidRPr="00715D8C">
        <w:rPr>
          <w:rFonts w:cs="Arial"/>
          <w:szCs w:val="24"/>
        </w:rPr>
        <w:t>*</w:t>
      </w:r>
    </w:p>
    <w:p w14:paraId="303C4A03" w14:textId="77777777" w:rsidR="004D6E29" w:rsidRPr="008C10FB" w:rsidRDefault="004D6E29" w:rsidP="004D6E29">
      <w:pPr>
        <w:pStyle w:val="CETAddress"/>
        <w:rPr>
          <w:rFonts w:cs="Arial"/>
          <w:sz w:val="18"/>
          <w:szCs w:val="18"/>
          <w:lang w:val="fr-FR"/>
        </w:rPr>
      </w:pPr>
      <w:r w:rsidRPr="008C10FB">
        <w:rPr>
          <w:rFonts w:cs="Arial"/>
          <w:sz w:val="18"/>
          <w:szCs w:val="18"/>
          <w:vertAlign w:val="superscript"/>
          <w:lang w:val="fr-FR"/>
        </w:rPr>
        <w:t>a</w:t>
      </w:r>
      <w:r w:rsidRPr="008C10FB">
        <w:rPr>
          <w:rFonts w:cs="Arial"/>
          <w:sz w:val="18"/>
          <w:szCs w:val="18"/>
          <w:lang w:val="fr-FR"/>
        </w:rPr>
        <w:t xml:space="preserve">TBI, Université de Toulouse, CNRS UMR5504, INRAE UMR792, INSA, Toulouse, France </w:t>
      </w:r>
    </w:p>
    <w:p w14:paraId="7CC45A7B" w14:textId="0562B6ED" w:rsidR="004D6E29" w:rsidRPr="00BF1F26" w:rsidRDefault="004D6E29" w:rsidP="004D6E29">
      <w:pPr>
        <w:pStyle w:val="CETAddress"/>
        <w:rPr>
          <w:lang w:val="fr-FR"/>
        </w:rPr>
      </w:pPr>
      <w:r w:rsidRPr="00BF1F26">
        <w:rPr>
          <w:vertAlign w:val="superscript"/>
          <w:lang w:val="fr-FR"/>
        </w:rPr>
        <w:t>b</w:t>
      </w:r>
      <w:r w:rsidRPr="00BF1F26">
        <w:rPr>
          <w:lang w:val="fr-FR"/>
        </w:rPr>
        <w:t>Athena Research Center, Marousi, Greece</w:t>
      </w:r>
    </w:p>
    <w:p w14:paraId="13D00DDB" w14:textId="0690703C" w:rsidR="004D6E29" w:rsidRDefault="004D6E29" w:rsidP="004D6E29">
      <w:pPr>
        <w:pStyle w:val="CETAddress"/>
        <w:rPr>
          <w:rFonts w:cs="Arial"/>
          <w:noProof w:val="0"/>
          <w:lang w:val="fr-FR"/>
        </w:rPr>
      </w:pPr>
      <w:r>
        <w:rPr>
          <w:rStyle w:val="CETAddressCarattere"/>
          <w:rFonts w:cs="Arial"/>
          <w:vertAlign w:val="superscript"/>
          <w:lang w:val="fr-FR"/>
        </w:rPr>
        <w:t>c</w:t>
      </w:r>
      <w:r w:rsidRPr="008C10FB">
        <w:rPr>
          <w:rStyle w:val="CETAddressCarattere"/>
          <w:rFonts w:cs="Arial"/>
          <w:lang w:val="fr-FR"/>
        </w:rPr>
        <w:t>Laboratoire des Biomolécules, Venins et Applications Théranostiques (LBVAT), Institut Pasteur de Tunis, 13</w:t>
      </w:r>
      <w:r w:rsidRPr="008C10FB">
        <w:rPr>
          <w:rFonts w:cs="Arial"/>
          <w:noProof w:val="0"/>
          <w:lang w:val="fr-FR"/>
        </w:rPr>
        <w:t xml:space="preserve"> Place Pasteur, BP-74, 1002 Le Belvédère, Tunis, </w:t>
      </w:r>
      <w:proofErr w:type="spellStart"/>
      <w:r w:rsidRPr="008C10FB">
        <w:rPr>
          <w:rFonts w:cs="Arial"/>
          <w:noProof w:val="0"/>
          <w:lang w:val="fr-FR"/>
        </w:rPr>
        <w:t>Tunisia</w:t>
      </w:r>
      <w:proofErr w:type="spellEnd"/>
    </w:p>
    <w:p w14:paraId="7B8A629D" w14:textId="77777777" w:rsidR="004D6E29" w:rsidRDefault="004D6E29" w:rsidP="004D6E29">
      <w:pPr>
        <w:pStyle w:val="CETAddress"/>
        <w:rPr>
          <w:rFonts w:cs="Arial"/>
          <w:lang w:val="fr-FR"/>
        </w:rPr>
      </w:pPr>
      <w:r>
        <w:rPr>
          <w:rFonts w:cs="Arial"/>
          <w:vertAlign w:val="superscript"/>
          <w:lang w:val="fr-FR"/>
        </w:rPr>
        <w:t>d</w:t>
      </w:r>
      <w:r w:rsidRPr="008C10FB">
        <w:rPr>
          <w:rFonts w:cs="Arial"/>
          <w:lang w:val="fr-FR"/>
        </w:rPr>
        <w:t xml:space="preserve"> INRAE, UMS (1337) TWB, 135 Avenue de Rangueil, 31077 Toulouse, </w:t>
      </w:r>
      <w:r>
        <w:rPr>
          <w:rFonts w:cs="Arial"/>
          <w:lang w:val="fr-FR"/>
        </w:rPr>
        <w:t>France</w:t>
      </w:r>
    </w:p>
    <w:p w14:paraId="2FB05710" w14:textId="77777777" w:rsidR="004D6E29" w:rsidRPr="008C10FB" w:rsidRDefault="004D6E29" w:rsidP="004D6E29">
      <w:pPr>
        <w:pStyle w:val="CETemail"/>
        <w:rPr>
          <w:rFonts w:cs="Arial"/>
          <w:noProof w:val="0"/>
          <w:szCs w:val="16"/>
          <w:lang w:val="en-US"/>
        </w:rPr>
      </w:pPr>
      <w:r w:rsidRPr="00BF1F26">
        <w:rPr>
          <w:lang w:val="en-US"/>
        </w:rPr>
        <w:t xml:space="preserve">Corresponding author: </w:t>
      </w:r>
      <w:hyperlink r:id="rId10" w:history="1">
        <w:r w:rsidRPr="00BF1F26">
          <w:rPr>
            <w:lang w:val="en-US"/>
          </w:rPr>
          <w:t>aceves@insa-toulouse.fr</w:t>
        </w:r>
      </w:hyperlink>
      <w:r w:rsidRPr="008C10FB">
        <w:rPr>
          <w:rFonts w:cs="Arial"/>
          <w:noProof w:val="0"/>
          <w:szCs w:val="16"/>
          <w:lang w:val="en-US"/>
        </w:rPr>
        <w:t xml:space="preserve"> </w:t>
      </w:r>
    </w:p>
    <w:p w14:paraId="77D65959" w14:textId="6183291B" w:rsidR="00811934" w:rsidRPr="003C76F0" w:rsidRDefault="00811934" w:rsidP="00811934">
      <w:pPr>
        <w:pStyle w:val="CETBodytext"/>
        <w:rPr>
          <w:b/>
        </w:rPr>
      </w:pPr>
      <w:r w:rsidRPr="006A4775">
        <w:t xml:space="preserve">The production of recombinant nanobodies (protein) in </w:t>
      </w:r>
      <w:r w:rsidRPr="00D96647">
        <w:rPr>
          <w:i/>
          <w:iCs/>
        </w:rPr>
        <w:t>E. coli</w:t>
      </w:r>
      <w:r w:rsidRPr="006A4775">
        <w:t xml:space="preserve"> exhibits promising results for its application in serotherapy.</w:t>
      </w:r>
      <w:r w:rsidR="00D96647">
        <w:t xml:space="preserve"> </w:t>
      </w:r>
      <w:r w:rsidR="00D96647" w:rsidRPr="00D96647">
        <w:t>However, the monitoring, control, and optimization of this bioprocess present limitations due to the measurements of critical variables</w:t>
      </w:r>
      <w:r w:rsidRPr="00D96647">
        <w:t>.</w:t>
      </w:r>
      <w:r w:rsidRPr="006A4775">
        <w:t xml:space="preserve"> This study explores the potential of machine learning (ML) tools, such as soft sensors, to estimate </w:t>
      </w:r>
      <w:r w:rsidR="00D96647" w:rsidRPr="00D96647">
        <w:t xml:space="preserve">offline variables such as protein and biomass </w:t>
      </w:r>
      <w:r w:rsidR="00DD1087" w:rsidRPr="00D96647">
        <w:t>conc</w:t>
      </w:r>
      <w:r w:rsidR="00DD1087">
        <w:t>e</w:t>
      </w:r>
      <w:r w:rsidR="00DD1087" w:rsidRPr="00D96647">
        <w:t>ntration</w:t>
      </w:r>
      <w:r w:rsidRPr="006A4775">
        <w:t xml:space="preserve">. </w:t>
      </w:r>
      <w:r w:rsidR="00DD1087">
        <w:t xml:space="preserve">CART </w:t>
      </w:r>
      <w:r w:rsidRPr="006A4775">
        <w:t xml:space="preserve">Decision </w:t>
      </w:r>
      <w:r w:rsidR="00DD1087">
        <w:t>T</w:t>
      </w:r>
      <w:r w:rsidRPr="006A4775">
        <w:t>ree (DT), Random Forest (RF), K-</w:t>
      </w:r>
      <w:r w:rsidR="00DD1087">
        <w:t>N</w:t>
      </w:r>
      <w:r w:rsidRPr="006A4775">
        <w:t xml:space="preserve">earest </w:t>
      </w:r>
      <w:r w:rsidR="00DD1087">
        <w:t>N</w:t>
      </w:r>
      <w:r w:rsidR="007B0A46" w:rsidRPr="006A4775">
        <w:t>eighbors</w:t>
      </w:r>
      <w:r w:rsidRPr="006A4775">
        <w:t xml:space="preserve"> (KNN), and </w:t>
      </w:r>
      <w:r w:rsidR="00DD1087">
        <w:t>Radial Basis Function (RBF) S</w:t>
      </w:r>
      <w:r w:rsidRPr="006A4775">
        <w:t xml:space="preserve">upport </w:t>
      </w:r>
      <w:r w:rsidR="00DD1087">
        <w:t>V</w:t>
      </w:r>
      <w:r w:rsidRPr="006A4775">
        <w:t xml:space="preserve">ector </w:t>
      </w:r>
      <w:r w:rsidR="00DD1087">
        <w:t>M</w:t>
      </w:r>
      <w:r w:rsidRPr="006A4775">
        <w:t>achine (SVM)</w:t>
      </w:r>
      <w:r w:rsidR="007B0A46" w:rsidRPr="006A4775">
        <w:t xml:space="preserve"> learners were used to train and test the soft sensors. Eleven offline variables were used as features</w:t>
      </w:r>
      <w:r w:rsidR="00D96647">
        <w:t>.</w:t>
      </w:r>
      <w:r w:rsidR="00C16F2D" w:rsidRPr="00C16F2D">
        <w:rPr>
          <w:rFonts w:eastAsiaTheme="minorEastAsia"/>
        </w:rPr>
        <w:t xml:space="preserve"> For the protein soft sensor, KNN and RBF SVM exhibit the best performance with </w:t>
      </w:r>
      <w:r w:rsidR="00C16F2D" w:rsidRPr="00C16F2D">
        <w:t xml:space="preserve">a training and test results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&gt;</m:t>
        </m:r>
        <m:r>
          <m:rPr>
            <m:sty m:val="p"/>
          </m:rPr>
          <w:rPr>
            <w:rFonts w:ascii="Cambria Math" w:hAnsi="Cambria Math"/>
          </w:rPr>
          <m:t>0.99</m:t>
        </m:r>
      </m:oMath>
      <w:r w:rsidR="00C16F2D" w:rsidRPr="00C16F2D">
        <w:t xml:space="preserve">, </w:t>
      </w:r>
      <m:oMath>
        <m:r>
          <w:rPr>
            <w:rFonts w:ascii="Cambria Math" w:hAnsi="Cambria Math"/>
          </w:rPr>
          <m:t>MSE&lt;3.578</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sidR="00C16F2D" w:rsidRPr="00C16F2D">
        <w:t xml:space="preserve">, </w:t>
      </w:r>
      <m:oMath>
        <m:r>
          <w:rPr>
            <w:rFonts w:ascii="Cambria Math" w:hAnsi="Cambria Math"/>
          </w:rPr>
          <m:t>RMSE</m:t>
        </m:r>
        <m:r>
          <m:rPr>
            <m:sty m:val="p"/>
          </m:rPr>
          <w:rPr>
            <w:rFonts w:ascii="Cambria Math" w:hAnsi="Cambria Math"/>
          </w:rPr>
          <m:t>&lt;0.060</m:t>
        </m:r>
      </m:oMath>
      <w:r w:rsidR="00C16F2D" w:rsidRPr="00C16F2D">
        <w:t xml:space="preserve">, and </w:t>
      </w:r>
      <m:oMath>
        <m:r>
          <w:rPr>
            <w:rFonts w:ascii="Cambria Math" w:hAnsi="Cambria Math"/>
          </w:rPr>
          <m:t>MAE&lt;</m:t>
        </m:r>
        <m:r>
          <m:rPr>
            <m:sty m:val="p"/>
          </m:rPr>
          <w:rPr>
            <w:rFonts w:ascii="Cambria Math" w:hAnsi="Cambria Math"/>
          </w:rPr>
          <m:t>0.052</m:t>
        </m:r>
      </m:oMath>
      <w:r w:rsidR="00C16F2D" w:rsidRPr="00C16F2D">
        <w:t xml:space="preserve">. </w:t>
      </w:r>
      <w:r w:rsidR="00C16F2D" w:rsidRPr="00C16F2D">
        <w:rPr>
          <w:rFonts w:eastAsiaTheme="minorEastAsia"/>
        </w:rPr>
        <w:t xml:space="preserve">In the biomass soft sensor, the training of all the learners showed good results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&gt;</m:t>
        </m:r>
        <m:r>
          <m:rPr>
            <m:sty m:val="p"/>
          </m:rPr>
          <w:rPr>
            <w:rFonts w:ascii="Cambria Math" w:hAnsi="Cambria Math"/>
          </w:rPr>
          <m:t>0.99</m:t>
        </m:r>
      </m:oMath>
      <w:r w:rsidR="00C16F2D" w:rsidRPr="00C16F2D">
        <w:t xml:space="preserve">, </w:t>
      </w:r>
      <m:oMath>
        <m:r>
          <w:rPr>
            <w:rFonts w:ascii="Cambria Math" w:hAnsi="Cambria Math"/>
          </w:rPr>
          <m:t>MSE&lt;</m:t>
        </m:r>
        <m:r>
          <m:rPr>
            <m:sty m:val="p"/>
          </m:rPr>
          <w:rPr>
            <w:rFonts w:ascii="Cambria Math" w:hAnsi="Cambria Math"/>
          </w:rPr>
          <m:t>8.356×</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sidR="00C16F2D" w:rsidRPr="00C16F2D">
        <w:t xml:space="preserve">, </w:t>
      </w:r>
      <m:oMath>
        <m:r>
          <w:rPr>
            <w:rFonts w:ascii="Cambria Math" w:hAnsi="Cambria Math"/>
          </w:rPr>
          <m:t>RMSE</m:t>
        </m:r>
        <m:r>
          <m:rPr>
            <m:sty m:val="p"/>
          </m:rPr>
          <w:rPr>
            <w:rFonts w:ascii="Cambria Math" w:hAnsi="Cambria Math"/>
          </w:rPr>
          <m:t>&lt;0.091</m:t>
        </m:r>
      </m:oMath>
      <w:r w:rsidR="00C16F2D" w:rsidRPr="00C16F2D">
        <w:t xml:space="preserve">, and </w:t>
      </w:r>
      <m:oMath>
        <m:r>
          <w:rPr>
            <w:rFonts w:ascii="Cambria Math" w:hAnsi="Cambria Math"/>
          </w:rPr>
          <m:t>MAE&lt;</m:t>
        </m:r>
        <m:r>
          <m:rPr>
            <m:sty m:val="p"/>
          </m:rPr>
          <w:rPr>
            <w:rFonts w:ascii="Cambria Math" w:hAnsi="Cambria Math"/>
          </w:rPr>
          <m:t>0.062</m:t>
        </m:r>
      </m:oMath>
      <w:r w:rsidR="00A13B45">
        <w:t>.</w:t>
      </w:r>
      <w:r w:rsidR="006A4775" w:rsidRPr="006A4775">
        <w:t>The</w:t>
      </w:r>
      <w:r w:rsidR="00C16F2D">
        <w:t xml:space="preserve"> </w:t>
      </w:r>
      <w:r w:rsidR="006A4775" w:rsidRPr="006A4775">
        <w:t xml:space="preserve">soft sensors were evaluated in a scale-down </w:t>
      </w:r>
      <w:r w:rsidR="00A24CCB">
        <w:t>process</w:t>
      </w:r>
      <w:r w:rsidR="006A4775" w:rsidRPr="006A4775">
        <w:t xml:space="preserve"> to estimate the biomass using only four variables. </w:t>
      </w:r>
      <w:r w:rsidR="006A4775" w:rsidRPr="006A4775">
        <w:rPr>
          <w:rFonts w:eastAsiaTheme="minorEastAsia"/>
        </w:rPr>
        <w:t>The results show the potential to use soft sensors for monitoring variables that are not possible to measure in real time.</w:t>
      </w:r>
    </w:p>
    <w:p w14:paraId="31F68612" w14:textId="16A04807" w:rsidR="00340308" w:rsidRDefault="000F33BE" w:rsidP="00426284">
      <w:pPr>
        <w:pStyle w:val="CETHeading1"/>
        <w:spacing w:after="0"/>
      </w:pPr>
      <w:r>
        <w:t>Introduction</w:t>
      </w:r>
    </w:p>
    <w:p w14:paraId="02250C9B" w14:textId="0DE65A91" w:rsidR="00D96647" w:rsidRDefault="00340308" w:rsidP="00DA2075">
      <w:pPr>
        <w:pStyle w:val="CETBodytext"/>
      </w:pPr>
      <w:r w:rsidRPr="00DA2075">
        <w:t>Scorpion sting envenoming (</w:t>
      </w:r>
      <w:proofErr w:type="spellStart"/>
      <w:r w:rsidRPr="00DA2075">
        <w:t>scorpionism</w:t>
      </w:r>
      <w:proofErr w:type="spellEnd"/>
      <w:r w:rsidRPr="00DA2075">
        <w:t>) is a severe public health issue in developing countries in</w:t>
      </w:r>
      <w:r w:rsidR="00713C3A">
        <w:t xml:space="preserve"> </w:t>
      </w:r>
      <w:r w:rsidRPr="00DA2075">
        <w:t>North Africa, the</w:t>
      </w:r>
      <w:r w:rsidR="00713C3A">
        <w:t xml:space="preserve"> </w:t>
      </w:r>
      <w:r w:rsidRPr="00DA2075">
        <w:t xml:space="preserve">Middle East, and Central and South America </w:t>
      </w:r>
      <w:r w:rsidRPr="00DA2075">
        <w:fldChar w:fldCharType="begin"/>
      </w:r>
      <w:r w:rsidR="00B92F48" w:rsidRPr="00DA2075">
        <w:instrText xml:space="preserve"> ADDIN ZOTERO_ITEM CSL_CITATION {"citationID":"Foi0wDbY","properties":{"formattedCitation":"(Olivares-Hern\\uc0\\u225{}ndez et al., 2024)","plainCitation":"(Olivares-Hernández et al., 2024)","noteIndex":0},"citationItems":[{"id":1322,"uris":["http://zotero.org/users/9482894/items/TDLR6G96"],"itemData":{"id":1322,"type":"article-journal","container-title":"Toxicon","DOI":"10.1016/j.toxicon.2024.107691","ISSN":"00410101","journalAbbreviation":"Toxicon","language":"en","page":"107691","source":"DOI.org (Crossref)","title":"Pharmacokinetic evaluation of a single chain antibody fragment against scorpion toxins in sheep","volume":"242","author":[{"family":"Olivares-Hernández","given":"Roberto"},{"family":"Riaño-Umbarila","given":"Lidia"},{"family":"Becerril","given":"Baltazar"},{"family":"Alagón","given":"Alejandro"},{"family":"Vázquez-López","given":"Hilda"}],"issued":{"date-parts":[["2024",5]]}}}],"schema":"https://github.com/citation-style-language/schema/raw/master/csl-citation.json"} </w:instrText>
      </w:r>
      <w:r w:rsidRPr="00DA2075">
        <w:fldChar w:fldCharType="separate"/>
      </w:r>
      <w:r w:rsidR="00B92F48" w:rsidRPr="00DA2075">
        <w:t>(Olivares-Hernández et al., 2024)</w:t>
      </w:r>
      <w:r w:rsidRPr="00DA2075">
        <w:fldChar w:fldCharType="end"/>
      </w:r>
      <w:r w:rsidRPr="00DA2075">
        <w:t>.</w:t>
      </w:r>
      <w:r w:rsidR="00D96647">
        <w:t xml:space="preserve"> </w:t>
      </w:r>
      <w:r w:rsidR="00B92F48" w:rsidRPr="00DA2075">
        <w:t xml:space="preserve">The production of recombinant nanobodies in </w:t>
      </w:r>
      <w:r w:rsidR="00B92F48" w:rsidRPr="00D96647">
        <w:rPr>
          <w:i/>
          <w:iCs/>
        </w:rPr>
        <w:t>E. coli</w:t>
      </w:r>
      <w:r w:rsidR="00B92F48" w:rsidRPr="00DA2075">
        <w:t xml:space="preserve"> exhibits promising results for its application in serotherapy, especially for its implementation as a treatment for scorpion stings </w:t>
      </w:r>
      <w:r w:rsidR="00B92F48" w:rsidRPr="00DA2075">
        <w:fldChar w:fldCharType="begin"/>
      </w:r>
      <w:r w:rsidR="000F6991">
        <w:instrText xml:space="preserve"> ADDIN ZOTERO_ITEM CSL_CITATION {"citationID":"HYymwc7J","properties":{"formattedCitation":"(Alonso Villela et al., 2021)","plainCitation":"(Alonso Villela et al., 2021)","noteIndex":0},"citationItems":[{"id":1301,"uris":["http://zotero.org/users/9482894/items/RUQLNDWW"],"itemData":{"id":1301,"type":"article-journal","container-title":"Applied Microbiology and Biotechnology","DOI":"10.1007/s00253-021-11093-5","ISSN":"0175-7598, 1432-0614","issue":"3","journalAbbreviation":"Appl Microbiol Biotechnol","language":"en","page":"1017-1030","source":"DOI.org (Crossref)","title":"Effect of temperature on the production of a recombinant antivenom in fed-batch mode","volume":"105","author":[{"family":"Alonso Villela","given":"Susana María"},{"family":"Ghezal-Kraïem","given":"Hazar"},{"family":"Bouhaouala-Zahar","given":"Balkiss"},{"family":"Bideaux","given":"Carine"},{"family":"Aceves Lara","given":"César Arturo"},{"family":"Fillaudeau","given":"Luc"}],"issued":{"date-parts":[["2021",2]]}}}],"schema":"https://github.com/citation-style-language/schema/raw/master/csl-citation.json"} </w:instrText>
      </w:r>
      <w:r w:rsidR="00B92F48" w:rsidRPr="00DA2075">
        <w:fldChar w:fldCharType="separate"/>
      </w:r>
      <w:r w:rsidR="000F6991" w:rsidRPr="000F6991">
        <w:rPr>
          <w:rFonts w:cs="Arial"/>
        </w:rPr>
        <w:t>(Alonso Villela et al., 2021)</w:t>
      </w:r>
      <w:r w:rsidR="00B92F48" w:rsidRPr="00DA2075">
        <w:fldChar w:fldCharType="end"/>
      </w:r>
      <w:r w:rsidR="00B92F48" w:rsidRPr="00DA2075">
        <w:t xml:space="preserve">. </w:t>
      </w:r>
      <w:r w:rsidR="00D96647" w:rsidRPr="00D96647">
        <w:t>However, the monitoring, control, and optimization of this bioprocess present limitations due to the measurements of critical variables</w:t>
      </w:r>
      <w:r w:rsidR="00B92F48" w:rsidRPr="00D96647">
        <w:t>.</w:t>
      </w:r>
      <w:r w:rsidR="00B92F48" w:rsidRPr="00DA2075">
        <w:t xml:space="preserve"> </w:t>
      </w:r>
      <w:r w:rsidR="00D22299" w:rsidRPr="00DA2075">
        <w:t>Soft Sensors</w:t>
      </w:r>
      <w:r w:rsidR="00D96647">
        <w:t xml:space="preserve"> </w:t>
      </w:r>
      <w:r w:rsidR="00D22299" w:rsidRPr="00DA2075">
        <w:t xml:space="preserve">have emerged as an alternative solution to this problem </w:t>
      </w:r>
      <w:r w:rsidR="00D22299" w:rsidRPr="00DA2075">
        <w:fldChar w:fldCharType="begin"/>
      </w:r>
      <w:r w:rsidR="00D22299" w:rsidRPr="00DA2075">
        <w:instrText xml:space="preserve"> ADDIN ZOTERO_ITEM CSL_CITATION {"citationID":"f8ceFcIC","properties":{"formattedCitation":"(Brunner et al., 2021)","plainCitation":"(Brunner et al., 2021)","noteIndex":0},"citationItems":[{"id":324,"uris":["http://zotero.org/users/9482894/items/7V7YUYA2"],"itemData":{"id":324,"type":"article-journal","abstract":"Among the greatest challenges in soft sensor development for bioprocesses are variable process lengths, multiple process phases, and erroneous model inputs due to sensor faults. This review article describes these three challenges and critically discusses the corresponding solution approaches from a data scientist’s perspective. This main part of the article is preceded by an overview of the status quo in the development and application of soft sensors. The scope of this article is mainly the upstream part of bioprocesses, although the solution approaches are in most cases also applicable to the downstream part. Variable process lengths are accounted for by data synchronization techniques such as indicator variables, curve registration, and dynamic time warping. Multiple process phases are partitioned by trajectory or correlation-based phase detection, enabling phase-adaptive modeling. Sensor faults are detected by symptom signals, pattern recognition, or by changing contributions of the corresponding sensor to a process model. According to the current state of the literature, tolerance to sensor faults remains the greatest challenge in soft sensor development, especially in the presence of variable process lengths and multiple process phases.","container-title":"Frontiers in Bioengineering and Biotechnology","DOI":"10.3389/fbioe.2021.722202","ISSN":"2296-4185","journalAbbreviation":"Front. Bioeng. Biotechnol.","page":"722202","source":"DOI.org (Crossref)","title":"Challenges in the Development of Soft Sensors for Bioprocesses: A Critical Review","title-short":"Challenges in the Development of Soft Sensors for Bioprocesses","volume":"9","author":[{"family":"Brunner","given":"Vincent"},{"family":"Siegl","given":"Manuel"},{"family":"Geier","given":"Dominik"},{"family":"Becker","given":"Thomas"}],"issued":{"date-parts":[["2021",8,20]]}}}],"schema":"https://github.com/citation-style-language/schema/raw/master/csl-citation.json"} </w:instrText>
      </w:r>
      <w:r w:rsidR="00D22299" w:rsidRPr="00DA2075">
        <w:fldChar w:fldCharType="separate"/>
      </w:r>
      <w:r w:rsidR="00D22299" w:rsidRPr="00DA2075">
        <w:t>(Brunner et al., 2021)</w:t>
      </w:r>
      <w:r w:rsidR="00D22299" w:rsidRPr="00DA2075">
        <w:fldChar w:fldCharType="end"/>
      </w:r>
      <w:r w:rsidR="00D22299" w:rsidRPr="00DA2075">
        <w:t>.</w:t>
      </w:r>
    </w:p>
    <w:p w14:paraId="020BD750" w14:textId="283D3841" w:rsidR="008F0F87" w:rsidRDefault="00EC1BDE" w:rsidP="00DA2075">
      <w:pPr>
        <w:pStyle w:val="CETBodytext"/>
      </w:pPr>
      <w:r w:rsidRPr="00DA2075">
        <w:fldChar w:fldCharType="begin"/>
      </w:r>
      <w:r w:rsidR="000F6991">
        <w:instrText xml:space="preserve"> ADDIN ZOTERO_ITEM CSL_CITATION {"citationID":"XWAPAlM0","properties":{"formattedCitation":"(Gundinger et al., 2022)","plainCitation":"(Gundinger et al., 2022)","dontUpdate":true,"noteIndex":0},"citationItems":[{"id":1228,"uris":["http://zotero.org/users/9482894/items/HVP95C2W"],"itemData":{"id":1228,"type":"article-journal","abstract":"Auto-inducible promoter systems have been reported to increase soluble product formation in the periplasm of E. coli compared to inducer-dependent systems. In this study, we investigated the phosphate (PO4)-sensitive phoA expression system (pAT) for the production of a recombinant model antigen-binding fragment (Fab) in the periplasm of E. coli in detail. We explored the impact of non-limiting and limiting PO4 conditions on strain physiology as well as Fab productivity. We compared different methods for extracellular PO4 detection, identifying automated colorimetric measurement to be most suitable for at-line PO4 monitoring. We showed that PO4 limitation boosts phoA-based gene expression, however, the product was already formed at non-limiting PO4 conditions, indicating leaky expression. Furthermore, cultivation under PO4 limitation caused physiological changes ultimately resulting in a metabolic breakdown at PO4 starvation. Finally, we give recommendations for process optimization with the phoA expression system. In summary, our study provides very detailed information on the E. coli phoA expression system, thus extending the existing knowledge of this system, and underlines its high potential for the successful production of periplasmic products in E. coli.","container-title":"Fermentation","DOI":"10.3390/fermentation8040181","ISSN":"2311-5637","issue":"4","journalAbbreviation":"Fermentation","language":"en","page":"181","source":"DOI.org (Crossref)","title":"Recombinant Protein Production in E. coli Using the phoA Expression System","volume":"8","author":[{"family":"Gundinger","given":"Thomas"},{"family":"Kittler","given":"Stefan"},{"family":"Kubicek","given":"Sabine"},{"family":"Kopp","given":"Julian"},{"family":"Spadiut","given":"Oliver"}],"issued":{"date-parts":[["2022",4,11]]}}}],"schema":"https://github.com/citation-style-language/schema/raw/master/csl-citation.json"} </w:instrText>
      </w:r>
      <w:r w:rsidRPr="00DA2075">
        <w:fldChar w:fldCharType="separate"/>
      </w:r>
      <w:r w:rsidRPr="00DA2075">
        <w:t>Gundinger et al. (2022)</w:t>
      </w:r>
      <w:r w:rsidRPr="00DA2075">
        <w:fldChar w:fldCharType="end"/>
      </w:r>
      <w:r w:rsidRPr="00DA2075">
        <w:t xml:space="preserve"> developed a soft sensor for controlling the feeding strategy during the fed-batch cultivations for the production of a recombinant model antigen-binding fragment (Fab) in the periplasm of </w:t>
      </w:r>
      <w:r w:rsidRPr="00D96647">
        <w:rPr>
          <w:i/>
          <w:iCs/>
        </w:rPr>
        <w:t>E. coli</w:t>
      </w:r>
      <w:r w:rsidRPr="00DA2075">
        <w:t xml:space="preserve"> via phosphate (PO4)-sensitive </w:t>
      </w:r>
      <w:proofErr w:type="spellStart"/>
      <w:r w:rsidRPr="00DA2075">
        <w:t>phoA</w:t>
      </w:r>
      <w:proofErr w:type="spellEnd"/>
      <w:r w:rsidRPr="00DA2075">
        <w:t xml:space="preserve"> expression system (</w:t>
      </w:r>
      <w:proofErr w:type="spellStart"/>
      <w:r w:rsidRPr="00DA2075">
        <w:t>pAT</w:t>
      </w:r>
      <w:proofErr w:type="spellEnd"/>
      <w:r w:rsidRPr="00DA2075">
        <w:t>). The soft sensor was trained</w:t>
      </w:r>
      <w:r w:rsidR="00D96647">
        <w:t xml:space="preserve"> to predict </w:t>
      </w:r>
      <w:r w:rsidR="00D96647" w:rsidRPr="00DA2075">
        <w:t>biomass concentration</w:t>
      </w:r>
      <w:r w:rsidRPr="00DA2075">
        <w:t xml:space="preserve"> using four features: CO</w:t>
      </w:r>
      <w:r w:rsidRPr="00D96647">
        <w:rPr>
          <w:vertAlign w:val="subscript"/>
        </w:rPr>
        <w:t>2</w:t>
      </w:r>
      <w:r w:rsidRPr="00DA2075">
        <w:t xml:space="preserve"> evolution rate, O</w:t>
      </w:r>
      <w:r w:rsidRPr="00D96647">
        <w:rPr>
          <w:vertAlign w:val="subscript"/>
        </w:rPr>
        <w:t>2</w:t>
      </w:r>
      <w:r w:rsidRPr="00DA2075">
        <w:t xml:space="preserve"> uptake rate (measured by Off-gas analysis), the substrate feed rate, and the reactor </w:t>
      </w:r>
      <w:r w:rsidR="00A24CCB">
        <w:t>bio</w:t>
      </w:r>
      <w:r w:rsidRPr="00DA2075">
        <w:t>mass.</w:t>
      </w:r>
      <w:r w:rsidR="00D96647">
        <w:t xml:space="preserve"> </w:t>
      </w:r>
      <w:r w:rsidR="00D52E3F" w:rsidRPr="00DA2075">
        <w:fldChar w:fldCharType="begin"/>
      </w:r>
      <w:r w:rsidR="000F6991">
        <w:instrText xml:space="preserve"> ADDIN ZOTERO_ITEM CSL_CITATION {"citationID":"Jy7hLbrO","properties":{"formattedCitation":"(Medl et al., 2023a)","plainCitation":"(Medl et al., 2023a)","dontUpdate":true,"noteIndex":0},"citationItems":[{"id":1347,"uris":["http://zotero.org/users/9482894/items/FDW8VYZV"],"itemData":{"id":1347,"type":"article-journal","abstract":"Optical density (OD) is a critical process parameter during fermentation, this being directly related to cell density, which provides valuable information regarding the state of the process. However, to measure OD, sampling of the fermentation broth is required. This is particularly challenging for high-throughput-microbioreactor (HT-MBR) systems, which require robotic liquid-handling (LiHa) systems for process control tasks, such as pH regulation or carbon feed additions. Bioreactor volume is limited and automated at-line sampling occupies the resources of LiHa systems; this affects their ability to carry out the aforementioned pipetting operations. Minimizing the number of physical OD measurements is therefore of significant interest. However, fewer measurements also result in less process information. This resource conflict has previously represented a challenge. We present an artificial neural-network-based soft sensor developed for the real-time estimation of the OD in an MBR system. This sensor was able to estimate the OD to a high degree of accuracy (&gt;95%), even without informative process variables stemming from, e.g., off-gas analysis only available at larger scales. Furthermore, we investigated and demonstrated scaling of the soft sensor’s generalization capabilities with the data from different antibody fragments expressing Escherichia coli strains. This study contributes to accelerated biopharmaceutical process development.","container-title":"Processes","DOI":"10.3390/pr11010297","ISSN":"2227-9717","issue":"1","journalAbbreviation":"Processes","language":"en","license":"https://creativecommons.org/licenses/by/4.0/","page":"297","source":"DOI.org (Crossref)","title":"Development and Validation of an Artificial Neural-Network-Based Optical Density Soft Sensor for a High-Throughput Fermentation System","volume":"11","author":[{"family":"Medl","given":"Matthias"},{"family":"Rajamanickam","given":"Vignesh"},{"family":"Striedner","given":"Gerald"},{"family":"Newton","given":"Joseph"}],"issued":{"date-parts":[["2023",1,16]]}}}],"schema":"https://github.com/citation-style-language/schema/raw/master/csl-citation.json"} </w:instrText>
      </w:r>
      <w:r w:rsidR="00D52E3F" w:rsidRPr="00DA2075">
        <w:fldChar w:fldCharType="separate"/>
      </w:r>
      <w:r w:rsidR="00D52E3F" w:rsidRPr="00DA2075">
        <w:t>Medl et al. (2023)</w:t>
      </w:r>
      <w:r w:rsidR="00D52E3F" w:rsidRPr="00DA2075">
        <w:fldChar w:fldCharType="end"/>
      </w:r>
      <w:r w:rsidR="00D52E3F" w:rsidRPr="00DA2075">
        <w:t xml:space="preserve"> developed </w:t>
      </w:r>
      <w:r w:rsidR="00005ECA" w:rsidRPr="00DA2075">
        <w:t>a</w:t>
      </w:r>
      <w:r w:rsidR="00D52E3F" w:rsidRPr="00DA2075">
        <w:t xml:space="preserve"> feed-forward neural network</w:t>
      </w:r>
      <w:r w:rsidR="00005ECA" w:rsidRPr="00DA2075">
        <w:t xml:space="preserve"> for real-time </w:t>
      </w:r>
      <w:r w:rsidR="004819DF">
        <w:t>optical density estimation using volume-specific cumulative ammonia and volume-specific carbon feed additions as features</w:t>
      </w:r>
      <w:r w:rsidR="00005ECA" w:rsidRPr="00DA2075">
        <w:t xml:space="preserve">. </w:t>
      </w:r>
      <w:r w:rsidR="00D52E3F" w:rsidRPr="00DA2075">
        <w:t>Th</w:t>
      </w:r>
      <w:r w:rsidR="00A24CCB">
        <w:t>is</w:t>
      </w:r>
      <w:r w:rsidR="00D52E3F" w:rsidRPr="00DA2075">
        <w:t xml:space="preserve"> soft sensor accurately predicted the </w:t>
      </w:r>
      <w:r w:rsidR="00D96647">
        <w:t>optical density</w:t>
      </w:r>
      <w:r w:rsidR="00713C3A">
        <w:t xml:space="preserve"> </w:t>
      </w:r>
      <w:r w:rsidR="00D52E3F" w:rsidRPr="00DA2075">
        <w:t>(&gt;95%).</w:t>
      </w:r>
    </w:p>
    <w:p w14:paraId="04206234" w14:textId="698A848C" w:rsidR="002A1A1C" w:rsidRDefault="004819DF" w:rsidP="00DA2075">
      <w:pPr>
        <w:pStyle w:val="CETBodytext"/>
      </w:pPr>
      <w:r w:rsidRPr="00DA2075">
        <w:t>Although</w:t>
      </w:r>
      <w:r w:rsidR="00DA2075" w:rsidRPr="00DA2075">
        <w:t xml:space="preserve"> the </w:t>
      </w:r>
      <w:r w:rsidR="00490C94">
        <w:t>works presented are promising, they primarily focus on biomass quantification, neglecting a deeper protein concentration analysis</w:t>
      </w:r>
      <w:r w:rsidR="00DA2075" w:rsidRPr="00DA2075">
        <w:t xml:space="preserve">. Additionally, a more in-depth exploration of the </w:t>
      </w:r>
      <w:proofErr w:type="spellStart"/>
      <w:r w:rsidR="00DA2075" w:rsidRPr="00DA2075">
        <w:t>explainability</w:t>
      </w:r>
      <w:proofErr w:type="spellEnd"/>
      <w:r w:rsidR="00DA2075" w:rsidRPr="00DA2075">
        <w:t xml:space="preserve"> of different models </w:t>
      </w:r>
      <w:r w:rsidR="00DA2075" w:rsidRPr="00DA2075">
        <w:lastRenderedPageBreak/>
        <w:t>could significantly enhance these studies. Methodologies such as Shapley Additive Explanations (SHAP) could be applied to gain insights into the model's decision-making process.</w:t>
      </w:r>
    </w:p>
    <w:p w14:paraId="4D0EC004" w14:textId="7B540E1D" w:rsidR="002A1A1C" w:rsidRPr="00A57C88" w:rsidRDefault="002A1A1C" w:rsidP="00DA2075">
      <w:pPr>
        <w:pStyle w:val="CETBodytext"/>
      </w:pPr>
      <w:r>
        <w:t xml:space="preserve">This work aims at exploring the potential of </w:t>
      </w:r>
      <w:r w:rsidR="00D96647">
        <w:t>ML</w:t>
      </w:r>
      <w:r>
        <w:t xml:space="preserve"> soft </w:t>
      </w:r>
      <w:r w:rsidR="00490C94">
        <w:t>sensors</w:t>
      </w:r>
      <w:r>
        <w:t xml:space="preserve"> to estimate protein and biomass concentration using different learners such as </w:t>
      </w:r>
      <w:r w:rsidR="00A50A41">
        <w:t xml:space="preserve">CART </w:t>
      </w:r>
      <w:r w:rsidR="00A50A41" w:rsidRPr="006A4775">
        <w:t xml:space="preserve">Decision </w:t>
      </w:r>
      <w:r w:rsidR="00A50A41">
        <w:t>T</w:t>
      </w:r>
      <w:r w:rsidR="00A50A41" w:rsidRPr="006A4775">
        <w:t>ree (DT)</w:t>
      </w:r>
      <w:r w:rsidR="00A50A41">
        <w:t>,</w:t>
      </w:r>
      <w:r w:rsidR="00A50A41" w:rsidRPr="006A4775">
        <w:t xml:space="preserve"> Random Forest (RF)</w:t>
      </w:r>
      <w:r w:rsidR="00A50A41">
        <w:t>,</w:t>
      </w:r>
      <w:r w:rsidR="00A50A41" w:rsidRPr="006A4775">
        <w:t xml:space="preserve"> K-</w:t>
      </w:r>
      <w:r w:rsidR="00A50A41">
        <w:t>N</w:t>
      </w:r>
      <w:r w:rsidR="00A50A41" w:rsidRPr="006A4775">
        <w:t xml:space="preserve">earest </w:t>
      </w:r>
      <w:r w:rsidR="00A50A41">
        <w:t>N</w:t>
      </w:r>
      <w:r w:rsidR="00A50A41" w:rsidRPr="006A4775">
        <w:t>eighbors (KNN)</w:t>
      </w:r>
      <w:r w:rsidR="00A50A41">
        <w:t>,</w:t>
      </w:r>
      <w:r w:rsidR="00A50A41" w:rsidRPr="006A4775">
        <w:t xml:space="preserve"> and </w:t>
      </w:r>
      <w:r w:rsidR="00A50A41">
        <w:t>Radial Basis Function (RBF) S</w:t>
      </w:r>
      <w:r w:rsidR="00A50A41" w:rsidRPr="006A4775">
        <w:t xml:space="preserve">upport </w:t>
      </w:r>
      <w:r w:rsidR="00A50A41">
        <w:t>V</w:t>
      </w:r>
      <w:r w:rsidR="00A50A41" w:rsidRPr="006A4775">
        <w:t xml:space="preserve">ector </w:t>
      </w:r>
      <w:r w:rsidR="00A50A41">
        <w:t>M</w:t>
      </w:r>
      <w:r w:rsidR="00A50A41" w:rsidRPr="006A4775">
        <w:t>achine (SVM)</w:t>
      </w:r>
      <w:r>
        <w:t xml:space="preserve">. </w:t>
      </w:r>
      <w:r w:rsidR="00F86875" w:rsidRPr="00DA2075">
        <w:t>The contributions of this work are summarized as follows:</w:t>
      </w:r>
    </w:p>
    <w:p w14:paraId="35683231" w14:textId="5121357C" w:rsidR="00A57C88" w:rsidRPr="00A57C88" w:rsidRDefault="00A24CCB" w:rsidP="00A57C88">
      <w:pPr>
        <w:pStyle w:val="CETBodytext"/>
        <w:numPr>
          <w:ilvl w:val="0"/>
          <w:numId w:val="31"/>
        </w:numPr>
      </w:pPr>
      <w:r>
        <w:t>D</w:t>
      </w:r>
      <w:r w:rsidR="002A1A1C" w:rsidRPr="00A57C88">
        <w:t>ifferent machine learning</w:t>
      </w:r>
      <w:r w:rsidR="00EA5BAA">
        <w:t xml:space="preserve"> (ML)</w:t>
      </w:r>
      <w:r w:rsidR="002A1A1C" w:rsidRPr="00A57C88">
        <w:t xml:space="preserve"> algorithms </w:t>
      </w:r>
      <w:r>
        <w:t xml:space="preserve">were applied </w:t>
      </w:r>
      <w:r w:rsidR="002A1A1C" w:rsidRPr="00A57C88">
        <w:t xml:space="preserve">to build soft sensors to monitor the protein and biomass concentration </w:t>
      </w:r>
    </w:p>
    <w:p w14:paraId="67000917" w14:textId="093A0B0A" w:rsidR="00A57C88" w:rsidRPr="00A57C88" w:rsidRDefault="00A24CCB" w:rsidP="00A57C88">
      <w:pPr>
        <w:pStyle w:val="CETBodytext"/>
        <w:numPr>
          <w:ilvl w:val="0"/>
          <w:numId w:val="31"/>
        </w:numPr>
      </w:pPr>
      <w:r>
        <w:t>T</w:t>
      </w:r>
      <w:r w:rsidR="00A57C88" w:rsidRPr="00A57C88">
        <w:t>he experimental protein data were augmented by a dynamic hybrid model (DHM) for nanobody-based antivenom (protein) production</w:t>
      </w:r>
      <w:r w:rsidR="00490C94">
        <w:t xml:space="preserve"> and s</w:t>
      </w:r>
      <w:r w:rsidR="00A57C88" w:rsidRPr="00A57C88">
        <w:t>ymmetrically aligned with online measurements</w:t>
      </w:r>
    </w:p>
    <w:p w14:paraId="445B1586" w14:textId="2BEE471C" w:rsidR="00A57C88" w:rsidRPr="00A57C88" w:rsidRDefault="00A57C88" w:rsidP="00A57C88">
      <w:pPr>
        <w:pStyle w:val="CETBodytext"/>
        <w:numPr>
          <w:ilvl w:val="0"/>
          <w:numId w:val="31"/>
        </w:numPr>
      </w:pPr>
      <w:r w:rsidRPr="00A57C88">
        <w:t xml:space="preserve">A feature importance using SHAP values was applied to study the effect of </w:t>
      </w:r>
      <w:r w:rsidR="00490C94">
        <w:t xml:space="preserve">the </w:t>
      </w:r>
      <w:r w:rsidRPr="00A57C88">
        <w:t>most influential features in the training of soft sensors</w:t>
      </w:r>
    </w:p>
    <w:p w14:paraId="263C7CD5" w14:textId="776B1204" w:rsidR="00A57C88" w:rsidRDefault="00A57C88" w:rsidP="00A57C88">
      <w:pPr>
        <w:pStyle w:val="CETBodytext"/>
        <w:numPr>
          <w:ilvl w:val="0"/>
          <w:numId w:val="31"/>
        </w:numPr>
      </w:pPr>
      <w:r w:rsidRPr="00A57C88">
        <w:t xml:space="preserve">The use of biomass soft sensors was explored in an </w:t>
      </w:r>
      <w:r w:rsidR="00C52A91">
        <w:t xml:space="preserve">independent </w:t>
      </w:r>
      <w:r w:rsidR="00C52A91" w:rsidRPr="00A57C88">
        <w:t>test</w:t>
      </w:r>
      <w:r w:rsidR="00717FC4">
        <w:t xml:space="preserve"> </w:t>
      </w:r>
      <w:r w:rsidRPr="00A57C88">
        <w:t>dataset to check their accuracy for online monitoring</w:t>
      </w:r>
    </w:p>
    <w:p w14:paraId="235A7118" w14:textId="77777777" w:rsidR="002B235E" w:rsidRPr="00A57C88" w:rsidRDefault="002B235E" w:rsidP="002B235E">
      <w:pPr>
        <w:pStyle w:val="CETBodytext"/>
        <w:ind w:left="774"/>
      </w:pPr>
    </w:p>
    <w:p w14:paraId="771E0F67" w14:textId="3853B120" w:rsidR="000F33BE" w:rsidRDefault="00471CB7" w:rsidP="00CE4ADE">
      <w:pPr>
        <w:pStyle w:val="CETHeading1"/>
        <w:spacing w:before="0" w:after="0"/>
      </w:pPr>
      <w:r>
        <w:t xml:space="preserve">Workflow of </w:t>
      </w:r>
      <w:r w:rsidR="00277DF4">
        <w:t>Soft Sensors</w:t>
      </w:r>
      <w:r w:rsidR="00CD0ED9">
        <w:t xml:space="preserve"> </w:t>
      </w:r>
      <w:r>
        <w:t>Development</w:t>
      </w:r>
    </w:p>
    <w:p w14:paraId="7CEB77BC" w14:textId="4A62AF36" w:rsidR="007F1589" w:rsidRDefault="007F1589" w:rsidP="00426284">
      <w:pPr>
        <w:pStyle w:val="CETheadingx"/>
      </w:pPr>
      <w:r>
        <w:t>Experimental Data</w:t>
      </w:r>
    </w:p>
    <w:p w14:paraId="44DC72F7" w14:textId="695F1D80" w:rsidR="00EF6FEE" w:rsidRPr="000F6991" w:rsidRDefault="000F33BE" w:rsidP="000F6991">
      <w:pPr>
        <w:pStyle w:val="CETBodytext"/>
        <w:rPr>
          <w:color w:val="FF0000"/>
          <w:szCs w:val="18"/>
        </w:rPr>
      </w:pPr>
      <w:r w:rsidRPr="000F6991">
        <w:rPr>
          <w:szCs w:val="18"/>
        </w:rPr>
        <w:t xml:space="preserve">Seven experiments were conducted </w:t>
      </w:r>
      <w:r w:rsidR="00E7039A" w:rsidRPr="000F6991">
        <w:rPr>
          <w:szCs w:val="18"/>
        </w:rPr>
        <w:t>for protein production using two</w:t>
      </w:r>
      <w:r w:rsidR="00C52A91">
        <w:rPr>
          <w:szCs w:val="18"/>
        </w:rPr>
        <w:t xml:space="preserve"> recombinant </w:t>
      </w:r>
      <w:r w:rsidR="00C52A91" w:rsidRPr="000F6991">
        <w:rPr>
          <w:szCs w:val="18"/>
        </w:rPr>
        <w:t>strains</w:t>
      </w:r>
      <w:r w:rsidR="00E7039A" w:rsidRPr="000F6991">
        <w:rPr>
          <w:szCs w:val="18"/>
        </w:rPr>
        <w:t xml:space="preserve"> of </w:t>
      </w:r>
      <w:r w:rsidR="00E7039A" w:rsidRPr="000F6991">
        <w:rPr>
          <w:rStyle w:val="Accentuation"/>
          <w:szCs w:val="18"/>
        </w:rPr>
        <w:t xml:space="preserve">E. </w:t>
      </w:r>
      <w:r w:rsidR="00C52A91" w:rsidRPr="000F6991">
        <w:rPr>
          <w:rStyle w:val="Accentuation"/>
          <w:szCs w:val="18"/>
        </w:rPr>
        <w:t>coli</w:t>
      </w:r>
      <w:r w:rsidR="00C52A91" w:rsidRPr="000F6991">
        <w:rPr>
          <w:szCs w:val="18"/>
        </w:rPr>
        <w:t xml:space="preserve"> </w:t>
      </w:r>
      <w:r w:rsidR="00C52A91">
        <w:rPr>
          <w:szCs w:val="18"/>
        </w:rPr>
        <w:t xml:space="preserve">WK6: </w:t>
      </w:r>
      <w:r w:rsidR="00E7039A" w:rsidRPr="000F6991">
        <w:rPr>
          <w:szCs w:val="18"/>
        </w:rPr>
        <w:t>CH10-12</w:t>
      </w:r>
      <w:r w:rsidR="00C52A91">
        <w:rPr>
          <w:szCs w:val="18"/>
        </w:rPr>
        <w:t xml:space="preserve"> and </w:t>
      </w:r>
      <w:proofErr w:type="spellStart"/>
      <w:r w:rsidR="00C52A91">
        <w:rPr>
          <w:szCs w:val="18"/>
        </w:rPr>
        <w:t>NbF</w:t>
      </w:r>
      <w:proofErr w:type="spellEnd"/>
      <w:r w:rsidR="00C52A91">
        <w:rPr>
          <w:szCs w:val="18"/>
        </w:rPr>
        <w:t xml:space="preserve"> 12-10</w:t>
      </w:r>
      <w:r w:rsidR="00E7039A" w:rsidRPr="000F6991">
        <w:rPr>
          <w:szCs w:val="18"/>
        </w:rPr>
        <w:t>. The working volume was</w:t>
      </w:r>
      <w:r w:rsidR="00D96647">
        <w:rPr>
          <w:szCs w:val="18"/>
        </w:rPr>
        <w:t xml:space="preserve"> </w:t>
      </w:r>
      <m:oMath>
        <m:r>
          <w:rPr>
            <w:rFonts w:ascii="Cambria Math" w:hAnsi="Cambria Math"/>
            <w:szCs w:val="18"/>
          </w:rPr>
          <m:t>2 L</m:t>
        </m:r>
      </m:oMath>
      <w:r w:rsidR="00E7039A" w:rsidRPr="000F6991">
        <w:rPr>
          <w:szCs w:val="18"/>
        </w:rPr>
        <w:t xml:space="preserve"> (</w:t>
      </w:r>
      <m:oMath>
        <m:sSub>
          <m:sSubPr>
            <m:ctrlPr>
              <w:rPr>
                <w:rFonts w:ascii="Cambria Math" w:hAnsi="Cambria Math"/>
                <w:szCs w:val="18"/>
              </w:rPr>
            </m:ctrlPr>
          </m:sSubPr>
          <m:e>
            <m:r>
              <w:rPr>
                <w:rFonts w:ascii="Cambria Math" w:hAnsi="Cambria Math"/>
                <w:szCs w:val="18"/>
              </w:rPr>
              <m:t>pO</m:t>
            </m:r>
          </m:e>
          <m:sub>
            <m:r>
              <w:rPr>
                <w:rFonts w:ascii="Cambria Math" w:hAnsi="Cambria Math"/>
                <w:szCs w:val="18"/>
              </w:rPr>
              <m:t>2</m:t>
            </m:r>
          </m:sub>
        </m:sSub>
        <m:r>
          <m:rPr>
            <m:sty m:val="p"/>
          </m:rPr>
          <w:rPr>
            <w:rFonts w:ascii="Cambria Math" w:hAnsi="Cambria Math"/>
            <w:szCs w:val="18"/>
          </w:rPr>
          <m:t>&gt;</m:t>
        </m:r>
        <m:r>
          <w:rPr>
            <w:rFonts w:ascii="Cambria Math" w:hAnsi="Cambria Math"/>
            <w:szCs w:val="18"/>
          </w:rPr>
          <m:t>15%</m:t>
        </m:r>
      </m:oMath>
      <w:r w:rsidR="00E7039A" w:rsidRPr="000F6991">
        <w:rPr>
          <w:szCs w:val="18"/>
        </w:rPr>
        <w:t xml:space="preserve">, </w:t>
      </w:r>
      <m:oMath>
        <m:r>
          <w:rPr>
            <w:rFonts w:ascii="Cambria Math" w:hAnsi="Cambria Math"/>
            <w:szCs w:val="18"/>
          </w:rPr>
          <m:t>pH=</m:t>
        </m:r>
        <m:r>
          <w:rPr>
            <w:rFonts w:ascii="Cambria Math" w:eastAsiaTheme="minorEastAsia" w:hAnsi="Cambria Math"/>
            <w:szCs w:val="18"/>
          </w:rPr>
          <m:t>6.8</m:t>
        </m:r>
      </m:oMath>
      <w:r w:rsidR="00E7039A" w:rsidRPr="000F6991">
        <w:rPr>
          <w:rFonts w:eastAsiaTheme="minorEastAsia"/>
          <w:szCs w:val="18"/>
        </w:rPr>
        <w:t>).</w:t>
      </w:r>
      <w:r w:rsidR="00E7039A" w:rsidRPr="000F6991">
        <w:rPr>
          <w:szCs w:val="18"/>
        </w:rPr>
        <w:t xml:space="preserve"> </w:t>
      </w:r>
      <w:r w:rsidRPr="000F6991">
        <w:rPr>
          <w:szCs w:val="18"/>
        </w:rPr>
        <w:t>Different induction temperatures</w:t>
      </w:r>
      <w:r w:rsidR="00E7039A" w:rsidRPr="000F6991">
        <w:rPr>
          <w:szCs w:val="18"/>
        </w:rPr>
        <w:t xml:space="preserve"> were </w:t>
      </w:r>
      <w:r w:rsidR="00A24CCB">
        <w:rPr>
          <w:szCs w:val="18"/>
        </w:rPr>
        <w:t>applied</w:t>
      </w:r>
      <w:r w:rsidR="00E7039A" w:rsidRPr="000F6991">
        <w:rPr>
          <w:szCs w:val="18"/>
        </w:rPr>
        <w:t>.</w:t>
      </w:r>
      <w:r w:rsidR="00741D42" w:rsidRPr="000F6991">
        <w:rPr>
          <w:szCs w:val="18"/>
        </w:rPr>
        <w:t xml:space="preserve"> Table </w:t>
      </w:r>
      <w:r w:rsidR="00D5508A" w:rsidRPr="000F6991">
        <w:rPr>
          <w:szCs w:val="18"/>
        </w:rPr>
        <w:t>1</w:t>
      </w:r>
      <w:r w:rsidR="00741D42" w:rsidRPr="000F6991">
        <w:rPr>
          <w:szCs w:val="18"/>
        </w:rPr>
        <w:t xml:space="preserve"> </w:t>
      </w:r>
      <w:r w:rsidR="00490C94">
        <w:rPr>
          <w:szCs w:val="18"/>
        </w:rPr>
        <w:t>summarizes</w:t>
      </w:r>
      <w:r w:rsidR="00741D42" w:rsidRPr="000F6991">
        <w:rPr>
          <w:szCs w:val="18"/>
        </w:rPr>
        <w:t xml:space="preserve"> </w:t>
      </w:r>
      <w:r w:rsidR="00E7039A" w:rsidRPr="000F6991">
        <w:rPr>
          <w:szCs w:val="18"/>
        </w:rPr>
        <w:t xml:space="preserve">the </w:t>
      </w:r>
      <w:r w:rsidR="000E3EBA">
        <w:rPr>
          <w:szCs w:val="18"/>
        </w:rPr>
        <w:t>main</w:t>
      </w:r>
      <w:r w:rsidR="00E7039A" w:rsidRPr="000F6991">
        <w:rPr>
          <w:szCs w:val="18"/>
        </w:rPr>
        <w:t xml:space="preserve"> conditions reported </w:t>
      </w:r>
      <w:r w:rsidR="00741D42" w:rsidRPr="000F6991">
        <w:rPr>
          <w:szCs w:val="18"/>
        </w:rPr>
        <w:t xml:space="preserve">by </w:t>
      </w:r>
      <w:r w:rsidR="00741D42" w:rsidRPr="000F6991">
        <w:rPr>
          <w:szCs w:val="18"/>
        </w:rPr>
        <w:fldChar w:fldCharType="begin"/>
      </w:r>
      <w:r w:rsidR="00B92F48" w:rsidRPr="000F6991">
        <w:rPr>
          <w:szCs w:val="18"/>
        </w:rPr>
        <w:instrText xml:space="preserve"> ADDIN ZOTERO_ITEM CSL_CITATION {"citationID":"OR5b2Xn6","properties":{"formattedCitation":"(Alonso Villela et al., 2021)","plainCitation":"(Alonso Villela et al., 2021)","dontUpdate":true,"noteIndex":0},"citationItems":[{"id":1301,"uris":["http://zotero.org/users/9482894/items/RUQLNDWW"],"itemData":{"id":1301,"type":"article-journal","container-title":"Applied Microbiology and Biotechnology","DOI":"10.1007/s00253-021-11093-5","ISSN":"0175-7598, 1432-0614","issue":"3","journalAbbreviation":"Appl Microbiol Biotechnol","language":"en","page":"1017-1030","source":"DOI.org (Crossref)","title":"Effect of temperature on the production of a recombinant antivenom in fed-batch mode","volume":"105","author":[{"family":"Alonso Villela","given":"Susana María"},{"family":"Ghezal-Kraïem","given":"Hazar"},{"family":"Bouhaouala-Zahar","given":"Balkiss"},{"family":"Bideaux","given":"Carine"},{"family":"Aceves Lara","given":"César Arturo"},{"family":"Fillaudeau","given":"Luc"}],"issued":{"date-parts":[["2021",2]]}}}],"schema":"https://github.com/citation-style-language/schema/raw/master/csl-citation.json"} </w:instrText>
      </w:r>
      <w:r w:rsidR="00741D42" w:rsidRPr="000F6991">
        <w:rPr>
          <w:szCs w:val="18"/>
        </w:rPr>
        <w:fldChar w:fldCharType="separate"/>
      </w:r>
      <w:r w:rsidR="00741D42" w:rsidRPr="000F6991">
        <w:rPr>
          <w:rFonts w:cs="Arial"/>
          <w:szCs w:val="18"/>
        </w:rPr>
        <w:t>Alonso Villela et al. (2021)</w:t>
      </w:r>
      <w:r w:rsidR="00741D42" w:rsidRPr="000F6991">
        <w:rPr>
          <w:szCs w:val="18"/>
        </w:rPr>
        <w:fldChar w:fldCharType="end"/>
      </w:r>
      <w:r w:rsidR="00741D42" w:rsidRPr="000F6991">
        <w:rPr>
          <w:szCs w:val="18"/>
        </w:rPr>
        <w:t>. Protein content was monitored over time for each experiment, with a total</w:t>
      </w:r>
      <w:r w:rsidR="00490C94">
        <w:rPr>
          <w:szCs w:val="18"/>
        </w:rPr>
        <w:t xml:space="preserve"> </w:t>
      </w:r>
      <w:r w:rsidR="00741D42" w:rsidRPr="000F6991">
        <w:rPr>
          <w:szCs w:val="18"/>
        </w:rPr>
        <w:t>between 15 and 28 experimental measurements. The bioreactor was equipped with a Multifunctional Controller Software</w:t>
      </w:r>
      <w:r w:rsidR="00741D42" w:rsidRPr="000F6991">
        <w:rPr>
          <w:rFonts w:ascii="Segoe UI" w:hAnsi="Segoe UI" w:cs="Segoe UI"/>
          <w:szCs w:val="18"/>
          <w:shd w:val="clear" w:color="auto" w:fill="FFFFFF"/>
        </w:rPr>
        <w:t xml:space="preserve"> </w:t>
      </w:r>
      <w:proofErr w:type="spellStart"/>
      <w:r w:rsidR="00741D42" w:rsidRPr="000F6991">
        <w:rPr>
          <w:szCs w:val="18"/>
        </w:rPr>
        <w:t>BioPAT</w:t>
      </w:r>
      <w:proofErr w:type="spellEnd"/>
      <w:r w:rsidR="00741D42" w:rsidRPr="000F6991">
        <w:rPr>
          <w:szCs w:val="18"/>
        </w:rPr>
        <w:t xml:space="preserve">® MFCS (Sartorius) software, capable of measuring every 5 </w:t>
      </w:r>
      <w:r w:rsidR="00741D42" w:rsidRPr="000F6991">
        <w:rPr>
          <w:rStyle w:val="CETBodytextCarattere"/>
          <w:szCs w:val="18"/>
        </w:rPr>
        <w:t>seconds</w:t>
      </w:r>
      <w:r w:rsidR="00D5508A" w:rsidRPr="000F6991">
        <w:rPr>
          <w:rStyle w:val="CETBodytextCarattere"/>
          <w:szCs w:val="18"/>
        </w:rPr>
        <w:t xml:space="preserve"> </w:t>
      </w:r>
      <w:r w:rsidR="00A24CCB">
        <w:rPr>
          <w:rStyle w:val="CETBodytextCarattere"/>
          <w:szCs w:val="18"/>
        </w:rPr>
        <w:t xml:space="preserve">online </w:t>
      </w:r>
      <w:r w:rsidR="00D5508A" w:rsidRPr="000F6991">
        <w:rPr>
          <w:rStyle w:val="CETBodytextCarattere"/>
          <w:szCs w:val="18"/>
        </w:rPr>
        <w:t>variables such as pH, pO</w:t>
      </w:r>
      <w:r w:rsidR="00D5508A" w:rsidRPr="00C52A91">
        <w:rPr>
          <w:rStyle w:val="CETBodytextCarattere"/>
          <w:szCs w:val="18"/>
          <w:vertAlign w:val="subscript"/>
        </w:rPr>
        <w:t>2</w:t>
      </w:r>
      <w:r w:rsidR="00D5508A" w:rsidRPr="000F6991">
        <w:rPr>
          <w:rStyle w:val="CETBodytextCarattere"/>
          <w:szCs w:val="18"/>
        </w:rPr>
        <w:t>, pressure, et</w:t>
      </w:r>
      <w:r w:rsidR="00490C94">
        <w:rPr>
          <w:rStyle w:val="CETBodytextCarattere"/>
          <w:szCs w:val="18"/>
        </w:rPr>
        <w:t>c.</w:t>
      </w:r>
      <w:r w:rsidR="00D5508A" w:rsidRPr="000F6991">
        <w:rPr>
          <w:rStyle w:val="CETBodytextCarattere"/>
          <w:szCs w:val="18"/>
        </w:rPr>
        <w:t>, and a gas analyzer</w:t>
      </w:r>
      <w:r w:rsidR="005D409A" w:rsidRPr="000F6991">
        <w:rPr>
          <w:rStyle w:val="CETBodytextCarattere"/>
          <w:szCs w:val="18"/>
        </w:rPr>
        <w:t xml:space="preserve"> </w:t>
      </w:r>
      <w:r w:rsidR="00D5508A" w:rsidRPr="000F6991">
        <w:rPr>
          <w:rStyle w:val="CETBodytextCarattere"/>
          <w:szCs w:val="18"/>
        </w:rPr>
        <w:t xml:space="preserve">(INNOVA 1313, </w:t>
      </w:r>
      <w:proofErr w:type="spellStart"/>
      <w:r w:rsidR="00D5508A" w:rsidRPr="000F6991">
        <w:rPr>
          <w:rStyle w:val="CETBodytextCarattere"/>
          <w:szCs w:val="18"/>
        </w:rPr>
        <w:t>Lumasense</w:t>
      </w:r>
      <w:proofErr w:type="spellEnd"/>
      <w:r w:rsidR="00D5508A" w:rsidRPr="000F6991">
        <w:rPr>
          <w:rStyle w:val="CETBodytextCarattere"/>
          <w:szCs w:val="18"/>
        </w:rPr>
        <w:t xml:space="preserve"> Technologies)</w:t>
      </w:r>
      <w:r w:rsidR="00490C94">
        <w:rPr>
          <w:rStyle w:val="CETBodytextCarattere"/>
          <w:szCs w:val="18"/>
        </w:rPr>
        <w:t xml:space="preserve"> </w:t>
      </w:r>
      <w:r w:rsidR="00D5508A" w:rsidRPr="000F6991">
        <w:rPr>
          <w:szCs w:val="18"/>
        </w:rPr>
        <w:t>measur</w:t>
      </w:r>
      <w:r w:rsidR="00490C94">
        <w:rPr>
          <w:szCs w:val="18"/>
        </w:rPr>
        <w:t>ing</w:t>
      </w:r>
      <w:r w:rsidR="00D5508A" w:rsidRPr="000F6991">
        <w:rPr>
          <w:szCs w:val="18"/>
        </w:rPr>
        <w:t xml:space="preserve"> every 5 minutes. </w:t>
      </w:r>
      <w:r w:rsidR="00D5508A" w:rsidRPr="00DD1087">
        <w:rPr>
          <w:szCs w:val="18"/>
        </w:rPr>
        <w:t xml:space="preserve">The induction was promoted in each experiment by adding </w:t>
      </w:r>
      <m:oMath>
        <m:r>
          <w:rPr>
            <w:rFonts w:ascii="Cambria Math" w:hAnsi="Cambria Math"/>
            <w:szCs w:val="18"/>
          </w:rPr>
          <m:t>1mM</m:t>
        </m:r>
      </m:oMath>
      <w:r w:rsidR="00D5508A" w:rsidRPr="00DD1087">
        <w:rPr>
          <w:szCs w:val="18"/>
        </w:rPr>
        <w:t xml:space="preserve"> of isopropyl- thiogalactopyranoside (IPTG) to start protein production.</w:t>
      </w:r>
    </w:p>
    <w:p w14:paraId="16FD48BE" w14:textId="288DCB3B" w:rsidR="00EF6FEE" w:rsidRPr="00741D42" w:rsidRDefault="00EF6FEE" w:rsidP="002B235E">
      <w:pPr>
        <w:pStyle w:val="CETTabletitle"/>
        <w:spacing w:before="0" w:after="0"/>
        <w:jc w:val="center"/>
        <w:rPr>
          <w:lang w:val="fr-FR"/>
        </w:rPr>
      </w:pPr>
      <w:r w:rsidRPr="00741D42">
        <w:rPr>
          <w:lang w:val="fr-FR"/>
        </w:rPr>
        <w:t xml:space="preserve">Table 1: </w:t>
      </w:r>
      <w:r w:rsidR="00741D42">
        <w:rPr>
          <w:lang w:val="fr-FR"/>
        </w:rPr>
        <w:t xml:space="preserve">Protein production </w:t>
      </w:r>
      <w:proofErr w:type="spellStart"/>
      <w:r w:rsidR="00741D42">
        <w:rPr>
          <w:lang w:val="fr-FR"/>
        </w:rPr>
        <w:t>e</w:t>
      </w:r>
      <w:r w:rsidR="00741D42" w:rsidRPr="00741D42">
        <w:rPr>
          <w:lang w:val="fr-FR"/>
        </w:rPr>
        <w:t>x</w:t>
      </w:r>
      <w:r w:rsidR="00741D42">
        <w:rPr>
          <w:lang w:val="fr-FR"/>
        </w:rPr>
        <w:t>perimental</w:t>
      </w:r>
      <w:proofErr w:type="spellEnd"/>
      <w:r w:rsidR="00741D42">
        <w:rPr>
          <w:lang w:val="fr-FR"/>
        </w:rPr>
        <w:t xml:space="preserve"> conditions</w:t>
      </w:r>
      <w:r w:rsidR="00E7039A" w:rsidRPr="00741D42">
        <w:rPr>
          <w:lang w:val="fr-FR"/>
        </w:rPr>
        <w:t xml:space="preserve"> </w:t>
      </w:r>
      <w:r w:rsidR="00E7039A" w:rsidRPr="000F33BE">
        <w:fldChar w:fldCharType="begin"/>
      </w:r>
      <w:r w:rsidR="00E7039A" w:rsidRPr="00741D42">
        <w:rPr>
          <w:lang w:val="fr-FR"/>
        </w:rPr>
        <w:instrText xml:space="preserve"> ADDIN ZOTERO_ITEM CSL_CITATION {"citationID":"IPno9OQ9","properties":{"formattedCitation":"(Alonso Villela et al., 2021)","plainCitation":"(Alonso Villela et al., 2021)","noteIndex":0},"citationItems":[{"id":1301,"uris":["http://zotero.org/users/9482894/items/RUQLNDWW"],"itemData":{"id":1301,"type":"article-journal","container-title":"Applied Microbiology and Biotechnology","DOI":"10.1007/s00253-021-11093-5","ISSN":"0175-7598, 1432-0614","issue":"3","journalAbbreviation":"Appl Microbiol Biotechnol","language":"en","page":"1017-1030","source":"DOI.org (Crossref)","title":"Effect of temperature on the production of a recombinant antivenom in fed-batch mode","volume":"105","author":[{"family":"Alonso Villela","given":"Susana María"},{"family":"Ghezal-Kraïem","given":"Hazar"},{"family":"Bouhaouala-Zahar","given":"Balkiss"},{"family":"Bideaux","given":"Carine"},{"family":"Aceves Lara","given":"César Arturo"},{"family":"Fillaudeau","given":"Luc"}],"issued":{"date-parts":[["2021",2]]}}}],"schema":"https://github.com/citation-style-language/schema/raw/master/csl-citation.json"} </w:instrText>
      </w:r>
      <w:r w:rsidR="00E7039A" w:rsidRPr="000F33BE">
        <w:fldChar w:fldCharType="separate"/>
      </w:r>
      <w:r w:rsidR="00E7039A" w:rsidRPr="00741D42">
        <w:rPr>
          <w:lang w:val="fr-FR"/>
        </w:rPr>
        <w:t>(Alonso Villela et al., 2021)</w:t>
      </w:r>
      <w:r w:rsidR="00E7039A" w:rsidRPr="000F33BE">
        <w:fldChar w:fldCharType="end"/>
      </w:r>
      <w:r w:rsidR="00741D42" w:rsidRPr="00741D42">
        <w:rPr>
          <w:lang w:val="fr-FR"/>
        </w:rPr>
        <w: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1276"/>
        <w:gridCol w:w="1134"/>
        <w:gridCol w:w="1417"/>
        <w:gridCol w:w="1498"/>
      </w:tblGrid>
      <w:tr w:rsidR="005D409A" w:rsidRPr="00EF026A" w14:paraId="34822C31" w14:textId="53535EBE" w:rsidTr="00227B16">
        <w:trPr>
          <w:trHeight w:val="33"/>
          <w:jc w:val="center"/>
        </w:trPr>
        <w:tc>
          <w:tcPr>
            <w:tcW w:w="1134" w:type="dxa"/>
            <w:tcBorders>
              <w:top w:val="single" w:sz="12" w:space="0" w:color="008000"/>
              <w:bottom w:val="single" w:sz="6" w:space="0" w:color="008000"/>
            </w:tcBorders>
            <w:shd w:val="clear" w:color="auto" w:fill="FFFFFF"/>
            <w:vAlign w:val="center"/>
          </w:tcPr>
          <w:p w14:paraId="0DDC5FF7" w14:textId="53138E60" w:rsidR="005D409A" w:rsidRPr="007D2722" w:rsidRDefault="005D409A" w:rsidP="00741D42">
            <w:pPr>
              <w:pStyle w:val="CETBodytext"/>
              <w:jc w:val="center"/>
              <w:rPr>
                <w:sz w:val="16"/>
                <w:szCs w:val="18"/>
              </w:rPr>
            </w:pPr>
            <w:r w:rsidRPr="007D2722">
              <w:rPr>
                <w:sz w:val="16"/>
                <w:szCs w:val="18"/>
              </w:rPr>
              <w:t>Experiment</w:t>
            </w:r>
          </w:p>
        </w:tc>
        <w:tc>
          <w:tcPr>
            <w:tcW w:w="851" w:type="dxa"/>
            <w:tcBorders>
              <w:top w:val="single" w:sz="12" w:space="0" w:color="008000"/>
              <w:bottom w:val="single" w:sz="6" w:space="0" w:color="008000"/>
            </w:tcBorders>
            <w:shd w:val="clear" w:color="auto" w:fill="FFFFFF"/>
            <w:vAlign w:val="center"/>
          </w:tcPr>
          <w:p w14:paraId="5A5A5062" w14:textId="73AAE820" w:rsidR="005D409A" w:rsidRPr="007D2722" w:rsidRDefault="005D409A" w:rsidP="00741D42">
            <w:pPr>
              <w:pStyle w:val="CETBodytext"/>
              <w:jc w:val="center"/>
              <w:rPr>
                <w:sz w:val="16"/>
                <w:szCs w:val="18"/>
              </w:rPr>
            </w:pPr>
            <w:r w:rsidRPr="007D2722">
              <w:rPr>
                <w:rFonts w:eastAsia="CIDFont+F4"/>
                <w:i/>
                <w:iCs/>
                <w:sz w:val="16"/>
                <w:szCs w:val="18"/>
              </w:rPr>
              <w:t>E. coli</w:t>
            </w:r>
            <w:r w:rsidRPr="007D2722">
              <w:rPr>
                <w:rFonts w:eastAsia="CIDFont+F4"/>
                <w:sz w:val="16"/>
                <w:szCs w:val="18"/>
              </w:rPr>
              <w:t xml:space="preserve"> </w:t>
            </w:r>
            <w:r w:rsidRPr="007D2722">
              <w:rPr>
                <w:sz w:val="16"/>
                <w:szCs w:val="18"/>
              </w:rPr>
              <w:t>Strain</w:t>
            </w:r>
          </w:p>
        </w:tc>
        <w:tc>
          <w:tcPr>
            <w:tcW w:w="1276" w:type="dxa"/>
            <w:tcBorders>
              <w:top w:val="single" w:sz="12" w:space="0" w:color="008000"/>
              <w:bottom w:val="single" w:sz="6" w:space="0" w:color="008000"/>
            </w:tcBorders>
            <w:shd w:val="clear" w:color="auto" w:fill="FFFFFF"/>
            <w:vAlign w:val="center"/>
          </w:tcPr>
          <w:p w14:paraId="68BF3727" w14:textId="36843D68" w:rsidR="005D409A" w:rsidRPr="007D2722" w:rsidRDefault="005D409A" w:rsidP="00741D42">
            <w:pPr>
              <w:pStyle w:val="CETBodytext"/>
              <w:jc w:val="center"/>
              <w:rPr>
                <w:sz w:val="16"/>
                <w:szCs w:val="18"/>
              </w:rPr>
            </w:pPr>
            <w:r w:rsidRPr="007D2722">
              <w:rPr>
                <w:sz w:val="16"/>
                <w:szCs w:val="18"/>
              </w:rPr>
              <w:t>Initial glucose concentration</w:t>
            </w:r>
          </w:p>
          <w:p w14:paraId="6BDE2DB1" w14:textId="32B120BC" w:rsidR="005D409A" w:rsidRPr="007D2722" w:rsidRDefault="005D409A" w:rsidP="00741D42">
            <w:pPr>
              <w:pStyle w:val="CETBodytext"/>
              <w:jc w:val="center"/>
              <w:rPr>
                <w:sz w:val="16"/>
                <w:szCs w:val="18"/>
              </w:rPr>
            </w:pPr>
            <w:r w:rsidRPr="007D2722">
              <w:rPr>
                <w:sz w:val="16"/>
                <w:szCs w:val="18"/>
              </w:rPr>
              <w:t>(</w:t>
            </w:r>
            <m:oMath>
              <m:sSub>
                <m:sSubPr>
                  <m:ctrlPr>
                    <w:rPr>
                      <w:rFonts w:ascii="Cambria Math" w:hAnsi="Cambria Math"/>
                      <w:i/>
                      <w:sz w:val="16"/>
                      <w:szCs w:val="18"/>
                    </w:rPr>
                  </m:ctrlPr>
                </m:sSubPr>
                <m:e>
                  <m:r>
                    <w:rPr>
                      <w:rFonts w:ascii="Cambria Math" w:hAnsi="Cambria Math"/>
                      <w:sz w:val="16"/>
                      <w:szCs w:val="18"/>
                    </w:rPr>
                    <m:t>g</m:t>
                  </m:r>
                </m:e>
                <m:sub>
                  <m:r>
                    <w:rPr>
                      <w:rFonts w:ascii="Cambria Math" w:hAnsi="Cambria Math"/>
                      <w:sz w:val="16"/>
                      <w:szCs w:val="18"/>
                    </w:rPr>
                    <m:t>glucose</m:t>
                  </m:r>
                </m:sub>
              </m:sSub>
              <m:r>
                <w:rPr>
                  <w:rFonts w:ascii="Cambria Math" w:hAnsi="Cambria Math"/>
                  <w:sz w:val="16"/>
                  <w:szCs w:val="18"/>
                </w:rPr>
                <m:t>/L</m:t>
              </m:r>
            </m:oMath>
            <w:r w:rsidRPr="007D2722">
              <w:rPr>
                <w:sz w:val="16"/>
                <w:szCs w:val="18"/>
              </w:rPr>
              <w:t>)</w:t>
            </w:r>
          </w:p>
        </w:tc>
        <w:tc>
          <w:tcPr>
            <w:tcW w:w="1134" w:type="dxa"/>
            <w:tcBorders>
              <w:top w:val="single" w:sz="12" w:space="0" w:color="008000"/>
              <w:bottom w:val="single" w:sz="6" w:space="0" w:color="008000"/>
            </w:tcBorders>
            <w:shd w:val="clear" w:color="auto" w:fill="FFFFFF"/>
            <w:vAlign w:val="center"/>
          </w:tcPr>
          <w:p w14:paraId="0BD4CF07" w14:textId="37C76ACE" w:rsidR="005D409A" w:rsidRPr="007D2722" w:rsidRDefault="005D409A" w:rsidP="00741D42">
            <w:pPr>
              <w:pStyle w:val="CETBodytext"/>
              <w:jc w:val="center"/>
              <w:rPr>
                <w:sz w:val="16"/>
                <w:szCs w:val="18"/>
              </w:rPr>
            </w:pPr>
            <w:r w:rsidRPr="007D2722">
              <w:rPr>
                <w:sz w:val="16"/>
                <w:szCs w:val="18"/>
              </w:rPr>
              <w:t>Glucose feed concentration (</w:t>
            </w:r>
            <m:oMath>
              <m:sSub>
                <m:sSubPr>
                  <m:ctrlPr>
                    <w:rPr>
                      <w:rFonts w:ascii="Cambria Math" w:hAnsi="Cambria Math"/>
                      <w:i/>
                      <w:sz w:val="16"/>
                      <w:szCs w:val="18"/>
                    </w:rPr>
                  </m:ctrlPr>
                </m:sSubPr>
                <m:e>
                  <m:r>
                    <w:rPr>
                      <w:rFonts w:ascii="Cambria Math" w:hAnsi="Cambria Math"/>
                      <w:sz w:val="16"/>
                      <w:szCs w:val="18"/>
                    </w:rPr>
                    <m:t>g</m:t>
                  </m:r>
                </m:e>
                <m:sub>
                  <m:r>
                    <w:rPr>
                      <w:rFonts w:ascii="Cambria Math" w:hAnsi="Cambria Math"/>
                      <w:sz w:val="16"/>
                      <w:szCs w:val="18"/>
                    </w:rPr>
                    <m:t>glucose</m:t>
                  </m:r>
                </m:sub>
              </m:sSub>
              <m:r>
                <w:rPr>
                  <w:rFonts w:ascii="Cambria Math" w:hAnsi="Cambria Math"/>
                  <w:sz w:val="16"/>
                  <w:szCs w:val="18"/>
                </w:rPr>
                <m:t>/L</m:t>
              </m:r>
            </m:oMath>
            <w:r w:rsidRPr="007D2722">
              <w:rPr>
                <w:sz w:val="16"/>
                <w:szCs w:val="18"/>
              </w:rPr>
              <w:t>)</w:t>
            </w:r>
          </w:p>
        </w:tc>
        <w:tc>
          <w:tcPr>
            <w:tcW w:w="1417" w:type="dxa"/>
            <w:tcBorders>
              <w:top w:val="single" w:sz="12" w:space="0" w:color="008000"/>
              <w:bottom w:val="single" w:sz="6" w:space="0" w:color="008000"/>
            </w:tcBorders>
            <w:shd w:val="clear" w:color="auto" w:fill="FFFFFF"/>
            <w:vAlign w:val="center"/>
          </w:tcPr>
          <w:p w14:paraId="55CAAEA5" w14:textId="3079012D" w:rsidR="005D409A" w:rsidRPr="007D2722" w:rsidRDefault="005D409A" w:rsidP="00741D42">
            <w:pPr>
              <w:pStyle w:val="CETBodytext"/>
              <w:jc w:val="center"/>
              <w:rPr>
                <w:sz w:val="16"/>
                <w:szCs w:val="18"/>
              </w:rPr>
            </w:pPr>
            <w:r w:rsidRPr="007D2722">
              <w:rPr>
                <w:sz w:val="16"/>
                <w:szCs w:val="18"/>
              </w:rPr>
              <w:t>Batch and fed-batch phase temperature (°C)</w:t>
            </w:r>
          </w:p>
        </w:tc>
        <w:tc>
          <w:tcPr>
            <w:tcW w:w="1498" w:type="dxa"/>
            <w:tcBorders>
              <w:top w:val="single" w:sz="12" w:space="0" w:color="008000"/>
              <w:bottom w:val="single" w:sz="6" w:space="0" w:color="008000"/>
            </w:tcBorders>
            <w:shd w:val="clear" w:color="auto" w:fill="FFFFFF"/>
            <w:vAlign w:val="center"/>
          </w:tcPr>
          <w:p w14:paraId="5D5582A7" w14:textId="350CA294" w:rsidR="005D409A" w:rsidRPr="007D2722" w:rsidRDefault="005D409A" w:rsidP="00741D42">
            <w:pPr>
              <w:pStyle w:val="CETBodytext"/>
              <w:jc w:val="center"/>
              <w:rPr>
                <w:sz w:val="16"/>
                <w:szCs w:val="18"/>
                <w:lang w:val="fr-FR"/>
              </w:rPr>
            </w:pPr>
            <w:r w:rsidRPr="007D2722">
              <w:rPr>
                <w:sz w:val="16"/>
                <w:szCs w:val="18"/>
                <w:lang w:val="fr-FR"/>
              </w:rPr>
              <w:t xml:space="preserve">Induction </w:t>
            </w:r>
            <w:r w:rsidR="0070411B" w:rsidRPr="007D2722">
              <w:rPr>
                <w:sz w:val="16"/>
                <w:szCs w:val="18"/>
                <w:lang w:val="fr-FR"/>
              </w:rPr>
              <w:t xml:space="preserve">phase </w:t>
            </w:r>
            <w:r w:rsidR="00440BDA" w:rsidRPr="007D2722">
              <w:rPr>
                <w:sz w:val="16"/>
                <w:szCs w:val="18"/>
                <w:lang w:val="fr-FR"/>
              </w:rPr>
              <w:t>conditions</w:t>
            </w:r>
            <w:r w:rsidRPr="007D2722">
              <w:rPr>
                <w:sz w:val="16"/>
                <w:szCs w:val="18"/>
                <w:lang w:val="fr-FR"/>
              </w:rPr>
              <w:t xml:space="preserve"> duration (h)-T (°C)</w:t>
            </w:r>
          </w:p>
        </w:tc>
      </w:tr>
      <w:tr w:rsidR="005D409A" w:rsidRPr="00B57B36" w14:paraId="75F9316A" w14:textId="35153505" w:rsidTr="0070411B">
        <w:trPr>
          <w:trHeight w:val="235"/>
          <w:jc w:val="center"/>
        </w:trPr>
        <w:tc>
          <w:tcPr>
            <w:tcW w:w="1134" w:type="dxa"/>
            <w:shd w:val="clear" w:color="auto" w:fill="FFFFFF"/>
            <w:vAlign w:val="center"/>
          </w:tcPr>
          <w:p w14:paraId="00E62062" w14:textId="73B397C3" w:rsidR="005D409A" w:rsidRPr="007D2722" w:rsidRDefault="005D409A" w:rsidP="00EF6FEE">
            <w:pPr>
              <w:pStyle w:val="CETBodytext"/>
              <w:jc w:val="center"/>
              <w:rPr>
                <w:sz w:val="16"/>
                <w:szCs w:val="18"/>
              </w:rPr>
            </w:pPr>
            <w:r w:rsidRPr="007D2722">
              <w:rPr>
                <w:sz w:val="16"/>
                <w:szCs w:val="18"/>
              </w:rPr>
              <w:t>1</w:t>
            </w:r>
          </w:p>
        </w:tc>
        <w:tc>
          <w:tcPr>
            <w:tcW w:w="851" w:type="dxa"/>
            <w:vMerge w:val="restart"/>
            <w:shd w:val="clear" w:color="auto" w:fill="FFFFFF"/>
            <w:vAlign w:val="center"/>
          </w:tcPr>
          <w:p w14:paraId="1774F525" w14:textId="69B64C0B" w:rsidR="005D409A" w:rsidRPr="007D2722" w:rsidRDefault="005D409A" w:rsidP="00EF6FEE">
            <w:pPr>
              <w:pStyle w:val="CETBodytext"/>
              <w:jc w:val="center"/>
              <w:rPr>
                <w:sz w:val="16"/>
                <w:szCs w:val="18"/>
              </w:rPr>
            </w:pPr>
            <w:r w:rsidRPr="007D2722">
              <w:rPr>
                <w:rFonts w:eastAsia="CIDFont+F1"/>
                <w:sz w:val="16"/>
                <w:szCs w:val="18"/>
              </w:rPr>
              <w:t>CH10-12</w:t>
            </w:r>
          </w:p>
        </w:tc>
        <w:tc>
          <w:tcPr>
            <w:tcW w:w="1276" w:type="dxa"/>
            <w:shd w:val="clear" w:color="auto" w:fill="FFFFFF"/>
            <w:vAlign w:val="center"/>
          </w:tcPr>
          <w:p w14:paraId="1DFF582B" w14:textId="655AD782" w:rsidR="005D409A" w:rsidRPr="007D2722" w:rsidRDefault="0070411B" w:rsidP="00E7039A">
            <w:pPr>
              <w:pStyle w:val="CETBodytext"/>
              <w:jc w:val="center"/>
              <w:rPr>
                <w:sz w:val="16"/>
                <w:szCs w:val="18"/>
              </w:rPr>
            </w:pPr>
            <w:r w:rsidRPr="007D2722">
              <w:rPr>
                <w:sz w:val="16"/>
                <w:szCs w:val="18"/>
              </w:rPr>
              <w:t>10</w:t>
            </w:r>
          </w:p>
        </w:tc>
        <w:tc>
          <w:tcPr>
            <w:tcW w:w="1134" w:type="dxa"/>
            <w:shd w:val="clear" w:color="auto" w:fill="FFFFFF"/>
            <w:vAlign w:val="center"/>
          </w:tcPr>
          <w:p w14:paraId="5005E90B" w14:textId="7CA01394" w:rsidR="005D409A" w:rsidRPr="007D2722" w:rsidRDefault="0070411B" w:rsidP="00E7039A">
            <w:pPr>
              <w:pStyle w:val="CETBodytext"/>
              <w:jc w:val="center"/>
              <w:rPr>
                <w:sz w:val="16"/>
                <w:szCs w:val="18"/>
              </w:rPr>
            </w:pPr>
            <w:r w:rsidRPr="007D2722">
              <w:rPr>
                <w:sz w:val="16"/>
                <w:szCs w:val="18"/>
              </w:rPr>
              <w:t>298</w:t>
            </w:r>
          </w:p>
        </w:tc>
        <w:tc>
          <w:tcPr>
            <w:tcW w:w="1417" w:type="dxa"/>
            <w:vMerge w:val="restart"/>
            <w:shd w:val="clear" w:color="auto" w:fill="FFFFFF"/>
            <w:vAlign w:val="center"/>
          </w:tcPr>
          <w:p w14:paraId="7CED3FFD" w14:textId="4F62F3B0" w:rsidR="005D409A" w:rsidRPr="007D2722" w:rsidRDefault="005D409A" w:rsidP="00E7039A">
            <w:pPr>
              <w:pStyle w:val="CETBodytext"/>
              <w:jc w:val="center"/>
              <w:rPr>
                <w:sz w:val="16"/>
                <w:szCs w:val="18"/>
              </w:rPr>
            </w:pPr>
            <w:r w:rsidRPr="007D2722">
              <w:rPr>
                <w:sz w:val="16"/>
                <w:szCs w:val="18"/>
              </w:rPr>
              <w:t>37</w:t>
            </w:r>
          </w:p>
        </w:tc>
        <w:tc>
          <w:tcPr>
            <w:tcW w:w="1498" w:type="dxa"/>
            <w:shd w:val="clear" w:color="auto" w:fill="FFFFFF"/>
            <w:vAlign w:val="center"/>
          </w:tcPr>
          <w:p w14:paraId="4BA0E189" w14:textId="7ADA6F16" w:rsidR="005D409A" w:rsidRPr="007D2722" w:rsidRDefault="005D409A" w:rsidP="00EF6FEE">
            <w:pPr>
              <w:pStyle w:val="CETBodytext"/>
              <w:jc w:val="center"/>
              <w:rPr>
                <w:sz w:val="16"/>
                <w:szCs w:val="18"/>
              </w:rPr>
            </w:pPr>
            <w:r w:rsidRPr="007D2722">
              <w:rPr>
                <w:sz w:val="16"/>
                <w:szCs w:val="18"/>
              </w:rPr>
              <w:t>12h-28</w:t>
            </w:r>
            <w:r w:rsidRPr="007D2722">
              <w:rPr>
                <w:sz w:val="16"/>
                <w:szCs w:val="18"/>
                <w:lang w:val="fr-FR"/>
              </w:rPr>
              <w:t>°C</w:t>
            </w:r>
          </w:p>
        </w:tc>
      </w:tr>
      <w:tr w:rsidR="005D409A" w:rsidRPr="00B57B36" w14:paraId="085753D3" w14:textId="53A59B70" w:rsidTr="0070411B">
        <w:trPr>
          <w:trHeight w:val="235"/>
          <w:jc w:val="center"/>
        </w:trPr>
        <w:tc>
          <w:tcPr>
            <w:tcW w:w="1134" w:type="dxa"/>
            <w:shd w:val="clear" w:color="auto" w:fill="FFFFFF"/>
            <w:vAlign w:val="center"/>
          </w:tcPr>
          <w:p w14:paraId="73E997E1" w14:textId="4BD204E8" w:rsidR="005D409A" w:rsidRPr="007D2722" w:rsidRDefault="005D409A" w:rsidP="00EF6FEE">
            <w:pPr>
              <w:pStyle w:val="CETBodytext"/>
              <w:jc w:val="center"/>
              <w:rPr>
                <w:sz w:val="16"/>
                <w:szCs w:val="18"/>
              </w:rPr>
            </w:pPr>
            <w:r w:rsidRPr="007D2722">
              <w:rPr>
                <w:sz w:val="16"/>
                <w:szCs w:val="18"/>
              </w:rPr>
              <w:t>2</w:t>
            </w:r>
          </w:p>
        </w:tc>
        <w:tc>
          <w:tcPr>
            <w:tcW w:w="851" w:type="dxa"/>
            <w:vMerge/>
            <w:shd w:val="clear" w:color="auto" w:fill="FFFFFF"/>
            <w:vAlign w:val="center"/>
          </w:tcPr>
          <w:p w14:paraId="637493FD" w14:textId="77777777" w:rsidR="005D409A" w:rsidRPr="007D2722" w:rsidRDefault="005D409A" w:rsidP="00EF6FEE">
            <w:pPr>
              <w:pStyle w:val="CETBodytext"/>
              <w:jc w:val="center"/>
              <w:rPr>
                <w:sz w:val="16"/>
                <w:szCs w:val="18"/>
              </w:rPr>
            </w:pPr>
          </w:p>
        </w:tc>
        <w:tc>
          <w:tcPr>
            <w:tcW w:w="1276" w:type="dxa"/>
            <w:shd w:val="clear" w:color="auto" w:fill="FFFFFF"/>
            <w:vAlign w:val="center"/>
          </w:tcPr>
          <w:p w14:paraId="06CE0205" w14:textId="52BBD3DA" w:rsidR="005D409A" w:rsidRPr="007D2722" w:rsidRDefault="0070411B" w:rsidP="00EF6FEE">
            <w:pPr>
              <w:pStyle w:val="CETBodytext"/>
              <w:jc w:val="center"/>
              <w:rPr>
                <w:sz w:val="16"/>
                <w:szCs w:val="18"/>
              </w:rPr>
            </w:pPr>
            <w:r w:rsidRPr="007D2722">
              <w:rPr>
                <w:sz w:val="16"/>
                <w:szCs w:val="18"/>
              </w:rPr>
              <w:t>10</w:t>
            </w:r>
          </w:p>
        </w:tc>
        <w:tc>
          <w:tcPr>
            <w:tcW w:w="1134" w:type="dxa"/>
            <w:shd w:val="clear" w:color="auto" w:fill="FFFFFF"/>
            <w:vAlign w:val="center"/>
          </w:tcPr>
          <w:p w14:paraId="1D78887D" w14:textId="7E0D76CE" w:rsidR="005D409A" w:rsidRPr="007D2722" w:rsidRDefault="0070411B" w:rsidP="00EF6FEE">
            <w:pPr>
              <w:pStyle w:val="CETBodytext"/>
              <w:jc w:val="center"/>
              <w:rPr>
                <w:sz w:val="16"/>
                <w:szCs w:val="18"/>
              </w:rPr>
            </w:pPr>
            <w:r w:rsidRPr="007D2722">
              <w:rPr>
                <w:sz w:val="16"/>
                <w:szCs w:val="18"/>
              </w:rPr>
              <w:t>298</w:t>
            </w:r>
          </w:p>
        </w:tc>
        <w:tc>
          <w:tcPr>
            <w:tcW w:w="1417" w:type="dxa"/>
            <w:vMerge/>
            <w:shd w:val="clear" w:color="auto" w:fill="FFFFFF"/>
            <w:vAlign w:val="center"/>
          </w:tcPr>
          <w:p w14:paraId="0A5E377E" w14:textId="0DCA1AF3" w:rsidR="005D409A" w:rsidRPr="007D2722" w:rsidRDefault="005D409A" w:rsidP="00EF6FEE">
            <w:pPr>
              <w:pStyle w:val="CETBodytext"/>
              <w:jc w:val="center"/>
              <w:rPr>
                <w:sz w:val="16"/>
                <w:szCs w:val="18"/>
              </w:rPr>
            </w:pPr>
          </w:p>
        </w:tc>
        <w:tc>
          <w:tcPr>
            <w:tcW w:w="1498" w:type="dxa"/>
            <w:shd w:val="clear" w:color="auto" w:fill="FFFFFF"/>
            <w:vAlign w:val="center"/>
          </w:tcPr>
          <w:p w14:paraId="5F562F09" w14:textId="28E49335" w:rsidR="005D409A" w:rsidRPr="007D2722" w:rsidRDefault="005D409A" w:rsidP="00EF6FEE">
            <w:pPr>
              <w:pStyle w:val="CETBodytext"/>
              <w:jc w:val="center"/>
              <w:rPr>
                <w:sz w:val="16"/>
                <w:szCs w:val="18"/>
              </w:rPr>
            </w:pPr>
            <w:r w:rsidRPr="007D2722">
              <w:rPr>
                <w:sz w:val="16"/>
                <w:szCs w:val="18"/>
              </w:rPr>
              <w:t>10h-30</w:t>
            </w:r>
            <w:r w:rsidRPr="007D2722">
              <w:rPr>
                <w:sz w:val="16"/>
                <w:szCs w:val="18"/>
                <w:lang w:val="fr-FR"/>
              </w:rPr>
              <w:t>°C</w:t>
            </w:r>
          </w:p>
        </w:tc>
      </w:tr>
      <w:tr w:rsidR="005D409A" w:rsidRPr="00B57B36" w14:paraId="19575D0F" w14:textId="6FD9C00D" w:rsidTr="0070411B">
        <w:trPr>
          <w:trHeight w:val="235"/>
          <w:jc w:val="center"/>
        </w:trPr>
        <w:tc>
          <w:tcPr>
            <w:tcW w:w="1134" w:type="dxa"/>
            <w:shd w:val="clear" w:color="auto" w:fill="FFFFFF"/>
            <w:vAlign w:val="center"/>
          </w:tcPr>
          <w:p w14:paraId="114B3F13" w14:textId="531315DE" w:rsidR="005D409A" w:rsidRPr="007D2722" w:rsidRDefault="005D409A" w:rsidP="00EF6FEE">
            <w:pPr>
              <w:pStyle w:val="CETBodytext"/>
              <w:jc w:val="center"/>
              <w:rPr>
                <w:sz w:val="16"/>
                <w:szCs w:val="18"/>
              </w:rPr>
            </w:pPr>
            <w:r w:rsidRPr="007D2722">
              <w:rPr>
                <w:sz w:val="16"/>
                <w:szCs w:val="18"/>
              </w:rPr>
              <w:t>3</w:t>
            </w:r>
          </w:p>
        </w:tc>
        <w:tc>
          <w:tcPr>
            <w:tcW w:w="851" w:type="dxa"/>
            <w:vMerge/>
            <w:shd w:val="clear" w:color="auto" w:fill="FFFFFF"/>
            <w:vAlign w:val="center"/>
          </w:tcPr>
          <w:p w14:paraId="0EBF7E71" w14:textId="77777777" w:rsidR="005D409A" w:rsidRPr="007D2722" w:rsidRDefault="005D409A" w:rsidP="00EF6FEE">
            <w:pPr>
              <w:pStyle w:val="CETBodytext"/>
              <w:jc w:val="center"/>
              <w:rPr>
                <w:sz w:val="16"/>
                <w:szCs w:val="18"/>
              </w:rPr>
            </w:pPr>
          </w:p>
        </w:tc>
        <w:tc>
          <w:tcPr>
            <w:tcW w:w="1276" w:type="dxa"/>
            <w:shd w:val="clear" w:color="auto" w:fill="FFFFFF"/>
            <w:vAlign w:val="center"/>
          </w:tcPr>
          <w:p w14:paraId="597D5C7B" w14:textId="1B2AB8F1" w:rsidR="005D409A" w:rsidRPr="007D2722" w:rsidRDefault="0070411B" w:rsidP="00EF6FEE">
            <w:pPr>
              <w:pStyle w:val="CETBodytext"/>
              <w:jc w:val="center"/>
              <w:rPr>
                <w:sz w:val="16"/>
                <w:szCs w:val="18"/>
              </w:rPr>
            </w:pPr>
            <w:r w:rsidRPr="007D2722">
              <w:rPr>
                <w:sz w:val="16"/>
                <w:szCs w:val="18"/>
              </w:rPr>
              <w:t>10</w:t>
            </w:r>
          </w:p>
        </w:tc>
        <w:tc>
          <w:tcPr>
            <w:tcW w:w="1134" w:type="dxa"/>
            <w:shd w:val="clear" w:color="auto" w:fill="FFFFFF"/>
            <w:vAlign w:val="center"/>
          </w:tcPr>
          <w:p w14:paraId="38EFC904" w14:textId="5C5AC746" w:rsidR="005D409A" w:rsidRPr="007D2722" w:rsidRDefault="0070411B" w:rsidP="00EF6FEE">
            <w:pPr>
              <w:pStyle w:val="CETBodytext"/>
              <w:jc w:val="center"/>
              <w:rPr>
                <w:sz w:val="16"/>
                <w:szCs w:val="18"/>
              </w:rPr>
            </w:pPr>
            <w:r w:rsidRPr="007D2722">
              <w:rPr>
                <w:sz w:val="16"/>
                <w:szCs w:val="18"/>
              </w:rPr>
              <w:t>326</w:t>
            </w:r>
          </w:p>
        </w:tc>
        <w:tc>
          <w:tcPr>
            <w:tcW w:w="1417" w:type="dxa"/>
            <w:vMerge/>
            <w:shd w:val="clear" w:color="auto" w:fill="FFFFFF"/>
            <w:vAlign w:val="center"/>
          </w:tcPr>
          <w:p w14:paraId="636273EA" w14:textId="3418DD55" w:rsidR="005D409A" w:rsidRPr="007D2722" w:rsidRDefault="005D409A" w:rsidP="00EF6FEE">
            <w:pPr>
              <w:pStyle w:val="CETBodytext"/>
              <w:jc w:val="center"/>
              <w:rPr>
                <w:sz w:val="16"/>
                <w:szCs w:val="18"/>
              </w:rPr>
            </w:pPr>
          </w:p>
        </w:tc>
        <w:tc>
          <w:tcPr>
            <w:tcW w:w="1498" w:type="dxa"/>
            <w:shd w:val="clear" w:color="auto" w:fill="FFFFFF"/>
            <w:vAlign w:val="center"/>
          </w:tcPr>
          <w:p w14:paraId="1ECC2941" w14:textId="63F0279A" w:rsidR="005D409A" w:rsidRPr="007D2722" w:rsidRDefault="005D409A" w:rsidP="00EF6FEE">
            <w:pPr>
              <w:pStyle w:val="CETBodytext"/>
              <w:jc w:val="center"/>
              <w:rPr>
                <w:sz w:val="16"/>
                <w:szCs w:val="18"/>
              </w:rPr>
            </w:pPr>
            <w:r w:rsidRPr="007D2722">
              <w:rPr>
                <w:sz w:val="16"/>
                <w:szCs w:val="18"/>
              </w:rPr>
              <w:t>6h-33</w:t>
            </w:r>
            <w:r w:rsidRPr="007D2722">
              <w:rPr>
                <w:sz w:val="16"/>
                <w:szCs w:val="18"/>
                <w:lang w:val="fr-FR"/>
              </w:rPr>
              <w:t>°C</w:t>
            </w:r>
          </w:p>
        </w:tc>
      </w:tr>
      <w:tr w:rsidR="005D409A" w:rsidRPr="00B57B36" w14:paraId="1F20107B" w14:textId="77F5114C" w:rsidTr="0070411B">
        <w:trPr>
          <w:trHeight w:val="245"/>
          <w:jc w:val="center"/>
        </w:trPr>
        <w:tc>
          <w:tcPr>
            <w:tcW w:w="1134" w:type="dxa"/>
            <w:shd w:val="clear" w:color="auto" w:fill="FFFFFF"/>
            <w:vAlign w:val="center"/>
          </w:tcPr>
          <w:p w14:paraId="7775E7F7" w14:textId="1E3ABA78" w:rsidR="005D409A" w:rsidRPr="007D2722" w:rsidRDefault="005D409A" w:rsidP="00EF6FEE">
            <w:pPr>
              <w:pStyle w:val="CETBodytext"/>
              <w:jc w:val="center"/>
              <w:rPr>
                <w:sz w:val="16"/>
                <w:szCs w:val="18"/>
              </w:rPr>
            </w:pPr>
            <w:r w:rsidRPr="007D2722">
              <w:rPr>
                <w:sz w:val="16"/>
                <w:szCs w:val="18"/>
              </w:rPr>
              <w:t>4</w:t>
            </w:r>
          </w:p>
        </w:tc>
        <w:tc>
          <w:tcPr>
            <w:tcW w:w="851" w:type="dxa"/>
            <w:vMerge/>
            <w:shd w:val="clear" w:color="auto" w:fill="FFFFFF"/>
            <w:vAlign w:val="center"/>
          </w:tcPr>
          <w:p w14:paraId="0150E233" w14:textId="77777777" w:rsidR="005D409A" w:rsidRPr="007D2722" w:rsidRDefault="005D409A" w:rsidP="00EF6FEE">
            <w:pPr>
              <w:pStyle w:val="CETBodytext"/>
              <w:jc w:val="center"/>
              <w:rPr>
                <w:sz w:val="16"/>
                <w:szCs w:val="18"/>
              </w:rPr>
            </w:pPr>
          </w:p>
        </w:tc>
        <w:tc>
          <w:tcPr>
            <w:tcW w:w="1276" w:type="dxa"/>
            <w:shd w:val="clear" w:color="auto" w:fill="FFFFFF"/>
            <w:vAlign w:val="center"/>
          </w:tcPr>
          <w:p w14:paraId="0EEBE5D4" w14:textId="61324337" w:rsidR="005D409A" w:rsidRPr="007D2722" w:rsidRDefault="0070411B" w:rsidP="00EF6FEE">
            <w:pPr>
              <w:pStyle w:val="CETBodytext"/>
              <w:jc w:val="center"/>
              <w:rPr>
                <w:sz w:val="16"/>
                <w:szCs w:val="18"/>
              </w:rPr>
            </w:pPr>
            <w:r w:rsidRPr="007D2722">
              <w:rPr>
                <w:sz w:val="16"/>
                <w:szCs w:val="18"/>
              </w:rPr>
              <w:t>10</w:t>
            </w:r>
          </w:p>
        </w:tc>
        <w:tc>
          <w:tcPr>
            <w:tcW w:w="1134" w:type="dxa"/>
            <w:shd w:val="clear" w:color="auto" w:fill="FFFFFF"/>
            <w:vAlign w:val="center"/>
          </w:tcPr>
          <w:p w14:paraId="1F46B779" w14:textId="6807EF40" w:rsidR="005D409A" w:rsidRPr="007D2722" w:rsidRDefault="0070411B" w:rsidP="00EF6FEE">
            <w:pPr>
              <w:pStyle w:val="CETBodytext"/>
              <w:jc w:val="center"/>
              <w:rPr>
                <w:sz w:val="16"/>
                <w:szCs w:val="18"/>
              </w:rPr>
            </w:pPr>
            <w:r w:rsidRPr="007D2722">
              <w:rPr>
                <w:sz w:val="16"/>
                <w:szCs w:val="18"/>
              </w:rPr>
              <w:t>326</w:t>
            </w:r>
          </w:p>
        </w:tc>
        <w:tc>
          <w:tcPr>
            <w:tcW w:w="1417" w:type="dxa"/>
            <w:vMerge/>
            <w:shd w:val="clear" w:color="auto" w:fill="FFFFFF"/>
            <w:vAlign w:val="center"/>
          </w:tcPr>
          <w:p w14:paraId="17026E8F" w14:textId="61FF6EB3" w:rsidR="005D409A" w:rsidRPr="007D2722" w:rsidRDefault="005D409A" w:rsidP="00EF6FEE">
            <w:pPr>
              <w:pStyle w:val="CETBodytext"/>
              <w:jc w:val="center"/>
              <w:rPr>
                <w:sz w:val="16"/>
                <w:szCs w:val="18"/>
              </w:rPr>
            </w:pPr>
          </w:p>
        </w:tc>
        <w:tc>
          <w:tcPr>
            <w:tcW w:w="1498" w:type="dxa"/>
            <w:shd w:val="clear" w:color="auto" w:fill="FFFFFF"/>
            <w:vAlign w:val="center"/>
          </w:tcPr>
          <w:p w14:paraId="7802D130" w14:textId="0F2C2680" w:rsidR="005D409A" w:rsidRPr="007D2722" w:rsidRDefault="005D409A" w:rsidP="00EF6FEE">
            <w:pPr>
              <w:pStyle w:val="CETBodytext"/>
              <w:jc w:val="center"/>
              <w:rPr>
                <w:sz w:val="16"/>
                <w:szCs w:val="18"/>
              </w:rPr>
            </w:pPr>
            <w:r w:rsidRPr="007D2722">
              <w:rPr>
                <w:sz w:val="16"/>
                <w:szCs w:val="18"/>
              </w:rPr>
              <w:t>6h-37</w:t>
            </w:r>
            <w:r w:rsidRPr="007D2722">
              <w:rPr>
                <w:sz w:val="16"/>
                <w:szCs w:val="18"/>
                <w:lang w:val="fr-FR"/>
              </w:rPr>
              <w:t>°C</w:t>
            </w:r>
          </w:p>
        </w:tc>
      </w:tr>
      <w:tr w:rsidR="005D409A" w:rsidRPr="00B57B36" w14:paraId="44559641" w14:textId="5E71E4B8" w:rsidTr="0070411B">
        <w:trPr>
          <w:trHeight w:val="235"/>
          <w:jc w:val="center"/>
        </w:trPr>
        <w:tc>
          <w:tcPr>
            <w:tcW w:w="1134" w:type="dxa"/>
            <w:tcBorders>
              <w:bottom w:val="nil"/>
            </w:tcBorders>
            <w:shd w:val="clear" w:color="auto" w:fill="FFFFFF"/>
            <w:vAlign w:val="center"/>
          </w:tcPr>
          <w:p w14:paraId="1C89EEE2" w14:textId="3B31283E" w:rsidR="005D409A" w:rsidRPr="007D2722" w:rsidRDefault="005D409A" w:rsidP="00EF6FEE">
            <w:pPr>
              <w:pStyle w:val="CETBodytext"/>
              <w:jc w:val="center"/>
              <w:rPr>
                <w:sz w:val="16"/>
                <w:szCs w:val="18"/>
              </w:rPr>
            </w:pPr>
            <w:r w:rsidRPr="007D2722">
              <w:rPr>
                <w:sz w:val="16"/>
                <w:szCs w:val="18"/>
              </w:rPr>
              <w:t>5</w:t>
            </w:r>
          </w:p>
        </w:tc>
        <w:tc>
          <w:tcPr>
            <w:tcW w:w="851" w:type="dxa"/>
            <w:vMerge/>
            <w:tcBorders>
              <w:bottom w:val="nil"/>
            </w:tcBorders>
            <w:shd w:val="clear" w:color="auto" w:fill="FFFFFF"/>
            <w:vAlign w:val="center"/>
          </w:tcPr>
          <w:p w14:paraId="729E22B3" w14:textId="77777777" w:rsidR="005D409A" w:rsidRPr="007D2722" w:rsidRDefault="005D409A" w:rsidP="00EF6FEE">
            <w:pPr>
              <w:pStyle w:val="CETBodytext"/>
              <w:jc w:val="center"/>
              <w:rPr>
                <w:sz w:val="16"/>
                <w:szCs w:val="18"/>
              </w:rPr>
            </w:pPr>
          </w:p>
        </w:tc>
        <w:tc>
          <w:tcPr>
            <w:tcW w:w="1276" w:type="dxa"/>
            <w:tcBorders>
              <w:bottom w:val="nil"/>
            </w:tcBorders>
            <w:shd w:val="clear" w:color="auto" w:fill="FFFFFF"/>
            <w:vAlign w:val="center"/>
          </w:tcPr>
          <w:p w14:paraId="4FAF6950" w14:textId="317C9490" w:rsidR="005D409A" w:rsidRPr="007D2722" w:rsidRDefault="0070411B" w:rsidP="00EF6FEE">
            <w:pPr>
              <w:pStyle w:val="CETBodytext"/>
              <w:jc w:val="center"/>
              <w:rPr>
                <w:sz w:val="16"/>
                <w:szCs w:val="18"/>
              </w:rPr>
            </w:pPr>
            <w:r w:rsidRPr="007D2722">
              <w:rPr>
                <w:sz w:val="16"/>
                <w:szCs w:val="18"/>
              </w:rPr>
              <w:t>12.5</w:t>
            </w:r>
          </w:p>
        </w:tc>
        <w:tc>
          <w:tcPr>
            <w:tcW w:w="1134" w:type="dxa"/>
            <w:tcBorders>
              <w:bottom w:val="nil"/>
            </w:tcBorders>
            <w:shd w:val="clear" w:color="auto" w:fill="FFFFFF"/>
            <w:vAlign w:val="center"/>
          </w:tcPr>
          <w:p w14:paraId="59CE131C" w14:textId="0EC020BC" w:rsidR="005D409A" w:rsidRPr="007D2722" w:rsidRDefault="0070411B" w:rsidP="00EF6FEE">
            <w:pPr>
              <w:pStyle w:val="CETBodytext"/>
              <w:jc w:val="center"/>
              <w:rPr>
                <w:sz w:val="16"/>
                <w:szCs w:val="18"/>
              </w:rPr>
            </w:pPr>
            <w:r w:rsidRPr="007D2722">
              <w:rPr>
                <w:sz w:val="16"/>
                <w:szCs w:val="18"/>
              </w:rPr>
              <w:t>305</w:t>
            </w:r>
          </w:p>
        </w:tc>
        <w:tc>
          <w:tcPr>
            <w:tcW w:w="1417" w:type="dxa"/>
            <w:vMerge/>
            <w:tcBorders>
              <w:bottom w:val="nil"/>
            </w:tcBorders>
            <w:shd w:val="clear" w:color="auto" w:fill="FFFFFF"/>
            <w:vAlign w:val="center"/>
          </w:tcPr>
          <w:p w14:paraId="37A61B9F" w14:textId="76F96CC1" w:rsidR="005D409A" w:rsidRPr="007D2722" w:rsidRDefault="005D409A" w:rsidP="00EF6FEE">
            <w:pPr>
              <w:pStyle w:val="CETBodytext"/>
              <w:jc w:val="center"/>
              <w:rPr>
                <w:sz w:val="16"/>
                <w:szCs w:val="18"/>
              </w:rPr>
            </w:pPr>
          </w:p>
        </w:tc>
        <w:tc>
          <w:tcPr>
            <w:tcW w:w="1498" w:type="dxa"/>
            <w:tcBorders>
              <w:bottom w:val="nil"/>
            </w:tcBorders>
            <w:shd w:val="clear" w:color="auto" w:fill="FFFFFF"/>
            <w:vAlign w:val="center"/>
          </w:tcPr>
          <w:p w14:paraId="62146AE4" w14:textId="47F792BA" w:rsidR="005D409A" w:rsidRPr="007D2722" w:rsidRDefault="005D409A" w:rsidP="00EF6FEE">
            <w:pPr>
              <w:pStyle w:val="CETBodytext"/>
              <w:jc w:val="center"/>
              <w:rPr>
                <w:sz w:val="16"/>
                <w:szCs w:val="18"/>
              </w:rPr>
            </w:pPr>
            <w:r w:rsidRPr="007D2722">
              <w:rPr>
                <w:sz w:val="16"/>
                <w:szCs w:val="18"/>
              </w:rPr>
              <w:t>38h-29</w:t>
            </w:r>
            <w:r w:rsidRPr="007D2722">
              <w:rPr>
                <w:sz w:val="16"/>
                <w:szCs w:val="18"/>
                <w:lang w:val="fr-FR"/>
              </w:rPr>
              <w:t>°C</w:t>
            </w:r>
          </w:p>
        </w:tc>
      </w:tr>
      <w:tr w:rsidR="005D409A" w:rsidRPr="00B57B36" w14:paraId="15675706" w14:textId="52816107" w:rsidTr="007D2722">
        <w:trPr>
          <w:trHeight w:val="63"/>
          <w:jc w:val="center"/>
        </w:trPr>
        <w:tc>
          <w:tcPr>
            <w:tcW w:w="1134" w:type="dxa"/>
            <w:tcBorders>
              <w:top w:val="nil"/>
              <w:bottom w:val="single" w:sz="4" w:space="0" w:color="2B8D3E"/>
            </w:tcBorders>
            <w:shd w:val="clear" w:color="auto" w:fill="FFFFFF"/>
            <w:vAlign w:val="center"/>
          </w:tcPr>
          <w:p w14:paraId="143F33F7" w14:textId="030C25A4" w:rsidR="005D409A" w:rsidRPr="007D2722" w:rsidRDefault="005D409A" w:rsidP="00EF6FEE">
            <w:pPr>
              <w:pStyle w:val="CETBodytext"/>
              <w:jc w:val="center"/>
              <w:rPr>
                <w:sz w:val="16"/>
                <w:szCs w:val="18"/>
              </w:rPr>
            </w:pPr>
            <w:r w:rsidRPr="007D2722">
              <w:rPr>
                <w:sz w:val="16"/>
                <w:szCs w:val="18"/>
              </w:rPr>
              <w:t>6</w:t>
            </w:r>
          </w:p>
        </w:tc>
        <w:tc>
          <w:tcPr>
            <w:tcW w:w="851" w:type="dxa"/>
            <w:vMerge/>
            <w:tcBorders>
              <w:top w:val="nil"/>
              <w:bottom w:val="single" w:sz="4" w:space="0" w:color="2B8D3E"/>
            </w:tcBorders>
            <w:shd w:val="clear" w:color="auto" w:fill="FFFFFF"/>
            <w:vAlign w:val="center"/>
          </w:tcPr>
          <w:p w14:paraId="57B94553" w14:textId="77777777" w:rsidR="005D409A" w:rsidRPr="007D2722" w:rsidRDefault="005D409A" w:rsidP="00EF6FEE">
            <w:pPr>
              <w:pStyle w:val="CETBodytext"/>
              <w:jc w:val="center"/>
              <w:rPr>
                <w:sz w:val="16"/>
                <w:szCs w:val="18"/>
              </w:rPr>
            </w:pPr>
          </w:p>
        </w:tc>
        <w:tc>
          <w:tcPr>
            <w:tcW w:w="1276" w:type="dxa"/>
            <w:tcBorders>
              <w:top w:val="nil"/>
              <w:bottom w:val="single" w:sz="4" w:space="0" w:color="4F6228" w:themeColor="accent3" w:themeShade="80"/>
            </w:tcBorders>
            <w:shd w:val="clear" w:color="auto" w:fill="FFFFFF"/>
            <w:vAlign w:val="center"/>
          </w:tcPr>
          <w:p w14:paraId="0DA1A2CA" w14:textId="48F34A07" w:rsidR="005D409A" w:rsidRPr="007D2722" w:rsidRDefault="0070411B" w:rsidP="00EF6FEE">
            <w:pPr>
              <w:pStyle w:val="CETBodytext"/>
              <w:jc w:val="center"/>
              <w:rPr>
                <w:sz w:val="16"/>
                <w:szCs w:val="18"/>
              </w:rPr>
            </w:pPr>
            <w:r w:rsidRPr="007D2722">
              <w:rPr>
                <w:sz w:val="16"/>
                <w:szCs w:val="18"/>
              </w:rPr>
              <w:t>7.5</w:t>
            </w:r>
          </w:p>
        </w:tc>
        <w:tc>
          <w:tcPr>
            <w:tcW w:w="1134" w:type="dxa"/>
            <w:tcBorders>
              <w:top w:val="nil"/>
              <w:bottom w:val="single" w:sz="4" w:space="0" w:color="4F6228" w:themeColor="accent3" w:themeShade="80"/>
            </w:tcBorders>
            <w:shd w:val="clear" w:color="auto" w:fill="FFFFFF"/>
            <w:vAlign w:val="center"/>
          </w:tcPr>
          <w:p w14:paraId="4E0DF26A" w14:textId="4FA73D94" w:rsidR="005D409A" w:rsidRPr="007D2722" w:rsidRDefault="0070411B" w:rsidP="00EF6FEE">
            <w:pPr>
              <w:pStyle w:val="CETBodytext"/>
              <w:jc w:val="center"/>
              <w:rPr>
                <w:sz w:val="16"/>
                <w:szCs w:val="18"/>
              </w:rPr>
            </w:pPr>
            <w:r w:rsidRPr="007D2722">
              <w:rPr>
                <w:sz w:val="16"/>
                <w:szCs w:val="18"/>
              </w:rPr>
              <w:t>305</w:t>
            </w:r>
          </w:p>
        </w:tc>
        <w:tc>
          <w:tcPr>
            <w:tcW w:w="1417" w:type="dxa"/>
            <w:vMerge/>
            <w:tcBorders>
              <w:top w:val="nil"/>
              <w:bottom w:val="single" w:sz="4" w:space="0" w:color="4F6228" w:themeColor="accent3" w:themeShade="80"/>
            </w:tcBorders>
            <w:shd w:val="clear" w:color="auto" w:fill="FFFFFF"/>
            <w:vAlign w:val="center"/>
          </w:tcPr>
          <w:p w14:paraId="79A55CA3" w14:textId="51C001B2" w:rsidR="005D409A" w:rsidRPr="007D2722" w:rsidRDefault="005D409A" w:rsidP="00EF6FEE">
            <w:pPr>
              <w:pStyle w:val="CETBodytext"/>
              <w:jc w:val="center"/>
              <w:rPr>
                <w:sz w:val="16"/>
                <w:szCs w:val="18"/>
              </w:rPr>
            </w:pPr>
          </w:p>
        </w:tc>
        <w:tc>
          <w:tcPr>
            <w:tcW w:w="1498" w:type="dxa"/>
            <w:tcBorders>
              <w:top w:val="nil"/>
              <w:bottom w:val="single" w:sz="4" w:space="0" w:color="2B8D3E"/>
            </w:tcBorders>
            <w:shd w:val="clear" w:color="auto" w:fill="FFFFFF"/>
            <w:vAlign w:val="center"/>
          </w:tcPr>
          <w:p w14:paraId="40659DE6" w14:textId="1CEAC556" w:rsidR="005D409A" w:rsidRPr="007D2722" w:rsidRDefault="005D409A" w:rsidP="00EF6FEE">
            <w:pPr>
              <w:pStyle w:val="CETBodytext"/>
              <w:jc w:val="center"/>
              <w:rPr>
                <w:sz w:val="16"/>
                <w:szCs w:val="18"/>
              </w:rPr>
            </w:pPr>
            <w:r w:rsidRPr="007D2722">
              <w:rPr>
                <w:sz w:val="16"/>
                <w:szCs w:val="18"/>
              </w:rPr>
              <w:t>35h-32</w:t>
            </w:r>
            <w:r w:rsidRPr="007D2722">
              <w:rPr>
                <w:sz w:val="16"/>
                <w:szCs w:val="18"/>
                <w:lang w:val="fr-FR"/>
              </w:rPr>
              <w:t>°C</w:t>
            </w:r>
          </w:p>
        </w:tc>
      </w:tr>
      <w:tr w:rsidR="005D409A" w:rsidRPr="00B57B36" w14:paraId="788AE1FA" w14:textId="2D60F70A" w:rsidTr="00FF5580">
        <w:trPr>
          <w:trHeight w:val="53"/>
          <w:jc w:val="center"/>
        </w:trPr>
        <w:tc>
          <w:tcPr>
            <w:tcW w:w="1134" w:type="dxa"/>
            <w:tcBorders>
              <w:top w:val="single" w:sz="4" w:space="0" w:color="2B8D3E"/>
            </w:tcBorders>
            <w:shd w:val="clear" w:color="auto" w:fill="FFFFFF"/>
            <w:vAlign w:val="center"/>
          </w:tcPr>
          <w:p w14:paraId="7A768F32" w14:textId="040CB4C3" w:rsidR="005D409A" w:rsidRPr="007D2722" w:rsidRDefault="005D409A" w:rsidP="00EF6FEE">
            <w:pPr>
              <w:pStyle w:val="CETBodytext"/>
              <w:jc w:val="center"/>
              <w:rPr>
                <w:sz w:val="16"/>
                <w:szCs w:val="18"/>
              </w:rPr>
            </w:pPr>
            <w:r w:rsidRPr="007D2722">
              <w:rPr>
                <w:sz w:val="16"/>
                <w:szCs w:val="18"/>
              </w:rPr>
              <w:t>7</w:t>
            </w:r>
          </w:p>
        </w:tc>
        <w:tc>
          <w:tcPr>
            <w:tcW w:w="851" w:type="dxa"/>
            <w:tcBorders>
              <w:top w:val="single" w:sz="4" w:space="0" w:color="2B8D3E"/>
            </w:tcBorders>
            <w:shd w:val="clear" w:color="auto" w:fill="FFFFFF"/>
            <w:vAlign w:val="center"/>
          </w:tcPr>
          <w:p w14:paraId="31606D2C" w14:textId="005682E6" w:rsidR="005D409A" w:rsidRPr="007D2722" w:rsidRDefault="005D409A" w:rsidP="00EF6FEE">
            <w:pPr>
              <w:pStyle w:val="CETBodytext"/>
              <w:jc w:val="center"/>
              <w:rPr>
                <w:sz w:val="16"/>
                <w:szCs w:val="18"/>
              </w:rPr>
            </w:pPr>
            <w:r w:rsidRPr="007D2722">
              <w:rPr>
                <w:rFonts w:eastAsia="CIDFont+F1"/>
                <w:sz w:val="16"/>
                <w:szCs w:val="18"/>
              </w:rPr>
              <w:t>NbF12-10</w:t>
            </w:r>
          </w:p>
        </w:tc>
        <w:tc>
          <w:tcPr>
            <w:tcW w:w="1276" w:type="dxa"/>
            <w:tcBorders>
              <w:top w:val="single" w:sz="4" w:space="0" w:color="4F6228" w:themeColor="accent3" w:themeShade="80"/>
            </w:tcBorders>
            <w:shd w:val="clear" w:color="auto" w:fill="FFFFFF"/>
            <w:vAlign w:val="center"/>
          </w:tcPr>
          <w:p w14:paraId="407DFAB5" w14:textId="1CF5869E" w:rsidR="005D409A" w:rsidRPr="007D2722" w:rsidRDefault="0070411B" w:rsidP="00EF6FEE">
            <w:pPr>
              <w:pStyle w:val="CETBodytext"/>
              <w:jc w:val="center"/>
              <w:rPr>
                <w:sz w:val="16"/>
                <w:szCs w:val="18"/>
              </w:rPr>
            </w:pPr>
            <w:r w:rsidRPr="007D2722">
              <w:rPr>
                <w:sz w:val="16"/>
                <w:szCs w:val="18"/>
              </w:rPr>
              <w:t>10</w:t>
            </w:r>
          </w:p>
        </w:tc>
        <w:tc>
          <w:tcPr>
            <w:tcW w:w="1134" w:type="dxa"/>
            <w:tcBorders>
              <w:top w:val="single" w:sz="4" w:space="0" w:color="4F6228" w:themeColor="accent3" w:themeShade="80"/>
            </w:tcBorders>
            <w:shd w:val="clear" w:color="auto" w:fill="FFFFFF"/>
            <w:vAlign w:val="center"/>
          </w:tcPr>
          <w:p w14:paraId="5AADBA66" w14:textId="4ABA2ED5" w:rsidR="005D409A" w:rsidRPr="007D2722" w:rsidRDefault="0070411B" w:rsidP="00EF6FEE">
            <w:pPr>
              <w:pStyle w:val="CETBodytext"/>
              <w:jc w:val="center"/>
              <w:rPr>
                <w:sz w:val="16"/>
                <w:szCs w:val="18"/>
              </w:rPr>
            </w:pPr>
            <w:r w:rsidRPr="007D2722">
              <w:rPr>
                <w:sz w:val="16"/>
                <w:szCs w:val="18"/>
              </w:rPr>
              <w:t>305</w:t>
            </w:r>
          </w:p>
        </w:tc>
        <w:tc>
          <w:tcPr>
            <w:tcW w:w="1417" w:type="dxa"/>
            <w:vMerge/>
            <w:tcBorders>
              <w:top w:val="single" w:sz="4" w:space="0" w:color="4F6228" w:themeColor="accent3" w:themeShade="80"/>
            </w:tcBorders>
            <w:shd w:val="clear" w:color="auto" w:fill="FFFFFF"/>
            <w:vAlign w:val="center"/>
          </w:tcPr>
          <w:p w14:paraId="5B48FC23" w14:textId="0819A3CE" w:rsidR="005D409A" w:rsidRPr="007D2722" w:rsidRDefault="005D409A" w:rsidP="00EF6FEE">
            <w:pPr>
              <w:pStyle w:val="CETBodytext"/>
              <w:jc w:val="center"/>
              <w:rPr>
                <w:sz w:val="16"/>
                <w:szCs w:val="18"/>
              </w:rPr>
            </w:pPr>
          </w:p>
        </w:tc>
        <w:tc>
          <w:tcPr>
            <w:tcW w:w="1498" w:type="dxa"/>
            <w:tcBorders>
              <w:top w:val="single" w:sz="4" w:space="0" w:color="2B8D3E"/>
            </w:tcBorders>
            <w:shd w:val="clear" w:color="auto" w:fill="FFFFFF"/>
            <w:vAlign w:val="center"/>
          </w:tcPr>
          <w:p w14:paraId="33AFC0F9" w14:textId="17185468" w:rsidR="005D409A" w:rsidRPr="007D2722" w:rsidRDefault="005D409A" w:rsidP="00EF6FEE">
            <w:pPr>
              <w:pStyle w:val="CETBodytext"/>
              <w:jc w:val="center"/>
              <w:rPr>
                <w:sz w:val="16"/>
                <w:szCs w:val="18"/>
              </w:rPr>
            </w:pPr>
            <w:r w:rsidRPr="007D2722">
              <w:rPr>
                <w:sz w:val="16"/>
                <w:szCs w:val="18"/>
              </w:rPr>
              <w:t>37h-29</w:t>
            </w:r>
            <w:r w:rsidRPr="007D2722">
              <w:rPr>
                <w:sz w:val="16"/>
                <w:szCs w:val="18"/>
                <w:lang w:val="fr-FR"/>
              </w:rPr>
              <w:t>°C</w:t>
            </w:r>
          </w:p>
        </w:tc>
      </w:tr>
    </w:tbl>
    <w:p w14:paraId="73632A70" w14:textId="77777777" w:rsidR="00426284" w:rsidRPr="00426284" w:rsidRDefault="00426284" w:rsidP="00426284">
      <w:pPr>
        <w:pStyle w:val="CETheadingx"/>
        <w:numPr>
          <w:ilvl w:val="0"/>
          <w:numId w:val="0"/>
        </w:numPr>
        <w:rPr>
          <w:lang w:val="en-GB"/>
        </w:rPr>
      </w:pPr>
    </w:p>
    <w:p w14:paraId="3DF35D54" w14:textId="4D4F0445" w:rsidR="007F1589" w:rsidRPr="003C76F0" w:rsidRDefault="00CE02A2" w:rsidP="00426284">
      <w:pPr>
        <w:pStyle w:val="CETheadingx"/>
        <w:rPr>
          <w:lang w:val="en-GB"/>
        </w:rPr>
      </w:pPr>
      <w:r w:rsidRPr="00CE02A2">
        <w:t xml:space="preserve">Online </w:t>
      </w:r>
      <w:r>
        <w:t xml:space="preserve">and offline </w:t>
      </w:r>
      <w:r w:rsidR="007F1589">
        <w:t xml:space="preserve">Data </w:t>
      </w:r>
      <w:r>
        <w:t xml:space="preserve">Integration </w:t>
      </w:r>
      <w:r w:rsidR="007F1589">
        <w:t xml:space="preserve">and </w:t>
      </w:r>
      <w:r w:rsidR="00CD051D">
        <w:t>Treatment</w:t>
      </w:r>
    </w:p>
    <w:p w14:paraId="25A530CE" w14:textId="73C6003F" w:rsidR="00C16F2D" w:rsidRPr="00F23865" w:rsidRDefault="00741D42" w:rsidP="000F33BE">
      <w:pPr>
        <w:pStyle w:val="CETBodytext"/>
      </w:pPr>
      <w:r>
        <w:t xml:space="preserve">The online and offline measurements are not in a </w:t>
      </w:r>
      <w:r w:rsidR="008556D4">
        <w:t>one-to-one</w:t>
      </w:r>
      <w:r>
        <w:t xml:space="preserve"> correspondence, </w:t>
      </w:r>
      <w:r w:rsidR="008556D4">
        <w:t>e</w:t>
      </w:r>
      <w:r>
        <w:t>.</w:t>
      </w:r>
      <w:r w:rsidR="008556D4">
        <w:t>g</w:t>
      </w:r>
      <w:r>
        <w:t xml:space="preserve">., </w:t>
      </w:r>
      <w:r w:rsidR="008556D4">
        <w:t xml:space="preserve">the </w:t>
      </w:r>
      <w:r w:rsidR="004123AF">
        <w:t xml:space="preserve">quantity of </w:t>
      </w:r>
      <w:r w:rsidR="008556D4">
        <w:t>pH measurements</w:t>
      </w:r>
      <w:r w:rsidR="004123AF">
        <w:t xml:space="preserve"> </w:t>
      </w:r>
      <w:r w:rsidR="008556D4">
        <w:t xml:space="preserve">per process time differs from the protein and biomass measurements performed offline, </w:t>
      </w:r>
      <w:r w:rsidR="00DD1087">
        <w:t xml:space="preserve">which is </w:t>
      </w:r>
      <w:r w:rsidR="004819DF" w:rsidRPr="00DD1087">
        <w:t>referred</w:t>
      </w:r>
      <w:r w:rsidR="00DD1087" w:rsidRPr="00DD1087">
        <w:t xml:space="preserve"> </w:t>
      </w:r>
      <w:r w:rsidR="000E3EBA">
        <w:t xml:space="preserve">to as </w:t>
      </w:r>
      <w:r w:rsidR="008556D4" w:rsidRPr="00DD1087">
        <w:t>asymmetric data</w:t>
      </w:r>
      <w:r w:rsidR="000F6991" w:rsidRPr="00DD1087">
        <w:t xml:space="preserve">. </w:t>
      </w:r>
      <w:r>
        <w:t>T</w:t>
      </w:r>
      <w:r w:rsidR="000F33BE" w:rsidRPr="000F33BE">
        <w:t xml:space="preserve">o build the </w:t>
      </w:r>
      <w:r w:rsidR="00D63C07">
        <w:t>protein</w:t>
      </w:r>
      <w:r w:rsidR="000F33BE" w:rsidRPr="000F33BE">
        <w:t xml:space="preserve"> </w:t>
      </w:r>
      <w:r w:rsidR="004819DF">
        <w:t>soft sensor</w:t>
      </w:r>
      <w:r w:rsidR="000F33BE" w:rsidRPr="000F33BE">
        <w:t xml:space="preserve">, </w:t>
      </w:r>
      <w:r w:rsidR="000F33BE" w:rsidRPr="00F23865">
        <w:t>the experimental protein</w:t>
      </w:r>
      <w:r w:rsidR="00C16F2D" w:rsidRPr="00F23865">
        <w:t xml:space="preserve"> and biomass</w:t>
      </w:r>
      <w:r w:rsidR="000F33BE" w:rsidRPr="00F23865">
        <w:t xml:space="preserve"> data were augmented by a </w:t>
      </w:r>
      <w:r w:rsidR="008556D4" w:rsidRPr="00F23865">
        <w:t xml:space="preserve">DHM </w:t>
      </w:r>
      <w:r w:rsidR="000F33BE" w:rsidRPr="00F23865">
        <w:t xml:space="preserve">for </w:t>
      </w:r>
      <w:r w:rsidR="00A57C88" w:rsidRPr="00F23865">
        <w:t>protein</w:t>
      </w:r>
      <w:r w:rsidR="000F33BE" w:rsidRPr="00F23865">
        <w:t xml:space="preserve"> production proposed by </w:t>
      </w:r>
      <w:r w:rsidR="00232C37" w:rsidRPr="00F23865">
        <w:fldChar w:fldCharType="begin"/>
      </w:r>
      <w:r w:rsidR="005B7F17" w:rsidRPr="00F23865">
        <w:instrText xml:space="preserve"> ADDIN ZOTERO_ITEM CSL_CITATION {"citationID":"0laPQ5TX","properties":{"formattedCitation":"(Corrales et al., 2024)","plainCitation":"(Corrales et al., 2024)","dontUpdate":true,"noteIndex":0},"citationItems":[{"id":1300,"uris":["http://zotero.org/users/9482894/items/HZVN2D7W"],"itemData":{"id":1300,"type":"chapter","container-title":"Computer Aided Chemical Engineering","ISBN":"978-0-443-28824-1","language":"en","license":"https://www.elsevier.com/tdm/userlicense/1.0/","note":"DOI: 10.1016/B978-0-443-28824-1.50025-9","page":"145-150","publisher":"Elsevier","source":"DOI.org (Crossref)","title":"Dynamic Hybrid Model for Nanobody-based Antivenom Production (scorpion antivenon) with E. coli CH10-12 and E. coli NbF12-10","URL":"https://linkinghub.elsevier.com/retrieve/pii/B9780443288241500259","volume":"53","author":[{"family":"Corrales","given":"David Camilo"},{"family":"Villela","given":"Susana María Alonso"},{"family":"Bouhaouala-Zahar","given":"Balkiss"},{"family":"Cescut","given":"Julien"},{"family":"Daboussi","given":"Fayza"},{"family":"O’donohue","given":"Michael"},{"family":"Fillaudeau","given":"Luc"},{"family":"Aceves-Lara","given":"César Arturo"}],"accessed":{"date-parts":[["2024",9,9]]},"issued":{"date-parts":[["2024"]]}}}],"schema":"https://github.com/citation-style-language/schema/raw/master/csl-citation.json"} </w:instrText>
      </w:r>
      <w:r w:rsidR="00232C37" w:rsidRPr="00F23865">
        <w:fldChar w:fldCharType="separate"/>
      </w:r>
      <w:r w:rsidR="00232C37" w:rsidRPr="00F23865">
        <w:rPr>
          <w:rFonts w:cs="Arial"/>
        </w:rPr>
        <w:t xml:space="preserve">Corrales et al. </w:t>
      </w:r>
      <w:r w:rsidR="00C53B04" w:rsidRPr="00F23865">
        <w:rPr>
          <w:rFonts w:cs="Arial"/>
        </w:rPr>
        <w:t>(</w:t>
      </w:r>
      <w:r w:rsidR="00232C37" w:rsidRPr="00F23865">
        <w:rPr>
          <w:rFonts w:cs="Arial"/>
        </w:rPr>
        <w:t>2024</w:t>
      </w:r>
      <w:r w:rsidR="00232C37" w:rsidRPr="00F23865">
        <w:fldChar w:fldCharType="end"/>
      </w:r>
      <w:r w:rsidR="00C53B04" w:rsidRPr="00F23865">
        <w:t>)</w:t>
      </w:r>
      <w:r w:rsidR="008556D4" w:rsidRPr="00F23865">
        <w:t xml:space="preserve"> and symmetrically aligned with the online measurements.</w:t>
      </w:r>
      <w:r w:rsidR="00717FC4" w:rsidRPr="00F23865">
        <w:t xml:space="preserve"> </w:t>
      </w:r>
      <w:r w:rsidR="008556D4" w:rsidRPr="00F23865">
        <w:t xml:space="preserve">The DHM accounts for </w:t>
      </w:r>
      <w:r w:rsidR="004819DF" w:rsidRPr="00F23865">
        <w:t xml:space="preserve">biomass growth, glucose </w:t>
      </w:r>
      <w:r w:rsidR="00A24CCB" w:rsidRPr="00F23865">
        <w:t>concentration</w:t>
      </w:r>
      <w:r w:rsidR="004819DF" w:rsidRPr="00F23865">
        <w:t xml:space="preserve">, protein </w:t>
      </w:r>
      <w:r w:rsidR="00A24CCB" w:rsidRPr="00F23865">
        <w:t>concentration</w:t>
      </w:r>
      <w:r w:rsidR="004819DF" w:rsidRPr="00F23865">
        <w:t xml:space="preserve">, and changes in </w:t>
      </w:r>
      <w:r w:rsidR="008556D4" w:rsidRPr="00F23865">
        <w:t>volume</w:t>
      </w:r>
      <w:r w:rsidR="004123AF" w:rsidRPr="00F23865">
        <w:t>,</w:t>
      </w:r>
      <w:r w:rsidR="008556D4" w:rsidRPr="00F23865">
        <w:t xml:space="preserve"> considering different induction temperatures </w:t>
      </w:r>
      <w:r w:rsidR="00232C37" w:rsidRPr="00F23865">
        <w:fldChar w:fldCharType="begin"/>
      </w:r>
      <w:r w:rsidR="005B7F17" w:rsidRPr="00F23865">
        <w:instrText xml:space="preserve"> ADDIN ZOTERO_ITEM CSL_CITATION {"citationID":"hWS4CkIa","properties":{"formattedCitation":"(Corrales et al., 2024)","plainCitation":"(Corrales et al., 2024)","noteIndex":0},"citationItems":[{"id":1300,"uris":["http://zotero.org/users/9482894/items/HZVN2D7W"],"itemData":{"id":1300,"type":"chapter","container-title":"Computer Aided Chemical Engineering","ISBN":"978-0-443-28824-1","language":"en","license":"https://www.elsevier.com/tdm/userlicense/1.0/","note":"DOI: 10.1016/B978-0-443-28824-1.50025-9","page":"145-150","publisher":"Elsevier","source":"DOI.org (Crossref)","title":"Dynamic Hybrid Model for Nanobody-based Antivenom Production (scorpion antivenon) with E. coli CH10-12 and E. coli NbF12-10","URL":"https://linkinghub.elsevier.com/retrieve/pii/B9780443288241500259","volume":"53","author":[{"family":"Corrales","given":"David Camilo"},{"family":"Villela","given":"Susana María Alonso"},{"family":"Bouhaouala-Zahar","given":"Balkiss"},{"family":"Cescut","given":"Julien"},{"family":"Daboussi","given":"Fayza"},{"family":"O’donohue","given":"Michael"},{"family":"Fillaudeau","given":"Luc"},{"family":"Aceves-Lara","given":"César Arturo"}],"accessed":{"date-parts":[["2024",9,9]]},"issued":{"date-parts":[["2024"]]}}}],"schema":"https://github.com/citation-style-language/schema/raw/master/csl-citation.json"} </w:instrText>
      </w:r>
      <w:r w:rsidR="00232C37" w:rsidRPr="00F23865">
        <w:fldChar w:fldCharType="separate"/>
      </w:r>
      <w:r w:rsidR="00232C37" w:rsidRPr="00F23865">
        <w:rPr>
          <w:rFonts w:cs="Arial"/>
        </w:rPr>
        <w:t>(Corrales et al., 2024)</w:t>
      </w:r>
      <w:r w:rsidR="00232C37" w:rsidRPr="00F23865">
        <w:fldChar w:fldCharType="end"/>
      </w:r>
      <w:r w:rsidR="00232C37" w:rsidRPr="00F23865">
        <w:t>.</w:t>
      </w:r>
      <w:r w:rsidR="00A721A8" w:rsidRPr="00F23865">
        <w:t xml:space="preserve"> </w:t>
      </w:r>
      <w:r w:rsidR="00CD6ECB" w:rsidRPr="00F23865">
        <w:t xml:space="preserve">In this study, 2001 </w:t>
      </w:r>
      <w:r w:rsidR="00D63C07" w:rsidRPr="00F23865">
        <w:t>data points (</w:t>
      </w:r>
      <w:r w:rsidR="00CD6ECB" w:rsidRPr="00F23865">
        <w:t>instances</w:t>
      </w:r>
      <w:r w:rsidR="00D63C07" w:rsidRPr="00F23865">
        <w:t xml:space="preserve">) per </w:t>
      </w:r>
      <w:r w:rsidR="00CD6ECB" w:rsidRPr="00F23865">
        <w:t xml:space="preserve">experiment were simulated. </w:t>
      </w:r>
      <w:r w:rsidR="00D63C07" w:rsidRPr="00F23865">
        <w:t>E</w:t>
      </w:r>
      <w:r w:rsidR="00CD6ECB" w:rsidRPr="00F23865">
        <w:t>ach</w:t>
      </w:r>
      <w:r w:rsidR="00D63C07" w:rsidRPr="00F23865">
        <w:t xml:space="preserve"> instance for</w:t>
      </w:r>
      <w:r w:rsidR="00CD6ECB" w:rsidRPr="00F23865">
        <w:t xml:space="preserve"> protein</w:t>
      </w:r>
      <w:r w:rsidR="00C16F2D" w:rsidRPr="00F23865">
        <w:t xml:space="preserve"> and biomass</w:t>
      </w:r>
      <w:r w:rsidR="00CD6ECB" w:rsidRPr="00F23865">
        <w:t xml:space="preserve"> concentration</w:t>
      </w:r>
      <w:r w:rsidR="00D63C07" w:rsidRPr="00F23865">
        <w:t xml:space="preserve"> w</w:t>
      </w:r>
      <w:r w:rsidR="00CD6ECB" w:rsidRPr="00F23865">
        <w:t xml:space="preserve">as </w:t>
      </w:r>
      <w:r w:rsidR="00A721A8" w:rsidRPr="00F23865">
        <w:t xml:space="preserve">symmetrically </w:t>
      </w:r>
      <w:r w:rsidR="00CD6ECB" w:rsidRPr="00F23865">
        <w:t xml:space="preserve">aligned with </w:t>
      </w:r>
      <w:r w:rsidR="00D63C07" w:rsidRPr="00F23865">
        <w:t>corresponding</w:t>
      </w:r>
      <w:r w:rsidR="00CD6ECB" w:rsidRPr="00F23865">
        <w:t xml:space="preserve"> values </w:t>
      </w:r>
      <w:r w:rsidR="00D63C07" w:rsidRPr="00F23865">
        <w:t>from the</w:t>
      </w:r>
      <w:r w:rsidR="00CD6ECB" w:rsidRPr="00F23865">
        <w:t xml:space="preserve"> offline </w:t>
      </w:r>
      <w:r w:rsidR="00D63C07" w:rsidRPr="00F23865">
        <w:t>dataset</w:t>
      </w:r>
      <w:r w:rsidR="00A721A8" w:rsidRPr="00F23865">
        <w:t xml:space="preserve"> (</w:t>
      </w:r>
      <m:oMath>
        <m:r>
          <m:rPr>
            <m:sty m:val="p"/>
          </m:rPr>
          <w:rPr>
            <w:rFonts w:ascii="Cambria Math" w:hAnsi="Cambria Math"/>
          </w:rPr>
          <m:t>14007</m:t>
        </m:r>
        <m:func>
          <m:funcPr>
            <m:ctrlPr>
              <w:rPr>
                <w:rFonts w:ascii="Cambria Math" w:hAnsi="Cambria Math"/>
                <w:iCs/>
              </w:rPr>
            </m:ctrlPr>
          </m:funcPr>
          <m:fName>
            <m:r>
              <m:rPr>
                <m:sty m:val="p"/>
              </m:rPr>
              <w:rPr>
                <w:rFonts w:ascii="Cambria Math" w:hAnsi="Cambria Math"/>
              </w:rPr>
              <m:t>instances</m:t>
            </m:r>
          </m:fName>
          <m:e>
            <m:r>
              <m:rPr>
                <m:sty m:val="p"/>
              </m:rPr>
              <w:rPr>
                <w:rFonts w:ascii="Cambria Math" w:hAnsi="Cambria Math"/>
              </w:rPr>
              <m:t>×</m:t>
            </m:r>
          </m:e>
        </m:func>
        <m:r>
          <m:rPr>
            <m:sty m:val="p"/>
          </m:rPr>
          <w:rPr>
            <w:rFonts w:ascii="Cambria Math" w:hAnsi="Cambria Math"/>
          </w:rPr>
          <m:t>15 features</m:t>
        </m:r>
      </m:oMath>
      <w:r w:rsidR="00A721A8" w:rsidRPr="00F23865">
        <w:t>)</w:t>
      </w:r>
      <w:r w:rsidR="00CD6ECB" w:rsidRPr="00F23865">
        <w:t>, using the process time as a reference.</w:t>
      </w:r>
      <w:r w:rsidR="00D63C07" w:rsidRPr="00F23865">
        <w:t xml:space="preserve"> </w:t>
      </w:r>
      <w:r w:rsidR="00CD6ECB" w:rsidRPr="00F23865">
        <w:t xml:space="preserve">If the time associated with the protein concentration did not </w:t>
      </w:r>
      <w:r w:rsidR="00D63C07" w:rsidRPr="00F23865">
        <w:t>exactly match</w:t>
      </w:r>
      <w:r w:rsidR="00CD6ECB" w:rsidRPr="00F23865">
        <w:t xml:space="preserve"> </w:t>
      </w:r>
      <w:r w:rsidR="00490C94" w:rsidRPr="00F23865">
        <w:t>the offline variable's time</w:t>
      </w:r>
      <w:r w:rsidR="00CD6ECB" w:rsidRPr="00F23865">
        <w:t xml:space="preserve">, the </w:t>
      </w:r>
      <w:r w:rsidR="00D63C07" w:rsidRPr="00F23865">
        <w:t>nearest</w:t>
      </w:r>
      <w:r w:rsidR="00CD6ECB" w:rsidRPr="00F23865">
        <w:t xml:space="preserve"> preceding time was selecte</w:t>
      </w:r>
      <w:r w:rsidR="00DF5D97" w:rsidRPr="00F23865">
        <w:t>d. S</w:t>
      </w:r>
      <w:r w:rsidR="00A721A8" w:rsidRPr="00F23865">
        <w:t xml:space="preserve">ubsequently, the datasets were filtered using </w:t>
      </w:r>
      <w:r w:rsidR="004954F0" w:rsidRPr="00F23865">
        <w:t xml:space="preserve">a moving average </w:t>
      </w:r>
      <w:r w:rsidR="00A721A8" w:rsidRPr="00F23865">
        <w:t xml:space="preserve">filter to </w:t>
      </w:r>
      <w:r w:rsidR="005B7F17" w:rsidRPr="00F23865">
        <w:t xml:space="preserve">reduce the </w:t>
      </w:r>
      <w:r w:rsidR="00A721A8" w:rsidRPr="00F23865">
        <w:t>nois</w:t>
      </w:r>
      <w:r w:rsidR="008D56EA" w:rsidRPr="00F23865">
        <w:t>e t</w:t>
      </w:r>
      <w:r w:rsidR="00A721A8" w:rsidRPr="00F23865">
        <w:t>hat could influence the training of the ML algorithms.</w:t>
      </w:r>
    </w:p>
    <w:p w14:paraId="02B47F6D" w14:textId="77777777" w:rsidR="00426284" w:rsidRPr="00F23865" w:rsidRDefault="00426284" w:rsidP="00CE4ADE">
      <w:pPr>
        <w:pStyle w:val="CETCaption"/>
        <w:spacing w:before="0" w:after="0"/>
        <w:jc w:val="center"/>
        <w:rPr>
          <w:lang w:val="en-US"/>
        </w:rPr>
      </w:pPr>
    </w:p>
    <w:p w14:paraId="41FC23A2" w14:textId="0F77A6EB" w:rsidR="00A82A4F" w:rsidRPr="00F23865" w:rsidRDefault="00A82A4F" w:rsidP="00426284">
      <w:pPr>
        <w:pStyle w:val="CETheadingx"/>
      </w:pPr>
      <w:r w:rsidRPr="00F23865">
        <w:t xml:space="preserve">Training and </w:t>
      </w:r>
      <w:r w:rsidR="00DD1087" w:rsidRPr="00F23865">
        <w:t>T</w:t>
      </w:r>
      <w:r w:rsidRPr="00F23865">
        <w:t xml:space="preserve">est of </w:t>
      </w:r>
      <w:r w:rsidR="00DD1087" w:rsidRPr="00F23865">
        <w:t>Protein and B</w:t>
      </w:r>
      <w:r w:rsidRPr="00F23865">
        <w:t>iomass</w:t>
      </w:r>
      <w:r w:rsidR="00DD1087" w:rsidRPr="00F23865">
        <w:t xml:space="preserve"> S</w:t>
      </w:r>
      <w:r w:rsidRPr="00F23865">
        <w:t>oft</w:t>
      </w:r>
      <w:r w:rsidR="00DD1087" w:rsidRPr="00F23865">
        <w:t xml:space="preserve"> S</w:t>
      </w:r>
      <w:r w:rsidRPr="00F23865">
        <w:t>ensors</w:t>
      </w:r>
    </w:p>
    <w:p w14:paraId="349EFE3E" w14:textId="5F4687CF" w:rsidR="00A82A4F" w:rsidRPr="00F23865" w:rsidRDefault="00A82A4F" w:rsidP="00A82A4F">
      <w:pPr>
        <w:pStyle w:val="CETBodytext"/>
      </w:pPr>
      <w:r w:rsidRPr="00F23865">
        <w:t xml:space="preserve">The construction of protein and biomass soft sensors </w:t>
      </w:r>
      <w:r w:rsidR="00490C94" w:rsidRPr="00F23865">
        <w:t>was</w:t>
      </w:r>
      <w:r w:rsidRPr="00F23865">
        <w:t xml:space="preserve"> </w:t>
      </w:r>
      <w:r w:rsidR="006233ED" w:rsidRPr="00F23865">
        <w:t>divided</w:t>
      </w:r>
      <w:r w:rsidRPr="00F23865">
        <w:t xml:space="preserve"> </w:t>
      </w:r>
      <w:r w:rsidR="00490C94" w:rsidRPr="00F23865">
        <w:t>into</w:t>
      </w:r>
      <w:r w:rsidRPr="00F23865">
        <w:t xml:space="preserve"> the following steps, </w:t>
      </w:r>
    </w:p>
    <w:p w14:paraId="15233240" w14:textId="45DB0C55" w:rsidR="009D1327" w:rsidRPr="00F23865" w:rsidRDefault="00A82A4F" w:rsidP="00A82A4F">
      <w:pPr>
        <w:pStyle w:val="CETBodytext"/>
        <w:numPr>
          <w:ilvl w:val="0"/>
          <w:numId w:val="28"/>
        </w:numPr>
      </w:pPr>
      <w:r w:rsidRPr="00F23865">
        <w:t>A split 80/20 was performed</w:t>
      </w:r>
      <w:r w:rsidR="009D1327" w:rsidRPr="00F23865">
        <w:t xml:space="preserve"> over both datasets: 80% was used to train the learners and 20% to test</w:t>
      </w:r>
    </w:p>
    <w:p w14:paraId="434B7D21" w14:textId="3A0F61ED" w:rsidR="00ED5CB5" w:rsidRPr="00F23865" w:rsidRDefault="00ED5CB5" w:rsidP="00ED5CB5">
      <w:pPr>
        <w:pStyle w:val="CETBodytext"/>
        <w:numPr>
          <w:ilvl w:val="0"/>
          <w:numId w:val="28"/>
        </w:numPr>
      </w:pPr>
      <w:r w:rsidRPr="00F23865">
        <w:t>The protein and biomass</w:t>
      </w:r>
      <w:r w:rsidRPr="00F23865">
        <w:rPr>
          <w:rFonts w:ascii="CharisSIL-Italic" w:hAnsi="CharisSIL-Italic"/>
          <w:i/>
          <w:iCs/>
        </w:rPr>
        <w:t xml:space="preserve"> </w:t>
      </w:r>
      <w:r w:rsidRPr="00F23865">
        <w:t>datasets were standardized using a Z-score</w:t>
      </w:r>
    </w:p>
    <w:p w14:paraId="18DC2B8C" w14:textId="22940D28" w:rsidR="00A82A4F" w:rsidRDefault="009D1327" w:rsidP="00A82A4F">
      <w:pPr>
        <w:pStyle w:val="CETBodytext"/>
        <w:numPr>
          <w:ilvl w:val="0"/>
          <w:numId w:val="28"/>
        </w:numPr>
      </w:pPr>
      <w:r w:rsidRPr="00F23865">
        <w:t>A</w:t>
      </w:r>
      <w:r w:rsidR="00DD1087" w:rsidRPr="00F23865">
        <w:t xml:space="preserve"> </w:t>
      </w:r>
      <w:r w:rsidR="002B235E" w:rsidRPr="00F23865">
        <w:t>(</w:t>
      </w:r>
      <w:r w:rsidR="00DD1087" w:rsidRPr="00F23865">
        <w:t>Pearson</w:t>
      </w:r>
      <w:r w:rsidR="002B235E" w:rsidRPr="00F23865">
        <w:t xml:space="preserve">) </w:t>
      </w:r>
      <w:r w:rsidR="00A82A4F" w:rsidRPr="00F23865">
        <w:t>correlation</w:t>
      </w:r>
      <w:r w:rsidR="002B235E" w:rsidRPr="00F23865">
        <w:t xml:space="preserve"> </w:t>
      </w:r>
      <w:r w:rsidR="00A82A4F" w:rsidRPr="00F23865">
        <w:t>analysis</w:t>
      </w:r>
      <w:r w:rsidRPr="00F23865">
        <w:t xml:space="preserve"> </w:t>
      </w:r>
      <w:r w:rsidR="00A82A4F" w:rsidRPr="00F23865">
        <w:t xml:space="preserve">was conducted to determine linear </w:t>
      </w:r>
      <w:r w:rsidR="00A82A4F">
        <w:t>relationships between the studied features</w:t>
      </w:r>
      <w:r>
        <w:t xml:space="preserve"> in the training set</w:t>
      </w:r>
    </w:p>
    <w:p w14:paraId="685055C1" w14:textId="657C7E3A" w:rsidR="009D1327" w:rsidRDefault="009D1327" w:rsidP="009D1327">
      <w:pPr>
        <w:pStyle w:val="CETBodytext"/>
        <w:numPr>
          <w:ilvl w:val="0"/>
          <w:numId w:val="28"/>
        </w:numPr>
      </w:pPr>
      <w:r>
        <w:lastRenderedPageBreak/>
        <w:t xml:space="preserve">Training: </w:t>
      </w:r>
      <w:r w:rsidR="00DD1087">
        <w:t xml:space="preserve">Four </w:t>
      </w:r>
      <w:r w:rsidRPr="000F33BE">
        <w:t>ML algorithms</w:t>
      </w:r>
      <w:r w:rsidR="000E3EBA">
        <w:t xml:space="preserve"> were trained to quantify the protein and biomass concentration: CART DT, RF, KNN, and RBF SVM. </w:t>
      </w:r>
      <w:r>
        <w:t>A</w:t>
      </w:r>
      <w:r w:rsidRPr="000F33BE">
        <w:t xml:space="preserve"> 5-fold </w:t>
      </w:r>
      <w:r w:rsidR="00490C94">
        <w:t>cross-validation</w:t>
      </w:r>
      <w:r w:rsidRPr="000F33BE">
        <w:t xml:space="preserve"> with </w:t>
      </w:r>
      <w:r w:rsidR="00490C94">
        <w:t>three</w:t>
      </w:r>
      <w:r w:rsidRPr="000F33BE">
        <w:t xml:space="preserve"> repetitions was proposed to </w:t>
      </w:r>
      <w:r w:rsidRPr="00DD1087">
        <w:t>validate the learning process of the ML models. Protein</w:t>
      </w:r>
      <w:r w:rsidR="00B31602">
        <w:t xml:space="preserve">/biomass dataset size </w:t>
      </w:r>
      <m:oMath>
        <m:r>
          <w:rPr>
            <w:rFonts w:ascii="Cambria Math" w:hAnsi="Cambria Math"/>
          </w:rPr>
          <m:t xml:space="preserve">→ </m:t>
        </m:r>
      </m:oMath>
      <w:r w:rsidR="00682877">
        <w:rPr>
          <w:rFonts w:eastAsiaTheme="minorEastAsia"/>
        </w:rPr>
        <w:t>(11205</w:t>
      </w:r>
      <m:oMath>
        <m:r>
          <w:rPr>
            <w:rFonts w:ascii="Cambria Math" w:eastAsiaTheme="minorEastAsia" w:hAnsi="Cambria Math" w:cs="Arial"/>
          </w:rPr>
          <m:t>×</m:t>
        </m:r>
      </m:oMath>
      <w:r w:rsidR="00682877" w:rsidRPr="00682877">
        <w:rPr>
          <w:rFonts w:eastAsiaTheme="minorEastAsia"/>
        </w:rPr>
        <w:t>11</w:t>
      </w:r>
      <w:r w:rsidR="00682877" w:rsidRPr="00C64D3F">
        <w:t>)</w:t>
      </w:r>
    </w:p>
    <w:p w14:paraId="73AF026E" w14:textId="1EC939C0" w:rsidR="00F56381" w:rsidRDefault="009D1327" w:rsidP="00F56381">
      <w:pPr>
        <w:pStyle w:val="CETBodytext"/>
        <w:numPr>
          <w:ilvl w:val="0"/>
          <w:numId w:val="28"/>
        </w:numPr>
      </w:pPr>
      <w:r>
        <w:t>Test:</w:t>
      </w:r>
      <w:r w:rsidR="00DD1087">
        <w:t xml:space="preserve"> </w:t>
      </w:r>
      <w:r w:rsidR="00EA5BAA">
        <w:t>It was perfor</w:t>
      </w:r>
      <w:r w:rsidR="00EA5BAA" w:rsidRPr="00EA5BAA">
        <w:t xml:space="preserve">med a test to evaluate </w:t>
      </w:r>
      <w:r w:rsidR="00DD1087" w:rsidRPr="00EA5BAA">
        <w:t xml:space="preserve">the soft sensors </w:t>
      </w:r>
      <w:r w:rsidR="00EA5BAA" w:rsidRPr="00EA5BAA">
        <w:t xml:space="preserve">performance. </w:t>
      </w:r>
      <w:r w:rsidR="00B31602" w:rsidRPr="00DD1087">
        <w:t>Protein</w:t>
      </w:r>
      <w:r w:rsidR="00B31602">
        <w:t xml:space="preserve">/biomass dataset size  </w:t>
      </w:r>
      <m:oMath>
        <m:r>
          <w:rPr>
            <w:rFonts w:ascii="Cambria Math" w:hAnsi="Cambria Math"/>
          </w:rPr>
          <m:t>→</m:t>
        </m:r>
      </m:oMath>
      <w:r w:rsidR="00B31602">
        <w:t xml:space="preserve"> </w:t>
      </w:r>
      <w:r w:rsidR="00682877">
        <w:rPr>
          <w:rFonts w:eastAsiaTheme="minorEastAsia"/>
        </w:rPr>
        <w:t>(2802</w:t>
      </w:r>
      <m:oMath>
        <m:r>
          <w:rPr>
            <w:rFonts w:ascii="Cambria Math" w:eastAsiaTheme="minorEastAsia" w:hAnsi="Cambria Math" w:cs="Arial"/>
          </w:rPr>
          <m:t>×</m:t>
        </m:r>
      </m:oMath>
      <w:r w:rsidR="00682877" w:rsidRPr="00682877">
        <w:rPr>
          <w:rFonts w:eastAsiaTheme="minorEastAsia"/>
        </w:rPr>
        <w:t>11</w:t>
      </w:r>
      <w:r w:rsidR="00682877" w:rsidRPr="00C64D3F">
        <w:t>)</w:t>
      </w:r>
    </w:p>
    <w:p w14:paraId="0D5E8415" w14:textId="4F55A652" w:rsidR="00F56381" w:rsidRDefault="00A82A4F" w:rsidP="00F56381">
      <w:pPr>
        <w:pStyle w:val="CETBodytext"/>
      </w:pPr>
      <w:r w:rsidRPr="00CA0546">
        <w:t>The performance of</w:t>
      </w:r>
      <w:r>
        <w:t xml:space="preserve"> protein and biomass</w:t>
      </w:r>
      <w:r w:rsidRPr="00CA0546">
        <w:t xml:space="preserve"> soft sensors</w:t>
      </w:r>
      <w:r>
        <w:t xml:space="preserve"> </w:t>
      </w:r>
      <w:r w:rsidRPr="00CA0546">
        <w:t xml:space="preserve">were analyzed using the </w:t>
      </w:r>
      <w:bookmarkStart w:id="2" w:name="_Hlk166487673"/>
      <w:r w:rsidRPr="00CA0546">
        <w:t xml:space="preserve">Mean Absolute Error </w:t>
      </w:r>
      <m:oMath>
        <m:d>
          <m:dPr>
            <m:ctrlPr>
              <w:rPr>
                <w:rFonts w:ascii="Cambria Math" w:hAnsi="Cambria Math"/>
                <w:i/>
              </w:rPr>
            </m:ctrlPr>
          </m:dPr>
          <m:e>
            <m:r>
              <w:rPr>
                <w:rFonts w:ascii="Cambria Math" w:hAnsi="Cambria Math"/>
              </w:rPr>
              <m:t>MAE</m:t>
            </m:r>
          </m:e>
        </m:d>
      </m:oMath>
      <w:r w:rsidRPr="00CA0546">
        <w:t xml:space="preserve">, </w:t>
      </w:r>
      <w:hyperlink r:id="rId11">
        <w:r w:rsidRPr="00CA0546">
          <w:t>Mean Squared Error</w:t>
        </w:r>
      </w:hyperlink>
      <w:r w:rsidRPr="00CA0546">
        <w:t xml:space="preserve"> </w:t>
      </w:r>
      <m:oMath>
        <m:d>
          <m:dPr>
            <m:ctrlPr>
              <w:rPr>
                <w:rFonts w:ascii="Cambria Math" w:hAnsi="Cambria Math"/>
                <w:i/>
              </w:rPr>
            </m:ctrlPr>
          </m:dPr>
          <m:e>
            <m:r>
              <w:rPr>
                <w:rFonts w:ascii="Cambria Math" w:hAnsi="Cambria Math"/>
              </w:rPr>
              <m:t>MSE</m:t>
            </m:r>
          </m:e>
        </m:d>
      </m:oMath>
      <w:r w:rsidRPr="00CA0546">
        <w:t xml:space="preserve">, </w:t>
      </w:r>
      <w:hyperlink r:id="rId12">
        <w:r w:rsidRPr="00CA0546">
          <w:t>Root Mean Squared Error</w:t>
        </w:r>
      </w:hyperlink>
      <w:r w:rsidRPr="00CA0546">
        <w:t xml:space="preserve"> </w:t>
      </w:r>
      <m:oMath>
        <m:d>
          <m:dPr>
            <m:ctrlPr>
              <w:rPr>
                <w:rFonts w:ascii="Cambria Math" w:hAnsi="Cambria Math"/>
                <w:i/>
              </w:rPr>
            </m:ctrlPr>
          </m:dPr>
          <m:e>
            <m:r>
              <w:rPr>
                <w:rFonts w:ascii="Cambria Math" w:hAnsi="Cambria Math"/>
              </w:rPr>
              <m:t>RMSE</m:t>
            </m:r>
          </m:e>
        </m:d>
      </m:oMath>
      <w:r w:rsidRPr="00CA0546">
        <w:t xml:space="preserve">, and Coefficient of Determination </w:t>
      </w:r>
      <m:oMath>
        <m:d>
          <m:dPr>
            <m:ctrlPr>
              <w:rPr>
                <w:rFonts w:ascii="Cambria Math" w:hAnsi="Cambria Math"/>
              </w:rPr>
            </m:ctrlPr>
          </m:dPr>
          <m:e>
            <m:sSup>
              <m:sSupPr>
                <m:ctrlPr>
                  <w:rPr>
                    <w:rFonts w:ascii="Cambria Math" w:hAnsi="Cambria Math"/>
                  </w:rPr>
                </m:ctrlPr>
              </m:sSupPr>
              <m:e>
                <m:r>
                  <w:rPr>
                    <w:rFonts w:ascii="Cambria Math" w:eastAsia="Cambria Math" w:hAnsi="Cambria Math"/>
                  </w:rPr>
                  <m:t>R</m:t>
                </m:r>
              </m:e>
              <m:sup>
                <m:r>
                  <w:rPr>
                    <w:rFonts w:ascii="Cambria Math" w:eastAsia="Cambria Math" w:hAnsi="Cambria Math"/>
                  </w:rPr>
                  <m:t>2</m:t>
                </m:r>
              </m:sup>
            </m:sSup>
          </m:e>
        </m:d>
      </m:oMath>
      <w:r w:rsidR="00F56381">
        <w:t>.</w:t>
      </w:r>
    </w:p>
    <w:p w14:paraId="23DA6784" w14:textId="77777777" w:rsidR="00426284" w:rsidRDefault="00426284" w:rsidP="00F56381">
      <w:pPr>
        <w:pStyle w:val="CETBodytext"/>
      </w:pPr>
    </w:p>
    <w:bookmarkEnd w:id="2"/>
    <w:p w14:paraId="5127BE5C" w14:textId="695E8A28" w:rsidR="007F1589" w:rsidRDefault="007F1589" w:rsidP="00426284">
      <w:pPr>
        <w:pStyle w:val="CETheadingx"/>
      </w:pPr>
      <w:r>
        <w:t xml:space="preserve">Feature </w:t>
      </w:r>
      <w:r w:rsidR="00EA5BAA">
        <w:t>I</w:t>
      </w:r>
      <w:r>
        <w:t>mportance</w:t>
      </w:r>
      <w:r w:rsidR="00487F05">
        <w:t xml:space="preserve"> (SHAP </w:t>
      </w:r>
      <w:r w:rsidR="00EA5BAA">
        <w:t>V</w:t>
      </w:r>
      <w:r w:rsidR="00487F05">
        <w:t>alues)</w:t>
      </w:r>
    </w:p>
    <w:p w14:paraId="0202BFC3" w14:textId="1DAD83BE" w:rsidR="00B02369" w:rsidRPr="00F23865" w:rsidRDefault="00141DE8" w:rsidP="000F33BE">
      <w:pPr>
        <w:pStyle w:val="CETBodytext"/>
      </w:pPr>
      <w:r>
        <w:t xml:space="preserve">Shapley Additive </w:t>
      </w:r>
      <w:proofErr w:type="spellStart"/>
      <w:r>
        <w:t>exPlanations</w:t>
      </w:r>
      <w:proofErr w:type="spellEnd"/>
      <w:r>
        <w:t xml:space="preserve"> (SHAP) </w:t>
      </w:r>
      <w:r w:rsidRPr="003218A3">
        <w:t xml:space="preserve">is a </w:t>
      </w:r>
      <w:r>
        <w:t>technique</w:t>
      </w:r>
      <w:r w:rsidRPr="003218A3">
        <w:t xml:space="preserve"> based on cooperative game theory</w:t>
      </w:r>
      <w:r>
        <w:t xml:space="preserve"> used as</w:t>
      </w:r>
      <w:r w:rsidR="00487F05" w:rsidRPr="00141DE8">
        <w:t xml:space="preserve"> a </w:t>
      </w:r>
      <w:r w:rsidR="00487F05" w:rsidRPr="00EA5BAA">
        <w:rPr>
          <w:i/>
          <w:iCs/>
        </w:rPr>
        <w:t>post hoc</w:t>
      </w:r>
      <w:r w:rsidR="00487F05" w:rsidRPr="00141DE8">
        <w:t xml:space="preserve"> (</w:t>
      </w:r>
      <w:proofErr w:type="spellStart"/>
      <w:r w:rsidR="00487F05" w:rsidRPr="00141DE8">
        <w:t>explainability</w:t>
      </w:r>
      <w:proofErr w:type="spellEnd"/>
      <w:r w:rsidR="00487F05" w:rsidRPr="00141DE8">
        <w:t xml:space="preserve">) </w:t>
      </w:r>
      <w:r>
        <w:t>method</w:t>
      </w:r>
      <w:r w:rsidR="003218A3" w:rsidRPr="00141DE8">
        <w:t xml:space="preserve"> to</w:t>
      </w:r>
      <w:r w:rsidR="00487F05" w:rsidRPr="00141DE8">
        <w:t xml:space="preserve"> </w:t>
      </w:r>
      <w:r w:rsidR="004819DF">
        <w:t>explain</w:t>
      </w:r>
      <w:r w:rsidR="00487F05" w:rsidRPr="00141DE8">
        <w:t xml:space="preserve"> how </w:t>
      </w:r>
      <w:r w:rsidR="004819DF">
        <w:t>an ML model makes individual predictions.</w:t>
      </w:r>
      <w:r w:rsidR="00EA5BAA">
        <w:t xml:space="preserve"> </w:t>
      </w:r>
      <w:r w:rsidR="00EA5BAA" w:rsidRPr="00242AFC">
        <w:rPr>
          <w:rFonts w:eastAsiaTheme="minorEastAsia"/>
        </w:rPr>
        <w:t xml:space="preserve">SHAP is a model-agnostic technique that can be applied to any </w:t>
      </w:r>
      <w:r w:rsidR="00EA5BAA">
        <w:rPr>
          <w:rFonts w:eastAsiaTheme="minorEastAsia"/>
        </w:rPr>
        <w:t>ML</w:t>
      </w:r>
      <w:r w:rsidR="00EA5BAA" w:rsidRPr="00242AFC">
        <w:rPr>
          <w:rFonts w:eastAsiaTheme="minorEastAsia"/>
        </w:rPr>
        <w:t xml:space="preserve"> algorithm </w:t>
      </w:r>
      <w:r w:rsidR="00EA5BAA" w:rsidRPr="00242AFC">
        <w:rPr>
          <w:rFonts w:eastAsiaTheme="minorEastAsia"/>
        </w:rPr>
        <w:fldChar w:fldCharType="begin"/>
      </w:r>
      <w:r w:rsidR="00EA5BAA" w:rsidRPr="00242AFC">
        <w:rPr>
          <w:rFonts w:eastAsiaTheme="minorEastAsia"/>
        </w:rPr>
        <w:instrText xml:space="preserve"> ADDIN ZOTERO_ITEM CSL_CITATION {"citationID":"zm23h48I","properties":{"formattedCitation":"(Molnar, 2022)","plainCitation":"(Molnar, 2022)","noteIndex":0},"citationItems":[{"id":1341,"uris":["http://zotero.org/users/9482894/items/N2KG2MJ4"],"itemData":{"id":1341,"type":"book","edition":"Second edition","event-place":"Munich, Germany","ISBN":"9798411463330","language":"eng","number-of-pages":"1","publisher":"Christoph Molnar","publisher-place":"Munich, Germany","source":"K10plus ISBN","title":"Interpretable machine learning: a guide for making black box models explainable","title-short":"Interpretable machine learning","author":[{"family":"Molnar","given":"Christoph"}],"issued":{"date-parts":[["2022"]]}}}],"schema":"https://github.com/citation-style-language/schema/raw/master/csl-citation.json"} </w:instrText>
      </w:r>
      <w:r w:rsidR="00EA5BAA" w:rsidRPr="00242AFC">
        <w:rPr>
          <w:rFonts w:eastAsiaTheme="minorEastAsia"/>
        </w:rPr>
        <w:fldChar w:fldCharType="separate"/>
      </w:r>
      <w:r w:rsidR="00EA5BAA" w:rsidRPr="00242AFC">
        <w:rPr>
          <w:rFonts w:eastAsiaTheme="minorEastAsia"/>
        </w:rPr>
        <w:t>(Molnar, 2022)</w:t>
      </w:r>
      <w:r w:rsidR="00EA5BAA" w:rsidRPr="00242AFC">
        <w:rPr>
          <w:rFonts w:eastAsiaTheme="minorEastAsia"/>
        </w:rPr>
        <w:fldChar w:fldCharType="end"/>
      </w:r>
      <w:r w:rsidR="00EA5BAA" w:rsidRPr="00242AFC">
        <w:rPr>
          <w:rFonts w:eastAsiaTheme="minorEastAsia"/>
        </w:rPr>
        <w:t>.</w:t>
      </w:r>
      <w:r w:rsidR="00EA5BAA">
        <w:rPr>
          <w:rFonts w:eastAsiaTheme="minorEastAsia"/>
        </w:rPr>
        <w:t xml:space="preserve"> </w:t>
      </w:r>
      <w:r w:rsidRPr="004F36D9">
        <w:t xml:space="preserve">This </w:t>
      </w:r>
      <w:r w:rsidR="004819DF">
        <w:t xml:space="preserve">increases </w:t>
      </w:r>
      <w:r w:rsidRPr="004F36D9">
        <w:t>the interpretability of ML models</w:t>
      </w:r>
      <w:r w:rsidR="004F36D9" w:rsidRPr="004F36D9">
        <w:t xml:space="preserve"> by decomposing the prediction </w:t>
      </w:r>
      <w:r w:rsidRPr="00141DE8">
        <w:t>into a sum of contributions from each of the model's input variables (features)</w:t>
      </w:r>
      <w:r w:rsidR="00786BFB">
        <w:t>.</w:t>
      </w:r>
      <w:r w:rsidR="00A82A4F">
        <w:t xml:space="preserve"> </w:t>
      </w:r>
      <w:r w:rsidR="004F36D9">
        <w:t xml:space="preserve">The SHAP values </w:t>
      </w:r>
      <w:r w:rsidR="00490C94">
        <w:t>provide</w:t>
      </w:r>
      <w:r w:rsidR="00C44DE5">
        <w:t xml:space="preserve"> local and global interpretation. This work is </w:t>
      </w:r>
      <w:r w:rsidR="00EA5BAA">
        <w:t xml:space="preserve">oriented </w:t>
      </w:r>
      <w:r w:rsidR="00C44DE5">
        <w:t>on the global interpretation by focusing on</w:t>
      </w:r>
      <w:r w:rsidR="00786BFB">
        <w:t xml:space="preserve"> the impact and importance of the features in the model predictions </w:t>
      </w:r>
      <w:r w:rsidR="00786BFB">
        <w:fldChar w:fldCharType="begin"/>
      </w:r>
      <w:r w:rsidR="00786BFB">
        <w:instrText xml:space="preserve"> ADDIN ZOTERO_ITEM CSL_CITATION {"citationID":"LbySFWU2","properties":{"formattedCitation":"(Molnar, 2022)","plainCitation":"(Molnar, 2022)","noteIndex":0},"citationItems":[{"id":1341,"uris":["http://zotero.org/users/9482894/items/N2KG2MJ4"],"itemData":{"id":1341,"type":"book","edition":"Second edition","event-place":"Munich, Germany","ISBN":"9798411463330","language":"eng","number-of-pages":"1","publisher":"Christoph Molnar","publisher-place":"Munich, Germany","source":"K10plus ISBN","title":"Interpretable machine learning: a guide for making black box models explainable","title-short":"Interpretable machine learning","author":[{"family":"Molnar","given":"Christoph"}],"issued":{"date-parts":[["2022"]]}}}],"schema":"https://github.com/citation-style-language/schema/raw/master/csl-citation.json"} </w:instrText>
      </w:r>
      <w:r w:rsidR="00786BFB">
        <w:fldChar w:fldCharType="separate"/>
      </w:r>
      <w:r w:rsidR="00786BFB" w:rsidRPr="004F36D9">
        <w:t>(Molnar, 2022)</w:t>
      </w:r>
      <w:r w:rsidR="00786BFB">
        <w:fldChar w:fldCharType="end"/>
      </w:r>
      <w:r w:rsidR="00786BFB">
        <w:t>.</w:t>
      </w:r>
      <w:r w:rsidR="00A82A4F">
        <w:t xml:space="preserve"> </w:t>
      </w:r>
      <w:r w:rsidRPr="00487F05">
        <w:t>The SHAP values explain the model’s performance (predictions) and must be interpreted in the context of the data used to train the learners.</w:t>
      </w:r>
      <w:r w:rsidR="00FF5580">
        <w:t xml:space="preserve"> </w:t>
      </w:r>
      <w:r w:rsidR="001B258B">
        <w:t xml:space="preserve">SHAP </w:t>
      </w:r>
      <w:r w:rsidR="00A82A4F">
        <w:t>values</w:t>
      </w:r>
      <w:r w:rsidR="001B258B">
        <w:t xml:space="preserve"> </w:t>
      </w:r>
      <w:r w:rsidR="00490C94">
        <w:t>were</w:t>
      </w:r>
      <w:r w:rsidR="001B258B">
        <w:t xml:space="preserve"> employed to </w:t>
      </w:r>
      <w:r w:rsidR="00A82A4F">
        <w:t>study</w:t>
      </w:r>
      <w:r w:rsidR="001B258B">
        <w:t xml:space="preserve"> the most influential onlin</w:t>
      </w:r>
      <w:r w:rsidR="001B258B" w:rsidRPr="00C64D3F">
        <w:t xml:space="preserve">e variables in </w:t>
      </w:r>
      <w:r w:rsidR="00490C94" w:rsidRPr="00C64D3F">
        <w:t xml:space="preserve">training </w:t>
      </w:r>
      <w:r w:rsidR="001B258B" w:rsidRPr="00C64D3F">
        <w:t xml:space="preserve">the </w:t>
      </w:r>
      <w:r w:rsidR="003C76F0" w:rsidRPr="00C64D3F">
        <w:t xml:space="preserve">protein and biomass </w:t>
      </w:r>
      <w:r w:rsidR="001B258B" w:rsidRPr="00C64D3F">
        <w:t>soft sensors</w:t>
      </w:r>
      <w:r w:rsidR="003C76F0" w:rsidRPr="00C64D3F">
        <w:t xml:space="preserve"> using </w:t>
      </w:r>
      <w:r w:rsidR="00A50A41">
        <w:t xml:space="preserve">CART </w:t>
      </w:r>
      <w:r w:rsidR="003C76F0" w:rsidRPr="00C64D3F">
        <w:t>DT, RF, KNN, and RBF SVM as learners</w:t>
      </w:r>
      <w:r w:rsidR="001B258B" w:rsidRPr="00C64D3F">
        <w:t>.</w:t>
      </w:r>
      <w:r w:rsidR="003C76F0" w:rsidRPr="00C64D3F">
        <w:t xml:space="preserve"> </w:t>
      </w:r>
      <w:r w:rsidR="001B258B" w:rsidRPr="00C64D3F">
        <w:t xml:space="preserve">To reduce computational costs, instances were </w:t>
      </w:r>
      <w:r w:rsidR="001B258B" w:rsidRPr="00F23865">
        <w:t>grouped into clusters using a weighted k-means</w:t>
      </w:r>
      <w:r w:rsidR="00EA5BAA" w:rsidRPr="00F23865">
        <w:t xml:space="preserve"> (k=10)</w:t>
      </w:r>
      <w:r w:rsidR="001B258B" w:rsidRPr="00F23865">
        <w:t xml:space="preserve"> approach to compute the SHAP values for the protein </w:t>
      </w:r>
      <w:r w:rsidR="0015414F" w:rsidRPr="00F23865">
        <w:t xml:space="preserve">and biomass </w:t>
      </w:r>
      <w:r w:rsidR="001B258B" w:rsidRPr="00F23865">
        <w:t>soft sensors. Instead of calculating SHAP values for each instance, the instances were clustered, and SHAP values were computed for the centroids of these clusters, with each centroid weighted by the number of data points it represented.</w:t>
      </w:r>
    </w:p>
    <w:p w14:paraId="512CF810" w14:textId="77777777" w:rsidR="00426284" w:rsidRPr="00F23865" w:rsidRDefault="00426284" w:rsidP="000F33BE">
      <w:pPr>
        <w:pStyle w:val="CETBodytext"/>
      </w:pPr>
    </w:p>
    <w:p w14:paraId="72D21564" w14:textId="265482E1" w:rsidR="00CE02A2" w:rsidRPr="00F23865" w:rsidRDefault="00CE02A2" w:rsidP="00426284">
      <w:pPr>
        <w:pStyle w:val="CETheadingx"/>
      </w:pPr>
      <w:r w:rsidRPr="00F23865">
        <w:t xml:space="preserve">Soft </w:t>
      </w:r>
      <w:r w:rsidR="00DC3F24" w:rsidRPr="00F23865">
        <w:t>S</w:t>
      </w:r>
      <w:r w:rsidRPr="00F23865">
        <w:t xml:space="preserve">ensors </w:t>
      </w:r>
      <w:r w:rsidR="00DC3F24" w:rsidRPr="00F23865">
        <w:t>S</w:t>
      </w:r>
      <w:r w:rsidRPr="00F23865">
        <w:t>cale</w:t>
      </w:r>
      <w:r w:rsidR="00DC3F24" w:rsidRPr="00F23865">
        <w:t>-</w:t>
      </w:r>
      <w:r w:rsidR="00EA5BAA" w:rsidRPr="00F23865">
        <w:t>D</w:t>
      </w:r>
      <w:r w:rsidRPr="00F23865">
        <w:t>own</w:t>
      </w:r>
      <w:r w:rsidR="00EA5BAA" w:rsidRPr="00F23865">
        <w:t xml:space="preserve"> </w:t>
      </w:r>
      <w:r w:rsidR="00DC3F24" w:rsidRPr="00F23865">
        <w:t>T</w:t>
      </w:r>
      <w:r w:rsidRPr="00F23865">
        <w:t>est</w:t>
      </w:r>
    </w:p>
    <w:p w14:paraId="7B276342" w14:textId="0D162722" w:rsidR="000F33BE" w:rsidRPr="00F23865" w:rsidRDefault="00005BF6" w:rsidP="000F33BE">
      <w:pPr>
        <w:pStyle w:val="CETBodytext"/>
      </w:pPr>
      <w:r w:rsidRPr="00F23865">
        <w:rPr>
          <w:rFonts w:eastAsiaTheme="minorEastAsia"/>
        </w:rPr>
        <w:t>T</w:t>
      </w:r>
      <w:r w:rsidR="000F33BE" w:rsidRPr="00F23865">
        <w:rPr>
          <w:rFonts w:eastAsiaTheme="minorEastAsia"/>
        </w:rPr>
        <w:t xml:space="preserve">he </w:t>
      </w:r>
      <w:r w:rsidR="00227B16" w:rsidRPr="00F23865">
        <w:rPr>
          <w:rFonts w:eastAsiaTheme="minorEastAsia"/>
        </w:rPr>
        <w:t xml:space="preserve">biomass </w:t>
      </w:r>
      <w:r w:rsidR="000F33BE" w:rsidRPr="00F23865">
        <w:rPr>
          <w:rFonts w:eastAsiaTheme="minorEastAsia"/>
        </w:rPr>
        <w:t>soft</w:t>
      </w:r>
      <w:r w:rsidRPr="00F23865">
        <w:rPr>
          <w:rFonts w:eastAsiaTheme="minorEastAsia"/>
        </w:rPr>
        <w:t xml:space="preserve"> </w:t>
      </w:r>
      <w:r w:rsidR="000F33BE" w:rsidRPr="00F23865">
        <w:rPr>
          <w:rFonts w:eastAsiaTheme="minorEastAsia"/>
        </w:rPr>
        <w:t xml:space="preserve">sensors were applied in a scale-down strategy; the </w:t>
      </w:r>
      <w:r w:rsidRPr="00F23865">
        <w:rPr>
          <w:rFonts w:eastAsiaTheme="minorEastAsia"/>
        </w:rPr>
        <w:t>biomass</w:t>
      </w:r>
      <w:r w:rsidR="000F33BE" w:rsidRPr="00F23865">
        <w:rPr>
          <w:rFonts w:eastAsiaTheme="minorEastAsia"/>
        </w:rPr>
        <w:t xml:space="preserve"> concentrations were estimated </w:t>
      </w:r>
      <w:r w:rsidR="00A24CCB" w:rsidRPr="00F23865">
        <w:rPr>
          <w:rFonts w:eastAsiaTheme="minorEastAsia"/>
        </w:rPr>
        <w:t>using</w:t>
      </w:r>
      <w:r w:rsidR="000F33BE" w:rsidRPr="00F23865">
        <w:rPr>
          <w:rFonts w:eastAsiaTheme="minorEastAsia"/>
        </w:rPr>
        <w:t xml:space="preserve"> a r</w:t>
      </w:r>
      <w:r w:rsidR="000F33BE" w:rsidRPr="00F23865">
        <w:t>obotic bioprocessing platform</w:t>
      </w:r>
      <w:r w:rsidR="000F33BE" w:rsidRPr="00F23865">
        <w:rPr>
          <w:rFonts w:eastAsiaTheme="minorEastAsia"/>
        </w:rPr>
        <w:t xml:space="preserve"> t</w:t>
      </w:r>
      <w:r w:rsidR="000F33BE" w:rsidRPr="00F23865">
        <w:t>hat integrates 24 bioreactors</w:t>
      </w:r>
      <w:r w:rsidR="00ED5CB5" w:rsidRPr="00F23865">
        <w:t xml:space="preserve"> </w:t>
      </w:r>
      <w:r w:rsidR="000F33BE" w:rsidRPr="00F23865">
        <w:rPr>
          <w:rFonts w:eastAsiaTheme="minorEastAsia"/>
        </w:rPr>
        <w:t xml:space="preserve">with a working volume of </w:t>
      </w:r>
      <m:oMath>
        <m:r>
          <w:rPr>
            <w:rFonts w:ascii="Cambria Math" w:eastAsiaTheme="minorEastAsia" w:hAnsi="Cambria Math"/>
          </w:rPr>
          <m:t>50mL</m:t>
        </m:r>
      </m:oMath>
      <w:r w:rsidR="000F33BE" w:rsidRPr="00F23865">
        <w:rPr>
          <w:rFonts w:eastAsiaTheme="minorEastAsia"/>
        </w:rPr>
        <w:t xml:space="preserve"> operating </w:t>
      </w:r>
      <w:r w:rsidR="009207CF" w:rsidRPr="00F23865">
        <w:t xml:space="preserve">at </w:t>
      </w:r>
      <m:oMath>
        <m:r>
          <w:rPr>
            <w:rFonts w:ascii="Cambria Math" w:hAnsi="Cambria Math"/>
          </w:rPr>
          <m:t>37°C</m:t>
        </m:r>
      </m:oMath>
      <w:r w:rsidR="009207CF" w:rsidRPr="00F23865">
        <w:t xml:space="preserve"> </w:t>
      </w:r>
      <w:r w:rsidR="000F33BE" w:rsidRPr="00F23865">
        <w:rPr>
          <w:rFonts w:eastAsiaTheme="minorEastAsia"/>
        </w:rPr>
        <w:t xml:space="preserve">with </w:t>
      </w:r>
      <w:r w:rsidR="000F33BE" w:rsidRPr="00F23865">
        <w:rPr>
          <w:i/>
        </w:rPr>
        <w:t>E. coli</w:t>
      </w:r>
      <w:r w:rsidR="000F33BE" w:rsidRPr="00F23865">
        <w:t xml:space="preserve"> CH10-12 for the batch, fed-batch (</w:t>
      </w:r>
      <m:oMath>
        <m:r>
          <w:rPr>
            <w:rFonts w:ascii="Cambria Math" w:hAnsi="Cambria Math"/>
          </w:rPr>
          <m:t>600</m:t>
        </m:r>
        <m:sSub>
          <m:sSubPr>
            <m:ctrlPr>
              <w:rPr>
                <w:rFonts w:ascii="Cambria Math" w:hAnsi="Cambria Math"/>
                <w:i/>
              </w:rPr>
            </m:ctrlPr>
          </m:sSubPr>
          <m:e>
            <m:r>
              <w:rPr>
                <w:rFonts w:ascii="Cambria Math" w:hAnsi="Cambria Math"/>
              </w:rPr>
              <m:t>g</m:t>
            </m:r>
          </m:e>
          <m:sub>
            <m:r>
              <w:rPr>
                <w:rFonts w:ascii="Cambria Math" w:hAnsi="Cambria Math"/>
              </w:rPr>
              <m:t>glucose</m:t>
            </m:r>
          </m:sub>
        </m:sSub>
        <m:r>
          <w:rPr>
            <w:rFonts w:ascii="Cambria Math" w:hAnsi="Cambria Math"/>
          </w:rPr>
          <m:t>/L</m:t>
        </m:r>
        <m:r>
          <w:rPr>
            <w:rFonts w:ascii="Cambria Math" w:hAnsi="Cambria Math"/>
            <w:lang w:val="en-GB"/>
          </w:rPr>
          <m:t>)</m:t>
        </m:r>
      </m:oMath>
      <w:r w:rsidR="000F33BE" w:rsidRPr="00F23865">
        <w:t xml:space="preserve"> and the induction</w:t>
      </w:r>
      <w:r w:rsidR="00DC3F24" w:rsidRPr="00F23865">
        <w:t xml:space="preserve"> </w:t>
      </w:r>
      <w:r w:rsidR="000F33BE" w:rsidRPr="00F23865">
        <w:t>phases.</w:t>
      </w:r>
      <w:r w:rsidR="00ED5CB5" w:rsidRPr="00F23865">
        <w:t xml:space="preserve"> Two of these bioreactors were used to evaluated the soft sensors: </w:t>
      </w:r>
      <w:r w:rsidR="0075689F" w:rsidRPr="00F23865">
        <w:t xml:space="preserve">independent test set 1 </w:t>
      </w:r>
      <w:r w:rsidR="00ED5CB5" w:rsidRPr="00F23865">
        <w:t xml:space="preserve">and </w:t>
      </w:r>
      <w:r w:rsidR="0075689F" w:rsidRPr="00F23865">
        <w:t xml:space="preserve">independent test set </w:t>
      </w:r>
      <w:r w:rsidR="00ED5CB5" w:rsidRPr="00F23865">
        <w:t>2</w:t>
      </w:r>
      <w:r w:rsidR="0075689F" w:rsidRPr="00F23865">
        <w:t>.</w:t>
      </w:r>
    </w:p>
    <w:p w14:paraId="14D68890" w14:textId="779CC8DB" w:rsidR="000F33BE" w:rsidRDefault="000F33BE" w:rsidP="00426284">
      <w:pPr>
        <w:pStyle w:val="CETHeading1"/>
        <w:spacing w:after="0"/>
      </w:pPr>
      <w:r w:rsidRPr="000F33BE">
        <w:t xml:space="preserve">Results and </w:t>
      </w:r>
      <w:r w:rsidR="007F1589">
        <w:t>D</w:t>
      </w:r>
      <w:r w:rsidRPr="000F33BE">
        <w:t>iscussion</w:t>
      </w:r>
    </w:p>
    <w:p w14:paraId="13F8267A" w14:textId="104B4454" w:rsidR="00CD0ED9" w:rsidRPr="00CA0546" w:rsidRDefault="00CD0ED9" w:rsidP="00426284">
      <w:pPr>
        <w:pStyle w:val="CETheadingx"/>
      </w:pPr>
      <w:r>
        <w:t xml:space="preserve">Training and </w:t>
      </w:r>
      <w:r w:rsidR="00F73ACA">
        <w:t>Te</w:t>
      </w:r>
      <w:r>
        <w:t xml:space="preserve">st of </w:t>
      </w:r>
      <w:r w:rsidR="00F73ACA">
        <w:t>B</w:t>
      </w:r>
      <w:r w:rsidRPr="00CA0546">
        <w:t xml:space="preserve">iomass and </w:t>
      </w:r>
      <w:r w:rsidR="00F73ACA">
        <w:t>P</w:t>
      </w:r>
      <w:r w:rsidRPr="00CA0546">
        <w:t xml:space="preserve">rotein </w:t>
      </w:r>
      <w:r w:rsidR="00F73ACA">
        <w:t>S</w:t>
      </w:r>
      <w:r>
        <w:t xml:space="preserve">oft </w:t>
      </w:r>
      <w:r w:rsidR="00F73ACA">
        <w:t>S</w:t>
      </w:r>
      <w:r>
        <w:t>ensors</w:t>
      </w:r>
    </w:p>
    <w:p w14:paraId="6F0F1ACA" w14:textId="1A1A4C33" w:rsidR="003C76F0" w:rsidRDefault="00717FC4" w:rsidP="003C76F0">
      <w:pPr>
        <w:pStyle w:val="CETBodytext"/>
        <w:rPr>
          <w:rFonts w:eastAsiaTheme="minorEastAsia"/>
        </w:rPr>
      </w:pPr>
      <w:r w:rsidRPr="001349D0">
        <w:t>All simulations were run using a 13</w:t>
      </w:r>
      <w:r w:rsidRPr="001349D0">
        <w:rPr>
          <w:vertAlign w:val="superscript"/>
        </w:rPr>
        <w:t>th</w:t>
      </w:r>
      <w:r w:rsidRPr="001349D0">
        <w:t xml:space="preserve"> Gen Intel® </w:t>
      </w:r>
      <w:proofErr w:type="gramStart"/>
      <w:r w:rsidRPr="001349D0">
        <w:t>Core(</w:t>
      </w:r>
      <w:proofErr w:type="gramEnd"/>
      <w:r w:rsidRPr="001349D0">
        <w:t xml:space="preserve">TM) i7-13800H 2.50 GHz, 32 GB RAM computer. The </w:t>
      </w:r>
      <w:r w:rsidR="00EA5BAA">
        <w:t>s</w:t>
      </w:r>
      <w:r w:rsidR="00EA5BAA" w:rsidRPr="00EA5BAA">
        <w:rPr>
          <w:i/>
        </w:rPr>
        <w:t>cikit-learn: Machine Learning</w:t>
      </w:r>
      <w:r w:rsidR="00EA5BAA">
        <w:rPr>
          <w:i/>
        </w:rPr>
        <w:t xml:space="preserve"> </w:t>
      </w:r>
      <w:r w:rsidR="00EA5BAA" w:rsidRPr="00EA5BAA">
        <w:rPr>
          <w:iCs/>
        </w:rPr>
        <w:t>Python</w:t>
      </w:r>
      <w:r w:rsidR="002B7ADD">
        <w:rPr>
          <w:iCs/>
        </w:rPr>
        <w:t xml:space="preserve"> module</w:t>
      </w:r>
      <w:r w:rsidR="00490C94">
        <w:t xml:space="preserve"> was used to train and test the soft sensors using</w:t>
      </w:r>
      <w:r>
        <w:t xml:space="preserve"> </w:t>
      </w:r>
      <w:r w:rsidR="00A50A41">
        <w:t xml:space="preserve">CART </w:t>
      </w:r>
      <w:r>
        <w:t>DT, RF, KNN, and RBF SVM as learners.</w:t>
      </w:r>
      <w:r w:rsidR="00F46C84">
        <w:t xml:space="preserve"> </w:t>
      </w:r>
      <w:r w:rsidR="003C76F0" w:rsidRPr="00242AFC">
        <w:rPr>
          <w:rFonts w:eastAsiaTheme="minorEastAsia"/>
        </w:rPr>
        <w:t>The first step</w:t>
      </w:r>
      <w:r w:rsidR="00EA5BAA">
        <w:rPr>
          <w:rFonts w:eastAsiaTheme="minorEastAsia"/>
        </w:rPr>
        <w:t xml:space="preserve"> involved</w:t>
      </w:r>
      <w:r w:rsidR="003C76F0" w:rsidRPr="00242AFC">
        <w:rPr>
          <w:rFonts w:eastAsiaTheme="minorEastAsia"/>
        </w:rPr>
        <w:t xml:space="preserve"> </w:t>
      </w:r>
      <w:r w:rsidR="00EA5BAA">
        <w:rPr>
          <w:rFonts w:eastAsiaTheme="minorEastAsia"/>
        </w:rPr>
        <w:t>investigating</w:t>
      </w:r>
      <w:r w:rsidR="003C76F0" w:rsidRPr="00242AFC">
        <w:rPr>
          <w:rFonts w:eastAsiaTheme="minorEastAsia"/>
        </w:rPr>
        <w:t xml:space="preserve"> </w:t>
      </w:r>
      <w:r w:rsidR="00EA5BAA">
        <w:rPr>
          <w:rFonts w:eastAsiaTheme="minorEastAsia"/>
        </w:rPr>
        <w:t>the correlation between the</w:t>
      </w:r>
      <w:r w:rsidR="003C76F0" w:rsidRPr="00242AFC">
        <w:rPr>
          <w:rFonts w:eastAsiaTheme="minorEastAsia"/>
        </w:rPr>
        <w:t xml:space="preserve"> 15 features</w:t>
      </w:r>
      <w:r w:rsidR="00EA5BAA">
        <w:rPr>
          <w:rFonts w:eastAsiaTheme="minorEastAsia"/>
        </w:rPr>
        <w:t xml:space="preserve"> presented in Figure </w:t>
      </w:r>
      <w:r w:rsidR="00A245B5">
        <w:rPr>
          <w:rFonts w:eastAsiaTheme="minorEastAsia"/>
        </w:rPr>
        <w:t>1</w:t>
      </w:r>
      <w:r w:rsidR="00EA5BAA">
        <w:rPr>
          <w:rFonts w:eastAsiaTheme="minorEastAsia"/>
        </w:rPr>
        <w:t xml:space="preserve"> by </w:t>
      </w:r>
      <w:r w:rsidR="003E460A">
        <w:rPr>
          <w:rFonts w:eastAsiaTheme="minorEastAsia"/>
        </w:rPr>
        <w:t>calculating</w:t>
      </w:r>
      <w:r w:rsidR="00EA5BAA">
        <w:rPr>
          <w:rFonts w:eastAsiaTheme="minorEastAsia"/>
        </w:rPr>
        <w:t xml:space="preserve"> the </w:t>
      </w:r>
      <w:r w:rsidR="003C76F0" w:rsidRPr="00242AFC">
        <w:rPr>
          <w:rFonts w:eastAsiaTheme="minorEastAsia"/>
        </w:rPr>
        <w:t>Pearson correlation coefficient</w:t>
      </w:r>
      <w:r w:rsidR="00EA5BAA">
        <w:rPr>
          <w:rFonts w:eastAsiaTheme="minorEastAsia"/>
        </w:rPr>
        <w:t xml:space="preserve">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r</m:t>
                </m:r>
              </m:e>
              <m:sub>
                <m:r>
                  <m:rPr>
                    <m:sty m:val="p"/>
                  </m:rPr>
                  <w:rPr>
                    <w:rFonts w:ascii="Cambria Math" w:eastAsiaTheme="minorEastAsia" w:hAnsi="Cambria Math"/>
                  </w:rPr>
                  <m:t>Xi,Xj</m:t>
                </m:r>
              </m:sub>
            </m:sSub>
          </m:e>
        </m:d>
      </m:oMath>
      <w:r w:rsidR="002B235E">
        <w:rPr>
          <w:rFonts w:eastAsiaTheme="minorEastAsia"/>
        </w:rPr>
        <w:t xml:space="preserve"> </w:t>
      </w:r>
      <w:r w:rsidR="00EA5BAA">
        <w:rPr>
          <w:rFonts w:eastAsiaTheme="minorEastAsia"/>
        </w:rPr>
        <w:t xml:space="preserve">for each pair of </w:t>
      </w:r>
      <w:r w:rsidR="003C76F0" w:rsidRPr="00242AFC">
        <w:rPr>
          <w:rFonts w:eastAsiaTheme="minorEastAsia"/>
        </w:rPr>
        <w:t>features</w:t>
      </w:r>
      <w:r w:rsidR="00EA5BAA">
        <w:rPr>
          <w:rFonts w:eastAsiaTheme="minorEastAsia"/>
        </w:rPr>
        <w:t>.</w:t>
      </w:r>
      <w:r w:rsidR="003C76F0" w:rsidRPr="00242AFC">
        <w:rPr>
          <w:rFonts w:eastAsiaTheme="minorEastAsia"/>
        </w:rPr>
        <w:t xml:space="preserve"> </w:t>
      </w:r>
    </w:p>
    <w:p w14:paraId="7F35A542" w14:textId="42D1D2A2" w:rsidR="00F56381" w:rsidRDefault="008D39AF" w:rsidP="00426284">
      <w:pPr>
        <w:pStyle w:val="CETCaption"/>
        <w:spacing w:before="0" w:after="0"/>
        <w:jc w:val="center"/>
        <w:rPr>
          <w:lang w:val="en-US"/>
        </w:rPr>
      </w:pPr>
      <w:r>
        <w:rPr>
          <w:noProof/>
          <w:lang w:val="en-US"/>
        </w:rPr>
        <w:drawing>
          <wp:inline distT="0" distB="0" distL="0" distR="0" wp14:anchorId="0A773483" wp14:editId="22F199B7">
            <wp:extent cx="3027505" cy="2674961"/>
            <wp:effectExtent l="0" t="0" r="190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569" cy="2720079"/>
                    </a:xfrm>
                    <a:prstGeom prst="rect">
                      <a:avLst/>
                    </a:prstGeom>
                    <a:noFill/>
                  </pic:spPr>
                </pic:pic>
              </a:graphicData>
            </a:graphic>
          </wp:inline>
        </w:drawing>
      </w:r>
    </w:p>
    <w:p w14:paraId="31067816" w14:textId="6EE289B2" w:rsidR="003C76F0" w:rsidRDefault="003C76F0" w:rsidP="00BC42C6">
      <w:pPr>
        <w:pStyle w:val="CETCaption"/>
        <w:spacing w:before="0"/>
        <w:jc w:val="center"/>
        <w:rPr>
          <w:lang w:val="en-US"/>
        </w:rPr>
      </w:pPr>
      <w:r w:rsidRPr="003C76F0">
        <w:rPr>
          <w:rStyle w:val="CETCaptionCarattere"/>
          <w:i/>
          <w:lang w:val="en-US"/>
        </w:rPr>
        <w:t xml:space="preserve">Figure </w:t>
      </w:r>
      <w:r w:rsidR="00A245B5">
        <w:rPr>
          <w:rStyle w:val="CETCaptionCarattere"/>
          <w:i/>
          <w:lang w:val="en-US"/>
        </w:rPr>
        <w:t>1</w:t>
      </w:r>
      <w:r w:rsidRPr="003C76F0">
        <w:rPr>
          <w:rStyle w:val="CETCaptionCarattere"/>
          <w:i/>
          <w:lang w:val="en-US"/>
        </w:rPr>
        <w:t xml:space="preserve">: </w:t>
      </w:r>
      <w:r w:rsidRPr="003C76F0">
        <w:rPr>
          <w:lang w:val="en-US"/>
        </w:rPr>
        <w:t xml:space="preserve">Pairwise </w:t>
      </w:r>
      <w:r w:rsidRPr="003C76F0">
        <w:rPr>
          <w:rStyle w:val="CETCaptionCarattere"/>
          <w:i/>
          <w:lang w:val="en-US"/>
        </w:rPr>
        <w:t>offline variables (</w:t>
      </w:r>
      <w:r w:rsidRPr="003C76F0">
        <w:rPr>
          <w:lang w:val="en-US"/>
        </w:rPr>
        <w:t>feature) correlations.</w:t>
      </w:r>
      <w:r w:rsidR="00E57312">
        <w:rPr>
          <w:lang w:val="en-US"/>
        </w:rPr>
        <w:t xml:space="preserve"> </w:t>
      </w:r>
      <w:r w:rsidR="00E57312" w:rsidRPr="00E57312">
        <w:rPr>
          <w:iCs/>
        </w:rPr>
        <w:t>-1 perfect negative correlation; 0 no correlation; +1 perfect positive correlation</w:t>
      </w:r>
      <w:r w:rsidR="00E57312">
        <w:rPr>
          <w:iCs/>
        </w:rPr>
        <w:t>.</w:t>
      </w:r>
    </w:p>
    <w:p w14:paraId="0F79E453" w14:textId="0DD4B0B3" w:rsidR="007D2722" w:rsidRDefault="00346575" w:rsidP="003C76F0">
      <w:pPr>
        <w:pStyle w:val="CETBodytext"/>
      </w:pPr>
      <w:r w:rsidRPr="00F23865">
        <w:t xml:space="preserve">The objective of applying the Pearson correlation coefficient between pairs of variables is to </w:t>
      </w:r>
      <w:r w:rsidR="00CD051D" w:rsidRPr="00F23865">
        <w:t xml:space="preserve">reduce them </w:t>
      </w:r>
      <w:r w:rsidRPr="00F23865">
        <w:t>in the training</w:t>
      </w:r>
      <w:r w:rsidR="00CD051D" w:rsidRPr="00F23865">
        <w:t xml:space="preserve"> i</w:t>
      </w:r>
      <w:r w:rsidRPr="00F23865">
        <w:t>f they are highly correlated. In this work, a high correlation is assumed if a pairwise</w:t>
      </w:r>
      <w:r w:rsidR="009163DF" w:rsidRPr="00F23865">
        <w:rPr>
          <w:rStyle w:val="katex-mathml"/>
        </w:rPr>
        <w:t xml:space="preserve"> </w:t>
      </w:r>
      <w:r w:rsidR="009163DF" w:rsidRPr="00F23865">
        <w:rPr>
          <w:rFonts w:eastAsiaTheme="minorEastAsia"/>
        </w:rPr>
        <w:t>(</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i</m:t>
            </m:r>
          </m:sub>
        </m:sSub>
      </m:oMath>
      <w:r w:rsidR="009163DF" w:rsidRPr="00F23865">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j</m:t>
            </m:r>
          </m:sub>
        </m:sSub>
      </m:oMath>
      <w:r w:rsidR="009163DF" w:rsidRPr="00F23865">
        <w:rPr>
          <w:rFonts w:eastAsiaTheme="minorEastAsia"/>
        </w:rPr>
        <w:t xml:space="preserve">) </w:t>
      </w:r>
      <w:r w:rsidRPr="00F23865">
        <w:t xml:space="preserve">exhibits </w:t>
      </w:r>
      <m:oMath>
        <m:d>
          <m:dPr>
            <m:begChr m:val="|"/>
            <m:endChr m:val="|"/>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r</m:t>
                </m:r>
              </m:e>
              <m:sub>
                <m:r>
                  <m:rPr>
                    <m:sty m:val="p"/>
                  </m:rPr>
                  <w:rPr>
                    <w:rFonts w:ascii="Cambria Math" w:eastAsiaTheme="minorEastAsia" w:hAnsi="Cambria Math"/>
                  </w:rPr>
                  <m:t>Xi,Xj</m:t>
                </m:r>
              </m:sub>
            </m:sSub>
          </m:e>
        </m:d>
        <m:r>
          <m:rPr>
            <m:sty m:val="p"/>
          </m:rPr>
          <w:rPr>
            <w:rFonts w:ascii="Cambria Math" w:eastAsiaTheme="minorEastAsia" w:hAnsi="Cambria Math"/>
          </w:rPr>
          <m:t>≥0.8</m:t>
        </m:r>
      </m:oMath>
      <w:r w:rsidR="009163DF" w:rsidRPr="00F23865">
        <w:rPr>
          <w:rFonts w:eastAsiaTheme="minorEastAsia"/>
        </w:rPr>
        <w:t>,</w:t>
      </w:r>
      <w:r w:rsidRPr="00F23865">
        <w:t xml:space="preserve"> which would suggest that one of them should be </w:t>
      </w:r>
      <w:r w:rsidR="009163DF" w:rsidRPr="00F23865">
        <w:t>removed from th</w:t>
      </w:r>
      <w:r w:rsidR="00CD051D" w:rsidRPr="00F23865">
        <w:t>e training dataset. This selection can be justified based on the expert's experience and the importance assigned to the variable from an experimental point of view</w:t>
      </w:r>
      <w:r w:rsidR="00CD051D" w:rsidRPr="00F23865">
        <w:rPr>
          <w:rFonts w:eastAsiaTheme="minorEastAsia"/>
        </w:rPr>
        <w:t>. F</w:t>
      </w:r>
      <w:r w:rsidR="00D60B88" w:rsidRPr="00F23865">
        <w:rPr>
          <w:rFonts w:eastAsiaTheme="minorEastAsia"/>
        </w:rPr>
        <w:t xml:space="preserve">igure </w:t>
      </w:r>
      <w:r w:rsidR="00A245B5" w:rsidRPr="00F23865">
        <w:rPr>
          <w:rFonts w:eastAsiaTheme="minorEastAsia"/>
        </w:rPr>
        <w:t>1</w:t>
      </w:r>
      <w:r w:rsidR="00D60B88" w:rsidRPr="00F23865">
        <w:rPr>
          <w:rFonts w:eastAsiaTheme="minorEastAsia"/>
        </w:rPr>
        <w:t xml:space="preserve"> shows that </w:t>
      </w:r>
      <w:r w:rsidR="00C64D3F" w:rsidRPr="00F23865">
        <w:rPr>
          <w:rFonts w:eastAsiaTheme="minorEastAsia"/>
        </w:rPr>
        <w:t>t</w:t>
      </w:r>
      <w:r w:rsidR="00D60B88" w:rsidRPr="00F23865">
        <w:rPr>
          <w:rFonts w:eastAsiaTheme="minorEastAsia"/>
        </w:rPr>
        <w:t>emperature correlates with jacket temperature (0.8</w:t>
      </w:r>
      <w:r w:rsidR="001E1138" w:rsidRPr="00F23865">
        <w:rPr>
          <w:rFonts w:eastAsiaTheme="minorEastAsia"/>
        </w:rPr>
        <w:t>0</w:t>
      </w:r>
      <w:r w:rsidR="00D60B88" w:rsidRPr="00F23865">
        <w:rPr>
          <w:rFonts w:eastAsiaTheme="minorEastAsia"/>
        </w:rPr>
        <w:t>); O</w:t>
      </w:r>
      <w:r w:rsidR="00C64D3F" w:rsidRPr="00F23865">
        <w:rPr>
          <w:rFonts w:eastAsiaTheme="minorEastAsia"/>
          <w:vertAlign w:val="subscript"/>
        </w:rPr>
        <w:t xml:space="preserve">2, Gas </w:t>
      </w:r>
      <w:r w:rsidR="00D60B88" w:rsidRPr="00F23865">
        <w:rPr>
          <w:rFonts w:eastAsiaTheme="minorEastAsia"/>
          <w:vertAlign w:val="subscript"/>
        </w:rPr>
        <w:t xml:space="preserve">out </w:t>
      </w:r>
      <w:r w:rsidR="00D60B88" w:rsidRPr="00F23865">
        <w:rPr>
          <w:rFonts w:eastAsiaTheme="minorEastAsia"/>
        </w:rPr>
        <w:t>correlates with CO</w:t>
      </w:r>
      <w:r w:rsidR="00D60B88" w:rsidRPr="00F23865">
        <w:rPr>
          <w:rFonts w:eastAsiaTheme="minorEastAsia"/>
          <w:vertAlign w:val="subscript"/>
        </w:rPr>
        <w:t>2,</w:t>
      </w:r>
      <w:r w:rsidR="00C64D3F" w:rsidRPr="00F23865">
        <w:rPr>
          <w:rFonts w:eastAsiaTheme="minorEastAsia"/>
          <w:vertAlign w:val="subscript"/>
        </w:rPr>
        <w:t xml:space="preserve"> G</w:t>
      </w:r>
      <w:r w:rsidR="00D60B88" w:rsidRPr="00F23865">
        <w:rPr>
          <w:rFonts w:eastAsiaTheme="minorEastAsia"/>
          <w:vertAlign w:val="subscript"/>
        </w:rPr>
        <w:t>as</w:t>
      </w:r>
      <w:r w:rsidR="00C64D3F" w:rsidRPr="00F23865">
        <w:rPr>
          <w:rFonts w:eastAsiaTheme="minorEastAsia"/>
          <w:vertAlign w:val="subscript"/>
        </w:rPr>
        <w:t xml:space="preserve"> </w:t>
      </w:r>
      <w:r w:rsidR="00D60B88" w:rsidRPr="00F23865">
        <w:rPr>
          <w:rFonts w:eastAsiaTheme="minorEastAsia"/>
          <w:vertAlign w:val="subscript"/>
        </w:rPr>
        <w:t xml:space="preserve">out </w:t>
      </w:r>
      <w:r w:rsidR="00D60B88" w:rsidRPr="00F23865">
        <w:rPr>
          <w:rFonts w:eastAsiaTheme="minorEastAsia"/>
        </w:rPr>
        <w:t>(-0.99</w:t>
      </w:r>
      <w:r w:rsidR="00C64D3F" w:rsidRPr="00F23865">
        <w:rPr>
          <w:rFonts w:eastAsiaTheme="minorEastAsia"/>
        </w:rPr>
        <w:t>); Glucose</w:t>
      </w:r>
      <w:r w:rsidR="00D60B88" w:rsidRPr="00F23865">
        <w:rPr>
          <w:rFonts w:eastAsiaTheme="minorEastAsia"/>
        </w:rPr>
        <w:t xml:space="preserve"> added correlates with substrate weight (-0.99) and BAST (0.86); Substrate weight also presents a strong negative correlation with BAST (-0.84). Substrate weight </w:t>
      </w:r>
      <w:r w:rsidR="006233ED" w:rsidRPr="00F23865">
        <w:rPr>
          <w:rFonts w:eastAsiaTheme="minorEastAsia"/>
        </w:rPr>
        <w:t>can</w:t>
      </w:r>
      <w:r w:rsidR="00D60B88" w:rsidRPr="00F23865">
        <w:rPr>
          <w:rFonts w:eastAsiaTheme="minorEastAsia"/>
        </w:rPr>
        <w:t xml:space="preserve"> be easily measured in a bioprocess, while glucose added requires some extra calculations.</w:t>
      </w:r>
      <w:r w:rsidR="0000685E" w:rsidRPr="00F23865">
        <w:rPr>
          <w:rFonts w:eastAsiaTheme="minorEastAsia"/>
        </w:rPr>
        <w:t xml:space="preserve"> </w:t>
      </w:r>
      <w:r w:rsidR="00CD051D" w:rsidRPr="00F23865">
        <w:rPr>
          <w:rFonts w:eastAsiaTheme="minorEastAsia"/>
        </w:rPr>
        <w:t xml:space="preserve">Temperature and Jacket temperature are variables that from experimental point of view reveals similar information. </w:t>
      </w:r>
      <w:r w:rsidR="0000685E" w:rsidRPr="00F23865">
        <w:rPr>
          <w:rFonts w:eastAsiaTheme="minorEastAsia"/>
        </w:rPr>
        <w:t xml:space="preserve">A similar conclusion </w:t>
      </w:r>
      <w:r w:rsidR="00DF5D97" w:rsidRPr="00F23865">
        <w:rPr>
          <w:rFonts w:eastAsiaTheme="minorEastAsia"/>
        </w:rPr>
        <w:t>could be</w:t>
      </w:r>
      <w:r w:rsidR="0000685E" w:rsidRPr="00F23865">
        <w:rPr>
          <w:rFonts w:eastAsiaTheme="minorEastAsia"/>
        </w:rPr>
        <w:t xml:space="preserve"> obtained from</w:t>
      </w:r>
      <w:r w:rsidR="00DF5D97" w:rsidRPr="00F23865">
        <w:rPr>
          <w:rFonts w:eastAsiaTheme="minorEastAsia"/>
        </w:rPr>
        <w:t xml:space="preserve"> the </w:t>
      </w:r>
      <w:r w:rsidR="00C52A91" w:rsidRPr="00F23865">
        <w:rPr>
          <w:rFonts w:eastAsiaTheme="minorEastAsia"/>
        </w:rPr>
        <w:t>pairwise</w:t>
      </w:r>
      <w:r w:rsidR="0000685E" w:rsidRPr="00F23865">
        <w:rPr>
          <w:rFonts w:eastAsiaTheme="minorEastAsia"/>
        </w:rPr>
        <w:t xml:space="preserve"> O</w:t>
      </w:r>
      <w:r w:rsidR="0000685E" w:rsidRPr="00F23865">
        <w:rPr>
          <w:rFonts w:eastAsiaTheme="minorEastAsia"/>
          <w:vertAlign w:val="subscript"/>
        </w:rPr>
        <w:t>2, Gas out</w:t>
      </w:r>
      <w:r w:rsidR="00DF5D97" w:rsidRPr="00F23865">
        <w:rPr>
          <w:rFonts w:eastAsiaTheme="minorEastAsia"/>
        </w:rPr>
        <w:t>;</w:t>
      </w:r>
      <w:r w:rsidR="0000685E" w:rsidRPr="00F23865">
        <w:rPr>
          <w:rFonts w:eastAsiaTheme="minorEastAsia"/>
        </w:rPr>
        <w:t xml:space="preserve"> CO</w:t>
      </w:r>
      <w:r w:rsidR="0000685E" w:rsidRPr="00F23865">
        <w:rPr>
          <w:rFonts w:eastAsiaTheme="minorEastAsia"/>
          <w:vertAlign w:val="subscript"/>
        </w:rPr>
        <w:t>2, Gas out</w:t>
      </w:r>
      <w:r w:rsidR="00DF5D97" w:rsidRPr="00F23865">
        <w:rPr>
          <w:rFonts w:eastAsiaTheme="minorEastAsia"/>
        </w:rPr>
        <w:t xml:space="preserve"> and Glucose added; substrate weight</w:t>
      </w:r>
      <w:r w:rsidR="00DF5D97" w:rsidRPr="00F23865">
        <w:rPr>
          <w:rFonts w:eastAsiaTheme="minorEastAsia"/>
          <w:vertAlign w:val="subscript"/>
        </w:rPr>
        <w:t>.</w:t>
      </w:r>
      <w:r w:rsidR="00DF5D97" w:rsidRPr="00F23865">
        <w:rPr>
          <w:rFonts w:eastAsiaTheme="minorEastAsia"/>
        </w:rPr>
        <w:t xml:space="preserve"> In the experiments developed, the addition of glucose</w:t>
      </w:r>
      <w:r w:rsidR="00C52A91" w:rsidRPr="00F23865">
        <w:rPr>
          <w:rFonts w:eastAsiaTheme="minorEastAsia"/>
        </w:rPr>
        <w:t xml:space="preserve"> results in</w:t>
      </w:r>
      <w:r w:rsidR="00DF5D97" w:rsidRPr="00F23865">
        <w:rPr>
          <w:rFonts w:eastAsiaTheme="minorEastAsia"/>
        </w:rPr>
        <w:t xml:space="preserve"> the reduction of the pH in the process. The pH of the feed medium</w:t>
      </w:r>
      <w:r w:rsidR="00C52A91" w:rsidRPr="00F23865">
        <w:rPr>
          <w:rFonts w:eastAsiaTheme="minorEastAsia"/>
        </w:rPr>
        <w:t xml:space="preserve"> is</w:t>
      </w:r>
      <w:r w:rsidR="00DF5D97" w:rsidRPr="00F23865">
        <w:rPr>
          <w:rFonts w:eastAsiaTheme="minorEastAsia"/>
        </w:rPr>
        <w:t xml:space="preserve"> </w:t>
      </w:r>
      <w:r w:rsidR="00DF5D97" w:rsidRPr="00F23865">
        <w:rPr>
          <w:rFonts w:eastAsiaTheme="minorEastAsia" w:cs="Arial"/>
        </w:rPr>
        <w:t>~</w:t>
      </w:r>
      <w:r w:rsidR="00DF5D97" w:rsidRPr="00F23865">
        <w:rPr>
          <w:rFonts w:eastAsiaTheme="minorEastAsia"/>
        </w:rPr>
        <w:t xml:space="preserve">2-3 </w:t>
      </w:r>
      <w:r w:rsidR="00DF5D97" w:rsidRPr="00F23865">
        <w:fldChar w:fldCharType="begin"/>
      </w:r>
      <w:r w:rsidR="00DF5D97" w:rsidRPr="00F23865">
        <w:instrText xml:space="preserve"> ADDIN ZOTERO_ITEM CSL_CITATION {"citationID":"HYymwc7J","properties":{"formattedCitation":"(Alonso Villela et al., 2021)","plainCitation":"(Alonso Villela et al., 2021)","noteIndex":0},"citationItems":[{"id":1301,"uris":["http://zotero.org/users/9482894/items/RUQLNDWW"],"itemData":{"id":1301,"type":"article-journal","container-title":"Applied Microbiology and Biotechnology","DOI":"10.1007/s00253-021-11093-5","ISSN":"0175-7598, 1432-0614","issue":"3","journalAbbreviation":"Appl Microbiol Biotechnol","language":"en","page":"1017-1030","source":"DOI.org (Crossref)","title":"Effect of temperature on the production of a recombinant antivenom in fed-batch mode","volume":"105","author":[{"family":"Alonso Villela","given":"Susana María"},{"family":"Ghezal-Kraïem","given":"Hazar"},{"family":"Bouhaouala-Zahar","given":"Balkiss"},{"family":"Bideaux","given":"Carine"},{"family":"Aceves Lara","given":"César Arturo"},{"family":"Fillaudeau","given":"Luc"}],"issued":{"date-parts":[["2021",2]]}}}],"schema":"https://github.com/citation-style-language/schema/raw/master/csl-citation.json"} </w:instrText>
      </w:r>
      <w:r w:rsidR="00DF5D97" w:rsidRPr="00F23865">
        <w:fldChar w:fldCharType="separate"/>
      </w:r>
      <w:r w:rsidR="00DF5D97" w:rsidRPr="00F23865">
        <w:rPr>
          <w:rFonts w:cs="Arial"/>
        </w:rPr>
        <w:t>(Alonso Villela et al., 2021)</w:t>
      </w:r>
      <w:r w:rsidR="00DF5D97" w:rsidRPr="00F23865">
        <w:fldChar w:fldCharType="end"/>
      </w:r>
      <w:r w:rsidR="00DF5D97" w:rsidRPr="00F23865">
        <w:t>,</w:t>
      </w:r>
      <w:r w:rsidR="00DF5D97" w:rsidRPr="00F23865">
        <w:rPr>
          <w:rFonts w:eastAsiaTheme="minorEastAsia"/>
        </w:rPr>
        <w:t xml:space="preserve"> which means that </w:t>
      </w:r>
      <w:r w:rsidR="00C52A91" w:rsidRPr="00F23865">
        <w:rPr>
          <w:rFonts w:eastAsiaTheme="minorEastAsia"/>
        </w:rPr>
        <w:t xml:space="preserve">the </w:t>
      </w:r>
      <w:r w:rsidR="00DF5D97" w:rsidRPr="00F23865">
        <w:rPr>
          <w:rFonts w:eastAsiaTheme="minorEastAsia"/>
        </w:rPr>
        <w:t xml:space="preserve">variable BAST will increase. Based </w:t>
      </w:r>
      <w:r w:rsidR="00C52A91" w:rsidRPr="00F23865">
        <w:rPr>
          <w:rFonts w:eastAsiaTheme="minorEastAsia"/>
        </w:rPr>
        <w:t>on</w:t>
      </w:r>
      <w:r w:rsidR="00DF5D97" w:rsidRPr="00F23865">
        <w:rPr>
          <w:rFonts w:eastAsiaTheme="minorEastAsia"/>
        </w:rPr>
        <w:t xml:space="preserve"> this analysis and </w:t>
      </w:r>
      <w:r w:rsidR="009163DF" w:rsidRPr="00F23865">
        <w:rPr>
          <w:rFonts w:eastAsiaTheme="minorEastAsia"/>
        </w:rPr>
        <w:t xml:space="preserve">the </w:t>
      </w:r>
      <w:r w:rsidR="00B31602" w:rsidRPr="00F23865">
        <w:rPr>
          <w:rFonts w:eastAsiaTheme="minorEastAsia"/>
        </w:rPr>
        <w:t xml:space="preserve">Pearson </w:t>
      </w:r>
      <w:r w:rsidR="009163DF" w:rsidRPr="00F23865">
        <w:rPr>
          <w:rFonts w:eastAsiaTheme="minorEastAsia"/>
        </w:rPr>
        <w:t>correlation results</w:t>
      </w:r>
      <w:r w:rsidR="004819DF" w:rsidRPr="00F23865">
        <w:rPr>
          <w:rFonts w:eastAsiaTheme="minorEastAsia"/>
        </w:rPr>
        <w:t>,</w:t>
      </w:r>
      <w:r w:rsidR="00D60B88" w:rsidRPr="00F23865">
        <w:rPr>
          <w:rFonts w:eastAsiaTheme="minorEastAsia"/>
        </w:rPr>
        <w:t xml:space="preserve"> the </w:t>
      </w:r>
      <w:r w:rsidR="004819DF" w:rsidRPr="00F23865">
        <w:rPr>
          <w:rFonts w:eastAsiaTheme="minorEastAsia"/>
        </w:rPr>
        <w:t>following</w:t>
      </w:r>
      <w:r w:rsidR="00D60B88" w:rsidRPr="00F23865">
        <w:rPr>
          <w:rFonts w:eastAsiaTheme="minorEastAsia"/>
        </w:rPr>
        <w:t xml:space="preserve"> variables are removed: Jacket temperature, </w:t>
      </w:r>
      <w:r w:rsidR="00C64D3F" w:rsidRPr="00F23865">
        <w:rPr>
          <w:rFonts w:eastAsiaTheme="minorEastAsia"/>
        </w:rPr>
        <w:t>CO</w:t>
      </w:r>
      <w:r w:rsidR="00C64D3F" w:rsidRPr="00F23865">
        <w:rPr>
          <w:rFonts w:eastAsiaTheme="minorEastAsia"/>
          <w:vertAlign w:val="subscript"/>
        </w:rPr>
        <w:t>2, Gas out</w:t>
      </w:r>
      <w:r w:rsidR="00D60B88" w:rsidRPr="00F23865">
        <w:rPr>
          <w:rFonts w:eastAsiaTheme="minorEastAsia"/>
        </w:rPr>
        <w:t>, BAST, and Glucose added.</w:t>
      </w:r>
      <w:r w:rsidR="007D2722" w:rsidRPr="00F23865">
        <w:rPr>
          <w:rFonts w:eastAsiaTheme="minorEastAsia"/>
        </w:rPr>
        <w:t xml:space="preserve"> </w:t>
      </w:r>
      <w:r w:rsidR="003C76F0" w:rsidRPr="00F23865">
        <w:t>Table 2 displays the statistical results in training and test of different M</w:t>
      </w:r>
      <w:r w:rsidR="00F61C5C" w:rsidRPr="00F23865">
        <w:t>L</w:t>
      </w:r>
      <w:r w:rsidR="003C76F0" w:rsidRPr="00F23865">
        <w:t xml:space="preserve"> algorithms using </w:t>
      </w:r>
      <w:r w:rsidR="007A3EEE" w:rsidRPr="00F23865">
        <w:t>eleven</w:t>
      </w:r>
      <w:r w:rsidR="003C76F0" w:rsidRPr="00F23865">
        <w:t xml:space="preserve"> features.</w:t>
      </w:r>
      <w:r w:rsidR="007D2722" w:rsidRPr="00F23865">
        <w:t xml:space="preserve"> </w:t>
      </w:r>
      <w:r w:rsidR="007D2722" w:rsidRPr="00F23865">
        <w:rPr>
          <w:rFonts w:eastAsiaTheme="minorEastAsia"/>
        </w:rPr>
        <w:t xml:space="preserve">For the protein </w:t>
      </w:r>
      <w:r w:rsidR="007D2722" w:rsidRPr="00C16F2D">
        <w:rPr>
          <w:rFonts w:eastAsiaTheme="minorEastAsia"/>
        </w:rPr>
        <w:t xml:space="preserve">soft sensor, KNN and RBF SVM exhibit the best performance with </w:t>
      </w:r>
      <w:r w:rsidR="007D2722" w:rsidRPr="00C16F2D">
        <w:t xml:space="preserve">a training and test results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&gt;</m:t>
        </m:r>
        <m:r>
          <m:rPr>
            <m:sty m:val="p"/>
          </m:rPr>
          <w:rPr>
            <w:rFonts w:ascii="Cambria Math" w:hAnsi="Cambria Math"/>
          </w:rPr>
          <m:t>0.99</m:t>
        </m:r>
      </m:oMath>
      <w:r w:rsidR="007D2722" w:rsidRPr="00C16F2D">
        <w:t xml:space="preserve">, </w:t>
      </w:r>
      <m:oMath>
        <m:r>
          <w:rPr>
            <w:rFonts w:ascii="Cambria Math" w:hAnsi="Cambria Math"/>
          </w:rPr>
          <m:t>MSE&lt;3.578</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sidR="007D2722" w:rsidRPr="00C16F2D">
        <w:t xml:space="preserve">, </w:t>
      </w:r>
      <m:oMath>
        <m:r>
          <w:rPr>
            <w:rFonts w:ascii="Cambria Math" w:hAnsi="Cambria Math"/>
          </w:rPr>
          <m:t>RMSE</m:t>
        </m:r>
        <m:r>
          <m:rPr>
            <m:sty m:val="p"/>
          </m:rPr>
          <w:rPr>
            <w:rFonts w:ascii="Cambria Math" w:hAnsi="Cambria Math"/>
          </w:rPr>
          <m:t>&lt;0.060</m:t>
        </m:r>
      </m:oMath>
      <w:r w:rsidR="007D2722" w:rsidRPr="00C16F2D">
        <w:t xml:space="preserve">, and </w:t>
      </w:r>
      <m:oMath>
        <m:r>
          <w:rPr>
            <w:rFonts w:ascii="Cambria Math" w:hAnsi="Cambria Math"/>
          </w:rPr>
          <m:t>MAE&lt;</m:t>
        </m:r>
        <m:r>
          <m:rPr>
            <m:sty m:val="p"/>
          </m:rPr>
          <w:rPr>
            <w:rFonts w:ascii="Cambria Math" w:hAnsi="Cambria Math"/>
          </w:rPr>
          <m:t>0.052</m:t>
        </m:r>
      </m:oMath>
      <w:r w:rsidR="007D2722" w:rsidRPr="00C16F2D">
        <w:t xml:space="preserve">. </w:t>
      </w:r>
      <w:r w:rsidR="007D2722" w:rsidRPr="00C16F2D">
        <w:rPr>
          <w:rFonts w:eastAsiaTheme="minorEastAsia"/>
        </w:rPr>
        <w:t xml:space="preserve">In the biomass soft sensor, the training of all the learners showed good results </w:t>
      </w:r>
      <m:oMath>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&gt;</m:t>
        </m:r>
        <m:r>
          <m:rPr>
            <m:sty m:val="p"/>
          </m:rPr>
          <w:rPr>
            <w:rFonts w:ascii="Cambria Math" w:hAnsi="Cambria Math"/>
          </w:rPr>
          <m:t>0.99</m:t>
        </m:r>
      </m:oMath>
      <w:r w:rsidR="007D2722" w:rsidRPr="00C16F2D">
        <w:t xml:space="preserve">, </w:t>
      </w:r>
      <m:oMath>
        <m:r>
          <w:rPr>
            <w:rFonts w:ascii="Cambria Math" w:hAnsi="Cambria Math"/>
          </w:rPr>
          <m:t>MSE&lt;</m:t>
        </m:r>
        <m:r>
          <m:rPr>
            <m:sty m:val="p"/>
          </m:rPr>
          <w:rPr>
            <w:rFonts w:ascii="Cambria Math" w:hAnsi="Cambria Math"/>
          </w:rPr>
          <m:t>8.356</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w:r w:rsidR="007D2722" w:rsidRPr="00C16F2D">
        <w:t xml:space="preserve">, </w:t>
      </w:r>
      <m:oMath>
        <m:r>
          <w:rPr>
            <w:rFonts w:ascii="Cambria Math" w:hAnsi="Cambria Math"/>
          </w:rPr>
          <m:t>RMSE</m:t>
        </m:r>
        <m:r>
          <m:rPr>
            <m:sty m:val="p"/>
          </m:rPr>
          <w:rPr>
            <w:rFonts w:ascii="Cambria Math" w:hAnsi="Cambria Math"/>
          </w:rPr>
          <m:t>&lt;0.091</m:t>
        </m:r>
      </m:oMath>
      <w:r w:rsidR="007D2722" w:rsidRPr="00C16F2D">
        <w:t xml:space="preserve">, and </w:t>
      </w:r>
      <m:oMath>
        <m:r>
          <w:rPr>
            <w:rFonts w:ascii="Cambria Math" w:hAnsi="Cambria Math"/>
          </w:rPr>
          <m:t>MAE&lt;</m:t>
        </m:r>
        <m:r>
          <m:rPr>
            <m:sty m:val="p"/>
          </m:rPr>
          <w:rPr>
            <w:rFonts w:ascii="Cambria Math" w:hAnsi="Cambria Math"/>
          </w:rPr>
          <m:t>0.062</m:t>
        </m:r>
      </m:oMath>
      <w:r w:rsidR="007D2722" w:rsidRPr="00C16F2D">
        <w:t>.</w:t>
      </w:r>
    </w:p>
    <w:p w14:paraId="0C313700" w14:textId="54BA466F" w:rsidR="003C76F0" w:rsidRPr="009F2109" w:rsidRDefault="003C76F0" w:rsidP="002B235E">
      <w:pPr>
        <w:pStyle w:val="CETTabletitle"/>
        <w:spacing w:before="0" w:after="0"/>
        <w:jc w:val="center"/>
      </w:pPr>
      <w:r w:rsidRPr="0040297F">
        <w:rPr>
          <w:lang w:val="en-US"/>
        </w:rPr>
        <w:t xml:space="preserve">Table </w:t>
      </w:r>
      <w:r>
        <w:rPr>
          <w:lang w:val="en-US"/>
        </w:rPr>
        <w:t>2</w:t>
      </w:r>
      <w:r w:rsidRPr="0040297F">
        <w:rPr>
          <w:lang w:val="en-US"/>
        </w:rPr>
        <w:t xml:space="preserve">: </w:t>
      </w:r>
      <w:r>
        <w:rPr>
          <w:lang w:val="en-US"/>
        </w:rPr>
        <w:t>Statistical analysis</w:t>
      </w:r>
      <w:r>
        <w:t xml:space="preserve"> </w:t>
      </w:r>
      <w:r w:rsidRPr="009F2109">
        <w:t xml:space="preserve">in the training and test of different </w:t>
      </w:r>
      <w:r w:rsidR="00EA5BAA">
        <w:t>ML</w:t>
      </w:r>
      <w:r w:rsidRPr="009F2109">
        <w:t xml:space="preserve"> algorithms</w:t>
      </w:r>
      <w:r w:rsidR="00A24CCB">
        <w:t xml:space="preserve"> using 11 variables.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067"/>
        <w:gridCol w:w="1201"/>
        <w:gridCol w:w="1843"/>
        <w:gridCol w:w="1276"/>
        <w:gridCol w:w="1621"/>
      </w:tblGrid>
      <w:tr w:rsidR="003C76F0" w:rsidRPr="00717FC4" w14:paraId="0DE64C1D" w14:textId="77777777" w:rsidTr="00FF5580">
        <w:trPr>
          <w:trHeight w:val="35"/>
          <w:jc w:val="center"/>
        </w:trPr>
        <w:tc>
          <w:tcPr>
            <w:tcW w:w="1134" w:type="dxa"/>
            <w:tcBorders>
              <w:top w:val="single" w:sz="12" w:space="0" w:color="008000"/>
              <w:bottom w:val="single" w:sz="4" w:space="0" w:color="2B8D3E"/>
            </w:tcBorders>
            <w:shd w:val="clear" w:color="auto" w:fill="FFFFFF"/>
            <w:vAlign w:val="center"/>
          </w:tcPr>
          <w:p w14:paraId="5717BB10" w14:textId="77777777" w:rsidR="003C76F0" w:rsidRPr="007D2722" w:rsidRDefault="003C76F0" w:rsidP="00F14F40">
            <w:pPr>
              <w:pStyle w:val="CETBodytext"/>
              <w:jc w:val="center"/>
              <w:rPr>
                <w:b/>
                <w:bCs/>
                <w:sz w:val="16"/>
                <w:szCs w:val="16"/>
              </w:rPr>
            </w:pPr>
            <w:r w:rsidRPr="007D2722">
              <w:rPr>
                <w:b/>
                <w:bCs/>
                <w:sz w:val="16"/>
                <w:szCs w:val="16"/>
              </w:rPr>
              <w:t>Soft sensor</w:t>
            </w:r>
          </w:p>
        </w:tc>
        <w:tc>
          <w:tcPr>
            <w:tcW w:w="1067" w:type="dxa"/>
            <w:tcBorders>
              <w:top w:val="single" w:sz="12" w:space="0" w:color="008000"/>
              <w:bottom w:val="single" w:sz="4" w:space="0" w:color="2B8D3E"/>
            </w:tcBorders>
            <w:shd w:val="clear" w:color="auto" w:fill="FFFFFF"/>
            <w:vAlign w:val="center"/>
          </w:tcPr>
          <w:p w14:paraId="44703A44" w14:textId="77777777" w:rsidR="003C76F0" w:rsidRPr="007D2722" w:rsidRDefault="003C76F0" w:rsidP="00F14F40">
            <w:pPr>
              <w:pStyle w:val="CETBodytext"/>
              <w:jc w:val="center"/>
              <w:rPr>
                <w:b/>
                <w:bCs/>
                <w:sz w:val="16"/>
                <w:szCs w:val="16"/>
              </w:rPr>
            </w:pPr>
            <w:r w:rsidRPr="007D2722">
              <w:rPr>
                <w:b/>
                <w:bCs/>
                <w:sz w:val="16"/>
                <w:szCs w:val="16"/>
              </w:rPr>
              <w:t>Metrics/Model</w:t>
            </w:r>
          </w:p>
        </w:tc>
        <w:tc>
          <w:tcPr>
            <w:tcW w:w="1201" w:type="dxa"/>
            <w:tcBorders>
              <w:top w:val="single" w:sz="12" w:space="0" w:color="008000"/>
            </w:tcBorders>
            <w:shd w:val="clear" w:color="auto" w:fill="FFFFFF"/>
            <w:vAlign w:val="center"/>
          </w:tcPr>
          <w:p w14:paraId="20781A4C" w14:textId="77777777" w:rsidR="003C76F0" w:rsidRPr="007D2722" w:rsidRDefault="003C76F0" w:rsidP="00F14F40">
            <w:pPr>
              <w:pStyle w:val="CETBodytext"/>
              <w:jc w:val="center"/>
              <w:rPr>
                <w:rFonts w:cs="Arial"/>
                <w:b/>
                <w:bCs/>
                <w:i/>
                <w:sz w:val="16"/>
                <w:szCs w:val="16"/>
              </w:rPr>
            </w:pPr>
            <w:r w:rsidRPr="007D2722">
              <w:rPr>
                <w:b/>
                <w:bCs/>
                <w:sz w:val="16"/>
                <w:szCs w:val="16"/>
              </w:rPr>
              <w:t>CART DT</w:t>
            </w:r>
          </w:p>
        </w:tc>
        <w:tc>
          <w:tcPr>
            <w:tcW w:w="1843" w:type="dxa"/>
            <w:tcBorders>
              <w:top w:val="single" w:sz="12" w:space="0" w:color="008000"/>
            </w:tcBorders>
            <w:shd w:val="clear" w:color="auto" w:fill="FFFFFF"/>
            <w:vAlign w:val="center"/>
          </w:tcPr>
          <w:p w14:paraId="3A95960C" w14:textId="77777777" w:rsidR="003C76F0" w:rsidRPr="007D2722" w:rsidRDefault="003C76F0" w:rsidP="00F14F40">
            <w:pPr>
              <w:pStyle w:val="CETBodytext"/>
              <w:jc w:val="center"/>
              <w:rPr>
                <w:rFonts w:cs="Arial"/>
                <w:b/>
                <w:bCs/>
                <w:i/>
                <w:sz w:val="16"/>
                <w:szCs w:val="16"/>
              </w:rPr>
            </w:pPr>
            <w:r w:rsidRPr="007D2722">
              <w:rPr>
                <w:b/>
                <w:bCs/>
                <w:sz w:val="16"/>
                <w:szCs w:val="16"/>
              </w:rPr>
              <w:t>RF</w:t>
            </w:r>
          </w:p>
        </w:tc>
        <w:tc>
          <w:tcPr>
            <w:tcW w:w="1276" w:type="dxa"/>
            <w:tcBorders>
              <w:top w:val="single" w:sz="12" w:space="0" w:color="008000"/>
            </w:tcBorders>
            <w:shd w:val="clear" w:color="auto" w:fill="FFFFFF"/>
            <w:vAlign w:val="center"/>
          </w:tcPr>
          <w:p w14:paraId="17AA2C4B" w14:textId="77777777" w:rsidR="003C76F0" w:rsidRPr="007D2722" w:rsidRDefault="003C76F0" w:rsidP="00F14F40">
            <w:pPr>
              <w:pStyle w:val="CETBodytext"/>
              <w:jc w:val="center"/>
              <w:rPr>
                <w:rFonts w:cs="Arial"/>
                <w:b/>
                <w:bCs/>
                <w:i/>
                <w:sz w:val="16"/>
                <w:szCs w:val="16"/>
              </w:rPr>
            </w:pPr>
            <w:r w:rsidRPr="007D2722">
              <w:rPr>
                <w:b/>
                <w:bCs/>
                <w:sz w:val="16"/>
                <w:szCs w:val="16"/>
              </w:rPr>
              <w:t>KNN</w:t>
            </w:r>
          </w:p>
        </w:tc>
        <w:tc>
          <w:tcPr>
            <w:tcW w:w="1621" w:type="dxa"/>
            <w:tcBorders>
              <w:top w:val="single" w:sz="12" w:space="0" w:color="008000"/>
            </w:tcBorders>
            <w:shd w:val="clear" w:color="auto" w:fill="FFFFFF"/>
            <w:vAlign w:val="center"/>
          </w:tcPr>
          <w:p w14:paraId="7671FC3B" w14:textId="77777777" w:rsidR="003C76F0" w:rsidRPr="007D2722" w:rsidRDefault="003C76F0" w:rsidP="00F14F40">
            <w:pPr>
              <w:pStyle w:val="CETBodytext"/>
              <w:jc w:val="center"/>
              <w:rPr>
                <w:rFonts w:cs="Arial"/>
                <w:b/>
                <w:bCs/>
                <w:i/>
                <w:sz w:val="16"/>
                <w:szCs w:val="16"/>
              </w:rPr>
            </w:pPr>
            <w:r w:rsidRPr="007D2722">
              <w:rPr>
                <w:b/>
                <w:bCs/>
                <w:sz w:val="16"/>
                <w:szCs w:val="16"/>
              </w:rPr>
              <w:t>RBF SVM</w:t>
            </w:r>
          </w:p>
        </w:tc>
      </w:tr>
      <w:tr w:rsidR="003C76F0" w:rsidRPr="00717FC4" w14:paraId="1B66621D" w14:textId="77777777" w:rsidTr="00FF5580">
        <w:trPr>
          <w:trHeight w:val="57"/>
          <w:jc w:val="center"/>
        </w:trPr>
        <w:tc>
          <w:tcPr>
            <w:tcW w:w="1134" w:type="dxa"/>
            <w:tcBorders>
              <w:top w:val="single" w:sz="4" w:space="0" w:color="2B8D3E"/>
              <w:bottom w:val="nil"/>
            </w:tcBorders>
            <w:shd w:val="clear" w:color="auto" w:fill="FFFFFF"/>
            <w:vAlign w:val="center"/>
          </w:tcPr>
          <w:p w14:paraId="57029E92" w14:textId="77777777" w:rsidR="003C76F0" w:rsidRPr="007D2722" w:rsidRDefault="003C76F0" w:rsidP="00F14F40">
            <w:pPr>
              <w:pStyle w:val="CETBodytext"/>
              <w:jc w:val="center"/>
              <w:rPr>
                <w:rFonts w:cs="Arial"/>
                <w:i/>
                <w:sz w:val="16"/>
                <w:szCs w:val="16"/>
              </w:rPr>
            </w:pPr>
          </w:p>
        </w:tc>
        <w:tc>
          <w:tcPr>
            <w:tcW w:w="1067" w:type="dxa"/>
            <w:tcBorders>
              <w:top w:val="single" w:sz="4" w:space="0" w:color="2B8D3E"/>
              <w:bottom w:val="nil"/>
            </w:tcBorders>
            <w:shd w:val="clear" w:color="auto" w:fill="FFFFFF"/>
            <w:vAlign w:val="center"/>
          </w:tcPr>
          <w:p w14:paraId="1A8A1D0F" w14:textId="77777777" w:rsidR="003C76F0" w:rsidRPr="007D2722" w:rsidRDefault="003C76F0" w:rsidP="00F14F40">
            <w:pPr>
              <w:pStyle w:val="CETBodytext"/>
              <w:jc w:val="center"/>
              <w:rPr>
                <w:sz w:val="16"/>
                <w:szCs w:val="16"/>
              </w:rPr>
            </w:pPr>
          </w:p>
        </w:tc>
        <w:tc>
          <w:tcPr>
            <w:tcW w:w="5941" w:type="dxa"/>
            <w:gridSpan w:val="4"/>
            <w:tcBorders>
              <w:top w:val="single" w:sz="4" w:space="0" w:color="2B8D3E"/>
              <w:bottom w:val="single" w:sz="4" w:space="0" w:color="2B8D3E"/>
            </w:tcBorders>
            <w:shd w:val="clear" w:color="auto" w:fill="FFFFFF"/>
            <w:vAlign w:val="center"/>
          </w:tcPr>
          <w:p w14:paraId="3F899002" w14:textId="77777777" w:rsidR="003C76F0" w:rsidRPr="007D2722" w:rsidRDefault="003C76F0" w:rsidP="00F14F40">
            <w:pPr>
              <w:pStyle w:val="CETBodytext"/>
              <w:jc w:val="center"/>
              <w:rPr>
                <w:sz w:val="16"/>
                <w:szCs w:val="16"/>
              </w:rPr>
            </w:pPr>
            <w:r w:rsidRPr="007D2722">
              <w:rPr>
                <w:sz w:val="16"/>
                <w:szCs w:val="16"/>
              </w:rPr>
              <w:t>Training</w:t>
            </w:r>
          </w:p>
        </w:tc>
      </w:tr>
      <w:tr w:rsidR="003C76F0" w:rsidRPr="00717FC4" w14:paraId="0A441214" w14:textId="77777777" w:rsidTr="00FF5580">
        <w:trPr>
          <w:trHeight w:val="301"/>
          <w:jc w:val="center"/>
        </w:trPr>
        <w:tc>
          <w:tcPr>
            <w:tcW w:w="1134" w:type="dxa"/>
            <w:vMerge w:val="restart"/>
            <w:tcBorders>
              <w:top w:val="nil"/>
            </w:tcBorders>
            <w:shd w:val="clear" w:color="auto" w:fill="FFFFFF"/>
            <w:vAlign w:val="center"/>
          </w:tcPr>
          <w:p w14:paraId="41CEADA7" w14:textId="77777777" w:rsidR="003C76F0" w:rsidRPr="00263396" w:rsidRDefault="003C76F0" w:rsidP="00F14F40">
            <w:pPr>
              <w:pStyle w:val="CETBodytext"/>
              <w:jc w:val="center"/>
              <w:rPr>
                <w:sz w:val="16"/>
                <w:szCs w:val="16"/>
              </w:rPr>
            </w:pPr>
            <w:r w:rsidRPr="00263396">
              <w:rPr>
                <w:rFonts w:cs="Arial"/>
                <w:i/>
                <w:sz w:val="16"/>
                <w:szCs w:val="16"/>
              </w:rPr>
              <w:t>Protein</w:t>
            </w:r>
          </w:p>
        </w:tc>
        <w:tc>
          <w:tcPr>
            <w:tcW w:w="1067" w:type="dxa"/>
            <w:tcBorders>
              <w:top w:val="nil"/>
            </w:tcBorders>
            <w:shd w:val="clear" w:color="auto" w:fill="FFFFFF"/>
            <w:vAlign w:val="center"/>
          </w:tcPr>
          <w:p w14:paraId="30E8C592" w14:textId="77777777" w:rsidR="003C76F0" w:rsidRPr="007D2722" w:rsidRDefault="00FB7F61" w:rsidP="00F14F40">
            <w:pPr>
              <w:pStyle w:val="CETBodytext"/>
              <w:jc w:val="center"/>
              <w:rPr>
                <w:sz w:val="16"/>
                <w:szCs w:val="16"/>
              </w:rPr>
            </w:pPr>
            <m:oMathPara>
              <m:oMath>
                <m:sSup>
                  <m:sSupPr>
                    <m:ctrlPr>
                      <w:rPr>
                        <w:rFonts w:ascii="Cambria Math" w:eastAsia="Cambria Math" w:hAnsi="Cambria Math" w:cs="Cambria Math"/>
                        <w:sz w:val="16"/>
                        <w:szCs w:val="16"/>
                      </w:rPr>
                    </m:ctrlPr>
                  </m:sSupPr>
                  <m:e>
                    <m:r>
                      <w:rPr>
                        <w:rFonts w:ascii="Cambria Math" w:eastAsia="Cambria Math" w:hAnsi="Cambria Math" w:cs="Cambria Math"/>
                        <w:sz w:val="16"/>
                        <w:szCs w:val="16"/>
                      </w:rPr>
                      <m:t>R</m:t>
                    </m:r>
                  </m:e>
                  <m:sup>
                    <m:r>
                      <w:rPr>
                        <w:rFonts w:ascii="Cambria Math" w:eastAsia="Cambria Math" w:hAnsi="Cambria Math" w:cs="Cambria Math"/>
                        <w:sz w:val="16"/>
                        <w:szCs w:val="16"/>
                      </w:rPr>
                      <m:t>2</m:t>
                    </m:r>
                  </m:sup>
                </m:sSup>
              </m:oMath>
            </m:oMathPara>
          </w:p>
        </w:tc>
        <w:tc>
          <w:tcPr>
            <w:tcW w:w="1201" w:type="dxa"/>
            <w:tcBorders>
              <w:top w:val="single" w:sz="4" w:space="0" w:color="2B8D3E"/>
            </w:tcBorders>
            <w:shd w:val="clear" w:color="auto" w:fill="FFFFFF"/>
            <w:vAlign w:val="center"/>
          </w:tcPr>
          <w:p w14:paraId="6CF04D13" w14:textId="77777777" w:rsidR="003C76F0" w:rsidRPr="007D2722" w:rsidRDefault="003C76F0" w:rsidP="00F14F40">
            <w:pPr>
              <w:pStyle w:val="CETBodytext"/>
              <w:jc w:val="center"/>
              <w:rPr>
                <w:sz w:val="16"/>
                <w:szCs w:val="16"/>
              </w:rPr>
            </w:pPr>
            <w:r w:rsidRPr="007D2722">
              <w:rPr>
                <w:sz w:val="16"/>
                <w:szCs w:val="16"/>
              </w:rPr>
              <w:t>0.980</w:t>
            </w:r>
          </w:p>
        </w:tc>
        <w:tc>
          <w:tcPr>
            <w:tcW w:w="1843" w:type="dxa"/>
            <w:tcBorders>
              <w:top w:val="single" w:sz="4" w:space="0" w:color="2B8D3E"/>
            </w:tcBorders>
            <w:shd w:val="clear" w:color="auto" w:fill="FFFFFF"/>
            <w:vAlign w:val="center"/>
          </w:tcPr>
          <w:p w14:paraId="59C9C657" w14:textId="2720280D" w:rsidR="003C76F0" w:rsidRPr="007D2722" w:rsidRDefault="003C76F0" w:rsidP="00F14F40">
            <w:pPr>
              <w:pStyle w:val="CETBodytext"/>
              <w:jc w:val="center"/>
              <w:rPr>
                <w:sz w:val="16"/>
                <w:szCs w:val="16"/>
              </w:rPr>
            </w:pPr>
            <w:r w:rsidRPr="007D2722">
              <w:rPr>
                <w:sz w:val="16"/>
                <w:szCs w:val="16"/>
              </w:rPr>
              <w:t>0.98</w:t>
            </w:r>
            <w:r w:rsidR="00E77DB0" w:rsidRPr="007D2722">
              <w:rPr>
                <w:sz w:val="16"/>
                <w:szCs w:val="16"/>
              </w:rPr>
              <w:t>7</w:t>
            </w:r>
          </w:p>
        </w:tc>
        <w:tc>
          <w:tcPr>
            <w:tcW w:w="1276" w:type="dxa"/>
            <w:tcBorders>
              <w:top w:val="single" w:sz="4" w:space="0" w:color="2B8D3E"/>
            </w:tcBorders>
            <w:shd w:val="clear" w:color="auto" w:fill="FFFFFF"/>
            <w:vAlign w:val="center"/>
          </w:tcPr>
          <w:p w14:paraId="2CCADBF0" w14:textId="77777777" w:rsidR="003C76F0" w:rsidRPr="007D2722" w:rsidRDefault="003C76F0" w:rsidP="00F14F40">
            <w:pPr>
              <w:pStyle w:val="CETBodytext"/>
              <w:jc w:val="center"/>
              <w:rPr>
                <w:sz w:val="16"/>
                <w:szCs w:val="16"/>
              </w:rPr>
            </w:pPr>
            <w:r w:rsidRPr="007D2722">
              <w:rPr>
                <w:sz w:val="16"/>
                <w:szCs w:val="16"/>
              </w:rPr>
              <w:t>0.999</w:t>
            </w:r>
          </w:p>
        </w:tc>
        <w:tc>
          <w:tcPr>
            <w:tcW w:w="1621" w:type="dxa"/>
            <w:tcBorders>
              <w:top w:val="single" w:sz="4" w:space="0" w:color="2B8D3E"/>
            </w:tcBorders>
            <w:shd w:val="clear" w:color="auto" w:fill="FFFFFF"/>
            <w:vAlign w:val="center"/>
          </w:tcPr>
          <w:p w14:paraId="7D6441FA" w14:textId="17E7D78E" w:rsidR="003C76F0" w:rsidRPr="007D2722" w:rsidRDefault="003C76F0" w:rsidP="00F14F40">
            <w:pPr>
              <w:pStyle w:val="CETBodytext"/>
              <w:jc w:val="center"/>
              <w:rPr>
                <w:sz w:val="16"/>
                <w:szCs w:val="16"/>
              </w:rPr>
            </w:pPr>
            <w:r w:rsidRPr="007D2722">
              <w:rPr>
                <w:sz w:val="16"/>
                <w:szCs w:val="16"/>
              </w:rPr>
              <w:t>0.99</w:t>
            </w:r>
            <w:r w:rsidR="00E07E03" w:rsidRPr="007D2722">
              <w:rPr>
                <w:sz w:val="16"/>
                <w:szCs w:val="16"/>
              </w:rPr>
              <w:t>7</w:t>
            </w:r>
          </w:p>
        </w:tc>
      </w:tr>
      <w:tr w:rsidR="003C76F0" w:rsidRPr="00717FC4" w14:paraId="0830DC0E" w14:textId="77777777" w:rsidTr="00FF5580">
        <w:trPr>
          <w:trHeight w:val="288"/>
          <w:jc w:val="center"/>
        </w:trPr>
        <w:tc>
          <w:tcPr>
            <w:tcW w:w="1134" w:type="dxa"/>
            <w:vMerge/>
            <w:shd w:val="clear" w:color="auto" w:fill="FFFFFF"/>
            <w:vAlign w:val="center"/>
          </w:tcPr>
          <w:p w14:paraId="70763F49" w14:textId="77777777" w:rsidR="003C76F0" w:rsidRPr="007D2722" w:rsidRDefault="003C76F0" w:rsidP="00F14F40">
            <w:pPr>
              <w:pStyle w:val="CETBodytext"/>
              <w:jc w:val="center"/>
              <w:rPr>
                <w:sz w:val="16"/>
                <w:szCs w:val="16"/>
              </w:rPr>
            </w:pPr>
          </w:p>
        </w:tc>
        <w:tc>
          <w:tcPr>
            <w:tcW w:w="1067" w:type="dxa"/>
            <w:shd w:val="clear" w:color="auto" w:fill="FFFFFF"/>
            <w:vAlign w:val="center"/>
          </w:tcPr>
          <w:p w14:paraId="0366D24D"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MSE</m:t>
                </m:r>
              </m:oMath>
            </m:oMathPara>
          </w:p>
        </w:tc>
        <w:tc>
          <w:tcPr>
            <w:tcW w:w="1201" w:type="dxa"/>
            <w:shd w:val="clear" w:color="auto" w:fill="FFFFFF"/>
            <w:vAlign w:val="center"/>
          </w:tcPr>
          <w:p w14:paraId="1A9E9457" w14:textId="77777777" w:rsidR="003C76F0" w:rsidRPr="007D2722" w:rsidRDefault="003C76F0" w:rsidP="00F14F40">
            <w:pPr>
              <w:pStyle w:val="CETBodytext"/>
              <w:jc w:val="center"/>
              <w:rPr>
                <w:sz w:val="16"/>
                <w:szCs w:val="16"/>
              </w:rPr>
            </w:pPr>
            <w:r w:rsidRPr="007D2722">
              <w:rPr>
                <w:sz w:val="16"/>
                <w:szCs w:val="16"/>
              </w:rPr>
              <w:t>0.020</w:t>
            </w:r>
          </w:p>
        </w:tc>
        <w:tc>
          <w:tcPr>
            <w:tcW w:w="1843" w:type="dxa"/>
            <w:shd w:val="clear" w:color="auto" w:fill="FFFFFF"/>
            <w:vAlign w:val="center"/>
          </w:tcPr>
          <w:p w14:paraId="50AD8234" w14:textId="3BDC147F" w:rsidR="003C76F0" w:rsidRPr="007D2722" w:rsidRDefault="003C76F0" w:rsidP="00F14F40">
            <w:pPr>
              <w:pStyle w:val="CETBodytext"/>
              <w:jc w:val="center"/>
              <w:rPr>
                <w:sz w:val="16"/>
                <w:szCs w:val="16"/>
              </w:rPr>
            </w:pPr>
            <w:r w:rsidRPr="007D2722">
              <w:rPr>
                <w:sz w:val="16"/>
                <w:szCs w:val="16"/>
              </w:rPr>
              <w:t>0.01</w:t>
            </w:r>
            <w:r w:rsidR="00E07E03" w:rsidRPr="007D2722">
              <w:rPr>
                <w:sz w:val="16"/>
                <w:szCs w:val="16"/>
              </w:rPr>
              <w:t>3</w:t>
            </w:r>
          </w:p>
        </w:tc>
        <w:tc>
          <w:tcPr>
            <w:tcW w:w="1276" w:type="dxa"/>
            <w:shd w:val="clear" w:color="auto" w:fill="FFFFFF"/>
            <w:vAlign w:val="center"/>
          </w:tcPr>
          <w:p w14:paraId="2B68F25D" w14:textId="299562B7" w:rsidR="003C76F0" w:rsidRPr="007D2722" w:rsidRDefault="003C76F0" w:rsidP="00F14F40">
            <w:pPr>
              <w:pStyle w:val="CETBodytext"/>
              <w:jc w:val="center"/>
              <w:rPr>
                <w:sz w:val="16"/>
                <w:szCs w:val="16"/>
              </w:rPr>
            </w:pPr>
            <w:r w:rsidRPr="007D2722">
              <w:rPr>
                <w:rFonts w:cs="Arial"/>
                <w:sz w:val="16"/>
                <w:szCs w:val="16"/>
              </w:rPr>
              <w:t>1.0</w:t>
            </w:r>
            <w:r w:rsidR="00E77DB0" w:rsidRPr="007D2722">
              <w:rPr>
                <w:rFonts w:cs="Arial"/>
                <w:sz w:val="16"/>
                <w:szCs w:val="16"/>
              </w:rPr>
              <w:t>09</w:t>
            </w:r>
            <w:r w:rsidRPr="007D2722">
              <w:rPr>
                <w:rFonts w:cs="Arial"/>
                <w:sz w:val="16"/>
                <w:szCs w:val="16"/>
              </w:rPr>
              <w:t>×</w:t>
            </w:r>
            <w:r w:rsidRPr="007D2722">
              <w:rPr>
                <w:sz w:val="16"/>
                <w:szCs w:val="16"/>
              </w:rPr>
              <w:t>10</w:t>
            </w:r>
            <w:r w:rsidRPr="007D2722">
              <w:rPr>
                <w:sz w:val="16"/>
                <w:szCs w:val="16"/>
                <w:vertAlign w:val="superscript"/>
              </w:rPr>
              <w:t>-6</w:t>
            </w:r>
          </w:p>
        </w:tc>
        <w:tc>
          <w:tcPr>
            <w:tcW w:w="1621" w:type="dxa"/>
            <w:shd w:val="clear" w:color="auto" w:fill="FFFFFF"/>
            <w:vAlign w:val="center"/>
          </w:tcPr>
          <w:p w14:paraId="74269BB8" w14:textId="158B788A" w:rsidR="003C76F0" w:rsidRPr="007D2722" w:rsidRDefault="003C76F0" w:rsidP="00F14F40">
            <w:pPr>
              <w:pStyle w:val="CETBodytext"/>
              <w:jc w:val="center"/>
              <w:rPr>
                <w:sz w:val="16"/>
                <w:szCs w:val="16"/>
              </w:rPr>
            </w:pPr>
            <w:r w:rsidRPr="007D2722">
              <w:rPr>
                <w:sz w:val="16"/>
                <w:szCs w:val="16"/>
              </w:rPr>
              <w:t>3.</w:t>
            </w:r>
            <w:r w:rsidR="00E77DB0" w:rsidRPr="007D2722">
              <w:rPr>
                <w:sz w:val="16"/>
                <w:szCs w:val="16"/>
              </w:rPr>
              <w:t>482</w:t>
            </w:r>
            <w:r w:rsidRPr="007D2722">
              <w:rPr>
                <w:rFonts w:cs="Arial"/>
                <w:sz w:val="16"/>
                <w:szCs w:val="16"/>
              </w:rPr>
              <w:t>×</w:t>
            </w:r>
            <w:r w:rsidRPr="007D2722">
              <w:rPr>
                <w:sz w:val="16"/>
                <w:szCs w:val="16"/>
              </w:rPr>
              <w:t>10</w:t>
            </w:r>
            <w:r w:rsidRPr="007D2722">
              <w:rPr>
                <w:sz w:val="16"/>
                <w:szCs w:val="16"/>
                <w:vertAlign w:val="superscript"/>
              </w:rPr>
              <w:t>-3</w:t>
            </w:r>
          </w:p>
        </w:tc>
      </w:tr>
      <w:tr w:rsidR="003C76F0" w:rsidRPr="00717FC4" w14:paraId="13E322D9" w14:textId="77777777" w:rsidTr="00FF5580">
        <w:trPr>
          <w:trHeight w:val="288"/>
          <w:jc w:val="center"/>
        </w:trPr>
        <w:tc>
          <w:tcPr>
            <w:tcW w:w="1134" w:type="dxa"/>
            <w:vMerge/>
            <w:shd w:val="clear" w:color="auto" w:fill="FFFFFF"/>
            <w:vAlign w:val="center"/>
          </w:tcPr>
          <w:p w14:paraId="5576C274" w14:textId="77777777" w:rsidR="003C76F0" w:rsidRPr="007D2722" w:rsidRDefault="003C76F0" w:rsidP="00F14F40">
            <w:pPr>
              <w:pStyle w:val="CETBodytext"/>
              <w:jc w:val="center"/>
              <w:rPr>
                <w:sz w:val="16"/>
                <w:szCs w:val="16"/>
              </w:rPr>
            </w:pPr>
          </w:p>
        </w:tc>
        <w:tc>
          <w:tcPr>
            <w:tcW w:w="1067" w:type="dxa"/>
            <w:shd w:val="clear" w:color="auto" w:fill="FFFFFF"/>
            <w:vAlign w:val="center"/>
          </w:tcPr>
          <w:p w14:paraId="480EACEA"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RMSE</m:t>
                </m:r>
              </m:oMath>
            </m:oMathPara>
          </w:p>
        </w:tc>
        <w:tc>
          <w:tcPr>
            <w:tcW w:w="1201" w:type="dxa"/>
            <w:shd w:val="clear" w:color="auto" w:fill="FFFFFF"/>
            <w:vAlign w:val="center"/>
          </w:tcPr>
          <w:p w14:paraId="760C5F80" w14:textId="77777777" w:rsidR="003C76F0" w:rsidRPr="007D2722" w:rsidRDefault="003C76F0" w:rsidP="00F14F40">
            <w:pPr>
              <w:pStyle w:val="CETBodytext"/>
              <w:jc w:val="center"/>
              <w:rPr>
                <w:sz w:val="16"/>
                <w:szCs w:val="16"/>
              </w:rPr>
            </w:pPr>
            <w:r w:rsidRPr="007D2722">
              <w:rPr>
                <w:sz w:val="16"/>
                <w:szCs w:val="16"/>
              </w:rPr>
              <w:t>0.140</w:t>
            </w:r>
          </w:p>
        </w:tc>
        <w:tc>
          <w:tcPr>
            <w:tcW w:w="1843" w:type="dxa"/>
            <w:shd w:val="clear" w:color="auto" w:fill="FFFFFF"/>
            <w:vAlign w:val="center"/>
          </w:tcPr>
          <w:p w14:paraId="53B8B12D" w14:textId="4312AC47" w:rsidR="003C76F0" w:rsidRPr="007D2722" w:rsidRDefault="003C76F0" w:rsidP="00F14F40">
            <w:pPr>
              <w:pStyle w:val="CETBodytext"/>
              <w:jc w:val="center"/>
              <w:rPr>
                <w:sz w:val="16"/>
                <w:szCs w:val="16"/>
              </w:rPr>
            </w:pPr>
            <w:r w:rsidRPr="007D2722">
              <w:rPr>
                <w:sz w:val="16"/>
                <w:szCs w:val="16"/>
              </w:rPr>
              <w:t>0.11</w:t>
            </w:r>
            <w:r w:rsidR="00E77DB0" w:rsidRPr="007D2722">
              <w:rPr>
                <w:sz w:val="16"/>
                <w:szCs w:val="16"/>
              </w:rPr>
              <w:t>3</w:t>
            </w:r>
          </w:p>
        </w:tc>
        <w:tc>
          <w:tcPr>
            <w:tcW w:w="1276" w:type="dxa"/>
            <w:shd w:val="clear" w:color="auto" w:fill="FFFFFF"/>
            <w:vAlign w:val="center"/>
          </w:tcPr>
          <w:p w14:paraId="6F71F8F7" w14:textId="582943E0" w:rsidR="003C76F0" w:rsidRPr="007D2722" w:rsidRDefault="003C76F0" w:rsidP="00F14F40">
            <w:pPr>
              <w:pStyle w:val="CETBodytext"/>
              <w:jc w:val="center"/>
              <w:rPr>
                <w:sz w:val="16"/>
                <w:szCs w:val="16"/>
              </w:rPr>
            </w:pPr>
            <w:r w:rsidRPr="007D2722">
              <w:rPr>
                <w:sz w:val="16"/>
                <w:szCs w:val="16"/>
              </w:rPr>
              <w:t>1.00</w:t>
            </w:r>
            <w:r w:rsidR="00E77DB0" w:rsidRPr="007D2722">
              <w:rPr>
                <w:sz w:val="16"/>
                <w:szCs w:val="16"/>
              </w:rPr>
              <w:t>4</w:t>
            </w:r>
            <w:r w:rsidRPr="007D2722">
              <w:rPr>
                <w:rFonts w:cs="Arial"/>
                <w:sz w:val="16"/>
                <w:szCs w:val="16"/>
              </w:rPr>
              <w:t>×</w:t>
            </w:r>
            <w:r w:rsidRPr="007D2722">
              <w:rPr>
                <w:sz w:val="16"/>
                <w:szCs w:val="16"/>
              </w:rPr>
              <w:t>10</w:t>
            </w:r>
            <w:r w:rsidRPr="007D2722">
              <w:rPr>
                <w:sz w:val="16"/>
                <w:szCs w:val="16"/>
                <w:vertAlign w:val="superscript"/>
              </w:rPr>
              <w:t>-3</w:t>
            </w:r>
          </w:p>
        </w:tc>
        <w:tc>
          <w:tcPr>
            <w:tcW w:w="1621" w:type="dxa"/>
            <w:shd w:val="clear" w:color="auto" w:fill="FFFFFF"/>
            <w:vAlign w:val="center"/>
          </w:tcPr>
          <w:p w14:paraId="026911F9" w14:textId="407BA10C" w:rsidR="003C76F0" w:rsidRPr="007D2722" w:rsidRDefault="003C76F0" w:rsidP="00F14F40">
            <w:pPr>
              <w:pStyle w:val="CETBodytext"/>
              <w:jc w:val="center"/>
              <w:rPr>
                <w:sz w:val="16"/>
                <w:szCs w:val="16"/>
              </w:rPr>
            </w:pPr>
            <w:r w:rsidRPr="007D2722">
              <w:rPr>
                <w:sz w:val="16"/>
                <w:szCs w:val="16"/>
              </w:rPr>
              <w:t>0.0</w:t>
            </w:r>
            <w:r w:rsidR="00E07E03" w:rsidRPr="007D2722">
              <w:rPr>
                <w:sz w:val="16"/>
                <w:szCs w:val="16"/>
              </w:rPr>
              <w:t>59</w:t>
            </w:r>
          </w:p>
        </w:tc>
      </w:tr>
      <w:tr w:rsidR="003C76F0" w:rsidRPr="00717FC4" w14:paraId="094C30C0" w14:textId="77777777" w:rsidTr="00A245B5">
        <w:trPr>
          <w:trHeight w:val="63"/>
          <w:jc w:val="center"/>
        </w:trPr>
        <w:tc>
          <w:tcPr>
            <w:tcW w:w="1134" w:type="dxa"/>
            <w:vMerge/>
            <w:shd w:val="clear" w:color="auto" w:fill="FFFFFF"/>
            <w:vAlign w:val="center"/>
          </w:tcPr>
          <w:p w14:paraId="0BBCAAD1" w14:textId="77777777" w:rsidR="003C76F0" w:rsidRPr="007D2722" w:rsidRDefault="003C76F0" w:rsidP="00F14F40">
            <w:pPr>
              <w:pStyle w:val="CETBodytext"/>
              <w:jc w:val="center"/>
              <w:rPr>
                <w:sz w:val="16"/>
                <w:szCs w:val="16"/>
              </w:rPr>
            </w:pPr>
          </w:p>
        </w:tc>
        <w:tc>
          <w:tcPr>
            <w:tcW w:w="1067" w:type="dxa"/>
            <w:tcBorders>
              <w:bottom w:val="nil"/>
            </w:tcBorders>
            <w:shd w:val="clear" w:color="auto" w:fill="FFFFFF"/>
            <w:vAlign w:val="center"/>
          </w:tcPr>
          <w:p w14:paraId="5FF1BF15"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MAE</m:t>
                </m:r>
              </m:oMath>
            </m:oMathPara>
          </w:p>
        </w:tc>
        <w:tc>
          <w:tcPr>
            <w:tcW w:w="1201" w:type="dxa"/>
            <w:tcBorders>
              <w:bottom w:val="single" w:sz="4" w:space="0" w:color="2B8D3E"/>
            </w:tcBorders>
            <w:shd w:val="clear" w:color="auto" w:fill="FFFFFF"/>
            <w:vAlign w:val="center"/>
          </w:tcPr>
          <w:p w14:paraId="583C7A72" w14:textId="5D45146D" w:rsidR="003C76F0" w:rsidRPr="007D2722" w:rsidRDefault="003C76F0" w:rsidP="00F14F40">
            <w:pPr>
              <w:pStyle w:val="CETBodytext"/>
              <w:jc w:val="center"/>
              <w:rPr>
                <w:sz w:val="16"/>
                <w:szCs w:val="16"/>
              </w:rPr>
            </w:pPr>
            <w:r w:rsidRPr="007D2722">
              <w:rPr>
                <w:sz w:val="16"/>
                <w:szCs w:val="16"/>
              </w:rPr>
              <w:t>0.08</w:t>
            </w:r>
            <w:r w:rsidR="00E77DB0" w:rsidRPr="007D2722">
              <w:rPr>
                <w:sz w:val="16"/>
                <w:szCs w:val="16"/>
              </w:rPr>
              <w:t>2</w:t>
            </w:r>
          </w:p>
        </w:tc>
        <w:tc>
          <w:tcPr>
            <w:tcW w:w="1843" w:type="dxa"/>
            <w:tcBorders>
              <w:bottom w:val="single" w:sz="4" w:space="0" w:color="2B8D3E"/>
            </w:tcBorders>
            <w:shd w:val="clear" w:color="auto" w:fill="FFFFFF"/>
            <w:vAlign w:val="center"/>
          </w:tcPr>
          <w:p w14:paraId="23323DE2" w14:textId="34FA97DF" w:rsidR="003C76F0" w:rsidRPr="007D2722" w:rsidRDefault="003C76F0" w:rsidP="00F14F40">
            <w:pPr>
              <w:pStyle w:val="CETBodytext"/>
              <w:jc w:val="center"/>
              <w:rPr>
                <w:sz w:val="16"/>
                <w:szCs w:val="16"/>
              </w:rPr>
            </w:pPr>
            <w:r w:rsidRPr="007D2722">
              <w:rPr>
                <w:sz w:val="16"/>
                <w:szCs w:val="16"/>
              </w:rPr>
              <w:t>0.56</w:t>
            </w:r>
            <w:r w:rsidR="00E77DB0" w:rsidRPr="007D2722">
              <w:rPr>
                <w:sz w:val="16"/>
                <w:szCs w:val="16"/>
              </w:rPr>
              <w:t>8</w:t>
            </w:r>
          </w:p>
        </w:tc>
        <w:tc>
          <w:tcPr>
            <w:tcW w:w="1276" w:type="dxa"/>
            <w:tcBorders>
              <w:bottom w:val="single" w:sz="4" w:space="0" w:color="2B8D3E"/>
            </w:tcBorders>
            <w:shd w:val="clear" w:color="auto" w:fill="FFFFFF"/>
            <w:vAlign w:val="center"/>
          </w:tcPr>
          <w:p w14:paraId="597CD21B" w14:textId="06127429" w:rsidR="003C76F0" w:rsidRPr="007D2722" w:rsidRDefault="003C76F0" w:rsidP="00F14F40">
            <w:pPr>
              <w:pStyle w:val="CETBodytext"/>
              <w:jc w:val="center"/>
              <w:rPr>
                <w:sz w:val="16"/>
                <w:szCs w:val="16"/>
              </w:rPr>
            </w:pPr>
            <w:r w:rsidRPr="007D2722">
              <w:rPr>
                <w:sz w:val="16"/>
                <w:szCs w:val="16"/>
              </w:rPr>
              <w:t>6.37</w:t>
            </w:r>
            <w:r w:rsidR="00E77DB0" w:rsidRPr="007D2722">
              <w:rPr>
                <w:sz w:val="16"/>
                <w:szCs w:val="16"/>
              </w:rPr>
              <w:t>8</w:t>
            </w:r>
            <w:r w:rsidRPr="007D2722">
              <w:rPr>
                <w:rFonts w:cs="Arial"/>
                <w:sz w:val="16"/>
                <w:szCs w:val="16"/>
              </w:rPr>
              <w:t>×</w:t>
            </w:r>
            <w:r w:rsidRPr="007D2722">
              <w:rPr>
                <w:sz w:val="16"/>
                <w:szCs w:val="16"/>
              </w:rPr>
              <w:t>10</w:t>
            </w:r>
            <w:r w:rsidRPr="007D2722">
              <w:rPr>
                <w:sz w:val="16"/>
                <w:szCs w:val="16"/>
                <w:vertAlign w:val="superscript"/>
              </w:rPr>
              <w:t>-4</w:t>
            </w:r>
          </w:p>
        </w:tc>
        <w:tc>
          <w:tcPr>
            <w:tcW w:w="1621" w:type="dxa"/>
            <w:tcBorders>
              <w:bottom w:val="single" w:sz="4" w:space="0" w:color="2B8D3E"/>
            </w:tcBorders>
            <w:shd w:val="clear" w:color="auto" w:fill="FFFFFF"/>
            <w:vAlign w:val="center"/>
          </w:tcPr>
          <w:p w14:paraId="249528D5" w14:textId="217D92C3" w:rsidR="003C76F0" w:rsidRPr="007D2722" w:rsidRDefault="003C76F0" w:rsidP="00F14F40">
            <w:pPr>
              <w:pStyle w:val="CETBodytext"/>
              <w:jc w:val="center"/>
              <w:rPr>
                <w:sz w:val="16"/>
                <w:szCs w:val="16"/>
              </w:rPr>
            </w:pPr>
            <w:r w:rsidRPr="007D2722">
              <w:rPr>
                <w:sz w:val="16"/>
                <w:szCs w:val="16"/>
              </w:rPr>
              <w:t>0.05</w:t>
            </w:r>
            <w:r w:rsidR="00E07E03" w:rsidRPr="007D2722">
              <w:rPr>
                <w:sz w:val="16"/>
                <w:szCs w:val="16"/>
              </w:rPr>
              <w:t>2</w:t>
            </w:r>
          </w:p>
        </w:tc>
      </w:tr>
      <w:tr w:rsidR="003C76F0" w:rsidRPr="00717FC4" w14:paraId="16F13133" w14:textId="77777777" w:rsidTr="00FF5580">
        <w:trPr>
          <w:trHeight w:val="57"/>
          <w:jc w:val="center"/>
        </w:trPr>
        <w:tc>
          <w:tcPr>
            <w:tcW w:w="1134" w:type="dxa"/>
            <w:vMerge/>
            <w:shd w:val="clear" w:color="auto" w:fill="FFFFFF"/>
            <w:vAlign w:val="center"/>
          </w:tcPr>
          <w:p w14:paraId="4AF6E029" w14:textId="77777777" w:rsidR="003C76F0" w:rsidRPr="007D2722" w:rsidRDefault="003C76F0" w:rsidP="00F14F40">
            <w:pPr>
              <w:pStyle w:val="CETBodytext"/>
              <w:jc w:val="center"/>
              <w:rPr>
                <w:sz w:val="16"/>
                <w:szCs w:val="16"/>
              </w:rPr>
            </w:pPr>
          </w:p>
        </w:tc>
        <w:tc>
          <w:tcPr>
            <w:tcW w:w="1067" w:type="dxa"/>
            <w:tcBorders>
              <w:top w:val="nil"/>
              <w:bottom w:val="nil"/>
            </w:tcBorders>
            <w:shd w:val="clear" w:color="auto" w:fill="FFFFFF"/>
            <w:vAlign w:val="center"/>
          </w:tcPr>
          <w:p w14:paraId="7C025763" w14:textId="77777777" w:rsidR="003C76F0" w:rsidRPr="007D2722" w:rsidRDefault="003C76F0" w:rsidP="00F14F40">
            <w:pPr>
              <w:pStyle w:val="CETBodytext"/>
              <w:jc w:val="center"/>
              <w:rPr>
                <w:sz w:val="16"/>
                <w:szCs w:val="16"/>
              </w:rPr>
            </w:pPr>
          </w:p>
        </w:tc>
        <w:tc>
          <w:tcPr>
            <w:tcW w:w="5941" w:type="dxa"/>
            <w:gridSpan w:val="4"/>
            <w:tcBorders>
              <w:top w:val="single" w:sz="4" w:space="0" w:color="2B8D3E"/>
              <w:bottom w:val="single" w:sz="4" w:space="0" w:color="2B8D3E"/>
            </w:tcBorders>
            <w:shd w:val="clear" w:color="auto" w:fill="FFFFFF"/>
            <w:vAlign w:val="center"/>
          </w:tcPr>
          <w:p w14:paraId="00DF70A6" w14:textId="77777777" w:rsidR="003C76F0" w:rsidRPr="007D2722" w:rsidRDefault="003C76F0" w:rsidP="00F14F40">
            <w:pPr>
              <w:pStyle w:val="CETBodytext"/>
              <w:jc w:val="center"/>
              <w:rPr>
                <w:sz w:val="16"/>
                <w:szCs w:val="16"/>
              </w:rPr>
            </w:pPr>
            <w:r w:rsidRPr="007D2722">
              <w:rPr>
                <w:sz w:val="16"/>
                <w:szCs w:val="16"/>
              </w:rPr>
              <w:t>Test</w:t>
            </w:r>
          </w:p>
        </w:tc>
      </w:tr>
      <w:tr w:rsidR="003C76F0" w:rsidRPr="00717FC4" w14:paraId="511779C8" w14:textId="77777777" w:rsidTr="00FF5580">
        <w:trPr>
          <w:trHeight w:val="313"/>
          <w:jc w:val="center"/>
        </w:trPr>
        <w:tc>
          <w:tcPr>
            <w:tcW w:w="1134" w:type="dxa"/>
            <w:vMerge/>
            <w:shd w:val="clear" w:color="auto" w:fill="FFFFFF"/>
            <w:vAlign w:val="center"/>
          </w:tcPr>
          <w:p w14:paraId="3DF94167" w14:textId="77777777" w:rsidR="003C76F0" w:rsidRPr="007D2722" w:rsidRDefault="003C76F0" w:rsidP="00F14F40">
            <w:pPr>
              <w:pStyle w:val="CETBodytext"/>
              <w:jc w:val="center"/>
              <w:rPr>
                <w:sz w:val="16"/>
                <w:szCs w:val="16"/>
              </w:rPr>
            </w:pPr>
          </w:p>
        </w:tc>
        <w:tc>
          <w:tcPr>
            <w:tcW w:w="1067" w:type="dxa"/>
            <w:tcBorders>
              <w:top w:val="nil"/>
              <w:bottom w:val="nil"/>
            </w:tcBorders>
            <w:shd w:val="clear" w:color="auto" w:fill="FFFFFF"/>
            <w:vAlign w:val="center"/>
          </w:tcPr>
          <w:p w14:paraId="1E4EE386" w14:textId="77777777" w:rsidR="003C76F0" w:rsidRPr="007D2722" w:rsidRDefault="00FB7F61" w:rsidP="00F14F40">
            <w:pPr>
              <w:pStyle w:val="CETBodytext"/>
              <w:jc w:val="center"/>
              <w:rPr>
                <w:sz w:val="16"/>
                <w:szCs w:val="16"/>
              </w:rPr>
            </w:pPr>
            <m:oMathPara>
              <m:oMath>
                <m:sSup>
                  <m:sSupPr>
                    <m:ctrlPr>
                      <w:rPr>
                        <w:rFonts w:ascii="Cambria Math" w:eastAsia="Cambria Math" w:hAnsi="Cambria Math" w:cs="Cambria Math"/>
                        <w:sz w:val="16"/>
                        <w:szCs w:val="16"/>
                      </w:rPr>
                    </m:ctrlPr>
                  </m:sSupPr>
                  <m:e>
                    <m:r>
                      <w:rPr>
                        <w:rFonts w:ascii="Cambria Math" w:eastAsia="Cambria Math" w:hAnsi="Cambria Math" w:cs="Cambria Math"/>
                        <w:sz w:val="16"/>
                        <w:szCs w:val="16"/>
                      </w:rPr>
                      <m:t>R</m:t>
                    </m:r>
                  </m:e>
                  <m:sup>
                    <m:r>
                      <w:rPr>
                        <w:rFonts w:ascii="Cambria Math" w:eastAsia="Cambria Math" w:hAnsi="Cambria Math" w:cs="Cambria Math"/>
                        <w:sz w:val="16"/>
                        <w:szCs w:val="16"/>
                      </w:rPr>
                      <m:t>2</m:t>
                    </m:r>
                  </m:sup>
                </m:sSup>
              </m:oMath>
            </m:oMathPara>
          </w:p>
        </w:tc>
        <w:tc>
          <w:tcPr>
            <w:tcW w:w="1201" w:type="dxa"/>
            <w:tcBorders>
              <w:top w:val="single" w:sz="4" w:space="0" w:color="2B8D3E"/>
              <w:bottom w:val="nil"/>
            </w:tcBorders>
            <w:shd w:val="clear" w:color="auto" w:fill="FFFFFF"/>
            <w:vAlign w:val="center"/>
          </w:tcPr>
          <w:p w14:paraId="537B5868" w14:textId="77777777" w:rsidR="003C76F0" w:rsidRPr="007D2722" w:rsidRDefault="003C76F0" w:rsidP="00F14F40">
            <w:pPr>
              <w:pStyle w:val="CETBodytext"/>
              <w:jc w:val="center"/>
              <w:rPr>
                <w:sz w:val="16"/>
                <w:szCs w:val="16"/>
              </w:rPr>
            </w:pPr>
            <w:r w:rsidRPr="007D2722">
              <w:rPr>
                <w:sz w:val="16"/>
                <w:szCs w:val="16"/>
              </w:rPr>
              <w:t>0.980</w:t>
            </w:r>
          </w:p>
        </w:tc>
        <w:tc>
          <w:tcPr>
            <w:tcW w:w="1843" w:type="dxa"/>
            <w:tcBorders>
              <w:top w:val="single" w:sz="4" w:space="0" w:color="2B8D3E"/>
              <w:bottom w:val="nil"/>
            </w:tcBorders>
            <w:shd w:val="clear" w:color="auto" w:fill="FFFFFF"/>
            <w:vAlign w:val="center"/>
          </w:tcPr>
          <w:p w14:paraId="3DFB679F" w14:textId="77777777" w:rsidR="003C76F0" w:rsidRPr="007D2722" w:rsidRDefault="003C76F0" w:rsidP="00F14F40">
            <w:pPr>
              <w:pStyle w:val="CETBodytext"/>
              <w:jc w:val="center"/>
              <w:rPr>
                <w:sz w:val="16"/>
                <w:szCs w:val="16"/>
              </w:rPr>
            </w:pPr>
            <w:r w:rsidRPr="007D2722">
              <w:rPr>
                <w:sz w:val="16"/>
                <w:szCs w:val="16"/>
              </w:rPr>
              <w:t>0.986</w:t>
            </w:r>
          </w:p>
        </w:tc>
        <w:tc>
          <w:tcPr>
            <w:tcW w:w="1276" w:type="dxa"/>
            <w:tcBorders>
              <w:top w:val="single" w:sz="4" w:space="0" w:color="2B8D3E"/>
              <w:bottom w:val="nil"/>
            </w:tcBorders>
            <w:shd w:val="clear" w:color="auto" w:fill="FFFFFF"/>
            <w:vAlign w:val="center"/>
          </w:tcPr>
          <w:p w14:paraId="70C3106E" w14:textId="77777777" w:rsidR="003C76F0" w:rsidRPr="007D2722" w:rsidRDefault="003C76F0" w:rsidP="00F14F40">
            <w:pPr>
              <w:pStyle w:val="CETBodytext"/>
              <w:jc w:val="center"/>
              <w:rPr>
                <w:sz w:val="16"/>
                <w:szCs w:val="16"/>
              </w:rPr>
            </w:pPr>
            <w:r w:rsidRPr="007D2722">
              <w:rPr>
                <w:sz w:val="16"/>
                <w:szCs w:val="16"/>
              </w:rPr>
              <w:t>0.999</w:t>
            </w:r>
          </w:p>
        </w:tc>
        <w:tc>
          <w:tcPr>
            <w:tcW w:w="1621" w:type="dxa"/>
            <w:tcBorders>
              <w:top w:val="single" w:sz="4" w:space="0" w:color="2B8D3E"/>
              <w:bottom w:val="nil"/>
            </w:tcBorders>
            <w:shd w:val="clear" w:color="auto" w:fill="FFFFFF"/>
            <w:vAlign w:val="center"/>
          </w:tcPr>
          <w:p w14:paraId="065A4BB8" w14:textId="58B42AF3" w:rsidR="003C76F0" w:rsidRPr="007D2722" w:rsidRDefault="003C76F0" w:rsidP="00F14F40">
            <w:pPr>
              <w:pStyle w:val="CETBodytext"/>
              <w:jc w:val="center"/>
              <w:rPr>
                <w:sz w:val="16"/>
                <w:szCs w:val="16"/>
              </w:rPr>
            </w:pPr>
            <w:r w:rsidRPr="007D2722">
              <w:rPr>
                <w:sz w:val="16"/>
                <w:szCs w:val="16"/>
              </w:rPr>
              <w:t>0.99</w:t>
            </w:r>
            <w:r w:rsidR="00E77DB0" w:rsidRPr="007D2722">
              <w:rPr>
                <w:sz w:val="16"/>
                <w:szCs w:val="16"/>
              </w:rPr>
              <w:t>6</w:t>
            </w:r>
          </w:p>
        </w:tc>
      </w:tr>
      <w:tr w:rsidR="003C76F0" w:rsidRPr="00717FC4" w14:paraId="669464F9" w14:textId="77777777" w:rsidTr="00FF5580">
        <w:trPr>
          <w:trHeight w:val="288"/>
          <w:jc w:val="center"/>
        </w:trPr>
        <w:tc>
          <w:tcPr>
            <w:tcW w:w="1134" w:type="dxa"/>
            <w:vMerge/>
            <w:shd w:val="clear" w:color="auto" w:fill="FFFFFF"/>
            <w:vAlign w:val="center"/>
          </w:tcPr>
          <w:p w14:paraId="0CA7C061" w14:textId="77777777" w:rsidR="003C76F0" w:rsidRPr="007D2722" w:rsidRDefault="003C76F0" w:rsidP="00F14F40">
            <w:pPr>
              <w:pStyle w:val="CETBodytext"/>
              <w:jc w:val="center"/>
              <w:rPr>
                <w:sz w:val="16"/>
                <w:szCs w:val="16"/>
              </w:rPr>
            </w:pPr>
          </w:p>
        </w:tc>
        <w:tc>
          <w:tcPr>
            <w:tcW w:w="1067" w:type="dxa"/>
            <w:tcBorders>
              <w:top w:val="nil"/>
              <w:bottom w:val="nil"/>
            </w:tcBorders>
            <w:shd w:val="clear" w:color="auto" w:fill="FFFFFF"/>
            <w:vAlign w:val="center"/>
          </w:tcPr>
          <w:p w14:paraId="1A8C1119"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MSE</m:t>
                </m:r>
              </m:oMath>
            </m:oMathPara>
          </w:p>
        </w:tc>
        <w:tc>
          <w:tcPr>
            <w:tcW w:w="1201" w:type="dxa"/>
            <w:tcBorders>
              <w:top w:val="nil"/>
              <w:bottom w:val="nil"/>
            </w:tcBorders>
            <w:shd w:val="clear" w:color="auto" w:fill="FFFFFF"/>
            <w:vAlign w:val="center"/>
          </w:tcPr>
          <w:p w14:paraId="0A78A6FB" w14:textId="7580AA01" w:rsidR="003C76F0" w:rsidRPr="007D2722" w:rsidRDefault="003C76F0" w:rsidP="00F14F40">
            <w:pPr>
              <w:pStyle w:val="CETBodytext"/>
              <w:jc w:val="center"/>
              <w:rPr>
                <w:sz w:val="16"/>
                <w:szCs w:val="16"/>
              </w:rPr>
            </w:pPr>
            <w:r w:rsidRPr="007D2722">
              <w:rPr>
                <w:sz w:val="16"/>
                <w:szCs w:val="16"/>
              </w:rPr>
              <w:t>0.02</w:t>
            </w:r>
            <w:r w:rsidR="00E77DB0" w:rsidRPr="007D2722">
              <w:rPr>
                <w:sz w:val="16"/>
                <w:szCs w:val="16"/>
              </w:rPr>
              <w:t>2</w:t>
            </w:r>
          </w:p>
        </w:tc>
        <w:tc>
          <w:tcPr>
            <w:tcW w:w="1843" w:type="dxa"/>
            <w:tcBorders>
              <w:top w:val="nil"/>
              <w:bottom w:val="nil"/>
            </w:tcBorders>
            <w:shd w:val="clear" w:color="auto" w:fill="FFFFFF"/>
            <w:vAlign w:val="center"/>
          </w:tcPr>
          <w:p w14:paraId="51AA95D1" w14:textId="19E89B8C" w:rsidR="003C76F0" w:rsidRPr="007D2722" w:rsidRDefault="003C76F0" w:rsidP="00F14F40">
            <w:pPr>
              <w:pStyle w:val="CETBodytext"/>
              <w:jc w:val="center"/>
              <w:rPr>
                <w:sz w:val="16"/>
                <w:szCs w:val="16"/>
              </w:rPr>
            </w:pPr>
            <w:r w:rsidRPr="007D2722">
              <w:rPr>
                <w:sz w:val="16"/>
                <w:szCs w:val="16"/>
              </w:rPr>
              <w:t>0.01</w:t>
            </w:r>
            <w:r w:rsidR="00E77DB0" w:rsidRPr="007D2722">
              <w:rPr>
                <w:sz w:val="16"/>
                <w:szCs w:val="16"/>
              </w:rPr>
              <w:t>3</w:t>
            </w:r>
          </w:p>
        </w:tc>
        <w:tc>
          <w:tcPr>
            <w:tcW w:w="1276" w:type="dxa"/>
            <w:tcBorders>
              <w:top w:val="nil"/>
              <w:bottom w:val="nil"/>
            </w:tcBorders>
            <w:shd w:val="clear" w:color="auto" w:fill="FFFFFF"/>
            <w:vAlign w:val="center"/>
          </w:tcPr>
          <w:p w14:paraId="18425A54" w14:textId="6CFCC6BB" w:rsidR="003C76F0" w:rsidRPr="007D2722" w:rsidRDefault="00E77DB0" w:rsidP="00F14F40">
            <w:pPr>
              <w:pStyle w:val="CETBodytext"/>
              <w:jc w:val="center"/>
              <w:rPr>
                <w:sz w:val="16"/>
                <w:szCs w:val="16"/>
              </w:rPr>
            </w:pPr>
            <w:r w:rsidRPr="007D2722">
              <w:rPr>
                <w:sz w:val="16"/>
                <w:szCs w:val="16"/>
              </w:rPr>
              <w:t>4.958</w:t>
            </w:r>
            <w:r w:rsidR="003C76F0" w:rsidRPr="007D2722">
              <w:rPr>
                <w:rFonts w:cs="Arial"/>
                <w:sz w:val="16"/>
                <w:szCs w:val="16"/>
              </w:rPr>
              <w:t>×</w:t>
            </w:r>
            <w:r w:rsidR="003C76F0" w:rsidRPr="007D2722">
              <w:rPr>
                <w:sz w:val="16"/>
                <w:szCs w:val="16"/>
              </w:rPr>
              <w:t>10</w:t>
            </w:r>
            <w:r w:rsidR="003C76F0" w:rsidRPr="007D2722">
              <w:rPr>
                <w:sz w:val="16"/>
                <w:szCs w:val="16"/>
                <w:vertAlign w:val="superscript"/>
              </w:rPr>
              <w:t>-6</w:t>
            </w:r>
          </w:p>
        </w:tc>
        <w:tc>
          <w:tcPr>
            <w:tcW w:w="1621" w:type="dxa"/>
            <w:tcBorders>
              <w:top w:val="nil"/>
              <w:bottom w:val="nil"/>
            </w:tcBorders>
            <w:shd w:val="clear" w:color="auto" w:fill="FFFFFF"/>
            <w:vAlign w:val="center"/>
          </w:tcPr>
          <w:p w14:paraId="44901578" w14:textId="48C82C15" w:rsidR="003C76F0" w:rsidRPr="007D2722" w:rsidRDefault="003C76F0" w:rsidP="00F14F40">
            <w:pPr>
              <w:pStyle w:val="CETBodytext"/>
              <w:jc w:val="center"/>
              <w:rPr>
                <w:sz w:val="16"/>
                <w:szCs w:val="16"/>
              </w:rPr>
            </w:pPr>
            <w:r w:rsidRPr="007D2722">
              <w:rPr>
                <w:sz w:val="16"/>
                <w:szCs w:val="16"/>
              </w:rPr>
              <w:t>3.</w:t>
            </w:r>
            <w:r w:rsidR="00E77DB0" w:rsidRPr="007D2722">
              <w:rPr>
                <w:sz w:val="16"/>
                <w:szCs w:val="16"/>
              </w:rPr>
              <w:t>578</w:t>
            </w:r>
            <w:r w:rsidRPr="007D2722">
              <w:rPr>
                <w:rFonts w:cs="Arial"/>
                <w:sz w:val="16"/>
                <w:szCs w:val="16"/>
              </w:rPr>
              <w:t>×</w:t>
            </w:r>
            <w:r w:rsidRPr="007D2722">
              <w:rPr>
                <w:sz w:val="16"/>
                <w:szCs w:val="16"/>
              </w:rPr>
              <w:t>10</w:t>
            </w:r>
            <w:r w:rsidRPr="007D2722">
              <w:rPr>
                <w:sz w:val="16"/>
                <w:szCs w:val="16"/>
                <w:vertAlign w:val="superscript"/>
              </w:rPr>
              <w:t>-3</w:t>
            </w:r>
          </w:p>
        </w:tc>
      </w:tr>
      <w:tr w:rsidR="003C76F0" w:rsidRPr="00717FC4" w14:paraId="41E5D0D1" w14:textId="77777777" w:rsidTr="00FF5580">
        <w:trPr>
          <w:trHeight w:val="288"/>
          <w:jc w:val="center"/>
        </w:trPr>
        <w:tc>
          <w:tcPr>
            <w:tcW w:w="1134" w:type="dxa"/>
            <w:vMerge/>
            <w:shd w:val="clear" w:color="auto" w:fill="FFFFFF"/>
            <w:vAlign w:val="center"/>
          </w:tcPr>
          <w:p w14:paraId="65F29021" w14:textId="77777777" w:rsidR="003C76F0" w:rsidRPr="007D2722" w:rsidRDefault="003C76F0" w:rsidP="00F14F40">
            <w:pPr>
              <w:pStyle w:val="CETBodytext"/>
              <w:jc w:val="center"/>
              <w:rPr>
                <w:sz w:val="16"/>
                <w:szCs w:val="16"/>
              </w:rPr>
            </w:pPr>
          </w:p>
        </w:tc>
        <w:tc>
          <w:tcPr>
            <w:tcW w:w="1067" w:type="dxa"/>
            <w:tcBorders>
              <w:top w:val="nil"/>
              <w:bottom w:val="nil"/>
            </w:tcBorders>
            <w:shd w:val="clear" w:color="auto" w:fill="FFFFFF"/>
            <w:vAlign w:val="center"/>
          </w:tcPr>
          <w:p w14:paraId="25901C81"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RMSE</m:t>
                </m:r>
              </m:oMath>
            </m:oMathPara>
          </w:p>
        </w:tc>
        <w:tc>
          <w:tcPr>
            <w:tcW w:w="1201" w:type="dxa"/>
            <w:tcBorders>
              <w:top w:val="nil"/>
              <w:bottom w:val="nil"/>
            </w:tcBorders>
            <w:shd w:val="clear" w:color="auto" w:fill="FFFFFF"/>
            <w:vAlign w:val="center"/>
          </w:tcPr>
          <w:p w14:paraId="24A24487" w14:textId="782613A5" w:rsidR="003C76F0" w:rsidRPr="007D2722" w:rsidRDefault="003C76F0" w:rsidP="00F14F40">
            <w:pPr>
              <w:pStyle w:val="CETBodytext"/>
              <w:jc w:val="center"/>
              <w:rPr>
                <w:sz w:val="16"/>
                <w:szCs w:val="16"/>
              </w:rPr>
            </w:pPr>
            <w:r w:rsidRPr="007D2722">
              <w:rPr>
                <w:sz w:val="16"/>
                <w:szCs w:val="16"/>
              </w:rPr>
              <w:t>0.61</w:t>
            </w:r>
            <w:r w:rsidR="00E77DB0" w:rsidRPr="007D2722">
              <w:rPr>
                <w:sz w:val="16"/>
                <w:szCs w:val="16"/>
              </w:rPr>
              <w:t>8</w:t>
            </w:r>
          </w:p>
        </w:tc>
        <w:tc>
          <w:tcPr>
            <w:tcW w:w="1843" w:type="dxa"/>
            <w:tcBorders>
              <w:top w:val="nil"/>
              <w:bottom w:val="nil"/>
            </w:tcBorders>
            <w:shd w:val="clear" w:color="auto" w:fill="FFFFFF"/>
            <w:vAlign w:val="center"/>
          </w:tcPr>
          <w:p w14:paraId="002BA359" w14:textId="2D181F78" w:rsidR="003C76F0" w:rsidRPr="007D2722" w:rsidRDefault="003C76F0" w:rsidP="00F14F40">
            <w:pPr>
              <w:pStyle w:val="CETBodytext"/>
              <w:jc w:val="center"/>
              <w:rPr>
                <w:sz w:val="16"/>
                <w:szCs w:val="16"/>
              </w:rPr>
            </w:pPr>
            <w:r w:rsidRPr="007D2722">
              <w:rPr>
                <w:sz w:val="16"/>
                <w:szCs w:val="16"/>
              </w:rPr>
              <w:t>0.11</w:t>
            </w:r>
            <w:r w:rsidR="00E77DB0" w:rsidRPr="007D2722">
              <w:rPr>
                <w:sz w:val="16"/>
                <w:szCs w:val="16"/>
              </w:rPr>
              <w:t>5</w:t>
            </w:r>
          </w:p>
        </w:tc>
        <w:tc>
          <w:tcPr>
            <w:tcW w:w="1276" w:type="dxa"/>
            <w:tcBorders>
              <w:top w:val="nil"/>
              <w:bottom w:val="nil"/>
            </w:tcBorders>
            <w:shd w:val="clear" w:color="auto" w:fill="FFFFFF"/>
            <w:vAlign w:val="center"/>
          </w:tcPr>
          <w:p w14:paraId="25263891" w14:textId="5700F6FD" w:rsidR="003C76F0" w:rsidRPr="007D2722" w:rsidRDefault="00E77DB0" w:rsidP="00F14F40">
            <w:pPr>
              <w:pStyle w:val="CETBodytext"/>
              <w:jc w:val="center"/>
              <w:rPr>
                <w:sz w:val="16"/>
                <w:szCs w:val="16"/>
              </w:rPr>
            </w:pPr>
            <w:r w:rsidRPr="007D2722">
              <w:rPr>
                <w:sz w:val="16"/>
                <w:szCs w:val="16"/>
              </w:rPr>
              <w:t>2.226</w:t>
            </w:r>
            <w:r w:rsidR="003C76F0" w:rsidRPr="007D2722">
              <w:rPr>
                <w:rFonts w:cs="Arial"/>
                <w:sz w:val="16"/>
                <w:szCs w:val="16"/>
              </w:rPr>
              <w:t>×</w:t>
            </w:r>
            <w:r w:rsidR="003C76F0" w:rsidRPr="007D2722">
              <w:rPr>
                <w:sz w:val="16"/>
                <w:szCs w:val="16"/>
              </w:rPr>
              <w:t>10</w:t>
            </w:r>
            <w:r w:rsidR="003C76F0" w:rsidRPr="007D2722">
              <w:rPr>
                <w:sz w:val="16"/>
                <w:szCs w:val="16"/>
                <w:vertAlign w:val="superscript"/>
              </w:rPr>
              <w:t>-3</w:t>
            </w:r>
          </w:p>
        </w:tc>
        <w:tc>
          <w:tcPr>
            <w:tcW w:w="1621" w:type="dxa"/>
            <w:tcBorders>
              <w:top w:val="nil"/>
              <w:bottom w:val="nil"/>
            </w:tcBorders>
            <w:shd w:val="clear" w:color="auto" w:fill="FFFFFF"/>
            <w:vAlign w:val="center"/>
          </w:tcPr>
          <w:p w14:paraId="4654E519" w14:textId="5C67CA3C" w:rsidR="003C76F0" w:rsidRPr="007D2722" w:rsidRDefault="003C76F0" w:rsidP="00F14F40">
            <w:pPr>
              <w:pStyle w:val="CETBodytext"/>
              <w:jc w:val="center"/>
              <w:rPr>
                <w:sz w:val="16"/>
                <w:szCs w:val="16"/>
              </w:rPr>
            </w:pPr>
            <w:r w:rsidRPr="007D2722">
              <w:rPr>
                <w:sz w:val="16"/>
                <w:szCs w:val="16"/>
              </w:rPr>
              <w:t>0.0</w:t>
            </w:r>
            <w:r w:rsidR="00E77DB0" w:rsidRPr="007D2722">
              <w:rPr>
                <w:sz w:val="16"/>
                <w:szCs w:val="16"/>
              </w:rPr>
              <w:t>60</w:t>
            </w:r>
          </w:p>
        </w:tc>
      </w:tr>
      <w:tr w:rsidR="003C76F0" w:rsidRPr="00717FC4" w14:paraId="66BBB6B0" w14:textId="77777777" w:rsidTr="00263396">
        <w:trPr>
          <w:trHeight w:val="80"/>
          <w:jc w:val="center"/>
        </w:trPr>
        <w:tc>
          <w:tcPr>
            <w:tcW w:w="1134" w:type="dxa"/>
            <w:vMerge/>
            <w:tcBorders>
              <w:bottom w:val="single" w:sz="4" w:space="0" w:color="2B8D3E"/>
            </w:tcBorders>
            <w:shd w:val="clear" w:color="auto" w:fill="FFFFFF"/>
            <w:vAlign w:val="center"/>
          </w:tcPr>
          <w:p w14:paraId="2888A883" w14:textId="77777777" w:rsidR="003C76F0" w:rsidRPr="007D2722" w:rsidRDefault="003C76F0" w:rsidP="00F14F40">
            <w:pPr>
              <w:pStyle w:val="CETBodytext"/>
              <w:jc w:val="center"/>
              <w:rPr>
                <w:sz w:val="16"/>
                <w:szCs w:val="16"/>
              </w:rPr>
            </w:pPr>
          </w:p>
        </w:tc>
        <w:tc>
          <w:tcPr>
            <w:tcW w:w="1067" w:type="dxa"/>
            <w:tcBorders>
              <w:top w:val="nil"/>
              <w:bottom w:val="single" w:sz="4" w:space="0" w:color="2B8D3E"/>
            </w:tcBorders>
            <w:shd w:val="clear" w:color="auto" w:fill="FFFFFF"/>
            <w:vAlign w:val="center"/>
          </w:tcPr>
          <w:p w14:paraId="1DB5611D" w14:textId="77777777" w:rsidR="003C76F0" w:rsidRPr="007D2722" w:rsidRDefault="003C76F0" w:rsidP="00F14F40">
            <w:pPr>
              <w:pStyle w:val="CETBodytext"/>
              <w:jc w:val="center"/>
              <w:rPr>
                <w:sz w:val="16"/>
                <w:szCs w:val="16"/>
              </w:rPr>
            </w:pPr>
            <m:oMathPara>
              <m:oMath>
                <m:r>
                  <w:rPr>
                    <w:rFonts w:ascii="Cambria Math" w:eastAsia="Cambria Math" w:hAnsi="Cambria Math" w:cs="Cambria Math"/>
                    <w:sz w:val="16"/>
                    <w:szCs w:val="16"/>
                  </w:rPr>
                  <m:t>MAE</m:t>
                </m:r>
              </m:oMath>
            </m:oMathPara>
          </w:p>
        </w:tc>
        <w:tc>
          <w:tcPr>
            <w:tcW w:w="1201" w:type="dxa"/>
            <w:tcBorders>
              <w:top w:val="nil"/>
              <w:bottom w:val="single" w:sz="4" w:space="0" w:color="2B8D3E"/>
            </w:tcBorders>
            <w:shd w:val="clear" w:color="auto" w:fill="FFFFFF"/>
            <w:vAlign w:val="center"/>
          </w:tcPr>
          <w:p w14:paraId="525B5FDD" w14:textId="2D94598A" w:rsidR="003C76F0" w:rsidRPr="007D2722" w:rsidRDefault="003C76F0" w:rsidP="00F14F40">
            <w:pPr>
              <w:pStyle w:val="CETBodytext"/>
              <w:jc w:val="center"/>
              <w:rPr>
                <w:sz w:val="16"/>
                <w:szCs w:val="16"/>
              </w:rPr>
            </w:pPr>
            <w:r w:rsidRPr="007D2722">
              <w:rPr>
                <w:sz w:val="16"/>
                <w:szCs w:val="16"/>
              </w:rPr>
              <w:t>0.08</w:t>
            </w:r>
            <w:r w:rsidR="00E77DB0" w:rsidRPr="007D2722">
              <w:rPr>
                <w:sz w:val="16"/>
                <w:szCs w:val="16"/>
              </w:rPr>
              <w:t>7</w:t>
            </w:r>
          </w:p>
        </w:tc>
        <w:tc>
          <w:tcPr>
            <w:tcW w:w="1843" w:type="dxa"/>
            <w:tcBorders>
              <w:top w:val="nil"/>
              <w:bottom w:val="single" w:sz="4" w:space="0" w:color="2B8D3E"/>
            </w:tcBorders>
            <w:shd w:val="clear" w:color="auto" w:fill="FFFFFF"/>
            <w:vAlign w:val="center"/>
          </w:tcPr>
          <w:p w14:paraId="16798252" w14:textId="5C9A9BD8" w:rsidR="003C76F0" w:rsidRPr="007D2722" w:rsidRDefault="003C76F0" w:rsidP="00F14F40">
            <w:pPr>
              <w:pStyle w:val="CETBodytext"/>
              <w:jc w:val="center"/>
              <w:rPr>
                <w:sz w:val="16"/>
                <w:szCs w:val="16"/>
              </w:rPr>
            </w:pPr>
            <w:r w:rsidRPr="007D2722">
              <w:rPr>
                <w:sz w:val="16"/>
                <w:szCs w:val="16"/>
              </w:rPr>
              <w:t>0.07</w:t>
            </w:r>
            <w:r w:rsidR="00E77DB0" w:rsidRPr="007D2722">
              <w:rPr>
                <w:sz w:val="16"/>
                <w:szCs w:val="16"/>
              </w:rPr>
              <w:t>1</w:t>
            </w:r>
          </w:p>
        </w:tc>
        <w:tc>
          <w:tcPr>
            <w:tcW w:w="1276" w:type="dxa"/>
            <w:tcBorders>
              <w:top w:val="nil"/>
              <w:bottom w:val="single" w:sz="4" w:space="0" w:color="2B8D3E"/>
            </w:tcBorders>
            <w:shd w:val="clear" w:color="auto" w:fill="FFFFFF"/>
            <w:vAlign w:val="center"/>
          </w:tcPr>
          <w:p w14:paraId="4E893FE2" w14:textId="474F7EF2" w:rsidR="003C76F0" w:rsidRPr="007D2722" w:rsidRDefault="003C76F0" w:rsidP="00F14F40">
            <w:pPr>
              <w:pStyle w:val="CETBodytext"/>
              <w:jc w:val="center"/>
              <w:rPr>
                <w:sz w:val="16"/>
                <w:szCs w:val="16"/>
              </w:rPr>
            </w:pPr>
            <w:r w:rsidRPr="007D2722">
              <w:rPr>
                <w:sz w:val="16"/>
                <w:szCs w:val="16"/>
              </w:rPr>
              <w:t>5.</w:t>
            </w:r>
            <w:r w:rsidR="00E77DB0" w:rsidRPr="007D2722">
              <w:rPr>
                <w:sz w:val="16"/>
                <w:szCs w:val="16"/>
              </w:rPr>
              <w:t>393</w:t>
            </w:r>
            <w:r w:rsidRPr="007D2722">
              <w:rPr>
                <w:rFonts w:cs="Arial"/>
                <w:sz w:val="16"/>
                <w:szCs w:val="16"/>
              </w:rPr>
              <w:t>×</w:t>
            </w:r>
            <w:r w:rsidRPr="007D2722">
              <w:rPr>
                <w:sz w:val="16"/>
                <w:szCs w:val="16"/>
              </w:rPr>
              <w:t>10</w:t>
            </w:r>
            <w:r w:rsidRPr="007D2722">
              <w:rPr>
                <w:sz w:val="16"/>
                <w:szCs w:val="16"/>
                <w:vertAlign w:val="superscript"/>
              </w:rPr>
              <w:t>-4</w:t>
            </w:r>
          </w:p>
        </w:tc>
        <w:tc>
          <w:tcPr>
            <w:tcW w:w="1621" w:type="dxa"/>
            <w:tcBorders>
              <w:top w:val="nil"/>
              <w:bottom w:val="single" w:sz="4" w:space="0" w:color="2B8D3E"/>
            </w:tcBorders>
            <w:shd w:val="clear" w:color="auto" w:fill="FFFFFF"/>
            <w:vAlign w:val="center"/>
          </w:tcPr>
          <w:p w14:paraId="02648E82" w14:textId="13955447" w:rsidR="003C76F0" w:rsidRPr="007D2722" w:rsidRDefault="003C76F0" w:rsidP="00F14F40">
            <w:pPr>
              <w:pStyle w:val="CETBodytext"/>
              <w:jc w:val="center"/>
              <w:rPr>
                <w:sz w:val="16"/>
                <w:szCs w:val="16"/>
              </w:rPr>
            </w:pPr>
            <w:r w:rsidRPr="007D2722">
              <w:rPr>
                <w:sz w:val="16"/>
                <w:szCs w:val="16"/>
              </w:rPr>
              <w:t>0.05</w:t>
            </w:r>
            <w:r w:rsidR="00E77DB0" w:rsidRPr="007D2722">
              <w:rPr>
                <w:sz w:val="16"/>
                <w:szCs w:val="16"/>
              </w:rPr>
              <w:t>2</w:t>
            </w:r>
          </w:p>
        </w:tc>
      </w:tr>
      <w:tr w:rsidR="003C76F0" w:rsidRPr="00717FC4" w14:paraId="4337FC15" w14:textId="77777777" w:rsidTr="00263396">
        <w:trPr>
          <w:trHeight w:val="53"/>
          <w:jc w:val="center"/>
        </w:trPr>
        <w:tc>
          <w:tcPr>
            <w:tcW w:w="1134" w:type="dxa"/>
            <w:vMerge w:val="restart"/>
            <w:tcBorders>
              <w:top w:val="single" w:sz="4" w:space="0" w:color="2B8D3E"/>
              <w:bottom w:val="nil"/>
            </w:tcBorders>
            <w:shd w:val="clear" w:color="auto" w:fill="FFFFFF"/>
            <w:vAlign w:val="center"/>
          </w:tcPr>
          <w:p w14:paraId="4A5C7740" w14:textId="77777777" w:rsidR="003C76F0" w:rsidRPr="00263396" w:rsidRDefault="003C76F0" w:rsidP="00F14F40">
            <w:pPr>
              <w:pStyle w:val="CETBodytext"/>
              <w:jc w:val="center"/>
              <w:rPr>
                <w:i/>
                <w:iCs/>
                <w:sz w:val="16"/>
                <w:szCs w:val="16"/>
              </w:rPr>
            </w:pPr>
            <w:r w:rsidRPr="00263396">
              <w:rPr>
                <w:i/>
                <w:iCs/>
                <w:sz w:val="16"/>
                <w:szCs w:val="16"/>
              </w:rPr>
              <w:t>Biomass</w:t>
            </w:r>
          </w:p>
        </w:tc>
        <w:tc>
          <w:tcPr>
            <w:tcW w:w="1067" w:type="dxa"/>
            <w:tcBorders>
              <w:top w:val="single" w:sz="4" w:space="0" w:color="2B8D3E"/>
              <w:bottom w:val="nil"/>
            </w:tcBorders>
            <w:shd w:val="clear" w:color="auto" w:fill="FFFFFF"/>
            <w:vAlign w:val="center"/>
          </w:tcPr>
          <w:p w14:paraId="58579FA6" w14:textId="77777777" w:rsidR="003C76F0" w:rsidRPr="00263396" w:rsidRDefault="003C76F0" w:rsidP="00F14F40">
            <w:pPr>
              <w:pStyle w:val="CETBodytext"/>
              <w:jc w:val="center"/>
              <w:rPr>
                <w:b/>
                <w:bCs/>
                <w:sz w:val="16"/>
                <w:szCs w:val="16"/>
              </w:rPr>
            </w:pPr>
          </w:p>
        </w:tc>
        <w:tc>
          <w:tcPr>
            <w:tcW w:w="5941" w:type="dxa"/>
            <w:gridSpan w:val="4"/>
            <w:tcBorders>
              <w:top w:val="single" w:sz="4" w:space="0" w:color="2B8D3E"/>
              <w:bottom w:val="single" w:sz="4" w:space="0" w:color="2B8D3E"/>
            </w:tcBorders>
            <w:shd w:val="clear" w:color="auto" w:fill="FFFFFF"/>
            <w:vAlign w:val="center"/>
          </w:tcPr>
          <w:p w14:paraId="3494957F" w14:textId="77777777" w:rsidR="003C76F0" w:rsidRPr="007D2722" w:rsidRDefault="003C76F0" w:rsidP="00F14F40">
            <w:pPr>
              <w:pStyle w:val="CETBodytext"/>
              <w:jc w:val="center"/>
              <w:rPr>
                <w:sz w:val="16"/>
                <w:szCs w:val="16"/>
              </w:rPr>
            </w:pPr>
            <w:r w:rsidRPr="007D2722">
              <w:rPr>
                <w:sz w:val="16"/>
                <w:szCs w:val="16"/>
              </w:rPr>
              <w:t>Training</w:t>
            </w:r>
          </w:p>
        </w:tc>
      </w:tr>
      <w:tr w:rsidR="003C76F0" w:rsidRPr="00717FC4" w14:paraId="33D72CBB" w14:textId="77777777" w:rsidTr="00263396">
        <w:trPr>
          <w:trHeight w:val="313"/>
          <w:jc w:val="center"/>
        </w:trPr>
        <w:tc>
          <w:tcPr>
            <w:tcW w:w="1134" w:type="dxa"/>
            <w:vMerge/>
            <w:tcBorders>
              <w:top w:val="nil"/>
              <w:bottom w:val="nil"/>
            </w:tcBorders>
            <w:shd w:val="clear" w:color="auto" w:fill="FFFFFF"/>
            <w:vAlign w:val="center"/>
          </w:tcPr>
          <w:p w14:paraId="55CE8E64"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70396738" w14:textId="77777777" w:rsidR="003C76F0" w:rsidRPr="00263396" w:rsidRDefault="00FB7F61" w:rsidP="00F14F40">
            <w:pPr>
              <w:pStyle w:val="CETBodytext"/>
              <w:jc w:val="center"/>
              <w:rPr>
                <w:b/>
                <w:bCs/>
                <w:sz w:val="16"/>
                <w:szCs w:val="16"/>
              </w:rPr>
            </w:pPr>
            <m:oMathPara>
              <m:oMath>
                <m:sSup>
                  <m:sSupPr>
                    <m:ctrlPr>
                      <w:rPr>
                        <w:rFonts w:ascii="Cambria Math" w:eastAsia="Cambria Math" w:hAnsi="Cambria Math" w:cs="Cambria Math"/>
                        <w:b/>
                        <w:bCs/>
                        <w:sz w:val="16"/>
                        <w:szCs w:val="16"/>
                      </w:rPr>
                    </m:ctrlPr>
                  </m:sSupPr>
                  <m:e>
                    <m:r>
                      <m:rPr>
                        <m:sty m:val="bi"/>
                      </m:rPr>
                      <w:rPr>
                        <w:rFonts w:ascii="Cambria Math" w:eastAsia="Cambria Math" w:hAnsi="Cambria Math" w:cs="Cambria Math"/>
                        <w:sz w:val="16"/>
                        <w:szCs w:val="16"/>
                      </w:rPr>
                      <m:t>R</m:t>
                    </m:r>
                  </m:e>
                  <m:sup>
                    <m:r>
                      <m:rPr>
                        <m:sty m:val="b"/>
                      </m:rPr>
                      <w:rPr>
                        <w:rFonts w:ascii="Cambria Math" w:eastAsia="Cambria Math" w:hAnsi="Cambria Math" w:cs="Cambria Math"/>
                        <w:sz w:val="16"/>
                        <w:szCs w:val="16"/>
                      </w:rPr>
                      <m:t>2</m:t>
                    </m:r>
                  </m:sup>
                </m:sSup>
              </m:oMath>
            </m:oMathPara>
          </w:p>
        </w:tc>
        <w:tc>
          <w:tcPr>
            <w:tcW w:w="1201" w:type="dxa"/>
            <w:tcBorders>
              <w:top w:val="single" w:sz="4" w:space="0" w:color="2B8D3E"/>
              <w:bottom w:val="nil"/>
            </w:tcBorders>
            <w:shd w:val="clear" w:color="auto" w:fill="FFFFFF"/>
            <w:vAlign w:val="center"/>
          </w:tcPr>
          <w:p w14:paraId="6539C7D4" w14:textId="59AD3FB0" w:rsidR="003C76F0" w:rsidRPr="007D2722" w:rsidRDefault="003C76F0" w:rsidP="00F14F40">
            <w:pPr>
              <w:pStyle w:val="CETBodytext"/>
              <w:jc w:val="center"/>
              <w:rPr>
                <w:sz w:val="16"/>
                <w:szCs w:val="16"/>
              </w:rPr>
            </w:pPr>
            <w:r w:rsidRPr="007D2722">
              <w:rPr>
                <w:sz w:val="16"/>
                <w:szCs w:val="16"/>
              </w:rPr>
              <w:t>0.99</w:t>
            </w:r>
            <w:r w:rsidR="00E07E03" w:rsidRPr="007D2722">
              <w:rPr>
                <w:sz w:val="16"/>
                <w:szCs w:val="16"/>
              </w:rPr>
              <w:t>2</w:t>
            </w:r>
          </w:p>
        </w:tc>
        <w:tc>
          <w:tcPr>
            <w:tcW w:w="1843" w:type="dxa"/>
            <w:tcBorders>
              <w:top w:val="single" w:sz="4" w:space="0" w:color="2B8D3E"/>
              <w:bottom w:val="nil"/>
            </w:tcBorders>
            <w:shd w:val="clear" w:color="auto" w:fill="FFFFFF"/>
            <w:vAlign w:val="center"/>
          </w:tcPr>
          <w:p w14:paraId="74B3ECD9" w14:textId="5788811F" w:rsidR="003C76F0" w:rsidRPr="007D2722" w:rsidRDefault="003C76F0" w:rsidP="00F14F40">
            <w:pPr>
              <w:pStyle w:val="CETBodytext"/>
              <w:jc w:val="center"/>
              <w:rPr>
                <w:sz w:val="16"/>
                <w:szCs w:val="16"/>
              </w:rPr>
            </w:pPr>
            <w:r w:rsidRPr="007D2722">
              <w:rPr>
                <w:sz w:val="16"/>
                <w:szCs w:val="16"/>
              </w:rPr>
              <w:t>0.99</w:t>
            </w:r>
            <w:r w:rsidR="00E07E03" w:rsidRPr="007D2722">
              <w:rPr>
                <w:sz w:val="16"/>
                <w:szCs w:val="16"/>
              </w:rPr>
              <w:t>4</w:t>
            </w:r>
          </w:p>
        </w:tc>
        <w:tc>
          <w:tcPr>
            <w:tcW w:w="1276" w:type="dxa"/>
            <w:tcBorders>
              <w:top w:val="single" w:sz="4" w:space="0" w:color="2B8D3E"/>
              <w:bottom w:val="nil"/>
            </w:tcBorders>
            <w:shd w:val="clear" w:color="auto" w:fill="FFFFFF"/>
            <w:vAlign w:val="center"/>
          </w:tcPr>
          <w:p w14:paraId="3592430F" w14:textId="44529BA1" w:rsidR="003C76F0" w:rsidRPr="007D2722" w:rsidRDefault="003C76F0" w:rsidP="00F14F40">
            <w:pPr>
              <w:pStyle w:val="CETBodytext"/>
              <w:jc w:val="center"/>
              <w:rPr>
                <w:sz w:val="16"/>
                <w:szCs w:val="16"/>
              </w:rPr>
            </w:pPr>
            <w:r w:rsidRPr="007D2722">
              <w:rPr>
                <w:sz w:val="16"/>
                <w:szCs w:val="16"/>
              </w:rPr>
              <w:t>0.9</w:t>
            </w:r>
            <w:r w:rsidR="00E07E03" w:rsidRPr="007D2722">
              <w:rPr>
                <w:sz w:val="16"/>
                <w:szCs w:val="16"/>
              </w:rPr>
              <w:t>99</w:t>
            </w:r>
          </w:p>
        </w:tc>
        <w:tc>
          <w:tcPr>
            <w:tcW w:w="1621" w:type="dxa"/>
            <w:tcBorders>
              <w:top w:val="single" w:sz="4" w:space="0" w:color="2B8D3E"/>
              <w:bottom w:val="nil"/>
            </w:tcBorders>
            <w:shd w:val="clear" w:color="auto" w:fill="FFFFFF"/>
            <w:vAlign w:val="center"/>
          </w:tcPr>
          <w:p w14:paraId="47236499" w14:textId="77777777" w:rsidR="003C76F0" w:rsidRPr="007D2722" w:rsidRDefault="003C76F0" w:rsidP="00F14F40">
            <w:pPr>
              <w:pStyle w:val="CETBodytext"/>
              <w:jc w:val="center"/>
              <w:rPr>
                <w:sz w:val="16"/>
                <w:szCs w:val="16"/>
              </w:rPr>
            </w:pPr>
            <w:r w:rsidRPr="007D2722">
              <w:rPr>
                <w:sz w:val="16"/>
                <w:szCs w:val="16"/>
              </w:rPr>
              <w:t>0.995</w:t>
            </w:r>
          </w:p>
        </w:tc>
      </w:tr>
      <w:tr w:rsidR="003C76F0" w:rsidRPr="00717FC4" w14:paraId="3C7D1AB5" w14:textId="77777777" w:rsidTr="00263396">
        <w:trPr>
          <w:trHeight w:val="288"/>
          <w:jc w:val="center"/>
        </w:trPr>
        <w:tc>
          <w:tcPr>
            <w:tcW w:w="1134" w:type="dxa"/>
            <w:vMerge/>
            <w:tcBorders>
              <w:top w:val="nil"/>
              <w:bottom w:val="nil"/>
            </w:tcBorders>
            <w:shd w:val="clear" w:color="auto" w:fill="FFFFFF"/>
            <w:vAlign w:val="center"/>
          </w:tcPr>
          <w:p w14:paraId="60DBD208"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6C155D69" w14:textId="77777777" w:rsidR="003C76F0" w:rsidRPr="00263396" w:rsidRDefault="003C76F0" w:rsidP="00F14F40">
            <w:pPr>
              <w:pStyle w:val="CETBodytext"/>
              <w:jc w:val="center"/>
              <w:rPr>
                <w:b/>
                <w:bCs/>
                <w:sz w:val="16"/>
                <w:szCs w:val="16"/>
              </w:rPr>
            </w:pPr>
            <m:oMathPara>
              <m:oMath>
                <m:r>
                  <m:rPr>
                    <m:sty m:val="bi"/>
                  </m:rPr>
                  <w:rPr>
                    <w:rFonts w:ascii="Cambria Math" w:eastAsia="Cambria Math" w:hAnsi="Cambria Math" w:cs="Cambria Math"/>
                    <w:sz w:val="16"/>
                    <w:szCs w:val="16"/>
                  </w:rPr>
                  <m:t>MSE</m:t>
                </m:r>
              </m:oMath>
            </m:oMathPara>
          </w:p>
        </w:tc>
        <w:tc>
          <w:tcPr>
            <w:tcW w:w="1201" w:type="dxa"/>
            <w:tcBorders>
              <w:top w:val="nil"/>
              <w:bottom w:val="nil"/>
            </w:tcBorders>
            <w:shd w:val="clear" w:color="auto" w:fill="FFFFFF"/>
            <w:vAlign w:val="center"/>
          </w:tcPr>
          <w:p w14:paraId="0AAD838D" w14:textId="59ADB130" w:rsidR="003C76F0" w:rsidRPr="007D2722" w:rsidRDefault="00E07E03" w:rsidP="00F14F40">
            <w:pPr>
              <w:pStyle w:val="CETBodytext"/>
              <w:jc w:val="center"/>
              <w:rPr>
                <w:sz w:val="16"/>
                <w:szCs w:val="16"/>
              </w:rPr>
            </w:pPr>
            <w:r w:rsidRPr="007D2722">
              <w:rPr>
                <w:sz w:val="16"/>
                <w:szCs w:val="16"/>
              </w:rPr>
              <w:t>7.569</w:t>
            </w:r>
            <w:r w:rsidR="003C76F0" w:rsidRPr="007D2722">
              <w:rPr>
                <w:rFonts w:cs="Arial"/>
                <w:sz w:val="16"/>
                <w:szCs w:val="16"/>
              </w:rPr>
              <w:t>×</w:t>
            </w:r>
            <w:r w:rsidR="003C76F0" w:rsidRPr="007D2722">
              <w:rPr>
                <w:sz w:val="16"/>
                <w:szCs w:val="16"/>
              </w:rPr>
              <w:t>10</w:t>
            </w:r>
            <w:r w:rsidR="003C76F0" w:rsidRPr="007D2722">
              <w:rPr>
                <w:sz w:val="16"/>
                <w:szCs w:val="16"/>
                <w:vertAlign w:val="superscript"/>
              </w:rPr>
              <w:t>-3</w:t>
            </w:r>
          </w:p>
        </w:tc>
        <w:tc>
          <w:tcPr>
            <w:tcW w:w="1843" w:type="dxa"/>
            <w:tcBorders>
              <w:top w:val="nil"/>
              <w:bottom w:val="nil"/>
            </w:tcBorders>
            <w:shd w:val="clear" w:color="auto" w:fill="FFFFFF"/>
            <w:vAlign w:val="center"/>
          </w:tcPr>
          <w:p w14:paraId="3D9C7C2F" w14:textId="77DD27FB" w:rsidR="003C76F0" w:rsidRPr="007D2722" w:rsidRDefault="00E07E03" w:rsidP="00F14F40">
            <w:pPr>
              <w:pStyle w:val="CETBodytext"/>
              <w:jc w:val="center"/>
              <w:rPr>
                <w:sz w:val="16"/>
                <w:szCs w:val="16"/>
              </w:rPr>
            </w:pPr>
            <w:r w:rsidRPr="007D2722">
              <w:rPr>
                <w:sz w:val="16"/>
                <w:szCs w:val="16"/>
              </w:rPr>
              <w:t>6.253</w:t>
            </w:r>
            <w:r w:rsidR="003C76F0" w:rsidRPr="007D2722">
              <w:rPr>
                <w:rFonts w:cs="Arial"/>
                <w:sz w:val="16"/>
                <w:szCs w:val="16"/>
              </w:rPr>
              <w:t>×</w:t>
            </w:r>
            <w:r w:rsidR="003C76F0" w:rsidRPr="007D2722">
              <w:rPr>
                <w:sz w:val="16"/>
                <w:szCs w:val="16"/>
              </w:rPr>
              <w:t>10</w:t>
            </w:r>
            <w:r w:rsidR="003C76F0" w:rsidRPr="007D2722">
              <w:rPr>
                <w:sz w:val="16"/>
                <w:szCs w:val="16"/>
                <w:vertAlign w:val="superscript"/>
              </w:rPr>
              <w:t>-3</w:t>
            </w:r>
          </w:p>
        </w:tc>
        <w:tc>
          <w:tcPr>
            <w:tcW w:w="1276" w:type="dxa"/>
            <w:tcBorders>
              <w:top w:val="nil"/>
              <w:bottom w:val="nil"/>
            </w:tcBorders>
            <w:shd w:val="clear" w:color="auto" w:fill="FFFFFF"/>
            <w:vAlign w:val="center"/>
          </w:tcPr>
          <w:p w14:paraId="3754E740" w14:textId="13C3CC9B" w:rsidR="003C76F0" w:rsidRPr="007D2722" w:rsidRDefault="00E07E03" w:rsidP="00F14F40">
            <w:pPr>
              <w:pStyle w:val="CETBodytext"/>
              <w:jc w:val="center"/>
              <w:rPr>
                <w:sz w:val="16"/>
                <w:szCs w:val="16"/>
              </w:rPr>
            </w:pPr>
            <w:r w:rsidRPr="007D2722">
              <w:rPr>
                <w:sz w:val="16"/>
                <w:szCs w:val="16"/>
              </w:rPr>
              <w:t>7.001</w:t>
            </w:r>
            <w:r w:rsidR="0073243B" w:rsidRPr="007D2722">
              <w:rPr>
                <w:rFonts w:cs="Arial"/>
                <w:sz w:val="16"/>
                <w:szCs w:val="16"/>
              </w:rPr>
              <w:t>×</w:t>
            </w:r>
            <w:r w:rsidR="0073243B" w:rsidRPr="007D2722">
              <w:rPr>
                <w:sz w:val="16"/>
                <w:szCs w:val="16"/>
              </w:rPr>
              <w:t>10</w:t>
            </w:r>
            <w:r w:rsidR="0073243B" w:rsidRPr="007D2722">
              <w:rPr>
                <w:sz w:val="16"/>
                <w:szCs w:val="16"/>
                <w:vertAlign w:val="superscript"/>
              </w:rPr>
              <w:t>-5</w:t>
            </w:r>
          </w:p>
        </w:tc>
        <w:tc>
          <w:tcPr>
            <w:tcW w:w="1621" w:type="dxa"/>
            <w:tcBorders>
              <w:top w:val="nil"/>
              <w:bottom w:val="nil"/>
            </w:tcBorders>
            <w:shd w:val="clear" w:color="auto" w:fill="FFFFFF"/>
            <w:vAlign w:val="center"/>
          </w:tcPr>
          <w:p w14:paraId="4F38435D" w14:textId="03A5CEC6" w:rsidR="003C76F0" w:rsidRPr="007D2722" w:rsidRDefault="00E07E03" w:rsidP="00F14F40">
            <w:pPr>
              <w:pStyle w:val="CETBodytext"/>
              <w:jc w:val="center"/>
              <w:rPr>
                <w:sz w:val="16"/>
                <w:szCs w:val="16"/>
              </w:rPr>
            </w:pPr>
            <w:r w:rsidRPr="007D2722">
              <w:rPr>
                <w:sz w:val="16"/>
                <w:szCs w:val="16"/>
              </w:rPr>
              <w:t>4.628</w:t>
            </w:r>
            <w:r w:rsidR="003C76F0" w:rsidRPr="007D2722">
              <w:rPr>
                <w:rFonts w:cs="Arial"/>
                <w:sz w:val="16"/>
                <w:szCs w:val="16"/>
              </w:rPr>
              <w:t>×</w:t>
            </w:r>
            <w:r w:rsidR="003C76F0" w:rsidRPr="007D2722">
              <w:rPr>
                <w:sz w:val="16"/>
                <w:szCs w:val="16"/>
              </w:rPr>
              <w:t>10</w:t>
            </w:r>
            <w:r w:rsidR="003C76F0" w:rsidRPr="007D2722">
              <w:rPr>
                <w:sz w:val="16"/>
                <w:szCs w:val="16"/>
                <w:vertAlign w:val="superscript"/>
              </w:rPr>
              <w:t>-3</w:t>
            </w:r>
          </w:p>
        </w:tc>
      </w:tr>
      <w:tr w:rsidR="003C76F0" w:rsidRPr="00717FC4" w14:paraId="336EDD9B" w14:textId="77777777" w:rsidTr="00263396">
        <w:trPr>
          <w:trHeight w:val="288"/>
          <w:jc w:val="center"/>
        </w:trPr>
        <w:tc>
          <w:tcPr>
            <w:tcW w:w="1134" w:type="dxa"/>
            <w:vMerge/>
            <w:tcBorders>
              <w:top w:val="nil"/>
              <w:bottom w:val="nil"/>
            </w:tcBorders>
            <w:shd w:val="clear" w:color="auto" w:fill="FFFFFF"/>
            <w:vAlign w:val="center"/>
          </w:tcPr>
          <w:p w14:paraId="26765604"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24CE9D23" w14:textId="77777777" w:rsidR="003C76F0" w:rsidRPr="00263396" w:rsidRDefault="003C76F0" w:rsidP="00F14F40">
            <w:pPr>
              <w:pStyle w:val="CETBodytext"/>
              <w:jc w:val="center"/>
              <w:rPr>
                <w:b/>
                <w:bCs/>
                <w:sz w:val="16"/>
                <w:szCs w:val="16"/>
              </w:rPr>
            </w:pPr>
            <m:oMathPara>
              <m:oMath>
                <m:r>
                  <m:rPr>
                    <m:sty m:val="bi"/>
                  </m:rPr>
                  <w:rPr>
                    <w:rFonts w:ascii="Cambria Math" w:eastAsia="Cambria Math" w:hAnsi="Cambria Math" w:cs="Cambria Math"/>
                    <w:sz w:val="16"/>
                    <w:szCs w:val="16"/>
                  </w:rPr>
                  <m:t>RMSE</m:t>
                </m:r>
              </m:oMath>
            </m:oMathPara>
          </w:p>
        </w:tc>
        <w:tc>
          <w:tcPr>
            <w:tcW w:w="1201" w:type="dxa"/>
            <w:tcBorders>
              <w:top w:val="nil"/>
              <w:bottom w:val="nil"/>
            </w:tcBorders>
            <w:shd w:val="clear" w:color="auto" w:fill="FFFFFF"/>
            <w:vAlign w:val="center"/>
          </w:tcPr>
          <w:p w14:paraId="256F1EB5" w14:textId="2D7499D1" w:rsidR="003C76F0" w:rsidRPr="007D2722" w:rsidRDefault="003C76F0" w:rsidP="00F14F40">
            <w:pPr>
              <w:pStyle w:val="CETBodytext"/>
              <w:jc w:val="center"/>
              <w:rPr>
                <w:sz w:val="16"/>
                <w:szCs w:val="16"/>
              </w:rPr>
            </w:pPr>
            <w:r w:rsidRPr="007D2722">
              <w:rPr>
                <w:sz w:val="16"/>
                <w:szCs w:val="16"/>
              </w:rPr>
              <w:t>0.0</w:t>
            </w:r>
            <w:r w:rsidR="00E07E03" w:rsidRPr="007D2722">
              <w:rPr>
                <w:sz w:val="16"/>
                <w:szCs w:val="16"/>
              </w:rPr>
              <w:t>87</w:t>
            </w:r>
          </w:p>
        </w:tc>
        <w:tc>
          <w:tcPr>
            <w:tcW w:w="1843" w:type="dxa"/>
            <w:tcBorders>
              <w:top w:val="nil"/>
              <w:bottom w:val="nil"/>
            </w:tcBorders>
            <w:shd w:val="clear" w:color="auto" w:fill="FFFFFF"/>
            <w:vAlign w:val="center"/>
          </w:tcPr>
          <w:p w14:paraId="32F9DB2C" w14:textId="7C5AC2C7" w:rsidR="003C76F0" w:rsidRPr="007D2722" w:rsidRDefault="003C76F0" w:rsidP="00F14F40">
            <w:pPr>
              <w:pStyle w:val="CETBodytext"/>
              <w:jc w:val="center"/>
              <w:rPr>
                <w:sz w:val="16"/>
                <w:szCs w:val="16"/>
              </w:rPr>
            </w:pPr>
            <w:r w:rsidRPr="007D2722">
              <w:rPr>
                <w:sz w:val="16"/>
                <w:szCs w:val="16"/>
              </w:rPr>
              <w:t>0.0</w:t>
            </w:r>
            <w:r w:rsidR="00CE3687" w:rsidRPr="007D2722">
              <w:rPr>
                <w:sz w:val="16"/>
                <w:szCs w:val="16"/>
              </w:rPr>
              <w:t>7</w:t>
            </w:r>
            <w:r w:rsidR="00E07E03" w:rsidRPr="007D2722">
              <w:rPr>
                <w:sz w:val="16"/>
                <w:szCs w:val="16"/>
              </w:rPr>
              <w:t>9</w:t>
            </w:r>
          </w:p>
        </w:tc>
        <w:tc>
          <w:tcPr>
            <w:tcW w:w="1276" w:type="dxa"/>
            <w:tcBorders>
              <w:top w:val="nil"/>
              <w:bottom w:val="nil"/>
            </w:tcBorders>
            <w:shd w:val="clear" w:color="auto" w:fill="FFFFFF"/>
            <w:vAlign w:val="center"/>
          </w:tcPr>
          <w:p w14:paraId="365A0386" w14:textId="2E4C41A8" w:rsidR="003C76F0" w:rsidRPr="007D2722" w:rsidRDefault="00E07E03" w:rsidP="00F14F40">
            <w:pPr>
              <w:pStyle w:val="CETBodytext"/>
              <w:jc w:val="center"/>
              <w:rPr>
                <w:sz w:val="16"/>
                <w:szCs w:val="16"/>
              </w:rPr>
            </w:pPr>
            <w:r w:rsidRPr="007D2722">
              <w:rPr>
                <w:sz w:val="16"/>
                <w:szCs w:val="16"/>
              </w:rPr>
              <w:t>8.368</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p>
        </w:tc>
        <w:tc>
          <w:tcPr>
            <w:tcW w:w="1621" w:type="dxa"/>
            <w:tcBorders>
              <w:top w:val="nil"/>
              <w:bottom w:val="nil"/>
            </w:tcBorders>
            <w:shd w:val="clear" w:color="auto" w:fill="FFFFFF"/>
            <w:vAlign w:val="center"/>
          </w:tcPr>
          <w:p w14:paraId="3645EBAB" w14:textId="61715D5C" w:rsidR="003C76F0" w:rsidRPr="007D2722" w:rsidRDefault="003C76F0" w:rsidP="00F14F40">
            <w:pPr>
              <w:pStyle w:val="CETBodytext"/>
              <w:jc w:val="center"/>
              <w:rPr>
                <w:sz w:val="16"/>
                <w:szCs w:val="16"/>
              </w:rPr>
            </w:pPr>
            <w:r w:rsidRPr="007D2722">
              <w:rPr>
                <w:sz w:val="16"/>
                <w:szCs w:val="16"/>
              </w:rPr>
              <w:t>0.0</w:t>
            </w:r>
            <w:r w:rsidR="00E07E03" w:rsidRPr="007D2722">
              <w:rPr>
                <w:sz w:val="16"/>
                <w:szCs w:val="16"/>
              </w:rPr>
              <w:t>68</w:t>
            </w:r>
          </w:p>
        </w:tc>
      </w:tr>
      <w:tr w:rsidR="003C76F0" w:rsidRPr="00717FC4" w14:paraId="5C6624F7" w14:textId="77777777" w:rsidTr="00263396">
        <w:trPr>
          <w:trHeight w:val="63"/>
          <w:jc w:val="center"/>
        </w:trPr>
        <w:tc>
          <w:tcPr>
            <w:tcW w:w="1134" w:type="dxa"/>
            <w:vMerge/>
            <w:tcBorders>
              <w:top w:val="nil"/>
              <w:bottom w:val="nil"/>
            </w:tcBorders>
            <w:shd w:val="clear" w:color="auto" w:fill="FFFFFF"/>
            <w:vAlign w:val="center"/>
          </w:tcPr>
          <w:p w14:paraId="3F385F05"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70A2293E" w14:textId="77777777" w:rsidR="003C76F0" w:rsidRPr="00263396" w:rsidRDefault="003C76F0" w:rsidP="00F14F40">
            <w:pPr>
              <w:pStyle w:val="CETBodytext"/>
              <w:jc w:val="center"/>
              <w:rPr>
                <w:b/>
                <w:bCs/>
                <w:sz w:val="16"/>
                <w:szCs w:val="16"/>
              </w:rPr>
            </w:pPr>
            <m:oMathPara>
              <m:oMath>
                <m:r>
                  <m:rPr>
                    <m:sty m:val="bi"/>
                  </m:rPr>
                  <w:rPr>
                    <w:rFonts w:ascii="Cambria Math" w:eastAsia="Cambria Math" w:hAnsi="Cambria Math" w:cs="Cambria Math"/>
                    <w:sz w:val="16"/>
                    <w:szCs w:val="16"/>
                  </w:rPr>
                  <m:t>MAE</m:t>
                </m:r>
              </m:oMath>
            </m:oMathPara>
          </w:p>
        </w:tc>
        <w:tc>
          <w:tcPr>
            <w:tcW w:w="1201" w:type="dxa"/>
            <w:tcBorders>
              <w:top w:val="nil"/>
              <w:bottom w:val="single" w:sz="4" w:space="0" w:color="2B8D3E"/>
            </w:tcBorders>
            <w:shd w:val="clear" w:color="auto" w:fill="FFFFFF"/>
            <w:vAlign w:val="center"/>
          </w:tcPr>
          <w:p w14:paraId="181514FB" w14:textId="239F755E" w:rsidR="003C76F0" w:rsidRPr="007D2722" w:rsidRDefault="003C76F0" w:rsidP="00F14F40">
            <w:pPr>
              <w:pStyle w:val="CETBodytext"/>
              <w:jc w:val="center"/>
              <w:rPr>
                <w:sz w:val="16"/>
                <w:szCs w:val="16"/>
              </w:rPr>
            </w:pPr>
            <w:r w:rsidRPr="007D2722">
              <w:rPr>
                <w:sz w:val="16"/>
                <w:szCs w:val="16"/>
              </w:rPr>
              <w:t>0.0</w:t>
            </w:r>
            <w:r w:rsidR="00E07E03" w:rsidRPr="007D2722">
              <w:rPr>
                <w:sz w:val="16"/>
                <w:szCs w:val="16"/>
              </w:rPr>
              <w:t>59</w:t>
            </w:r>
          </w:p>
        </w:tc>
        <w:tc>
          <w:tcPr>
            <w:tcW w:w="1843" w:type="dxa"/>
            <w:tcBorders>
              <w:top w:val="nil"/>
              <w:bottom w:val="single" w:sz="4" w:space="0" w:color="2B8D3E"/>
            </w:tcBorders>
            <w:shd w:val="clear" w:color="auto" w:fill="FFFFFF"/>
            <w:vAlign w:val="center"/>
          </w:tcPr>
          <w:p w14:paraId="7BD2928F" w14:textId="340F1BA6" w:rsidR="003C76F0" w:rsidRPr="007D2722" w:rsidRDefault="003C76F0" w:rsidP="00F14F40">
            <w:pPr>
              <w:pStyle w:val="CETBodytext"/>
              <w:jc w:val="center"/>
              <w:rPr>
                <w:sz w:val="16"/>
                <w:szCs w:val="16"/>
              </w:rPr>
            </w:pPr>
            <w:r w:rsidRPr="007D2722">
              <w:rPr>
                <w:sz w:val="16"/>
                <w:szCs w:val="16"/>
              </w:rPr>
              <w:t>0.05</w:t>
            </w:r>
            <w:r w:rsidR="00E07E03" w:rsidRPr="007D2722">
              <w:rPr>
                <w:sz w:val="16"/>
                <w:szCs w:val="16"/>
              </w:rPr>
              <w:t>4</w:t>
            </w:r>
          </w:p>
        </w:tc>
        <w:tc>
          <w:tcPr>
            <w:tcW w:w="1276" w:type="dxa"/>
            <w:tcBorders>
              <w:top w:val="nil"/>
              <w:bottom w:val="single" w:sz="4" w:space="0" w:color="2B8D3E"/>
            </w:tcBorders>
            <w:shd w:val="clear" w:color="auto" w:fill="FFFFFF"/>
            <w:vAlign w:val="center"/>
          </w:tcPr>
          <w:p w14:paraId="584D6CB0" w14:textId="3D5EEC30" w:rsidR="003C76F0" w:rsidRPr="007D2722" w:rsidRDefault="00E07E03" w:rsidP="00F14F40">
            <w:pPr>
              <w:pStyle w:val="CETBodytext"/>
              <w:jc w:val="center"/>
              <w:rPr>
                <w:sz w:val="16"/>
                <w:szCs w:val="16"/>
              </w:rPr>
            </w:pPr>
            <w:r w:rsidRPr="007D2722">
              <w:rPr>
                <w:sz w:val="16"/>
                <w:szCs w:val="16"/>
              </w:rPr>
              <w:t>2.178</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p>
        </w:tc>
        <w:tc>
          <w:tcPr>
            <w:tcW w:w="1621" w:type="dxa"/>
            <w:tcBorders>
              <w:top w:val="nil"/>
              <w:bottom w:val="single" w:sz="4" w:space="0" w:color="2B8D3E"/>
            </w:tcBorders>
            <w:shd w:val="clear" w:color="auto" w:fill="FFFFFF"/>
            <w:vAlign w:val="center"/>
          </w:tcPr>
          <w:p w14:paraId="2D4F75C7" w14:textId="7F33B16A" w:rsidR="003C76F0" w:rsidRPr="007D2722" w:rsidRDefault="003C76F0" w:rsidP="00F14F40">
            <w:pPr>
              <w:pStyle w:val="CETBodytext"/>
              <w:jc w:val="center"/>
              <w:rPr>
                <w:sz w:val="16"/>
                <w:szCs w:val="16"/>
              </w:rPr>
            </w:pPr>
            <w:r w:rsidRPr="007D2722">
              <w:rPr>
                <w:sz w:val="16"/>
                <w:szCs w:val="16"/>
              </w:rPr>
              <w:t>0.06</w:t>
            </w:r>
            <w:r w:rsidR="00E07E03" w:rsidRPr="007D2722">
              <w:rPr>
                <w:sz w:val="16"/>
                <w:szCs w:val="16"/>
              </w:rPr>
              <w:t>2</w:t>
            </w:r>
          </w:p>
        </w:tc>
      </w:tr>
      <w:tr w:rsidR="003C76F0" w:rsidRPr="00717FC4" w14:paraId="3EAC223C" w14:textId="77777777" w:rsidTr="00263396">
        <w:trPr>
          <w:trHeight w:val="53"/>
          <w:jc w:val="center"/>
        </w:trPr>
        <w:tc>
          <w:tcPr>
            <w:tcW w:w="1134" w:type="dxa"/>
            <w:vMerge/>
            <w:tcBorders>
              <w:top w:val="nil"/>
              <w:bottom w:val="nil"/>
            </w:tcBorders>
            <w:shd w:val="clear" w:color="auto" w:fill="FFFFFF"/>
            <w:vAlign w:val="center"/>
          </w:tcPr>
          <w:p w14:paraId="55A4F11E"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33C3007D" w14:textId="77777777" w:rsidR="003C76F0" w:rsidRPr="00263396" w:rsidRDefault="003C76F0" w:rsidP="00F14F40">
            <w:pPr>
              <w:pStyle w:val="CETBodytext"/>
              <w:jc w:val="center"/>
              <w:rPr>
                <w:b/>
                <w:bCs/>
                <w:sz w:val="16"/>
                <w:szCs w:val="16"/>
              </w:rPr>
            </w:pPr>
          </w:p>
        </w:tc>
        <w:tc>
          <w:tcPr>
            <w:tcW w:w="5941" w:type="dxa"/>
            <w:gridSpan w:val="4"/>
            <w:tcBorders>
              <w:top w:val="single" w:sz="4" w:space="0" w:color="2B8D3E"/>
              <w:bottom w:val="single" w:sz="4" w:space="0" w:color="2B8D3E"/>
            </w:tcBorders>
            <w:shd w:val="clear" w:color="auto" w:fill="FFFFFF"/>
            <w:vAlign w:val="center"/>
          </w:tcPr>
          <w:p w14:paraId="5AF68729" w14:textId="77777777" w:rsidR="003C76F0" w:rsidRPr="007D2722" w:rsidRDefault="003C76F0" w:rsidP="00F14F40">
            <w:pPr>
              <w:pStyle w:val="CETBodytext"/>
              <w:jc w:val="center"/>
              <w:rPr>
                <w:sz w:val="16"/>
                <w:szCs w:val="16"/>
              </w:rPr>
            </w:pPr>
            <w:r w:rsidRPr="007D2722">
              <w:rPr>
                <w:sz w:val="16"/>
                <w:szCs w:val="16"/>
              </w:rPr>
              <w:t>Test</w:t>
            </w:r>
          </w:p>
        </w:tc>
      </w:tr>
      <w:tr w:rsidR="003C76F0" w:rsidRPr="00717FC4" w14:paraId="7013DFAE" w14:textId="77777777" w:rsidTr="00263396">
        <w:trPr>
          <w:trHeight w:val="313"/>
          <w:jc w:val="center"/>
        </w:trPr>
        <w:tc>
          <w:tcPr>
            <w:tcW w:w="1134" w:type="dxa"/>
            <w:vMerge/>
            <w:tcBorders>
              <w:top w:val="nil"/>
              <w:bottom w:val="nil"/>
            </w:tcBorders>
            <w:shd w:val="clear" w:color="auto" w:fill="FFFFFF"/>
            <w:vAlign w:val="center"/>
          </w:tcPr>
          <w:p w14:paraId="6CAA38AD"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594D3FBB" w14:textId="77777777" w:rsidR="003C76F0" w:rsidRPr="00263396" w:rsidRDefault="00FB7F61" w:rsidP="00F14F40">
            <w:pPr>
              <w:pStyle w:val="CETBodytext"/>
              <w:jc w:val="center"/>
              <w:rPr>
                <w:b/>
                <w:bCs/>
                <w:sz w:val="16"/>
                <w:szCs w:val="16"/>
              </w:rPr>
            </w:pPr>
            <m:oMathPara>
              <m:oMath>
                <m:sSup>
                  <m:sSupPr>
                    <m:ctrlPr>
                      <w:rPr>
                        <w:rFonts w:ascii="Cambria Math" w:eastAsia="Cambria Math" w:hAnsi="Cambria Math" w:cs="Cambria Math"/>
                        <w:b/>
                        <w:bCs/>
                        <w:sz w:val="16"/>
                        <w:szCs w:val="16"/>
                      </w:rPr>
                    </m:ctrlPr>
                  </m:sSupPr>
                  <m:e>
                    <m:r>
                      <m:rPr>
                        <m:sty m:val="bi"/>
                      </m:rPr>
                      <w:rPr>
                        <w:rFonts w:ascii="Cambria Math" w:eastAsia="Cambria Math" w:hAnsi="Cambria Math" w:cs="Cambria Math"/>
                        <w:sz w:val="16"/>
                        <w:szCs w:val="16"/>
                      </w:rPr>
                      <m:t>R</m:t>
                    </m:r>
                  </m:e>
                  <m:sup>
                    <m:r>
                      <m:rPr>
                        <m:sty m:val="b"/>
                      </m:rPr>
                      <w:rPr>
                        <w:rFonts w:ascii="Cambria Math" w:eastAsia="Cambria Math" w:hAnsi="Cambria Math" w:cs="Cambria Math"/>
                        <w:sz w:val="16"/>
                        <w:szCs w:val="16"/>
                      </w:rPr>
                      <m:t>2</m:t>
                    </m:r>
                  </m:sup>
                </m:sSup>
              </m:oMath>
            </m:oMathPara>
          </w:p>
        </w:tc>
        <w:tc>
          <w:tcPr>
            <w:tcW w:w="1201" w:type="dxa"/>
            <w:tcBorders>
              <w:top w:val="single" w:sz="4" w:space="0" w:color="2B8D3E"/>
            </w:tcBorders>
            <w:shd w:val="clear" w:color="auto" w:fill="FFFFFF"/>
            <w:vAlign w:val="center"/>
          </w:tcPr>
          <w:p w14:paraId="0392BE95" w14:textId="020E8AB4" w:rsidR="003C76F0" w:rsidRPr="007D2722" w:rsidRDefault="003C76F0" w:rsidP="00F14F40">
            <w:pPr>
              <w:pStyle w:val="CETBodytext"/>
              <w:jc w:val="center"/>
              <w:rPr>
                <w:sz w:val="16"/>
                <w:szCs w:val="16"/>
              </w:rPr>
            </w:pPr>
            <w:r w:rsidRPr="007D2722">
              <w:rPr>
                <w:sz w:val="16"/>
                <w:szCs w:val="16"/>
              </w:rPr>
              <w:t>0.9</w:t>
            </w:r>
            <w:r w:rsidR="00E07E03" w:rsidRPr="007D2722">
              <w:rPr>
                <w:sz w:val="16"/>
                <w:szCs w:val="16"/>
              </w:rPr>
              <w:t>92</w:t>
            </w:r>
          </w:p>
        </w:tc>
        <w:tc>
          <w:tcPr>
            <w:tcW w:w="1843" w:type="dxa"/>
            <w:tcBorders>
              <w:top w:val="single" w:sz="4" w:space="0" w:color="2B8D3E"/>
            </w:tcBorders>
            <w:shd w:val="clear" w:color="auto" w:fill="FFFFFF"/>
            <w:vAlign w:val="center"/>
          </w:tcPr>
          <w:p w14:paraId="2FA5FED8" w14:textId="66619144" w:rsidR="003C76F0" w:rsidRPr="007D2722" w:rsidRDefault="003C76F0" w:rsidP="00F14F40">
            <w:pPr>
              <w:pStyle w:val="CETBodytext"/>
              <w:jc w:val="center"/>
              <w:rPr>
                <w:sz w:val="16"/>
                <w:szCs w:val="16"/>
              </w:rPr>
            </w:pPr>
            <w:r w:rsidRPr="007D2722">
              <w:rPr>
                <w:sz w:val="16"/>
                <w:szCs w:val="16"/>
              </w:rPr>
              <w:t>0.9</w:t>
            </w:r>
            <w:r w:rsidR="00E07E03" w:rsidRPr="007D2722">
              <w:rPr>
                <w:sz w:val="16"/>
                <w:szCs w:val="16"/>
              </w:rPr>
              <w:t>94</w:t>
            </w:r>
          </w:p>
        </w:tc>
        <w:tc>
          <w:tcPr>
            <w:tcW w:w="1276" w:type="dxa"/>
            <w:tcBorders>
              <w:top w:val="single" w:sz="4" w:space="0" w:color="2B8D3E"/>
            </w:tcBorders>
            <w:shd w:val="clear" w:color="auto" w:fill="FFFFFF"/>
            <w:vAlign w:val="center"/>
          </w:tcPr>
          <w:p w14:paraId="0E2E7E76" w14:textId="1DDC7062" w:rsidR="003C76F0" w:rsidRPr="007D2722" w:rsidRDefault="003C76F0" w:rsidP="00F14F40">
            <w:pPr>
              <w:pStyle w:val="CETBodytext"/>
              <w:jc w:val="center"/>
              <w:rPr>
                <w:sz w:val="16"/>
                <w:szCs w:val="16"/>
              </w:rPr>
            </w:pPr>
            <w:r w:rsidRPr="007D2722">
              <w:rPr>
                <w:sz w:val="16"/>
                <w:szCs w:val="16"/>
              </w:rPr>
              <w:t>0.9</w:t>
            </w:r>
            <w:r w:rsidR="00E07E03" w:rsidRPr="007D2722">
              <w:rPr>
                <w:sz w:val="16"/>
                <w:szCs w:val="16"/>
              </w:rPr>
              <w:t>99</w:t>
            </w:r>
          </w:p>
        </w:tc>
        <w:tc>
          <w:tcPr>
            <w:tcW w:w="1621" w:type="dxa"/>
            <w:tcBorders>
              <w:top w:val="single" w:sz="4" w:space="0" w:color="2B8D3E"/>
            </w:tcBorders>
            <w:shd w:val="clear" w:color="auto" w:fill="FFFFFF"/>
            <w:vAlign w:val="center"/>
          </w:tcPr>
          <w:p w14:paraId="28B62E1D" w14:textId="5C789721" w:rsidR="003C76F0" w:rsidRPr="007D2722" w:rsidRDefault="003C76F0" w:rsidP="00F14F40">
            <w:pPr>
              <w:pStyle w:val="CETBodytext"/>
              <w:jc w:val="center"/>
              <w:rPr>
                <w:sz w:val="16"/>
                <w:szCs w:val="16"/>
              </w:rPr>
            </w:pPr>
            <w:r w:rsidRPr="007D2722">
              <w:rPr>
                <w:sz w:val="16"/>
                <w:szCs w:val="16"/>
              </w:rPr>
              <w:t>0.9</w:t>
            </w:r>
            <w:r w:rsidR="00E07E03" w:rsidRPr="007D2722">
              <w:rPr>
                <w:sz w:val="16"/>
                <w:szCs w:val="16"/>
              </w:rPr>
              <w:t>95</w:t>
            </w:r>
          </w:p>
        </w:tc>
      </w:tr>
      <w:tr w:rsidR="003C76F0" w:rsidRPr="00717FC4" w14:paraId="4DFA0803" w14:textId="77777777" w:rsidTr="00263396">
        <w:trPr>
          <w:trHeight w:val="288"/>
          <w:jc w:val="center"/>
        </w:trPr>
        <w:tc>
          <w:tcPr>
            <w:tcW w:w="1134" w:type="dxa"/>
            <w:vMerge/>
            <w:tcBorders>
              <w:top w:val="nil"/>
              <w:bottom w:val="nil"/>
            </w:tcBorders>
            <w:shd w:val="clear" w:color="auto" w:fill="FFFFFF"/>
            <w:vAlign w:val="center"/>
          </w:tcPr>
          <w:p w14:paraId="45790B8C"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4FBCE515" w14:textId="77777777" w:rsidR="003C76F0" w:rsidRPr="00263396" w:rsidRDefault="003C76F0" w:rsidP="00F14F40">
            <w:pPr>
              <w:pStyle w:val="CETBodytext"/>
              <w:jc w:val="center"/>
              <w:rPr>
                <w:b/>
                <w:bCs/>
                <w:sz w:val="16"/>
                <w:szCs w:val="16"/>
              </w:rPr>
            </w:pPr>
            <m:oMathPara>
              <m:oMath>
                <m:r>
                  <m:rPr>
                    <m:sty m:val="bi"/>
                  </m:rPr>
                  <w:rPr>
                    <w:rFonts w:ascii="Cambria Math" w:eastAsia="Cambria Math" w:hAnsi="Cambria Math" w:cs="Cambria Math"/>
                    <w:sz w:val="16"/>
                    <w:szCs w:val="16"/>
                  </w:rPr>
                  <m:t>MSE</m:t>
                </m:r>
              </m:oMath>
            </m:oMathPara>
          </w:p>
        </w:tc>
        <w:tc>
          <w:tcPr>
            <w:tcW w:w="1201" w:type="dxa"/>
            <w:tcBorders>
              <w:top w:val="nil"/>
            </w:tcBorders>
            <w:shd w:val="clear" w:color="auto" w:fill="FFFFFF"/>
            <w:vAlign w:val="center"/>
          </w:tcPr>
          <w:p w14:paraId="1CAD2DB3" w14:textId="78455157" w:rsidR="003C76F0" w:rsidRPr="007D2722" w:rsidRDefault="00E07E03" w:rsidP="00F14F40">
            <w:pPr>
              <w:pStyle w:val="CETBodytext"/>
              <w:jc w:val="center"/>
              <w:rPr>
                <w:sz w:val="16"/>
                <w:szCs w:val="16"/>
              </w:rPr>
            </w:pPr>
            <w:bookmarkStart w:id="3" w:name="_Hlk188014902"/>
            <w:r w:rsidRPr="007D2722">
              <w:rPr>
                <w:sz w:val="16"/>
                <w:szCs w:val="16"/>
              </w:rPr>
              <w:t>8.356</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bookmarkEnd w:id="3"/>
          </w:p>
        </w:tc>
        <w:tc>
          <w:tcPr>
            <w:tcW w:w="1843" w:type="dxa"/>
            <w:tcBorders>
              <w:top w:val="nil"/>
            </w:tcBorders>
            <w:shd w:val="clear" w:color="auto" w:fill="FFFFFF"/>
            <w:vAlign w:val="center"/>
          </w:tcPr>
          <w:p w14:paraId="3ABEE20D" w14:textId="07C7D6BC" w:rsidR="003C76F0" w:rsidRPr="007D2722" w:rsidRDefault="00E07E03" w:rsidP="00F14F40">
            <w:pPr>
              <w:pStyle w:val="CETBodytext"/>
              <w:jc w:val="center"/>
              <w:rPr>
                <w:sz w:val="16"/>
                <w:szCs w:val="16"/>
              </w:rPr>
            </w:pPr>
            <w:r w:rsidRPr="007D2722">
              <w:rPr>
                <w:sz w:val="16"/>
                <w:szCs w:val="16"/>
              </w:rPr>
              <w:t>6.113</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p>
        </w:tc>
        <w:tc>
          <w:tcPr>
            <w:tcW w:w="1276" w:type="dxa"/>
            <w:tcBorders>
              <w:top w:val="nil"/>
            </w:tcBorders>
            <w:shd w:val="clear" w:color="auto" w:fill="FFFFFF"/>
            <w:vAlign w:val="center"/>
          </w:tcPr>
          <w:p w14:paraId="47F2E523" w14:textId="20268E35" w:rsidR="003C76F0" w:rsidRPr="007D2722" w:rsidRDefault="00E07E03" w:rsidP="00F14F40">
            <w:pPr>
              <w:pStyle w:val="CETBodytext"/>
              <w:jc w:val="center"/>
              <w:rPr>
                <w:sz w:val="16"/>
                <w:szCs w:val="16"/>
              </w:rPr>
            </w:pPr>
            <w:r w:rsidRPr="007D2722">
              <w:rPr>
                <w:sz w:val="16"/>
                <w:szCs w:val="16"/>
              </w:rPr>
              <w:t>1.081</w:t>
            </w:r>
            <w:r w:rsidR="0073243B" w:rsidRPr="007D2722">
              <w:rPr>
                <w:rFonts w:cs="Arial"/>
                <w:sz w:val="16"/>
                <w:szCs w:val="16"/>
              </w:rPr>
              <w:t>×</w:t>
            </w:r>
            <w:r w:rsidR="0073243B" w:rsidRPr="007D2722">
              <w:rPr>
                <w:sz w:val="16"/>
                <w:szCs w:val="16"/>
              </w:rPr>
              <w:t>10</w:t>
            </w:r>
            <w:r w:rsidR="0073243B" w:rsidRPr="007D2722">
              <w:rPr>
                <w:sz w:val="16"/>
                <w:szCs w:val="16"/>
                <w:vertAlign w:val="superscript"/>
              </w:rPr>
              <w:t>-4</w:t>
            </w:r>
          </w:p>
        </w:tc>
        <w:tc>
          <w:tcPr>
            <w:tcW w:w="1621" w:type="dxa"/>
            <w:tcBorders>
              <w:top w:val="nil"/>
            </w:tcBorders>
            <w:shd w:val="clear" w:color="auto" w:fill="FFFFFF"/>
            <w:vAlign w:val="center"/>
          </w:tcPr>
          <w:p w14:paraId="4C4D5671" w14:textId="4290B7E2" w:rsidR="003C76F0" w:rsidRPr="007D2722" w:rsidRDefault="00E07E03" w:rsidP="00F14F40">
            <w:pPr>
              <w:pStyle w:val="CETBodytext"/>
              <w:jc w:val="center"/>
              <w:rPr>
                <w:sz w:val="16"/>
                <w:szCs w:val="16"/>
              </w:rPr>
            </w:pPr>
            <w:r w:rsidRPr="007D2722">
              <w:rPr>
                <w:sz w:val="16"/>
                <w:szCs w:val="16"/>
              </w:rPr>
              <w:t>4.630</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p>
        </w:tc>
      </w:tr>
      <w:tr w:rsidR="003C76F0" w:rsidRPr="00717FC4" w14:paraId="43811BE7" w14:textId="77777777" w:rsidTr="00263396">
        <w:trPr>
          <w:trHeight w:val="288"/>
          <w:jc w:val="center"/>
        </w:trPr>
        <w:tc>
          <w:tcPr>
            <w:tcW w:w="1134" w:type="dxa"/>
            <w:vMerge/>
            <w:tcBorders>
              <w:top w:val="nil"/>
              <w:bottom w:val="nil"/>
            </w:tcBorders>
            <w:shd w:val="clear" w:color="auto" w:fill="FFFFFF"/>
            <w:vAlign w:val="center"/>
          </w:tcPr>
          <w:p w14:paraId="0C124890" w14:textId="77777777" w:rsidR="003C76F0" w:rsidRPr="00263396" w:rsidRDefault="003C76F0" w:rsidP="00F14F40">
            <w:pPr>
              <w:pStyle w:val="CETBodytext"/>
              <w:jc w:val="center"/>
              <w:rPr>
                <w:b/>
                <w:bCs/>
                <w:sz w:val="16"/>
                <w:szCs w:val="16"/>
              </w:rPr>
            </w:pPr>
          </w:p>
        </w:tc>
        <w:tc>
          <w:tcPr>
            <w:tcW w:w="1067" w:type="dxa"/>
            <w:tcBorders>
              <w:top w:val="nil"/>
              <w:bottom w:val="nil"/>
            </w:tcBorders>
            <w:shd w:val="clear" w:color="auto" w:fill="FFFFFF"/>
            <w:vAlign w:val="center"/>
          </w:tcPr>
          <w:p w14:paraId="34767E40" w14:textId="77777777" w:rsidR="003C76F0" w:rsidRPr="00263396" w:rsidRDefault="003C76F0" w:rsidP="00F14F40">
            <w:pPr>
              <w:pStyle w:val="CETBodytext"/>
              <w:jc w:val="center"/>
              <w:rPr>
                <w:b/>
                <w:bCs/>
                <w:sz w:val="16"/>
                <w:szCs w:val="16"/>
              </w:rPr>
            </w:pPr>
            <m:oMathPara>
              <m:oMath>
                <m:r>
                  <m:rPr>
                    <m:sty m:val="bi"/>
                  </m:rPr>
                  <w:rPr>
                    <w:rFonts w:ascii="Cambria Math" w:eastAsia="Cambria Math" w:hAnsi="Cambria Math" w:cs="Cambria Math"/>
                    <w:sz w:val="16"/>
                    <w:szCs w:val="16"/>
                  </w:rPr>
                  <m:t>RMSE</m:t>
                </m:r>
              </m:oMath>
            </m:oMathPara>
          </w:p>
        </w:tc>
        <w:tc>
          <w:tcPr>
            <w:tcW w:w="1201" w:type="dxa"/>
            <w:tcBorders>
              <w:top w:val="nil"/>
            </w:tcBorders>
            <w:shd w:val="clear" w:color="auto" w:fill="FFFFFF"/>
            <w:vAlign w:val="center"/>
          </w:tcPr>
          <w:p w14:paraId="40D63118" w14:textId="697C2CC0" w:rsidR="003C76F0" w:rsidRPr="007D2722" w:rsidRDefault="003C76F0" w:rsidP="00F14F40">
            <w:pPr>
              <w:pStyle w:val="CETBodytext"/>
              <w:jc w:val="center"/>
              <w:rPr>
                <w:sz w:val="16"/>
                <w:szCs w:val="16"/>
              </w:rPr>
            </w:pPr>
            <w:bookmarkStart w:id="4" w:name="_Hlk188014917"/>
            <w:r w:rsidRPr="007D2722">
              <w:rPr>
                <w:sz w:val="16"/>
                <w:szCs w:val="16"/>
              </w:rPr>
              <w:t>0</w:t>
            </w:r>
            <w:r w:rsidR="00CE3687" w:rsidRPr="007D2722">
              <w:rPr>
                <w:sz w:val="16"/>
                <w:szCs w:val="16"/>
              </w:rPr>
              <w:t>.</w:t>
            </w:r>
            <w:r w:rsidR="00E07E03" w:rsidRPr="007D2722">
              <w:rPr>
                <w:sz w:val="16"/>
                <w:szCs w:val="16"/>
              </w:rPr>
              <w:t>091</w:t>
            </w:r>
            <w:bookmarkEnd w:id="4"/>
          </w:p>
        </w:tc>
        <w:tc>
          <w:tcPr>
            <w:tcW w:w="1843" w:type="dxa"/>
            <w:tcBorders>
              <w:top w:val="nil"/>
            </w:tcBorders>
            <w:shd w:val="clear" w:color="auto" w:fill="FFFFFF"/>
            <w:vAlign w:val="center"/>
          </w:tcPr>
          <w:p w14:paraId="7426495F" w14:textId="3A77B904" w:rsidR="003C76F0" w:rsidRPr="007D2722" w:rsidRDefault="003C76F0" w:rsidP="00F14F40">
            <w:pPr>
              <w:pStyle w:val="CETBodytext"/>
              <w:jc w:val="center"/>
              <w:rPr>
                <w:sz w:val="16"/>
                <w:szCs w:val="16"/>
              </w:rPr>
            </w:pPr>
            <w:r w:rsidRPr="007D2722">
              <w:rPr>
                <w:sz w:val="16"/>
                <w:szCs w:val="16"/>
              </w:rPr>
              <w:t>0.</w:t>
            </w:r>
            <w:r w:rsidR="00E07E03" w:rsidRPr="007D2722">
              <w:rPr>
                <w:sz w:val="16"/>
                <w:szCs w:val="16"/>
              </w:rPr>
              <w:t>078</w:t>
            </w:r>
          </w:p>
        </w:tc>
        <w:tc>
          <w:tcPr>
            <w:tcW w:w="1276" w:type="dxa"/>
            <w:tcBorders>
              <w:top w:val="nil"/>
            </w:tcBorders>
            <w:shd w:val="clear" w:color="auto" w:fill="FFFFFF"/>
            <w:vAlign w:val="center"/>
          </w:tcPr>
          <w:p w14:paraId="7BD9B1AD" w14:textId="71109C7E" w:rsidR="003C76F0" w:rsidRPr="007D2722" w:rsidRDefault="003C76F0" w:rsidP="00F14F40">
            <w:pPr>
              <w:pStyle w:val="CETBodytext"/>
              <w:jc w:val="center"/>
              <w:rPr>
                <w:sz w:val="16"/>
                <w:szCs w:val="16"/>
              </w:rPr>
            </w:pPr>
            <w:r w:rsidRPr="007D2722">
              <w:rPr>
                <w:sz w:val="16"/>
                <w:szCs w:val="16"/>
              </w:rPr>
              <w:t>0.</w:t>
            </w:r>
            <w:r w:rsidR="00E07E03" w:rsidRPr="007D2722">
              <w:rPr>
                <w:sz w:val="16"/>
                <w:szCs w:val="16"/>
              </w:rPr>
              <w:t>010</w:t>
            </w:r>
          </w:p>
        </w:tc>
        <w:tc>
          <w:tcPr>
            <w:tcW w:w="1621" w:type="dxa"/>
            <w:tcBorders>
              <w:top w:val="nil"/>
            </w:tcBorders>
            <w:shd w:val="clear" w:color="auto" w:fill="FFFFFF"/>
            <w:vAlign w:val="center"/>
          </w:tcPr>
          <w:p w14:paraId="698236E7" w14:textId="0DDF5D89" w:rsidR="003C76F0" w:rsidRPr="007D2722" w:rsidRDefault="003C76F0" w:rsidP="00F14F40">
            <w:pPr>
              <w:pStyle w:val="CETBodytext"/>
              <w:jc w:val="center"/>
              <w:rPr>
                <w:sz w:val="16"/>
                <w:szCs w:val="16"/>
              </w:rPr>
            </w:pPr>
            <w:r w:rsidRPr="007D2722">
              <w:rPr>
                <w:sz w:val="16"/>
                <w:szCs w:val="16"/>
              </w:rPr>
              <w:t>0.</w:t>
            </w:r>
            <w:r w:rsidR="00E07E03" w:rsidRPr="007D2722">
              <w:rPr>
                <w:sz w:val="16"/>
                <w:szCs w:val="16"/>
              </w:rPr>
              <w:t>068</w:t>
            </w:r>
          </w:p>
        </w:tc>
      </w:tr>
      <w:tr w:rsidR="00920E60" w:rsidRPr="00717FC4" w14:paraId="6548C8BF" w14:textId="77777777" w:rsidTr="006A246F">
        <w:trPr>
          <w:trHeight w:val="80"/>
          <w:jc w:val="center"/>
        </w:trPr>
        <w:tc>
          <w:tcPr>
            <w:tcW w:w="1134" w:type="dxa"/>
            <w:vMerge/>
            <w:tcBorders>
              <w:top w:val="nil"/>
              <w:bottom w:val="single" w:sz="12" w:space="0" w:color="3D832D"/>
            </w:tcBorders>
            <w:shd w:val="clear" w:color="auto" w:fill="FFFFFF"/>
            <w:vAlign w:val="center"/>
          </w:tcPr>
          <w:p w14:paraId="7D6CD970" w14:textId="77777777" w:rsidR="00920E60" w:rsidRPr="00263396" w:rsidRDefault="00920E60" w:rsidP="00920E60">
            <w:pPr>
              <w:pStyle w:val="CETBodytext"/>
              <w:jc w:val="center"/>
              <w:rPr>
                <w:b/>
                <w:bCs/>
                <w:sz w:val="16"/>
                <w:szCs w:val="16"/>
              </w:rPr>
            </w:pPr>
          </w:p>
        </w:tc>
        <w:tc>
          <w:tcPr>
            <w:tcW w:w="1067" w:type="dxa"/>
            <w:tcBorders>
              <w:top w:val="nil"/>
              <w:bottom w:val="single" w:sz="12" w:space="0" w:color="3D832D"/>
            </w:tcBorders>
            <w:shd w:val="clear" w:color="auto" w:fill="FFFFFF"/>
            <w:vAlign w:val="center"/>
          </w:tcPr>
          <w:p w14:paraId="53DE9400" w14:textId="15B41758" w:rsidR="00920E60" w:rsidRPr="00263396" w:rsidRDefault="00920E60" w:rsidP="00920E60">
            <w:pPr>
              <w:pStyle w:val="CETBodytext"/>
              <w:jc w:val="center"/>
              <w:rPr>
                <w:b/>
                <w:bCs/>
                <w:sz w:val="16"/>
                <w:szCs w:val="16"/>
              </w:rPr>
            </w:pPr>
            <m:oMathPara>
              <m:oMath>
                <m:r>
                  <m:rPr>
                    <m:sty m:val="bi"/>
                  </m:rPr>
                  <w:rPr>
                    <w:rFonts w:ascii="Cambria Math" w:eastAsia="Cambria Math" w:hAnsi="Cambria Math" w:cs="Cambria Math"/>
                    <w:sz w:val="16"/>
                    <w:szCs w:val="16"/>
                  </w:rPr>
                  <m:t>MAE</m:t>
                </m:r>
              </m:oMath>
            </m:oMathPara>
          </w:p>
        </w:tc>
        <w:tc>
          <w:tcPr>
            <w:tcW w:w="1201" w:type="dxa"/>
            <w:tcBorders>
              <w:top w:val="nil"/>
            </w:tcBorders>
            <w:shd w:val="clear" w:color="auto" w:fill="FFFFFF"/>
            <w:vAlign w:val="center"/>
          </w:tcPr>
          <w:p w14:paraId="1CE096A6" w14:textId="172B2EB8" w:rsidR="00920E60" w:rsidRPr="007D2722" w:rsidRDefault="00920E60" w:rsidP="00920E60">
            <w:pPr>
              <w:pStyle w:val="CETBodytext"/>
              <w:jc w:val="center"/>
              <w:rPr>
                <w:sz w:val="16"/>
                <w:szCs w:val="16"/>
              </w:rPr>
            </w:pPr>
            <w:r w:rsidRPr="007D2722">
              <w:rPr>
                <w:sz w:val="16"/>
                <w:szCs w:val="16"/>
              </w:rPr>
              <w:t>0.</w:t>
            </w:r>
            <w:r w:rsidR="00E07E03" w:rsidRPr="007D2722">
              <w:rPr>
                <w:sz w:val="16"/>
                <w:szCs w:val="16"/>
              </w:rPr>
              <w:t>061</w:t>
            </w:r>
          </w:p>
        </w:tc>
        <w:tc>
          <w:tcPr>
            <w:tcW w:w="1843" w:type="dxa"/>
            <w:tcBorders>
              <w:top w:val="nil"/>
            </w:tcBorders>
            <w:shd w:val="clear" w:color="auto" w:fill="FFFFFF"/>
            <w:vAlign w:val="center"/>
          </w:tcPr>
          <w:p w14:paraId="6F001F31" w14:textId="3F936AC7" w:rsidR="00920E60" w:rsidRPr="007D2722" w:rsidRDefault="00920E60" w:rsidP="00920E60">
            <w:pPr>
              <w:pStyle w:val="CETBodytext"/>
              <w:jc w:val="center"/>
              <w:rPr>
                <w:sz w:val="16"/>
                <w:szCs w:val="16"/>
              </w:rPr>
            </w:pPr>
            <w:r w:rsidRPr="007D2722">
              <w:rPr>
                <w:sz w:val="16"/>
                <w:szCs w:val="16"/>
              </w:rPr>
              <w:t>0.0</w:t>
            </w:r>
            <w:r w:rsidR="00E07E03" w:rsidRPr="007D2722">
              <w:rPr>
                <w:sz w:val="16"/>
                <w:szCs w:val="16"/>
              </w:rPr>
              <w:t>54</w:t>
            </w:r>
          </w:p>
        </w:tc>
        <w:tc>
          <w:tcPr>
            <w:tcW w:w="1276" w:type="dxa"/>
            <w:tcBorders>
              <w:top w:val="nil"/>
            </w:tcBorders>
            <w:shd w:val="clear" w:color="auto" w:fill="FFFFFF"/>
            <w:vAlign w:val="center"/>
          </w:tcPr>
          <w:p w14:paraId="72B9802D" w14:textId="2AD59878" w:rsidR="00920E60" w:rsidRPr="007D2722" w:rsidRDefault="00E07E03" w:rsidP="00920E60">
            <w:pPr>
              <w:pStyle w:val="CETBodytext"/>
              <w:jc w:val="center"/>
              <w:rPr>
                <w:sz w:val="16"/>
                <w:szCs w:val="16"/>
              </w:rPr>
            </w:pPr>
            <w:r w:rsidRPr="007D2722">
              <w:rPr>
                <w:sz w:val="16"/>
                <w:szCs w:val="16"/>
              </w:rPr>
              <w:t>2.858</w:t>
            </w:r>
            <w:r w:rsidR="0073243B" w:rsidRPr="007D2722">
              <w:rPr>
                <w:rFonts w:cs="Arial"/>
                <w:sz w:val="16"/>
                <w:szCs w:val="16"/>
              </w:rPr>
              <w:t>×</w:t>
            </w:r>
            <w:r w:rsidR="0073243B" w:rsidRPr="007D2722">
              <w:rPr>
                <w:sz w:val="16"/>
                <w:szCs w:val="16"/>
              </w:rPr>
              <w:t>10</w:t>
            </w:r>
            <w:r w:rsidR="0073243B" w:rsidRPr="007D2722">
              <w:rPr>
                <w:sz w:val="16"/>
                <w:szCs w:val="16"/>
                <w:vertAlign w:val="superscript"/>
              </w:rPr>
              <w:t>-3</w:t>
            </w:r>
          </w:p>
        </w:tc>
        <w:tc>
          <w:tcPr>
            <w:tcW w:w="1621" w:type="dxa"/>
            <w:tcBorders>
              <w:top w:val="nil"/>
            </w:tcBorders>
            <w:shd w:val="clear" w:color="auto" w:fill="FFFFFF"/>
            <w:vAlign w:val="center"/>
          </w:tcPr>
          <w:p w14:paraId="51773568" w14:textId="3BD79EAB" w:rsidR="00920E60" w:rsidRPr="007D2722" w:rsidRDefault="00920E60" w:rsidP="00920E60">
            <w:pPr>
              <w:pStyle w:val="CETBodytext"/>
              <w:jc w:val="center"/>
              <w:rPr>
                <w:sz w:val="16"/>
                <w:szCs w:val="16"/>
              </w:rPr>
            </w:pPr>
            <w:bookmarkStart w:id="5" w:name="_Hlk188014936"/>
            <w:r w:rsidRPr="007D2722">
              <w:rPr>
                <w:sz w:val="16"/>
                <w:szCs w:val="16"/>
              </w:rPr>
              <w:t>0.0</w:t>
            </w:r>
            <w:r w:rsidR="00E07E03" w:rsidRPr="007D2722">
              <w:rPr>
                <w:sz w:val="16"/>
                <w:szCs w:val="16"/>
              </w:rPr>
              <w:t>62</w:t>
            </w:r>
            <w:bookmarkEnd w:id="5"/>
          </w:p>
        </w:tc>
      </w:tr>
    </w:tbl>
    <w:p w14:paraId="4EDBA095" w14:textId="77777777" w:rsidR="00FF5580" w:rsidRDefault="00FF5580" w:rsidP="003C76F0">
      <w:pPr>
        <w:pStyle w:val="CETBodytext"/>
      </w:pPr>
    </w:p>
    <w:p w14:paraId="4210AD5D" w14:textId="31BCEC52" w:rsidR="00263396" w:rsidRPr="00F46C84" w:rsidRDefault="003E460A" w:rsidP="00263396">
      <w:pPr>
        <w:pStyle w:val="CETBodytext"/>
        <w:spacing w:after="240"/>
      </w:pPr>
      <w:r>
        <w:t xml:space="preserve">Figure </w:t>
      </w:r>
      <w:r w:rsidR="00A245B5">
        <w:t>2</w:t>
      </w:r>
      <w:r>
        <w:t xml:space="preserve"> illustrates the results of predicting the protein and biomass concentrations in the training and test datasets of experiment </w:t>
      </w:r>
      <w:r w:rsidR="00B31602">
        <w:t>7</w:t>
      </w:r>
      <w:r>
        <w:t>.</w:t>
      </w:r>
      <w:r w:rsidR="00263396" w:rsidRPr="00263396">
        <w:t xml:space="preserve"> </w:t>
      </w:r>
      <w:r w:rsidR="00263396">
        <w:t xml:space="preserve">In Figure 2a, the protein soft sensor used KNN as a learner; meanwhile, in Figure 2b, the biomass soft sensors used RBF SVM. </w:t>
      </w:r>
      <w:r w:rsidR="00263396">
        <w:tab/>
      </w:r>
      <w:r w:rsidR="00263396" w:rsidRPr="00C64D3F">
        <w:t>The example illustrat</w:t>
      </w:r>
      <w:r w:rsidR="00263396">
        <w:t xml:space="preserve">es </w:t>
      </w:r>
      <w:r w:rsidR="00263396" w:rsidRPr="00C64D3F">
        <w:t xml:space="preserve">that the soft sensor </w:t>
      </w:r>
      <w:r w:rsidR="00263396">
        <w:t xml:space="preserve">satisfactory </w:t>
      </w:r>
      <w:r w:rsidR="00263396" w:rsidRPr="00C64D3F">
        <w:t xml:space="preserve">estimates the protein and biomass concentration of two strains of </w:t>
      </w:r>
      <w:r w:rsidR="00263396" w:rsidRPr="00C64D3F">
        <w:rPr>
          <w:i/>
          <w:iCs/>
        </w:rPr>
        <w:t>E. coli</w:t>
      </w:r>
      <w:r w:rsidR="00263396" w:rsidRPr="00C64D3F">
        <w:t xml:space="preserve"> submitted at different operational conditions.</w:t>
      </w:r>
    </w:p>
    <w:p w14:paraId="5F520D1A" w14:textId="14D7B163" w:rsidR="003E460A" w:rsidRDefault="003E460A" w:rsidP="003C76F0">
      <w:pPr>
        <w:pStyle w:val="CETBodytext"/>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3850"/>
      </w:tblGrid>
      <w:tr w:rsidR="005425E3" w14:paraId="6EB11DAE" w14:textId="77777777" w:rsidTr="00FF5580">
        <w:trPr>
          <w:trHeight w:val="3611"/>
          <w:jc w:val="center"/>
        </w:trPr>
        <w:tc>
          <w:tcPr>
            <w:tcW w:w="3849" w:type="dxa"/>
            <w:tcBorders>
              <w:right w:val="single" w:sz="4" w:space="0" w:color="009E47"/>
            </w:tcBorders>
          </w:tcPr>
          <w:p w14:paraId="77B7F758" w14:textId="1C05A4E0" w:rsidR="003C76F0" w:rsidRPr="008D39AF" w:rsidRDefault="003C76F0" w:rsidP="00F14F40">
            <w:pPr>
              <w:pStyle w:val="CETBodytext"/>
              <w:jc w:val="center"/>
              <w:rPr>
                <w:lang w:val="en-GB"/>
              </w:rPr>
            </w:pPr>
            <w:r>
              <w:lastRenderedPageBreak/>
              <w:t>(a) KNN protein soft sensor prediction</w:t>
            </w:r>
            <w:r w:rsidR="00C412FC">
              <w:rPr>
                <w:noProof/>
              </w:rPr>
              <w:drawing>
                <wp:inline distT="0" distB="0" distL="0" distR="0" wp14:anchorId="1F92D39C" wp14:editId="15450CE0">
                  <wp:extent cx="1996629" cy="2344964"/>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416" cy="2375250"/>
                          </a:xfrm>
                          <a:prstGeom prst="rect">
                            <a:avLst/>
                          </a:prstGeom>
                        </pic:spPr>
                      </pic:pic>
                    </a:graphicData>
                  </a:graphic>
                </wp:inline>
              </w:drawing>
            </w:r>
          </w:p>
        </w:tc>
        <w:tc>
          <w:tcPr>
            <w:tcW w:w="3850" w:type="dxa"/>
            <w:tcBorders>
              <w:left w:val="single" w:sz="4" w:space="0" w:color="009E47"/>
            </w:tcBorders>
          </w:tcPr>
          <w:p w14:paraId="6798DF08" w14:textId="73E7A028" w:rsidR="005425E3" w:rsidRDefault="003C76F0" w:rsidP="007D2722">
            <w:pPr>
              <w:pStyle w:val="CETBodytext"/>
              <w:jc w:val="center"/>
            </w:pPr>
            <w:r>
              <w:t>(b) RBF SVM biomass soft sensor prediction</w:t>
            </w:r>
            <w:r w:rsidR="00C412FC">
              <w:rPr>
                <w:noProof/>
              </w:rPr>
              <w:drawing>
                <wp:inline distT="0" distB="0" distL="0" distR="0" wp14:anchorId="5DBC4C86" wp14:editId="1534A51C">
                  <wp:extent cx="1979968" cy="2340496"/>
                  <wp:effectExtent l="0" t="0" r="127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0668" cy="2376786"/>
                          </a:xfrm>
                          <a:prstGeom prst="rect">
                            <a:avLst/>
                          </a:prstGeom>
                        </pic:spPr>
                      </pic:pic>
                    </a:graphicData>
                  </a:graphic>
                </wp:inline>
              </w:drawing>
            </w:r>
          </w:p>
        </w:tc>
      </w:tr>
    </w:tbl>
    <w:p w14:paraId="44B66149" w14:textId="1A976060" w:rsidR="003C76F0" w:rsidRDefault="003C76F0" w:rsidP="00BC42C6">
      <w:pPr>
        <w:pStyle w:val="CETCaption"/>
        <w:spacing w:before="0"/>
      </w:pPr>
      <w:r w:rsidRPr="00BD077D">
        <w:rPr>
          <w:rStyle w:val="CETCaptionCarattere"/>
          <w:i/>
        </w:rPr>
        <w:t xml:space="preserve">Figure </w:t>
      </w:r>
      <w:r w:rsidR="00A245B5">
        <w:rPr>
          <w:rStyle w:val="CETCaptionCarattere"/>
          <w:i/>
        </w:rPr>
        <w:t>2</w:t>
      </w:r>
      <w:r w:rsidRPr="00BD077D">
        <w:rPr>
          <w:rStyle w:val="CETCaptionCarattere"/>
          <w:i/>
        </w:rPr>
        <w:t xml:space="preserve">: </w:t>
      </w:r>
      <w:r>
        <w:rPr>
          <w:rStyle w:val="CETCaptionCarattere"/>
          <w:i/>
        </w:rPr>
        <w:t>Protein (KNN learner) and biomass (RBF SVM learner) soft sensors predictions over</w:t>
      </w:r>
      <w:r w:rsidR="0075689F">
        <w:rPr>
          <w:rStyle w:val="CETCaptionCarattere"/>
          <w:i/>
        </w:rPr>
        <w:t xml:space="preserve"> </w:t>
      </w:r>
      <w:r>
        <w:rPr>
          <w:rStyle w:val="CETCaptionCarattere"/>
          <w:i/>
        </w:rPr>
        <w:t xml:space="preserve">experiment </w:t>
      </w:r>
      <w:r w:rsidR="00C412FC">
        <w:rPr>
          <w:rStyle w:val="CETCaptionCarattere"/>
          <w:i/>
        </w:rPr>
        <w:t>7</w:t>
      </w:r>
      <w:r>
        <w:rPr>
          <w:rStyle w:val="CETCaptionCarattere"/>
          <w:i/>
        </w:rPr>
        <w:t xml:space="preserve">. Strain: E. coli </w:t>
      </w:r>
      <w:r w:rsidR="008565E4">
        <w:rPr>
          <w:rFonts w:eastAsia="CIDFont+F1"/>
        </w:rPr>
        <w:t>CH10</w:t>
      </w:r>
      <w:r w:rsidRPr="00EF6FEE">
        <w:rPr>
          <w:rFonts w:eastAsia="CIDFont+F1"/>
        </w:rPr>
        <w:t>-1</w:t>
      </w:r>
      <w:r w:rsidR="008565E4">
        <w:rPr>
          <w:rFonts w:eastAsia="CIDFont+F1"/>
        </w:rPr>
        <w:t>2</w:t>
      </w:r>
      <w:r>
        <w:rPr>
          <w:rFonts w:eastAsia="CIDFont+F1"/>
        </w:rPr>
        <w:t xml:space="preserve">; induction temperature: </w:t>
      </w:r>
      <w:r w:rsidR="00C412FC">
        <w:t>29</w:t>
      </w:r>
      <w:r>
        <w:t>°C.</w:t>
      </w:r>
    </w:p>
    <w:p w14:paraId="2A2D5CA4" w14:textId="12EF6BF6" w:rsidR="009F4ADC" w:rsidRPr="009F4ADC" w:rsidRDefault="00CD0ED9" w:rsidP="00426284">
      <w:pPr>
        <w:pStyle w:val="CETheadingx"/>
      </w:pPr>
      <w:r>
        <w:t xml:space="preserve">SHAP </w:t>
      </w:r>
      <w:r w:rsidR="00AA6F51">
        <w:t>V</w:t>
      </w:r>
      <w:r>
        <w:t>alues</w:t>
      </w:r>
    </w:p>
    <w:p w14:paraId="13F8EE40" w14:textId="2E230D7C" w:rsidR="004855D2" w:rsidRPr="00F23865" w:rsidRDefault="00392BAD" w:rsidP="00D60B88">
      <w:pPr>
        <w:pStyle w:val="CETBodytext"/>
        <w:rPr>
          <w:rFonts w:eastAsiaTheme="minorEastAsia"/>
        </w:rPr>
      </w:pPr>
      <w:r w:rsidRPr="00242AFC">
        <w:rPr>
          <w:rFonts w:eastAsiaTheme="minorEastAsia"/>
        </w:rPr>
        <w:t xml:space="preserve">Figure </w:t>
      </w:r>
      <w:r w:rsidR="00A245B5">
        <w:rPr>
          <w:rFonts w:eastAsiaTheme="minorEastAsia"/>
        </w:rPr>
        <w:t>3</w:t>
      </w:r>
      <w:r w:rsidRPr="00242AFC">
        <w:rPr>
          <w:rFonts w:eastAsiaTheme="minorEastAsia"/>
        </w:rPr>
        <w:t xml:space="preserve"> presents the </w:t>
      </w:r>
      <w:proofErr w:type="spellStart"/>
      <w:r w:rsidRPr="00242AFC">
        <w:rPr>
          <w:rFonts w:eastAsiaTheme="minorEastAsia"/>
        </w:rPr>
        <w:t>Beeswarm</w:t>
      </w:r>
      <w:proofErr w:type="spellEnd"/>
      <w:r w:rsidRPr="00242AFC">
        <w:rPr>
          <w:rFonts w:eastAsiaTheme="minorEastAsia"/>
        </w:rPr>
        <w:t xml:space="preserve"> plot</w:t>
      </w:r>
      <w:r w:rsidR="004819DF">
        <w:rPr>
          <w:rFonts w:eastAsiaTheme="minorEastAsia"/>
        </w:rPr>
        <w:t xml:space="preserve">, which permits global interpretability of the SHAP values, </w:t>
      </w:r>
      <w:r w:rsidR="00F46C84">
        <w:rPr>
          <w:rFonts w:eastAsiaTheme="minorEastAsia"/>
        </w:rPr>
        <w:t>i</w:t>
      </w:r>
      <w:r w:rsidR="004819DF">
        <w:rPr>
          <w:rFonts w:eastAsiaTheme="minorEastAsia"/>
        </w:rPr>
        <w:t>.</w:t>
      </w:r>
      <w:r w:rsidR="00F46C84">
        <w:rPr>
          <w:rFonts w:eastAsiaTheme="minorEastAsia"/>
        </w:rPr>
        <w:t>e</w:t>
      </w:r>
      <w:r w:rsidR="004819DF">
        <w:rPr>
          <w:rFonts w:eastAsiaTheme="minorEastAsia"/>
        </w:rPr>
        <w:t xml:space="preserve">., how features affect the prediction and </w:t>
      </w:r>
      <w:r w:rsidR="00490C94">
        <w:rPr>
          <w:rFonts w:eastAsiaTheme="minorEastAsia"/>
        </w:rPr>
        <w:t>their</w:t>
      </w:r>
      <w:r w:rsidR="004819DF">
        <w:rPr>
          <w:rFonts w:eastAsiaTheme="minorEastAsia"/>
        </w:rPr>
        <w:t xml:space="preserve"> </w:t>
      </w:r>
      <w:r w:rsidR="00490C94">
        <w:rPr>
          <w:rFonts w:eastAsiaTheme="minorEastAsia"/>
        </w:rPr>
        <w:t>importance</w:t>
      </w:r>
      <w:r w:rsidR="00C64D3F">
        <w:rPr>
          <w:rFonts w:eastAsiaTheme="minorEastAsia"/>
        </w:rPr>
        <w:t xml:space="preserve"> </w:t>
      </w:r>
      <w:r w:rsidR="00C64D3F" w:rsidRPr="00242AFC">
        <w:rPr>
          <w:rFonts w:eastAsiaTheme="minorEastAsia"/>
        </w:rPr>
        <w:fldChar w:fldCharType="begin"/>
      </w:r>
      <w:r w:rsidR="00C64D3F" w:rsidRPr="00242AFC">
        <w:rPr>
          <w:rFonts w:eastAsiaTheme="minorEastAsia"/>
        </w:rPr>
        <w:instrText xml:space="preserve"> ADDIN ZOTERO_ITEM CSL_CITATION {"citationID":"zm23h48I","properties":{"formattedCitation":"(Molnar, 2022)","plainCitation":"(Molnar, 2022)","noteIndex":0},"citationItems":[{"id":1341,"uris":["http://zotero.org/users/9482894/items/N2KG2MJ4"],"itemData":{"id":1341,"type":"book","edition":"Second edition","event-place":"Munich, Germany","ISBN":"9798411463330","language":"eng","number-of-pages":"1","publisher":"Christoph Molnar","publisher-place":"Munich, Germany","source":"K10plus ISBN","title":"Interpretable machine learning: a guide for making black box models explainable","title-short":"Interpretable machine learning","author":[{"family":"Molnar","given":"Christoph"}],"issued":{"date-parts":[["2022"]]}}}],"schema":"https://github.com/citation-style-language/schema/raw/master/csl-citation.json"} </w:instrText>
      </w:r>
      <w:r w:rsidR="00C64D3F" w:rsidRPr="00242AFC">
        <w:rPr>
          <w:rFonts w:eastAsiaTheme="minorEastAsia"/>
        </w:rPr>
        <w:fldChar w:fldCharType="separate"/>
      </w:r>
      <w:r w:rsidR="00C64D3F" w:rsidRPr="00242AFC">
        <w:rPr>
          <w:rFonts w:eastAsiaTheme="minorEastAsia"/>
        </w:rPr>
        <w:t>(Molnar, 2022)</w:t>
      </w:r>
      <w:r w:rsidR="00C64D3F" w:rsidRPr="00242AFC">
        <w:rPr>
          <w:rFonts w:eastAsiaTheme="minorEastAsia"/>
        </w:rPr>
        <w:fldChar w:fldCharType="end"/>
      </w:r>
      <w:r w:rsidR="00DE6E53" w:rsidRPr="00242AFC">
        <w:rPr>
          <w:rFonts w:eastAsiaTheme="minorEastAsia"/>
        </w:rPr>
        <w:t xml:space="preserve">. </w:t>
      </w:r>
      <w:r w:rsidR="004819DF">
        <w:rPr>
          <w:rFonts w:eastAsiaTheme="minorEastAsia"/>
        </w:rPr>
        <w:t xml:space="preserve">Figures </w:t>
      </w:r>
      <w:r w:rsidR="00A245B5">
        <w:rPr>
          <w:rFonts w:eastAsiaTheme="minorEastAsia"/>
        </w:rPr>
        <w:t>3</w:t>
      </w:r>
      <w:r w:rsidR="004819DF">
        <w:rPr>
          <w:rFonts w:eastAsiaTheme="minorEastAsia"/>
        </w:rPr>
        <w:t xml:space="preserve">a and </w:t>
      </w:r>
      <w:r w:rsidR="00A245B5">
        <w:rPr>
          <w:rFonts w:eastAsiaTheme="minorEastAsia"/>
        </w:rPr>
        <w:t>3</w:t>
      </w:r>
      <w:r w:rsidR="004819DF">
        <w:rPr>
          <w:rFonts w:eastAsiaTheme="minorEastAsia"/>
        </w:rPr>
        <w:t>b show</w:t>
      </w:r>
      <w:r w:rsidR="00DE6E53" w:rsidRPr="00242AFC">
        <w:rPr>
          <w:rFonts w:eastAsiaTheme="minorEastAsia"/>
        </w:rPr>
        <w:t xml:space="preserve"> the influence of the </w:t>
      </w:r>
      <w:r w:rsidR="007A3EEE">
        <w:rPr>
          <w:rFonts w:eastAsiaTheme="minorEastAsia"/>
        </w:rPr>
        <w:t>eleven</w:t>
      </w:r>
      <w:r w:rsidR="00DE6E53" w:rsidRPr="00242AFC">
        <w:rPr>
          <w:rFonts w:eastAsiaTheme="minorEastAsia"/>
        </w:rPr>
        <w:t xml:space="preserve"> features in the protein</w:t>
      </w:r>
      <w:r w:rsidR="007D405D" w:rsidRPr="00242AFC">
        <w:rPr>
          <w:rFonts w:eastAsiaTheme="minorEastAsia"/>
        </w:rPr>
        <w:t xml:space="preserve"> and biomass</w:t>
      </w:r>
      <w:r w:rsidR="00DE6E53" w:rsidRPr="00242AFC">
        <w:rPr>
          <w:rFonts w:eastAsiaTheme="minorEastAsia"/>
        </w:rPr>
        <w:t xml:space="preserve"> soft</w:t>
      </w:r>
      <w:r w:rsidR="007D405D" w:rsidRPr="00EF026A">
        <w:rPr>
          <w:rFonts w:eastAsiaTheme="minorEastAsia"/>
        </w:rPr>
        <w:t>.</w:t>
      </w:r>
      <w:r w:rsidR="00F46C84" w:rsidRPr="00EF026A">
        <w:rPr>
          <w:rFonts w:eastAsiaTheme="minorEastAsia"/>
        </w:rPr>
        <w:t xml:space="preserve"> </w:t>
      </w:r>
      <w:r w:rsidR="001670FF" w:rsidRPr="00EF026A">
        <w:rPr>
          <w:rFonts w:eastAsiaTheme="minorEastAsia"/>
        </w:rPr>
        <w:t>The features are ranked by Mean absolute SHAP values, and the colors reveal how an increase (red) or decrease (blue) of the feature affects the predictions</w:t>
      </w:r>
      <w:r w:rsidR="00F46C84" w:rsidRPr="00EF026A">
        <w:rPr>
          <w:rFonts w:eastAsiaTheme="minorEastAsia"/>
        </w:rPr>
        <w:t>, e.g.</w:t>
      </w:r>
      <w:r w:rsidR="001561D3" w:rsidRPr="00EF026A">
        <w:rPr>
          <w:rFonts w:eastAsiaTheme="minorEastAsia"/>
        </w:rPr>
        <w:t>,</w:t>
      </w:r>
      <w:r w:rsidR="00C64D3F" w:rsidRPr="00EF026A">
        <w:rPr>
          <w:rFonts w:eastAsiaTheme="minorEastAsia"/>
        </w:rPr>
        <w:t xml:space="preserve"> </w:t>
      </w:r>
      <w:r w:rsidR="001561D3" w:rsidRPr="00F23865">
        <w:rPr>
          <w:rFonts w:eastAsiaTheme="minorEastAsia"/>
        </w:rPr>
        <w:t>higher values of</w:t>
      </w:r>
      <w:r w:rsidR="00A24CCB" w:rsidRPr="00F23865">
        <w:rPr>
          <w:rFonts w:eastAsiaTheme="minorEastAsia"/>
        </w:rPr>
        <w:t xml:space="preserve"> </w:t>
      </w:r>
      <w:r w:rsidR="001561D3" w:rsidRPr="00F23865">
        <w:rPr>
          <w:rFonts w:eastAsiaTheme="minorEastAsia"/>
        </w:rPr>
        <w:t xml:space="preserve">substrate weight </w:t>
      </w:r>
      <w:r w:rsidR="004819DF" w:rsidRPr="00F23865">
        <w:rPr>
          <w:rFonts w:eastAsiaTheme="minorEastAsia"/>
        </w:rPr>
        <w:t xml:space="preserve">have negative SHAP values, which indicates that </w:t>
      </w:r>
      <w:r w:rsidR="00A24CCB" w:rsidRPr="00F23865">
        <w:rPr>
          <w:rFonts w:eastAsiaTheme="minorEastAsia"/>
        </w:rPr>
        <w:t xml:space="preserve">lower </w:t>
      </w:r>
      <w:r w:rsidR="004819DF" w:rsidRPr="00F23865">
        <w:rPr>
          <w:rFonts w:eastAsiaTheme="minorEastAsia"/>
        </w:rPr>
        <w:t>protein predictions</w:t>
      </w:r>
      <w:r w:rsidR="00A24CCB" w:rsidRPr="00F23865">
        <w:rPr>
          <w:rFonts w:eastAsiaTheme="minorEastAsia"/>
        </w:rPr>
        <w:t xml:space="preserve"> are</w:t>
      </w:r>
      <w:r w:rsidR="004819DF" w:rsidRPr="00F23865">
        <w:rPr>
          <w:rFonts w:eastAsiaTheme="minorEastAsia"/>
        </w:rPr>
        <w:t xml:space="preserve"> associated with higher substrate</w:t>
      </w:r>
      <w:r w:rsidR="001561D3" w:rsidRPr="00F23865">
        <w:rPr>
          <w:rFonts w:eastAsiaTheme="minorEastAsia"/>
        </w:rPr>
        <w:t xml:space="preserve"> weights</w:t>
      </w:r>
      <w:r w:rsidR="00A24CCB" w:rsidRPr="00F23865">
        <w:rPr>
          <w:rFonts w:eastAsiaTheme="minorEastAsia"/>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327"/>
      </w:tblGrid>
      <w:tr w:rsidR="00F23865" w:rsidRPr="00F23865" w14:paraId="3AF68B8F" w14:textId="77777777" w:rsidTr="005425E3">
        <w:trPr>
          <w:trHeight w:val="2945"/>
          <w:jc w:val="center"/>
        </w:trPr>
        <w:tc>
          <w:tcPr>
            <w:tcW w:w="4450" w:type="dxa"/>
            <w:tcBorders>
              <w:right w:val="single" w:sz="4" w:space="0" w:color="00B050"/>
            </w:tcBorders>
          </w:tcPr>
          <w:p w14:paraId="73E8728F" w14:textId="77C62E03" w:rsidR="004855D2" w:rsidRPr="00F23865" w:rsidRDefault="004855D2" w:rsidP="004855D2">
            <w:pPr>
              <w:pStyle w:val="CETBodytext"/>
              <w:jc w:val="center"/>
            </w:pPr>
            <w:r w:rsidRPr="00F23865">
              <w:t>(a) SHAP values protein soft sensor</w:t>
            </w:r>
            <w:r w:rsidR="00386E01" w:rsidRPr="00F23865">
              <w:rPr>
                <w:noProof/>
              </w:rPr>
              <w:drawing>
                <wp:inline distT="0" distB="0" distL="0" distR="0" wp14:anchorId="08E02CBE" wp14:editId="06A7658B">
                  <wp:extent cx="2603017" cy="1852654"/>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20794" cy="1865306"/>
                          </a:xfrm>
                          <a:prstGeom prst="rect">
                            <a:avLst/>
                          </a:prstGeom>
                        </pic:spPr>
                      </pic:pic>
                    </a:graphicData>
                  </a:graphic>
                </wp:inline>
              </w:drawing>
            </w:r>
          </w:p>
        </w:tc>
        <w:tc>
          <w:tcPr>
            <w:tcW w:w="4327" w:type="dxa"/>
            <w:tcBorders>
              <w:left w:val="single" w:sz="4" w:space="0" w:color="00B050"/>
            </w:tcBorders>
          </w:tcPr>
          <w:p w14:paraId="377FC007" w14:textId="4ED3B348" w:rsidR="004855D2" w:rsidRPr="00F23865" w:rsidRDefault="004855D2" w:rsidP="004855D2">
            <w:pPr>
              <w:pStyle w:val="CETBodytext"/>
              <w:jc w:val="center"/>
            </w:pPr>
            <w:r w:rsidRPr="00F23865">
              <w:t>(b) SHAP values biomass soft sensor</w:t>
            </w:r>
            <w:r w:rsidR="00C16F2D" w:rsidRPr="00F23865">
              <w:rPr>
                <w:noProof/>
              </w:rPr>
              <w:drawing>
                <wp:inline distT="0" distB="0" distL="0" distR="0" wp14:anchorId="2A91A7DA" wp14:editId="33D375B9">
                  <wp:extent cx="2542347" cy="1809473"/>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48235" cy="1813664"/>
                          </a:xfrm>
                          <a:prstGeom prst="rect">
                            <a:avLst/>
                          </a:prstGeom>
                        </pic:spPr>
                      </pic:pic>
                    </a:graphicData>
                  </a:graphic>
                </wp:inline>
              </w:drawing>
            </w:r>
          </w:p>
        </w:tc>
      </w:tr>
    </w:tbl>
    <w:p w14:paraId="7EDC4F9C" w14:textId="7274D3E2" w:rsidR="00CE02A2" w:rsidRDefault="000F5097" w:rsidP="00BC42C6">
      <w:pPr>
        <w:pStyle w:val="CETCaption"/>
        <w:spacing w:before="0"/>
        <w:jc w:val="center"/>
        <w:rPr>
          <w:rFonts w:cs="Arial"/>
          <w:sz w:val="16"/>
          <w:szCs w:val="16"/>
          <w:lang w:val="en-US"/>
        </w:rPr>
      </w:pPr>
      <w:r w:rsidRPr="00BD077D">
        <w:rPr>
          <w:rStyle w:val="CETCaptionCarattere"/>
          <w:i/>
        </w:rPr>
        <w:t xml:space="preserve">Figure </w:t>
      </w:r>
      <w:r w:rsidR="00A245B5">
        <w:rPr>
          <w:rStyle w:val="CETCaptionCarattere"/>
          <w:i/>
        </w:rPr>
        <w:t>3</w:t>
      </w:r>
      <w:r w:rsidRPr="00BD077D">
        <w:rPr>
          <w:rStyle w:val="CETCaptionCarattere"/>
          <w:i/>
        </w:rPr>
        <w:t xml:space="preserve">: </w:t>
      </w:r>
      <w:r w:rsidR="009F4ADC">
        <w:rPr>
          <w:rStyle w:val="CETCaptionCarattere"/>
          <w:i/>
        </w:rPr>
        <w:t>SHAP values</w:t>
      </w:r>
      <w:r w:rsidR="002A16B6">
        <w:rPr>
          <w:rStyle w:val="CETCaptionCarattere"/>
          <w:i/>
        </w:rPr>
        <w:t xml:space="preserve"> (</w:t>
      </w:r>
      <w:proofErr w:type="spellStart"/>
      <w:r w:rsidR="002A16B6" w:rsidRPr="002A16B6">
        <w:t>Beeswarm</w:t>
      </w:r>
      <w:proofErr w:type="spellEnd"/>
      <w:r w:rsidR="002A16B6" w:rsidRPr="002A16B6">
        <w:t xml:space="preserve"> plot)</w:t>
      </w:r>
      <w:r w:rsidR="009F4ADC" w:rsidRPr="002A16B6">
        <w:t xml:space="preserve"> for</w:t>
      </w:r>
      <w:r w:rsidR="009F4ADC">
        <w:rPr>
          <w:rStyle w:val="CETCaptionCarattere"/>
          <w:i/>
        </w:rPr>
        <w:t xml:space="preserve"> protein and biomass soft sensors. The SHAP values were computed for the four ML algorithms studied. </w:t>
      </w:r>
    </w:p>
    <w:p w14:paraId="64E70962" w14:textId="1047A6CB" w:rsidR="00CE02A2" w:rsidRDefault="0001339E" w:rsidP="00426284">
      <w:pPr>
        <w:pStyle w:val="CETheadingx"/>
      </w:pPr>
      <w:r>
        <w:t>Biomass S</w:t>
      </w:r>
      <w:r w:rsidR="009F2109">
        <w:t>cale</w:t>
      </w:r>
      <w:r w:rsidR="00C64D3F">
        <w:t>-</w:t>
      </w:r>
      <w:r w:rsidR="00856C25">
        <w:t>Down Process</w:t>
      </w:r>
    </w:p>
    <w:p w14:paraId="5986766C" w14:textId="77FFD5AF" w:rsidR="00A24CCB" w:rsidRDefault="00FE0AB0" w:rsidP="00CD0ED9">
      <w:pPr>
        <w:pStyle w:val="CETBodytext"/>
        <w:rPr>
          <w:color w:val="FF0000"/>
        </w:rPr>
      </w:pPr>
      <w:r>
        <w:t xml:space="preserve">The aim </w:t>
      </w:r>
      <w:r w:rsidR="00A24CCB">
        <w:t xml:space="preserve">of this work </w:t>
      </w:r>
      <w:r>
        <w:t xml:space="preserve">was to evaluate the soft sensors </w:t>
      </w:r>
      <w:r w:rsidR="00A24CCB">
        <w:t>applied to scale down process</w:t>
      </w:r>
      <w:r>
        <w:t xml:space="preserve"> </w:t>
      </w:r>
      <m:oMath>
        <m:d>
          <m:dPr>
            <m:ctrlPr>
              <w:rPr>
                <w:rFonts w:ascii="Cambria Math" w:hAnsi="Cambria Math"/>
                <w:i/>
              </w:rPr>
            </m:ctrlPr>
          </m:dPr>
          <m:e>
            <m:r>
              <w:rPr>
                <w:rFonts w:ascii="Cambria Math" w:hAnsi="Cambria Math"/>
              </w:rPr>
              <m:t>50 mL</m:t>
            </m:r>
          </m:e>
        </m:d>
      </m:oMath>
      <w:r w:rsidR="00CF7F44">
        <w:t xml:space="preserve"> </w:t>
      </w:r>
      <w:r>
        <w:t>compared to the initial experiments</w:t>
      </w:r>
      <w:r w:rsidR="00CF7F44">
        <w:t xml:space="preserve"> </w:t>
      </w:r>
      <m:oMath>
        <m:d>
          <m:dPr>
            <m:ctrlPr>
              <w:rPr>
                <w:rFonts w:ascii="Cambria Math" w:hAnsi="Cambria Math"/>
                <w:i/>
              </w:rPr>
            </m:ctrlPr>
          </m:dPr>
          <m:e>
            <m:r>
              <w:rPr>
                <w:rFonts w:ascii="Cambria Math" w:hAnsi="Cambria Math"/>
              </w:rPr>
              <m:t>2 L</m:t>
            </m:r>
          </m:e>
        </m:d>
      </m:oMath>
      <w:r>
        <w:t>.</w:t>
      </w:r>
      <w:r w:rsidR="00856C25">
        <w:t xml:space="preserve"> </w:t>
      </w:r>
      <w:r w:rsidR="00856C25" w:rsidRPr="00F23865">
        <w:t xml:space="preserve">Scale-down process have lower quantity of online measurements. Based on the SHAP values results, it was selected </w:t>
      </w:r>
      <w:r w:rsidR="0000685E" w:rsidRPr="00F23865">
        <w:t>four</w:t>
      </w:r>
      <w:r w:rsidR="00856C25" w:rsidRPr="00F23865">
        <w:t xml:space="preserve"> online variables to retrain the biomass soft sensors: Temperature, pO</w:t>
      </w:r>
      <w:r w:rsidR="00856C25" w:rsidRPr="00F23865">
        <w:rPr>
          <w:vertAlign w:val="subscript"/>
        </w:rPr>
        <w:t>2</w:t>
      </w:r>
      <w:r w:rsidR="00856C25" w:rsidRPr="00F23865">
        <w:t xml:space="preserve">, agitation, and </w:t>
      </w:r>
      <w:proofErr w:type="spellStart"/>
      <w:r w:rsidR="00856C25" w:rsidRPr="00F23865">
        <w:t>pH.</w:t>
      </w:r>
      <w:proofErr w:type="spellEnd"/>
      <w:r w:rsidR="00856C25" w:rsidRPr="00F23865">
        <w:t xml:space="preserve"> </w:t>
      </w:r>
      <w:r w:rsidR="00856C25" w:rsidRPr="00F23865">
        <w:rPr>
          <w:rFonts w:eastAsiaTheme="minorEastAsia"/>
        </w:rPr>
        <w:t>The biomass training dataset was resized from</w:t>
      </w:r>
      <w:r w:rsidR="00B31602" w:rsidRPr="00F23865">
        <w:rPr>
          <w:rFonts w:eastAsiaTheme="minorEastAsia"/>
        </w:rPr>
        <w:t xml:space="preserve"> </w:t>
      </w:r>
      <w:r w:rsidR="00856C25" w:rsidRPr="00F23865">
        <w:rPr>
          <w:rFonts w:eastAsiaTheme="minorEastAsia"/>
        </w:rPr>
        <w:t>(</w:t>
      </w:r>
      <w:r w:rsidR="00B31602" w:rsidRPr="00F23865">
        <w:rPr>
          <w:rFonts w:eastAsiaTheme="minorEastAsia"/>
        </w:rPr>
        <w:t>11205</w:t>
      </w:r>
      <m:oMath>
        <m:r>
          <w:rPr>
            <w:rFonts w:ascii="Cambria Math" w:eastAsiaTheme="minorEastAsia" w:hAnsi="Cambria Math" w:cs="Arial"/>
          </w:rPr>
          <m:t>×</m:t>
        </m:r>
      </m:oMath>
      <w:r w:rsidR="00856C25" w:rsidRPr="00F23865">
        <w:rPr>
          <w:rFonts w:eastAsiaTheme="minorEastAsia"/>
        </w:rPr>
        <w:t>11</w:t>
      </w:r>
      <w:r w:rsidR="00856C25" w:rsidRPr="00F23865">
        <w:t xml:space="preserve">) to </w:t>
      </w:r>
      <w:r w:rsidR="00856C25" w:rsidRPr="00F23865">
        <w:rPr>
          <w:rFonts w:eastAsiaTheme="minorEastAsia"/>
        </w:rPr>
        <w:t>(</w:t>
      </w:r>
      <w:r w:rsidR="00B31602" w:rsidRPr="00F23865">
        <w:rPr>
          <w:rFonts w:eastAsiaTheme="minorEastAsia"/>
        </w:rPr>
        <w:t>11205</w:t>
      </w:r>
      <m:oMath>
        <m:r>
          <w:rPr>
            <w:rFonts w:ascii="Cambria Math" w:eastAsiaTheme="minorEastAsia" w:hAnsi="Cambria Math" w:cs="Arial"/>
          </w:rPr>
          <m:t>×</m:t>
        </m:r>
      </m:oMath>
      <w:r w:rsidR="00856C25" w:rsidRPr="00F23865">
        <w:rPr>
          <w:rFonts w:eastAsiaTheme="minorEastAsia"/>
        </w:rPr>
        <w:t>4</w:t>
      </w:r>
      <w:r w:rsidR="00856C25" w:rsidRPr="00F23865">
        <w:t xml:space="preserve">). This allows to use the retrained biomass soft sensor </w:t>
      </w:r>
      <w:r w:rsidR="00346575" w:rsidRPr="00F23865">
        <w:t>and evaluate its performance using</w:t>
      </w:r>
      <w:r w:rsidR="0075689F" w:rsidRPr="00F23865">
        <w:t xml:space="preserve"> independent test datasets </w:t>
      </w:r>
      <w:r w:rsidR="00856C25" w:rsidRPr="00F23865">
        <w:t>1 and 2</w:t>
      </w:r>
      <w:r w:rsidR="00346575" w:rsidRPr="00F23865">
        <w:t xml:space="preserve">. </w:t>
      </w:r>
      <w:r w:rsidR="00ED5CB5" w:rsidRPr="00185988">
        <w:t xml:space="preserve">Table </w:t>
      </w:r>
      <w:r w:rsidR="00ED5CB5">
        <w:t>3</w:t>
      </w:r>
      <w:r w:rsidR="00ED5CB5" w:rsidRPr="00185988">
        <w:t xml:space="preserve"> displays the statistical results in training different M</w:t>
      </w:r>
      <w:r w:rsidR="00ED5CB5">
        <w:t>L</w:t>
      </w:r>
      <w:r w:rsidR="00ED5CB5" w:rsidRPr="00185988">
        <w:t xml:space="preserve"> algorithms using </w:t>
      </w:r>
      <w:r w:rsidR="007A3EEE">
        <w:t>four</w:t>
      </w:r>
      <w:r w:rsidR="00ED5CB5" w:rsidRPr="00185988">
        <w:t xml:space="preserve"> features.</w:t>
      </w:r>
    </w:p>
    <w:p w14:paraId="315F32A4" w14:textId="7E96F362" w:rsidR="00A24CCB" w:rsidRPr="009F2109" w:rsidRDefault="00A24CCB" w:rsidP="00A24CCB">
      <w:pPr>
        <w:pStyle w:val="CETTabletitle"/>
        <w:spacing w:before="0" w:after="0"/>
        <w:jc w:val="center"/>
      </w:pPr>
      <w:r w:rsidRPr="0040297F">
        <w:rPr>
          <w:lang w:val="en-US"/>
        </w:rPr>
        <w:t xml:space="preserve">Table </w:t>
      </w:r>
      <w:r w:rsidR="00ED5CB5">
        <w:rPr>
          <w:lang w:val="en-US"/>
        </w:rPr>
        <w:t>3</w:t>
      </w:r>
      <w:r w:rsidRPr="0040297F">
        <w:rPr>
          <w:lang w:val="en-US"/>
        </w:rPr>
        <w:t xml:space="preserve">: </w:t>
      </w:r>
      <w:r>
        <w:rPr>
          <w:lang w:val="en-US"/>
        </w:rPr>
        <w:t>Statistical analysis</w:t>
      </w:r>
      <w:r>
        <w:t xml:space="preserve"> </w:t>
      </w:r>
      <w:r w:rsidRPr="009F2109">
        <w:t xml:space="preserve">in the training and test of different </w:t>
      </w:r>
      <w:r>
        <w:t>ML</w:t>
      </w:r>
      <w:r w:rsidRPr="009F2109">
        <w:t xml:space="preserve"> algorithms</w:t>
      </w:r>
      <w:r>
        <w:t xml:space="preserve"> using 4 variables.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067"/>
        <w:gridCol w:w="1418"/>
        <w:gridCol w:w="2206"/>
        <w:gridCol w:w="1025"/>
        <w:gridCol w:w="1204"/>
      </w:tblGrid>
      <w:tr w:rsidR="00A24CCB" w:rsidRPr="00717FC4" w14:paraId="6E024F14" w14:textId="77777777" w:rsidTr="00263396">
        <w:trPr>
          <w:trHeight w:val="38"/>
          <w:jc w:val="center"/>
        </w:trPr>
        <w:tc>
          <w:tcPr>
            <w:tcW w:w="993" w:type="dxa"/>
            <w:tcBorders>
              <w:top w:val="single" w:sz="12" w:space="0" w:color="008000"/>
              <w:bottom w:val="single" w:sz="4" w:space="0" w:color="2B8D3E"/>
            </w:tcBorders>
            <w:shd w:val="clear" w:color="auto" w:fill="FFFFFF"/>
            <w:vAlign w:val="center"/>
          </w:tcPr>
          <w:p w14:paraId="218B7A72" w14:textId="77777777" w:rsidR="00A24CCB" w:rsidRPr="007D2722" w:rsidRDefault="00A24CCB" w:rsidP="001D01F6">
            <w:pPr>
              <w:pStyle w:val="CETBodytext"/>
              <w:jc w:val="center"/>
              <w:rPr>
                <w:b/>
                <w:bCs/>
                <w:sz w:val="16"/>
                <w:szCs w:val="16"/>
              </w:rPr>
            </w:pPr>
            <w:r w:rsidRPr="007D2722">
              <w:rPr>
                <w:b/>
                <w:bCs/>
                <w:sz w:val="16"/>
                <w:szCs w:val="16"/>
              </w:rPr>
              <w:t>Soft sensor</w:t>
            </w:r>
          </w:p>
        </w:tc>
        <w:tc>
          <w:tcPr>
            <w:tcW w:w="1045" w:type="dxa"/>
            <w:tcBorders>
              <w:top w:val="single" w:sz="12" w:space="0" w:color="008000"/>
              <w:bottom w:val="single" w:sz="4" w:space="0" w:color="2B8D3E"/>
            </w:tcBorders>
            <w:shd w:val="clear" w:color="auto" w:fill="FFFFFF"/>
            <w:vAlign w:val="center"/>
          </w:tcPr>
          <w:p w14:paraId="7EE5321D" w14:textId="77777777" w:rsidR="00A24CCB" w:rsidRPr="007D2722" w:rsidRDefault="00A24CCB" w:rsidP="001D01F6">
            <w:pPr>
              <w:pStyle w:val="CETBodytext"/>
              <w:jc w:val="center"/>
              <w:rPr>
                <w:b/>
                <w:bCs/>
                <w:sz w:val="16"/>
                <w:szCs w:val="16"/>
              </w:rPr>
            </w:pPr>
            <w:r w:rsidRPr="007D2722">
              <w:rPr>
                <w:b/>
                <w:bCs/>
                <w:sz w:val="16"/>
                <w:szCs w:val="16"/>
              </w:rPr>
              <w:t>Metrics/Model</w:t>
            </w:r>
          </w:p>
        </w:tc>
        <w:tc>
          <w:tcPr>
            <w:tcW w:w="1418" w:type="dxa"/>
            <w:tcBorders>
              <w:top w:val="single" w:sz="12" w:space="0" w:color="008000"/>
            </w:tcBorders>
            <w:shd w:val="clear" w:color="auto" w:fill="FFFFFF"/>
            <w:vAlign w:val="center"/>
          </w:tcPr>
          <w:p w14:paraId="39C08669" w14:textId="77777777" w:rsidR="00A24CCB" w:rsidRPr="007D2722" w:rsidRDefault="00A24CCB" w:rsidP="001D01F6">
            <w:pPr>
              <w:pStyle w:val="CETBodytext"/>
              <w:jc w:val="center"/>
              <w:rPr>
                <w:rFonts w:cs="Arial"/>
                <w:b/>
                <w:bCs/>
                <w:i/>
                <w:sz w:val="16"/>
                <w:szCs w:val="16"/>
              </w:rPr>
            </w:pPr>
            <w:r w:rsidRPr="007D2722">
              <w:rPr>
                <w:b/>
                <w:bCs/>
                <w:sz w:val="16"/>
                <w:szCs w:val="16"/>
              </w:rPr>
              <w:t>CART DT</w:t>
            </w:r>
          </w:p>
        </w:tc>
        <w:tc>
          <w:tcPr>
            <w:tcW w:w="2206" w:type="dxa"/>
            <w:tcBorders>
              <w:top w:val="single" w:sz="12" w:space="0" w:color="008000"/>
            </w:tcBorders>
            <w:shd w:val="clear" w:color="auto" w:fill="FFFFFF"/>
            <w:vAlign w:val="center"/>
          </w:tcPr>
          <w:p w14:paraId="29F137FF" w14:textId="77777777" w:rsidR="00A24CCB" w:rsidRPr="007D2722" w:rsidRDefault="00A24CCB" w:rsidP="001D01F6">
            <w:pPr>
              <w:pStyle w:val="CETBodytext"/>
              <w:jc w:val="center"/>
              <w:rPr>
                <w:rFonts w:cs="Arial"/>
                <w:b/>
                <w:bCs/>
                <w:i/>
                <w:sz w:val="16"/>
                <w:szCs w:val="16"/>
              </w:rPr>
            </w:pPr>
            <w:r w:rsidRPr="007D2722">
              <w:rPr>
                <w:b/>
                <w:bCs/>
                <w:sz w:val="16"/>
                <w:szCs w:val="16"/>
              </w:rPr>
              <w:t>RF</w:t>
            </w:r>
          </w:p>
        </w:tc>
        <w:tc>
          <w:tcPr>
            <w:tcW w:w="1025" w:type="dxa"/>
            <w:tcBorders>
              <w:top w:val="single" w:sz="12" w:space="0" w:color="008000"/>
            </w:tcBorders>
            <w:shd w:val="clear" w:color="auto" w:fill="FFFFFF"/>
            <w:vAlign w:val="center"/>
          </w:tcPr>
          <w:p w14:paraId="25FE00EA" w14:textId="77777777" w:rsidR="00A24CCB" w:rsidRPr="007D2722" w:rsidRDefault="00A24CCB" w:rsidP="001D01F6">
            <w:pPr>
              <w:pStyle w:val="CETBodytext"/>
              <w:jc w:val="center"/>
              <w:rPr>
                <w:rFonts w:cs="Arial"/>
                <w:b/>
                <w:bCs/>
                <w:i/>
                <w:sz w:val="16"/>
                <w:szCs w:val="16"/>
              </w:rPr>
            </w:pPr>
            <w:r w:rsidRPr="007D2722">
              <w:rPr>
                <w:b/>
                <w:bCs/>
                <w:sz w:val="16"/>
                <w:szCs w:val="16"/>
              </w:rPr>
              <w:t>KNN</w:t>
            </w:r>
          </w:p>
        </w:tc>
        <w:tc>
          <w:tcPr>
            <w:tcW w:w="1204" w:type="dxa"/>
            <w:tcBorders>
              <w:top w:val="single" w:sz="12" w:space="0" w:color="008000"/>
            </w:tcBorders>
            <w:shd w:val="clear" w:color="auto" w:fill="FFFFFF"/>
            <w:vAlign w:val="center"/>
          </w:tcPr>
          <w:p w14:paraId="1C75CB3B" w14:textId="77777777" w:rsidR="00A24CCB" w:rsidRPr="007D2722" w:rsidRDefault="00A24CCB" w:rsidP="001D01F6">
            <w:pPr>
              <w:pStyle w:val="CETBodytext"/>
              <w:jc w:val="center"/>
              <w:rPr>
                <w:rFonts w:cs="Arial"/>
                <w:b/>
                <w:bCs/>
                <w:i/>
                <w:sz w:val="16"/>
                <w:szCs w:val="16"/>
              </w:rPr>
            </w:pPr>
            <w:r w:rsidRPr="007D2722">
              <w:rPr>
                <w:b/>
                <w:bCs/>
                <w:sz w:val="16"/>
                <w:szCs w:val="16"/>
              </w:rPr>
              <w:t>RBF SVM</w:t>
            </w:r>
          </w:p>
        </w:tc>
      </w:tr>
      <w:tr w:rsidR="00A24CCB" w:rsidRPr="00717FC4" w14:paraId="2457DD28" w14:textId="77777777" w:rsidTr="00263396">
        <w:trPr>
          <w:trHeight w:val="62"/>
          <w:jc w:val="center"/>
        </w:trPr>
        <w:tc>
          <w:tcPr>
            <w:tcW w:w="993" w:type="dxa"/>
            <w:vMerge w:val="restart"/>
            <w:tcBorders>
              <w:top w:val="single" w:sz="4" w:space="0" w:color="009E47"/>
            </w:tcBorders>
            <w:shd w:val="clear" w:color="auto" w:fill="FFFFFF"/>
            <w:vAlign w:val="center"/>
          </w:tcPr>
          <w:p w14:paraId="7786E6E4" w14:textId="77777777" w:rsidR="00A24CCB" w:rsidRPr="007D2722" w:rsidRDefault="00A24CCB" w:rsidP="001D01F6">
            <w:pPr>
              <w:pStyle w:val="CETBodytext"/>
              <w:jc w:val="center"/>
              <w:rPr>
                <w:sz w:val="16"/>
                <w:szCs w:val="16"/>
              </w:rPr>
            </w:pPr>
            <w:r w:rsidRPr="007D2722">
              <w:rPr>
                <w:rFonts w:cs="Arial"/>
                <w:i/>
                <w:sz w:val="16"/>
                <w:szCs w:val="16"/>
              </w:rPr>
              <w:t>Biomass</w:t>
            </w:r>
          </w:p>
        </w:tc>
        <w:tc>
          <w:tcPr>
            <w:tcW w:w="1045" w:type="dxa"/>
            <w:tcBorders>
              <w:top w:val="single" w:sz="4" w:space="0" w:color="009E47"/>
            </w:tcBorders>
            <w:shd w:val="clear" w:color="auto" w:fill="FFFFFF"/>
            <w:vAlign w:val="center"/>
          </w:tcPr>
          <w:p w14:paraId="0D54C339" w14:textId="77777777" w:rsidR="00A24CCB" w:rsidRPr="007D2722" w:rsidRDefault="00A24CCB" w:rsidP="001D01F6">
            <w:pPr>
              <w:pStyle w:val="CETBodytext"/>
              <w:jc w:val="center"/>
              <w:rPr>
                <w:sz w:val="16"/>
                <w:szCs w:val="16"/>
              </w:rPr>
            </w:pPr>
          </w:p>
        </w:tc>
        <w:tc>
          <w:tcPr>
            <w:tcW w:w="5853" w:type="dxa"/>
            <w:gridSpan w:val="4"/>
            <w:tcBorders>
              <w:top w:val="single" w:sz="4" w:space="0" w:color="009E47"/>
              <w:bottom w:val="single" w:sz="4" w:space="0" w:color="009E47"/>
            </w:tcBorders>
            <w:shd w:val="clear" w:color="auto" w:fill="FFFFFF"/>
            <w:vAlign w:val="center"/>
          </w:tcPr>
          <w:p w14:paraId="07D22812" w14:textId="77777777" w:rsidR="00A24CCB" w:rsidRPr="007D2722" w:rsidRDefault="00A24CCB" w:rsidP="001D01F6">
            <w:pPr>
              <w:pStyle w:val="CETBodytext"/>
              <w:jc w:val="center"/>
              <w:rPr>
                <w:sz w:val="16"/>
                <w:szCs w:val="16"/>
                <w:u w:val="single"/>
              </w:rPr>
            </w:pPr>
            <w:r w:rsidRPr="007D2722">
              <w:rPr>
                <w:sz w:val="16"/>
                <w:szCs w:val="16"/>
              </w:rPr>
              <w:t>Training</w:t>
            </w:r>
          </w:p>
        </w:tc>
      </w:tr>
      <w:tr w:rsidR="00A24CCB" w:rsidRPr="00717FC4" w14:paraId="24D5D3E9" w14:textId="77777777" w:rsidTr="00263396">
        <w:trPr>
          <w:trHeight w:val="74"/>
          <w:jc w:val="center"/>
        </w:trPr>
        <w:tc>
          <w:tcPr>
            <w:tcW w:w="993" w:type="dxa"/>
            <w:vMerge/>
            <w:shd w:val="clear" w:color="auto" w:fill="FFFFFF"/>
            <w:vAlign w:val="center"/>
          </w:tcPr>
          <w:p w14:paraId="59CC1E39" w14:textId="77777777" w:rsidR="00A24CCB" w:rsidRPr="007D2722" w:rsidRDefault="00A24CCB" w:rsidP="001D01F6">
            <w:pPr>
              <w:pStyle w:val="CETBodytext"/>
              <w:jc w:val="center"/>
              <w:rPr>
                <w:sz w:val="16"/>
                <w:szCs w:val="16"/>
              </w:rPr>
            </w:pPr>
          </w:p>
        </w:tc>
        <w:tc>
          <w:tcPr>
            <w:tcW w:w="1045" w:type="dxa"/>
            <w:tcBorders>
              <w:top w:val="nil"/>
              <w:bottom w:val="nil"/>
            </w:tcBorders>
            <w:shd w:val="clear" w:color="auto" w:fill="FFFFFF"/>
            <w:vAlign w:val="center"/>
          </w:tcPr>
          <w:p w14:paraId="06B0509E" w14:textId="77777777" w:rsidR="00A24CCB" w:rsidRPr="007D2722" w:rsidRDefault="00FB7F61" w:rsidP="001D01F6">
            <w:pPr>
              <w:pStyle w:val="CETBodytext"/>
              <w:jc w:val="center"/>
              <w:rPr>
                <w:sz w:val="16"/>
                <w:szCs w:val="16"/>
              </w:rPr>
            </w:pPr>
            <m:oMathPara>
              <m:oMath>
                <m:sSup>
                  <m:sSupPr>
                    <m:ctrlPr>
                      <w:rPr>
                        <w:rFonts w:ascii="Cambria Math" w:eastAsia="Cambria Math" w:hAnsi="Cambria Math" w:cs="Cambria Math"/>
                        <w:sz w:val="16"/>
                        <w:szCs w:val="16"/>
                      </w:rPr>
                    </m:ctrlPr>
                  </m:sSupPr>
                  <m:e>
                    <m:r>
                      <w:rPr>
                        <w:rFonts w:ascii="Cambria Math" w:eastAsia="Cambria Math" w:hAnsi="Cambria Math" w:cs="Cambria Math"/>
                        <w:sz w:val="16"/>
                        <w:szCs w:val="16"/>
                      </w:rPr>
                      <m:t>R</m:t>
                    </m:r>
                  </m:e>
                  <m:sup>
                    <m:r>
                      <w:rPr>
                        <w:rFonts w:ascii="Cambria Math" w:eastAsia="Cambria Math" w:hAnsi="Cambria Math" w:cs="Cambria Math"/>
                        <w:sz w:val="16"/>
                        <w:szCs w:val="16"/>
                      </w:rPr>
                      <m:t>2</m:t>
                    </m:r>
                  </m:sup>
                </m:sSup>
              </m:oMath>
            </m:oMathPara>
          </w:p>
        </w:tc>
        <w:tc>
          <w:tcPr>
            <w:tcW w:w="1418" w:type="dxa"/>
            <w:tcBorders>
              <w:top w:val="single" w:sz="4" w:space="0" w:color="009E47"/>
              <w:bottom w:val="nil"/>
            </w:tcBorders>
            <w:shd w:val="clear" w:color="auto" w:fill="FFFFFF"/>
            <w:vAlign w:val="center"/>
          </w:tcPr>
          <w:p w14:paraId="3511840F" w14:textId="16E3C1E6" w:rsidR="00A24CCB" w:rsidRPr="007D2722" w:rsidRDefault="00A24CCB" w:rsidP="001D01F6">
            <w:pPr>
              <w:pStyle w:val="CETBodytext"/>
              <w:jc w:val="center"/>
              <w:rPr>
                <w:sz w:val="16"/>
                <w:szCs w:val="16"/>
              </w:rPr>
            </w:pPr>
            <w:r w:rsidRPr="007D2722">
              <w:rPr>
                <w:sz w:val="16"/>
                <w:szCs w:val="16"/>
              </w:rPr>
              <w:t>0.9</w:t>
            </w:r>
            <w:r w:rsidR="0073243B" w:rsidRPr="007D2722">
              <w:rPr>
                <w:sz w:val="16"/>
                <w:szCs w:val="16"/>
              </w:rPr>
              <w:t>69</w:t>
            </w:r>
          </w:p>
        </w:tc>
        <w:tc>
          <w:tcPr>
            <w:tcW w:w="2206" w:type="dxa"/>
            <w:tcBorders>
              <w:top w:val="single" w:sz="4" w:space="0" w:color="009E47"/>
              <w:bottom w:val="nil"/>
            </w:tcBorders>
            <w:shd w:val="clear" w:color="auto" w:fill="FFFFFF"/>
            <w:vAlign w:val="center"/>
          </w:tcPr>
          <w:p w14:paraId="7C03F1F0" w14:textId="21E6191B" w:rsidR="00A24CCB" w:rsidRPr="007D2722" w:rsidRDefault="00A24CCB" w:rsidP="001D01F6">
            <w:pPr>
              <w:pStyle w:val="CETBodytext"/>
              <w:jc w:val="center"/>
              <w:rPr>
                <w:sz w:val="16"/>
                <w:szCs w:val="16"/>
              </w:rPr>
            </w:pPr>
            <w:r w:rsidRPr="007D2722">
              <w:rPr>
                <w:sz w:val="16"/>
                <w:szCs w:val="16"/>
              </w:rPr>
              <w:t>0.9</w:t>
            </w:r>
            <w:r w:rsidR="0073243B" w:rsidRPr="007D2722">
              <w:rPr>
                <w:sz w:val="16"/>
                <w:szCs w:val="16"/>
              </w:rPr>
              <w:t>72</w:t>
            </w:r>
          </w:p>
        </w:tc>
        <w:tc>
          <w:tcPr>
            <w:tcW w:w="1025" w:type="dxa"/>
            <w:tcBorders>
              <w:top w:val="single" w:sz="4" w:space="0" w:color="009E47"/>
              <w:bottom w:val="nil"/>
            </w:tcBorders>
            <w:shd w:val="clear" w:color="auto" w:fill="FFFFFF"/>
            <w:vAlign w:val="center"/>
          </w:tcPr>
          <w:p w14:paraId="3E6570C2" w14:textId="6BB0936D" w:rsidR="00A24CCB" w:rsidRPr="007D2722" w:rsidRDefault="00A24CCB" w:rsidP="001D01F6">
            <w:pPr>
              <w:pStyle w:val="CETBodytext"/>
              <w:jc w:val="center"/>
              <w:rPr>
                <w:sz w:val="16"/>
                <w:szCs w:val="16"/>
              </w:rPr>
            </w:pPr>
            <w:r w:rsidRPr="007D2722">
              <w:rPr>
                <w:sz w:val="16"/>
                <w:szCs w:val="16"/>
              </w:rPr>
              <w:t>0.9</w:t>
            </w:r>
            <w:r w:rsidR="0073243B" w:rsidRPr="007D2722">
              <w:rPr>
                <w:sz w:val="16"/>
                <w:szCs w:val="16"/>
              </w:rPr>
              <w:t>93</w:t>
            </w:r>
          </w:p>
        </w:tc>
        <w:tc>
          <w:tcPr>
            <w:tcW w:w="1204" w:type="dxa"/>
            <w:tcBorders>
              <w:top w:val="single" w:sz="4" w:space="0" w:color="009E47"/>
              <w:bottom w:val="nil"/>
            </w:tcBorders>
            <w:shd w:val="clear" w:color="auto" w:fill="FFFFFF"/>
            <w:vAlign w:val="center"/>
          </w:tcPr>
          <w:p w14:paraId="54A3A3F5" w14:textId="590757EA" w:rsidR="00A24CCB" w:rsidRPr="007D2722" w:rsidRDefault="00A24CCB" w:rsidP="001D01F6">
            <w:pPr>
              <w:pStyle w:val="CETBodytext"/>
              <w:jc w:val="center"/>
              <w:rPr>
                <w:sz w:val="16"/>
                <w:szCs w:val="16"/>
                <w:u w:val="single"/>
              </w:rPr>
            </w:pPr>
            <w:r w:rsidRPr="007D2722">
              <w:rPr>
                <w:sz w:val="16"/>
                <w:szCs w:val="16"/>
              </w:rPr>
              <w:t>0.9</w:t>
            </w:r>
            <w:r w:rsidR="0073243B" w:rsidRPr="007D2722">
              <w:rPr>
                <w:sz w:val="16"/>
                <w:szCs w:val="16"/>
              </w:rPr>
              <w:t>71</w:t>
            </w:r>
          </w:p>
        </w:tc>
      </w:tr>
      <w:tr w:rsidR="00A24CCB" w:rsidRPr="00717FC4" w14:paraId="1100FABF" w14:textId="77777777" w:rsidTr="00263396">
        <w:trPr>
          <w:trHeight w:val="74"/>
          <w:jc w:val="center"/>
        </w:trPr>
        <w:tc>
          <w:tcPr>
            <w:tcW w:w="993" w:type="dxa"/>
            <w:vMerge/>
            <w:shd w:val="clear" w:color="auto" w:fill="FFFFFF"/>
            <w:vAlign w:val="center"/>
          </w:tcPr>
          <w:p w14:paraId="3A2F4652" w14:textId="77777777" w:rsidR="00A24CCB" w:rsidRPr="007D2722" w:rsidRDefault="00A24CCB" w:rsidP="001D01F6">
            <w:pPr>
              <w:pStyle w:val="CETBodytext"/>
              <w:jc w:val="center"/>
              <w:rPr>
                <w:sz w:val="16"/>
                <w:szCs w:val="16"/>
              </w:rPr>
            </w:pPr>
          </w:p>
        </w:tc>
        <w:tc>
          <w:tcPr>
            <w:tcW w:w="1045" w:type="dxa"/>
            <w:tcBorders>
              <w:top w:val="nil"/>
              <w:bottom w:val="nil"/>
            </w:tcBorders>
            <w:shd w:val="clear" w:color="auto" w:fill="FFFFFF"/>
            <w:vAlign w:val="center"/>
          </w:tcPr>
          <w:p w14:paraId="42A985DD" w14:textId="77777777" w:rsidR="00A24CCB" w:rsidRPr="007D2722" w:rsidRDefault="00A24CCB" w:rsidP="001D01F6">
            <w:pPr>
              <w:pStyle w:val="CETBodytext"/>
              <w:jc w:val="center"/>
              <w:rPr>
                <w:sz w:val="16"/>
                <w:szCs w:val="16"/>
              </w:rPr>
            </w:pPr>
            <m:oMathPara>
              <m:oMath>
                <m:r>
                  <w:rPr>
                    <w:rFonts w:ascii="Cambria Math" w:eastAsia="Cambria Math" w:hAnsi="Cambria Math" w:cs="Cambria Math"/>
                    <w:sz w:val="16"/>
                    <w:szCs w:val="16"/>
                  </w:rPr>
                  <m:t>MSE</m:t>
                </m:r>
              </m:oMath>
            </m:oMathPara>
          </w:p>
        </w:tc>
        <w:tc>
          <w:tcPr>
            <w:tcW w:w="1418" w:type="dxa"/>
            <w:tcBorders>
              <w:top w:val="nil"/>
              <w:bottom w:val="nil"/>
            </w:tcBorders>
            <w:shd w:val="clear" w:color="auto" w:fill="FFFFFF"/>
            <w:vAlign w:val="center"/>
          </w:tcPr>
          <w:p w14:paraId="7C815376" w14:textId="748A6A47" w:rsidR="00A24CCB" w:rsidRPr="007D2722" w:rsidRDefault="00A24CCB" w:rsidP="001D01F6">
            <w:pPr>
              <w:pStyle w:val="CETBodytext"/>
              <w:jc w:val="center"/>
              <w:rPr>
                <w:sz w:val="16"/>
                <w:szCs w:val="16"/>
              </w:rPr>
            </w:pPr>
            <w:r w:rsidRPr="007D2722">
              <w:rPr>
                <w:sz w:val="16"/>
                <w:szCs w:val="16"/>
              </w:rPr>
              <w:t>0.0</w:t>
            </w:r>
            <w:r w:rsidR="0073243B" w:rsidRPr="007D2722">
              <w:rPr>
                <w:sz w:val="16"/>
                <w:szCs w:val="16"/>
              </w:rPr>
              <w:t>31</w:t>
            </w:r>
          </w:p>
        </w:tc>
        <w:tc>
          <w:tcPr>
            <w:tcW w:w="2206" w:type="dxa"/>
            <w:tcBorders>
              <w:top w:val="nil"/>
              <w:bottom w:val="nil"/>
            </w:tcBorders>
            <w:shd w:val="clear" w:color="auto" w:fill="FFFFFF"/>
            <w:vAlign w:val="center"/>
          </w:tcPr>
          <w:p w14:paraId="086BD074" w14:textId="52906F83" w:rsidR="00A24CCB" w:rsidRPr="007D2722" w:rsidRDefault="00A24CCB" w:rsidP="001D01F6">
            <w:pPr>
              <w:pStyle w:val="CETBodytext"/>
              <w:jc w:val="center"/>
              <w:rPr>
                <w:sz w:val="16"/>
                <w:szCs w:val="16"/>
              </w:rPr>
            </w:pPr>
            <w:r w:rsidRPr="007D2722">
              <w:rPr>
                <w:sz w:val="16"/>
                <w:szCs w:val="16"/>
              </w:rPr>
              <w:t>0.0</w:t>
            </w:r>
            <w:r w:rsidR="0073243B" w:rsidRPr="007D2722">
              <w:rPr>
                <w:sz w:val="16"/>
                <w:szCs w:val="16"/>
              </w:rPr>
              <w:t>28</w:t>
            </w:r>
          </w:p>
        </w:tc>
        <w:tc>
          <w:tcPr>
            <w:tcW w:w="1025" w:type="dxa"/>
            <w:tcBorders>
              <w:top w:val="nil"/>
              <w:bottom w:val="nil"/>
            </w:tcBorders>
            <w:shd w:val="clear" w:color="auto" w:fill="FFFFFF"/>
            <w:vAlign w:val="center"/>
          </w:tcPr>
          <w:p w14:paraId="2B28ABE9" w14:textId="54B332D6" w:rsidR="00A24CCB" w:rsidRPr="007D2722" w:rsidRDefault="0073243B" w:rsidP="001D01F6">
            <w:pPr>
              <w:pStyle w:val="CETBodytext"/>
              <w:jc w:val="center"/>
              <w:rPr>
                <w:sz w:val="16"/>
                <w:szCs w:val="16"/>
              </w:rPr>
            </w:pPr>
            <w:r w:rsidRPr="007D2722">
              <w:rPr>
                <w:sz w:val="16"/>
                <w:szCs w:val="16"/>
              </w:rPr>
              <w:t>6.9</w:t>
            </w:r>
            <w:r w:rsidR="00C412FC" w:rsidRPr="007D2722">
              <w:rPr>
                <w:sz w:val="16"/>
                <w:szCs w:val="16"/>
              </w:rPr>
              <w:t>20</w:t>
            </w:r>
            <w:r w:rsidRPr="007D2722">
              <w:rPr>
                <w:rFonts w:cs="Arial"/>
                <w:sz w:val="16"/>
                <w:szCs w:val="16"/>
              </w:rPr>
              <w:t>×</w:t>
            </w:r>
            <w:r w:rsidRPr="007D2722">
              <w:rPr>
                <w:sz w:val="16"/>
                <w:szCs w:val="16"/>
              </w:rPr>
              <w:t>10</w:t>
            </w:r>
            <w:r w:rsidRPr="007D2722">
              <w:rPr>
                <w:sz w:val="16"/>
                <w:szCs w:val="16"/>
                <w:vertAlign w:val="superscript"/>
              </w:rPr>
              <w:t>-3</w:t>
            </w:r>
          </w:p>
        </w:tc>
        <w:tc>
          <w:tcPr>
            <w:tcW w:w="1204" w:type="dxa"/>
            <w:tcBorders>
              <w:top w:val="nil"/>
              <w:bottom w:val="nil"/>
            </w:tcBorders>
            <w:shd w:val="clear" w:color="auto" w:fill="FFFFFF"/>
            <w:vAlign w:val="center"/>
          </w:tcPr>
          <w:p w14:paraId="5257E535" w14:textId="6A0DED44" w:rsidR="00A24CCB" w:rsidRPr="007D2722" w:rsidRDefault="0073243B" w:rsidP="001D01F6">
            <w:pPr>
              <w:pStyle w:val="CETBodytext"/>
              <w:jc w:val="center"/>
              <w:rPr>
                <w:sz w:val="16"/>
                <w:szCs w:val="16"/>
              </w:rPr>
            </w:pPr>
            <w:r w:rsidRPr="007D2722">
              <w:rPr>
                <w:sz w:val="16"/>
                <w:szCs w:val="16"/>
              </w:rPr>
              <w:t>0.029</w:t>
            </w:r>
          </w:p>
        </w:tc>
      </w:tr>
      <w:tr w:rsidR="00A24CCB" w:rsidRPr="00717FC4" w14:paraId="3056F221" w14:textId="77777777" w:rsidTr="00263396">
        <w:trPr>
          <w:trHeight w:val="74"/>
          <w:jc w:val="center"/>
        </w:trPr>
        <w:tc>
          <w:tcPr>
            <w:tcW w:w="993" w:type="dxa"/>
            <w:vMerge/>
            <w:shd w:val="clear" w:color="auto" w:fill="FFFFFF"/>
            <w:vAlign w:val="center"/>
          </w:tcPr>
          <w:p w14:paraId="6DA038B7" w14:textId="77777777" w:rsidR="00A24CCB" w:rsidRPr="007D2722" w:rsidRDefault="00A24CCB" w:rsidP="001D01F6">
            <w:pPr>
              <w:pStyle w:val="CETBodytext"/>
              <w:jc w:val="center"/>
              <w:rPr>
                <w:sz w:val="16"/>
                <w:szCs w:val="16"/>
              </w:rPr>
            </w:pPr>
          </w:p>
        </w:tc>
        <w:tc>
          <w:tcPr>
            <w:tcW w:w="1045" w:type="dxa"/>
            <w:tcBorders>
              <w:top w:val="nil"/>
              <w:bottom w:val="nil"/>
            </w:tcBorders>
            <w:shd w:val="clear" w:color="auto" w:fill="FFFFFF"/>
            <w:vAlign w:val="center"/>
          </w:tcPr>
          <w:p w14:paraId="36ACC1B0" w14:textId="77777777" w:rsidR="00A24CCB" w:rsidRPr="007D2722" w:rsidRDefault="00A24CCB" w:rsidP="001D01F6">
            <w:pPr>
              <w:pStyle w:val="CETBodytext"/>
              <w:jc w:val="center"/>
              <w:rPr>
                <w:sz w:val="16"/>
                <w:szCs w:val="16"/>
              </w:rPr>
            </w:pPr>
            <m:oMathPara>
              <m:oMath>
                <m:r>
                  <w:rPr>
                    <w:rFonts w:ascii="Cambria Math" w:eastAsia="Cambria Math" w:hAnsi="Cambria Math" w:cs="Cambria Math"/>
                    <w:sz w:val="16"/>
                    <w:szCs w:val="16"/>
                  </w:rPr>
                  <m:t>RMSE</m:t>
                </m:r>
              </m:oMath>
            </m:oMathPara>
          </w:p>
        </w:tc>
        <w:tc>
          <w:tcPr>
            <w:tcW w:w="1418" w:type="dxa"/>
            <w:tcBorders>
              <w:top w:val="nil"/>
              <w:bottom w:val="nil"/>
            </w:tcBorders>
            <w:shd w:val="clear" w:color="auto" w:fill="FFFFFF"/>
            <w:vAlign w:val="center"/>
          </w:tcPr>
          <w:p w14:paraId="1C8F447F" w14:textId="3C162F37" w:rsidR="00A24CCB" w:rsidRPr="007D2722" w:rsidRDefault="00A24CCB" w:rsidP="001D01F6">
            <w:pPr>
              <w:pStyle w:val="CETBodytext"/>
              <w:jc w:val="center"/>
              <w:rPr>
                <w:sz w:val="16"/>
                <w:szCs w:val="16"/>
              </w:rPr>
            </w:pPr>
            <w:r w:rsidRPr="007D2722">
              <w:rPr>
                <w:sz w:val="16"/>
                <w:szCs w:val="16"/>
              </w:rPr>
              <w:t>0.1</w:t>
            </w:r>
            <w:r w:rsidR="0073243B" w:rsidRPr="007D2722">
              <w:rPr>
                <w:sz w:val="16"/>
                <w:szCs w:val="16"/>
              </w:rPr>
              <w:t>75</w:t>
            </w:r>
          </w:p>
        </w:tc>
        <w:tc>
          <w:tcPr>
            <w:tcW w:w="2206" w:type="dxa"/>
            <w:tcBorders>
              <w:top w:val="nil"/>
              <w:bottom w:val="nil"/>
            </w:tcBorders>
            <w:shd w:val="clear" w:color="auto" w:fill="FFFFFF"/>
            <w:vAlign w:val="center"/>
          </w:tcPr>
          <w:p w14:paraId="3F438185" w14:textId="45A2B3CD" w:rsidR="00A24CCB" w:rsidRPr="007D2722" w:rsidRDefault="00A24CCB" w:rsidP="001D01F6">
            <w:pPr>
              <w:pStyle w:val="CETBodytext"/>
              <w:jc w:val="center"/>
              <w:rPr>
                <w:sz w:val="16"/>
                <w:szCs w:val="16"/>
              </w:rPr>
            </w:pPr>
            <w:r w:rsidRPr="007D2722">
              <w:rPr>
                <w:sz w:val="16"/>
                <w:szCs w:val="16"/>
              </w:rPr>
              <w:t>0.1</w:t>
            </w:r>
            <w:r w:rsidR="0073243B" w:rsidRPr="007D2722">
              <w:rPr>
                <w:sz w:val="16"/>
                <w:szCs w:val="16"/>
              </w:rPr>
              <w:t>67</w:t>
            </w:r>
          </w:p>
        </w:tc>
        <w:tc>
          <w:tcPr>
            <w:tcW w:w="1025" w:type="dxa"/>
            <w:tcBorders>
              <w:top w:val="nil"/>
              <w:bottom w:val="nil"/>
            </w:tcBorders>
            <w:shd w:val="clear" w:color="auto" w:fill="FFFFFF"/>
            <w:vAlign w:val="center"/>
          </w:tcPr>
          <w:p w14:paraId="1BCCACCD" w14:textId="24FB38C9" w:rsidR="00A24CCB" w:rsidRPr="007D2722" w:rsidRDefault="00A24CCB" w:rsidP="001D01F6">
            <w:pPr>
              <w:pStyle w:val="CETBodytext"/>
              <w:jc w:val="center"/>
              <w:rPr>
                <w:sz w:val="16"/>
                <w:szCs w:val="16"/>
              </w:rPr>
            </w:pPr>
            <w:r w:rsidRPr="007D2722">
              <w:rPr>
                <w:sz w:val="16"/>
                <w:szCs w:val="16"/>
              </w:rPr>
              <w:t>0.</w:t>
            </w:r>
            <w:r w:rsidR="0073243B" w:rsidRPr="007D2722">
              <w:rPr>
                <w:sz w:val="16"/>
                <w:szCs w:val="16"/>
              </w:rPr>
              <w:t>083</w:t>
            </w:r>
          </w:p>
        </w:tc>
        <w:tc>
          <w:tcPr>
            <w:tcW w:w="1204" w:type="dxa"/>
            <w:tcBorders>
              <w:top w:val="nil"/>
              <w:bottom w:val="nil"/>
            </w:tcBorders>
            <w:shd w:val="clear" w:color="auto" w:fill="FFFFFF"/>
            <w:vAlign w:val="center"/>
          </w:tcPr>
          <w:p w14:paraId="160DF404" w14:textId="18C925AC" w:rsidR="00A24CCB" w:rsidRPr="007D2722" w:rsidRDefault="0073243B" w:rsidP="001D01F6">
            <w:pPr>
              <w:pStyle w:val="CETBodytext"/>
              <w:jc w:val="center"/>
              <w:rPr>
                <w:sz w:val="16"/>
                <w:szCs w:val="16"/>
              </w:rPr>
            </w:pPr>
            <w:r w:rsidRPr="007D2722">
              <w:rPr>
                <w:sz w:val="16"/>
                <w:szCs w:val="16"/>
              </w:rPr>
              <w:t>0.169</w:t>
            </w:r>
          </w:p>
        </w:tc>
      </w:tr>
      <w:tr w:rsidR="00A24CCB" w:rsidRPr="00717FC4" w14:paraId="6B6631B2" w14:textId="77777777" w:rsidTr="00263396">
        <w:trPr>
          <w:trHeight w:val="94"/>
          <w:jc w:val="center"/>
        </w:trPr>
        <w:tc>
          <w:tcPr>
            <w:tcW w:w="993" w:type="dxa"/>
            <w:vMerge/>
            <w:shd w:val="clear" w:color="auto" w:fill="FFFFFF"/>
            <w:vAlign w:val="center"/>
          </w:tcPr>
          <w:p w14:paraId="1293AA11" w14:textId="77777777" w:rsidR="00A24CCB" w:rsidRPr="007D2722" w:rsidRDefault="00A24CCB" w:rsidP="001D01F6">
            <w:pPr>
              <w:pStyle w:val="CETBodytext"/>
              <w:jc w:val="center"/>
              <w:rPr>
                <w:sz w:val="16"/>
                <w:szCs w:val="16"/>
              </w:rPr>
            </w:pPr>
          </w:p>
        </w:tc>
        <w:tc>
          <w:tcPr>
            <w:tcW w:w="1045" w:type="dxa"/>
            <w:tcBorders>
              <w:top w:val="nil"/>
            </w:tcBorders>
            <w:shd w:val="clear" w:color="auto" w:fill="FFFFFF"/>
            <w:vAlign w:val="center"/>
          </w:tcPr>
          <w:p w14:paraId="45F00BFE" w14:textId="77777777" w:rsidR="00A24CCB" w:rsidRPr="007D2722" w:rsidRDefault="00A24CCB" w:rsidP="001D01F6">
            <w:pPr>
              <w:pStyle w:val="CETBodytext"/>
              <w:jc w:val="center"/>
              <w:rPr>
                <w:sz w:val="16"/>
                <w:szCs w:val="16"/>
              </w:rPr>
            </w:pPr>
            <m:oMathPara>
              <m:oMath>
                <m:r>
                  <w:rPr>
                    <w:rFonts w:ascii="Cambria Math" w:eastAsia="Cambria Math" w:hAnsi="Cambria Math" w:cs="Cambria Math"/>
                    <w:sz w:val="16"/>
                    <w:szCs w:val="16"/>
                  </w:rPr>
                  <m:t>MAE</m:t>
                </m:r>
              </m:oMath>
            </m:oMathPara>
          </w:p>
        </w:tc>
        <w:tc>
          <w:tcPr>
            <w:tcW w:w="1418" w:type="dxa"/>
            <w:tcBorders>
              <w:top w:val="nil"/>
            </w:tcBorders>
            <w:shd w:val="clear" w:color="auto" w:fill="FFFFFF"/>
            <w:vAlign w:val="center"/>
          </w:tcPr>
          <w:p w14:paraId="2508E37F" w14:textId="01322381" w:rsidR="00A24CCB" w:rsidRPr="007D2722" w:rsidRDefault="00A24CCB" w:rsidP="001D01F6">
            <w:pPr>
              <w:pStyle w:val="CETBodytext"/>
              <w:jc w:val="center"/>
              <w:rPr>
                <w:sz w:val="16"/>
                <w:szCs w:val="16"/>
              </w:rPr>
            </w:pPr>
            <w:r w:rsidRPr="007D2722">
              <w:rPr>
                <w:sz w:val="16"/>
                <w:szCs w:val="16"/>
              </w:rPr>
              <w:t>0.</w:t>
            </w:r>
            <w:r w:rsidR="0073243B" w:rsidRPr="007D2722">
              <w:rPr>
                <w:sz w:val="16"/>
                <w:szCs w:val="16"/>
              </w:rPr>
              <w:t>105</w:t>
            </w:r>
          </w:p>
        </w:tc>
        <w:tc>
          <w:tcPr>
            <w:tcW w:w="2206" w:type="dxa"/>
            <w:tcBorders>
              <w:top w:val="nil"/>
            </w:tcBorders>
            <w:shd w:val="clear" w:color="auto" w:fill="FFFFFF"/>
            <w:vAlign w:val="center"/>
          </w:tcPr>
          <w:p w14:paraId="610C38E8" w14:textId="2F941E96" w:rsidR="00A24CCB" w:rsidRPr="007D2722" w:rsidRDefault="00A24CCB" w:rsidP="001D01F6">
            <w:pPr>
              <w:pStyle w:val="CETBodytext"/>
              <w:jc w:val="center"/>
              <w:rPr>
                <w:sz w:val="16"/>
                <w:szCs w:val="16"/>
              </w:rPr>
            </w:pPr>
            <w:r w:rsidRPr="007D2722">
              <w:rPr>
                <w:sz w:val="16"/>
                <w:szCs w:val="16"/>
              </w:rPr>
              <w:t>0.1</w:t>
            </w:r>
            <w:r w:rsidR="0073243B" w:rsidRPr="007D2722">
              <w:rPr>
                <w:sz w:val="16"/>
                <w:szCs w:val="16"/>
              </w:rPr>
              <w:t>02</w:t>
            </w:r>
          </w:p>
        </w:tc>
        <w:tc>
          <w:tcPr>
            <w:tcW w:w="1025" w:type="dxa"/>
            <w:tcBorders>
              <w:top w:val="nil"/>
            </w:tcBorders>
            <w:shd w:val="clear" w:color="auto" w:fill="FFFFFF"/>
            <w:vAlign w:val="center"/>
          </w:tcPr>
          <w:p w14:paraId="2CEFF7D8" w14:textId="76FB242A" w:rsidR="00A24CCB" w:rsidRPr="007D2722" w:rsidRDefault="00A24CCB" w:rsidP="001D01F6">
            <w:pPr>
              <w:pStyle w:val="CETBodytext"/>
              <w:jc w:val="center"/>
              <w:rPr>
                <w:sz w:val="16"/>
                <w:szCs w:val="16"/>
              </w:rPr>
            </w:pPr>
            <w:r w:rsidRPr="007D2722">
              <w:rPr>
                <w:sz w:val="16"/>
                <w:szCs w:val="16"/>
              </w:rPr>
              <w:t>0.</w:t>
            </w:r>
            <w:r w:rsidR="0073243B" w:rsidRPr="007D2722">
              <w:rPr>
                <w:sz w:val="16"/>
                <w:szCs w:val="16"/>
              </w:rPr>
              <w:t>035</w:t>
            </w:r>
          </w:p>
        </w:tc>
        <w:tc>
          <w:tcPr>
            <w:tcW w:w="1204" w:type="dxa"/>
            <w:tcBorders>
              <w:top w:val="nil"/>
            </w:tcBorders>
            <w:shd w:val="clear" w:color="auto" w:fill="FFFFFF"/>
            <w:vAlign w:val="center"/>
          </w:tcPr>
          <w:p w14:paraId="0D03F1F6" w14:textId="454EC988" w:rsidR="00A24CCB" w:rsidRPr="007D2722" w:rsidRDefault="0073243B" w:rsidP="001D01F6">
            <w:pPr>
              <w:pStyle w:val="CETBodytext"/>
              <w:jc w:val="center"/>
              <w:rPr>
                <w:sz w:val="16"/>
                <w:szCs w:val="16"/>
              </w:rPr>
            </w:pPr>
            <w:r w:rsidRPr="007D2722">
              <w:rPr>
                <w:sz w:val="16"/>
                <w:szCs w:val="16"/>
              </w:rPr>
              <w:t>0.115</w:t>
            </w:r>
          </w:p>
        </w:tc>
      </w:tr>
    </w:tbl>
    <w:p w14:paraId="23300CD1" w14:textId="6257F415" w:rsidR="00C64D3F" w:rsidRDefault="008D3566" w:rsidP="00AE33C8">
      <w:pPr>
        <w:pStyle w:val="CETBodytext"/>
      </w:pPr>
      <w:r>
        <w:lastRenderedPageBreak/>
        <w:t xml:space="preserve">The </w:t>
      </w:r>
      <w:r w:rsidR="00490C94">
        <w:t>statistical</w:t>
      </w:r>
      <w:r>
        <w:t xml:space="preserve"> analysis </w:t>
      </w:r>
      <w:r w:rsidR="009A5CDB">
        <w:t xml:space="preserve">reveals that the retraining </w:t>
      </w:r>
      <w:r w:rsidR="0015414F">
        <w:t xml:space="preserve">with </w:t>
      </w:r>
      <w:r w:rsidR="007A3EEE">
        <w:t>four</w:t>
      </w:r>
      <w:r w:rsidR="0015414F">
        <w:t xml:space="preserve"> features </w:t>
      </w:r>
      <w:r w:rsidR="009A5CDB">
        <w:t xml:space="preserve">caused a slight decrease in all </w:t>
      </w:r>
      <w:r w:rsidR="009A5CDB" w:rsidRPr="004757B6">
        <w:t>the metrics</w:t>
      </w:r>
      <w:r w:rsidR="0015414F">
        <w:t xml:space="preserve"> compared with the training using </w:t>
      </w:r>
      <w:r w:rsidR="007A3EEE">
        <w:t>eleven</w:t>
      </w:r>
      <w:r w:rsidR="0015414F">
        <w:t xml:space="preserve"> </w:t>
      </w:r>
      <w:r w:rsidR="0015414F" w:rsidRPr="00F23865">
        <w:t xml:space="preserve">variables. </w:t>
      </w:r>
      <w:r w:rsidR="004757B6" w:rsidRPr="00F23865">
        <w:t>Nevertheless,</w:t>
      </w:r>
      <w:r w:rsidR="0015414F" w:rsidRPr="00F23865">
        <w:t xml:space="preserve"> the training results with less variable shows a good performance of the process at </w:t>
      </w:r>
      <m:oMath>
        <m:r>
          <w:rPr>
            <w:rFonts w:ascii="Cambria Math" w:hAnsi="Cambria Math"/>
          </w:rPr>
          <m:t>2 L</m:t>
        </m:r>
      </m:oMath>
      <w:r w:rsidR="0015414F" w:rsidRPr="00F23865">
        <w:t xml:space="preserve">. </w:t>
      </w:r>
      <w:r w:rsidR="004757B6" w:rsidRPr="00F23865">
        <w:t>I</w:t>
      </w:r>
      <w:r w:rsidR="00AE33C8" w:rsidRPr="00F23865">
        <w:t xml:space="preserve">t can be concluded that </w:t>
      </w:r>
      <w:r w:rsidR="006233ED" w:rsidRPr="00F23865">
        <w:t>it is feasible to use four variables to train</w:t>
      </w:r>
      <w:r w:rsidR="00AE33C8" w:rsidRPr="00F23865">
        <w:t xml:space="preserve"> </w:t>
      </w:r>
      <w:r w:rsidR="006233ED" w:rsidRPr="00F23865">
        <w:t xml:space="preserve">biomass </w:t>
      </w:r>
      <w:r w:rsidR="00AE33C8" w:rsidRPr="00F23865">
        <w:t>soft sensors</w:t>
      </w:r>
      <w:r w:rsidR="006233ED" w:rsidRPr="00F23865">
        <w:t>.</w:t>
      </w:r>
      <w:r w:rsidR="00C64D3F" w:rsidRPr="00F23865">
        <w:t xml:space="preserve"> </w:t>
      </w:r>
      <w:r w:rsidR="00AE33C8" w:rsidRPr="00F23865">
        <w:t xml:space="preserve">Figure </w:t>
      </w:r>
      <w:r w:rsidR="00A245B5" w:rsidRPr="00F23865">
        <w:t>4</w:t>
      </w:r>
      <w:r w:rsidR="00AE33C8" w:rsidRPr="00F23865">
        <w:t xml:space="preserve">a displays the results of </w:t>
      </w:r>
      <w:r w:rsidR="00C64D3F" w:rsidRPr="00F23865">
        <w:t>two</w:t>
      </w:r>
      <w:r w:rsidR="00AE33C8" w:rsidRPr="00F23865">
        <w:t xml:space="preserve"> </w:t>
      </w:r>
      <w:r w:rsidR="0075689F" w:rsidRPr="00F23865">
        <w:t>independent experiments</w:t>
      </w:r>
      <w:r w:rsidR="0015414F" w:rsidRPr="00F23865">
        <w:t xml:space="preserve"> (</w:t>
      </w:r>
      <w:r w:rsidR="0075689F" w:rsidRPr="00F23865">
        <w:t>independent test datasets 1 and 2</w:t>
      </w:r>
      <w:r w:rsidR="0015414F" w:rsidRPr="00F23865">
        <w:t xml:space="preserve">) </w:t>
      </w:r>
      <w:r w:rsidR="00AE33C8" w:rsidRPr="00F23865">
        <w:t xml:space="preserve">developed at </w:t>
      </w:r>
      <w:r w:rsidR="006233ED" w:rsidRPr="00F23865">
        <w:t xml:space="preserve">a </w:t>
      </w:r>
      <w:r w:rsidR="00AE33C8" w:rsidRPr="00F23865">
        <w:t>lower scale</w:t>
      </w:r>
      <w:r w:rsidR="0015414F" w:rsidRPr="00F23865">
        <w:t xml:space="preserve"> </w:t>
      </w:r>
      <m:oMath>
        <m:d>
          <m:dPr>
            <m:ctrlPr>
              <w:rPr>
                <w:rFonts w:ascii="Cambria Math" w:hAnsi="Cambria Math"/>
                <w:i/>
              </w:rPr>
            </m:ctrlPr>
          </m:dPr>
          <m:e>
            <m:r>
              <w:rPr>
                <w:rFonts w:ascii="Cambria Math" w:hAnsi="Cambria Math"/>
              </w:rPr>
              <m:t>50 mL</m:t>
            </m:r>
          </m:e>
        </m:d>
      </m:oMath>
      <w:r w:rsidR="00360384" w:rsidRPr="00F23865">
        <w:t xml:space="preserve"> with the </w:t>
      </w:r>
      <w:r w:rsidR="0075689F" w:rsidRPr="00F23865">
        <w:t xml:space="preserve">independent test </w:t>
      </w:r>
      <w:r w:rsidR="00360384" w:rsidRPr="00F23865">
        <w:t xml:space="preserve">set.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3808"/>
      </w:tblGrid>
      <w:tr w:rsidR="00A226B2" w14:paraId="360C6862" w14:textId="77777777" w:rsidTr="00A245B5">
        <w:trPr>
          <w:trHeight w:val="2772"/>
          <w:jc w:val="center"/>
        </w:trPr>
        <w:tc>
          <w:tcPr>
            <w:tcW w:w="3807" w:type="dxa"/>
            <w:tcBorders>
              <w:right w:val="single" w:sz="4" w:space="0" w:color="00B050"/>
            </w:tcBorders>
          </w:tcPr>
          <w:p w14:paraId="524BCDD8" w14:textId="2474BF30" w:rsidR="00E75563" w:rsidRDefault="00E75563" w:rsidP="00F14F40">
            <w:pPr>
              <w:pStyle w:val="CETBodytext"/>
              <w:jc w:val="center"/>
            </w:pPr>
            <w:r>
              <w:t>(a) Biomass soft sensor predictions</w:t>
            </w:r>
            <w:r w:rsidR="00A226B2">
              <w:rPr>
                <w:noProof/>
              </w:rPr>
              <w:t xml:space="preserve"> </w:t>
            </w:r>
            <w:r w:rsidR="00A226B2">
              <w:rPr>
                <w:noProof/>
              </w:rPr>
              <w:drawing>
                <wp:inline distT="0" distB="0" distL="0" distR="0" wp14:anchorId="652C186B" wp14:editId="0E8A083B">
                  <wp:extent cx="2191708" cy="2131596"/>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11544" cy="2150888"/>
                          </a:xfrm>
                          <a:prstGeom prst="rect">
                            <a:avLst/>
                          </a:prstGeom>
                        </pic:spPr>
                      </pic:pic>
                    </a:graphicData>
                  </a:graphic>
                </wp:inline>
              </w:drawing>
            </w:r>
          </w:p>
        </w:tc>
        <w:tc>
          <w:tcPr>
            <w:tcW w:w="3808" w:type="dxa"/>
            <w:tcBorders>
              <w:left w:val="single" w:sz="4" w:space="0" w:color="00B050"/>
            </w:tcBorders>
          </w:tcPr>
          <w:p w14:paraId="4124A64B" w14:textId="37174706" w:rsidR="00E75563" w:rsidRDefault="00E75563" w:rsidP="00F14F40">
            <w:pPr>
              <w:pStyle w:val="CETBodytext"/>
              <w:jc w:val="center"/>
            </w:pPr>
            <w:r>
              <w:t xml:space="preserve">(b) </w:t>
            </w:r>
            <w:r w:rsidR="00623DC1">
              <w:t>D</w:t>
            </w:r>
            <w:r>
              <w:t>ensity plots</w:t>
            </w:r>
            <w:r w:rsidR="004757B6">
              <w:rPr>
                <w:noProof/>
              </w:rPr>
              <w:t xml:space="preserve"> </w:t>
            </w:r>
            <w:r w:rsidR="00A226B2">
              <w:rPr>
                <w:noProof/>
              </w:rPr>
              <w:drawing>
                <wp:inline distT="0" distB="0" distL="0" distR="0" wp14:anchorId="130C7238" wp14:editId="54BABA24">
                  <wp:extent cx="2107139" cy="2107139"/>
                  <wp:effectExtent l="0" t="0" r="762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16068" cy="2116068"/>
                          </a:xfrm>
                          <a:prstGeom prst="rect">
                            <a:avLst/>
                          </a:prstGeom>
                        </pic:spPr>
                      </pic:pic>
                    </a:graphicData>
                  </a:graphic>
                </wp:inline>
              </w:drawing>
            </w:r>
          </w:p>
        </w:tc>
      </w:tr>
    </w:tbl>
    <w:p w14:paraId="775C442C" w14:textId="766102EF" w:rsidR="00346C83" w:rsidRPr="00F23865" w:rsidRDefault="00346C83" w:rsidP="00A97C8A">
      <w:pPr>
        <w:pStyle w:val="CETCaption"/>
        <w:spacing w:before="0"/>
      </w:pPr>
      <w:r w:rsidRPr="00BD077D">
        <w:rPr>
          <w:rStyle w:val="CETCaptionCarattere"/>
          <w:i/>
        </w:rPr>
        <w:t xml:space="preserve">Figure </w:t>
      </w:r>
      <w:r w:rsidR="00A245B5">
        <w:rPr>
          <w:rStyle w:val="CETCaptionCarattere"/>
          <w:i/>
        </w:rPr>
        <w:t>4</w:t>
      </w:r>
      <w:r w:rsidRPr="00BD077D">
        <w:rPr>
          <w:rStyle w:val="CETCaptionCarattere"/>
          <w:i/>
        </w:rPr>
        <w:t xml:space="preserve">: </w:t>
      </w:r>
      <w:r>
        <w:rPr>
          <w:rStyle w:val="CETCaptionCarattere"/>
          <w:i/>
        </w:rPr>
        <w:t>(a) B</w:t>
      </w:r>
      <w:r w:rsidRPr="00E75563">
        <w:rPr>
          <w:rFonts w:eastAsiaTheme="minorEastAsia"/>
        </w:rPr>
        <w:t>iomass concentration</w:t>
      </w:r>
      <w:r>
        <w:rPr>
          <w:rFonts w:eastAsiaTheme="minorEastAsia"/>
        </w:rPr>
        <w:t xml:space="preserve"> estimation</w:t>
      </w:r>
      <w:r w:rsidRPr="00E75563">
        <w:rPr>
          <w:rFonts w:eastAsiaTheme="minorEastAsia"/>
        </w:rPr>
        <w:t xml:space="preserve"> </w:t>
      </w:r>
      <w:r w:rsidRPr="00F23865">
        <w:rPr>
          <w:rFonts w:eastAsiaTheme="minorEastAsia"/>
        </w:rPr>
        <w:t xml:space="preserve">over </w:t>
      </w:r>
      <w:r w:rsidR="0075689F" w:rsidRPr="00F23865">
        <w:t xml:space="preserve">independent test </w:t>
      </w:r>
      <w:r w:rsidR="00FA40E0" w:rsidRPr="00F23865">
        <w:t xml:space="preserve">sets </w:t>
      </w:r>
      <w:r w:rsidR="00A67907" w:rsidRPr="00F23865">
        <w:rPr>
          <w:rFonts w:eastAsiaTheme="minorEastAsia"/>
        </w:rPr>
        <w:t>1 and 2</w:t>
      </w:r>
      <w:r w:rsidRPr="00F23865">
        <w:rPr>
          <w:rFonts w:eastAsiaTheme="minorEastAsia"/>
        </w:rPr>
        <w:t xml:space="preserve"> using different soft sensors. (b) density plots for online variables used in the scale-down test.</w:t>
      </w:r>
    </w:p>
    <w:p w14:paraId="62A716B4" w14:textId="39642F26" w:rsidR="00346C83" w:rsidRDefault="00346575" w:rsidP="00346C83">
      <w:pPr>
        <w:pStyle w:val="CETBodytext"/>
      </w:pPr>
      <w:r w:rsidRPr="00F23865">
        <w:t>In the</w:t>
      </w:r>
      <w:r w:rsidR="0075689F" w:rsidRPr="00F23865">
        <w:t xml:space="preserve"> independent test set 1</w:t>
      </w:r>
      <w:r w:rsidRPr="00F23865">
        <w:t xml:space="preserve">, </w:t>
      </w:r>
      <w:r w:rsidR="00346C83" w:rsidRPr="00F23865">
        <w:t xml:space="preserve">most of the soft sensors presents </w:t>
      </w:r>
      <m:oMath>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r>
          <w:rPr>
            <w:rFonts w:ascii="Cambria Math" w:eastAsia="Cambria Math" w:hAnsi="Cambria Math" w:cs="Cambria Math"/>
          </w:rPr>
          <m:t>&gt;0.52</m:t>
        </m:r>
      </m:oMath>
      <w:r w:rsidR="00346C83" w:rsidRPr="00F23865">
        <w:t>,</w:t>
      </w:r>
      <w:r w:rsidR="0040267C" w:rsidRPr="00F23865">
        <w:t xml:space="preserve"> where </w:t>
      </w:r>
      <w:r w:rsidR="0015414F" w:rsidRPr="00F23865">
        <w:t>DT and RBF SVM</w:t>
      </w:r>
      <w:r w:rsidR="0040267C" w:rsidRPr="00F23865">
        <w:t xml:space="preserve"> exhibit the best performance with a </w:t>
      </w:r>
      <m:oMath>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r>
          <w:rPr>
            <w:rFonts w:ascii="Cambria Math" w:eastAsia="Cambria Math" w:hAnsi="Cambria Math" w:cs="Cambria Math"/>
          </w:rPr>
          <m:t>&gt;0.73</m:t>
        </m:r>
      </m:oMath>
      <w:r w:rsidR="0040267C" w:rsidRPr="00F23865">
        <w:t>. I</w:t>
      </w:r>
      <w:r w:rsidR="00346C83" w:rsidRPr="00F23865">
        <w:t xml:space="preserve">n the </w:t>
      </w:r>
      <w:r w:rsidR="0075689F" w:rsidRPr="00F23865">
        <w:t>independent test set 2</w:t>
      </w:r>
      <w:r w:rsidR="00346C83" w:rsidRPr="00F23865">
        <w:t xml:space="preserve">, only the </w:t>
      </w:r>
      <w:r w:rsidR="0040267C" w:rsidRPr="00F23865">
        <w:t>DT</w:t>
      </w:r>
      <w:r w:rsidR="0015414F" w:rsidRPr="00F23865">
        <w:t xml:space="preserve"> </w:t>
      </w:r>
      <w:r w:rsidR="00346C83" w:rsidRPr="00F23865">
        <w:t xml:space="preserve">present </w:t>
      </w:r>
      <w:r w:rsidR="0015414F" w:rsidRPr="00F23865">
        <w:t>acceptable</w:t>
      </w:r>
      <w:r w:rsidR="00346C83" w:rsidRPr="00F23865">
        <w:t xml:space="preserve"> results with </w:t>
      </w:r>
      <m:oMath>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r>
          <w:rPr>
            <w:rFonts w:ascii="Cambria Math" w:eastAsia="Cambria Math" w:hAnsi="Cambria Math" w:cs="Cambria Math"/>
          </w:rPr>
          <m:t>&gt;0.69</m:t>
        </m:r>
      </m:oMath>
      <w:r w:rsidR="00346C83" w:rsidRPr="00F23865">
        <w:t xml:space="preserve">. To understand better the results, Figure </w:t>
      </w:r>
      <w:r w:rsidR="00A245B5" w:rsidRPr="00F23865">
        <w:t>4</w:t>
      </w:r>
      <w:r w:rsidR="00346C83" w:rsidRPr="00F23865">
        <w:t xml:space="preserve">b shows the density plots of the training datasets and the </w:t>
      </w:r>
      <w:r w:rsidR="0075689F" w:rsidRPr="00F23865">
        <w:t>independent test dataset</w:t>
      </w:r>
      <w:r w:rsidR="00346C83" w:rsidRPr="00F23865">
        <w:t xml:space="preserve">. Both datasets </w:t>
      </w:r>
      <w:r w:rsidR="00A24CCB" w:rsidRPr="00F23865">
        <w:t>have</w:t>
      </w:r>
      <w:r w:rsidR="00346C83" w:rsidRPr="00F23865">
        <w:t xml:space="preserve"> differences in the online variables and the</w:t>
      </w:r>
      <w:r w:rsidR="000E3EBA" w:rsidRPr="00F23865">
        <w:t xml:space="preserve"> </w:t>
      </w:r>
      <w:r w:rsidR="00346C83" w:rsidRPr="00F23865">
        <w:t>biomass</w:t>
      </w:r>
      <w:r w:rsidR="000E3EBA" w:rsidRPr="00F23865">
        <w:t xml:space="preserve"> predicted</w:t>
      </w:r>
      <w:r w:rsidR="00346C83" w:rsidRPr="00F23865">
        <w:t xml:space="preserve">. In the training set, the instances for the feature agitation are mainly concentrated </w:t>
      </w:r>
      <w:r w:rsidR="00346C83">
        <w:t xml:space="preserve">in values of 500, 1000, and 1500 </w:t>
      </w:r>
      <m:oMath>
        <m:r>
          <w:rPr>
            <w:rFonts w:ascii="Cambria Math" w:hAnsi="Cambria Math"/>
          </w:rPr>
          <m:t>rpm</m:t>
        </m:r>
      </m:oMath>
      <w:r w:rsidR="00346C83">
        <w:t>. Meanwhile,</w:t>
      </w:r>
      <w:r w:rsidR="00346C83" w:rsidRPr="008B79A2">
        <w:t xml:space="preserve"> </w:t>
      </w:r>
      <w:r w:rsidR="00346C83">
        <w:t xml:space="preserve">in the </w:t>
      </w:r>
      <w:r w:rsidR="0075689F">
        <w:t xml:space="preserve">independent </w:t>
      </w:r>
      <w:r w:rsidR="00346C83">
        <w:t xml:space="preserve">test set, the instances for the same variable are mainly concentrated at 600 and 1250 </w:t>
      </w:r>
      <m:oMath>
        <m:r>
          <w:rPr>
            <w:rFonts w:ascii="Cambria Math" w:hAnsi="Cambria Math"/>
          </w:rPr>
          <m:t>rpm</m:t>
        </m:r>
      </m:oMath>
      <w:r w:rsidR="00346C83">
        <w:t>. This is similar to the other variables, temperature, pO</w:t>
      </w:r>
      <w:r w:rsidR="00346C83" w:rsidRPr="00C64D3F">
        <w:rPr>
          <w:vertAlign w:val="subscript"/>
        </w:rPr>
        <w:t>2</w:t>
      </w:r>
      <w:r w:rsidR="00346C83">
        <w:t xml:space="preserve">, and </w:t>
      </w:r>
      <w:proofErr w:type="spellStart"/>
      <w:r w:rsidR="00346C83">
        <w:t>pH.</w:t>
      </w:r>
      <w:proofErr w:type="spellEnd"/>
      <w:r w:rsidR="00346C83">
        <w:t xml:space="preserve"> This fact is mainly related to changes in the operational conditions, such as feed concentration or induction temperature between scales. </w:t>
      </w:r>
    </w:p>
    <w:p w14:paraId="4C538408" w14:textId="1F496BC9" w:rsidR="000F33BE" w:rsidRDefault="000F33BE" w:rsidP="005D2535">
      <w:pPr>
        <w:pStyle w:val="CETHeading1"/>
        <w:spacing w:after="0"/>
      </w:pPr>
      <w:r>
        <w:t xml:space="preserve">Conclusions </w:t>
      </w:r>
    </w:p>
    <w:p w14:paraId="5EA36558" w14:textId="6A445088" w:rsidR="00623DC1" w:rsidRDefault="00623DC1" w:rsidP="00623DC1">
      <w:pPr>
        <w:pStyle w:val="CETBodytext"/>
      </w:pPr>
      <w:r>
        <w:t xml:space="preserve">ML soft sensors constitute a promising alternative in the field of bioprocesses. Their potential for estimating variables such as protein and biomass concentrations from commonly measured online variables makes them an attractive tool for rapid decision-making and real-time adjustments to estimate critical parameters in bioprocess. </w:t>
      </w:r>
      <w:r w:rsidR="00A24CCB">
        <w:t>I</w:t>
      </w:r>
      <w:r>
        <w:t xml:space="preserve">nitial studies </w:t>
      </w:r>
      <w:r w:rsidR="006233ED">
        <w:t xml:space="preserve">have </w:t>
      </w:r>
      <w:r>
        <w:t xml:space="preserve">shown interesting results in </w:t>
      </w:r>
      <w:r w:rsidR="006233ED">
        <w:t>applying</w:t>
      </w:r>
      <w:r>
        <w:t xml:space="preserve"> soft sensors as scale-down tools using learners such as</w:t>
      </w:r>
      <w:r w:rsidR="00AA6F51">
        <w:t xml:space="preserve"> DT,</w:t>
      </w:r>
      <w:r>
        <w:t xml:space="preserve"> RF, KNN, or RBF SVM</w:t>
      </w:r>
      <w:r w:rsidR="00ED15DA">
        <w:t xml:space="preserve">. </w:t>
      </w:r>
      <w:bookmarkStart w:id="6" w:name="_Hlk196209671"/>
      <w:r w:rsidR="00ED15DA" w:rsidRPr="00EF026A">
        <w:t>Future work will explore the application of soft sensors for monitoring protein and biomass concentrations on an industrial scale.</w:t>
      </w:r>
      <w:bookmarkEnd w:id="6"/>
    </w:p>
    <w:p w14:paraId="2FBBC761" w14:textId="77777777" w:rsidR="000F5097" w:rsidRPr="00ED15DA" w:rsidRDefault="000F5097" w:rsidP="005D2535">
      <w:pPr>
        <w:pStyle w:val="CETAcknowledgementstitle"/>
        <w:spacing w:after="0"/>
        <w:rPr>
          <w:lang w:val="en-US"/>
        </w:rPr>
      </w:pPr>
      <w:r w:rsidRPr="00ED15DA">
        <w:rPr>
          <w:lang w:val="en-US"/>
        </w:rPr>
        <w:t>Acknowledgments</w:t>
      </w:r>
    </w:p>
    <w:p w14:paraId="2A49670A" w14:textId="77777777" w:rsidR="000F5097" w:rsidRPr="000F5097" w:rsidRDefault="000F5097" w:rsidP="000F5097">
      <w:pPr>
        <w:pStyle w:val="CETBodytext"/>
      </w:pPr>
      <w:r w:rsidRPr="000F5097">
        <w:t>This work was funded (or co-funded) by the European Union under the Horizon Europe project Bioindustry 4.0, grant n. 101094287</w:t>
      </w:r>
    </w:p>
    <w:p w14:paraId="231142A0" w14:textId="77777777" w:rsidR="000F5097" w:rsidRPr="00B57B36" w:rsidRDefault="000F5097" w:rsidP="005D2535">
      <w:pPr>
        <w:pStyle w:val="CETReference"/>
        <w:spacing w:after="0"/>
      </w:pPr>
      <w:r w:rsidRPr="00B57B36">
        <w:t>References</w:t>
      </w:r>
    </w:p>
    <w:p w14:paraId="15651F4F" w14:textId="2B56CD8F" w:rsidR="00227B16" w:rsidRPr="007D2722" w:rsidRDefault="00AA52E2" w:rsidP="00227B16">
      <w:pPr>
        <w:pStyle w:val="CETBodytext"/>
        <w:rPr>
          <w:sz w:val="14"/>
          <w:szCs w:val="16"/>
        </w:rPr>
      </w:pPr>
      <w:r w:rsidRPr="007D2722">
        <w:rPr>
          <w:sz w:val="14"/>
          <w:szCs w:val="14"/>
        </w:rPr>
        <w:fldChar w:fldCharType="begin"/>
      </w:r>
      <w:r w:rsidR="00227B16" w:rsidRPr="007D2722">
        <w:rPr>
          <w:sz w:val="14"/>
          <w:szCs w:val="14"/>
        </w:rPr>
        <w:instrText xml:space="preserve"> ADDIN ZOTERO_BIBL {"uncited":[],"omitted":[],"custom":[]} CSL_BIBLIOGRAPHY </w:instrText>
      </w:r>
      <w:r w:rsidRPr="007D2722">
        <w:rPr>
          <w:sz w:val="14"/>
          <w:szCs w:val="14"/>
        </w:rPr>
        <w:fldChar w:fldCharType="separate"/>
      </w:r>
      <w:r w:rsidR="00227B16" w:rsidRPr="007D2722">
        <w:rPr>
          <w:sz w:val="14"/>
          <w:szCs w:val="16"/>
        </w:rPr>
        <w:t xml:space="preserve">Alonso Villela, S. M., Ghezal-Kraïem, H., Bouhaouala-Zahar, B., Bideaux, C., Aceves Lara, C. A., &amp; Fillaudeau, L. (2021). Effect of temperature on the production of a recombinant antivenom in fed-batch mode. </w:t>
      </w:r>
      <w:r w:rsidR="00227B16" w:rsidRPr="007D2722">
        <w:rPr>
          <w:i/>
          <w:iCs/>
          <w:sz w:val="14"/>
          <w:szCs w:val="16"/>
        </w:rPr>
        <w:t>Applied Microbiology and Biotechnology</w:t>
      </w:r>
      <w:r w:rsidR="00227B16" w:rsidRPr="007D2722">
        <w:rPr>
          <w:sz w:val="14"/>
          <w:szCs w:val="16"/>
        </w:rPr>
        <w:t xml:space="preserve">, </w:t>
      </w:r>
      <w:r w:rsidR="00227B16" w:rsidRPr="007D2722">
        <w:rPr>
          <w:i/>
          <w:iCs/>
          <w:sz w:val="14"/>
          <w:szCs w:val="16"/>
        </w:rPr>
        <w:t>105</w:t>
      </w:r>
      <w:r w:rsidR="00227B16" w:rsidRPr="007D2722">
        <w:rPr>
          <w:sz w:val="14"/>
          <w:szCs w:val="16"/>
        </w:rPr>
        <w:t>(3), 1017</w:t>
      </w:r>
      <w:r w:rsidR="00227B16" w:rsidRPr="007D2722">
        <w:rPr>
          <w:rFonts w:ascii="Cambria Math" w:hAnsi="Cambria Math" w:cs="Cambria Math"/>
          <w:sz w:val="14"/>
          <w:szCs w:val="16"/>
        </w:rPr>
        <w:t>‑</w:t>
      </w:r>
      <w:r w:rsidR="00227B16" w:rsidRPr="007D2722">
        <w:rPr>
          <w:sz w:val="14"/>
          <w:szCs w:val="16"/>
        </w:rPr>
        <w:t xml:space="preserve">1030. </w:t>
      </w:r>
    </w:p>
    <w:p w14:paraId="636EC694" w14:textId="3C18BE3E" w:rsidR="00227B16" w:rsidRPr="007D2722" w:rsidRDefault="00227B16" w:rsidP="00227B16">
      <w:pPr>
        <w:pStyle w:val="CETBodytext"/>
        <w:rPr>
          <w:sz w:val="14"/>
          <w:szCs w:val="16"/>
        </w:rPr>
      </w:pPr>
      <w:r w:rsidRPr="007D2722">
        <w:rPr>
          <w:sz w:val="14"/>
          <w:szCs w:val="16"/>
        </w:rPr>
        <w:t xml:space="preserve">Brunner, V., Siegl, M., Geier, D., &amp; Becker, T. (2021). Challenges in the Development of Soft Sensors for Bioprocesses: A Critical Review. </w:t>
      </w:r>
      <w:r w:rsidRPr="007273EF">
        <w:rPr>
          <w:sz w:val="14"/>
          <w:szCs w:val="16"/>
        </w:rPr>
        <w:t>Frontiers in Bioengineering and Biotechnology</w:t>
      </w:r>
      <w:r w:rsidRPr="007D2722">
        <w:rPr>
          <w:sz w:val="14"/>
          <w:szCs w:val="16"/>
        </w:rPr>
        <w:t xml:space="preserve">, </w:t>
      </w:r>
      <w:r w:rsidRPr="007273EF">
        <w:rPr>
          <w:sz w:val="14"/>
          <w:szCs w:val="16"/>
        </w:rPr>
        <w:t>9</w:t>
      </w:r>
      <w:r w:rsidRPr="007D2722">
        <w:rPr>
          <w:sz w:val="14"/>
          <w:szCs w:val="16"/>
        </w:rPr>
        <w:t xml:space="preserve">, 722202. </w:t>
      </w:r>
    </w:p>
    <w:p w14:paraId="2BC51467" w14:textId="1C471B74" w:rsidR="00227B16" w:rsidRPr="007D2722" w:rsidRDefault="00227B16" w:rsidP="00227B16">
      <w:pPr>
        <w:pStyle w:val="CETBodytext"/>
        <w:rPr>
          <w:sz w:val="14"/>
          <w:szCs w:val="16"/>
        </w:rPr>
      </w:pPr>
      <w:r w:rsidRPr="00EF026A">
        <w:rPr>
          <w:sz w:val="14"/>
          <w:szCs w:val="16"/>
        </w:rPr>
        <w:t xml:space="preserve">Corrales, D. C., Villela, S. M. A., Bouhaouala-Zahar, B., Cescut, J., Daboussi, F., O’donohue, M., Fillaudeau, L., &amp; Aceves-Lara, C. A. (2024). </w:t>
      </w:r>
      <w:r w:rsidRPr="007D2722">
        <w:rPr>
          <w:sz w:val="14"/>
          <w:szCs w:val="16"/>
        </w:rPr>
        <w:t xml:space="preserve">Dynamic Hybrid Model for Nanobody-based Antivenom Production (scorpion antivenon) with E. coli CH10-12 and E. coli NbF12-10. In </w:t>
      </w:r>
      <w:r w:rsidRPr="007273EF">
        <w:rPr>
          <w:sz w:val="14"/>
          <w:szCs w:val="16"/>
        </w:rPr>
        <w:t>Computer Aided Chemical Engineering</w:t>
      </w:r>
      <w:r w:rsidRPr="007D2722">
        <w:rPr>
          <w:sz w:val="14"/>
          <w:szCs w:val="16"/>
        </w:rPr>
        <w:t xml:space="preserve"> (Vol. 53, p. 145</w:t>
      </w:r>
      <w:r w:rsidRPr="007273EF">
        <w:rPr>
          <w:rFonts w:ascii="Cambria Math" w:hAnsi="Cambria Math" w:cs="Cambria Math"/>
          <w:sz w:val="14"/>
          <w:szCs w:val="16"/>
        </w:rPr>
        <w:t>‑</w:t>
      </w:r>
      <w:r w:rsidRPr="007D2722">
        <w:rPr>
          <w:sz w:val="14"/>
          <w:szCs w:val="16"/>
        </w:rPr>
        <w:t xml:space="preserve">150). Elsevier. </w:t>
      </w:r>
    </w:p>
    <w:p w14:paraId="42AC77D4" w14:textId="6EF4FD31" w:rsidR="00227B16" w:rsidRPr="007D2722" w:rsidRDefault="00227B16" w:rsidP="00227B16">
      <w:pPr>
        <w:pStyle w:val="CETBodytext"/>
        <w:rPr>
          <w:sz w:val="14"/>
          <w:szCs w:val="16"/>
        </w:rPr>
      </w:pPr>
      <w:r w:rsidRPr="007D2722">
        <w:rPr>
          <w:sz w:val="14"/>
          <w:szCs w:val="16"/>
        </w:rPr>
        <w:t xml:space="preserve">Gundinger, T., Kittler, S., Kubicek, S., Kopp, J., &amp; Spadiut, O. (2022). Recombinant Protein Production in E. coli Using the phoA Expression System. </w:t>
      </w:r>
      <w:r w:rsidRPr="007273EF">
        <w:rPr>
          <w:sz w:val="14"/>
          <w:szCs w:val="16"/>
        </w:rPr>
        <w:t>Fermentation</w:t>
      </w:r>
      <w:r w:rsidRPr="007D2722">
        <w:rPr>
          <w:sz w:val="14"/>
          <w:szCs w:val="16"/>
        </w:rPr>
        <w:t xml:space="preserve">, </w:t>
      </w:r>
      <w:r w:rsidRPr="007273EF">
        <w:rPr>
          <w:sz w:val="14"/>
          <w:szCs w:val="16"/>
        </w:rPr>
        <w:t>8</w:t>
      </w:r>
      <w:r w:rsidRPr="007D2722">
        <w:rPr>
          <w:sz w:val="14"/>
          <w:szCs w:val="16"/>
        </w:rPr>
        <w:t xml:space="preserve">(4), 181. </w:t>
      </w:r>
    </w:p>
    <w:p w14:paraId="6D7DD3A2" w14:textId="47A228A7" w:rsidR="00227B16" w:rsidRPr="007D2722" w:rsidRDefault="00227B16" w:rsidP="00227B16">
      <w:pPr>
        <w:pStyle w:val="CETBodytext"/>
        <w:rPr>
          <w:sz w:val="14"/>
          <w:szCs w:val="16"/>
        </w:rPr>
      </w:pPr>
      <w:r w:rsidRPr="007D2722">
        <w:rPr>
          <w:sz w:val="14"/>
          <w:szCs w:val="16"/>
        </w:rPr>
        <w:t xml:space="preserve">Medl, M., Rajamanickam, V., Striedner, G., &amp; Newton, J. (2023). Development and Validation of an Artificial Neural-Network-Based Optical Density Soft Sensor for a High-Throughput Fermentation System. </w:t>
      </w:r>
      <w:r w:rsidRPr="007273EF">
        <w:rPr>
          <w:sz w:val="14"/>
          <w:szCs w:val="16"/>
        </w:rPr>
        <w:t>Processes</w:t>
      </w:r>
      <w:r w:rsidRPr="007D2722">
        <w:rPr>
          <w:sz w:val="14"/>
          <w:szCs w:val="16"/>
        </w:rPr>
        <w:t xml:space="preserve">, </w:t>
      </w:r>
      <w:r w:rsidRPr="007273EF">
        <w:rPr>
          <w:sz w:val="14"/>
          <w:szCs w:val="16"/>
        </w:rPr>
        <w:t>11</w:t>
      </w:r>
      <w:r w:rsidRPr="007D2722">
        <w:rPr>
          <w:sz w:val="14"/>
          <w:szCs w:val="16"/>
        </w:rPr>
        <w:t xml:space="preserve">(1), 297. </w:t>
      </w:r>
    </w:p>
    <w:p w14:paraId="0F2CE2F8" w14:textId="604F6AB1" w:rsidR="00227B16" w:rsidRPr="00EF026A" w:rsidRDefault="00227B16" w:rsidP="00227B16">
      <w:pPr>
        <w:pStyle w:val="CETBodytext"/>
        <w:rPr>
          <w:sz w:val="14"/>
          <w:szCs w:val="16"/>
          <w:lang w:val="es-419"/>
        </w:rPr>
      </w:pPr>
      <w:r w:rsidRPr="007D2722">
        <w:rPr>
          <w:sz w:val="14"/>
          <w:szCs w:val="16"/>
        </w:rPr>
        <w:t xml:space="preserve">Molnar, C. (2022). </w:t>
      </w:r>
      <w:r w:rsidRPr="007273EF">
        <w:rPr>
          <w:sz w:val="14"/>
          <w:szCs w:val="16"/>
        </w:rPr>
        <w:t>Interpretable machine learning: A guide for making black box models explainable</w:t>
      </w:r>
      <w:r w:rsidR="007273EF">
        <w:rPr>
          <w:sz w:val="14"/>
          <w:szCs w:val="16"/>
        </w:rPr>
        <w:t xml:space="preserve"> (2</w:t>
      </w:r>
      <w:r w:rsidR="007273EF" w:rsidRPr="007273EF">
        <w:rPr>
          <w:sz w:val="14"/>
          <w:szCs w:val="16"/>
          <w:vertAlign w:val="superscript"/>
        </w:rPr>
        <w:t>nd</w:t>
      </w:r>
      <w:r w:rsidR="007273EF">
        <w:rPr>
          <w:sz w:val="14"/>
          <w:szCs w:val="16"/>
        </w:rPr>
        <w:t xml:space="preserve"> ed.). </w:t>
      </w:r>
      <w:r w:rsidR="007273EF" w:rsidRPr="00EF026A">
        <w:rPr>
          <w:sz w:val="14"/>
          <w:szCs w:val="16"/>
          <w:lang w:val="es-419"/>
        </w:rPr>
        <w:t>Munich, Germany.</w:t>
      </w:r>
      <w:r w:rsidR="00263396" w:rsidRPr="00EF026A">
        <w:rPr>
          <w:sz w:val="14"/>
          <w:szCs w:val="16"/>
          <w:lang w:val="es-419"/>
        </w:rPr>
        <w:t xml:space="preserve"> </w:t>
      </w:r>
      <w:r w:rsidR="007273EF" w:rsidRPr="00EF026A">
        <w:rPr>
          <w:sz w:val="14"/>
          <w:szCs w:val="16"/>
          <w:lang w:val="es-419"/>
        </w:rPr>
        <w:t>Molnar.</w:t>
      </w:r>
    </w:p>
    <w:p w14:paraId="480BF3F9" w14:textId="32FE5F38" w:rsidR="00227B16" w:rsidRPr="007D2722" w:rsidRDefault="00227B16" w:rsidP="00227B16">
      <w:pPr>
        <w:pStyle w:val="CETBodytext"/>
        <w:rPr>
          <w:sz w:val="14"/>
          <w:szCs w:val="16"/>
        </w:rPr>
      </w:pPr>
      <w:r w:rsidRPr="00EF026A">
        <w:rPr>
          <w:sz w:val="14"/>
          <w:szCs w:val="16"/>
          <w:lang w:val="es-419"/>
        </w:rPr>
        <w:t xml:space="preserve">Olivares-Hernández, R., Riaño-Umbarila, L., Becerril, B., Alagón, A., &amp; Vázquez-López, H. (2024). </w:t>
      </w:r>
      <w:r w:rsidRPr="007D2722">
        <w:rPr>
          <w:sz w:val="14"/>
          <w:szCs w:val="16"/>
        </w:rPr>
        <w:t xml:space="preserve">Pharmacokinetic evaluation of a single chain antibody fragment against scorpion toxins in sheep. </w:t>
      </w:r>
      <w:r w:rsidRPr="007D2722">
        <w:rPr>
          <w:i/>
          <w:iCs/>
          <w:sz w:val="14"/>
          <w:szCs w:val="16"/>
        </w:rPr>
        <w:t>Toxicon</w:t>
      </w:r>
      <w:r w:rsidRPr="007D2722">
        <w:rPr>
          <w:sz w:val="14"/>
          <w:szCs w:val="16"/>
        </w:rPr>
        <w:t xml:space="preserve">, </w:t>
      </w:r>
      <w:r w:rsidRPr="007D2722">
        <w:rPr>
          <w:i/>
          <w:iCs/>
          <w:sz w:val="14"/>
          <w:szCs w:val="16"/>
        </w:rPr>
        <w:t>242</w:t>
      </w:r>
      <w:r w:rsidRPr="007D2722">
        <w:rPr>
          <w:sz w:val="14"/>
          <w:szCs w:val="16"/>
        </w:rPr>
        <w:t xml:space="preserve">, 107691. </w:t>
      </w:r>
    </w:p>
    <w:p w14:paraId="4FE57AC0" w14:textId="6397A4EF" w:rsidR="00527838" w:rsidRPr="00F86875" w:rsidRDefault="00227B16" w:rsidP="00F56381">
      <w:pPr>
        <w:pStyle w:val="CETBodytext"/>
      </w:pPr>
      <w:r w:rsidRPr="007D2722">
        <w:rPr>
          <w:sz w:val="14"/>
          <w:szCs w:val="16"/>
        </w:rPr>
        <w:t>Ponce</w:t>
      </w:r>
      <w:r w:rsidRPr="007D2722">
        <w:rPr>
          <w:rFonts w:ascii="Cambria Math" w:hAnsi="Cambria Math" w:cs="Cambria Math"/>
          <w:sz w:val="14"/>
          <w:szCs w:val="16"/>
        </w:rPr>
        <w:t>‐</w:t>
      </w:r>
      <w:r w:rsidRPr="007D2722">
        <w:rPr>
          <w:sz w:val="14"/>
          <w:szCs w:val="16"/>
        </w:rPr>
        <w:t xml:space="preserve">Bobadilla, A. V., Schmitt, V., Maier, C. S., Mensing, S., &amp; Stodtmann, S. (2024). Practical guide to SHAP analysis : Explaining supervised machine learning model predictions in drug development. </w:t>
      </w:r>
      <w:r w:rsidRPr="007D2722">
        <w:rPr>
          <w:i/>
          <w:iCs/>
          <w:sz w:val="14"/>
          <w:szCs w:val="16"/>
        </w:rPr>
        <w:t>Clinical and Translational Science</w:t>
      </w:r>
      <w:r w:rsidRPr="007D2722">
        <w:rPr>
          <w:sz w:val="14"/>
          <w:szCs w:val="16"/>
        </w:rPr>
        <w:t xml:space="preserve">, </w:t>
      </w:r>
      <w:r w:rsidRPr="007D2722">
        <w:rPr>
          <w:i/>
          <w:iCs/>
          <w:sz w:val="14"/>
          <w:szCs w:val="16"/>
        </w:rPr>
        <w:t>17</w:t>
      </w:r>
      <w:r w:rsidRPr="007D2722">
        <w:rPr>
          <w:sz w:val="14"/>
          <w:szCs w:val="16"/>
        </w:rPr>
        <w:t xml:space="preserve">(11), e70056. </w:t>
      </w:r>
      <w:r w:rsidR="00AA52E2" w:rsidRPr="007D2722">
        <w:rPr>
          <w:sz w:val="14"/>
          <w:szCs w:val="14"/>
        </w:rPr>
        <w:fldChar w:fldCharType="end"/>
      </w:r>
    </w:p>
    <w:sectPr w:rsidR="00527838" w:rsidRPr="00F8687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20CB" w14:textId="77777777" w:rsidR="00FB7F61" w:rsidRDefault="00FB7F61" w:rsidP="004F5E36">
      <w:r>
        <w:separator/>
      </w:r>
    </w:p>
  </w:endnote>
  <w:endnote w:type="continuationSeparator" w:id="0">
    <w:p w14:paraId="47E04646" w14:textId="77777777" w:rsidR="00FB7F61" w:rsidRDefault="00FB7F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SIL">
    <w:altName w:val="Cambria"/>
    <w:panose1 w:val="00000000000000000000"/>
    <w:charset w:val="00"/>
    <w:family w:val="roman"/>
    <w:notTrueType/>
    <w:pitch w:val="default"/>
  </w:font>
  <w:font w:name="CharisSIL-Italic">
    <w:altName w:val="Cambria"/>
    <w:panose1 w:val="00000000000000000000"/>
    <w:charset w:val="00"/>
    <w:family w:val="roman"/>
    <w:notTrueType/>
    <w:pitch w:val="default"/>
  </w:font>
  <w:font w:name="Inter">
    <w:altName w:val="Calibri"/>
    <w:charset w:val="00"/>
    <w:family w:val="auto"/>
    <w:pitch w:val="variable"/>
    <w:sig w:usb0="E00002FF" w:usb1="1200A1FF" w:usb2="00000001" w:usb3="00000000" w:csb0="0000019F" w:csb1="00000000"/>
  </w:font>
  <w:font w:name="Cormorant Medium">
    <w:altName w:val="Calibri"/>
    <w:charset w:val="00"/>
    <w:family w:val="auto"/>
    <w:pitch w:val="variable"/>
    <w:sig w:usb0="20000207" w:usb1="00000001" w:usb2="00000000" w:usb3="00000000" w:csb0="00000197"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3610" w14:textId="77777777" w:rsidR="00FB7F61" w:rsidRDefault="00FB7F61" w:rsidP="004F5E36">
      <w:r>
        <w:separator/>
      </w:r>
    </w:p>
  </w:footnote>
  <w:footnote w:type="continuationSeparator" w:id="0">
    <w:p w14:paraId="3B300369" w14:textId="77777777" w:rsidR="00FB7F61" w:rsidRDefault="00FB7F6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A361B2"/>
    <w:multiLevelType w:val="hybridMultilevel"/>
    <w:tmpl w:val="81C6F55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2438217E"/>
    <w:multiLevelType w:val="multilevel"/>
    <w:tmpl w:val="7E0649C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231DA7"/>
    <w:multiLevelType w:val="hybridMultilevel"/>
    <w:tmpl w:val="DD4670E8"/>
    <w:lvl w:ilvl="0" w:tplc="EEFCEF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1425E5"/>
    <w:multiLevelType w:val="hybridMultilevel"/>
    <w:tmpl w:val="824055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856A3A"/>
    <w:multiLevelType w:val="hybridMultilevel"/>
    <w:tmpl w:val="1F9AA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38779A"/>
    <w:multiLevelType w:val="multilevel"/>
    <w:tmpl w:val="13D2C464"/>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21"/>
  </w:num>
  <w:num w:numId="20">
    <w:abstractNumId w:val="20"/>
  </w:num>
  <w:num w:numId="21">
    <w:abstractNumId w:val="17"/>
  </w:num>
  <w:num w:numId="22">
    <w:abstractNumId w:val="16"/>
  </w:num>
  <w:num w:numId="23">
    <w:abstractNumId w:val="11"/>
  </w:num>
  <w:num w:numId="24">
    <w:abstractNumId w:val="27"/>
  </w:num>
  <w:num w:numId="25">
    <w:abstractNumId w:val="13"/>
    <w:lvlOverride w:ilvl="0">
      <w:startOverride w:val="1"/>
    </w:lvlOverride>
    <w:lvlOverride w:ilvl="1">
      <w:startOverride w:val="3"/>
    </w:lvlOverride>
    <w:lvlOverride w:ilvl="2">
      <w:startOverride w:val="3"/>
    </w:lvlOverride>
  </w:num>
  <w:num w:numId="26">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9"/>
  </w:num>
  <w:num w:numId="29">
    <w:abstractNumId w:val="26"/>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5BF6"/>
    <w:rsid w:val="00005ECA"/>
    <w:rsid w:val="0000685E"/>
    <w:rsid w:val="00011613"/>
    <w:rsid w:val="000117CB"/>
    <w:rsid w:val="0001339E"/>
    <w:rsid w:val="00016A2F"/>
    <w:rsid w:val="0003148D"/>
    <w:rsid w:val="00031EEC"/>
    <w:rsid w:val="00041256"/>
    <w:rsid w:val="00041BC8"/>
    <w:rsid w:val="0004753A"/>
    <w:rsid w:val="00051566"/>
    <w:rsid w:val="000562A9"/>
    <w:rsid w:val="00057C54"/>
    <w:rsid w:val="00062A9A"/>
    <w:rsid w:val="00065058"/>
    <w:rsid w:val="00065F9A"/>
    <w:rsid w:val="00084DF5"/>
    <w:rsid w:val="00086C39"/>
    <w:rsid w:val="000A03B2"/>
    <w:rsid w:val="000A17C3"/>
    <w:rsid w:val="000A6D36"/>
    <w:rsid w:val="000B6752"/>
    <w:rsid w:val="000D0268"/>
    <w:rsid w:val="000D2C24"/>
    <w:rsid w:val="000D34BE"/>
    <w:rsid w:val="000E0B3C"/>
    <w:rsid w:val="000E0F02"/>
    <w:rsid w:val="000E102F"/>
    <w:rsid w:val="000E323F"/>
    <w:rsid w:val="000E36F1"/>
    <w:rsid w:val="000E3A73"/>
    <w:rsid w:val="000E3EBA"/>
    <w:rsid w:val="000E414A"/>
    <w:rsid w:val="000E75FD"/>
    <w:rsid w:val="000F093C"/>
    <w:rsid w:val="000F33BE"/>
    <w:rsid w:val="000F5097"/>
    <w:rsid w:val="000F6991"/>
    <w:rsid w:val="000F787B"/>
    <w:rsid w:val="0010451C"/>
    <w:rsid w:val="0012091F"/>
    <w:rsid w:val="00121044"/>
    <w:rsid w:val="001239B9"/>
    <w:rsid w:val="00126BC2"/>
    <w:rsid w:val="001308B6"/>
    <w:rsid w:val="0013121F"/>
    <w:rsid w:val="00131FE6"/>
    <w:rsid w:val="0013263F"/>
    <w:rsid w:val="001331DF"/>
    <w:rsid w:val="00134DE4"/>
    <w:rsid w:val="00135F55"/>
    <w:rsid w:val="0014034D"/>
    <w:rsid w:val="00140FE3"/>
    <w:rsid w:val="00141DE8"/>
    <w:rsid w:val="00144D16"/>
    <w:rsid w:val="00150E59"/>
    <w:rsid w:val="00151FE1"/>
    <w:rsid w:val="00152DE3"/>
    <w:rsid w:val="0015414F"/>
    <w:rsid w:val="001545A3"/>
    <w:rsid w:val="001561D3"/>
    <w:rsid w:val="00164CF9"/>
    <w:rsid w:val="001667A6"/>
    <w:rsid w:val="001670FF"/>
    <w:rsid w:val="0018171E"/>
    <w:rsid w:val="00184A68"/>
    <w:rsid w:val="00184AD6"/>
    <w:rsid w:val="00185988"/>
    <w:rsid w:val="001A1A36"/>
    <w:rsid w:val="001A4AF7"/>
    <w:rsid w:val="001B0349"/>
    <w:rsid w:val="001B1E93"/>
    <w:rsid w:val="001B258B"/>
    <w:rsid w:val="001B65C1"/>
    <w:rsid w:val="001C260F"/>
    <w:rsid w:val="001C5C3A"/>
    <w:rsid w:val="001C684B"/>
    <w:rsid w:val="001D0CFB"/>
    <w:rsid w:val="001D21AF"/>
    <w:rsid w:val="001D53FC"/>
    <w:rsid w:val="001E1138"/>
    <w:rsid w:val="001F42A5"/>
    <w:rsid w:val="001F7B9D"/>
    <w:rsid w:val="00201C93"/>
    <w:rsid w:val="002224B4"/>
    <w:rsid w:val="00225560"/>
    <w:rsid w:val="00227B16"/>
    <w:rsid w:val="002303F7"/>
    <w:rsid w:val="00232C37"/>
    <w:rsid w:val="00242AFC"/>
    <w:rsid w:val="002447EF"/>
    <w:rsid w:val="00251550"/>
    <w:rsid w:val="002623A2"/>
    <w:rsid w:val="00263396"/>
    <w:rsid w:val="00263B05"/>
    <w:rsid w:val="0027221A"/>
    <w:rsid w:val="00275B61"/>
    <w:rsid w:val="00277DF4"/>
    <w:rsid w:val="00280FAF"/>
    <w:rsid w:val="00282656"/>
    <w:rsid w:val="002847C5"/>
    <w:rsid w:val="0029414F"/>
    <w:rsid w:val="00296B83"/>
    <w:rsid w:val="002A16B6"/>
    <w:rsid w:val="002A1A1C"/>
    <w:rsid w:val="002B235E"/>
    <w:rsid w:val="002B4015"/>
    <w:rsid w:val="002B78CE"/>
    <w:rsid w:val="002B7ADD"/>
    <w:rsid w:val="002C2FB6"/>
    <w:rsid w:val="002C342B"/>
    <w:rsid w:val="002C54DC"/>
    <w:rsid w:val="002E5FA7"/>
    <w:rsid w:val="002F3309"/>
    <w:rsid w:val="003008CE"/>
    <w:rsid w:val="003009B7"/>
    <w:rsid w:val="00300E56"/>
    <w:rsid w:val="0030152C"/>
    <w:rsid w:val="0030469C"/>
    <w:rsid w:val="00314FA0"/>
    <w:rsid w:val="003218A3"/>
    <w:rsid w:val="00321CA6"/>
    <w:rsid w:val="00323763"/>
    <w:rsid w:val="00323C5F"/>
    <w:rsid w:val="00334C09"/>
    <w:rsid w:val="00340308"/>
    <w:rsid w:val="00346575"/>
    <w:rsid w:val="00346C83"/>
    <w:rsid w:val="00360384"/>
    <w:rsid w:val="003723D4"/>
    <w:rsid w:val="003760DC"/>
    <w:rsid w:val="00381905"/>
    <w:rsid w:val="00384CC8"/>
    <w:rsid w:val="00386E01"/>
    <w:rsid w:val="003871FD"/>
    <w:rsid w:val="003904D3"/>
    <w:rsid w:val="00392BAD"/>
    <w:rsid w:val="003A1BB2"/>
    <w:rsid w:val="003A1E30"/>
    <w:rsid w:val="003A2829"/>
    <w:rsid w:val="003A7D1C"/>
    <w:rsid w:val="003B304B"/>
    <w:rsid w:val="003B3146"/>
    <w:rsid w:val="003B3F05"/>
    <w:rsid w:val="003B49CD"/>
    <w:rsid w:val="003C76F0"/>
    <w:rsid w:val="003D1E02"/>
    <w:rsid w:val="003D7FE5"/>
    <w:rsid w:val="003E460A"/>
    <w:rsid w:val="003F015E"/>
    <w:rsid w:val="00400414"/>
    <w:rsid w:val="0040267C"/>
    <w:rsid w:val="0040297F"/>
    <w:rsid w:val="004123AF"/>
    <w:rsid w:val="0041446B"/>
    <w:rsid w:val="00426284"/>
    <w:rsid w:val="0044071E"/>
    <w:rsid w:val="00440BDA"/>
    <w:rsid w:val="0044163D"/>
    <w:rsid w:val="00442BA8"/>
    <w:rsid w:val="0044329C"/>
    <w:rsid w:val="00453E24"/>
    <w:rsid w:val="00457456"/>
    <w:rsid w:val="004577FE"/>
    <w:rsid w:val="00457B9C"/>
    <w:rsid w:val="0046164A"/>
    <w:rsid w:val="004628D2"/>
    <w:rsid w:val="00462DCD"/>
    <w:rsid w:val="004648AD"/>
    <w:rsid w:val="004703A9"/>
    <w:rsid w:val="00471CB7"/>
    <w:rsid w:val="004757B6"/>
    <w:rsid w:val="004760DE"/>
    <w:rsid w:val="004763D7"/>
    <w:rsid w:val="004819DF"/>
    <w:rsid w:val="00481A54"/>
    <w:rsid w:val="004845A1"/>
    <w:rsid w:val="004855D2"/>
    <w:rsid w:val="00487F05"/>
    <w:rsid w:val="00490C94"/>
    <w:rsid w:val="004954F0"/>
    <w:rsid w:val="004A004E"/>
    <w:rsid w:val="004A24CF"/>
    <w:rsid w:val="004A70BE"/>
    <w:rsid w:val="004C3D1D"/>
    <w:rsid w:val="004C3D84"/>
    <w:rsid w:val="004C7913"/>
    <w:rsid w:val="004D6E29"/>
    <w:rsid w:val="004E2B84"/>
    <w:rsid w:val="004E4DD6"/>
    <w:rsid w:val="004F36D9"/>
    <w:rsid w:val="004F5E36"/>
    <w:rsid w:val="00507B47"/>
    <w:rsid w:val="00507BEF"/>
    <w:rsid w:val="00507CC9"/>
    <w:rsid w:val="005119A5"/>
    <w:rsid w:val="00527838"/>
    <w:rsid w:val="005278B7"/>
    <w:rsid w:val="00532016"/>
    <w:rsid w:val="00532E9A"/>
    <w:rsid w:val="005346C8"/>
    <w:rsid w:val="005425E3"/>
    <w:rsid w:val="00543E7D"/>
    <w:rsid w:val="00547A68"/>
    <w:rsid w:val="005531C9"/>
    <w:rsid w:val="00554879"/>
    <w:rsid w:val="00557224"/>
    <w:rsid w:val="00570C43"/>
    <w:rsid w:val="005849C0"/>
    <w:rsid w:val="00592274"/>
    <w:rsid w:val="005A3B33"/>
    <w:rsid w:val="005B2110"/>
    <w:rsid w:val="005B350B"/>
    <w:rsid w:val="005B61E6"/>
    <w:rsid w:val="005B7F17"/>
    <w:rsid w:val="005C77E1"/>
    <w:rsid w:val="005D2535"/>
    <w:rsid w:val="005D409A"/>
    <w:rsid w:val="005D668A"/>
    <w:rsid w:val="005D6A2F"/>
    <w:rsid w:val="005E0007"/>
    <w:rsid w:val="005E0592"/>
    <w:rsid w:val="005E1A82"/>
    <w:rsid w:val="005E794C"/>
    <w:rsid w:val="005F0A28"/>
    <w:rsid w:val="005F0E5E"/>
    <w:rsid w:val="00600535"/>
    <w:rsid w:val="00610CD6"/>
    <w:rsid w:val="00611644"/>
    <w:rsid w:val="00620DEE"/>
    <w:rsid w:val="00621F92"/>
    <w:rsid w:val="0062280A"/>
    <w:rsid w:val="006231E1"/>
    <w:rsid w:val="006233ED"/>
    <w:rsid w:val="00623DC1"/>
    <w:rsid w:val="00625639"/>
    <w:rsid w:val="006272B4"/>
    <w:rsid w:val="00631B33"/>
    <w:rsid w:val="0064184D"/>
    <w:rsid w:val="006422CC"/>
    <w:rsid w:val="00647F24"/>
    <w:rsid w:val="00651D18"/>
    <w:rsid w:val="00660E3E"/>
    <w:rsid w:val="00662E74"/>
    <w:rsid w:val="006759DB"/>
    <w:rsid w:val="00680A46"/>
    <w:rsid w:val="00680C23"/>
    <w:rsid w:val="00682877"/>
    <w:rsid w:val="00683E23"/>
    <w:rsid w:val="00693766"/>
    <w:rsid w:val="006A246F"/>
    <w:rsid w:val="006A3281"/>
    <w:rsid w:val="006A4775"/>
    <w:rsid w:val="006A6DE5"/>
    <w:rsid w:val="006B4888"/>
    <w:rsid w:val="006C0163"/>
    <w:rsid w:val="006C2E45"/>
    <w:rsid w:val="006C359C"/>
    <w:rsid w:val="006C5579"/>
    <w:rsid w:val="006D6E8B"/>
    <w:rsid w:val="006D7209"/>
    <w:rsid w:val="006E737D"/>
    <w:rsid w:val="00701DCC"/>
    <w:rsid w:val="0070411B"/>
    <w:rsid w:val="00707DD1"/>
    <w:rsid w:val="00713973"/>
    <w:rsid w:val="00713AD8"/>
    <w:rsid w:val="00713C3A"/>
    <w:rsid w:val="00717FC4"/>
    <w:rsid w:val="00720A24"/>
    <w:rsid w:val="007273EF"/>
    <w:rsid w:val="007307FF"/>
    <w:rsid w:val="00732386"/>
    <w:rsid w:val="0073243B"/>
    <w:rsid w:val="0073514D"/>
    <w:rsid w:val="007364F2"/>
    <w:rsid w:val="0074010B"/>
    <w:rsid w:val="00741D42"/>
    <w:rsid w:val="007447F3"/>
    <w:rsid w:val="0075499F"/>
    <w:rsid w:val="0075689F"/>
    <w:rsid w:val="00760007"/>
    <w:rsid w:val="00761A6B"/>
    <w:rsid w:val="007661C8"/>
    <w:rsid w:val="0077098D"/>
    <w:rsid w:val="00773810"/>
    <w:rsid w:val="00785BF9"/>
    <w:rsid w:val="00786BFB"/>
    <w:rsid w:val="00790EAA"/>
    <w:rsid w:val="007931FA"/>
    <w:rsid w:val="007A3EEE"/>
    <w:rsid w:val="007A4861"/>
    <w:rsid w:val="007A7BBA"/>
    <w:rsid w:val="007B0A46"/>
    <w:rsid w:val="007B0C50"/>
    <w:rsid w:val="007B48F9"/>
    <w:rsid w:val="007C1A43"/>
    <w:rsid w:val="007D0951"/>
    <w:rsid w:val="007D2722"/>
    <w:rsid w:val="007D405D"/>
    <w:rsid w:val="007D610D"/>
    <w:rsid w:val="007E7DD4"/>
    <w:rsid w:val="007F1589"/>
    <w:rsid w:val="0080013E"/>
    <w:rsid w:val="00801759"/>
    <w:rsid w:val="008037F7"/>
    <w:rsid w:val="00811934"/>
    <w:rsid w:val="00813288"/>
    <w:rsid w:val="008168FC"/>
    <w:rsid w:val="008234CD"/>
    <w:rsid w:val="00826D1B"/>
    <w:rsid w:val="00830996"/>
    <w:rsid w:val="008345F1"/>
    <w:rsid w:val="008556D4"/>
    <w:rsid w:val="008565E4"/>
    <w:rsid w:val="00856C25"/>
    <w:rsid w:val="00865B07"/>
    <w:rsid w:val="008667EA"/>
    <w:rsid w:val="00875393"/>
    <w:rsid w:val="0087637F"/>
    <w:rsid w:val="008832AA"/>
    <w:rsid w:val="00892AD5"/>
    <w:rsid w:val="008A1512"/>
    <w:rsid w:val="008B79A2"/>
    <w:rsid w:val="008D32B9"/>
    <w:rsid w:val="008D3566"/>
    <w:rsid w:val="008D39AF"/>
    <w:rsid w:val="008D433B"/>
    <w:rsid w:val="008D4A16"/>
    <w:rsid w:val="008D4BE4"/>
    <w:rsid w:val="008D56E7"/>
    <w:rsid w:val="008D56EA"/>
    <w:rsid w:val="008E11A0"/>
    <w:rsid w:val="008E5401"/>
    <w:rsid w:val="008E566E"/>
    <w:rsid w:val="008F0F87"/>
    <w:rsid w:val="0090161A"/>
    <w:rsid w:val="00901EB6"/>
    <w:rsid w:val="00903C04"/>
    <w:rsid w:val="009041F8"/>
    <w:rsid w:val="0090488E"/>
    <w:rsid w:val="00904C62"/>
    <w:rsid w:val="009163DF"/>
    <w:rsid w:val="009207CF"/>
    <w:rsid w:val="00920E60"/>
    <w:rsid w:val="00922BA8"/>
    <w:rsid w:val="00924DAC"/>
    <w:rsid w:val="00927058"/>
    <w:rsid w:val="00942750"/>
    <w:rsid w:val="0094489E"/>
    <w:rsid w:val="009450CE"/>
    <w:rsid w:val="009459BB"/>
    <w:rsid w:val="0094713C"/>
    <w:rsid w:val="00947179"/>
    <w:rsid w:val="0095164B"/>
    <w:rsid w:val="00954090"/>
    <w:rsid w:val="009573E7"/>
    <w:rsid w:val="00963E05"/>
    <w:rsid w:val="00964A45"/>
    <w:rsid w:val="00967843"/>
    <w:rsid w:val="00967D54"/>
    <w:rsid w:val="00971028"/>
    <w:rsid w:val="00985AD6"/>
    <w:rsid w:val="00993B84"/>
    <w:rsid w:val="00994C6A"/>
    <w:rsid w:val="00996483"/>
    <w:rsid w:val="00996F5A"/>
    <w:rsid w:val="009A5CDB"/>
    <w:rsid w:val="009B041A"/>
    <w:rsid w:val="009B3670"/>
    <w:rsid w:val="009C37C3"/>
    <w:rsid w:val="009C7C86"/>
    <w:rsid w:val="009D1327"/>
    <w:rsid w:val="009D2FF7"/>
    <w:rsid w:val="009E4B50"/>
    <w:rsid w:val="009E7884"/>
    <w:rsid w:val="009E788A"/>
    <w:rsid w:val="009F0E08"/>
    <w:rsid w:val="009F2109"/>
    <w:rsid w:val="009F4ADC"/>
    <w:rsid w:val="00A0042B"/>
    <w:rsid w:val="00A03E01"/>
    <w:rsid w:val="00A079AE"/>
    <w:rsid w:val="00A13B45"/>
    <w:rsid w:val="00A1763D"/>
    <w:rsid w:val="00A17CEC"/>
    <w:rsid w:val="00A226B2"/>
    <w:rsid w:val="00A245B5"/>
    <w:rsid w:val="00A24CCB"/>
    <w:rsid w:val="00A27EF0"/>
    <w:rsid w:val="00A36100"/>
    <w:rsid w:val="00A42361"/>
    <w:rsid w:val="00A477F6"/>
    <w:rsid w:val="00A47A98"/>
    <w:rsid w:val="00A50A41"/>
    <w:rsid w:val="00A50B20"/>
    <w:rsid w:val="00A51390"/>
    <w:rsid w:val="00A57C88"/>
    <w:rsid w:val="00A60D13"/>
    <w:rsid w:val="00A67907"/>
    <w:rsid w:val="00A721A8"/>
    <w:rsid w:val="00A7223D"/>
    <w:rsid w:val="00A72745"/>
    <w:rsid w:val="00A76EFC"/>
    <w:rsid w:val="00A82A4F"/>
    <w:rsid w:val="00A854C0"/>
    <w:rsid w:val="00A87D50"/>
    <w:rsid w:val="00A91010"/>
    <w:rsid w:val="00A967B4"/>
    <w:rsid w:val="00A97C8A"/>
    <w:rsid w:val="00A97F29"/>
    <w:rsid w:val="00AA35A5"/>
    <w:rsid w:val="00AA52E2"/>
    <w:rsid w:val="00AA6F51"/>
    <w:rsid w:val="00AA702E"/>
    <w:rsid w:val="00AA7D26"/>
    <w:rsid w:val="00AB0964"/>
    <w:rsid w:val="00AB5011"/>
    <w:rsid w:val="00AC7368"/>
    <w:rsid w:val="00AD16B9"/>
    <w:rsid w:val="00AE33C8"/>
    <w:rsid w:val="00AE377D"/>
    <w:rsid w:val="00AF0EBA"/>
    <w:rsid w:val="00AF2463"/>
    <w:rsid w:val="00B02369"/>
    <w:rsid w:val="00B02C8A"/>
    <w:rsid w:val="00B02CA5"/>
    <w:rsid w:val="00B17FBD"/>
    <w:rsid w:val="00B315A6"/>
    <w:rsid w:val="00B31602"/>
    <w:rsid w:val="00B31813"/>
    <w:rsid w:val="00B33365"/>
    <w:rsid w:val="00B57B36"/>
    <w:rsid w:val="00B57E6F"/>
    <w:rsid w:val="00B8686D"/>
    <w:rsid w:val="00B912BD"/>
    <w:rsid w:val="00B92F48"/>
    <w:rsid w:val="00B93F69"/>
    <w:rsid w:val="00BA38BD"/>
    <w:rsid w:val="00BB13F0"/>
    <w:rsid w:val="00BB1DDC"/>
    <w:rsid w:val="00BC30C9"/>
    <w:rsid w:val="00BC42C6"/>
    <w:rsid w:val="00BD077D"/>
    <w:rsid w:val="00BE3E58"/>
    <w:rsid w:val="00BE44E0"/>
    <w:rsid w:val="00BF13CE"/>
    <w:rsid w:val="00BF1F26"/>
    <w:rsid w:val="00BF2936"/>
    <w:rsid w:val="00C01616"/>
    <w:rsid w:val="00C0162B"/>
    <w:rsid w:val="00C068ED"/>
    <w:rsid w:val="00C16F2D"/>
    <w:rsid w:val="00C22E0C"/>
    <w:rsid w:val="00C304FA"/>
    <w:rsid w:val="00C32C7D"/>
    <w:rsid w:val="00C345B1"/>
    <w:rsid w:val="00C40142"/>
    <w:rsid w:val="00C412FC"/>
    <w:rsid w:val="00C44DE5"/>
    <w:rsid w:val="00C52A91"/>
    <w:rsid w:val="00C52C3C"/>
    <w:rsid w:val="00C53B04"/>
    <w:rsid w:val="00C57182"/>
    <w:rsid w:val="00C57863"/>
    <w:rsid w:val="00C62AD3"/>
    <w:rsid w:val="00C640AF"/>
    <w:rsid w:val="00C64D3F"/>
    <w:rsid w:val="00C655FD"/>
    <w:rsid w:val="00C75407"/>
    <w:rsid w:val="00C81E7D"/>
    <w:rsid w:val="00C841C6"/>
    <w:rsid w:val="00C870A8"/>
    <w:rsid w:val="00C9163D"/>
    <w:rsid w:val="00C94434"/>
    <w:rsid w:val="00C9503B"/>
    <w:rsid w:val="00C963DD"/>
    <w:rsid w:val="00C97439"/>
    <w:rsid w:val="00CA0546"/>
    <w:rsid w:val="00CA0D75"/>
    <w:rsid w:val="00CA1C95"/>
    <w:rsid w:val="00CA5A9C"/>
    <w:rsid w:val="00CA5C06"/>
    <w:rsid w:val="00CB7106"/>
    <w:rsid w:val="00CC4C20"/>
    <w:rsid w:val="00CD051D"/>
    <w:rsid w:val="00CD0ED9"/>
    <w:rsid w:val="00CD3517"/>
    <w:rsid w:val="00CD5FE2"/>
    <w:rsid w:val="00CD6ECB"/>
    <w:rsid w:val="00CE02A2"/>
    <w:rsid w:val="00CE1490"/>
    <w:rsid w:val="00CE3687"/>
    <w:rsid w:val="00CE4ADE"/>
    <w:rsid w:val="00CE7C68"/>
    <w:rsid w:val="00CF7F44"/>
    <w:rsid w:val="00D02B4C"/>
    <w:rsid w:val="00D040C4"/>
    <w:rsid w:val="00D12FCE"/>
    <w:rsid w:val="00D20AD1"/>
    <w:rsid w:val="00D22299"/>
    <w:rsid w:val="00D2582C"/>
    <w:rsid w:val="00D3599B"/>
    <w:rsid w:val="00D3648C"/>
    <w:rsid w:val="00D41038"/>
    <w:rsid w:val="00D46B7E"/>
    <w:rsid w:val="00D47A0C"/>
    <w:rsid w:val="00D52E3F"/>
    <w:rsid w:val="00D5508A"/>
    <w:rsid w:val="00D57C84"/>
    <w:rsid w:val="00D6057D"/>
    <w:rsid w:val="00D60B88"/>
    <w:rsid w:val="00D6169F"/>
    <w:rsid w:val="00D63C07"/>
    <w:rsid w:val="00D67441"/>
    <w:rsid w:val="00D71640"/>
    <w:rsid w:val="00D733E4"/>
    <w:rsid w:val="00D73FD9"/>
    <w:rsid w:val="00D836C5"/>
    <w:rsid w:val="00D84576"/>
    <w:rsid w:val="00D96647"/>
    <w:rsid w:val="00DA1399"/>
    <w:rsid w:val="00DA1CF8"/>
    <w:rsid w:val="00DA2075"/>
    <w:rsid w:val="00DA24C6"/>
    <w:rsid w:val="00DA4D7B"/>
    <w:rsid w:val="00DC2840"/>
    <w:rsid w:val="00DC3F24"/>
    <w:rsid w:val="00DC73EE"/>
    <w:rsid w:val="00DD1087"/>
    <w:rsid w:val="00DD271C"/>
    <w:rsid w:val="00DD71EA"/>
    <w:rsid w:val="00DE264A"/>
    <w:rsid w:val="00DE6E53"/>
    <w:rsid w:val="00DF5072"/>
    <w:rsid w:val="00DF5D97"/>
    <w:rsid w:val="00DF7CCF"/>
    <w:rsid w:val="00E02D18"/>
    <w:rsid w:val="00E041E7"/>
    <w:rsid w:val="00E07E03"/>
    <w:rsid w:val="00E11A72"/>
    <w:rsid w:val="00E17793"/>
    <w:rsid w:val="00E23CA1"/>
    <w:rsid w:val="00E409A8"/>
    <w:rsid w:val="00E50C12"/>
    <w:rsid w:val="00E51B11"/>
    <w:rsid w:val="00E57312"/>
    <w:rsid w:val="00E65B91"/>
    <w:rsid w:val="00E7039A"/>
    <w:rsid w:val="00E7209D"/>
    <w:rsid w:val="00E72EAD"/>
    <w:rsid w:val="00E75563"/>
    <w:rsid w:val="00E77223"/>
    <w:rsid w:val="00E77DB0"/>
    <w:rsid w:val="00E8528B"/>
    <w:rsid w:val="00E85B94"/>
    <w:rsid w:val="00E9503E"/>
    <w:rsid w:val="00E978D0"/>
    <w:rsid w:val="00EA2367"/>
    <w:rsid w:val="00EA4613"/>
    <w:rsid w:val="00EA5BAA"/>
    <w:rsid w:val="00EA7F91"/>
    <w:rsid w:val="00EB1523"/>
    <w:rsid w:val="00EC0E49"/>
    <w:rsid w:val="00EC101F"/>
    <w:rsid w:val="00EC1468"/>
    <w:rsid w:val="00EC1BDE"/>
    <w:rsid w:val="00EC1D9F"/>
    <w:rsid w:val="00ED15DA"/>
    <w:rsid w:val="00ED5CB5"/>
    <w:rsid w:val="00ED7397"/>
    <w:rsid w:val="00EE0131"/>
    <w:rsid w:val="00EE17B0"/>
    <w:rsid w:val="00EE3D3B"/>
    <w:rsid w:val="00EF026A"/>
    <w:rsid w:val="00EF06D9"/>
    <w:rsid w:val="00EF6FEE"/>
    <w:rsid w:val="00F11609"/>
    <w:rsid w:val="00F23865"/>
    <w:rsid w:val="00F3049E"/>
    <w:rsid w:val="00F30C64"/>
    <w:rsid w:val="00F32BA2"/>
    <w:rsid w:val="00F32CDB"/>
    <w:rsid w:val="00F41EE4"/>
    <w:rsid w:val="00F46C84"/>
    <w:rsid w:val="00F528DE"/>
    <w:rsid w:val="00F56381"/>
    <w:rsid w:val="00F565FE"/>
    <w:rsid w:val="00F61C5C"/>
    <w:rsid w:val="00F63A70"/>
    <w:rsid w:val="00F63D8C"/>
    <w:rsid w:val="00F66188"/>
    <w:rsid w:val="00F73ACA"/>
    <w:rsid w:val="00F7534E"/>
    <w:rsid w:val="00F86875"/>
    <w:rsid w:val="00F93EDF"/>
    <w:rsid w:val="00FA1802"/>
    <w:rsid w:val="00FA21D0"/>
    <w:rsid w:val="00FA35DE"/>
    <w:rsid w:val="00FA40E0"/>
    <w:rsid w:val="00FA5F5F"/>
    <w:rsid w:val="00FB730C"/>
    <w:rsid w:val="00FB7F61"/>
    <w:rsid w:val="00FC2695"/>
    <w:rsid w:val="00FC3E03"/>
    <w:rsid w:val="00FC3FC1"/>
    <w:rsid w:val="00FE0AB0"/>
    <w:rsid w:val="00FE3E24"/>
    <w:rsid w:val="00FF55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26284"/>
    <w:pPr>
      <w:keepNext/>
      <w:numPr>
        <w:ilvl w:val="2"/>
        <w:numId w:val="1"/>
      </w:numPr>
      <w:suppressAutoHyphens/>
      <w:spacing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2628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48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paragraph" w:customStyle="1" w:styleId="Els-Affiliation">
    <w:name w:val="Els-Affiliation"/>
    <w:rsid w:val="004D6E29"/>
    <w:pPr>
      <w:suppressAutoHyphens/>
      <w:spacing w:after="0" w:line="240" w:lineRule="exact"/>
    </w:pPr>
    <w:rPr>
      <w:rFonts w:ascii="Times New Roman" w:eastAsia="Times New Roman" w:hAnsi="Times New Roman" w:cs="Times New Roman"/>
      <w:i/>
      <w:noProof/>
      <w:sz w:val="20"/>
      <w:szCs w:val="20"/>
      <w:lang w:val="en-GB"/>
    </w:rPr>
  </w:style>
  <w:style w:type="paragraph" w:styleId="Sansinterligne">
    <w:name w:val="No Spacing"/>
    <w:uiPriority w:val="1"/>
    <w:qFormat/>
    <w:rsid w:val="00AA52E2"/>
    <w:pPr>
      <w:spacing w:after="0" w:line="240" w:lineRule="auto"/>
    </w:pPr>
    <w:rPr>
      <w:lang w:val="fr-FR"/>
    </w:rPr>
  </w:style>
  <w:style w:type="paragraph" w:customStyle="1" w:styleId="heading1">
    <w:name w:val="heading1"/>
    <w:basedOn w:val="Normal"/>
    <w:next w:val="Normal"/>
    <w:qFormat/>
    <w:rsid w:val="007F1589"/>
    <w:pPr>
      <w:keepNext/>
      <w:keepLines/>
      <w:numPr>
        <w:numId w:val="24"/>
      </w:numPr>
      <w:tabs>
        <w:tab w:val="clear" w:pos="7100"/>
      </w:tabs>
      <w:suppressAutoHyphens/>
      <w:overflowPunct w:val="0"/>
      <w:autoSpaceDE w:val="0"/>
      <w:autoSpaceDN w:val="0"/>
      <w:adjustRightInd w:val="0"/>
      <w:spacing w:before="360" w:after="240" w:line="300" w:lineRule="atLeast"/>
      <w:jc w:val="left"/>
      <w:textAlignment w:val="baseline"/>
      <w:outlineLvl w:val="0"/>
    </w:pPr>
    <w:rPr>
      <w:rFonts w:ascii="Times New Roman" w:hAnsi="Times New Roman"/>
      <w:b/>
      <w:sz w:val="24"/>
      <w:lang w:val="en-US"/>
    </w:rPr>
  </w:style>
  <w:style w:type="paragraph" w:customStyle="1" w:styleId="heading2">
    <w:name w:val="heading2"/>
    <w:basedOn w:val="Normal"/>
    <w:next w:val="Normal"/>
    <w:qFormat/>
    <w:rsid w:val="007F1589"/>
    <w:pPr>
      <w:keepNext/>
      <w:keepLines/>
      <w:numPr>
        <w:ilvl w:val="1"/>
        <w:numId w:val="24"/>
      </w:numPr>
      <w:tabs>
        <w:tab w:val="clear" w:pos="7100"/>
      </w:tabs>
      <w:suppressAutoHyphens/>
      <w:overflowPunct w:val="0"/>
      <w:autoSpaceDE w:val="0"/>
      <w:autoSpaceDN w:val="0"/>
      <w:adjustRightInd w:val="0"/>
      <w:spacing w:before="360" w:after="160" w:line="240" w:lineRule="atLeast"/>
      <w:jc w:val="left"/>
      <w:textAlignment w:val="baseline"/>
      <w:outlineLvl w:val="1"/>
    </w:pPr>
    <w:rPr>
      <w:rFonts w:ascii="Times New Roman" w:hAnsi="Times New Roman"/>
      <w:b/>
      <w:sz w:val="20"/>
      <w:lang w:val="en-US"/>
    </w:rPr>
  </w:style>
  <w:style w:type="numbering" w:customStyle="1" w:styleId="headings">
    <w:name w:val="headings"/>
    <w:basedOn w:val="Aucuneliste"/>
    <w:rsid w:val="007F1589"/>
    <w:pPr>
      <w:numPr>
        <w:numId w:val="24"/>
      </w:numPr>
    </w:pPr>
  </w:style>
  <w:style w:type="character" w:customStyle="1" w:styleId="heading3">
    <w:name w:val="heading3"/>
    <w:basedOn w:val="Policepardfaut"/>
    <w:rsid w:val="007F1589"/>
    <w:rPr>
      <w:b/>
    </w:rPr>
  </w:style>
  <w:style w:type="paragraph" w:customStyle="1" w:styleId="acknowlegments">
    <w:name w:val="acknowlegments"/>
    <w:basedOn w:val="Normal"/>
    <w:qFormat/>
    <w:rsid w:val="007F1589"/>
    <w:pPr>
      <w:tabs>
        <w:tab w:val="clear" w:pos="7100"/>
      </w:tabs>
      <w:overflowPunct w:val="0"/>
      <w:autoSpaceDE w:val="0"/>
      <w:autoSpaceDN w:val="0"/>
      <w:adjustRightInd w:val="0"/>
      <w:spacing w:before="240" w:line="220" w:lineRule="atLeast"/>
      <w:textAlignment w:val="baseline"/>
    </w:pPr>
    <w:rPr>
      <w:rFonts w:ascii="Times New Roman" w:hAnsi="Times New Roman"/>
      <w:lang w:val="en-US"/>
    </w:rPr>
  </w:style>
  <w:style w:type="character" w:customStyle="1" w:styleId="fontstyle01">
    <w:name w:val="fontstyle01"/>
    <w:basedOn w:val="Policepardfaut"/>
    <w:rsid w:val="00CE02A2"/>
    <w:rPr>
      <w:rFonts w:ascii="CharisSIL" w:hAnsi="CharisSIL" w:hint="default"/>
      <w:b w:val="0"/>
      <w:bCs w:val="0"/>
      <w:i w:val="0"/>
      <w:iCs w:val="0"/>
      <w:color w:val="000000"/>
      <w:sz w:val="16"/>
      <w:szCs w:val="16"/>
    </w:rPr>
  </w:style>
  <w:style w:type="character" w:customStyle="1" w:styleId="fontstyle21">
    <w:name w:val="fontstyle21"/>
    <w:basedOn w:val="Policepardfaut"/>
    <w:rsid w:val="00CE02A2"/>
    <w:rPr>
      <w:rFonts w:ascii="CharisSIL" w:hAnsi="CharisSIL" w:hint="default"/>
      <w:b w:val="0"/>
      <w:bCs w:val="0"/>
      <w:i w:val="0"/>
      <w:iCs w:val="0"/>
      <w:color w:val="000000"/>
      <w:sz w:val="16"/>
      <w:szCs w:val="16"/>
    </w:rPr>
  </w:style>
  <w:style w:type="character" w:customStyle="1" w:styleId="fontstyle31">
    <w:name w:val="fontstyle31"/>
    <w:basedOn w:val="Policepardfaut"/>
    <w:rsid w:val="00CE02A2"/>
    <w:rPr>
      <w:rFonts w:ascii="CharisSIL-Italic" w:hAnsi="CharisSIL-Italic" w:hint="default"/>
      <w:b w:val="0"/>
      <w:bCs w:val="0"/>
      <w:i/>
      <w:iCs/>
      <w:color w:val="000000"/>
      <w:sz w:val="16"/>
      <w:szCs w:val="16"/>
    </w:rPr>
  </w:style>
  <w:style w:type="character" w:styleId="Accentuation">
    <w:name w:val="Emphasis"/>
    <w:basedOn w:val="Policepardfaut"/>
    <w:uiPriority w:val="20"/>
    <w:qFormat/>
    <w:rsid w:val="00E7039A"/>
    <w:rPr>
      <w:i/>
      <w:iCs/>
    </w:rPr>
  </w:style>
  <w:style w:type="character" w:styleId="Textedelespacerserv">
    <w:name w:val="Placeholder Text"/>
    <w:basedOn w:val="Policepardfaut"/>
    <w:uiPriority w:val="99"/>
    <w:semiHidden/>
    <w:rsid w:val="00CA0546"/>
    <w:rPr>
      <w:color w:val="808080"/>
    </w:rPr>
  </w:style>
  <w:style w:type="table" w:styleId="TableauGrille1Clair">
    <w:name w:val="Grid Table 1 Light"/>
    <w:basedOn w:val="TableauNormal"/>
    <w:uiPriority w:val="46"/>
    <w:rsid w:val="00CA05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8E11A0"/>
    <w:rPr>
      <w:b/>
      <w:bCs/>
    </w:rPr>
  </w:style>
  <w:style w:type="paragraph" w:customStyle="1" w:styleId="PSEText">
    <w:name w:val="PSE_Text"/>
    <w:basedOn w:val="Normal"/>
    <w:link w:val="PSETextChar"/>
    <w:qFormat/>
    <w:rsid w:val="007B0A46"/>
    <w:pPr>
      <w:widowControl w:val="0"/>
      <w:tabs>
        <w:tab w:val="clear" w:pos="7100"/>
        <w:tab w:val="left" w:pos="425"/>
      </w:tabs>
      <w:autoSpaceDE w:val="0"/>
      <w:autoSpaceDN w:val="0"/>
      <w:adjustRightInd w:val="0"/>
      <w:ind w:firstLine="425"/>
    </w:pPr>
    <w:rPr>
      <w:rFonts w:ascii="Inter" w:eastAsiaTheme="minorHAnsi" w:hAnsi="Inter" w:cs="Cormorant Medium"/>
      <w:color w:val="000000"/>
      <w:lang w:val="en-CA"/>
      <w14:numForm w14:val="lining"/>
    </w:rPr>
  </w:style>
  <w:style w:type="character" w:customStyle="1" w:styleId="PSETextChar">
    <w:name w:val="PSE_Text Char"/>
    <w:basedOn w:val="Policepardfaut"/>
    <w:link w:val="PSEText"/>
    <w:rsid w:val="007B0A46"/>
    <w:rPr>
      <w:rFonts w:ascii="Inter" w:hAnsi="Inter" w:cs="Cormorant Medium"/>
      <w:color w:val="000000"/>
      <w:sz w:val="18"/>
      <w:szCs w:val="20"/>
      <w:lang w:val="en-CA"/>
      <w14:numForm w14:val="lining"/>
    </w:rPr>
  </w:style>
  <w:style w:type="paragraph" w:customStyle="1" w:styleId="PSEAuthorAffiliation">
    <w:name w:val="PSE_AuthorAffiliation"/>
    <w:basedOn w:val="Normal"/>
    <w:qFormat/>
    <w:rsid w:val="00340308"/>
    <w:pPr>
      <w:tabs>
        <w:tab w:val="clear" w:pos="7100"/>
      </w:tabs>
      <w:autoSpaceDE w:val="0"/>
      <w:autoSpaceDN w:val="0"/>
      <w:adjustRightInd w:val="0"/>
      <w:spacing w:before="120"/>
      <w:contextualSpacing/>
      <w:jc w:val="left"/>
    </w:pPr>
    <w:rPr>
      <w:rFonts w:ascii="Inter" w:eastAsiaTheme="minorHAnsi" w:hAnsi="Inter" w:cs="Cormorant Medium"/>
      <w:color w:val="000000"/>
      <w:sz w:val="16"/>
      <w:szCs w:val="18"/>
      <w:lang w:val="en-CA"/>
      <w14:numForm w14:val="lining"/>
    </w:rPr>
  </w:style>
  <w:style w:type="paragraph" w:customStyle="1" w:styleId="bulletitem">
    <w:name w:val="bulletitem"/>
    <w:basedOn w:val="Normal"/>
    <w:rsid w:val="00F86875"/>
    <w:pPr>
      <w:numPr>
        <w:numId w:val="30"/>
      </w:numPr>
      <w:tabs>
        <w:tab w:val="clear" w:pos="7100"/>
      </w:tabs>
      <w:overflowPunct w:val="0"/>
      <w:autoSpaceDE w:val="0"/>
      <w:autoSpaceDN w:val="0"/>
      <w:adjustRightInd w:val="0"/>
      <w:spacing w:before="160" w:after="160" w:line="240" w:lineRule="atLeast"/>
      <w:contextualSpacing/>
      <w:textAlignment w:val="baseline"/>
    </w:pPr>
    <w:rPr>
      <w:rFonts w:ascii="Times New Roman" w:hAnsi="Times New Roman"/>
      <w:sz w:val="20"/>
      <w:lang w:val="en-US"/>
    </w:rPr>
  </w:style>
  <w:style w:type="numbering" w:customStyle="1" w:styleId="itemization1">
    <w:name w:val="itemization1"/>
    <w:basedOn w:val="Aucuneliste"/>
    <w:rsid w:val="00F86875"/>
    <w:pPr>
      <w:numPr>
        <w:numId w:val="30"/>
      </w:numPr>
    </w:pPr>
  </w:style>
  <w:style w:type="paragraph" w:styleId="Rvision">
    <w:name w:val="Revision"/>
    <w:hidden/>
    <w:uiPriority w:val="99"/>
    <w:semiHidden/>
    <w:rsid w:val="00F56381"/>
    <w:pPr>
      <w:spacing w:after="0" w:line="240" w:lineRule="auto"/>
    </w:pPr>
    <w:rPr>
      <w:rFonts w:ascii="Arial" w:eastAsia="Times New Roman" w:hAnsi="Arial" w:cs="Times New Roman"/>
      <w:sz w:val="18"/>
      <w:szCs w:val="20"/>
      <w:lang w:val="en-GB"/>
    </w:rPr>
  </w:style>
  <w:style w:type="character" w:customStyle="1" w:styleId="katex-mathml">
    <w:name w:val="katex-mathml"/>
    <w:basedOn w:val="Policepardfaut"/>
    <w:rsid w:val="00346575"/>
  </w:style>
  <w:style w:type="character" w:customStyle="1" w:styleId="mopen">
    <w:name w:val="mopen"/>
    <w:basedOn w:val="Policepardfaut"/>
    <w:rsid w:val="00346575"/>
  </w:style>
  <w:style w:type="character" w:customStyle="1" w:styleId="mord">
    <w:name w:val="mord"/>
    <w:basedOn w:val="Policepardfaut"/>
    <w:rsid w:val="00346575"/>
  </w:style>
  <w:style w:type="character" w:customStyle="1" w:styleId="vlist-s">
    <w:name w:val="vlist-s"/>
    <w:basedOn w:val="Policepardfaut"/>
    <w:rsid w:val="00346575"/>
  </w:style>
  <w:style w:type="character" w:customStyle="1" w:styleId="mpunct">
    <w:name w:val="mpunct"/>
    <w:basedOn w:val="Policepardfaut"/>
    <w:rsid w:val="00346575"/>
  </w:style>
  <w:style w:type="character" w:customStyle="1" w:styleId="mclose">
    <w:name w:val="mclose"/>
    <w:basedOn w:val="Policepardfaut"/>
    <w:rsid w:val="00346575"/>
  </w:style>
  <w:style w:type="character" w:customStyle="1" w:styleId="mrel">
    <w:name w:val="mrel"/>
    <w:basedOn w:val="Policepardfaut"/>
    <w:rsid w:val="0034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90136">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581914185">
      <w:bodyDiv w:val="1"/>
      <w:marLeft w:val="0"/>
      <w:marRight w:val="0"/>
      <w:marTop w:val="0"/>
      <w:marBottom w:val="0"/>
      <w:divBdr>
        <w:top w:val="none" w:sz="0" w:space="0" w:color="auto"/>
        <w:left w:val="none" w:sz="0" w:space="0" w:color="auto"/>
        <w:bottom w:val="none" w:sz="0" w:space="0" w:color="auto"/>
        <w:right w:val="none" w:sz="0" w:space="0" w:color="auto"/>
      </w:divBdr>
    </w:div>
    <w:div w:id="6241148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73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06128946">
      <w:bodyDiv w:val="1"/>
      <w:marLeft w:val="0"/>
      <w:marRight w:val="0"/>
      <w:marTop w:val="0"/>
      <w:marBottom w:val="0"/>
      <w:divBdr>
        <w:top w:val="none" w:sz="0" w:space="0" w:color="auto"/>
        <w:left w:val="none" w:sz="0" w:space="0" w:color="auto"/>
        <w:bottom w:val="none" w:sz="0" w:space="0" w:color="auto"/>
        <w:right w:val="none" w:sz="0" w:space="0" w:color="auto"/>
      </w:divBdr>
    </w:div>
    <w:div w:id="20435511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alyticsvidhya.com/blog/2021/05/know-the-best-evaluation-metrics-for-your-regression-mode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lyticsvidhya.com/blog/2021/05/know-the-best-evaluation-metrics-for-your-regression-mode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ceves@insa-toulouse.f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6978</TotalTime>
  <Pages>6</Pages>
  <Words>5926</Words>
  <Characters>32595</Characters>
  <Application>Microsoft Office Word</Application>
  <DocSecurity>0</DocSecurity>
  <Lines>271</Lines>
  <Paragraphs>76</Paragraphs>
  <ScaleCrop>false</ScaleCrop>
  <HeadingPairs>
    <vt:vector size="8" baseType="variant">
      <vt:variant>
        <vt:lpstr>Titre</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Juan Camilo Acosta Pavas</cp:lastModifiedBy>
  <cp:revision>100</cp:revision>
  <cp:lastPrinted>2025-01-17T14:50:00Z</cp:lastPrinted>
  <dcterms:created xsi:type="dcterms:W3CDTF">2024-02-20T10:29:00Z</dcterms:created>
  <dcterms:modified xsi:type="dcterms:W3CDTF">2025-07-01T14:08:00Z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id="coIgjAj7"/&gt;&lt;style id="http://www.zotero.org/styles/apa" locale="fr-FR" hasBibliography="1" bibliographyStyleHasBeenSet="1"/&gt;&lt;prefs&gt;&lt;pref name="fieldType" value="Field"/&gt;&lt;pref name="storeReferences</vt:lpwstr>
  </property>
  <property fmtid="{D5CDD505-2E9C-101B-9397-08002B2CF9AE}" pid="3" name="ZOTERO_PREF_2">
    <vt:lpwstr>" value="true"/&gt;&lt;/prefs&gt;&lt;/data&gt;</vt:lpwstr>
  </property>
  <property fmtid="{D5CDD505-2E9C-101B-9397-08002B2CF9AE}" pid="4" name="GrammarlyDocumentId">
    <vt:lpwstr>5b27d504ed414e1cff0d47823431be43404f1b7ba5f85d05d2f7adf96c42adee</vt:lpwstr>
  </property>
</Properties>
</file>