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53D5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53D5D" w:rsidRDefault="000A03B2" w:rsidP="00DE264A">
            <w:pPr>
              <w:tabs>
                <w:tab w:val="left" w:pos="-108"/>
              </w:tabs>
              <w:ind w:left="-108"/>
              <w:jc w:val="left"/>
              <w:rPr>
                <w:rFonts w:cs="Arial"/>
                <w:b/>
                <w:bCs/>
                <w:i/>
                <w:iCs/>
                <w:color w:val="000066"/>
                <w:sz w:val="12"/>
                <w:szCs w:val="12"/>
                <w:lang w:eastAsia="it-IT"/>
              </w:rPr>
            </w:pPr>
            <w:bookmarkStart w:id="0" w:name="_Hlk145068772"/>
            <w:r w:rsidRPr="00453D5D">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53D5D">
              <w:rPr>
                <w:rFonts w:ascii="AdvP6960" w:hAnsi="AdvP6960" w:cs="AdvP6960"/>
                <w:color w:val="241F20"/>
                <w:szCs w:val="18"/>
                <w:lang w:eastAsia="it-IT"/>
              </w:rPr>
              <w:t xml:space="preserve"> </w:t>
            </w:r>
            <w:r w:rsidRPr="00453D5D">
              <w:rPr>
                <w:rFonts w:cs="Arial"/>
                <w:b/>
                <w:bCs/>
                <w:i/>
                <w:iCs/>
                <w:color w:val="000066"/>
                <w:sz w:val="24"/>
                <w:szCs w:val="24"/>
                <w:lang w:eastAsia="it-IT"/>
              </w:rPr>
              <w:t>CHEMICAL ENGINEERING</w:t>
            </w:r>
            <w:r w:rsidRPr="00453D5D">
              <w:rPr>
                <w:rFonts w:cs="Arial"/>
                <w:b/>
                <w:bCs/>
                <w:i/>
                <w:iCs/>
                <w:color w:val="0033FF"/>
                <w:sz w:val="24"/>
                <w:szCs w:val="24"/>
                <w:lang w:eastAsia="it-IT"/>
              </w:rPr>
              <w:t xml:space="preserve"> </w:t>
            </w:r>
            <w:r w:rsidRPr="00453D5D">
              <w:rPr>
                <w:rFonts w:cs="Arial"/>
                <w:b/>
                <w:bCs/>
                <w:i/>
                <w:iCs/>
                <w:color w:val="666666"/>
                <w:sz w:val="24"/>
                <w:szCs w:val="24"/>
                <w:lang w:eastAsia="it-IT"/>
              </w:rPr>
              <w:t>TRANSACTIONS</w:t>
            </w:r>
            <w:r w:rsidRPr="00453D5D">
              <w:rPr>
                <w:color w:val="333333"/>
                <w:sz w:val="24"/>
                <w:szCs w:val="24"/>
                <w:lang w:eastAsia="it-IT"/>
              </w:rPr>
              <w:t xml:space="preserve"> </w:t>
            </w:r>
            <w:r w:rsidRPr="00453D5D">
              <w:rPr>
                <w:rFonts w:cs="Arial"/>
                <w:b/>
                <w:bCs/>
                <w:i/>
                <w:iCs/>
                <w:color w:val="000066"/>
                <w:sz w:val="27"/>
                <w:szCs w:val="27"/>
                <w:lang w:eastAsia="it-IT"/>
              </w:rPr>
              <w:br/>
            </w:r>
          </w:p>
          <w:p w14:paraId="4B780582" w14:textId="47EF826C" w:rsidR="000A03B2" w:rsidRPr="00453D5D" w:rsidRDefault="00A76EFC" w:rsidP="001D21AF">
            <w:pPr>
              <w:tabs>
                <w:tab w:val="left" w:pos="-108"/>
              </w:tabs>
              <w:ind w:left="-108"/>
              <w:rPr>
                <w:rFonts w:cs="Arial"/>
                <w:b/>
                <w:bCs/>
                <w:i/>
                <w:iCs/>
                <w:color w:val="000066"/>
                <w:sz w:val="22"/>
                <w:szCs w:val="22"/>
                <w:lang w:eastAsia="it-IT"/>
              </w:rPr>
            </w:pPr>
            <w:r w:rsidRPr="00453D5D">
              <w:rPr>
                <w:rFonts w:cs="Arial"/>
                <w:b/>
                <w:bCs/>
                <w:i/>
                <w:iCs/>
                <w:color w:val="000066"/>
                <w:sz w:val="22"/>
                <w:szCs w:val="22"/>
                <w:lang w:eastAsia="it-IT"/>
              </w:rPr>
              <w:t>VOL.</w:t>
            </w:r>
            <w:r w:rsidR="00785BF9" w:rsidRPr="00453D5D">
              <w:rPr>
                <w:rFonts w:cs="Arial"/>
                <w:b/>
                <w:bCs/>
                <w:i/>
                <w:iCs/>
                <w:color w:val="000066"/>
                <w:sz w:val="22"/>
                <w:szCs w:val="22"/>
                <w:lang w:eastAsia="it-IT"/>
              </w:rPr>
              <w:t xml:space="preserve"> </w:t>
            </w:r>
            <w:r w:rsidR="00994C6A" w:rsidRPr="00453D5D">
              <w:rPr>
                <w:rFonts w:cs="Arial"/>
                <w:b/>
                <w:bCs/>
                <w:i/>
                <w:iCs/>
                <w:color w:val="000066"/>
                <w:sz w:val="22"/>
                <w:szCs w:val="22"/>
                <w:lang w:eastAsia="it-IT"/>
              </w:rPr>
              <w:t>xxx</w:t>
            </w:r>
            <w:r w:rsidR="007B48F9" w:rsidRPr="00453D5D">
              <w:rPr>
                <w:rFonts w:cs="Arial"/>
                <w:b/>
                <w:bCs/>
                <w:i/>
                <w:iCs/>
                <w:color w:val="000066"/>
                <w:sz w:val="22"/>
                <w:szCs w:val="22"/>
                <w:lang w:eastAsia="it-IT"/>
              </w:rPr>
              <w:t>,</w:t>
            </w:r>
            <w:r w:rsidR="00FA5F5F" w:rsidRPr="00453D5D">
              <w:rPr>
                <w:rFonts w:cs="Arial"/>
                <w:b/>
                <w:bCs/>
                <w:i/>
                <w:iCs/>
                <w:color w:val="000066"/>
                <w:sz w:val="22"/>
                <w:szCs w:val="22"/>
                <w:lang w:eastAsia="it-IT"/>
              </w:rPr>
              <w:t xml:space="preserve"> </w:t>
            </w:r>
            <w:r w:rsidR="0030152C" w:rsidRPr="00453D5D">
              <w:rPr>
                <w:rFonts w:cs="Arial"/>
                <w:b/>
                <w:bCs/>
                <w:i/>
                <w:iCs/>
                <w:color w:val="000066"/>
                <w:sz w:val="22"/>
                <w:szCs w:val="22"/>
                <w:lang w:eastAsia="it-IT"/>
              </w:rPr>
              <w:t>202</w:t>
            </w:r>
            <w:r w:rsidR="00994C6A" w:rsidRPr="00453D5D">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453D5D" w:rsidRDefault="000A03B2" w:rsidP="00CD5FE2">
            <w:pPr>
              <w:spacing w:line="140" w:lineRule="atLeast"/>
              <w:jc w:val="right"/>
              <w:rPr>
                <w:rFonts w:cs="Arial"/>
                <w:sz w:val="14"/>
                <w:szCs w:val="14"/>
              </w:rPr>
            </w:pPr>
            <w:r w:rsidRPr="00453D5D">
              <w:rPr>
                <w:rFonts w:cs="Arial"/>
                <w:sz w:val="14"/>
                <w:szCs w:val="14"/>
              </w:rPr>
              <w:t>A publication of</w:t>
            </w:r>
          </w:p>
          <w:p w14:paraId="599E5441" w14:textId="77777777" w:rsidR="000A03B2" w:rsidRPr="00453D5D" w:rsidRDefault="000A03B2" w:rsidP="00CD5FE2">
            <w:pPr>
              <w:jc w:val="right"/>
            </w:pPr>
            <w:r w:rsidRPr="00453D5D">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53D5D" w14:paraId="380FA3CD" w14:textId="77777777" w:rsidTr="00DE264A">
        <w:trPr>
          <w:trHeight w:val="567"/>
          <w:jc w:val="center"/>
        </w:trPr>
        <w:tc>
          <w:tcPr>
            <w:tcW w:w="6946" w:type="dxa"/>
            <w:vMerge/>
            <w:tcBorders>
              <w:right w:val="single" w:sz="4" w:space="0" w:color="auto"/>
            </w:tcBorders>
          </w:tcPr>
          <w:p w14:paraId="39E5E4C1" w14:textId="77777777" w:rsidR="000A03B2" w:rsidRPr="00453D5D"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53D5D" w:rsidRDefault="000A03B2" w:rsidP="00CD5FE2">
            <w:pPr>
              <w:spacing w:line="140" w:lineRule="atLeast"/>
              <w:jc w:val="right"/>
              <w:rPr>
                <w:rFonts w:cs="Arial"/>
                <w:sz w:val="14"/>
                <w:szCs w:val="14"/>
              </w:rPr>
            </w:pPr>
            <w:r w:rsidRPr="00453D5D">
              <w:rPr>
                <w:rFonts w:cs="Arial"/>
                <w:sz w:val="14"/>
                <w:szCs w:val="14"/>
              </w:rPr>
              <w:t>The Italian Association</w:t>
            </w:r>
          </w:p>
          <w:p w14:paraId="7522B1D2" w14:textId="77777777" w:rsidR="000A03B2" w:rsidRPr="00453D5D" w:rsidRDefault="000A03B2" w:rsidP="00CD5FE2">
            <w:pPr>
              <w:spacing w:line="140" w:lineRule="atLeast"/>
              <w:jc w:val="right"/>
              <w:rPr>
                <w:rFonts w:cs="Arial"/>
                <w:sz w:val="14"/>
                <w:szCs w:val="14"/>
              </w:rPr>
            </w:pPr>
            <w:r w:rsidRPr="00453D5D">
              <w:rPr>
                <w:rFonts w:cs="Arial"/>
                <w:sz w:val="14"/>
                <w:szCs w:val="14"/>
              </w:rPr>
              <w:t>of Chemical Engineering</w:t>
            </w:r>
          </w:p>
          <w:p w14:paraId="4F0CC5DE" w14:textId="47FDB2FC" w:rsidR="000A03B2" w:rsidRPr="00453D5D" w:rsidRDefault="000D0268" w:rsidP="00CD5FE2">
            <w:pPr>
              <w:spacing w:line="140" w:lineRule="atLeast"/>
              <w:jc w:val="right"/>
              <w:rPr>
                <w:rFonts w:cs="Arial"/>
                <w:sz w:val="13"/>
                <w:szCs w:val="13"/>
              </w:rPr>
            </w:pPr>
            <w:r w:rsidRPr="00453D5D">
              <w:rPr>
                <w:rFonts w:cs="Arial"/>
                <w:sz w:val="13"/>
                <w:szCs w:val="13"/>
              </w:rPr>
              <w:t>Online at www.cetjournal.it</w:t>
            </w:r>
          </w:p>
        </w:tc>
      </w:tr>
      <w:tr w:rsidR="000A03B2" w:rsidRPr="00453D5D" w14:paraId="2D1B7169" w14:textId="77777777" w:rsidTr="00DE264A">
        <w:trPr>
          <w:trHeight w:val="68"/>
          <w:jc w:val="center"/>
        </w:trPr>
        <w:tc>
          <w:tcPr>
            <w:tcW w:w="8789" w:type="dxa"/>
            <w:gridSpan w:val="2"/>
          </w:tcPr>
          <w:p w14:paraId="1D8DD3C9" w14:textId="0F721BB9" w:rsidR="00AA7D26" w:rsidRPr="0011202D" w:rsidRDefault="00AA7D26" w:rsidP="008832AA">
            <w:pPr>
              <w:ind w:left="-107"/>
              <w:outlineLvl w:val="2"/>
              <w:rPr>
                <w:rFonts w:ascii="Aptos" w:eastAsiaTheme="minorHAnsi" w:hAnsi="Aptos" w:cs="Aptos"/>
                <w:sz w:val="22"/>
                <w:szCs w:val="22"/>
                <w:lang w:val="it-IT"/>
                <w14:ligatures w14:val="standardContextual"/>
              </w:rPr>
            </w:pPr>
            <w:r w:rsidRPr="0011202D">
              <w:rPr>
                <w:rFonts w:ascii="Tahoma" w:hAnsi="Tahoma" w:cs="Tahoma"/>
                <w:iCs/>
                <w:color w:val="333333"/>
                <w:sz w:val="14"/>
                <w:szCs w:val="14"/>
                <w:lang w:val="it-IT" w:eastAsia="it-IT"/>
              </w:rPr>
              <w:t>Guest Editors:</w:t>
            </w:r>
            <w:r w:rsidR="008832AA" w:rsidRPr="0011202D">
              <w:rPr>
                <w:rFonts w:ascii="Aptos" w:eastAsiaTheme="minorHAnsi" w:hAnsi="Aptos" w:cs="Aptos"/>
                <w:sz w:val="22"/>
                <w:szCs w:val="22"/>
                <w:lang w:val="it-IT"/>
              </w:rPr>
              <w:t xml:space="preserve"> </w:t>
            </w:r>
            <w:r w:rsidR="008832AA" w:rsidRPr="0011202D">
              <w:rPr>
                <w:rFonts w:ascii="Tahoma" w:eastAsiaTheme="minorHAnsi" w:hAnsi="Tahoma" w:cs="Tahoma"/>
                <w:sz w:val="14"/>
                <w:szCs w:val="14"/>
                <w:lang w:val="it-IT"/>
                <w14:ligatures w14:val="standardContextual"/>
              </w:rPr>
              <w:t>David Bogle, Flavio Manenti, Piero Salatino</w:t>
            </w:r>
          </w:p>
          <w:p w14:paraId="1B0F1814" w14:textId="39433521" w:rsidR="000A03B2" w:rsidRPr="00453D5D" w:rsidRDefault="00AA7D26" w:rsidP="00AA7D26">
            <w:pPr>
              <w:tabs>
                <w:tab w:val="left" w:pos="-108"/>
              </w:tabs>
              <w:spacing w:line="140" w:lineRule="atLeast"/>
              <w:ind w:left="-107"/>
              <w:jc w:val="left"/>
            </w:pPr>
            <w:r w:rsidRPr="00453D5D">
              <w:rPr>
                <w:rFonts w:ascii="Tahoma" w:hAnsi="Tahoma" w:cs="Tahoma"/>
                <w:iCs/>
                <w:color w:val="333333"/>
                <w:sz w:val="14"/>
                <w:szCs w:val="14"/>
                <w:lang w:eastAsia="it-IT"/>
              </w:rPr>
              <w:t>Copyright © 202</w:t>
            </w:r>
            <w:r w:rsidR="00994C6A" w:rsidRPr="00453D5D">
              <w:rPr>
                <w:rFonts w:ascii="Tahoma" w:hAnsi="Tahoma" w:cs="Tahoma"/>
                <w:iCs/>
                <w:color w:val="333333"/>
                <w:sz w:val="14"/>
                <w:szCs w:val="14"/>
                <w:lang w:eastAsia="it-IT"/>
              </w:rPr>
              <w:t>5</w:t>
            </w:r>
            <w:r w:rsidRPr="00453D5D">
              <w:rPr>
                <w:rFonts w:ascii="Tahoma" w:hAnsi="Tahoma" w:cs="Tahoma"/>
                <w:iCs/>
                <w:color w:val="333333"/>
                <w:sz w:val="14"/>
                <w:szCs w:val="14"/>
                <w:lang w:eastAsia="it-IT"/>
              </w:rPr>
              <w:t>, AIDIC Servizi S.r.l.</w:t>
            </w:r>
            <w:r w:rsidRPr="00453D5D">
              <w:rPr>
                <w:rFonts w:ascii="Tahoma" w:hAnsi="Tahoma" w:cs="Tahoma"/>
                <w:iCs/>
                <w:color w:val="333333"/>
                <w:sz w:val="14"/>
                <w:szCs w:val="14"/>
                <w:lang w:eastAsia="it-IT"/>
              </w:rPr>
              <w:br/>
            </w:r>
            <w:r w:rsidRPr="00453D5D">
              <w:rPr>
                <w:rFonts w:ascii="Tahoma" w:hAnsi="Tahoma" w:cs="Tahoma"/>
                <w:b/>
                <w:iCs/>
                <w:color w:val="000000"/>
                <w:sz w:val="14"/>
                <w:szCs w:val="14"/>
                <w:lang w:eastAsia="it-IT"/>
              </w:rPr>
              <w:t>ISBN</w:t>
            </w:r>
            <w:r w:rsidRPr="00453D5D">
              <w:rPr>
                <w:rFonts w:ascii="Tahoma" w:hAnsi="Tahoma" w:cs="Tahoma"/>
                <w:iCs/>
                <w:color w:val="000000"/>
                <w:sz w:val="14"/>
                <w:szCs w:val="14"/>
                <w:lang w:eastAsia="it-IT"/>
              </w:rPr>
              <w:t xml:space="preserve"> </w:t>
            </w:r>
            <w:r w:rsidR="003B49CD" w:rsidRPr="00453D5D">
              <w:rPr>
                <w:rFonts w:ascii="Tahoma" w:hAnsi="Tahoma" w:cs="Tahoma"/>
                <w:sz w:val="14"/>
                <w:szCs w:val="14"/>
              </w:rPr>
              <w:t>979-12-81206-</w:t>
            </w:r>
            <w:r w:rsidR="003904D3" w:rsidRPr="00453D5D">
              <w:rPr>
                <w:rFonts w:ascii="Tahoma" w:hAnsi="Tahoma" w:cs="Tahoma"/>
                <w:sz w:val="14"/>
                <w:szCs w:val="14"/>
              </w:rPr>
              <w:t>21</w:t>
            </w:r>
            <w:r w:rsidR="003B49CD" w:rsidRPr="00453D5D">
              <w:rPr>
                <w:rFonts w:ascii="Tahoma" w:hAnsi="Tahoma" w:cs="Tahoma"/>
                <w:sz w:val="14"/>
                <w:szCs w:val="14"/>
              </w:rPr>
              <w:t>-</w:t>
            </w:r>
            <w:r w:rsidR="003904D3" w:rsidRPr="00453D5D">
              <w:rPr>
                <w:rFonts w:ascii="Tahoma" w:hAnsi="Tahoma" w:cs="Tahoma"/>
                <w:sz w:val="14"/>
                <w:szCs w:val="14"/>
              </w:rPr>
              <w:t>2</w:t>
            </w:r>
            <w:r w:rsidRPr="00453D5D">
              <w:rPr>
                <w:rFonts w:ascii="Tahoma" w:hAnsi="Tahoma" w:cs="Tahoma"/>
                <w:iCs/>
                <w:color w:val="333333"/>
                <w:sz w:val="14"/>
                <w:szCs w:val="14"/>
                <w:lang w:eastAsia="it-IT"/>
              </w:rPr>
              <w:t xml:space="preserve">; </w:t>
            </w:r>
            <w:r w:rsidRPr="00453D5D">
              <w:rPr>
                <w:rFonts w:ascii="Tahoma" w:hAnsi="Tahoma" w:cs="Tahoma"/>
                <w:b/>
                <w:iCs/>
                <w:color w:val="333333"/>
                <w:sz w:val="14"/>
                <w:szCs w:val="14"/>
                <w:lang w:eastAsia="it-IT"/>
              </w:rPr>
              <w:t>ISSN</w:t>
            </w:r>
            <w:r w:rsidRPr="00453D5D">
              <w:rPr>
                <w:rFonts w:ascii="Tahoma" w:hAnsi="Tahoma" w:cs="Tahoma"/>
                <w:iCs/>
                <w:color w:val="333333"/>
                <w:sz w:val="14"/>
                <w:szCs w:val="14"/>
                <w:lang w:eastAsia="it-IT"/>
              </w:rPr>
              <w:t xml:space="preserve"> 2283-9216</w:t>
            </w:r>
          </w:p>
        </w:tc>
      </w:tr>
    </w:tbl>
    <w:bookmarkEnd w:id="0"/>
    <w:p w14:paraId="2E667253" w14:textId="564CEE14" w:rsidR="00E978D0" w:rsidRPr="00453D5D" w:rsidRDefault="00480B67" w:rsidP="00E978D0">
      <w:pPr>
        <w:pStyle w:val="CETTitle"/>
      </w:pPr>
      <w:r w:rsidRPr="00453D5D">
        <w:t>Life Cycle Assessment of NiFeP electrodes: a case study</w:t>
      </w:r>
    </w:p>
    <w:p w14:paraId="0488FED2" w14:textId="61161462" w:rsidR="00B57E6F" w:rsidRPr="0011202D" w:rsidRDefault="00480B67" w:rsidP="00B57E6F">
      <w:pPr>
        <w:pStyle w:val="CETAuthors"/>
        <w:rPr>
          <w:lang w:val="it-IT"/>
        </w:rPr>
      </w:pPr>
      <w:r w:rsidRPr="0011202D">
        <w:rPr>
          <w:lang w:val="it-IT"/>
        </w:rPr>
        <w:t>Alberto Affranchi</w:t>
      </w:r>
      <w:r w:rsidRPr="0011202D">
        <w:rPr>
          <w:vertAlign w:val="superscript"/>
          <w:lang w:val="it-IT"/>
        </w:rPr>
        <w:t>*</w:t>
      </w:r>
      <w:r w:rsidR="00CB1721" w:rsidRPr="0011202D">
        <w:rPr>
          <w:vertAlign w:val="superscript"/>
          <w:lang w:val="it-IT"/>
        </w:rPr>
        <w:t>a</w:t>
      </w:r>
      <w:r w:rsidRPr="0011202D">
        <w:rPr>
          <w:lang w:val="it-IT"/>
        </w:rPr>
        <w:t>, Sonia Longo</w:t>
      </w:r>
      <w:r w:rsidRPr="0011202D">
        <w:rPr>
          <w:vertAlign w:val="superscript"/>
          <w:lang w:val="it-IT"/>
        </w:rPr>
        <w:t>b</w:t>
      </w:r>
      <w:r w:rsidRPr="0011202D">
        <w:rPr>
          <w:lang w:val="it-IT"/>
        </w:rPr>
        <w:t>, Maurizio Cellura</w:t>
      </w:r>
      <w:r w:rsidRPr="0011202D">
        <w:rPr>
          <w:vertAlign w:val="superscript"/>
          <w:lang w:val="it-IT"/>
        </w:rPr>
        <w:t>a,b</w:t>
      </w:r>
      <w:r w:rsidRPr="0011202D">
        <w:rPr>
          <w:lang w:val="it-IT"/>
        </w:rPr>
        <w:t>, Rosalinda Inguanta</w:t>
      </w:r>
      <w:r w:rsidRPr="0011202D">
        <w:rPr>
          <w:vertAlign w:val="superscript"/>
          <w:lang w:val="it-IT"/>
        </w:rPr>
        <w:t>b</w:t>
      </w:r>
      <w:r w:rsidRPr="0011202D">
        <w:rPr>
          <w:lang w:val="it-IT"/>
        </w:rPr>
        <w:t>, Roberto Luigi Oliveri</w:t>
      </w:r>
      <w:r w:rsidRPr="0011202D">
        <w:rPr>
          <w:vertAlign w:val="superscript"/>
          <w:lang w:val="it-IT"/>
        </w:rPr>
        <w:t>b</w:t>
      </w:r>
    </w:p>
    <w:p w14:paraId="4434F1F5" w14:textId="4F38ECB1" w:rsidR="00480B67" w:rsidRPr="0011202D" w:rsidRDefault="00B57E6F" w:rsidP="00B57E6F">
      <w:pPr>
        <w:pStyle w:val="CETAddress"/>
        <w:rPr>
          <w:lang w:val="it-IT"/>
        </w:rPr>
      </w:pPr>
      <w:r w:rsidRPr="0011202D">
        <w:rPr>
          <w:vertAlign w:val="superscript"/>
          <w:lang w:val="it-IT"/>
        </w:rPr>
        <w:t>a</w:t>
      </w:r>
      <w:r w:rsidR="00480B67" w:rsidRPr="0011202D">
        <w:rPr>
          <w:lang w:val="it-IT"/>
        </w:rPr>
        <w:t>Center of Sustainability and Ecological Transition, University of Palermo, Piazza Marina 61, 90133 Palermo, Italy</w:t>
      </w:r>
    </w:p>
    <w:p w14:paraId="3D72B0B0" w14:textId="2A530D7B" w:rsidR="00B57E6F" w:rsidRPr="0011202D" w:rsidRDefault="00B57E6F" w:rsidP="00B57E6F">
      <w:pPr>
        <w:pStyle w:val="CETAddress"/>
        <w:rPr>
          <w:lang w:val="it-IT"/>
        </w:rPr>
      </w:pPr>
      <w:r w:rsidRPr="0011202D">
        <w:rPr>
          <w:vertAlign w:val="superscript"/>
          <w:lang w:val="it-IT"/>
        </w:rPr>
        <w:t>b</w:t>
      </w:r>
      <w:r w:rsidR="00480B67" w:rsidRPr="0011202D">
        <w:rPr>
          <w:lang w:val="it-IT"/>
        </w:rPr>
        <w:t>Department of Engineering, Università degli Studi di Palermo, Viale delle Scienze, 90128 Palermo, Italy</w:t>
      </w:r>
    </w:p>
    <w:p w14:paraId="73F1267A" w14:textId="27255485" w:rsidR="00B57E6F" w:rsidRPr="00453D5D" w:rsidRDefault="00480B67" w:rsidP="00B57E6F">
      <w:pPr>
        <w:pStyle w:val="CETemail"/>
      </w:pPr>
      <w:r w:rsidRPr="00453D5D">
        <w:t>alberto.affranchi@unipa.it</w:t>
      </w:r>
    </w:p>
    <w:p w14:paraId="38F76186" w14:textId="2D2F1167" w:rsidR="006A6DE5" w:rsidRPr="00453D5D" w:rsidRDefault="00115C0C" w:rsidP="00855881">
      <w:pPr>
        <w:pStyle w:val="CETBodytext"/>
      </w:pPr>
      <w:bookmarkStart w:id="1" w:name="_Hlk198309357"/>
      <w:r w:rsidRPr="00115C0C">
        <w:t>Global hydrogen production increased by 2.5% in 2023, reaching 97 Mt, but the sector is still largely dependent on fossil fuels</w:t>
      </w:r>
      <w:r w:rsidR="00E84F08" w:rsidRPr="00453D5D">
        <w:t>.</w:t>
      </w:r>
      <w:r>
        <w:t xml:space="preserve"> </w:t>
      </w:r>
      <w:r w:rsidRPr="00115C0C">
        <w:rPr>
          <w:lang w:val="en-GB"/>
        </w:rPr>
        <w:t>Projections indicate a significant rise in green hydrogen production to 49 Mt by 2030</w:t>
      </w:r>
      <w:r w:rsidR="00BE404A">
        <w:rPr>
          <w:lang w:val="en-GB"/>
        </w:rPr>
        <w:t>. This increase is</w:t>
      </w:r>
      <w:r w:rsidRPr="00115C0C">
        <w:rPr>
          <w:lang w:val="en-GB"/>
        </w:rPr>
        <w:t xml:space="preserve"> considered fundamental for achieving the Paris Agreement’s goal of limiting global temperature rise</w:t>
      </w:r>
      <w:r w:rsidR="00BE404A">
        <w:rPr>
          <w:lang w:val="en-GB"/>
        </w:rPr>
        <w:t>.</w:t>
      </w:r>
      <w:r w:rsidR="00E84F08" w:rsidRPr="00453D5D">
        <w:t xml:space="preserve"> Alkaline electrolysers, while less efficient than Proton Exchange Membrane electrolysers, are currently the most commercially mature technology for hydrogen production. To improve the efficiency of alkaline cells, recent research has focused on the development of electrodes using nanostructured materials. Specifically, this study</w:t>
      </w:r>
      <w:r w:rsidR="00C575DA">
        <w:t xml:space="preserve"> </w:t>
      </w:r>
      <w:r w:rsidR="00525B92">
        <w:t>aims</w:t>
      </w:r>
      <w:r w:rsidR="00C575DA">
        <w:t xml:space="preserve"> to</w:t>
      </w:r>
      <w:r w:rsidR="00E84F08" w:rsidRPr="00453D5D">
        <w:t xml:space="preserve"> evaluate the life cycle energy and environmental impact of experimental NiFeP nanowire electrodes for alkaline electrolysers</w:t>
      </w:r>
      <w:r w:rsidR="00525B92">
        <w:t>.</w:t>
      </w:r>
      <w:r w:rsidR="00BE404A">
        <w:t xml:space="preserve"> </w:t>
      </w:r>
      <w:r w:rsidR="00525B92">
        <w:t xml:space="preserve">Additionally, the analysis </w:t>
      </w:r>
      <w:r w:rsidR="00C47837">
        <w:t>assesses</w:t>
      </w:r>
      <w:r w:rsidR="00C575DA">
        <w:t xml:space="preserve"> the</w:t>
      </w:r>
      <w:r w:rsidR="00193789">
        <w:t xml:space="preserve"> environmental impact resulting from</w:t>
      </w:r>
      <w:r w:rsidR="00C575DA" w:rsidRPr="00453D5D">
        <w:t xml:space="preserve"> </w:t>
      </w:r>
      <w:r w:rsidR="00E84F08" w:rsidRPr="00453D5D">
        <w:t>varying sodium hypophosphite concentrations</w:t>
      </w:r>
      <w:r w:rsidR="00525B92">
        <w:t xml:space="preserve"> during electrode fabrication</w:t>
      </w:r>
      <w:r w:rsidR="00C47837" w:rsidRPr="00453D5D">
        <w:t xml:space="preserve">. </w:t>
      </w:r>
      <w:r w:rsidR="00525B92">
        <w:t xml:space="preserve">The results </w:t>
      </w:r>
      <w:r w:rsidR="008B3E37" w:rsidRPr="00453D5D">
        <w:t>show</w:t>
      </w:r>
      <w:r w:rsidR="0022469F">
        <w:t xml:space="preserve"> </w:t>
      </w:r>
      <w:r w:rsidR="00E84F08" w:rsidRPr="00453D5D">
        <w:t>minimal differences (&lt;</w:t>
      </w:r>
      <w:r w:rsidR="00CE6563">
        <w:t xml:space="preserve"> 0.4%</w:t>
      </w:r>
      <w:r w:rsidR="00E84F08" w:rsidRPr="00453D5D">
        <w:t xml:space="preserve">) </w:t>
      </w:r>
      <w:r w:rsidR="00CE6563">
        <w:t>for</w:t>
      </w:r>
      <w:r w:rsidR="00E84F08" w:rsidRPr="00453D5D">
        <w:t xml:space="preserve"> all impact categories. This study </w:t>
      </w:r>
      <w:r w:rsidR="00BE404A">
        <w:t xml:space="preserve">also </w:t>
      </w:r>
      <w:r w:rsidR="0022469F">
        <w:t>identifies</w:t>
      </w:r>
      <w:r w:rsidR="0022469F" w:rsidRPr="00453D5D">
        <w:t xml:space="preserve"> </w:t>
      </w:r>
      <w:r w:rsidR="00E84F08" w:rsidRPr="00453D5D">
        <w:t xml:space="preserve">critical </w:t>
      </w:r>
      <w:r w:rsidR="008B3E37" w:rsidRPr="00453D5D">
        <w:t>hot spots</w:t>
      </w:r>
      <w:r w:rsidR="00E84F08" w:rsidRPr="00453D5D">
        <w:t xml:space="preserve"> </w:t>
      </w:r>
      <w:r w:rsidR="0022469F">
        <w:t xml:space="preserve">within </w:t>
      </w:r>
      <w:r w:rsidR="00BE404A">
        <w:t xml:space="preserve">the system </w:t>
      </w:r>
      <w:r w:rsidR="00E84F08" w:rsidRPr="00453D5D">
        <w:t>providing valuable insights for reduc</w:t>
      </w:r>
      <w:r w:rsidR="00BE404A">
        <w:t>ing</w:t>
      </w:r>
      <w:r w:rsidR="00E84F08" w:rsidRPr="00453D5D">
        <w:t xml:space="preserve"> the environmental footprint of hydrogen production technologies</w:t>
      </w:r>
      <w:r w:rsidR="00525B92">
        <w:t xml:space="preserve"> at laboratory scale</w:t>
      </w:r>
      <w:r w:rsidR="0076712E" w:rsidRPr="00453D5D">
        <w:t xml:space="preserve">. </w:t>
      </w:r>
      <w:r w:rsidR="0022469F">
        <w:t>O</w:t>
      </w:r>
      <w:r w:rsidR="0076712E" w:rsidRPr="00453D5D">
        <w:t>ptimizing electrode production</w:t>
      </w:r>
      <w:r w:rsidR="0022469F">
        <w:t xml:space="preserve"> from the </w:t>
      </w:r>
      <w:r w:rsidR="00C47837">
        <w:t>preliminary stages</w:t>
      </w:r>
      <w:r w:rsidR="0022469F">
        <w:t xml:space="preserve"> of </w:t>
      </w:r>
      <w:r w:rsidR="00C47837">
        <w:t xml:space="preserve">design, </w:t>
      </w:r>
      <w:r w:rsidR="00C47837" w:rsidRPr="00453D5D">
        <w:t>is</w:t>
      </w:r>
      <w:r w:rsidR="0076712E" w:rsidRPr="00453D5D">
        <w:t xml:space="preserve"> crucial for enhancing the sustainability of electrolysers, supporting the transition to</w:t>
      </w:r>
      <w:r w:rsidR="00BE404A">
        <w:t>ward</w:t>
      </w:r>
      <w:r w:rsidR="0076712E" w:rsidRPr="00453D5D">
        <w:t xml:space="preserve"> renewable energy systems and net-zero emissions by 2050.</w:t>
      </w:r>
    </w:p>
    <w:bookmarkEnd w:id="1"/>
    <w:p w14:paraId="476B2F2E" w14:textId="52B36035" w:rsidR="00600535" w:rsidRPr="00453D5D" w:rsidRDefault="00600535" w:rsidP="00600535">
      <w:pPr>
        <w:pStyle w:val="CETHeading1"/>
        <w:rPr>
          <w:lang w:val="en-GB"/>
        </w:rPr>
      </w:pPr>
      <w:r w:rsidRPr="00453D5D">
        <w:rPr>
          <w:lang w:val="en-GB"/>
        </w:rPr>
        <w:t>Introduction</w:t>
      </w:r>
    </w:p>
    <w:p w14:paraId="36678CF7" w14:textId="10D18B24" w:rsidR="0072379B" w:rsidRPr="005438DB" w:rsidRDefault="00CE03F6" w:rsidP="0072379B">
      <w:pPr>
        <w:pStyle w:val="CETBodytext"/>
      </w:pPr>
      <w:r>
        <w:t xml:space="preserve">Despite a 2.5% increase in global hydrogen </w:t>
      </w:r>
      <w:r w:rsidR="0034202A">
        <w:t>production in</w:t>
      </w:r>
      <w:r>
        <w:t xml:space="preserve"> 2023, reaching 97 Mt, the industry </w:t>
      </w:r>
      <w:r w:rsidR="001A7AC0" w:rsidRPr="001A7AC0">
        <w:t>continues to be heavily reliant</w:t>
      </w:r>
      <w:r w:rsidR="001A7AC0">
        <w:t xml:space="preserve"> </w:t>
      </w:r>
      <w:r w:rsidRPr="005438DB">
        <w:t xml:space="preserve">on fossil fuels </w:t>
      </w:r>
      <w:r w:rsidRPr="005438DB">
        <w:fldChar w:fldCharType="begin"/>
      </w:r>
      <w:r w:rsidR="005438DB">
        <w:instrText xml:space="preserve"> ADDIN ZOTERO_ITEM CSL_CITATION {"citationID":"xmqeV57m","properties":{"formattedCitation":"(IEA, 2024)","plainCitation":"(IEA, 2024)","noteIndex":0},"citationItems":[{"id":3858,"uris":["http://zotero.org/users/13829784/items/KU79DW65"],"itemData":{"id":3858,"type":"report","title":"World Energy Outlook 2024","URL":"https://www.iea.org/reports/world-energy-outlook-2024","author":[{"family":"IEA","given":"(International Energy Agency)"}],"accessed":{"date-parts":[["2025",2,10]]},"issued":{"date-parts":[["2024"]]}}}],"schema":"https://github.com/citation-style-language/schema/raw/master/csl-citation.json"} </w:instrText>
      </w:r>
      <w:r w:rsidRPr="005438DB">
        <w:fldChar w:fldCharType="separate"/>
      </w:r>
      <w:r w:rsidRPr="005438DB">
        <w:rPr>
          <w:rFonts w:cs="Arial"/>
        </w:rPr>
        <w:t>(IEA, 2024)</w:t>
      </w:r>
      <w:r w:rsidRPr="005438DB">
        <w:fldChar w:fldCharType="end"/>
      </w:r>
      <w:r w:rsidRPr="005438DB">
        <w:t xml:space="preserve">. </w:t>
      </w:r>
      <w:r w:rsidR="004A73E6" w:rsidRPr="005438DB">
        <w:t>Green hydrogen production remains below 1 Mt, with electrolysis contributing less than 100 kt, primarily</w:t>
      </w:r>
      <w:r w:rsidR="0034202A">
        <w:t xml:space="preserve"> concentrated</w:t>
      </w:r>
      <w:r w:rsidR="004A73E6" w:rsidRPr="005438DB">
        <w:t xml:space="preserve"> in China. However,</w:t>
      </w:r>
      <w:r w:rsidR="001A7AC0">
        <w:t xml:space="preserve"> future</w:t>
      </w:r>
      <w:r w:rsidR="004A73E6" w:rsidRPr="005438DB">
        <w:t xml:space="preserve"> projections</w:t>
      </w:r>
      <w:r w:rsidR="0034202A" w:rsidRPr="0034202A">
        <w:t xml:space="preserve"> </w:t>
      </w:r>
      <w:r w:rsidR="001A7AC0">
        <w:t>indicate</w:t>
      </w:r>
      <w:r w:rsidR="0034202A" w:rsidRPr="0034202A">
        <w:t xml:space="preserve"> a s</w:t>
      </w:r>
      <w:r w:rsidR="001A7AC0">
        <w:t>ignificative</w:t>
      </w:r>
      <w:r w:rsidR="0034202A" w:rsidRPr="0034202A">
        <w:t xml:space="preserve"> expansion</w:t>
      </w:r>
      <w:r w:rsidR="004A73E6" w:rsidRPr="005438DB">
        <w:t xml:space="preserve">, </w:t>
      </w:r>
      <w:r w:rsidR="0034202A" w:rsidRPr="0034202A">
        <w:t>with announced projects potentially scaling green hydrogen production to 49 Mt by 2030</w:t>
      </w:r>
      <w:r w:rsidR="004A73E6" w:rsidRPr="005438DB">
        <w:t xml:space="preserve">, covering up to 75% of the </w:t>
      </w:r>
      <w:r w:rsidR="005438DB" w:rsidRPr="005438DB">
        <w:t>N</w:t>
      </w:r>
      <w:r w:rsidR="004A73E6" w:rsidRPr="005438DB">
        <w:t xml:space="preserve">et </w:t>
      </w:r>
      <w:r w:rsidR="005438DB" w:rsidRPr="005438DB">
        <w:t>Z</w:t>
      </w:r>
      <w:r w:rsidR="004A73E6" w:rsidRPr="005438DB">
        <w:t xml:space="preserve">ero </w:t>
      </w:r>
      <w:r w:rsidR="005438DB" w:rsidRPr="005438DB">
        <w:t>E</w:t>
      </w:r>
      <w:r w:rsidR="004A73E6" w:rsidRPr="005438DB">
        <w:t>missions</w:t>
      </w:r>
      <w:r w:rsidR="005438DB" w:rsidRPr="005438DB">
        <w:t xml:space="preserve"> (NZE)</w:t>
      </w:r>
      <w:r w:rsidR="004A73E6" w:rsidRPr="005438DB">
        <w:t xml:space="preserve"> scenario target.</w:t>
      </w:r>
      <w:r w:rsidR="005438DB" w:rsidRPr="005438DB">
        <w:t xml:space="preserve"> </w:t>
      </w:r>
      <w:r w:rsidR="005438DB" w:rsidRPr="005438DB">
        <w:rPr>
          <w:lang w:val="en-GB"/>
        </w:rPr>
        <w:t xml:space="preserve">By 2050, low-emission hydrogen is expected to </w:t>
      </w:r>
      <w:r w:rsidR="0034202A">
        <w:rPr>
          <w:lang w:val="en-GB"/>
        </w:rPr>
        <w:t>account for over</w:t>
      </w:r>
      <w:r w:rsidR="005438DB" w:rsidRPr="005438DB">
        <w:rPr>
          <w:lang w:val="en-GB"/>
        </w:rPr>
        <w:t xml:space="preserve"> 95% </w:t>
      </w:r>
      <w:r w:rsidR="0034202A" w:rsidRPr="0034202A">
        <w:rPr>
          <w:lang w:val="en-GB"/>
        </w:rPr>
        <w:t>of total production under the NZE scenario</w:t>
      </w:r>
      <w:r w:rsidR="005438DB" w:rsidRPr="005438DB">
        <w:rPr>
          <w:lang w:val="en-GB"/>
        </w:rPr>
        <w:t xml:space="preserve">, driven by advances in water electrolysis and carbon capture technologies. </w:t>
      </w:r>
      <w:r w:rsidR="001A7AC0">
        <w:rPr>
          <w:lang w:val="en-GB"/>
        </w:rPr>
        <w:t>Consequently</w:t>
      </w:r>
      <w:r w:rsidR="005438DB" w:rsidRPr="005438DB">
        <w:rPr>
          <w:lang w:val="en-GB"/>
        </w:rPr>
        <w:t>, h</w:t>
      </w:r>
      <w:r w:rsidRPr="005438DB">
        <w:rPr>
          <w:lang w:val="en-GB"/>
        </w:rPr>
        <w:t xml:space="preserve">ydrogen is </w:t>
      </w:r>
      <w:r w:rsidR="001A7AC0" w:rsidRPr="001A7AC0">
        <w:rPr>
          <w:lang w:val="en-GB"/>
        </w:rPr>
        <w:t>increasingly integrated into national strategies as a critical component in achieving</w:t>
      </w:r>
      <w:r w:rsidR="001A7AC0">
        <w:rPr>
          <w:lang w:val="en-GB"/>
        </w:rPr>
        <w:t xml:space="preserve"> </w:t>
      </w:r>
      <w:r w:rsidRPr="005438DB">
        <w:rPr>
          <w:lang w:val="en-GB"/>
        </w:rPr>
        <w:t xml:space="preserve">the Paris Agreement’s goal of </w:t>
      </w:r>
      <w:r w:rsidR="00F95828" w:rsidRPr="005438DB">
        <w:rPr>
          <w:lang w:val="en-GB"/>
        </w:rPr>
        <w:t>limiting</w:t>
      </w:r>
      <w:r w:rsidRPr="005438DB">
        <w:rPr>
          <w:lang w:val="en-GB"/>
        </w:rPr>
        <w:t xml:space="preserve"> global temperature rise to 2°C or lower</w:t>
      </w:r>
      <w:r w:rsidR="00F95828" w:rsidRPr="005438DB">
        <w:rPr>
          <w:lang w:val="en-GB"/>
        </w:rPr>
        <w:t xml:space="preserve"> </w:t>
      </w:r>
      <w:r w:rsidR="00F95828" w:rsidRPr="005438DB">
        <w:rPr>
          <w:lang w:val="en-GB"/>
        </w:rPr>
        <w:fldChar w:fldCharType="begin"/>
      </w:r>
      <w:r w:rsidR="00F95828" w:rsidRPr="005438DB">
        <w:rPr>
          <w:lang w:val="en-GB"/>
        </w:rPr>
        <w:instrText xml:space="preserve"> ADDIN ZOTERO_ITEM CSL_CITATION {"citationID":"sQXLZIoV","properties":{"formattedCitation":"(Kouchaki-Penchah et al., 2024)","plainCitation":"(Kouchaki-Penchah et al., 2024)","noteIndex":0},"citationItems":[{"id":3859,"uris":["http://zotero.org/users/13829784/items/ICHR5BKY"],"itemData":{"id":3859,"type":"article-journal","container-title":"International Journal of Hydrogen Energy","DOI":"10.1016/j.ijhydene.2023.07.196","ISSN":"03603199","journalAbbreviation":"International Journal of Hydrogen Energy","language":"en","page":"173-187","source":"DOI.org (Crossref)","title":"The role of hydrogen in a net-zero emission economy under alternative policy scenarios","volume":"49","author":[{"family":"Kouchaki-Penchah","given":"Hamed"},{"family":"Bahn","given":"Olivier"},{"family":"Bashiri","given":"Hamed"},{"family":"Bedard","given":"Serge"},{"family":"Bernier","given":"Etienne"},{"family":"Elliot","given":"Thomas"},{"family":"Hammache","given":"Abdelaziz"},{"family":"Vaillancourt","given":"Kathleen"},{"family":"Levasseur","given":"Annie"}],"issued":{"date-parts":[["2024",1]]}}}],"schema":"https://github.com/citation-style-language/schema/raw/master/csl-citation.json"} </w:instrText>
      </w:r>
      <w:r w:rsidR="00F95828" w:rsidRPr="005438DB">
        <w:rPr>
          <w:lang w:val="en-GB"/>
        </w:rPr>
        <w:fldChar w:fldCharType="separate"/>
      </w:r>
      <w:r w:rsidR="00F95828" w:rsidRPr="005438DB">
        <w:rPr>
          <w:rFonts w:cs="Arial"/>
        </w:rPr>
        <w:t>(Kouchaki-Penchah et al., 2024)</w:t>
      </w:r>
      <w:r w:rsidR="00F95828" w:rsidRPr="005438DB">
        <w:rPr>
          <w:lang w:val="en-GB"/>
        </w:rPr>
        <w:fldChar w:fldCharType="end"/>
      </w:r>
      <w:r w:rsidRPr="005438DB">
        <w:rPr>
          <w:lang w:val="en-GB"/>
        </w:rPr>
        <w:t>.</w:t>
      </w:r>
      <w:r w:rsidRPr="005438DB">
        <w:t xml:space="preserve"> </w:t>
      </w:r>
      <w:r w:rsidR="005438DB">
        <w:t>Specifically</w:t>
      </w:r>
      <w:r w:rsidR="00F95828" w:rsidRPr="005438DB">
        <w:t xml:space="preserve">, </w:t>
      </w:r>
      <w:r w:rsidR="005438DB">
        <w:t>h</w:t>
      </w:r>
      <w:r w:rsidR="006451B1" w:rsidRPr="005438DB">
        <w:t xml:space="preserve">ydrogen </w:t>
      </w:r>
      <w:r w:rsidR="001A7AC0">
        <w:t>produced</w:t>
      </w:r>
      <w:r w:rsidR="006451B1" w:rsidRPr="005438DB">
        <w:t xml:space="preserve"> from renewable electricity plays a crucial role</w:t>
      </w:r>
      <w:r w:rsidR="001A7AC0">
        <w:t xml:space="preserve"> as an energy carrier </w:t>
      </w:r>
      <w:r w:rsidR="001A7AC0" w:rsidRPr="001A7AC0">
        <w:rPr>
          <w:lang w:val="en-GB"/>
        </w:rPr>
        <w:t>contributing to the stabilization</w:t>
      </w:r>
      <w:r w:rsidR="006451B1" w:rsidRPr="005438DB">
        <w:t xml:space="preserve"> </w:t>
      </w:r>
      <w:r w:rsidR="001A7AC0">
        <w:t>of</w:t>
      </w:r>
      <w:r w:rsidR="006451B1" w:rsidRPr="005438DB">
        <w:t xml:space="preserve"> the energy grid by </w:t>
      </w:r>
      <w:r w:rsidR="001A7AC0" w:rsidRPr="001A7AC0">
        <w:t>facilitating the integration of intermittent energy sources</w:t>
      </w:r>
      <w:r w:rsidR="001A7AC0">
        <w:t xml:space="preserve"> </w:t>
      </w:r>
      <w:r w:rsidR="006451B1" w:rsidRPr="005438DB">
        <w:fldChar w:fldCharType="begin"/>
      </w:r>
      <w:r w:rsidR="006451B1" w:rsidRPr="005438DB">
        <w:instrText xml:space="preserve"> ADDIN ZOTERO_ITEM CSL_CITATION {"citationID":"VGoL8ZsT","properties":{"formattedCitation":"(Franco and Giovannini, 2023)","plainCitation":"(Franco and Giovannini, 2023)","noteIndex":0},"citationItems":[{"id":3860,"uris":["http://zotero.org/users/13829784/items/S7QDGR3V"],"itemData":{"id":3860,"type":"article-journal","abstract":"This paper delves into the pivotal role of water electrolysis (WE) in green hydrogen production, a process utilizing renewable energy sources through electrolysis. The term “green hydrogen” signifies its distinction from conventional “grey” or “brown” hydrogen produced from fossil fuels, emphasizing the importance of decarbonization in the hydrogen value chain. WE becomes a linchpin, balancing surplus green energy, stabilizing the grid, and addressing challenges in hard-to-abate sectors like long-haul transport and heavy industries. This paper navigates through electrolysis variants, technological challenges, and the crucial association between electrolytic hydrogen production and renewable energy sources (RESs). Energy consumption aspects are scrutinized, highlighting the need for optimization strategies to enhance efficiency. This paper systematically addresses electrolysis fundamentals, technologies, scaling issues, and the nexus with energy sources. It emphasizes the transformative potential of electrolytic hydrogen in the broader energy landscape, underscoring its role in shaping a sustainable future. Through a systematic analysis, this study bridges the gap between detailed technological insights and the larger energy system context, offering a holistic perspective. This paper concludes by summarizing key findings, showcasing the prospects, challenges, and opportunities associated with hydrogen production via water electrolysis for the energy transition.","container-title":"Sustainability","DOI":"10.3390/su152416917","ISSN":"2071-1050","issue":"24","journalAbbreviation":"Sustainability","language":"en","license":"https://creativecommons.org/licenses/by/4.0/","page":"16917","source":"DOI.org (Crossref)","title":"Recent and Future Advances in Water Electrolysis for Green Hydrogen Generation: Critical Analysis and Perspectives","title-short":"Recent and Future Advances in Water Electrolysis for Green Hydrogen Generation","volume":"15","author":[{"family":"Franco","given":"Alessandro"},{"family":"Giovannini","given":"Caterina"}],"issued":{"date-parts":[["2023",12,17]]}}}],"schema":"https://github.com/citation-style-language/schema/raw/master/csl-citation.json"} </w:instrText>
      </w:r>
      <w:r w:rsidR="006451B1" w:rsidRPr="005438DB">
        <w:fldChar w:fldCharType="separate"/>
      </w:r>
      <w:r w:rsidR="006451B1" w:rsidRPr="005438DB">
        <w:rPr>
          <w:rFonts w:cs="Arial"/>
        </w:rPr>
        <w:t>(Franco and Giovannini, 2023)</w:t>
      </w:r>
      <w:r w:rsidR="006451B1" w:rsidRPr="005438DB">
        <w:fldChar w:fldCharType="end"/>
      </w:r>
      <w:r w:rsidR="00F95828" w:rsidRPr="005438DB">
        <w:t xml:space="preserve">. </w:t>
      </w:r>
      <w:r w:rsidR="007B2067" w:rsidRPr="005438DB">
        <w:t>Among electrolyser</w:t>
      </w:r>
      <w:r w:rsidR="00C575DA">
        <w:t>s</w:t>
      </w:r>
      <w:r w:rsidR="007B2067" w:rsidRPr="005438DB">
        <w:t xml:space="preserve"> technologies, </w:t>
      </w:r>
      <w:r w:rsidR="007C2BFB" w:rsidRPr="005438DB">
        <w:t>alkaline electrolysers</w:t>
      </w:r>
      <w:r w:rsidR="007B2067" w:rsidRPr="005438DB">
        <w:t xml:space="preserve"> are the most widespread and commercially mature </w:t>
      </w:r>
      <w:r w:rsidR="005F5588" w:rsidRPr="005438DB">
        <w:fldChar w:fldCharType="begin"/>
      </w:r>
      <w:r w:rsidR="005F5588" w:rsidRPr="005438DB">
        <w:instrText xml:space="preserve"> ADDIN ZOTERO_ITEM CSL_CITATION {"citationID":"DMXWfGMY","properties":{"formattedCitation":"(Li et al., 2020)","plainCitation":"(Li et al., 2020)","noteIndex":0},"citationItems":[{"id":83,"uris":["http://zotero.org/users/13829784/items/YWF338FF"],"itemData":{"id":83,"type":"article-journal","abstract":"Abstract\n            \n              Hydrogen (H\n              2\n              ) production is a latent feasibility of renewable clean energy. The industrial H\n              2\n              production is obtained from reforming of natural gas, which consumes a large amount of nonrenewable energy and simultaneously produces greenhouse gas carbon dioxide. Electrochemical water splitting is a promising approach for the H\n              2\n              production, which is sustainable and pollution-free. Therefore, developing efficient and economic technologies for electrochemical water splitting has been an important goal for researchers around the world. The utilization of green energy systems to reduce overall energy consumption is more important for H\n              2\n              production. Harvesting and converting energy from the environment by different green energy systems for water splitting can efficiently decrease the external power consumption. A variety of green energy systems for efficient producing H\n              2\n              , such as two-electrode electrolysis of water, water splitting driven by photoelectrode devices, solar cells, thermoelectric devices, triboelectric nanogenerator, pyroelectric device or electrochemical water–gas shift device, have been developed recently. In this review, some notable progress made in the different green energy cells for water splitting is discussed in detail. We hoped this review can guide people to pay more attention to the development of green energy system to generate pollution-free H\n              2\n              energy, which will realize the whole process of H\n              2\n              production with low cost, pollution-free and energy sustainability conversion.","container-title":"Nano-Micro Letters","DOI":"10.1007/s40820-020-00469-3","ISSN":"2311-6706, 2150-5551","issue":"1","journalAbbreviation":"Nano-Micro Lett.","language":"en","page":"131","source":"DOI.org (Crossref)","title":"Water Splitting: From Electrode to Green Energy System","title-short":"Water Splitting","volume":"12","author":[{"family":"Li","given":"Xiao"},{"family":"Zhao","given":"Lili"},{"family":"Yu","given":"Jiayuan"},{"family":"Liu","given":"Xiaoyan"},{"family":"Zhang","given":"Xiaoli"},{"family":"Liu","given":"Hong"},{"family":"Zhou","given":"Weijia"}],"issued":{"date-parts":[["2020",12]]}}}],"schema":"https://github.com/citation-style-language/schema/raw/master/csl-citation.json"} </w:instrText>
      </w:r>
      <w:r w:rsidR="005F5588" w:rsidRPr="005438DB">
        <w:fldChar w:fldCharType="separate"/>
      </w:r>
      <w:r w:rsidR="005F5588" w:rsidRPr="005438DB">
        <w:rPr>
          <w:rFonts w:cs="Arial"/>
        </w:rPr>
        <w:t>(Li et al., 2020)</w:t>
      </w:r>
      <w:r w:rsidR="005F5588" w:rsidRPr="005438DB">
        <w:fldChar w:fldCharType="end"/>
      </w:r>
      <w:r w:rsidR="0072379B" w:rsidRPr="005438DB">
        <w:t>. These electrolysers consist of two nickel-based electrodes, a separator, and an electrolyte, which is a potassium hydroxide solution with a concentration between 20% and 30%</w:t>
      </w:r>
      <w:r w:rsidR="005F5588" w:rsidRPr="005438DB">
        <w:t xml:space="preserve"> </w:t>
      </w:r>
      <w:r w:rsidR="005F5588" w:rsidRPr="005438DB">
        <w:fldChar w:fldCharType="begin"/>
      </w:r>
      <w:r w:rsidR="005F5588" w:rsidRPr="005438DB">
        <w:instrText xml:space="preserve"> ADDIN ZOTERO_ITEM CSL_CITATION {"citationID":"Yj82rPz5","properties":{"formattedCitation":"(Arsad et al., 2023)","plainCitation":"(Arsad et al., 2023)","noteIndex":0},"citationItems":[{"id":3609,"uris":["http://zotero.org/users/13829784/items/5BIP47QR"],"itemData":{"id":3609,"type":"article-journal","abstract":"Sustainable energy demand drives innovation in energy production. Electrolysis of water can produce carbon-free hydrogen from renewable sources. This paper presents a bibliometric analysis of recent and highly referenced research on hydrogen electrolysers utilising the Scopus database to shed insight into future trends and applications. It has been discovered that the most frequently published type of study for top-ranked papers is the formulation of problems and simulations (38.3%), followed by a study of the state-of-theart technology assessment (32.5%), laboratory research, design, and performance evaluation (24.2%), and reviews (5%). In general, 33.33% of articles focused on controlling hydrogen electrolyser efﬁciency. This study used different case studies from the global literature to conduct a complete evaluation of the electrolyser statistical analysis of the present state of the art, models or modes of operation, key challenges, outstanding issues, and future research. This evaluation will aid researchers in building a commercially successful hydrogen electrolyser.","container-title":"International Journal of Hydrogen Energy","DOI":"10.1016/j.ijhydene.2022.11.023","ISSN":"03603199","issue":"13","journalAbbreviation":"International Journal of Hydrogen Energy","language":"en","page":"4960-4983","source":"DOI.org (Crossref)","title":"Hydrogen electrolyser for sustainable energy production: A bibliometric analysis and future directions","title-short":"Hydrogen electrolyser for sustainable energy production","volume":"48","author":[{"family":"Arsad","given":"A.Z."},{"family":"Hannan","given":"M.A."},{"family":"Al-Shetwi","given":"Ali Q."},{"family":"Hossain","given":"M.J."},{"family":"Begum","given":"R.A."},{"family":"Ker","given":"Pin Jern"},{"family":"Salehi","given":"F."},{"family":"Muttaqi","given":"K.M."}],"issued":{"date-parts":[["2023",2]]}}}],"schema":"https://github.com/citation-style-language/schema/raw/master/csl-citation.json"} </w:instrText>
      </w:r>
      <w:r w:rsidR="005F5588" w:rsidRPr="005438DB">
        <w:fldChar w:fldCharType="separate"/>
      </w:r>
      <w:r w:rsidR="005F5588" w:rsidRPr="005438DB">
        <w:rPr>
          <w:rFonts w:cs="Arial"/>
        </w:rPr>
        <w:t>(Arsad et al., 2023)</w:t>
      </w:r>
      <w:r w:rsidR="005F5588" w:rsidRPr="005438DB">
        <w:fldChar w:fldCharType="end"/>
      </w:r>
      <w:r w:rsidR="0072379B" w:rsidRPr="005438DB">
        <w:t>. Proton Exchange Membrane (PEM) electrolysers exhibit higher efficiency compared to alkaline electrolysers</w:t>
      </w:r>
      <w:r w:rsidR="005F5588" w:rsidRPr="005438DB">
        <w:t xml:space="preserve"> </w:t>
      </w:r>
      <w:r w:rsidR="005F5588" w:rsidRPr="005438DB">
        <w:fldChar w:fldCharType="begin"/>
      </w:r>
      <w:r w:rsidR="005F5588" w:rsidRPr="005438DB">
        <w:instrText xml:space="preserve"> ADDIN ZOTERO_ITEM CSL_CITATION {"citationID":"72igw3Fa","properties":{"formattedCitation":"(Hu et al., 2022)","plainCitation":"(Hu et al., 2022)","noteIndex":0},"citationItems":[{"id":87,"uris":["http://zotero.org/users/13829784/items/PBRGQG3Q"],"itemData":{"id":87,"type":"article-journal","abstract":"This paper provides a comparative study of alkaline water electrolysis (AE), proton exchange membrane water electrolysis (PEM) and solid oxide electrolysis cells (SOEC) through multiphysics modeling. A unified multi­ physics model for the three types of electrolyzers, considering current density distribution, single-phase and diphasic flow, mass transfer and temperature dependence in the electrolyzers, is derived to make a thorough interpretation of their differences in terms of I-V characteristics, cell efficiency and part-load performances. Besides, various definitions of electrolysis efficiency from different researches on PtH are compared and eval­ uated from thermodynamics to unify the definitions of efficiency. Main drawbacks of the cell performances are then reviewed respectively to explain the parametric gap among three types of water electrolysis.","container-title":"Applied Energy","DOI":"10.1016/j.apenergy.2022.118788","ISSN":"03062619","journalAbbreviation":"Applied Energy","language":"en","page":"118788","source":"DOI.org (Crossref)","title":"Comparative study of alkaline water electrolysis, proton exchange membrane water electrolysis and solid oxide electrolysis through multiphysics modeling","volume":"312","author":[{"family":"Hu","given":"Kewei"},{"family":"Fang","given":"Jiakun"},{"family":"Ai","given":"Xiaomeng"},{"family":"Huang","given":"Danji"},{"family":"Zhong","given":"Zhiyao"},{"family":"Yang","given":"Xiaobo"},{"family":"Wang","given":"Lei"}],"issued":{"date-parts":[["2022",4]]}}}],"schema":"https://github.com/citation-style-language/schema/raw/master/csl-citation.json"} </w:instrText>
      </w:r>
      <w:r w:rsidR="005F5588" w:rsidRPr="005438DB">
        <w:fldChar w:fldCharType="separate"/>
      </w:r>
      <w:r w:rsidR="005F5588" w:rsidRPr="005438DB">
        <w:rPr>
          <w:rFonts w:cs="Arial"/>
        </w:rPr>
        <w:t>(Hu et al., 2022)</w:t>
      </w:r>
      <w:r w:rsidR="005F5588" w:rsidRPr="005438DB">
        <w:fldChar w:fldCharType="end"/>
      </w:r>
      <w:r w:rsidR="0072379B" w:rsidRPr="005438DB">
        <w:t>.</w:t>
      </w:r>
      <w:r w:rsidR="00DB745B">
        <w:t>In addition</w:t>
      </w:r>
      <w:r w:rsidR="0072379B" w:rsidRPr="005438DB">
        <w:t xml:space="preserve">, </w:t>
      </w:r>
      <w:r w:rsidR="007B2067" w:rsidRPr="005438DB">
        <w:t>the latter offer significant advantages, including lower hydrogen production costs, longer operational lifespans, and enhanced safety</w:t>
      </w:r>
      <w:r w:rsidR="005F5588" w:rsidRPr="005438DB">
        <w:t xml:space="preserve"> </w:t>
      </w:r>
      <w:r w:rsidR="005F5588" w:rsidRPr="005438DB">
        <w:fldChar w:fldCharType="begin"/>
      </w:r>
      <w:r w:rsidR="005F5588" w:rsidRPr="005438DB">
        <w:instrText xml:space="preserve"> ADDIN ZOTERO_ITEM CSL_CITATION {"citationID":"Q3inrnFs","properties":{"formattedCitation":"(Yang et al., 2023)","plainCitation":"(Yang et al., 2023)","noteIndex":0},"citationItems":[{"id":89,"uris":["http://zotero.org/users/13829784/items/QIBKJZQ9"],"itemData":{"id":89,"type":"article-journal","container-title":"International Journal of Hydrogen Energy","DOI":"10.1016/j.ijhydene.2022.12.204","ISSN":"03603199","issue":"37","journalAbbreviation":"International Journal of Hydrogen Energy","language":"en","page":"13767-13779","source":"DOI.org (Crossref)","title":"The economic analysis for hydrogen production cost towards electrolyzer technologies: Current and future competitiveness","title-short":"The economic analysis for hydrogen production cost towards electrolyzer technologies","volume":"48","author":[{"family":"Yang","given":"Bowen"},{"family":"Zhang","given":"Ruofan"},{"family":"Shao","given":"Zhifang"},{"family":"Zhang","given":"Cunman"}],"issued":{"date-parts":[["2023",4]]}}}],"schema":"https://github.com/citation-style-language/schema/raw/master/csl-citation.json"} </w:instrText>
      </w:r>
      <w:r w:rsidR="005F5588" w:rsidRPr="005438DB">
        <w:fldChar w:fldCharType="separate"/>
      </w:r>
      <w:r w:rsidR="005F5588" w:rsidRPr="005438DB">
        <w:rPr>
          <w:rFonts w:cs="Arial"/>
        </w:rPr>
        <w:t>(Yang et al., 2023)</w:t>
      </w:r>
      <w:r w:rsidR="005F5588" w:rsidRPr="005438DB">
        <w:fldChar w:fldCharType="end"/>
      </w:r>
      <w:r w:rsidR="0072379B" w:rsidRPr="005438DB">
        <w:t xml:space="preserve">. PEM electrolysers rely on catalysts made from precious materials, such as platinum group metals, </w:t>
      </w:r>
      <w:r w:rsidR="007B2067" w:rsidRPr="005438DB">
        <w:t>whereas alkaline electrolysers utilize more cost-effective alternatives like nickel alloys</w:t>
      </w:r>
      <w:r w:rsidR="0072379B" w:rsidRPr="005438DB">
        <w:t xml:space="preserve"> </w:t>
      </w:r>
      <w:r w:rsidR="005F5588" w:rsidRPr="005438DB">
        <w:fldChar w:fldCharType="begin"/>
      </w:r>
      <w:r w:rsidR="005F5588" w:rsidRPr="005438DB">
        <w:instrText xml:space="preserve"> ADDIN ZOTERO_ITEM CSL_CITATION {"citationID":"vHGA3lwU","properties":{"formattedCitation":"(Arsad et al., 2023)","plainCitation":"(Arsad et al., 2023)","noteIndex":0},"citationItems":[{"id":3609,"uris":["http://zotero.org/users/13829784/items/5BIP47QR"],"itemData":{"id":3609,"type":"article-journal","abstract":"Sustainable energy demand drives innovation in energy production. Electrolysis of water can produce carbon-free hydrogen from renewable sources. This paper presents a bibliometric analysis of recent and highly referenced research on hydrogen electrolysers utilising the Scopus database to shed insight into future trends and applications. It has been discovered that the most frequently published type of study for top-ranked papers is the formulation of problems and simulations (38.3%), followed by a study of the state-of-theart technology assessment (32.5%), laboratory research, design, and performance evaluation (24.2%), and reviews (5%). In general, 33.33% of articles focused on controlling hydrogen electrolyser efﬁciency. This study used different case studies from the global literature to conduct a complete evaluation of the electrolyser statistical analysis of the present state of the art, models or modes of operation, key challenges, outstanding issues, and future research. This evaluation will aid researchers in building a commercially successful hydrogen electrolyser.","container-title":"International Journal of Hydrogen Energy","DOI":"10.1016/j.ijhydene.2022.11.023","ISSN":"03603199","issue":"13","journalAbbreviation":"International Journal of Hydrogen Energy","language":"en","page":"4960-4983","source":"DOI.org (Crossref)","title":"Hydrogen electrolyser for sustainable energy production: A bibliometric analysis and future directions","title-short":"Hydrogen electrolyser for sustainable energy production","volume":"48","author":[{"family":"Arsad","given":"A.Z."},{"family":"Hannan","given":"M.A."},{"family":"Al-Shetwi","given":"Ali Q."},{"family":"Hossain","given":"M.J."},{"family":"Begum","given":"R.A."},{"family":"Ker","given":"Pin Jern"},{"family":"Salehi","given":"F."},{"family":"Muttaqi","given":"K.M."}],"issued":{"date-parts":[["2023",2]]}}}],"schema":"https://github.com/citation-style-language/schema/raw/master/csl-citation.json"} </w:instrText>
      </w:r>
      <w:r w:rsidR="005F5588" w:rsidRPr="005438DB">
        <w:fldChar w:fldCharType="separate"/>
      </w:r>
      <w:r w:rsidR="005F5588" w:rsidRPr="005438DB">
        <w:rPr>
          <w:rFonts w:cs="Arial"/>
        </w:rPr>
        <w:t>(Arsad et al., 2023)</w:t>
      </w:r>
      <w:r w:rsidR="005F5588" w:rsidRPr="005438DB">
        <w:fldChar w:fldCharType="end"/>
      </w:r>
      <w:r w:rsidR="001F66BB">
        <w:t>.</w:t>
      </w:r>
    </w:p>
    <w:p w14:paraId="1AED3853" w14:textId="230A4E20" w:rsidR="00600535" w:rsidRPr="00453D5D" w:rsidRDefault="007B2067" w:rsidP="0072379B">
      <w:pPr>
        <w:pStyle w:val="CETBodytext"/>
      </w:pPr>
      <w:r w:rsidRPr="005438DB">
        <w:t>To enhance the efficiency of alkaline electrolysers, recent research has focused on innovative electrode designs, such as “nanowire” electrodes. These electrodes</w:t>
      </w:r>
      <w:r w:rsidR="00CE6563" w:rsidRPr="005438DB">
        <w:t xml:space="preserve"> </w:t>
      </w:r>
      <w:r w:rsidR="0072379B" w:rsidRPr="005438DB">
        <w:t>co</w:t>
      </w:r>
      <w:r w:rsidRPr="005438DB">
        <w:t>nsist</w:t>
      </w:r>
      <w:r w:rsidR="0072379B" w:rsidRPr="005438DB">
        <w:t xml:space="preserve"> of</w:t>
      </w:r>
      <w:r w:rsidR="0072379B">
        <w:t xml:space="preserve"> conductors with average diameters on the order of a few hundred nanometers</w:t>
      </w:r>
      <w:r w:rsidR="00CE6563">
        <w:t xml:space="preserve"> </w:t>
      </w:r>
      <w:r w:rsidR="0072379B">
        <w:t>made from nickel alloys derived from simple, cost-effective, and easily scalable processes</w:t>
      </w:r>
      <w:r w:rsidR="005F5588">
        <w:t xml:space="preserve"> </w:t>
      </w:r>
      <w:r w:rsidR="005F5588">
        <w:fldChar w:fldCharType="begin"/>
      </w:r>
      <w:r w:rsidR="005F5588">
        <w:instrText xml:space="preserve"> ADDIN ZOTERO_ITEM CSL_CITATION {"citationID":"ZZLx34tA","properties":{"formattedCitation":"(Buccheri et al., 2021)","plainCitation":"(Buccheri et al., 2021)","noteIndex":0},"citationItems":[{"id":100,"uris":["http://zotero.org/users/13829784/items/9S2VKX8V"],"itemData":{"id":100,"type":"article-journal","container-title":"Electrochimica Acta","DOI":"10.1016/j.electacta.2021.138588","ISSN":"00134686","journalAbbreviation":"Electrochimica Acta","language":"en","page":"138588","source":"DOI.org (Crossref)","title":"Ni-Fe alloy nanostructured electrodes for water splitting in alkaline electrolyser","volume":"388","author":[{"family":"Buccheri","given":"Biagio"},{"family":"Ganci","given":"Fabrizio"},{"family":"Patella","given":"Bernardo"},{"family":"Aiello","given":"Giuseppe"},{"family":"Mandin","given":"Philippe"},{"family":"Inguanta","given":"Rosalinda"}],"issued":{"date-parts":[["2021",8]]}}}],"schema":"https://github.com/citation-style-language/schema/raw/master/csl-citation.json"} </w:instrText>
      </w:r>
      <w:r w:rsidR="005F5588">
        <w:fldChar w:fldCharType="separate"/>
      </w:r>
      <w:r w:rsidR="005F5588" w:rsidRPr="005F5588">
        <w:rPr>
          <w:rFonts w:cs="Arial"/>
        </w:rPr>
        <w:t>(Buccheri et al., 2021)</w:t>
      </w:r>
      <w:r w:rsidR="005F5588">
        <w:fldChar w:fldCharType="end"/>
      </w:r>
      <w:r w:rsidR="0072379B">
        <w:t xml:space="preserve">. </w:t>
      </w:r>
      <w:bookmarkStart w:id="2" w:name="_Hlk198302584"/>
      <w:r w:rsidR="0072379B">
        <w:t>In this context, t</w:t>
      </w:r>
      <w:r>
        <w:t>he present</w:t>
      </w:r>
      <w:r w:rsidR="0072379B">
        <w:t xml:space="preserve"> study focuses on the production process of “nanowire”</w:t>
      </w:r>
      <w:r w:rsidR="004432A5">
        <w:t xml:space="preserve"> </w:t>
      </w:r>
      <w:r w:rsidR="003959C1">
        <w:t>prototype</w:t>
      </w:r>
      <w:r w:rsidR="0072379B">
        <w:t xml:space="preserve"> electrodes based on a nickel-iron-phosphorus (NiFeP) alloy</w:t>
      </w:r>
      <w:r w:rsidR="0095032E">
        <w:t xml:space="preserve"> developed at laboratory </w:t>
      </w:r>
      <w:r w:rsidR="0095032E">
        <w:lastRenderedPageBreak/>
        <w:t>scale</w:t>
      </w:r>
      <w:r w:rsidR="001C09C7">
        <w:t xml:space="preserve"> with a low Technology Readiness Level (TRL)</w:t>
      </w:r>
      <w:r>
        <w:t xml:space="preserve">. </w:t>
      </w:r>
      <w:r w:rsidR="00B419DD">
        <w:t>In particular, t</w:t>
      </w:r>
      <w:r w:rsidR="00183E21">
        <w:t>h</w:t>
      </w:r>
      <w:r w:rsidR="003959C1">
        <w:t>e</w:t>
      </w:r>
      <w:r w:rsidR="00183E21">
        <w:t xml:space="preserve"> study </w:t>
      </w:r>
      <w:r w:rsidR="003959C1">
        <w:t xml:space="preserve">aims to assess </w:t>
      </w:r>
      <w:r w:rsidR="00183E21">
        <w:t>the</w:t>
      </w:r>
      <w:r w:rsidR="00D70BF5">
        <w:t xml:space="preserve"> environmental impact</w:t>
      </w:r>
      <w:r w:rsidR="003959C1">
        <w:t>s and identify the hot spots</w:t>
      </w:r>
      <w:r w:rsidR="00D70BF5">
        <w:t xml:space="preserve"> </w:t>
      </w:r>
      <w:r w:rsidR="0095032E">
        <w:t>associated with</w:t>
      </w:r>
      <w:r w:rsidR="00D70BF5">
        <w:t xml:space="preserve"> </w:t>
      </w:r>
      <w:r w:rsidR="00D70BF5" w:rsidRPr="00453D5D">
        <w:t>experimental NiFeP nanowire electrodes for alkaline electrolysers</w:t>
      </w:r>
      <w:r w:rsidR="003959C1">
        <w:t xml:space="preserve">. </w:t>
      </w:r>
      <w:r w:rsidR="0095032E">
        <w:t>Furthermore</w:t>
      </w:r>
      <w:r w:rsidR="003959C1">
        <w:t>, it examines</w:t>
      </w:r>
      <w:r w:rsidR="00D70BF5">
        <w:t xml:space="preserve"> the </w:t>
      </w:r>
      <w:r w:rsidR="00183E21">
        <w:t>effects</w:t>
      </w:r>
      <w:r w:rsidR="00D70BF5">
        <w:t xml:space="preserve"> on environmental performances</w:t>
      </w:r>
      <w:r w:rsidR="00183E21">
        <w:t xml:space="preserve"> </w:t>
      </w:r>
      <w:r w:rsidR="003959C1">
        <w:t xml:space="preserve">caused by </w:t>
      </w:r>
      <w:r w:rsidR="00183E21">
        <w:t xml:space="preserve">varying the </w:t>
      </w:r>
      <w:r w:rsidR="00183E21" w:rsidRPr="00183E21">
        <w:rPr>
          <w:lang w:val="en-GB"/>
        </w:rPr>
        <w:t>concentration of sodium hypophosphite</w:t>
      </w:r>
      <w:r w:rsidR="00183E21">
        <w:rPr>
          <w:lang w:val="en-GB"/>
        </w:rPr>
        <w:t xml:space="preserve"> within the</w:t>
      </w:r>
      <w:r w:rsidR="003D2248">
        <w:rPr>
          <w:lang w:val="en-GB"/>
        </w:rPr>
        <w:t xml:space="preserve"> international recognised</w:t>
      </w:r>
      <w:r w:rsidR="00183E21">
        <w:rPr>
          <w:lang w:val="en-GB"/>
        </w:rPr>
        <w:t xml:space="preserve"> framework of Life Cycle Assessment (LCA).</w:t>
      </w:r>
      <w:r w:rsidR="004D06E9">
        <w:rPr>
          <w:lang w:val="en-GB"/>
        </w:rPr>
        <w:t xml:space="preserve"> This</w:t>
      </w:r>
      <w:r w:rsidR="0095032E">
        <w:rPr>
          <w:lang w:val="en-GB"/>
        </w:rPr>
        <w:t xml:space="preserve"> methodological</w:t>
      </w:r>
      <w:r w:rsidR="004D06E9">
        <w:rPr>
          <w:lang w:val="en-GB"/>
        </w:rPr>
        <w:t xml:space="preserve"> approach </w:t>
      </w:r>
      <w:r w:rsidR="0095032E">
        <w:rPr>
          <w:lang w:val="en-GB"/>
        </w:rPr>
        <w:t>offers</w:t>
      </w:r>
      <w:r w:rsidR="004D06E9">
        <w:rPr>
          <w:lang w:val="en-GB"/>
        </w:rPr>
        <w:t xml:space="preserve"> valuable insights </w:t>
      </w:r>
      <w:r w:rsidR="0095032E">
        <w:rPr>
          <w:lang w:val="en-GB"/>
        </w:rPr>
        <w:t>for optimizing</w:t>
      </w:r>
      <w:r w:rsidR="004D06E9">
        <w:rPr>
          <w:lang w:val="en-GB"/>
        </w:rPr>
        <w:t xml:space="preserve"> the process at the laboratory scale,</w:t>
      </w:r>
      <w:r w:rsidR="0095032E">
        <w:rPr>
          <w:lang w:val="en-GB"/>
        </w:rPr>
        <w:t xml:space="preserve"> thereby</w:t>
      </w:r>
      <w:r w:rsidR="004D06E9">
        <w:rPr>
          <w:lang w:val="en-GB"/>
        </w:rPr>
        <w:t xml:space="preserve"> establishing a</w:t>
      </w:r>
      <w:r w:rsidR="0095032E">
        <w:rPr>
          <w:lang w:val="en-GB"/>
        </w:rPr>
        <w:t xml:space="preserve"> foundation</w:t>
      </w:r>
      <w:r w:rsidR="004D06E9">
        <w:rPr>
          <w:lang w:val="en-GB"/>
        </w:rPr>
        <w:t xml:space="preserve"> for its future </w:t>
      </w:r>
      <w:bookmarkEnd w:id="2"/>
      <w:r w:rsidR="00C47837">
        <w:rPr>
          <w:lang w:val="en-GB"/>
        </w:rPr>
        <w:t>upscaling.</w:t>
      </w:r>
    </w:p>
    <w:p w14:paraId="5741900F" w14:textId="73082291" w:rsidR="00453E24" w:rsidRPr="00453D5D" w:rsidRDefault="002519DF" w:rsidP="00453E24">
      <w:pPr>
        <w:pStyle w:val="CETHeading1"/>
        <w:rPr>
          <w:lang w:val="en-GB"/>
        </w:rPr>
      </w:pPr>
      <w:r w:rsidRPr="00453D5D">
        <w:rPr>
          <w:lang w:val="en-GB"/>
        </w:rPr>
        <w:t>Methodology</w:t>
      </w:r>
    </w:p>
    <w:p w14:paraId="0636B784" w14:textId="5D6B5027" w:rsidR="00453E24" w:rsidRPr="00453D5D" w:rsidRDefault="009D0EF7" w:rsidP="00224E82">
      <w:pPr>
        <w:pStyle w:val="CETBodytext"/>
        <w:rPr>
          <w:lang w:val="en-GB"/>
        </w:rPr>
      </w:pPr>
      <w:r w:rsidRPr="00453D5D">
        <w:rPr>
          <w:lang w:val="en-GB"/>
        </w:rPr>
        <w:t xml:space="preserve">LCA </w:t>
      </w:r>
      <w:r w:rsidR="00BC2D4A">
        <w:rPr>
          <w:lang w:val="en-GB"/>
        </w:rPr>
        <w:t>provides</w:t>
      </w:r>
      <w:r w:rsidR="000279BB" w:rsidRPr="00453D5D">
        <w:rPr>
          <w:lang w:val="en-GB"/>
        </w:rPr>
        <w:t xml:space="preserve"> a comprehensive </w:t>
      </w:r>
      <w:r w:rsidRPr="00453D5D">
        <w:rPr>
          <w:lang w:val="en-GB"/>
        </w:rPr>
        <w:t>methodology</w:t>
      </w:r>
      <w:r w:rsidR="0084151E" w:rsidRPr="00453D5D">
        <w:rPr>
          <w:lang w:val="en-GB"/>
        </w:rPr>
        <w:t xml:space="preserve"> to evaluate the energy and environmental impact of a service or a product across its whole life cycle, from raw material supply to the end of life. This approach, </w:t>
      </w:r>
      <w:r w:rsidRPr="00453D5D">
        <w:rPr>
          <w:lang w:val="en-GB"/>
        </w:rPr>
        <w:t>recognized by international standards of UNI EN ISO 14040</w:t>
      </w:r>
      <w:r w:rsidR="007134D0" w:rsidRPr="00453D5D">
        <w:rPr>
          <w:lang w:val="en-GB"/>
        </w:rPr>
        <w:t xml:space="preserve"> </w:t>
      </w:r>
      <w:r w:rsidR="007134D0" w:rsidRPr="00453D5D">
        <w:rPr>
          <w:lang w:val="en-GB"/>
        </w:rPr>
        <w:fldChar w:fldCharType="begin"/>
      </w:r>
      <w:r w:rsidR="007134D0" w:rsidRPr="00453D5D">
        <w:rPr>
          <w:lang w:val="en-GB"/>
        </w:rPr>
        <w:instrText xml:space="preserve"> ADDIN ZOTERO_ITEM CSL_CITATION {"citationID":"n5wBMny2","properties":{"formattedCitation":"(ISO 14040, 2021)","plainCitation":"(ISO 14040, 2021)","noteIndex":0},"citationItems":[{"id":70,"uris":["http://zotero.org/users/13829784/items/LCTJHIVJ"],"itemData":{"id":70,"type":"standard","title":"Environmental Management: Life Cycle Assessment; Principles and Framework","author":[{"family":"ISO 14040","given":""}],"issued":{"date-parts":[["2021"]]}}}],"schema":"https://github.com/citation-style-language/schema/raw/master/csl-citation.json"} </w:instrText>
      </w:r>
      <w:r w:rsidR="007134D0" w:rsidRPr="00453D5D">
        <w:rPr>
          <w:lang w:val="en-GB"/>
        </w:rPr>
        <w:fldChar w:fldCharType="separate"/>
      </w:r>
      <w:r w:rsidR="007134D0" w:rsidRPr="00453D5D">
        <w:rPr>
          <w:rFonts w:cs="Arial"/>
          <w:lang w:val="en-GB"/>
        </w:rPr>
        <w:t>(ISO 14040, 2021)</w:t>
      </w:r>
      <w:r w:rsidR="007134D0" w:rsidRPr="00453D5D">
        <w:rPr>
          <w:lang w:val="en-GB"/>
        </w:rPr>
        <w:fldChar w:fldCharType="end"/>
      </w:r>
      <w:r w:rsidRPr="00453D5D">
        <w:rPr>
          <w:lang w:val="en-GB"/>
        </w:rPr>
        <w:t xml:space="preserve"> and 14044</w:t>
      </w:r>
      <w:r w:rsidR="007134D0" w:rsidRPr="00453D5D">
        <w:rPr>
          <w:lang w:val="en-GB"/>
        </w:rPr>
        <w:t xml:space="preserve"> </w:t>
      </w:r>
      <w:r w:rsidR="000279BB" w:rsidRPr="00453D5D">
        <w:rPr>
          <w:lang w:val="en-GB"/>
        </w:rPr>
        <w:fldChar w:fldCharType="begin"/>
      </w:r>
      <w:r w:rsidR="000279BB" w:rsidRPr="00453D5D">
        <w:rPr>
          <w:lang w:val="en-GB"/>
        </w:rPr>
        <w:instrText xml:space="preserve"> ADDIN ZOTERO_ITEM CSL_CITATION {"citationID":"8UCXjNhd","properties":{"formattedCitation":"(ISO 14044, 2021)","plainCitation":"(ISO 14044, 2021)","noteIndex":0},"citationItems":[{"id":71,"uris":["http://zotero.org/users/13829784/items/9VE8H2VW"],"itemData":{"id":71,"type":"standard","title":"Environmental Management: Life Cycle Assessment; Requirements and Guidelines","author":[{"family":"ISO 14044","given":""}],"issued":{"date-parts":[["2021"]]}}}],"schema":"https://github.com/citation-style-language/schema/raw/master/csl-citation.json"} </w:instrText>
      </w:r>
      <w:r w:rsidR="000279BB" w:rsidRPr="00453D5D">
        <w:rPr>
          <w:lang w:val="en-GB"/>
        </w:rPr>
        <w:fldChar w:fldCharType="separate"/>
      </w:r>
      <w:r w:rsidR="000279BB" w:rsidRPr="00453D5D">
        <w:rPr>
          <w:rFonts w:cs="Arial"/>
          <w:lang w:val="en-GB"/>
        </w:rPr>
        <w:t>(ISO 14044, 2021)</w:t>
      </w:r>
      <w:r w:rsidR="000279BB" w:rsidRPr="00453D5D">
        <w:rPr>
          <w:lang w:val="en-GB"/>
        </w:rPr>
        <w:fldChar w:fldCharType="end"/>
      </w:r>
      <w:r w:rsidR="0084151E" w:rsidRPr="00453D5D">
        <w:rPr>
          <w:lang w:val="en-GB"/>
        </w:rPr>
        <w:t>, highlights the most impactful life cycle stages or components in an eco-design perspective.</w:t>
      </w:r>
      <w:r w:rsidR="003D2248">
        <w:rPr>
          <w:lang w:val="en-GB"/>
        </w:rPr>
        <w:t xml:space="preserve"> In this study, the methodology is applied to </w:t>
      </w:r>
      <w:r w:rsidR="003D2248" w:rsidRPr="003D2248">
        <w:rPr>
          <w:lang w:val="en-GB"/>
        </w:rPr>
        <w:t>an emerging technology at the laboratory scale</w:t>
      </w:r>
      <w:r w:rsidR="004F2FD7">
        <w:rPr>
          <w:lang w:val="en-GB"/>
        </w:rPr>
        <w:t>,</w:t>
      </w:r>
      <w:r w:rsidR="003D2248">
        <w:rPr>
          <w:lang w:val="en-GB"/>
        </w:rPr>
        <w:t xml:space="preserve"> </w:t>
      </w:r>
      <w:r w:rsidR="00E21F89">
        <w:rPr>
          <w:lang w:val="en-GB"/>
        </w:rPr>
        <w:t>allowing for</w:t>
      </w:r>
      <w:r w:rsidR="003D2248" w:rsidRPr="003D2248">
        <w:rPr>
          <w:lang w:val="en-GB"/>
        </w:rPr>
        <w:t xml:space="preserve"> t</w:t>
      </w:r>
      <w:r w:rsidR="00E21F89">
        <w:rPr>
          <w:lang w:val="en-GB"/>
        </w:rPr>
        <w:t>he early</w:t>
      </w:r>
      <w:r w:rsidR="003D2248" w:rsidRPr="003D2248">
        <w:rPr>
          <w:lang w:val="en-GB"/>
        </w:rPr>
        <w:t xml:space="preserve"> </w:t>
      </w:r>
      <w:r w:rsidR="00E21F89" w:rsidRPr="003D2248">
        <w:rPr>
          <w:lang w:val="en-GB"/>
        </w:rPr>
        <w:t>identif</w:t>
      </w:r>
      <w:r w:rsidR="00E21F89">
        <w:rPr>
          <w:lang w:val="en-GB"/>
        </w:rPr>
        <w:t>ication</w:t>
      </w:r>
      <w:r w:rsidR="003D2248" w:rsidRPr="003D2248">
        <w:rPr>
          <w:lang w:val="en-GB"/>
        </w:rPr>
        <w:t xml:space="preserve"> </w:t>
      </w:r>
      <w:r w:rsidR="00E21F89">
        <w:rPr>
          <w:lang w:val="en-GB"/>
        </w:rPr>
        <w:t xml:space="preserve">of environmental </w:t>
      </w:r>
      <w:r w:rsidR="003D2248" w:rsidRPr="003D2248">
        <w:rPr>
          <w:lang w:val="en-GB"/>
        </w:rPr>
        <w:t xml:space="preserve">impacts and hotspots </w:t>
      </w:r>
      <w:r w:rsidR="00E21F89">
        <w:rPr>
          <w:lang w:val="en-GB"/>
        </w:rPr>
        <w:t>in</w:t>
      </w:r>
      <w:r w:rsidR="003D2248" w:rsidRPr="003D2248">
        <w:rPr>
          <w:lang w:val="en-GB"/>
        </w:rPr>
        <w:t xml:space="preserve"> the design phase</w:t>
      </w:r>
      <w:r w:rsidR="00C47837">
        <w:rPr>
          <w:lang w:val="en-GB"/>
        </w:rPr>
        <w:t>.</w:t>
      </w:r>
      <w:r w:rsidR="003D2248" w:rsidRPr="003D2248">
        <w:rPr>
          <w:lang w:val="en-GB"/>
        </w:rPr>
        <w:t xml:space="preserve"> </w:t>
      </w:r>
      <w:r w:rsidR="00E21F89">
        <w:rPr>
          <w:lang w:val="en-GB"/>
        </w:rPr>
        <w:t>These</w:t>
      </w:r>
      <w:r w:rsidR="003D2248" w:rsidRPr="003D2248">
        <w:rPr>
          <w:lang w:val="en-GB"/>
        </w:rPr>
        <w:t xml:space="preserve"> insights</w:t>
      </w:r>
      <w:r w:rsidR="00E21F89">
        <w:rPr>
          <w:lang w:val="en-GB"/>
        </w:rPr>
        <w:t xml:space="preserve"> are crucial</w:t>
      </w:r>
      <w:r w:rsidR="003D2248" w:rsidRPr="003D2248">
        <w:rPr>
          <w:lang w:val="en-GB"/>
        </w:rPr>
        <w:t xml:space="preserve"> </w:t>
      </w:r>
      <w:r w:rsidR="00E21F89">
        <w:rPr>
          <w:lang w:val="en-GB"/>
        </w:rPr>
        <w:t>for minimizing</w:t>
      </w:r>
      <w:r w:rsidR="003D2248" w:rsidRPr="003D2248">
        <w:rPr>
          <w:lang w:val="en-GB"/>
        </w:rPr>
        <w:t xml:space="preserve"> the environmental footprint</w:t>
      </w:r>
      <w:r w:rsidR="00E21F89">
        <w:rPr>
          <w:lang w:val="en-GB"/>
        </w:rPr>
        <w:t>,</w:t>
      </w:r>
      <w:r w:rsidR="003D2248" w:rsidRPr="003D2248">
        <w:rPr>
          <w:lang w:val="en-GB"/>
        </w:rPr>
        <w:t xml:space="preserve"> </w:t>
      </w:r>
      <w:r w:rsidR="003D2248">
        <w:rPr>
          <w:lang w:val="en-GB"/>
        </w:rPr>
        <w:t>both</w:t>
      </w:r>
      <w:r w:rsidR="003D2248" w:rsidRPr="003D2248">
        <w:rPr>
          <w:lang w:val="en-GB"/>
        </w:rPr>
        <w:t xml:space="preserve"> at the lab scale </w:t>
      </w:r>
      <w:r w:rsidR="003D2248">
        <w:rPr>
          <w:lang w:val="en-GB"/>
        </w:rPr>
        <w:t>and during</w:t>
      </w:r>
      <w:r w:rsidR="003D2248" w:rsidRPr="003D2248">
        <w:rPr>
          <w:lang w:val="en-GB"/>
        </w:rPr>
        <w:t xml:space="preserve"> future scale-up processes.</w:t>
      </w:r>
    </w:p>
    <w:p w14:paraId="75443FA6" w14:textId="57407253" w:rsidR="00224E82" w:rsidRPr="00453D5D" w:rsidRDefault="00DE66EC" w:rsidP="00224E82">
      <w:pPr>
        <w:pStyle w:val="CETBodytext"/>
        <w:rPr>
          <w:lang w:val="en-GB"/>
        </w:rPr>
      </w:pPr>
      <w:r w:rsidRPr="00453D5D">
        <w:rPr>
          <w:lang w:val="en-GB"/>
        </w:rPr>
        <w:t>The system boundaries are considered “from cradle to gate”, from raw materials extraction to the end of manufacturing stag</w:t>
      </w:r>
      <w:r w:rsidR="00224E82" w:rsidRPr="00453D5D">
        <w:rPr>
          <w:lang w:val="en-GB"/>
        </w:rPr>
        <w:t>e while t</w:t>
      </w:r>
      <w:r w:rsidRPr="00453D5D">
        <w:rPr>
          <w:lang w:val="en-GB"/>
        </w:rPr>
        <w:t>he functional unit is the production of one electrode</w:t>
      </w:r>
      <w:r w:rsidR="00224E82" w:rsidRPr="00453D5D">
        <w:rPr>
          <w:lang w:val="en-GB"/>
        </w:rPr>
        <w:t>. The</w:t>
      </w:r>
      <w:r w:rsidR="009C6A9A" w:rsidRPr="00453D5D">
        <w:rPr>
          <w:lang w:val="en-GB"/>
        </w:rPr>
        <w:t xml:space="preserve"> </w:t>
      </w:r>
      <w:r w:rsidR="00224E82" w:rsidRPr="00453D5D">
        <w:rPr>
          <w:lang w:val="en-GB"/>
        </w:rPr>
        <w:t xml:space="preserve">impact categories </w:t>
      </w:r>
      <w:r w:rsidR="009C6A9A" w:rsidRPr="00453D5D">
        <w:rPr>
          <w:lang w:val="en-GB"/>
        </w:rPr>
        <w:t>a</w:t>
      </w:r>
      <w:r w:rsidR="00BC2D4A">
        <w:rPr>
          <w:lang w:val="en-GB"/>
        </w:rPr>
        <w:t>ssessed</w:t>
      </w:r>
      <w:r w:rsidR="001372A8">
        <w:rPr>
          <w:lang w:val="en-GB"/>
        </w:rPr>
        <w:t xml:space="preserve"> in this analysis,</w:t>
      </w:r>
      <w:r w:rsidR="009C6A9A" w:rsidRPr="00453D5D">
        <w:rPr>
          <w:lang w:val="en-GB"/>
        </w:rPr>
        <w:t xml:space="preserve"> </w:t>
      </w:r>
      <w:r w:rsidR="001372A8">
        <w:rPr>
          <w:lang w:val="en-GB"/>
        </w:rPr>
        <w:t>indicated</w:t>
      </w:r>
      <w:r w:rsidR="00224E82" w:rsidRPr="00453D5D">
        <w:rPr>
          <w:lang w:val="en-GB"/>
        </w:rPr>
        <w:t xml:space="preserve"> in </w:t>
      </w:r>
      <w:r w:rsidR="006E23FA">
        <w:rPr>
          <w:lang w:val="en-GB"/>
        </w:rPr>
        <w:fldChar w:fldCharType="begin"/>
      </w:r>
      <w:r w:rsidR="006E23FA">
        <w:rPr>
          <w:lang w:val="en-GB"/>
        </w:rPr>
        <w:instrText xml:space="preserve"> REF _Ref191299969 \h </w:instrText>
      </w:r>
      <w:r w:rsidR="006E23FA">
        <w:rPr>
          <w:lang w:val="en-GB"/>
        </w:rPr>
      </w:r>
      <w:r w:rsidR="006E23FA">
        <w:rPr>
          <w:lang w:val="en-GB"/>
        </w:rPr>
        <w:fldChar w:fldCharType="separate"/>
      </w:r>
      <w:r w:rsidR="00456733" w:rsidRPr="00453D5D">
        <w:t xml:space="preserve">Table </w:t>
      </w:r>
      <w:r w:rsidR="00456733">
        <w:rPr>
          <w:noProof/>
        </w:rPr>
        <w:t>1</w:t>
      </w:r>
      <w:r w:rsidR="006E23FA">
        <w:rPr>
          <w:lang w:val="en-GB"/>
        </w:rPr>
        <w:fldChar w:fldCharType="end"/>
      </w:r>
      <w:r w:rsidR="00224E82" w:rsidRPr="00453D5D">
        <w:rPr>
          <w:lang w:val="en-GB"/>
        </w:rPr>
        <w:t>, are based on</w:t>
      </w:r>
      <w:r w:rsidR="001372A8">
        <w:rPr>
          <w:lang w:val="en-GB"/>
        </w:rPr>
        <w:t xml:space="preserve"> the</w:t>
      </w:r>
      <w:r w:rsidR="00224E82" w:rsidRPr="00453D5D">
        <w:rPr>
          <w:lang w:val="en-GB"/>
        </w:rPr>
        <w:t xml:space="preserve"> EPD method </w:t>
      </w:r>
      <w:r w:rsidR="00224E82" w:rsidRPr="00453D5D">
        <w:rPr>
          <w:lang w:val="en-GB"/>
        </w:rPr>
        <w:fldChar w:fldCharType="begin"/>
      </w:r>
      <w:r w:rsidR="00224E82" w:rsidRPr="00453D5D">
        <w:rPr>
          <w:lang w:val="en-GB"/>
        </w:rPr>
        <w:instrText xml:space="preserve"> ADDIN ZOTERO_ITEM CSL_CITATION {"citationID":"UN2xwb7m","properties":{"formattedCitation":"(The International EPD System, 2018)","plainCitation":"(The International EPD System, 2018)","noteIndex":0},"citationItems":[{"id":3857,"uris":["http://zotero.org/users/13829784/items/QV93MATG"],"itemData":{"id":3857,"type":"webpage","title":"EPD Environmental Performance Indicators","URL":"https://www.environdec.com/pcr/env-perf-indic/gpi4","author":[{"family":"The International EPD System","given":""}],"accessed":{"date-parts":[["2025",2,10]]},"issued":{"date-parts":[["2018"]]}}}],"schema":"https://github.com/citation-style-language/schema/raw/master/csl-citation.json"} </w:instrText>
      </w:r>
      <w:r w:rsidR="00224E82" w:rsidRPr="00453D5D">
        <w:rPr>
          <w:lang w:val="en-GB"/>
        </w:rPr>
        <w:fldChar w:fldCharType="separate"/>
      </w:r>
      <w:r w:rsidR="00224E82" w:rsidRPr="00453D5D">
        <w:rPr>
          <w:rFonts w:cs="Arial"/>
          <w:lang w:val="en-GB"/>
        </w:rPr>
        <w:t>(The International EPD System, 2018)</w:t>
      </w:r>
      <w:r w:rsidR="00224E82" w:rsidRPr="00453D5D">
        <w:rPr>
          <w:lang w:val="en-GB"/>
        </w:rPr>
        <w:fldChar w:fldCharType="end"/>
      </w:r>
      <w:r w:rsidR="00224E82" w:rsidRPr="00453D5D">
        <w:rPr>
          <w:lang w:val="en-GB"/>
        </w:rPr>
        <w:t xml:space="preserve">. </w:t>
      </w:r>
    </w:p>
    <w:p w14:paraId="7C2B0064" w14:textId="2C550CEE" w:rsidR="00453E24" w:rsidRPr="00453D5D" w:rsidRDefault="00453E24" w:rsidP="00453E24">
      <w:pPr>
        <w:pStyle w:val="CETBodytext"/>
        <w:rPr>
          <w:lang w:val="en-GB"/>
        </w:rPr>
      </w:pPr>
    </w:p>
    <w:p w14:paraId="7774B61E" w14:textId="5AEFDCDE" w:rsidR="00294FDA" w:rsidRPr="00453D5D" w:rsidRDefault="00294FDA" w:rsidP="00294FDA">
      <w:pPr>
        <w:pStyle w:val="Didascalia"/>
        <w:keepNext/>
      </w:pPr>
      <w:bookmarkStart w:id="3" w:name="_Ref191299969"/>
      <w:r w:rsidRPr="00453D5D">
        <w:t xml:space="preserve">Table </w:t>
      </w:r>
      <w:r w:rsidRPr="00453D5D">
        <w:fldChar w:fldCharType="begin"/>
      </w:r>
      <w:r w:rsidRPr="00453D5D">
        <w:instrText xml:space="preserve"> SEQ Table \* ARABIC </w:instrText>
      </w:r>
      <w:r w:rsidRPr="00453D5D">
        <w:fldChar w:fldCharType="separate"/>
      </w:r>
      <w:r w:rsidR="00456733">
        <w:rPr>
          <w:noProof/>
        </w:rPr>
        <w:t>1</w:t>
      </w:r>
      <w:r w:rsidRPr="00453D5D">
        <w:fldChar w:fldCharType="end"/>
      </w:r>
      <w:bookmarkEnd w:id="3"/>
      <w:r w:rsidRPr="00453D5D">
        <w:t xml:space="preserve"> Impact categories</w:t>
      </w:r>
    </w:p>
    <w:tbl>
      <w:tblPr>
        <w:tblW w:w="5670" w:type="dxa"/>
        <w:tblLook w:val="04A0" w:firstRow="1" w:lastRow="0" w:firstColumn="1" w:lastColumn="0" w:noHBand="0" w:noVBand="1"/>
      </w:tblPr>
      <w:tblGrid>
        <w:gridCol w:w="3402"/>
        <w:gridCol w:w="2268"/>
      </w:tblGrid>
      <w:tr w:rsidR="009C6A9A" w:rsidRPr="00453D5D" w14:paraId="4426E773" w14:textId="77777777" w:rsidTr="009C6A9A">
        <w:trPr>
          <w:trHeight w:val="20"/>
        </w:trPr>
        <w:tc>
          <w:tcPr>
            <w:tcW w:w="3402" w:type="dxa"/>
            <w:tcBorders>
              <w:top w:val="single" w:sz="12" w:space="0" w:color="008000"/>
              <w:left w:val="nil"/>
              <w:bottom w:val="single" w:sz="8" w:space="0" w:color="008000"/>
              <w:right w:val="nil"/>
            </w:tcBorders>
            <w:shd w:val="clear" w:color="000000" w:fill="FFFFFF"/>
            <w:vAlign w:val="center"/>
            <w:hideMark/>
          </w:tcPr>
          <w:p w14:paraId="4D4B64DD" w14:textId="77777777" w:rsidR="009C6A9A" w:rsidRPr="009C6A9A" w:rsidRDefault="009C6A9A" w:rsidP="009C6A9A">
            <w:pPr>
              <w:tabs>
                <w:tab w:val="clear" w:pos="7100"/>
              </w:tabs>
              <w:spacing w:line="240" w:lineRule="auto"/>
              <w:jc w:val="left"/>
              <w:rPr>
                <w:rFonts w:cs="Arial"/>
                <w:color w:val="000000"/>
                <w:szCs w:val="18"/>
                <w:lang w:eastAsia="en-GB"/>
              </w:rPr>
            </w:pPr>
            <w:bookmarkStart w:id="4" w:name="_Hlk191292732"/>
            <w:r w:rsidRPr="009C6A9A">
              <w:rPr>
                <w:rFonts w:cs="Arial"/>
                <w:szCs w:val="18"/>
                <w:lang w:eastAsia="en-GB"/>
              </w:rPr>
              <w:t>Impact category</w:t>
            </w:r>
          </w:p>
        </w:tc>
        <w:tc>
          <w:tcPr>
            <w:tcW w:w="2268" w:type="dxa"/>
            <w:tcBorders>
              <w:top w:val="single" w:sz="12" w:space="0" w:color="008000"/>
              <w:left w:val="nil"/>
              <w:bottom w:val="single" w:sz="8" w:space="0" w:color="008000"/>
              <w:right w:val="nil"/>
            </w:tcBorders>
            <w:shd w:val="clear" w:color="000000" w:fill="FFFFFF"/>
            <w:vAlign w:val="center"/>
            <w:hideMark/>
          </w:tcPr>
          <w:p w14:paraId="60695676" w14:textId="4D7FAD78"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 xml:space="preserve">Unit </w:t>
            </w:r>
          </w:p>
        </w:tc>
      </w:tr>
      <w:tr w:rsidR="009C6A9A" w:rsidRPr="00453D5D" w14:paraId="5AA06DBE" w14:textId="77777777" w:rsidTr="009C6A9A">
        <w:trPr>
          <w:trHeight w:val="20"/>
        </w:trPr>
        <w:tc>
          <w:tcPr>
            <w:tcW w:w="3402" w:type="dxa"/>
            <w:tcBorders>
              <w:top w:val="nil"/>
              <w:left w:val="nil"/>
              <w:bottom w:val="nil"/>
              <w:right w:val="nil"/>
            </w:tcBorders>
            <w:shd w:val="clear" w:color="000000" w:fill="FFFFFF"/>
            <w:vAlign w:val="center"/>
            <w:hideMark/>
          </w:tcPr>
          <w:p w14:paraId="238A06EA" w14:textId="22D24613"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Acidification</w:t>
            </w:r>
          </w:p>
        </w:tc>
        <w:tc>
          <w:tcPr>
            <w:tcW w:w="2268" w:type="dxa"/>
            <w:tcBorders>
              <w:top w:val="nil"/>
              <w:left w:val="nil"/>
              <w:bottom w:val="nil"/>
              <w:right w:val="nil"/>
            </w:tcBorders>
            <w:shd w:val="clear" w:color="auto" w:fill="auto"/>
            <w:vAlign w:val="center"/>
            <w:hideMark/>
          </w:tcPr>
          <w:p w14:paraId="0137F436"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kg SO</w:t>
            </w:r>
            <w:r w:rsidRPr="009C6A9A">
              <w:rPr>
                <w:rFonts w:cs="Arial"/>
                <w:color w:val="000000"/>
                <w:szCs w:val="18"/>
                <w:vertAlign w:val="subscript"/>
                <w:lang w:eastAsia="en-GB"/>
              </w:rPr>
              <w:t xml:space="preserve">2 </w:t>
            </w:r>
            <w:r w:rsidRPr="009C6A9A">
              <w:rPr>
                <w:rFonts w:cs="Arial"/>
                <w:color w:val="000000"/>
                <w:szCs w:val="18"/>
                <w:lang w:eastAsia="en-GB"/>
              </w:rPr>
              <w:t>eq</w:t>
            </w:r>
          </w:p>
        </w:tc>
      </w:tr>
      <w:tr w:rsidR="009C6A9A" w:rsidRPr="00453D5D" w14:paraId="693C4FA1" w14:textId="77777777" w:rsidTr="009C6A9A">
        <w:trPr>
          <w:trHeight w:val="20"/>
        </w:trPr>
        <w:tc>
          <w:tcPr>
            <w:tcW w:w="3402" w:type="dxa"/>
            <w:tcBorders>
              <w:top w:val="nil"/>
              <w:left w:val="nil"/>
              <w:bottom w:val="nil"/>
              <w:right w:val="nil"/>
            </w:tcBorders>
            <w:shd w:val="clear" w:color="000000" w:fill="FFFFFF"/>
            <w:vAlign w:val="center"/>
            <w:hideMark/>
          </w:tcPr>
          <w:p w14:paraId="579EFFB8"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Eutrophication</w:t>
            </w:r>
          </w:p>
        </w:tc>
        <w:tc>
          <w:tcPr>
            <w:tcW w:w="2268" w:type="dxa"/>
            <w:tcBorders>
              <w:top w:val="nil"/>
              <w:left w:val="nil"/>
              <w:bottom w:val="nil"/>
              <w:right w:val="nil"/>
            </w:tcBorders>
            <w:shd w:val="clear" w:color="auto" w:fill="auto"/>
            <w:vAlign w:val="center"/>
            <w:hideMark/>
          </w:tcPr>
          <w:p w14:paraId="09C51827"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kg PO</w:t>
            </w:r>
            <w:r w:rsidRPr="009C6A9A">
              <w:rPr>
                <w:rFonts w:cs="Arial"/>
                <w:color w:val="000000"/>
                <w:szCs w:val="18"/>
                <w:vertAlign w:val="subscript"/>
                <w:lang w:eastAsia="en-GB"/>
              </w:rPr>
              <w:t>4</w:t>
            </w:r>
            <w:r w:rsidRPr="009C6A9A">
              <w:rPr>
                <w:rFonts w:cs="Arial"/>
                <w:color w:val="000000"/>
                <w:szCs w:val="18"/>
                <w:vertAlign w:val="superscript"/>
                <w:lang w:eastAsia="en-GB"/>
              </w:rPr>
              <w:t>3-</w:t>
            </w:r>
            <w:r w:rsidRPr="009C6A9A">
              <w:rPr>
                <w:rFonts w:cs="Arial"/>
                <w:color w:val="000000"/>
                <w:szCs w:val="18"/>
                <w:lang w:eastAsia="en-GB"/>
              </w:rPr>
              <w:t>eq</w:t>
            </w:r>
          </w:p>
        </w:tc>
      </w:tr>
      <w:tr w:rsidR="009C6A9A" w:rsidRPr="00453D5D" w14:paraId="05E49645" w14:textId="77777777" w:rsidTr="009C6A9A">
        <w:trPr>
          <w:trHeight w:val="20"/>
        </w:trPr>
        <w:tc>
          <w:tcPr>
            <w:tcW w:w="3402" w:type="dxa"/>
            <w:tcBorders>
              <w:top w:val="nil"/>
              <w:left w:val="nil"/>
              <w:bottom w:val="nil"/>
              <w:right w:val="nil"/>
            </w:tcBorders>
            <w:shd w:val="clear" w:color="000000" w:fill="FFFFFF"/>
            <w:vAlign w:val="center"/>
            <w:hideMark/>
          </w:tcPr>
          <w:p w14:paraId="49C7CDEC" w14:textId="2FC3547E"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Global warming</w:t>
            </w:r>
          </w:p>
        </w:tc>
        <w:tc>
          <w:tcPr>
            <w:tcW w:w="2268" w:type="dxa"/>
            <w:tcBorders>
              <w:top w:val="nil"/>
              <w:left w:val="nil"/>
              <w:bottom w:val="nil"/>
              <w:right w:val="nil"/>
            </w:tcBorders>
            <w:shd w:val="clear" w:color="auto" w:fill="auto"/>
            <w:vAlign w:val="center"/>
            <w:hideMark/>
          </w:tcPr>
          <w:p w14:paraId="1133A8EF"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kg CO</w:t>
            </w:r>
            <w:r w:rsidRPr="009C6A9A">
              <w:rPr>
                <w:rFonts w:cs="Arial"/>
                <w:color w:val="000000"/>
                <w:szCs w:val="18"/>
                <w:vertAlign w:val="subscript"/>
                <w:lang w:eastAsia="en-GB"/>
              </w:rPr>
              <w:t xml:space="preserve">2 </w:t>
            </w:r>
            <w:r w:rsidRPr="009C6A9A">
              <w:rPr>
                <w:rFonts w:cs="Arial"/>
                <w:color w:val="000000"/>
                <w:szCs w:val="18"/>
                <w:lang w:eastAsia="en-GB"/>
              </w:rPr>
              <w:t>eq</w:t>
            </w:r>
          </w:p>
        </w:tc>
      </w:tr>
      <w:tr w:rsidR="009C6A9A" w:rsidRPr="00453D5D" w14:paraId="775CCC12" w14:textId="77777777" w:rsidTr="009C6A9A">
        <w:trPr>
          <w:trHeight w:val="20"/>
        </w:trPr>
        <w:tc>
          <w:tcPr>
            <w:tcW w:w="3402" w:type="dxa"/>
            <w:tcBorders>
              <w:top w:val="nil"/>
              <w:left w:val="nil"/>
              <w:bottom w:val="nil"/>
              <w:right w:val="nil"/>
            </w:tcBorders>
            <w:shd w:val="clear" w:color="000000" w:fill="FFFFFF"/>
            <w:vAlign w:val="center"/>
            <w:hideMark/>
          </w:tcPr>
          <w:p w14:paraId="2D658672"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Photochemical oxidation</w:t>
            </w:r>
          </w:p>
        </w:tc>
        <w:tc>
          <w:tcPr>
            <w:tcW w:w="2268" w:type="dxa"/>
            <w:tcBorders>
              <w:top w:val="nil"/>
              <w:left w:val="nil"/>
              <w:bottom w:val="nil"/>
              <w:right w:val="nil"/>
            </w:tcBorders>
            <w:shd w:val="clear" w:color="auto" w:fill="auto"/>
            <w:vAlign w:val="center"/>
            <w:hideMark/>
          </w:tcPr>
          <w:p w14:paraId="2AE391CA"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kg NMVOC</w:t>
            </w:r>
          </w:p>
        </w:tc>
      </w:tr>
      <w:tr w:rsidR="009C6A9A" w:rsidRPr="00453D5D" w14:paraId="22EC204F" w14:textId="77777777" w:rsidTr="009C6A9A">
        <w:trPr>
          <w:trHeight w:val="20"/>
        </w:trPr>
        <w:tc>
          <w:tcPr>
            <w:tcW w:w="3402" w:type="dxa"/>
            <w:tcBorders>
              <w:top w:val="nil"/>
              <w:left w:val="nil"/>
              <w:bottom w:val="nil"/>
              <w:right w:val="nil"/>
            </w:tcBorders>
            <w:shd w:val="clear" w:color="000000" w:fill="FFFFFF"/>
            <w:vAlign w:val="center"/>
            <w:hideMark/>
          </w:tcPr>
          <w:p w14:paraId="3E0DB8A3" w14:textId="64D3DF5B"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 xml:space="preserve">Abiotic depletion </w:t>
            </w:r>
            <w:r w:rsidRPr="00453D5D">
              <w:rPr>
                <w:rFonts w:cs="Arial"/>
                <w:szCs w:val="18"/>
                <w:lang w:eastAsia="en-GB"/>
              </w:rPr>
              <w:t xml:space="preserve">of </w:t>
            </w:r>
            <w:r w:rsidRPr="009C6A9A">
              <w:rPr>
                <w:rFonts w:cs="Arial"/>
                <w:szCs w:val="18"/>
                <w:lang w:eastAsia="en-GB"/>
              </w:rPr>
              <w:t>elements</w:t>
            </w:r>
          </w:p>
        </w:tc>
        <w:tc>
          <w:tcPr>
            <w:tcW w:w="2268" w:type="dxa"/>
            <w:tcBorders>
              <w:top w:val="nil"/>
              <w:left w:val="nil"/>
              <w:bottom w:val="nil"/>
              <w:right w:val="nil"/>
            </w:tcBorders>
            <w:shd w:val="clear" w:color="auto" w:fill="auto"/>
            <w:vAlign w:val="center"/>
            <w:hideMark/>
          </w:tcPr>
          <w:p w14:paraId="2F7126D9"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kg Sb eq</w:t>
            </w:r>
          </w:p>
        </w:tc>
      </w:tr>
      <w:tr w:rsidR="009C6A9A" w:rsidRPr="00453D5D" w14:paraId="4944C981" w14:textId="77777777" w:rsidTr="009C6A9A">
        <w:trPr>
          <w:trHeight w:val="20"/>
        </w:trPr>
        <w:tc>
          <w:tcPr>
            <w:tcW w:w="3402" w:type="dxa"/>
            <w:tcBorders>
              <w:top w:val="nil"/>
              <w:left w:val="nil"/>
              <w:bottom w:val="nil"/>
              <w:right w:val="nil"/>
            </w:tcBorders>
            <w:shd w:val="clear" w:color="000000" w:fill="FFFFFF"/>
            <w:vAlign w:val="center"/>
            <w:hideMark/>
          </w:tcPr>
          <w:p w14:paraId="57A0497E" w14:textId="39EA1928"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szCs w:val="18"/>
                <w:lang w:eastAsia="en-GB"/>
              </w:rPr>
              <w:t>Abiotic depletion</w:t>
            </w:r>
            <w:r w:rsidRPr="00453D5D">
              <w:rPr>
                <w:rFonts w:cs="Arial"/>
                <w:szCs w:val="18"/>
                <w:lang w:eastAsia="en-GB"/>
              </w:rPr>
              <w:t xml:space="preserve"> of </w:t>
            </w:r>
            <w:r w:rsidRPr="009C6A9A">
              <w:rPr>
                <w:rFonts w:cs="Arial"/>
                <w:szCs w:val="18"/>
                <w:lang w:eastAsia="en-GB"/>
              </w:rPr>
              <w:t>fossil fuels</w:t>
            </w:r>
          </w:p>
        </w:tc>
        <w:tc>
          <w:tcPr>
            <w:tcW w:w="2268" w:type="dxa"/>
            <w:tcBorders>
              <w:top w:val="nil"/>
              <w:left w:val="nil"/>
              <w:bottom w:val="nil"/>
              <w:right w:val="nil"/>
            </w:tcBorders>
            <w:shd w:val="clear" w:color="auto" w:fill="auto"/>
            <w:vAlign w:val="center"/>
            <w:hideMark/>
          </w:tcPr>
          <w:p w14:paraId="3B305BF6" w14:textId="77777777" w:rsidR="009C6A9A" w:rsidRPr="009C6A9A" w:rsidRDefault="009C6A9A" w:rsidP="009C6A9A">
            <w:pPr>
              <w:tabs>
                <w:tab w:val="clear" w:pos="7100"/>
              </w:tabs>
              <w:spacing w:line="240" w:lineRule="auto"/>
              <w:jc w:val="left"/>
              <w:rPr>
                <w:rFonts w:cs="Arial"/>
                <w:color w:val="000000"/>
                <w:szCs w:val="18"/>
                <w:lang w:eastAsia="en-GB"/>
              </w:rPr>
            </w:pPr>
            <w:r w:rsidRPr="009C6A9A">
              <w:rPr>
                <w:rFonts w:cs="Arial"/>
                <w:color w:val="000000"/>
                <w:szCs w:val="18"/>
                <w:lang w:eastAsia="en-GB"/>
              </w:rPr>
              <w:t>MJ</w:t>
            </w:r>
          </w:p>
        </w:tc>
      </w:tr>
      <w:tr w:rsidR="001A3FB3" w:rsidRPr="00453D5D" w14:paraId="6A2B4BA1" w14:textId="77777777" w:rsidTr="00E67D6F">
        <w:trPr>
          <w:trHeight w:val="20"/>
        </w:trPr>
        <w:tc>
          <w:tcPr>
            <w:tcW w:w="3402" w:type="dxa"/>
            <w:tcBorders>
              <w:top w:val="nil"/>
              <w:left w:val="nil"/>
              <w:bottom w:val="nil"/>
              <w:right w:val="nil"/>
            </w:tcBorders>
            <w:shd w:val="clear" w:color="auto" w:fill="auto"/>
            <w:vAlign w:val="bottom"/>
          </w:tcPr>
          <w:p w14:paraId="6EF32B3C" w14:textId="6E3F3CAF" w:rsidR="001A3FB3" w:rsidRPr="001A3FB3" w:rsidRDefault="001A3FB3" w:rsidP="001A3FB3">
            <w:pPr>
              <w:tabs>
                <w:tab w:val="clear" w:pos="7100"/>
              </w:tabs>
              <w:spacing w:line="240" w:lineRule="auto"/>
              <w:jc w:val="left"/>
              <w:rPr>
                <w:rFonts w:cs="Arial"/>
                <w:szCs w:val="18"/>
                <w:lang w:eastAsia="en-GB"/>
              </w:rPr>
            </w:pPr>
            <w:r w:rsidRPr="001A3FB3">
              <w:rPr>
                <w:rFonts w:cs="Arial"/>
                <w:szCs w:val="18"/>
                <w:lang w:eastAsia="en-GB"/>
              </w:rPr>
              <w:t>Water scarcity</w:t>
            </w:r>
          </w:p>
        </w:tc>
        <w:tc>
          <w:tcPr>
            <w:tcW w:w="2268" w:type="dxa"/>
            <w:tcBorders>
              <w:top w:val="nil"/>
              <w:left w:val="nil"/>
              <w:bottom w:val="nil"/>
              <w:right w:val="nil"/>
            </w:tcBorders>
            <w:shd w:val="clear" w:color="auto" w:fill="auto"/>
            <w:vAlign w:val="bottom"/>
          </w:tcPr>
          <w:p w14:paraId="01CE80AE" w14:textId="0B07FDB0" w:rsidR="001A3FB3" w:rsidRPr="009C6A9A" w:rsidRDefault="001A3FB3" w:rsidP="001A3FB3">
            <w:pPr>
              <w:tabs>
                <w:tab w:val="clear" w:pos="7100"/>
              </w:tabs>
              <w:spacing w:line="240" w:lineRule="auto"/>
              <w:jc w:val="left"/>
              <w:rPr>
                <w:rFonts w:cs="Arial"/>
                <w:color w:val="000000"/>
                <w:szCs w:val="18"/>
                <w:lang w:eastAsia="en-GB"/>
              </w:rPr>
            </w:pPr>
            <w:r>
              <w:rPr>
                <w:rFonts w:ascii="Calibri" w:hAnsi="Calibri" w:cs="Calibri"/>
                <w:color w:val="000000"/>
                <w:sz w:val="22"/>
                <w:szCs w:val="22"/>
              </w:rPr>
              <w:t>m</w:t>
            </w:r>
            <w:r>
              <w:rPr>
                <w:rFonts w:ascii="Calibri" w:hAnsi="Calibri" w:cs="Calibri"/>
                <w:color w:val="000000"/>
                <w:sz w:val="22"/>
                <w:szCs w:val="22"/>
                <w:vertAlign w:val="superscript"/>
              </w:rPr>
              <w:t>3</w:t>
            </w:r>
            <w:r>
              <w:rPr>
                <w:rFonts w:ascii="Calibri" w:hAnsi="Calibri" w:cs="Calibri"/>
                <w:color w:val="000000"/>
                <w:sz w:val="22"/>
                <w:szCs w:val="22"/>
              </w:rPr>
              <w:t xml:space="preserve"> eq</w:t>
            </w:r>
          </w:p>
        </w:tc>
      </w:tr>
      <w:tr w:rsidR="001A3FB3" w:rsidRPr="00453D5D" w14:paraId="28ED9809" w14:textId="77777777" w:rsidTr="001A3FB3">
        <w:trPr>
          <w:trHeight w:val="20"/>
        </w:trPr>
        <w:tc>
          <w:tcPr>
            <w:tcW w:w="3402" w:type="dxa"/>
            <w:tcBorders>
              <w:top w:val="nil"/>
              <w:left w:val="nil"/>
              <w:bottom w:val="single" w:sz="12" w:space="0" w:color="007000"/>
              <w:right w:val="nil"/>
            </w:tcBorders>
            <w:shd w:val="clear" w:color="auto" w:fill="auto"/>
            <w:vAlign w:val="bottom"/>
          </w:tcPr>
          <w:p w14:paraId="1DDF8FA2" w14:textId="4848C2AD" w:rsidR="001A3FB3" w:rsidRPr="001A3FB3" w:rsidRDefault="001A3FB3" w:rsidP="001A3FB3">
            <w:pPr>
              <w:tabs>
                <w:tab w:val="clear" w:pos="7100"/>
              </w:tabs>
              <w:spacing w:line="240" w:lineRule="auto"/>
              <w:jc w:val="left"/>
              <w:rPr>
                <w:rFonts w:cs="Arial"/>
                <w:szCs w:val="18"/>
                <w:lang w:eastAsia="en-GB"/>
              </w:rPr>
            </w:pPr>
            <w:r w:rsidRPr="001A3FB3">
              <w:rPr>
                <w:rFonts w:cs="Arial"/>
                <w:szCs w:val="18"/>
                <w:lang w:eastAsia="en-GB"/>
              </w:rPr>
              <w:t>Ozone layer depletio</w:t>
            </w:r>
            <w:r>
              <w:rPr>
                <w:rFonts w:cs="Arial"/>
                <w:szCs w:val="18"/>
                <w:lang w:eastAsia="en-GB"/>
              </w:rPr>
              <w:t>n</w:t>
            </w:r>
          </w:p>
        </w:tc>
        <w:tc>
          <w:tcPr>
            <w:tcW w:w="2268" w:type="dxa"/>
            <w:tcBorders>
              <w:top w:val="nil"/>
              <w:left w:val="nil"/>
              <w:bottom w:val="single" w:sz="12" w:space="0" w:color="007000"/>
              <w:right w:val="nil"/>
            </w:tcBorders>
            <w:shd w:val="clear" w:color="auto" w:fill="auto"/>
            <w:vAlign w:val="bottom"/>
          </w:tcPr>
          <w:p w14:paraId="2495FBE7" w14:textId="182C34CD" w:rsidR="001A3FB3" w:rsidRPr="009C6A9A" w:rsidRDefault="001A3FB3" w:rsidP="001A3FB3">
            <w:pPr>
              <w:tabs>
                <w:tab w:val="clear" w:pos="7100"/>
              </w:tabs>
              <w:spacing w:line="240" w:lineRule="auto"/>
              <w:jc w:val="left"/>
              <w:rPr>
                <w:rFonts w:cs="Arial"/>
                <w:color w:val="000000"/>
                <w:szCs w:val="18"/>
                <w:lang w:eastAsia="en-GB"/>
              </w:rPr>
            </w:pPr>
            <w:r>
              <w:rPr>
                <w:rFonts w:ascii="Calibri" w:hAnsi="Calibri" w:cs="Calibri"/>
                <w:color w:val="000000"/>
                <w:sz w:val="22"/>
                <w:szCs w:val="22"/>
              </w:rPr>
              <w:t xml:space="preserve">kg </w:t>
            </w:r>
            <w:r w:rsidRPr="001A3FB3">
              <w:rPr>
                <w:rFonts w:ascii="Calibri" w:hAnsi="Calibri" w:cs="Calibri"/>
                <w:color w:val="000000"/>
                <w:sz w:val="22"/>
                <w:szCs w:val="22"/>
              </w:rPr>
              <w:t>CFC-11</w:t>
            </w:r>
            <w:r>
              <w:rPr>
                <w:rFonts w:ascii="Calibri" w:hAnsi="Calibri" w:cs="Calibri"/>
                <w:color w:val="000000"/>
                <w:sz w:val="22"/>
                <w:szCs w:val="22"/>
              </w:rPr>
              <w:t xml:space="preserve"> eq</w:t>
            </w:r>
          </w:p>
        </w:tc>
      </w:tr>
      <w:bookmarkEnd w:id="4"/>
    </w:tbl>
    <w:p w14:paraId="72F5038B" w14:textId="77777777" w:rsidR="009C6A9A" w:rsidRPr="00453D5D" w:rsidRDefault="009C6A9A" w:rsidP="00453E24">
      <w:pPr>
        <w:pStyle w:val="CETBodytext"/>
        <w:rPr>
          <w:lang w:val="en-GB"/>
        </w:rPr>
      </w:pPr>
    </w:p>
    <w:p w14:paraId="18BAFA6F" w14:textId="0FF23F22" w:rsidR="00453E24" w:rsidRPr="00453D5D" w:rsidRDefault="007D7554" w:rsidP="00453E24">
      <w:pPr>
        <w:pStyle w:val="CETheadingx"/>
        <w:rPr>
          <w:lang w:val="en-GB"/>
        </w:rPr>
      </w:pPr>
      <w:r>
        <w:rPr>
          <w:lang w:val="en-GB"/>
        </w:rPr>
        <w:t>The case study</w:t>
      </w:r>
      <w:r w:rsidR="00294FDA" w:rsidRPr="00453D5D">
        <w:rPr>
          <w:lang w:val="en-GB"/>
        </w:rPr>
        <w:t xml:space="preserve"> of the electrode</w:t>
      </w:r>
    </w:p>
    <w:p w14:paraId="15755EC6" w14:textId="1C5411A9" w:rsidR="00456733" w:rsidRDefault="001626A5" w:rsidP="005C6EF1">
      <w:pPr>
        <w:pStyle w:val="CETBodytext"/>
        <w:rPr>
          <w:lang w:val="en-GB"/>
        </w:rPr>
      </w:pPr>
      <w:r w:rsidRPr="00453D5D">
        <w:rPr>
          <w:lang w:val="en-GB"/>
        </w:rPr>
        <w:t xml:space="preserve">The "nanowire" electrodes under investigation consist of nanowires composed of a NiFeP alloy, with average diameters on the order of a few hundred </w:t>
      </w:r>
      <w:r w:rsidR="008B3E37" w:rsidRPr="00453D5D">
        <w:rPr>
          <w:lang w:val="en-GB"/>
        </w:rPr>
        <w:t>n</w:t>
      </w:r>
      <w:r w:rsidR="008B3E37">
        <w:rPr>
          <w:lang w:val="en-GB"/>
        </w:rPr>
        <w:t>anometres</w:t>
      </w:r>
      <w:r w:rsidRPr="00453D5D">
        <w:rPr>
          <w:lang w:val="en-GB"/>
        </w:rPr>
        <w:t xml:space="preserve">. These electrodes are fabricated </w:t>
      </w:r>
      <w:r w:rsidR="001372A8">
        <w:rPr>
          <w:lang w:val="en-GB"/>
        </w:rPr>
        <w:t>using</w:t>
      </w:r>
      <w:r w:rsidRPr="00453D5D">
        <w:rPr>
          <w:lang w:val="en-GB"/>
        </w:rPr>
        <w:t xml:space="preserve"> a Cyclopore track-etched polycarbonate membrane</w:t>
      </w:r>
      <w:r w:rsidR="001372A8">
        <w:rPr>
          <w:lang w:val="en-GB"/>
        </w:rPr>
        <w:t xml:space="preserve">, which </w:t>
      </w:r>
      <w:r w:rsidRPr="00453D5D">
        <w:rPr>
          <w:lang w:val="en-GB"/>
        </w:rPr>
        <w:t xml:space="preserve">serves as a matrix </w:t>
      </w:r>
      <w:r w:rsidR="001372A8" w:rsidRPr="001372A8">
        <w:rPr>
          <w:lang w:val="en-GB"/>
        </w:rPr>
        <w:t>to guide the formation of the conductive nanowires</w:t>
      </w:r>
      <w:r w:rsidR="00453E24" w:rsidRPr="00453D5D">
        <w:rPr>
          <w:lang w:val="en-GB"/>
        </w:rPr>
        <w:t>.</w:t>
      </w:r>
      <w:r w:rsidRPr="00453D5D">
        <w:rPr>
          <w:lang w:val="en-GB"/>
        </w:rPr>
        <w:t xml:space="preserve"> </w:t>
      </w:r>
      <w:r w:rsidR="001372A8" w:rsidRPr="001372A8">
        <w:rPr>
          <w:lang w:val="en-GB"/>
        </w:rPr>
        <w:t xml:space="preserve">The fabrication process, conducted at a laboratory scale, aims to optimize the alloy composition by varying the concentration of sodium hypophosphite, </w:t>
      </w:r>
      <w:r w:rsidR="001372A8">
        <w:rPr>
          <w:lang w:val="en-GB"/>
        </w:rPr>
        <w:t>that is the</w:t>
      </w:r>
      <w:r w:rsidR="001372A8" w:rsidRPr="001372A8">
        <w:rPr>
          <w:lang w:val="en-GB"/>
        </w:rPr>
        <w:t xml:space="preserve"> phosphorus precursor</w:t>
      </w:r>
      <w:r w:rsidR="005C6EF1" w:rsidRPr="00453D5D">
        <w:rPr>
          <w:lang w:val="en-GB"/>
        </w:rPr>
        <w:t xml:space="preserve">. </w:t>
      </w:r>
      <w:r w:rsidR="00456733">
        <w:rPr>
          <w:lang w:val="en-GB"/>
        </w:rPr>
        <w:t xml:space="preserve">The production process is diagrammed in </w:t>
      </w:r>
      <w:r w:rsidR="00456733">
        <w:rPr>
          <w:lang w:val="en-GB"/>
        </w:rPr>
        <w:fldChar w:fldCharType="begin"/>
      </w:r>
      <w:r w:rsidR="00456733">
        <w:rPr>
          <w:lang w:val="en-GB"/>
        </w:rPr>
        <w:instrText xml:space="preserve"> REF _Ref191651779 \h </w:instrText>
      </w:r>
      <w:r w:rsidR="00456733">
        <w:rPr>
          <w:lang w:val="en-GB"/>
        </w:rPr>
      </w:r>
      <w:r w:rsidR="00456733">
        <w:rPr>
          <w:lang w:val="en-GB"/>
        </w:rPr>
        <w:fldChar w:fldCharType="separate"/>
      </w:r>
      <w:r w:rsidR="00456733">
        <w:t xml:space="preserve">Figure </w:t>
      </w:r>
      <w:r w:rsidR="00456733">
        <w:rPr>
          <w:noProof/>
        </w:rPr>
        <w:t>1</w:t>
      </w:r>
      <w:r w:rsidR="00456733">
        <w:rPr>
          <w:lang w:val="en-GB"/>
        </w:rPr>
        <w:fldChar w:fldCharType="end"/>
      </w:r>
      <w:r w:rsidR="00456733">
        <w:rPr>
          <w:lang w:val="en-GB"/>
        </w:rPr>
        <w:t xml:space="preserve"> and it is characterized by three </w:t>
      </w:r>
      <w:r w:rsidR="008B3E37">
        <w:rPr>
          <w:lang w:val="en-GB"/>
        </w:rPr>
        <w:t>stages</w:t>
      </w:r>
      <w:r w:rsidR="00456733">
        <w:rPr>
          <w:lang w:val="en-GB"/>
        </w:rPr>
        <w:t xml:space="preserve">: sputtering, electrodeposition, and </w:t>
      </w:r>
      <w:r w:rsidR="008B3E37">
        <w:rPr>
          <w:lang w:val="en-GB"/>
        </w:rPr>
        <w:t>trichloromethane</w:t>
      </w:r>
      <w:r w:rsidR="00456733">
        <w:rPr>
          <w:lang w:val="en-GB"/>
        </w:rPr>
        <w:t xml:space="preserve"> etching.</w:t>
      </w:r>
    </w:p>
    <w:p w14:paraId="1237A714" w14:textId="77777777" w:rsidR="00B022D4" w:rsidRDefault="00B022D4">
      <w:pPr>
        <w:pStyle w:val="CETBodytext"/>
        <w:keepNext/>
        <w:rPr>
          <w:noProof/>
        </w:rPr>
      </w:pPr>
    </w:p>
    <w:p w14:paraId="5D3D2237" w14:textId="1B33184B" w:rsidR="00456733" w:rsidRDefault="00B022D4" w:rsidP="008B3E37">
      <w:pPr>
        <w:pStyle w:val="CETBodytext"/>
        <w:keepNext/>
      </w:pPr>
      <w:r>
        <w:rPr>
          <w:noProof/>
        </w:rPr>
        <w:drawing>
          <wp:inline distT="0" distB="0" distL="0" distR="0" wp14:anchorId="15179B4E" wp14:editId="4966503F">
            <wp:extent cx="5579745" cy="1228725"/>
            <wp:effectExtent l="0" t="0" r="1905" b="0"/>
            <wp:docPr id="1686957194"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57194" name="Elemento grafico 1686957194"/>
                    <pic:cNvPicPr/>
                  </pic:nvPicPr>
                  <pic:blipFill rotWithShape="1">
                    <a:blip r:embed="rId10">
                      <a:extLst>
                        <a:ext uri="{96DAC541-7B7A-43D3-8B79-37D633B846F1}">
                          <asvg:svgBlip xmlns:asvg="http://schemas.microsoft.com/office/drawing/2016/SVG/main" r:embed="rId11"/>
                        </a:ext>
                      </a:extLst>
                    </a:blip>
                    <a:srcRect t="33852" b="33065"/>
                    <a:stretch/>
                  </pic:blipFill>
                  <pic:spPr bwMode="auto">
                    <a:xfrm>
                      <a:off x="0" y="0"/>
                      <a:ext cx="5579745" cy="1228725"/>
                    </a:xfrm>
                    <a:prstGeom prst="rect">
                      <a:avLst/>
                    </a:prstGeom>
                    <a:ln>
                      <a:noFill/>
                    </a:ln>
                    <a:extLst>
                      <a:ext uri="{53640926-AAD7-44D8-BBD7-CCE9431645EC}">
                        <a14:shadowObscured xmlns:a14="http://schemas.microsoft.com/office/drawing/2010/main"/>
                      </a:ext>
                    </a:extLst>
                  </pic:spPr>
                </pic:pic>
              </a:graphicData>
            </a:graphic>
          </wp:inline>
        </w:drawing>
      </w:r>
    </w:p>
    <w:p w14:paraId="6225DACE" w14:textId="65CA21F6" w:rsidR="00456733" w:rsidRDefault="00456733" w:rsidP="008B3E37">
      <w:pPr>
        <w:pStyle w:val="Didascalia"/>
        <w:jc w:val="both"/>
      </w:pPr>
      <w:bookmarkStart w:id="5" w:name="_Ref191651779"/>
      <w:r>
        <w:t xml:space="preserve">Figure </w:t>
      </w:r>
      <w:r>
        <w:fldChar w:fldCharType="begin"/>
      </w:r>
      <w:r>
        <w:instrText xml:space="preserve"> SEQ Figure \* ARABIC </w:instrText>
      </w:r>
      <w:r>
        <w:fldChar w:fldCharType="separate"/>
      </w:r>
      <w:r>
        <w:rPr>
          <w:noProof/>
        </w:rPr>
        <w:t>1</w:t>
      </w:r>
      <w:r>
        <w:fldChar w:fldCharType="end"/>
      </w:r>
      <w:bookmarkEnd w:id="5"/>
      <w:r>
        <w:t xml:space="preserve"> </w:t>
      </w:r>
      <w:r w:rsidR="00DE33BF">
        <w:t>Description of the p</w:t>
      </w:r>
      <w:r>
        <w:t>roduction process of the electrode</w:t>
      </w:r>
    </w:p>
    <w:p w14:paraId="2DB5AF3E" w14:textId="77777777" w:rsidR="00E826DD" w:rsidRDefault="00E826DD" w:rsidP="005C6EF1">
      <w:pPr>
        <w:pStyle w:val="CETBodytext"/>
        <w:rPr>
          <w:lang w:val="en-GB"/>
        </w:rPr>
      </w:pPr>
    </w:p>
    <w:p w14:paraId="59663F9D" w14:textId="268EF595" w:rsidR="00101573" w:rsidRPr="00453D5D" w:rsidRDefault="00E826DD" w:rsidP="005C6EF1">
      <w:pPr>
        <w:pStyle w:val="CETBodytext"/>
        <w:rPr>
          <w:lang w:val="en-GB"/>
        </w:rPr>
      </w:pPr>
      <w:r w:rsidRPr="00E826DD">
        <w:rPr>
          <w:lang w:val="en-GB"/>
        </w:rPr>
        <w:t>In the following section, the data collection process is examined in relation to the three stages of production.</w:t>
      </w:r>
    </w:p>
    <w:p w14:paraId="2A03AAF8" w14:textId="596B4E80" w:rsidR="00294FDA" w:rsidRPr="00453D5D" w:rsidRDefault="00294FDA" w:rsidP="00294FDA">
      <w:pPr>
        <w:pStyle w:val="CETheadingx"/>
        <w:rPr>
          <w:lang w:val="en-GB"/>
        </w:rPr>
      </w:pPr>
      <w:r w:rsidRPr="00453D5D">
        <w:rPr>
          <w:lang w:val="en-GB"/>
        </w:rPr>
        <w:t>Data</w:t>
      </w:r>
    </w:p>
    <w:p w14:paraId="719A1783" w14:textId="68348624" w:rsidR="005C6EF1" w:rsidRDefault="005C6EF1" w:rsidP="005C6EF1">
      <w:pPr>
        <w:pStyle w:val="CETBodytext"/>
        <w:rPr>
          <w:lang w:val="en-GB"/>
        </w:rPr>
      </w:pPr>
      <w:r w:rsidRPr="00453D5D">
        <w:rPr>
          <w:lang w:val="en-GB"/>
        </w:rPr>
        <w:t xml:space="preserve">Primary data </w:t>
      </w:r>
      <w:r w:rsidR="00294FDA" w:rsidRPr="00453D5D">
        <w:rPr>
          <w:lang w:val="en-GB"/>
        </w:rPr>
        <w:t>related</w:t>
      </w:r>
      <w:r w:rsidRPr="00453D5D">
        <w:rPr>
          <w:lang w:val="en-GB"/>
        </w:rPr>
        <w:t xml:space="preserve"> to the inputs and outputs of the various processing steps </w:t>
      </w:r>
      <w:r w:rsidR="00294FDA" w:rsidRPr="00453D5D">
        <w:rPr>
          <w:lang w:val="en-GB"/>
        </w:rPr>
        <w:t>are</w:t>
      </w:r>
      <w:r w:rsidRPr="00453D5D">
        <w:rPr>
          <w:lang w:val="en-GB"/>
        </w:rPr>
        <w:t xml:space="preserve"> collected experimentally, </w:t>
      </w:r>
      <w:r w:rsidR="00C13B70" w:rsidRPr="00C13B70">
        <w:rPr>
          <w:lang w:val="en-GB"/>
        </w:rPr>
        <w:t>using an electrode prototype with a surface area of</w:t>
      </w:r>
      <w:r w:rsidRPr="00453D5D">
        <w:rPr>
          <w:lang w:val="en-GB"/>
        </w:rPr>
        <w:t xml:space="preserve"> 17.35 cm². The study examines three different experimental conditions by varying the sodium hypophosphite concentration</w:t>
      </w:r>
      <w:r w:rsidR="00E826DD">
        <w:rPr>
          <w:lang w:val="en-GB"/>
        </w:rPr>
        <w:t xml:space="preserve"> in the Watt’s bath</w:t>
      </w:r>
      <w:r w:rsidRPr="00453D5D">
        <w:rPr>
          <w:lang w:val="en-GB"/>
        </w:rPr>
        <w:t xml:space="preserve">, specifically 0.6 g/L, 0.9 g/L, and 1.2 g/L (considering the use of 300 mL of solution in the process). The primary data collected for the prototype are </w:t>
      </w:r>
      <w:r w:rsidR="007D29CE">
        <w:rPr>
          <w:lang w:val="en-GB"/>
        </w:rPr>
        <w:t>indicated</w:t>
      </w:r>
      <w:r w:rsidRPr="00453D5D">
        <w:rPr>
          <w:lang w:val="en-GB"/>
        </w:rPr>
        <w:t xml:space="preserve"> in </w:t>
      </w:r>
      <w:r w:rsidR="007D29CE">
        <w:rPr>
          <w:lang w:val="en-GB"/>
        </w:rPr>
        <w:fldChar w:fldCharType="begin"/>
      </w:r>
      <w:r w:rsidR="007D29CE">
        <w:rPr>
          <w:lang w:val="en-GB"/>
        </w:rPr>
        <w:instrText xml:space="preserve"> REF _Ref191299513 \h </w:instrText>
      </w:r>
      <w:r w:rsidR="007D29CE">
        <w:rPr>
          <w:lang w:val="en-GB"/>
        </w:rPr>
      </w:r>
      <w:r w:rsidR="007D29CE">
        <w:rPr>
          <w:lang w:val="en-GB"/>
        </w:rPr>
        <w:fldChar w:fldCharType="separate"/>
      </w:r>
      <w:r w:rsidR="00456733">
        <w:t xml:space="preserve">Table </w:t>
      </w:r>
      <w:r w:rsidR="00456733">
        <w:rPr>
          <w:noProof/>
        </w:rPr>
        <w:t>2</w:t>
      </w:r>
      <w:r w:rsidR="007D29CE">
        <w:rPr>
          <w:lang w:val="en-GB"/>
        </w:rPr>
        <w:fldChar w:fldCharType="end"/>
      </w:r>
      <w:r w:rsidRPr="00453D5D">
        <w:rPr>
          <w:lang w:val="en-GB"/>
        </w:rPr>
        <w:t xml:space="preserve">. Secondary data employed for the development of eco-profiles for all materials </w:t>
      </w:r>
      <w:r w:rsidRPr="00453D5D">
        <w:rPr>
          <w:lang w:val="en-GB"/>
        </w:rPr>
        <w:lastRenderedPageBreak/>
        <w:t xml:space="preserve">and energy sources </w:t>
      </w:r>
      <w:r w:rsidR="00C13B70">
        <w:rPr>
          <w:lang w:val="en-GB"/>
        </w:rPr>
        <w:t>a</w:t>
      </w:r>
      <w:r w:rsidRPr="00453D5D">
        <w:rPr>
          <w:lang w:val="en-GB"/>
        </w:rPr>
        <w:t xml:space="preserve">re extracted from the Ecoinvent database </w:t>
      </w:r>
      <w:r w:rsidRPr="00453D5D">
        <w:rPr>
          <w:lang w:val="en-GB"/>
        </w:rPr>
        <w:fldChar w:fldCharType="begin"/>
      </w:r>
      <w:r w:rsidRPr="00453D5D">
        <w:rPr>
          <w:lang w:val="en-GB"/>
        </w:rPr>
        <w:instrText xml:space="preserve"> ADDIN ZOTERO_ITEM CSL_CITATION {"citationID":"dCw0tT1V","properties":{"formattedCitation":"(Wernet et al., 2016)","plainCitation":"(Wernet et al., 2016)","noteIndex":0},"citationItems":[{"id":75,"uris":["http://zotero.org/users/13829784/items/YD98N5BQ"],"itemData":{"id":75,"type":"article-journal","container-title":"The International Journal of Life Cycle Assessment","DOI":"10.1007/s11367-016-1087-8","ISSN":"0948-3349, 1614-7502","issue":"9","journalAbbreviation":"Int J Life Cycle Assess","language":"en","page":"1218-1230","source":"DOI.org (Crossref)","title":"The ecoinvent database version 3 (part I): overview and methodology","title-short":"The ecoinvent database version 3 (part I)","volume":"21","author":[{"family":"Wernet","given":"Gregor"},{"family":"Bauer","given":"Christian"},{"family":"Steubing","given":"Bernhard"},{"family":"Reinhard","given":"Jürgen"},{"family":"Moreno-Ruiz","given":"Emilia"},{"family":"Weidema","given":"Bo"}],"issued":{"date-parts":[["2016",9]]}}}],"schema":"https://github.com/citation-style-language/schema/raw/master/csl-citation.json"} </w:instrText>
      </w:r>
      <w:r w:rsidRPr="00453D5D">
        <w:rPr>
          <w:lang w:val="en-GB"/>
        </w:rPr>
        <w:fldChar w:fldCharType="separate"/>
      </w:r>
      <w:r w:rsidRPr="00453D5D">
        <w:rPr>
          <w:rFonts w:cs="Arial"/>
          <w:lang w:val="en-GB"/>
        </w:rPr>
        <w:t>(Wernet et al., 2016)</w:t>
      </w:r>
      <w:r w:rsidRPr="00453D5D">
        <w:rPr>
          <w:lang w:val="en-GB"/>
        </w:rPr>
        <w:fldChar w:fldCharType="end"/>
      </w:r>
      <w:r w:rsidRPr="00453D5D">
        <w:rPr>
          <w:lang w:val="en-GB"/>
        </w:rPr>
        <w:t xml:space="preserve"> and are referenced within the European context.</w:t>
      </w:r>
      <w:r w:rsidR="00C13B70">
        <w:rPr>
          <w:lang w:val="en-GB"/>
        </w:rPr>
        <w:t xml:space="preserve"> </w:t>
      </w:r>
    </w:p>
    <w:p w14:paraId="72B67718" w14:textId="77777777" w:rsidR="0022469F" w:rsidRPr="00453D5D" w:rsidRDefault="0022469F" w:rsidP="005C6EF1">
      <w:pPr>
        <w:pStyle w:val="CETBodytext"/>
        <w:rPr>
          <w:lang w:val="en-GB"/>
        </w:rPr>
      </w:pPr>
    </w:p>
    <w:p w14:paraId="31311B48" w14:textId="5CC1C8D1" w:rsidR="00453D5D" w:rsidRDefault="00453D5D" w:rsidP="00453D5D">
      <w:pPr>
        <w:pStyle w:val="Didascalia"/>
        <w:keepNext/>
      </w:pPr>
      <w:bookmarkStart w:id="6" w:name="_Ref191299513"/>
      <w:r>
        <w:t xml:space="preserve">Table </w:t>
      </w:r>
      <w:r>
        <w:fldChar w:fldCharType="begin"/>
      </w:r>
      <w:r>
        <w:instrText xml:space="preserve"> SEQ Table \* ARABIC </w:instrText>
      </w:r>
      <w:r>
        <w:fldChar w:fldCharType="separate"/>
      </w:r>
      <w:r w:rsidR="00456733">
        <w:rPr>
          <w:noProof/>
        </w:rPr>
        <w:t>2</w:t>
      </w:r>
      <w:r>
        <w:fldChar w:fldCharType="end"/>
      </w:r>
      <w:bookmarkEnd w:id="6"/>
      <w:r w:rsidR="007D29CE">
        <w:t xml:space="preserve"> Primary data of the electrodes</w:t>
      </w:r>
    </w:p>
    <w:tbl>
      <w:tblPr>
        <w:tblW w:w="5386" w:type="dxa"/>
        <w:tblLook w:val="04A0" w:firstRow="1" w:lastRow="0" w:firstColumn="1" w:lastColumn="0" w:noHBand="0" w:noVBand="1"/>
      </w:tblPr>
      <w:tblGrid>
        <w:gridCol w:w="2268"/>
        <w:gridCol w:w="1644"/>
        <w:gridCol w:w="1474"/>
      </w:tblGrid>
      <w:tr w:rsidR="00453D5D" w:rsidRPr="00453D5D" w14:paraId="28D65A87" w14:textId="77777777" w:rsidTr="00453D5D">
        <w:trPr>
          <w:trHeight w:val="20"/>
        </w:trPr>
        <w:tc>
          <w:tcPr>
            <w:tcW w:w="2268" w:type="dxa"/>
            <w:tcBorders>
              <w:top w:val="single" w:sz="12" w:space="0" w:color="008000"/>
              <w:left w:val="nil"/>
              <w:bottom w:val="single" w:sz="8" w:space="0" w:color="008000"/>
              <w:right w:val="nil"/>
            </w:tcBorders>
            <w:shd w:val="clear" w:color="000000" w:fill="FFFFFF"/>
          </w:tcPr>
          <w:p w14:paraId="4F2FCE0B" w14:textId="3FFEB86B" w:rsidR="00294FDA" w:rsidRPr="00453D5D" w:rsidRDefault="00294FDA" w:rsidP="00B32041">
            <w:pPr>
              <w:tabs>
                <w:tab w:val="clear" w:pos="7100"/>
              </w:tabs>
              <w:spacing w:line="240" w:lineRule="auto"/>
              <w:jc w:val="left"/>
              <w:rPr>
                <w:rFonts w:cs="Arial"/>
                <w:szCs w:val="18"/>
                <w:lang w:eastAsia="en-GB"/>
              </w:rPr>
            </w:pPr>
            <w:r w:rsidRPr="00453D5D">
              <w:rPr>
                <w:rFonts w:cs="Arial"/>
                <w:szCs w:val="18"/>
                <w:lang w:eastAsia="en-GB"/>
              </w:rPr>
              <w:t>Stage production</w:t>
            </w:r>
          </w:p>
        </w:tc>
        <w:tc>
          <w:tcPr>
            <w:tcW w:w="1644" w:type="dxa"/>
            <w:tcBorders>
              <w:top w:val="single" w:sz="12" w:space="0" w:color="008000"/>
              <w:left w:val="nil"/>
              <w:bottom w:val="single" w:sz="8" w:space="0" w:color="008000"/>
              <w:right w:val="nil"/>
            </w:tcBorders>
            <w:shd w:val="clear" w:color="000000" w:fill="FFFFFF"/>
            <w:vAlign w:val="center"/>
            <w:hideMark/>
          </w:tcPr>
          <w:p w14:paraId="70589501" w14:textId="428F0B51" w:rsidR="00294FDA" w:rsidRPr="009C6A9A" w:rsidRDefault="00294FDA" w:rsidP="00B32041">
            <w:pPr>
              <w:tabs>
                <w:tab w:val="clear" w:pos="7100"/>
              </w:tabs>
              <w:spacing w:line="240" w:lineRule="auto"/>
              <w:jc w:val="left"/>
              <w:rPr>
                <w:rFonts w:cs="Arial"/>
                <w:color w:val="000000"/>
                <w:szCs w:val="18"/>
                <w:lang w:eastAsia="en-GB"/>
              </w:rPr>
            </w:pPr>
            <w:r w:rsidRPr="00453D5D">
              <w:rPr>
                <w:rFonts w:cs="Arial"/>
                <w:szCs w:val="18"/>
                <w:lang w:eastAsia="en-GB"/>
              </w:rPr>
              <w:t>Input</w:t>
            </w:r>
          </w:p>
        </w:tc>
        <w:tc>
          <w:tcPr>
            <w:tcW w:w="1474" w:type="dxa"/>
            <w:tcBorders>
              <w:top w:val="single" w:sz="12" w:space="0" w:color="008000"/>
              <w:left w:val="nil"/>
              <w:bottom w:val="single" w:sz="8" w:space="0" w:color="008000"/>
              <w:right w:val="nil"/>
            </w:tcBorders>
            <w:shd w:val="clear" w:color="000000" w:fill="FFFFFF"/>
            <w:vAlign w:val="center"/>
            <w:hideMark/>
          </w:tcPr>
          <w:p w14:paraId="115945C5" w14:textId="3C7C85C5" w:rsidR="00294FDA" w:rsidRPr="009C6A9A" w:rsidRDefault="00294FDA" w:rsidP="00B32041">
            <w:pPr>
              <w:tabs>
                <w:tab w:val="clear" w:pos="7100"/>
              </w:tabs>
              <w:spacing w:line="240" w:lineRule="auto"/>
              <w:jc w:val="left"/>
              <w:rPr>
                <w:rFonts w:cs="Arial"/>
                <w:color w:val="000000"/>
                <w:szCs w:val="18"/>
                <w:lang w:eastAsia="en-GB"/>
              </w:rPr>
            </w:pPr>
            <w:r w:rsidRPr="00453D5D">
              <w:rPr>
                <w:rFonts w:cs="Arial"/>
                <w:color w:val="000000"/>
                <w:szCs w:val="18"/>
                <w:lang w:eastAsia="en-GB"/>
              </w:rPr>
              <w:t>Amount</w:t>
            </w:r>
          </w:p>
        </w:tc>
      </w:tr>
      <w:tr w:rsidR="00453D5D" w:rsidRPr="00453D5D" w14:paraId="6CDB326C" w14:textId="77777777" w:rsidTr="00453D5D">
        <w:trPr>
          <w:trHeight w:val="20"/>
        </w:trPr>
        <w:tc>
          <w:tcPr>
            <w:tcW w:w="2268" w:type="dxa"/>
            <w:tcBorders>
              <w:top w:val="nil"/>
              <w:left w:val="nil"/>
              <w:right w:val="nil"/>
            </w:tcBorders>
            <w:shd w:val="clear" w:color="000000" w:fill="FFFFFF"/>
            <w:vAlign w:val="center"/>
          </w:tcPr>
          <w:p w14:paraId="406DFE77" w14:textId="5A49E67E" w:rsidR="00453D5D" w:rsidRPr="00453D5D" w:rsidRDefault="00453D5D" w:rsidP="00453D5D">
            <w:pPr>
              <w:tabs>
                <w:tab w:val="clear" w:pos="7100"/>
              </w:tabs>
              <w:spacing w:line="240" w:lineRule="auto"/>
              <w:jc w:val="left"/>
              <w:rPr>
                <w:rFonts w:cs="Arial"/>
                <w:szCs w:val="18"/>
                <w:lang w:eastAsia="en-GB"/>
              </w:rPr>
            </w:pPr>
          </w:p>
        </w:tc>
        <w:tc>
          <w:tcPr>
            <w:tcW w:w="1644" w:type="dxa"/>
            <w:tcBorders>
              <w:top w:val="nil"/>
              <w:left w:val="nil"/>
              <w:bottom w:val="nil"/>
              <w:right w:val="nil"/>
            </w:tcBorders>
            <w:shd w:val="clear" w:color="000000" w:fill="FFFFFF"/>
            <w:vAlign w:val="center"/>
            <w:hideMark/>
          </w:tcPr>
          <w:p w14:paraId="425BBD37" w14:textId="3C793643"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Electricity</w:t>
            </w:r>
          </w:p>
        </w:tc>
        <w:tc>
          <w:tcPr>
            <w:tcW w:w="1474" w:type="dxa"/>
            <w:tcBorders>
              <w:top w:val="nil"/>
              <w:left w:val="nil"/>
              <w:bottom w:val="nil"/>
              <w:right w:val="nil"/>
            </w:tcBorders>
            <w:shd w:val="clear" w:color="auto" w:fill="auto"/>
            <w:vAlign w:val="center"/>
            <w:hideMark/>
          </w:tcPr>
          <w:p w14:paraId="5476CE75" w14:textId="37D6B109"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6.2 Wh</w:t>
            </w:r>
          </w:p>
        </w:tc>
      </w:tr>
      <w:tr w:rsidR="00453D5D" w:rsidRPr="00453D5D" w14:paraId="4678352C" w14:textId="77777777" w:rsidTr="00453D5D">
        <w:trPr>
          <w:trHeight w:val="20"/>
        </w:trPr>
        <w:tc>
          <w:tcPr>
            <w:tcW w:w="2268" w:type="dxa"/>
            <w:tcBorders>
              <w:left w:val="nil"/>
              <w:right w:val="nil"/>
            </w:tcBorders>
            <w:shd w:val="clear" w:color="000000" w:fill="FFFFFF"/>
            <w:vAlign w:val="center"/>
          </w:tcPr>
          <w:p w14:paraId="5056821B" w14:textId="48C90DD5" w:rsidR="00453D5D" w:rsidRPr="00453D5D" w:rsidRDefault="007D29CE" w:rsidP="00453D5D">
            <w:pPr>
              <w:tabs>
                <w:tab w:val="clear" w:pos="7100"/>
              </w:tabs>
              <w:spacing w:line="240" w:lineRule="auto"/>
              <w:jc w:val="left"/>
              <w:rPr>
                <w:rFonts w:cs="Arial"/>
                <w:szCs w:val="18"/>
                <w:lang w:eastAsia="en-GB"/>
              </w:rPr>
            </w:pPr>
            <w:r w:rsidRPr="00453D5D">
              <w:rPr>
                <w:rFonts w:cs="Arial"/>
                <w:szCs w:val="18"/>
                <w:lang w:eastAsia="en-GB"/>
              </w:rPr>
              <w:t>Sputtering</w:t>
            </w:r>
          </w:p>
        </w:tc>
        <w:tc>
          <w:tcPr>
            <w:tcW w:w="1644" w:type="dxa"/>
            <w:tcBorders>
              <w:top w:val="nil"/>
              <w:left w:val="nil"/>
              <w:bottom w:val="nil"/>
              <w:right w:val="nil"/>
            </w:tcBorders>
            <w:shd w:val="clear" w:color="000000" w:fill="FFFFFF"/>
            <w:vAlign w:val="center"/>
            <w:hideMark/>
          </w:tcPr>
          <w:p w14:paraId="302A43DC" w14:textId="4639575D"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Gold</w:t>
            </w:r>
          </w:p>
        </w:tc>
        <w:tc>
          <w:tcPr>
            <w:tcW w:w="1474" w:type="dxa"/>
            <w:tcBorders>
              <w:top w:val="nil"/>
              <w:left w:val="nil"/>
              <w:bottom w:val="nil"/>
              <w:right w:val="nil"/>
            </w:tcBorders>
            <w:shd w:val="clear" w:color="auto" w:fill="auto"/>
            <w:vAlign w:val="center"/>
            <w:hideMark/>
          </w:tcPr>
          <w:p w14:paraId="607A14AE" w14:textId="27610C1F"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1.6 mg</w:t>
            </w:r>
          </w:p>
        </w:tc>
      </w:tr>
      <w:tr w:rsidR="00453D5D" w:rsidRPr="00453D5D" w14:paraId="5BF49401" w14:textId="77777777" w:rsidTr="007D29CE">
        <w:trPr>
          <w:trHeight w:val="20"/>
        </w:trPr>
        <w:tc>
          <w:tcPr>
            <w:tcW w:w="2268" w:type="dxa"/>
            <w:tcBorders>
              <w:left w:val="nil"/>
              <w:bottom w:val="single" w:sz="4" w:space="0" w:color="008000"/>
              <w:right w:val="nil"/>
            </w:tcBorders>
            <w:shd w:val="clear" w:color="000000" w:fill="FFFFFF"/>
            <w:vAlign w:val="center"/>
          </w:tcPr>
          <w:p w14:paraId="648899D1" w14:textId="77777777" w:rsidR="00453D5D" w:rsidRPr="00453D5D" w:rsidRDefault="00453D5D" w:rsidP="00453D5D">
            <w:pPr>
              <w:tabs>
                <w:tab w:val="clear" w:pos="7100"/>
              </w:tabs>
              <w:spacing w:line="240" w:lineRule="auto"/>
              <w:jc w:val="left"/>
              <w:rPr>
                <w:rFonts w:cs="Arial"/>
                <w:szCs w:val="18"/>
                <w:lang w:eastAsia="en-GB"/>
              </w:rPr>
            </w:pPr>
          </w:p>
        </w:tc>
        <w:tc>
          <w:tcPr>
            <w:tcW w:w="1644" w:type="dxa"/>
            <w:tcBorders>
              <w:top w:val="nil"/>
              <w:left w:val="nil"/>
              <w:bottom w:val="single" w:sz="4" w:space="0" w:color="008000"/>
              <w:right w:val="nil"/>
            </w:tcBorders>
            <w:shd w:val="clear" w:color="000000" w:fill="FFFFFF"/>
            <w:vAlign w:val="center"/>
            <w:hideMark/>
          </w:tcPr>
          <w:p w14:paraId="0C9CAA49" w14:textId="4D47C397"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Polycarbonate</w:t>
            </w:r>
          </w:p>
        </w:tc>
        <w:tc>
          <w:tcPr>
            <w:tcW w:w="1474" w:type="dxa"/>
            <w:tcBorders>
              <w:top w:val="nil"/>
              <w:left w:val="nil"/>
              <w:bottom w:val="single" w:sz="4" w:space="0" w:color="008000"/>
              <w:right w:val="nil"/>
            </w:tcBorders>
            <w:shd w:val="clear" w:color="auto" w:fill="auto"/>
            <w:vAlign w:val="center"/>
            <w:hideMark/>
          </w:tcPr>
          <w:p w14:paraId="713D6911" w14:textId="725496D1" w:rsidR="00453D5D" w:rsidRPr="009C6A9A" w:rsidRDefault="00453D5D" w:rsidP="00453D5D">
            <w:pPr>
              <w:tabs>
                <w:tab w:val="clear" w:pos="7100"/>
              </w:tabs>
              <w:spacing w:line="240" w:lineRule="auto"/>
              <w:jc w:val="left"/>
              <w:rPr>
                <w:rFonts w:cs="Arial"/>
                <w:szCs w:val="18"/>
                <w:lang w:eastAsia="en-GB"/>
              </w:rPr>
            </w:pPr>
            <w:r w:rsidRPr="007D29CE">
              <w:rPr>
                <w:rFonts w:cs="Arial"/>
                <w:szCs w:val="18"/>
                <w:lang w:eastAsia="en-GB"/>
              </w:rPr>
              <w:t>28.1 mg</w:t>
            </w:r>
          </w:p>
        </w:tc>
      </w:tr>
      <w:tr w:rsidR="007D29CE" w:rsidRPr="00453D5D" w14:paraId="3ADC3127" w14:textId="77777777" w:rsidTr="007D29CE">
        <w:trPr>
          <w:trHeight w:val="20"/>
        </w:trPr>
        <w:tc>
          <w:tcPr>
            <w:tcW w:w="2268" w:type="dxa"/>
            <w:tcBorders>
              <w:top w:val="single" w:sz="4" w:space="0" w:color="008000"/>
              <w:left w:val="nil"/>
              <w:right w:val="nil"/>
            </w:tcBorders>
            <w:shd w:val="clear" w:color="000000" w:fill="FFFFFF"/>
            <w:vAlign w:val="center"/>
          </w:tcPr>
          <w:p w14:paraId="21700C1D" w14:textId="2516E750" w:rsidR="007D29CE" w:rsidRPr="00453D5D" w:rsidRDefault="007D29CE" w:rsidP="007D29CE">
            <w:pPr>
              <w:tabs>
                <w:tab w:val="clear" w:pos="7100"/>
              </w:tabs>
              <w:spacing w:line="240" w:lineRule="auto"/>
              <w:jc w:val="left"/>
              <w:rPr>
                <w:rFonts w:cs="Arial"/>
                <w:szCs w:val="18"/>
                <w:lang w:eastAsia="en-GB"/>
              </w:rPr>
            </w:pPr>
          </w:p>
        </w:tc>
        <w:tc>
          <w:tcPr>
            <w:tcW w:w="1644" w:type="dxa"/>
            <w:tcBorders>
              <w:top w:val="single" w:sz="4" w:space="0" w:color="008000"/>
              <w:left w:val="nil"/>
              <w:right w:val="nil"/>
            </w:tcBorders>
            <w:vAlign w:val="center"/>
          </w:tcPr>
          <w:p w14:paraId="7819AD71" w14:textId="5D0A3FDB" w:rsidR="007D29CE" w:rsidRPr="00453D5D" w:rsidRDefault="007D29CE" w:rsidP="00453D5D">
            <w:pPr>
              <w:pStyle w:val="CETBodytext"/>
              <w:jc w:val="left"/>
              <w:rPr>
                <w:rFonts w:cs="Arial"/>
                <w:szCs w:val="18"/>
                <w:lang w:val="en-GB" w:eastAsia="en-GB"/>
              </w:rPr>
            </w:pPr>
            <w:r w:rsidRPr="00453D5D">
              <w:rPr>
                <w:lang w:val="en-GB" w:eastAsia="it-IT"/>
              </w:rPr>
              <w:t>Deionised water</w:t>
            </w:r>
          </w:p>
        </w:tc>
        <w:tc>
          <w:tcPr>
            <w:tcW w:w="1474" w:type="dxa"/>
            <w:tcBorders>
              <w:top w:val="single" w:sz="4" w:space="0" w:color="008000"/>
              <w:left w:val="nil"/>
              <w:bottom w:val="nil"/>
              <w:right w:val="nil"/>
            </w:tcBorders>
            <w:shd w:val="clear" w:color="auto" w:fill="auto"/>
            <w:vAlign w:val="center"/>
          </w:tcPr>
          <w:p w14:paraId="0C1FCBDA" w14:textId="6D408EEB" w:rsidR="007D29CE" w:rsidRPr="009C6A9A" w:rsidRDefault="007D29CE" w:rsidP="00453D5D">
            <w:pPr>
              <w:tabs>
                <w:tab w:val="clear" w:pos="7100"/>
              </w:tabs>
              <w:spacing w:line="240" w:lineRule="auto"/>
              <w:jc w:val="left"/>
              <w:rPr>
                <w:rFonts w:cs="Arial"/>
                <w:szCs w:val="18"/>
                <w:lang w:eastAsia="en-GB"/>
              </w:rPr>
            </w:pPr>
            <w:r w:rsidRPr="0090579D">
              <w:rPr>
                <w:rFonts w:cs="Arial"/>
                <w:szCs w:val="18"/>
                <w:lang w:eastAsia="en-GB"/>
              </w:rPr>
              <w:t>0.03 L</w:t>
            </w:r>
          </w:p>
        </w:tc>
      </w:tr>
      <w:tr w:rsidR="007D29CE" w:rsidRPr="00453D5D" w14:paraId="51EDA4AE" w14:textId="77777777" w:rsidTr="00453D5D">
        <w:trPr>
          <w:trHeight w:val="20"/>
        </w:trPr>
        <w:tc>
          <w:tcPr>
            <w:tcW w:w="2268" w:type="dxa"/>
            <w:tcBorders>
              <w:left w:val="nil"/>
              <w:right w:val="nil"/>
            </w:tcBorders>
            <w:shd w:val="clear" w:color="000000" w:fill="FFFFFF"/>
            <w:vAlign w:val="center"/>
          </w:tcPr>
          <w:p w14:paraId="696B43C3" w14:textId="77777777" w:rsidR="007D29CE" w:rsidRPr="00453D5D" w:rsidRDefault="007D29CE" w:rsidP="00453D5D">
            <w:pPr>
              <w:tabs>
                <w:tab w:val="clear" w:pos="7100"/>
              </w:tabs>
              <w:spacing w:line="240" w:lineRule="auto"/>
              <w:jc w:val="left"/>
              <w:rPr>
                <w:rFonts w:cs="Arial"/>
                <w:szCs w:val="18"/>
                <w:lang w:eastAsia="en-GB"/>
              </w:rPr>
            </w:pPr>
          </w:p>
        </w:tc>
        <w:tc>
          <w:tcPr>
            <w:tcW w:w="1644" w:type="dxa"/>
            <w:vAlign w:val="center"/>
          </w:tcPr>
          <w:p w14:paraId="2C567F88" w14:textId="60B7CFD2" w:rsidR="007D29CE" w:rsidRPr="00453D5D" w:rsidRDefault="007D29CE" w:rsidP="00453D5D">
            <w:pPr>
              <w:pStyle w:val="CETBodytext"/>
              <w:jc w:val="left"/>
              <w:rPr>
                <w:rFonts w:cs="Arial"/>
                <w:szCs w:val="18"/>
                <w:lang w:val="en-GB" w:eastAsia="en-GB"/>
              </w:rPr>
            </w:pPr>
            <w:r w:rsidRPr="00453D5D">
              <w:rPr>
                <w:lang w:val="en-GB" w:eastAsia="it-IT"/>
              </w:rPr>
              <w:t>FeSO</w:t>
            </w:r>
            <w:r w:rsidRPr="00453D5D">
              <w:rPr>
                <w:vertAlign w:val="subscript"/>
                <w:lang w:val="en-GB" w:eastAsia="it-IT"/>
              </w:rPr>
              <w:t>4</w:t>
            </w:r>
          </w:p>
        </w:tc>
        <w:tc>
          <w:tcPr>
            <w:tcW w:w="1474" w:type="dxa"/>
            <w:tcBorders>
              <w:top w:val="nil"/>
              <w:left w:val="nil"/>
              <w:bottom w:val="nil"/>
              <w:right w:val="nil"/>
            </w:tcBorders>
            <w:shd w:val="clear" w:color="auto" w:fill="auto"/>
            <w:vAlign w:val="center"/>
          </w:tcPr>
          <w:p w14:paraId="0D67607F" w14:textId="06AC8E46" w:rsidR="007D29CE" w:rsidRPr="009C6A9A" w:rsidRDefault="007D29CE" w:rsidP="00453D5D">
            <w:pPr>
              <w:tabs>
                <w:tab w:val="clear" w:pos="7100"/>
              </w:tabs>
              <w:spacing w:line="240" w:lineRule="auto"/>
              <w:jc w:val="left"/>
              <w:rPr>
                <w:rFonts w:cs="Arial"/>
                <w:szCs w:val="18"/>
                <w:lang w:eastAsia="en-GB"/>
              </w:rPr>
            </w:pPr>
            <w:r w:rsidRPr="0090579D">
              <w:rPr>
                <w:rFonts w:cs="Arial"/>
                <w:szCs w:val="18"/>
                <w:lang w:eastAsia="en-GB"/>
              </w:rPr>
              <w:t>0.1 g/L</w:t>
            </w:r>
          </w:p>
        </w:tc>
      </w:tr>
      <w:tr w:rsidR="006E23FA" w:rsidRPr="00453D5D" w14:paraId="1729B60B" w14:textId="77777777" w:rsidTr="00453D5D">
        <w:trPr>
          <w:trHeight w:val="20"/>
        </w:trPr>
        <w:tc>
          <w:tcPr>
            <w:tcW w:w="2268" w:type="dxa"/>
            <w:vMerge w:val="restart"/>
            <w:tcBorders>
              <w:left w:val="nil"/>
              <w:right w:val="nil"/>
            </w:tcBorders>
            <w:shd w:val="clear" w:color="000000" w:fill="FFFFFF"/>
            <w:vAlign w:val="center"/>
          </w:tcPr>
          <w:p w14:paraId="26820080" w14:textId="7AB4ACD8" w:rsidR="006E23FA" w:rsidRPr="00453D5D" w:rsidRDefault="006E23FA" w:rsidP="00453D5D">
            <w:pPr>
              <w:tabs>
                <w:tab w:val="clear" w:pos="7100"/>
              </w:tabs>
              <w:spacing w:line="240" w:lineRule="auto"/>
              <w:jc w:val="left"/>
              <w:rPr>
                <w:rFonts w:cs="Arial"/>
                <w:szCs w:val="18"/>
                <w:lang w:eastAsia="en-GB"/>
              </w:rPr>
            </w:pPr>
            <w:r w:rsidRPr="00453D5D">
              <w:rPr>
                <w:rFonts w:cs="Arial"/>
                <w:szCs w:val="18"/>
                <w:lang w:eastAsia="en-GB"/>
              </w:rPr>
              <w:t>Electrodeposition</w:t>
            </w:r>
          </w:p>
        </w:tc>
        <w:tc>
          <w:tcPr>
            <w:tcW w:w="1644" w:type="dxa"/>
            <w:vAlign w:val="center"/>
          </w:tcPr>
          <w:p w14:paraId="6459E62B" w14:textId="24DAC4E2" w:rsidR="006E23FA" w:rsidRPr="00453D5D" w:rsidRDefault="006E23FA" w:rsidP="00453D5D">
            <w:pPr>
              <w:pStyle w:val="CETBodytext"/>
              <w:jc w:val="left"/>
              <w:rPr>
                <w:rFonts w:cs="Arial"/>
                <w:szCs w:val="18"/>
                <w:lang w:val="en-GB" w:eastAsia="en-GB"/>
              </w:rPr>
            </w:pPr>
            <w:r w:rsidRPr="00453D5D">
              <w:rPr>
                <w:lang w:val="en-GB" w:eastAsia="it-IT"/>
              </w:rPr>
              <w:t>H</w:t>
            </w:r>
            <w:r w:rsidRPr="00453D5D">
              <w:rPr>
                <w:vertAlign w:val="subscript"/>
                <w:lang w:val="en-GB" w:eastAsia="it-IT"/>
              </w:rPr>
              <w:t>3</w:t>
            </w:r>
            <w:r w:rsidRPr="00453D5D">
              <w:rPr>
                <w:lang w:val="en-GB" w:eastAsia="it-IT"/>
              </w:rPr>
              <w:t>BO</w:t>
            </w:r>
            <w:r w:rsidRPr="00453D5D">
              <w:rPr>
                <w:vertAlign w:val="subscript"/>
                <w:lang w:val="en-GB" w:eastAsia="it-IT"/>
              </w:rPr>
              <w:t>3</w:t>
            </w:r>
          </w:p>
        </w:tc>
        <w:tc>
          <w:tcPr>
            <w:tcW w:w="1474" w:type="dxa"/>
            <w:tcBorders>
              <w:top w:val="nil"/>
              <w:left w:val="nil"/>
              <w:bottom w:val="nil"/>
              <w:right w:val="nil"/>
            </w:tcBorders>
            <w:shd w:val="clear" w:color="auto" w:fill="auto"/>
            <w:vAlign w:val="center"/>
          </w:tcPr>
          <w:p w14:paraId="67DFFE3F" w14:textId="77BFE771" w:rsidR="006E23FA" w:rsidRPr="0090579D" w:rsidRDefault="006E23FA" w:rsidP="00453D5D">
            <w:pPr>
              <w:tabs>
                <w:tab w:val="clear" w:pos="7100"/>
              </w:tabs>
              <w:spacing w:line="240" w:lineRule="auto"/>
              <w:jc w:val="left"/>
              <w:rPr>
                <w:rFonts w:cs="Arial"/>
                <w:szCs w:val="18"/>
                <w:lang w:eastAsia="en-GB"/>
              </w:rPr>
            </w:pPr>
            <w:r w:rsidRPr="0090579D">
              <w:rPr>
                <w:rFonts w:cs="Arial"/>
                <w:szCs w:val="18"/>
                <w:lang w:eastAsia="en-GB"/>
              </w:rPr>
              <w:t>1.35 g/L</w:t>
            </w:r>
          </w:p>
        </w:tc>
      </w:tr>
      <w:tr w:rsidR="006E23FA" w:rsidRPr="00453D5D" w14:paraId="0BA14250" w14:textId="77777777" w:rsidTr="00453D5D">
        <w:trPr>
          <w:trHeight w:val="20"/>
        </w:trPr>
        <w:tc>
          <w:tcPr>
            <w:tcW w:w="2268" w:type="dxa"/>
            <w:vMerge/>
            <w:tcBorders>
              <w:left w:val="nil"/>
              <w:right w:val="nil"/>
            </w:tcBorders>
            <w:shd w:val="clear" w:color="000000" w:fill="FFFFFF"/>
            <w:vAlign w:val="center"/>
          </w:tcPr>
          <w:p w14:paraId="363980D7" w14:textId="77777777" w:rsidR="006E23FA" w:rsidRPr="00453D5D" w:rsidRDefault="006E23FA" w:rsidP="00453D5D">
            <w:pPr>
              <w:tabs>
                <w:tab w:val="clear" w:pos="7100"/>
              </w:tabs>
              <w:spacing w:line="240" w:lineRule="auto"/>
              <w:jc w:val="left"/>
              <w:rPr>
                <w:rFonts w:cs="Arial"/>
                <w:szCs w:val="18"/>
                <w:lang w:eastAsia="en-GB"/>
              </w:rPr>
            </w:pPr>
          </w:p>
        </w:tc>
        <w:tc>
          <w:tcPr>
            <w:tcW w:w="1644" w:type="dxa"/>
            <w:vAlign w:val="center"/>
          </w:tcPr>
          <w:p w14:paraId="57107E76" w14:textId="181ED5FC" w:rsidR="006E23FA" w:rsidRPr="00453D5D" w:rsidRDefault="006E23FA" w:rsidP="00453D5D">
            <w:pPr>
              <w:pStyle w:val="CETBodytext"/>
              <w:jc w:val="left"/>
              <w:rPr>
                <w:rFonts w:cs="Arial"/>
                <w:szCs w:val="18"/>
                <w:lang w:val="en-GB" w:eastAsia="en-GB"/>
              </w:rPr>
            </w:pPr>
            <w:bookmarkStart w:id="7" w:name="_Hlk159591990"/>
            <w:r w:rsidRPr="00453D5D">
              <w:rPr>
                <w:lang w:val="en-GB" w:eastAsia="it-IT"/>
              </w:rPr>
              <w:t>NaH</w:t>
            </w:r>
            <w:r w:rsidRPr="00453D5D">
              <w:rPr>
                <w:vertAlign w:val="subscript"/>
                <w:lang w:val="en-GB" w:eastAsia="it-IT"/>
              </w:rPr>
              <w:t>2</w:t>
            </w:r>
            <w:r w:rsidRPr="00453D5D">
              <w:rPr>
                <w:lang w:val="en-GB" w:eastAsia="it-IT"/>
              </w:rPr>
              <w:t>PO</w:t>
            </w:r>
            <w:r w:rsidRPr="00453D5D">
              <w:rPr>
                <w:vertAlign w:val="subscript"/>
                <w:lang w:val="en-GB" w:eastAsia="it-IT"/>
              </w:rPr>
              <w:t>2</w:t>
            </w:r>
            <w:bookmarkEnd w:id="7"/>
          </w:p>
        </w:tc>
        <w:tc>
          <w:tcPr>
            <w:tcW w:w="1474" w:type="dxa"/>
            <w:tcBorders>
              <w:top w:val="nil"/>
              <w:left w:val="nil"/>
              <w:bottom w:val="nil"/>
              <w:right w:val="nil"/>
            </w:tcBorders>
            <w:shd w:val="clear" w:color="auto" w:fill="auto"/>
            <w:vAlign w:val="center"/>
          </w:tcPr>
          <w:p w14:paraId="2ED06436" w14:textId="37D03338" w:rsidR="006E23FA" w:rsidRPr="0090579D" w:rsidRDefault="006E23FA" w:rsidP="00453D5D">
            <w:pPr>
              <w:tabs>
                <w:tab w:val="clear" w:pos="7100"/>
              </w:tabs>
              <w:spacing w:line="240" w:lineRule="auto"/>
              <w:jc w:val="left"/>
              <w:rPr>
                <w:rFonts w:cs="Arial"/>
                <w:szCs w:val="18"/>
                <w:lang w:eastAsia="en-GB"/>
              </w:rPr>
            </w:pPr>
            <w:r w:rsidRPr="0090579D">
              <w:rPr>
                <w:rFonts w:cs="Arial"/>
                <w:szCs w:val="18"/>
                <w:lang w:eastAsia="en-GB"/>
              </w:rPr>
              <w:t>0.6-0.9-1.2 g/L</w:t>
            </w:r>
          </w:p>
        </w:tc>
      </w:tr>
      <w:tr w:rsidR="007D29CE" w:rsidRPr="00453D5D" w14:paraId="39879C3C" w14:textId="77777777" w:rsidTr="00453D5D">
        <w:trPr>
          <w:trHeight w:val="20"/>
        </w:trPr>
        <w:tc>
          <w:tcPr>
            <w:tcW w:w="2268" w:type="dxa"/>
            <w:tcBorders>
              <w:left w:val="nil"/>
              <w:right w:val="nil"/>
            </w:tcBorders>
            <w:shd w:val="clear" w:color="000000" w:fill="FFFFFF"/>
            <w:vAlign w:val="center"/>
          </w:tcPr>
          <w:p w14:paraId="4CACC0B8" w14:textId="77777777" w:rsidR="007D29CE" w:rsidRPr="00453D5D" w:rsidRDefault="007D29CE" w:rsidP="00453D5D">
            <w:pPr>
              <w:tabs>
                <w:tab w:val="clear" w:pos="7100"/>
              </w:tabs>
              <w:spacing w:line="240" w:lineRule="auto"/>
              <w:jc w:val="left"/>
              <w:rPr>
                <w:rFonts w:cs="Arial"/>
                <w:szCs w:val="18"/>
                <w:lang w:eastAsia="en-GB"/>
              </w:rPr>
            </w:pPr>
          </w:p>
        </w:tc>
        <w:tc>
          <w:tcPr>
            <w:tcW w:w="1644" w:type="dxa"/>
            <w:vAlign w:val="center"/>
          </w:tcPr>
          <w:p w14:paraId="1A6A3441" w14:textId="1B0712E3" w:rsidR="007D29CE" w:rsidRPr="00453D5D" w:rsidRDefault="007D29CE" w:rsidP="00453D5D">
            <w:pPr>
              <w:pStyle w:val="CETBodytext"/>
              <w:jc w:val="left"/>
              <w:rPr>
                <w:rFonts w:cs="Arial"/>
                <w:szCs w:val="18"/>
                <w:lang w:val="en-GB" w:eastAsia="en-GB"/>
              </w:rPr>
            </w:pPr>
            <w:r w:rsidRPr="00453D5D">
              <w:rPr>
                <w:lang w:val="en-GB" w:eastAsia="it-IT"/>
              </w:rPr>
              <w:t>NiCl</w:t>
            </w:r>
            <w:r w:rsidRPr="00453D5D">
              <w:rPr>
                <w:vertAlign w:val="subscript"/>
                <w:lang w:val="en-GB" w:eastAsia="it-IT"/>
              </w:rPr>
              <w:t>2</w:t>
            </w:r>
          </w:p>
        </w:tc>
        <w:tc>
          <w:tcPr>
            <w:tcW w:w="1474" w:type="dxa"/>
            <w:tcBorders>
              <w:top w:val="nil"/>
              <w:left w:val="nil"/>
              <w:bottom w:val="nil"/>
              <w:right w:val="nil"/>
            </w:tcBorders>
            <w:shd w:val="clear" w:color="auto" w:fill="auto"/>
            <w:vAlign w:val="center"/>
          </w:tcPr>
          <w:p w14:paraId="77635A2E" w14:textId="796C3F3D" w:rsidR="007D29CE" w:rsidRPr="0090579D" w:rsidRDefault="007D29CE" w:rsidP="00453D5D">
            <w:pPr>
              <w:tabs>
                <w:tab w:val="clear" w:pos="7100"/>
              </w:tabs>
              <w:spacing w:line="240" w:lineRule="auto"/>
              <w:jc w:val="left"/>
              <w:rPr>
                <w:rFonts w:cs="Arial"/>
                <w:szCs w:val="18"/>
                <w:lang w:eastAsia="en-GB"/>
              </w:rPr>
            </w:pPr>
            <w:r w:rsidRPr="0090579D">
              <w:rPr>
                <w:rFonts w:cs="Arial"/>
                <w:szCs w:val="18"/>
                <w:lang w:eastAsia="en-GB"/>
              </w:rPr>
              <w:t>1.35 g/L</w:t>
            </w:r>
          </w:p>
        </w:tc>
      </w:tr>
      <w:tr w:rsidR="007D29CE" w:rsidRPr="00453D5D" w14:paraId="45330557" w14:textId="77777777" w:rsidTr="007D29CE">
        <w:trPr>
          <w:trHeight w:val="20"/>
        </w:trPr>
        <w:tc>
          <w:tcPr>
            <w:tcW w:w="2268" w:type="dxa"/>
            <w:tcBorders>
              <w:left w:val="nil"/>
              <w:bottom w:val="single" w:sz="4" w:space="0" w:color="008000"/>
              <w:right w:val="nil"/>
            </w:tcBorders>
            <w:shd w:val="clear" w:color="000000" w:fill="FFFFFF"/>
            <w:vAlign w:val="center"/>
          </w:tcPr>
          <w:p w14:paraId="228177A6" w14:textId="77777777" w:rsidR="007D29CE" w:rsidRPr="00453D5D" w:rsidRDefault="007D29CE" w:rsidP="00453D5D">
            <w:pPr>
              <w:tabs>
                <w:tab w:val="clear" w:pos="7100"/>
              </w:tabs>
              <w:spacing w:line="240" w:lineRule="auto"/>
              <w:jc w:val="left"/>
              <w:rPr>
                <w:rFonts w:cs="Arial"/>
                <w:szCs w:val="18"/>
                <w:lang w:eastAsia="en-GB"/>
              </w:rPr>
            </w:pPr>
          </w:p>
        </w:tc>
        <w:tc>
          <w:tcPr>
            <w:tcW w:w="1644" w:type="dxa"/>
            <w:tcBorders>
              <w:bottom w:val="single" w:sz="4" w:space="0" w:color="008000"/>
            </w:tcBorders>
            <w:vAlign w:val="center"/>
          </w:tcPr>
          <w:p w14:paraId="5BD7EA94" w14:textId="48C310E1" w:rsidR="007D29CE" w:rsidRPr="00453D5D" w:rsidRDefault="007D29CE" w:rsidP="00453D5D">
            <w:pPr>
              <w:pStyle w:val="CETBodytext"/>
              <w:jc w:val="left"/>
              <w:rPr>
                <w:rFonts w:cs="Arial"/>
                <w:szCs w:val="18"/>
                <w:lang w:val="en-GB" w:eastAsia="en-GB"/>
              </w:rPr>
            </w:pPr>
            <w:r w:rsidRPr="00453D5D">
              <w:rPr>
                <w:lang w:val="en-GB" w:eastAsia="it-IT"/>
              </w:rPr>
              <w:t>NiSO</w:t>
            </w:r>
            <w:r w:rsidRPr="00453D5D">
              <w:rPr>
                <w:vertAlign w:val="subscript"/>
                <w:lang w:val="en-GB" w:eastAsia="it-IT"/>
              </w:rPr>
              <w:t>4</w:t>
            </w:r>
          </w:p>
        </w:tc>
        <w:tc>
          <w:tcPr>
            <w:tcW w:w="1474" w:type="dxa"/>
            <w:tcBorders>
              <w:top w:val="nil"/>
              <w:left w:val="nil"/>
              <w:bottom w:val="single" w:sz="4" w:space="0" w:color="008000"/>
              <w:right w:val="nil"/>
            </w:tcBorders>
            <w:shd w:val="clear" w:color="auto" w:fill="auto"/>
            <w:vAlign w:val="center"/>
          </w:tcPr>
          <w:p w14:paraId="054F105A" w14:textId="7E6B5C2E" w:rsidR="007D29CE" w:rsidRPr="0090579D" w:rsidRDefault="007D29CE" w:rsidP="00453D5D">
            <w:pPr>
              <w:tabs>
                <w:tab w:val="clear" w:pos="7100"/>
              </w:tabs>
              <w:spacing w:line="240" w:lineRule="auto"/>
              <w:jc w:val="left"/>
              <w:rPr>
                <w:rFonts w:cs="Arial"/>
                <w:szCs w:val="18"/>
                <w:lang w:eastAsia="en-GB"/>
              </w:rPr>
            </w:pPr>
            <w:r w:rsidRPr="0090579D">
              <w:rPr>
                <w:rFonts w:cs="Arial"/>
                <w:szCs w:val="18"/>
                <w:lang w:eastAsia="en-GB"/>
              </w:rPr>
              <w:t>9 g/L</w:t>
            </w:r>
          </w:p>
        </w:tc>
      </w:tr>
      <w:tr w:rsidR="00453D5D" w:rsidRPr="00453D5D" w14:paraId="451FE681" w14:textId="77777777" w:rsidTr="007D29CE">
        <w:trPr>
          <w:trHeight w:val="20"/>
        </w:trPr>
        <w:tc>
          <w:tcPr>
            <w:tcW w:w="2268" w:type="dxa"/>
            <w:tcBorders>
              <w:top w:val="single" w:sz="4" w:space="0" w:color="008000"/>
              <w:left w:val="nil"/>
              <w:bottom w:val="single" w:sz="12" w:space="0" w:color="008000"/>
              <w:right w:val="nil"/>
            </w:tcBorders>
            <w:shd w:val="clear" w:color="000000" w:fill="FFFFFF"/>
            <w:vAlign w:val="center"/>
          </w:tcPr>
          <w:p w14:paraId="783BA376" w14:textId="2AD274B4" w:rsidR="00FD622B" w:rsidRPr="00453D5D" w:rsidRDefault="00FD622B" w:rsidP="00453D5D">
            <w:pPr>
              <w:tabs>
                <w:tab w:val="clear" w:pos="7100"/>
              </w:tabs>
              <w:spacing w:line="240" w:lineRule="auto"/>
              <w:jc w:val="left"/>
              <w:rPr>
                <w:rFonts w:cs="Arial"/>
                <w:szCs w:val="18"/>
                <w:lang w:eastAsia="en-GB"/>
              </w:rPr>
            </w:pPr>
            <w:r w:rsidRPr="00453D5D">
              <w:rPr>
                <w:rFonts w:cs="Arial"/>
                <w:szCs w:val="18"/>
                <w:lang w:eastAsia="en-GB"/>
              </w:rPr>
              <w:t>Trichloromethane etching</w:t>
            </w:r>
          </w:p>
        </w:tc>
        <w:tc>
          <w:tcPr>
            <w:tcW w:w="1644" w:type="dxa"/>
            <w:tcBorders>
              <w:top w:val="single" w:sz="4" w:space="0" w:color="008000"/>
              <w:left w:val="nil"/>
              <w:bottom w:val="single" w:sz="12" w:space="0" w:color="008000"/>
              <w:right w:val="nil"/>
            </w:tcBorders>
            <w:shd w:val="clear" w:color="000000" w:fill="FFFFFF"/>
            <w:vAlign w:val="center"/>
          </w:tcPr>
          <w:p w14:paraId="22FAE912" w14:textId="7C1FDCAB" w:rsidR="00FD622B" w:rsidRPr="00453D5D" w:rsidRDefault="00FD622B" w:rsidP="00453D5D">
            <w:pPr>
              <w:tabs>
                <w:tab w:val="clear" w:pos="7100"/>
              </w:tabs>
              <w:spacing w:line="240" w:lineRule="auto"/>
              <w:jc w:val="left"/>
              <w:rPr>
                <w:rFonts w:cs="Arial"/>
                <w:szCs w:val="18"/>
                <w:lang w:eastAsia="en-GB"/>
              </w:rPr>
            </w:pPr>
            <w:r w:rsidRPr="00453D5D">
              <w:rPr>
                <w:rFonts w:cs="Arial"/>
                <w:szCs w:val="18"/>
                <w:lang w:eastAsia="en-GB"/>
              </w:rPr>
              <w:t>Trichloromethane</w:t>
            </w:r>
          </w:p>
        </w:tc>
        <w:tc>
          <w:tcPr>
            <w:tcW w:w="1474" w:type="dxa"/>
            <w:tcBorders>
              <w:top w:val="single" w:sz="4" w:space="0" w:color="008000"/>
              <w:left w:val="nil"/>
              <w:bottom w:val="single" w:sz="12" w:space="0" w:color="008000"/>
              <w:right w:val="nil"/>
            </w:tcBorders>
            <w:shd w:val="clear" w:color="auto" w:fill="auto"/>
            <w:vAlign w:val="center"/>
          </w:tcPr>
          <w:p w14:paraId="0ECC0D1E" w14:textId="23E33B1E" w:rsidR="00FD622B" w:rsidRPr="0090579D" w:rsidRDefault="00FD622B" w:rsidP="00453D5D">
            <w:pPr>
              <w:tabs>
                <w:tab w:val="clear" w:pos="7100"/>
              </w:tabs>
              <w:spacing w:line="240" w:lineRule="auto"/>
              <w:jc w:val="left"/>
              <w:rPr>
                <w:rFonts w:cs="Arial"/>
                <w:szCs w:val="18"/>
                <w:lang w:eastAsia="en-GB"/>
              </w:rPr>
            </w:pPr>
            <w:r w:rsidRPr="0090579D">
              <w:rPr>
                <w:rFonts w:cs="Arial"/>
                <w:szCs w:val="18"/>
                <w:lang w:eastAsia="en-GB"/>
              </w:rPr>
              <w:t>0.1 L</w:t>
            </w:r>
          </w:p>
        </w:tc>
      </w:tr>
    </w:tbl>
    <w:p w14:paraId="5436D977" w14:textId="3F84F9B8" w:rsidR="00453E24" w:rsidRPr="00453D5D" w:rsidRDefault="00453E24" w:rsidP="00453E24">
      <w:pPr>
        <w:pStyle w:val="CETBodytext"/>
        <w:rPr>
          <w:lang w:val="en-GB"/>
        </w:rPr>
      </w:pPr>
    </w:p>
    <w:p w14:paraId="677EBFF0" w14:textId="0D13E548" w:rsidR="00600535" w:rsidRPr="00453D5D" w:rsidRDefault="00CB1721" w:rsidP="00600535">
      <w:pPr>
        <w:pStyle w:val="CETHeading1"/>
        <w:tabs>
          <w:tab w:val="clear" w:pos="360"/>
          <w:tab w:val="right" w:pos="7100"/>
        </w:tabs>
        <w:jc w:val="both"/>
        <w:rPr>
          <w:lang w:val="en-GB"/>
        </w:rPr>
      </w:pPr>
      <w:r w:rsidRPr="00453D5D">
        <w:rPr>
          <w:lang w:val="en-GB"/>
        </w:rPr>
        <w:t>Results</w:t>
      </w:r>
    </w:p>
    <w:p w14:paraId="7AE2BA8B" w14:textId="25C06000" w:rsidR="00D63F3F" w:rsidRPr="00453D5D" w:rsidRDefault="00D63F3F" w:rsidP="00D63F3F">
      <w:pPr>
        <w:pStyle w:val="CETBodytext"/>
        <w:rPr>
          <w:lang w:val="en-GB"/>
        </w:rPr>
      </w:pPr>
      <w:r w:rsidRPr="00453D5D">
        <w:rPr>
          <w:lang w:val="en-GB"/>
        </w:rPr>
        <w:t>In this section</w:t>
      </w:r>
      <w:r w:rsidR="00C13B70">
        <w:rPr>
          <w:lang w:val="en-GB"/>
        </w:rPr>
        <w:t>,</w:t>
      </w:r>
      <w:r w:rsidRPr="00453D5D">
        <w:rPr>
          <w:lang w:val="en-GB"/>
        </w:rPr>
        <w:t xml:space="preserve"> the results</w:t>
      </w:r>
      <w:r w:rsidR="004B3207">
        <w:rPr>
          <w:lang w:val="en-GB"/>
        </w:rPr>
        <w:t xml:space="preserve"> </w:t>
      </w:r>
      <w:r w:rsidR="00C13B70">
        <w:rPr>
          <w:lang w:val="en-GB"/>
        </w:rPr>
        <w:t>for</w:t>
      </w:r>
      <w:r w:rsidR="004B3207">
        <w:rPr>
          <w:lang w:val="en-GB"/>
        </w:rPr>
        <w:t xml:space="preserve"> the functional unit of one electrode</w:t>
      </w:r>
      <w:r w:rsidRPr="00453D5D">
        <w:rPr>
          <w:lang w:val="en-GB"/>
        </w:rPr>
        <w:t xml:space="preserve"> are </w:t>
      </w:r>
      <w:r w:rsidR="004B3207">
        <w:rPr>
          <w:lang w:val="en-GB"/>
        </w:rPr>
        <w:t xml:space="preserve">calculated using the professional LCA software Simapro 9.6 </w:t>
      </w:r>
      <w:r w:rsidR="004B3207">
        <w:rPr>
          <w:lang w:val="en-GB"/>
        </w:rPr>
        <w:fldChar w:fldCharType="begin"/>
      </w:r>
      <w:r w:rsidR="004B3207">
        <w:rPr>
          <w:lang w:val="en-GB"/>
        </w:rPr>
        <w:instrText xml:space="preserve"> ADDIN ZOTERO_ITEM CSL_CITATION {"citationID":"1ZrZWSB3","properties":{"formattedCitation":"(\\uc0\\u8220{}PR\\uc0\\u233{} Sustainability, Simapro,\\uc0\\u8221{} 2024)","plainCitation":"(“PRé Sustainability, Simapro,” 2024)","noteIndex":0},"citationItems":[{"id":108,"uris":["http://zotero.org/users/13829784/items/S6KCMXZ5"],"itemData":{"id":108,"type":"software","event-place":"Amersfoort, the Netherlands","publisher-place":"Amersfoort, the Netherlands","title":"PRé Sustainability, Simapro","version":"9.5","issued":{"date-parts":[["2024"]]}}}],"schema":"https://github.com/citation-style-language/schema/raw/master/csl-citation.json"} </w:instrText>
      </w:r>
      <w:r w:rsidR="004B3207">
        <w:rPr>
          <w:lang w:val="en-GB"/>
        </w:rPr>
        <w:fldChar w:fldCharType="separate"/>
      </w:r>
      <w:r w:rsidR="004B3207" w:rsidRPr="004B3207">
        <w:rPr>
          <w:rFonts w:cs="Arial"/>
        </w:rPr>
        <w:t>(“PRé Sustainability, Simapro,” 2024)</w:t>
      </w:r>
      <w:r w:rsidR="004B3207">
        <w:rPr>
          <w:lang w:val="en-GB"/>
        </w:rPr>
        <w:fldChar w:fldCharType="end"/>
      </w:r>
      <w:r w:rsidR="00BD04AA">
        <w:rPr>
          <w:lang w:val="en-GB"/>
        </w:rPr>
        <w:t xml:space="preserve">. </w:t>
      </w:r>
      <w:r w:rsidR="00C13B70">
        <w:rPr>
          <w:lang w:val="en-GB"/>
        </w:rPr>
        <w:t>The analysis reveals n</w:t>
      </w:r>
      <w:r w:rsidR="00BD04AA">
        <w:rPr>
          <w:lang w:val="en-GB"/>
        </w:rPr>
        <w:t xml:space="preserve">egligible differences among the three scenarios, </w:t>
      </w:r>
      <w:r w:rsidR="00BD04AA" w:rsidRPr="00BD04AA">
        <w:rPr>
          <w:lang w:val="en-GB"/>
        </w:rPr>
        <w:t>both in terms of absolute values (</w:t>
      </w:r>
      <w:r w:rsidR="00C13B70" w:rsidRPr="00C13B70">
        <w:rPr>
          <w:lang w:val="en-GB"/>
        </w:rPr>
        <w:t>with variations below 0.4%</w:t>
      </w:r>
      <w:r w:rsidR="00D05DDA">
        <w:rPr>
          <w:lang w:val="en-GB"/>
        </w:rPr>
        <w:t xml:space="preserve">, as in </w:t>
      </w:r>
      <w:r w:rsidR="00D05DDA">
        <w:rPr>
          <w:lang w:val="en-GB"/>
        </w:rPr>
        <w:fldChar w:fldCharType="begin"/>
      </w:r>
      <w:r w:rsidR="00D05DDA">
        <w:rPr>
          <w:lang w:val="en-GB"/>
        </w:rPr>
        <w:instrText xml:space="preserve"> REF _Ref191647580 \h </w:instrText>
      </w:r>
      <w:r w:rsidR="00D05DDA">
        <w:rPr>
          <w:lang w:val="en-GB"/>
        </w:rPr>
      </w:r>
      <w:r w:rsidR="00D05DDA">
        <w:rPr>
          <w:lang w:val="en-GB"/>
        </w:rPr>
        <w:fldChar w:fldCharType="separate"/>
      </w:r>
      <w:r w:rsidR="00456733">
        <w:t xml:space="preserve">Table </w:t>
      </w:r>
      <w:r w:rsidR="00456733">
        <w:rPr>
          <w:noProof/>
        </w:rPr>
        <w:t>3</w:t>
      </w:r>
      <w:r w:rsidR="00D05DDA">
        <w:rPr>
          <w:lang w:val="en-GB"/>
        </w:rPr>
        <w:fldChar w:fldCharType="end"/>
      </w:r>
      <w:r w:rsidR="00BD04AA" w:rsidRPr="00BD04AA">
        <w:rPr>
          <w:lang w:val="en-GB"/>
        </w:rPr>
        <w:t xml:space="preserve">) and </w:t>
      </w:r>
      <w:r w:rsidR="00C13B70" w:rsidRPr="00C13B70">
        <w:rPr>
          <w:lang w:val="en-GB"/>
        </w:rPr>
        <w:t>when examining the percentage contribution of each process phase to the total impact</w:t>
      </w:r>
      <w:r w:rsidR="00BD04AA" w:rsidRPr="00BD04AA">
        <w:rPr>
          <w:lang w:val="en-GB"/>
        </w:rPr>
        <w:t>.</w:t>
      </w:r>
      <w:r w:rsidR="00C13B70">
        <w:rPr>
          <w:lang w:val="en-GB"/>
        </w:rPr>
        <w:t xml:space="preserve"> </w:t>
      </w:r>
      <w:r w:rsidR="00C13B70" w:rsidRPr="00C13B70">
        <w:rPr>
          <w:lang w:val="en-GB"/>
        </w:rPr>
        <w:t>These findings suggest that the variation in sodium hypophosphite concentration has a minimal effect on the overall environmental performance of the electrodes.</w:t>
      </w:r>
      <w:r w:rsidR="0084732D">
        <w:rPr>
          <w:lang w:val="en-GB"/>
        </w:rPr>
        <w:t xml:space="preserve"> The</w:t>
      </w:r>
      <w:r w:rsidR="006517CE">
        <w:rPr>
          <w:lang w:val="en-GB"/>
        </w:rPr>
        <w:t xml:space="preserve"> results of this study </w:t>
      </w:r>
      <w:r w:rsidR="006517CE" w:rsidRPr="006517CE">
        <w:rPr>
          <w:lang w:val="en-GB"/>
        </w:rPr>
        <w:t xml:space="preserve">are </w:t>
      </w:r>
      <w:r w:rsidR="00217A7F">
        <w:rPr>
          <w:lang w:val="en-GB"/>
        </w:rPr>
        <w:t>based on</w:t>
      </w:r>
      <w:r w:rsidR="006517CE" w:rsidRPr="006517CE">
        <w:rPr>
          <w:lang w:val="en-GB"/>
        </w:rPr>
        <w:t xml:space="preserve"> a system developed at the laboratory scale</w:t>
      </w:r>
      <w:r w:rsidR="00217A7F">
        <w:rPr>
          <w:lang w:val="en-GB"/>
        </w:rPr>
        <w:t xml:space="preserve"> and </w:t>
      </w:r>
      <w:r w:rsidR="006517CE">
        <w:rPr>
          <w:lang w:val="en-GB"/>
        </w:rPr>
        <w:t>the aim</w:t>
      </w:r>
      <w:r w:rsidR="0084732D">
        <w:rPr>
          <w:lang w:val="en-GB"/>
        </w:rPr>
        <w:t xml:space="preserve"> is to</w:t>
      </w:r>
      <w:r w:rsidR="0084732D" w:rsidRPr="0084732D">
        <w:rPr>
          <w:lang w:val="en-GB"/>
        </w:rPr>
        <w:t xml:space="preserve"> explore how the process can be optimized at </w:t>
      </w:r>
      <w:r w:rsidR="006517CE">
        <w:rPr>
          <w:lang w:val="en-GB"/>
        </w:rPr>
        <w:t>this</w:t>
      </w:r>
      <w:r w:rsidR="0084732D" w:rsidRPr="0084732D">
        <w:rPr>
          <w:lang w:val="en-GB"/>
        </w:rPr>
        <w:t xml:space="preserve"> level</w:t>
      </w:r>
      <w:r w:rsidR="00217A7F">
        <w:rPr>
          <w:lang w:val="en-GB"/>
        </w:rPr>
        <w:t>, thereby</w:t>
      </w:r>
      <w:r w:rsidR="0084732D">
        <w:rPr>
          <w:lang w:val="en-GB"/>
        </w:rPr>
        <w:t xml:space="preserve"> </w:t>
      </w:r>
      <w:r w:rsidR="0084732D" w:rsidRPr="0084732D">
        <w:rPr>
          <w:lang w:val="en-GB"/>
        </w:rPr>
        <w:t xml:space="preserve">laying the groundwork for future </w:t>
      </w:r>
      <w:r w:rsidR="0084732D">
        <w:rPr>
          <w:lang w:val="en-GB"/>
        </w:rPr>
        <w:t>scale-up process</w:t>
      </w:r>
      <w:r w:rsidR="006517CE">
        <w:rPr>
          <w:lang w:val="en-GB"/>
        </w:rPr>
        <w:t>. This process</w:t>
      </w:r>
      <w:r w:rsidR="0084732D" w:rsidRPr="0084732D">
        <w:rPr>
          <w:lang w:val="en-GB"/>
        </w:rPr>
        <w:t xml:space="preserve"> will enable</w:t>
      </w:r>
      <w:r w:rsidR="00217A7F">
        <w:rPr>
          <w:lang w:val="en-GB"/>
        </w:rPr>
        <w:t xml:space="preserve"> </w:t>
      </w:r>
      <w:r w:rsidR="0084732D" w:rsidRPr="0084732D">
        <w:rPr>
          <w:lang w:val="en-GB"/>
        </w:rPr>
        <w:t>comparison</w:t>
      </w:r>
      <w:r w:rsidR="00217A7F">
        <w:rPr>
          <w:lang w:val="en-GB"/>
        </w:rPr>
        <w:t>s</w:t>
      </w:r>
      <w:r w:rsidR="0084732D" w:rsidRPr="0084732D">
        <w:rPr>
          <w:lang w:val="en-GB"/>
        </w:rPr>
        <w:t xml:space="preserve"> with existing industrial technologies in subsequent </w:t>
      </w:r>
      <w:r w:rsidR="00217A7F">
        <w:rPr>
          <w:lang w:val="en-GB"/>
        </w:rPr>
        <w:t>research</w:t>
      </w:r>
      <w:r w:rsidR="0084732D" w:rsidRPr="0084732D">
        <w:rPr>
          <w:lang w:val="en-GB"/>
        </w:rPr>
        <w:t>.</w:t>
      </w:r>
    </w:p>
    <w:p w14:paraId="1CA0F09E" w14:textId="77777777" w:rsidR="007D7554" w:rsidRDefault="007D7554" w:rsidP="007D7554">
      <w:pPr>
        <w:pStyle w:val="CETListbullets"/>
      </w:pPr>
    </w:p>
    <w:p w14:paraId="28C4E213" w14:textId="5276F2A3" w:rsidR="007D7554" w:rsidRDefault="007D7554" w:rsidP="007D7554">
      <w:pPr>
        <w:pStyle w:val="Didascalia"/>
        <w:keepNext/>
      </w:pPr>
      <w:bookmarkStart w:id="8" w:name="_Ref191647580"/>
      <w:r>
        <w:t xml:space="preserve">Table </w:t>
      </w:r>
      <w:r>
        <w:fldChar w:fldCharType="begin"/>
      </w:r>
      <w:r>
        <w:instrText xml:space="preserve"> SEQ Table \* ARABIC </w:instrText>
      </w:r>
      <w:r>
        <w:fldChar w:fldCharType="separate"/>
      </w:r>
      <w:r w:rsidR="00456733">
        <w:rPr>
          <w:noProof/>
        </w:rPr>
        <w:t>3</w:t>
      </w:r>
      <w:r>
        <w:fldChar w:fldCharType="end"/>
      </w:r>
      <w:bookmarkEnd w:id="8"/>
      <w:r>
        <w:t xml:space="preserve"> Results for the three electrodes</w:t>
      </w:r>
    </w:p>
    <w:tbl>
      <w:tblPr>
        <w:tblW w:w="7658" w:type="dxa"/>
        <w:tblInd w:w="-108" w:type="dxa"/>
        <w:tblLook w:val="04A0" w:firstRow="1" w:lastRow="0" w:firstColumn="1" w:lastColumn="0" w:noHBand="0" w:noVBand="1"/>
      </w:tblPr>
      <w:tblGrid>
        <w:gridCol w:w="2721"/>
        <w:gridCol w:w="1361"/>
        <w:gridCol w:w="1192"/>
        <w:gridCol w:w="1192"/>
        <w:gridCol w:w="1192"/>
      </w:tblGrid>
      <w:tr w:rsidR="007D7554" w:rsidRPr="009C6A9A" w14:paraId="0157142B" w14:textId="77777777" w:rsidTr="001A3FB3">
        <w:trPr>
          <w:trHeight w:val="20"/>
        </w:trPr>
        <w:tc>
          <w:tcPr>
            <w:tcW w:w="2721" w:type="dxa"/>
            <w:tcBorders>
              <w:top w:val="single" w:sz="12" w:space="0" w:color="008000"/>
              <w:left w:val="nil"/>
              <w:bottom w:val="single" w:sz="8" w:space="0" w:color="008000"/>
              <w:right w:val="nil"/>
            </w:tcBorders>
            <w:shd w:val="clear" w:color="000000" w:fill="FFFFFF"/>
            <w:vAlign w:val="center"/>
            <w:hideMark/>
          </w:tcPr>
          <w:p w14:paraId="653B9358"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Impact category</w:t>
            </w:r>
          </w:p>
        </w:tc>
        <w:tc>
          <w:tcPr>
            <w:tcW w:w="1361" w:type="dxa"/>
            <w:tcBorders>
              <w:top w:val="single" w:sz="12" w:space="0" w:color="008000"/>
              <w:left w:val="nil"/>
              <w:bottom w:val="single" w:sz="8" w:space="0" w:color="008000"/>
              <w:right w:val="nil"/>
            </w:tcBorders>
            <w:shd w:val="clear" w:color="000000" w:fill="FFFFFF"/>
            <w:vAlign w:val="center"/>
            <w:hideMark/>
          </w:tcPr>
          <w:p w14:paraId="39908EC8"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 xml:space="preserve">Unit </w:t>
            </w:r>
          </w:p>
        </w:tc>
        <w:tc>
          <w:tcPr>
            <w:tcW w:w="1192" w:type="dxa"/>
            <w:tcBorders>
              <w:top w:val="single" w:sz="12" w:space="0" w:color="008000"/>
              <w:left w:val="nil"/>
              <w:bottom w:val="single" w:sz="8" w:space="0" w:color="008000"/>
              <w:right w:val="nil"/>
            </w:tcBorders>
            <w:shd w:val="clear" w:color="000000" w:fill="FFFFFF"/>
          </w:tcPr>
          <w:p w14:paraId="79C25323" w14:textId="77777777" w:rsidR="007D7554" w:rsidRPr="009C6A9A" w:rsidRDefault="007D7554" w:rsidP="00585C95">
            <w:pPr>
              <w:tabs>
                <w:tab w:val="clear" w:pos="7100"/>
              </w:tabs>
              <w:spacing w:line="240" w:lineRule="auto"/>
              <w:jc w:val="left"/>
              <w:rPr>
                <w:rFonts w:cs="Arial"/>
                <w:szCs w:val="18"/>
                <w:lang w:eastAsia="en-GB"/>
              </w:rPr>
            </w:pPr>
            <w:r>
              <w:rPr>
                <w:rFonts w:cs="Arial"/>
                <w:szCs w:val="18"/>
                <w:lang w:eastAsia="en-GB"/>
              </w:rPr>
              <w:t>Electrode 1</w:t>
            </w:r>
          </w:p>
        </w:tc>
        <w:tc>
          <w:tcPr>
            <w:tcW w:w="1192" w:type="dxa"/>
            <w:tcBorders>
              <w:top w:val="single" w:sz="12" w:space="0" w:color="008000"/>
              <w:left w:val="nil"/>
              <w:bottom w:val="single" w:sz="8" w:space="0" w:color="008000"/>
              <w:right w:val="nil"/>
            </w:tcBorders>
            <w:shd w:val="clear" w:color="000000" w:fill="FFFFFF"/>
          </w:tcPr>
          <w:p w14:paraId="2EFC66AB" w14:textId="77777777" w:rsidR="007D7554" w:rsidRPr="009C6A9A" w:rsidRDefault="007D7554" w:rsidP="00585C95">
            <w:pPr>
              <w:tabs>
                <w:tab w:val="clear" w:pos="7100"/>
              </w:tabs>
              <w:spacing w:line="240" w:lineRule="auto"/>
              <w:jc w:val="left"/>
              <w:rPr>
                <w:rFonts w:cs="Arial"/>
                <w:szCs w:val="18"/>
                <w:lang w:eastAsia="en-GB"/>
              </w:rPr>
            </w:pPr>
            <w:r>
              <w:rPr>
                <w:rFonts w:cs="Arial"/>
                <w:szCs w:val="18"/>
                <w:lang w:eastAsia="en-GB"/>
              </w:rPr>
              <w:t>Electrode 2</w:t>
            </w:r>
          </w:p>
        </w:tc>
        <w:tc>
          <w:tcPr>
            <w:tcW w:w="1192" w:type="dxa"/>
            <w:tcBorders>
              <w:top w:val="single" w:sz="12" w:space="0" w:color="008000"/>
              <w:left w:val="nil"/>
              <w:bottom w:val="single" w:sz="8" w:space="0" w:color="008000"/>
              <w:right w:val="nil"/>
            </w:tcBorders>
            <w:shd w:val="clear" w:color="000000" w:fill="FFFFFF"/>
          </w:tcPr>
          <w:p w14:paraId="23FB78D4" w14:textId="77777777" w:rsidR="007D7554" w:rsidRPr="009C6A9A" w:rsidRDefault="007D7554" w:rsidP="00585C95">
            <w:pPr>
              <w:tabs>
                <w:tab w:val="clear" w:pos="7100"/>
              </w:tabs>
              <w:spacing w:line="240" w:lineRule="auto"/>
              <w:jc w:val="left"/>
              <w:rPr>
                <w:rFonts w:cs="Arial"/>
                <w:szCs w:val="18"/>
                <w:lang w:eastAsia="en-GB"/>
              </w:rPr>
            </w:pPr>
            <w:r>
              <w:rPr>
                <w:rFonts w:cs="Arial"/>
                <w:szCs w:val="18"/>
                <w:lang w:eastAsia="en-GB"/>
              </w:rPr>
              <w:t>Electrode 3</w:t>
            </w:r>
          </w:p>
        </w:tc>
      </w:tr>
      <w:tr w:rsidR="007D7554" w:rsidRPr="009C6A9A" w14:paraId="6C1A9BD5" w14:textId="77777777" w:rsidTr="001A3FB3">
        <w:trPr>
          <w:trHeight w:val="20"/>
        </w:trPr>
        <w:tc>
          <w:tcPr>
            <w:tcW w:w="2721" w:type="dxa"/>
            <w:tcBorders>
              <w:top w:val="nil"/>
              <w:left w:val="nil"/>
              <w:bottom w:val="nil"/>
              <w:right w:val="nil"/>
            </w:tcBorders>
            <w:shd w:val="clear" w:color="000000" w:fill="FFFFFF"/>
            <w:vAlign w:val="center"/>
            <w:hideMark/>
          </w:tcPr>
          <w:p w14:paraId="04AD5D1D"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Acidification</w:t>
            </w:r>
          </w:p>
        </w:tc>
        <w:tc>
          <w:tcPr>
            <w:tcW w:w="1361" w:type="dxa"/>
            <w:tcBorders>
              <w:top w:val="nil"/>
              <w:left w:val="nil"/>
              <w:bottom w:val="nil"/>
              <w:right w:val="nil"/>
            </w:tcBorders>
            <w:shd w:val="clear" w:color="auto" w:fill="auto"/>
            <w:vAlign w:val="center"/>
            <w:hideMark/>
          </w:tcPr>
          <w:p w14:paraId="09D9CA73"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kg SO</w:t>
            </w:r>
            <w:r w:rsidRPr="009C6A9A">
              <w:rPr>
                <w:rFonts w:cs="Arial"/>
                <w:color w:val="000000"/>
                <w:szCs w:val="18"/>
                <w:vertAlign w:val="subscript"/>
                <w:lang w:eastAsia="en-GB"/>
              </w:rPr>
              <w:t xml:space="preserve">2 </w:t>
            </w:r>
            <w:r w:rsidRPr="009C6A9A">
              <w:rPr>
                <w:rFonts w:cs="Arial"/>
                <w:color w:val="000000"/>
                <w:szCs w:val="18"/>
                <w:lang w:eastAsia="en-GB"/>
              </w:rPr>
              <w:t>eq</w:t>
            </w:r>
          </w:p>
        </w:tc>
        <w:tc>
          <w:tcPr>
            <w:tcW w:w="1192" w:type="dxa"/>
            <w:tcBorders>
              <w:top w:val="nil"/>
              <w:left w:val="nil"/>
              <w:bottom w:val="nil"/>
              <w:right w:val="nil"/>
            </w:tcBorders>
          </w:tcPr>
          <w:p w14:paraId="0338637F" w14:textId="77777777" w:rsidR="007D7554" w:rsidRPr="009C6A9A" w:rsidRDefault="007D7554" w:rsidP="00585C95">
            <w:pPr>
              <w:tabs>
                <w:tab w:val="clear" w:pos="7100"/>
              </w:tabs>
              <w:spacing w:line="240" w:lineRule="auto"/>
              <w:jc w:val="left"/>
              <w:rPr>
                <w:rFonts w:cs="Arial"/>
                <w:color w:val="000000"/>
                <w:szCs w:val="18"/>
                <w:lang w:eastAsia="en-GB"/>
              </w:rPr>
            </w:pPr>
            <w:r w:rsidRPr="00557988">
              <w:t>3.29E-03</w:t>
            </w:r>
          </w:p>
        </w:tc>
        <w:tc>
          <w:tcPr>
            <w:tcW w:w="1192" w:type="dxa"/>
            <w:tcBorders>
              <w:top w:val="nil"/>
              <w:left w:val="nil"/>
              <w:bottom w:val="nil"/>
              <w:right w:val="nil"/>
            </w:tcBorders>
          </w:tcPr>
          <w:p w14:paraId="254DBECF" w14:textId="77777777" w:rsidR="007D7554" w:rsidRPr="009C6A9A" w:rsidRDefault="007D7554" w:rsidP="00585C95">
            <w:pPr>
              <w:tabs>
                <w:tab w:val="clear" w:pos="7100"/>
              </w:tabs>
              <w:spacing w:line="240" w:lineRule="auto"/>
              <w:jc w:val="left"/>
              <w:rPr>
                <w:rFonts w:cs="Arial"/>
                <w:color w:val="000000"/>
                <w:szCs w:val="18"/>
                <w:lang w:eastAsia="en-GB"/>
              </w:rPr>
            </w:pPr>
            <w:r w:rsidRPr="00557988">
              <w:t>3.30E-03</w:t>
            </w:r>
          </w:p>
        </w:tc>
        <w:tc>
          <w:tcPr>
            <w:tcW w:w="1192" w:type="dxa"/>
            <w:tcBorders>
              <w:top w:val="nil"/>
              <w:left w:val="nil"/>
              <w:bottom w:val="nil"/>
              <w:right w:val="nil"/>
            </w:tcBorders>
          </w:tcPr>
          <w:p w14:paraId="329DD5AA" w14:textId="77777777" w:rsidR="007D7554" w:rsidRPr="009C6A9A" w:rsidRDefault="007D7554" w:rsidP="00585C95">
            <w:pPr>
              <w:tabs>
                <w:tab w:val="clear" w:pos="7100"/>
              </w:tabs>
              <w:spacing w:line="240" w:lineRule="auto"/>
              <w:jc w:val="left"/>
              <w:rPr>
                <w:rFonts w:cs="Arial"/>
                <w:color w:val="000000"/>
                <w:szCs w:val="18"/>
                <w:lang w:eastAsia="en-GB"/>
              </w:rPr>
            </w:pPr>
            <w:r w:rsidRPr="00557988">
              <w:t>3.30E-03</w:t>
            </w:r>
          </w:p>
        </w:tc>
      </w:tr>
      <w:tr w:rsidR="007D7554" w:rsidRPr="009C6A9A" w14:paraId="49AE53D3" w14:textId="77777777" w:rsidTr="001A3FB3">
        <w:trPr>
          <w:trHeight w:val="20"/>
        </w:trPr>
        <w:tc>
          <w:tcPr>
            <w:tcW w:w="2721" w:type="dxa"/>
            <w:tcBorders>
              <w:top w:val="nil"/>
              <w:left w:val="nil"/>
              <w:bottom w:val="nil"/>
              <w:right w:val="nil"/>
            </w:tcBorders>
            <w:shd w:val="clear" w:color="000000" w:fill="FFFFFF"/>
            <w:vAlign w:val="center"/>
            <w:hideMark/>
          </w:tcPr>
          <w:p w14:paraId="53D91DFF"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Eutrophication</w:t>
            </w:r>
          </w:p>
        </w:tc>
        <w:tc>
          <w:tcPr>
            <w:tcW w:w="1361" w:type="dxa"/>
            <w:tcBorders>
              <w:top w:val="nil"/>
              <w:left w:val="nil"/>
              <w:bottom w:val="nil"/>
              <w:right w:val="nil"/>
            </w:tcBorders>
            <w:shd w:val="clear" w:color="auto" w:fill="auto"/>
            <w:vAlign w:val="center"/>
            <w:hideMark/>
          </w:tcPr>
          <w:p w14:paraId="4B60992D"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kg PO</w:t>
            </w:r>
            <w:r w:rsidRPr="009C6A9A">
              <w:rPr>
                <w:rFonts w:cs="Arial"/>
                <w:color w:val="000000"/>
                <w:szCs w:val="18"/>
                <w:vertAlign w:val="subscript"/>
                <w:lang w:eastAsia="en-GB"/>
              </w:rPr>
              <w:t>4</w:t>
            </w:r>
            <w:r w:rsidRPr="009C6A9A">
              <w:rPr>
                <w:rFonts w:cs="Arial"/>
                <w:color w:val="000000"/>
                <w:szCs w:val="18"/>
                <w:vertAlign w:val="superscript"/>
                <w:lang w:eastAsia="en-GB"/>
              </w:rPr>
              <w:t>3-</w:t>
            </w:r>
            <w:r w:rsidRPr="009C6A9A">
              <w:rPr>
                <w:rFonts w:cs="Arial"/>
                <w:color w:val="000000"/>
                <w:szCs w:val="18"/>
                <w:lang w:eastAsia="en-GB"/>
              </w:rPr>
              <w:t>eq</w:t>
            </w:r>
          </w:p>
        </w:tc>
        <w:tc>
          <w:tcPr>
            <w:tcW w:w="1192" w:type="dxa"/>
            <w:tcBorders>
              <w:top w:val="nil"/>
              <w:left w:val="nil"/>
              <w:bottom w:val="nil"/>
              <w:right w:val="nil"/>
            </w:tcBorders>
          </w:tcPr>
          <w:p w14:paraId="53E12F82"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1.42E-03</w:t>
            </w:r>
          </w:p>
        </w:tc>
        <w:tc>
          <w:tcPr>
            <w:tcW w:w="1192" w:type="dxa"/>
            <w:tcBorders>
              <w:top w:val="nil"/>
              <w:left w:val="nil"/>
              <w:bottom w:val="nil"/>
              <w:right w:val="nil"/>
            </w:tcBorders>
          </w:tcPr>
          <w:p w14:paraId="00E8781B"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1.42E-03</w:t>
            </w:r>
          </w:p>
        </w:tc>
        <w:tc>
          <w:tcPr>
            <w:tcW w:w="1192" w:type="dxa"/>
            <w:tcBorders>
              <w:top w:val="nil"/>
              <w:left w:val="nil"/>
              <w:bottom w:val="nil"/>
              <w:right w:val="nil"/>
            </w:tcBorders>
          </w:tcPr>
          <w:p w14:paraId="71544A2B"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1.43E-03</w:t>
            </w:r>
          </w:p>
        </w:tc>
      </w:tr>
      <w:tr w:rsidR="007D7554" w:rsidRPr="009C6A9A" w14:paraId="087E2A5A" w14:textId="77777777" w:rsidTr="001A3FB3">
        <w:trPr>
          <w:trHeight w:val="20"/>
        </w:trPr>
        <w:tc>
          <w:tcPr>
            <w:tcW w:w="2721" w:type="dxa"/>
            <w:tcBorders>
              <w:top w:val="nil"/>
              <w:left w:val="nil"/>
              <w:bottom w:val="nil"/>
              <w:right w:val="nil"/>
            </w:tcBorders>
            <w:shd w:val="clear" w:color="000000" w:fill="FFFFFF"/>
            <w:vAlign w:val="center"/>
            <w:hideMark/>
          </w:tcPr>
          <w:p w14:paraId="3FD2A2F0"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Global warming</w:t>
            </w:r>
          </w:p>
        </w:tc>
        <w:tc>
          <w:tcPr>
            <w:tcW w:w="1361" w:type="dxa"/>
            <w:tcBorders>
              <w:top w:val="nil"/>
              <w:left w:val="nil"/>
              <w:bottom w:val="nil"/>
              <w:right w:val="nil"/>
            </w:tcBorders>
            <w:shd w:val="clear" w:color="auto" w:fill="auto"/>
            <w:vAlign w:val="center"/>
            <w:hideMark/>
          </w:tcPr>
          <w:p w14:paraId="0EC1B080"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kg CO</w:t>
            </w:r>
            <w:r w:rsidRPr="009C6A9A">
              <w:rPr>
                <w:rFonts w:cs="Arial"/>
                <w:color w:val="000000"/>
                <w:szCs w:val="18"/>
                <w:vertAlign w:val="subscript"/>
                <w:lang w:eastAsia="en-GB"/>
              </w:rPr>
              <w:t xml:space="preserve">2 </w:t>
            </w:r>
            <w:r w:rsidRPr="009C6A9A">
              <w:rPr>
                <w:rFonts w:cs="Arial"/>
                <w:color w:val="000000"/>
                <w:szCs w:val="18"/>
                <w:lang w:eastAsia="en-GB"/>
              </w:rPr>
              <w:t>eq</w:t>
            </w:r>
          </w:p>
        </w:tc>
        <w:tc>
          <w:tcPr>
            <w:tcW w:w="1192" w:type="dxa"/>
            <w:tcBorders>
              <w:top w:val="nil"/>
              <w:left w:val="nil"/>
              <w:bottom w:val="nil"/>
              <w:right w:val="nil"/>
            </w:tcBorders>
          </w:tcPr>
          <w:p w14:paraId="379CD3C6" w14:textId="77777777" w:rsidR="007D7554" w:rsidRPr="009C6A9A" w:rsidRDefault="007D7554" w:rsidP="00585C95">
            <w:pPr>
              <w:tabs>
                <w:tab w:val="clear" w:pos="7100"/>
              </w:tabs>
              <w:spacing w:line="240" w:lineRule="auto"/>
              <w:jc w:val="left"/>
              <w:rPr>
                <w:rFonts w:cs="Arial"/>
                <w:color w:val="000000"/>
                <w:szCs w:val="18"/>
                <w:lang w:eastAsia="en-GB"/>
              </w:rPr>
            </w:pPr>
            <w:r w:rsidRPr="00557988">
              <w:t>6.30E-01</w:t>
            </w:r>
          </w:p>
        </w:tc>
        <w:tc>
          <w:tcPr>
            <w:tcW w:w="1192" w:type="dxa"/>
            <w:tcBorders>
              <w:top w:val="nil"/>
              <w:left w:val="nil"/>
              <w:bottom w:val="nil"/>
              <w:right w:val="nil"/>
            </w:tcBorders>
          </w:tcPr>
          <w:p w14:paraId="16753264" w14:textId="77777777" w:rsidR="007D7554" w:rsidRPr="009C6A9A" w:rsidRDefault="007D7554" w:rsidP="00585C95">
            <w:pPr>
              <w:tabs>
                <w:tab w:val="clear" w:pos="7100"/>
              </w:tabs>
              <w:spacing w:line="240" w:lineRule="auto"/>
              <w:jc w:val="left"/>
              <w:rPr>
                <w:rFonts w:cs="Arial"/>
                <w:color w:val="000000"/>
                <w:szCs w:val="18"/>
                <w:lang w:eastAsia="en-GB"/>
              </w:rPr>
            </w:pPr>
            <w:r w:rsidRPr="00557988">
              <w:t>6.31E-01</w:t>
            </w:r>
          </w:p>
        </w:tc>
        <w:tc>
          <w:tcPr>
            <w:tcW w:w="1192" w:type="dxa"/>
            <w:tcBorders>
              <w:top w:val="nil"/>
              <w:left w:val="nil"/>
              <w:bottom w:val="nil"/>
              <w:right w:val="nil"/>
            </w:tcBorders>
          </w:tcPr>
          <w:p w14:paraId="291AE98A" w14:textId="77777777" w:rsidR="007D7554" w:rsidRPr="009C6A9A" w:rsidRDefault="007D7554" w:rsidP="00585C95">
            <w:pPr>
              <w:tabs>
                <w:tab w:val="clear" w:pos="7100"/>
              </w:tabs>
              <w:spacing w:line="240" w:lineRule="auto"/>
              <w:jc w:val="left"/>
              <w:rPr>
                <w:rFonts w:cs="Arial"/>
                <w:color w:val="000000"/>
                <w:szCs w:val="18"/>
                <w:lang w:eastAsia="en-GB"/>
              </w:rPr>
            </w:pPr>
            <w:r w:rsidRPr="00557988">
              <w:t>6.31E-01</w:t>
            </w:r>
          </w:p>
        </w:tc>
      </w:tr>
      <w:tr w:rsidR="007D7554" w:rsidRPr="009C6A9A" w14:paraId="6F158173" w14:textId="77777777" w:rsidTr="001A3FB3">
        <w:trPr>
          <w:trHeight w:val="20"/>
        </w:trPr>
        <w:tc>
          <w:tcPr>
            <w:tcW w:w="2721" w:type="dxa"/>
            <w:tcBorders>
              <w:top w:val="nil"/>
              <w:left w:val="nil"/>
              <w:bottom w:val="nil"/>
              <w:right w:val="nil"/>
            </w:tcBorders>
            <w:shd w:val="clear" w:color="000000" w:fill="FFFFFF"/>
            <w:vAlign w:val="center"/>
            <w:hideMark/>
          </w:tcPr>
          <w:p w14:paraId="6B2B82A7"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Photochemical oxidation</w:t>
            </w:r>
          </w:p>
        </w:tc>
        <w:tc>
          <w:tcPr>
            <w:tcW w:w="1361" w:type="dxa"/>
            <w:tcBorders>
              <w:top w:val="nil"/>
              <w:left w:val="nil"/>
              <w:bottom w:val="nil"/>
              <w:right w:val="nil"/>
            </w:tcBorders>
            <w:shd w:val="clear" w:color="auto" w:fill="auto"/>
            <w:vAlign w:val="center"/>
            <w:hideMark/>
          </w:tcPr>
          <w:p w14:paraId="7F403733"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kg NMVOC</w:t>
            </w:r>
          </w:p>
        </w:tc>
        <w:tc>
          <w:tcPr>
            <w:tcW w:w="1192" w:type="dxa"/>
            <w:tcBorders>
              <w:top w:val="nil"/>
              <w:left w:val="nil"/>
              <w:bottom w:val="nil"/>
              <w:right w:val="nil"/>
            </w:tcBorders>
          </w:tcPr>
          <w:p w14:paraId="5D92AD84"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1.63E-03</w:t>
            </w:r>
          </w:p>
        </w:tc>
        <w:tc>
          <w:tcPr>
            <w:tcW w:w="1192" w:type="dxa"/>
            <w:tcBorders>
              <w:top w:val="nil"/>
              <w:left w:val="nil"/>
              <w:bottom w:val="nil"/>
              <w:right w:val="nil"/>
            </w:tcBorders>
          </w:tcPr>
          <w:p w14:paraId="5F1782E2"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1.64E-03</w:t>
            </w:r>
          </w:p>
        </w:tc>
        <w:tc>
          <w:tcPr>
            <w:tcW w:w="1192" w:type="dxa"/>
            <w:tcBorders>
              <w:top w:val="nil"/>
              <w:left w:val="nil"/>
              <w:bottom w:val="nil"/>
              <w:right w:val="nil"/>
            </w:tcBorders>
          </w:tcPr>
          <w:p w14:paraId="24050174"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1.64E-03</w:t>
            </w:r>
          </w:p>
        </w:tc>
      </w:tr>
      <w:tr w:rsidR="007D7554" w:rsidRPr="009C6A9A" w14:paraId="182E3843" w14:textId="77777777" w:rsidTr="001A3FB3">
        <w:trPr>
          <w:trHeight w:val="20"/>
        </w:trPr>
        <w:tc>
          <w:tcPr>
            <w:tcW w:w="2721" w:type="dxa"/>
            <w:tcBorders>
              <w:top w:val="nil"/>
              <w:left w:val="nil"/>
              <w:bottom w:val="nil"/>
              <w:right w:val="nil"/>
            </w:tcBorders>
            <w:shd w:val="clear" w:color="000000" w:fill="FFFFFF"/>
            <w:vAlign w:val="center"/>
            <w:hideMark/>
          </w:tcPr>
          <w:p w14:paraId="27140F77"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 xml:space="preserve">Abiotic depletion </w:t>
            </w:r>
            <w:r w:rsidRPr="00453D5D">
              <w:rPr>
                <w:rFonts w:cs="Arial"/>
                <w:szCs w:val="18"/>
                <w:lang w:eastAsia="en-GB"/>
              </w:rPr>
              <w:t xml:space="preserve">of </w:t>
            </w:r>
            <w:r w:rsidRPr="009C6A9A">
              <w:rPr>
                <w:rFonts w:cs="Arial"/>
                <w:szCs w:val="18"/>
                <w:lang w:eastAsia="en-GB"/>
              </w:rPr>
              <w:t>elements</w:t>
            </w:r>
          </w:p>
        </w:tc>
        <w:tc>
          <w:tcPr>
            <w:tcW w:w="1361" w:type="dxa"/>
            <w:tcBorders>
              <w:top w:val="nil"/>
              <w:left w:val="nil"/>
              <w:bottom w:val="nil"/>
              <w:right w:val="nil"/>
            </w:tcBorders>
            <w:shd w:val="clear" w:color="auto" w:fill="auto"/>
            <w:vAlign w:val="center"/>
            <w:hideMark/>
          </w:tcPr>
          <w:p w14:paraId="47A21748"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kg Sb eq</w:t>
            </w:r>
          </w:p>
        </w:tc>
        <w:tc>
          <w:tcPr>
            <w:tcW w:w="1192" w:type="dxa"/>
            <w:tcBorders>
              <w:top w:val="nil"/>
              <w:left w:val="nil"/>
              <w:bottom w:val="nil"/>
              <w:right w:val="nil"/>
            </w:tcBorders>
          </w:tcPr>
          <w:p w14:paraId="3063F0D6"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1.19E-04</w:t>
            </w:r>
          </w:p>
        </w:tc>
        <w:tc>
          <w:tcPr>
            <w:tcW w:w="1192" w:type="dxa"/>
            <w:tcBorders>
              <w:top w:val="nil"/>
              <w:left w:val="nil"/>
              <w:bottom w:val="nil"/>
              <w:right w:val="nil"/>
            </w:tcBorders>
          </w:tcPr>
          <w:p w14:paraId="051B06C1"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1.19E-04</w:t>
            </w:r>
          </w:p>
        </w:tc>
        <w:tc>
          <w:tcPr>
            <w:tcW w:w="1192" w:type="dxa"/>
            <w:tcBorders>
              <w:top w:val="nil"/>
              <w:left w:val="nil"/>
              <w:bottom w:val="nil"/>
              <w:right w:val="nil"/>
            </w:tcBorders>
          </w:tcPr>
          <w:p w14:paraId="78DED8C0" w14:textId="77777777" w:rsidR="007D7554" w:rsidRPr="009C6A9A" w:rsidRDefault="007D7554" w:rsidP="00585C95">
            <w:pPr>
              <w:tabs>
                <w:tab w:val="clear" w:pos="7100"/>
              </w:tabs>
              <w:spacing w:line="240" w:lineRule="auto"/>
              <w:jc w:val="left"/>
              <w:rPr>
                <w:rFonts w:cs="Arial"/>
                <w:color w:val="000000"/>
                <w:szCs w:val="18"/>
                <w:lang w:eastAsia="en-GB"/>
              </w:rPr>
            </w:pPr>
            <w:r w:rsidRPr="00557988">
              <w:t>1.19E-04</w:t>
            </w:r>
          </w:p>
        </w:tc>
      </w:tr>
      <w:tr w:rsidR="007D7554" w:rsidRPr="009C6A9A" w14:paraId="78AE8C3D" w14:textId="77777777" w:rsidTr="001A3FB3">
        <w:trPr>
          <w:trHeight w:val="20"/>
        </w:trPr>
        <w:tc>
          <w:tcPr>
            <w:tcW w:w="2721" w:type="dxa"/>
            <w:tcBorders>
              <w:top w:val="nil"/>
              <w:left w:val="nil"/>
              <w:bottom w:val="nil"/>
              <w:right w:val="nil"/>
            </w:tcBorders>
            <w:shd w:val="clear" w:color="000000" w:fill="FFFFFF"/>
            <w:vAlign w:val="center"/>
            <w:hideMark/>
          </w:tcPr>
          <w:p w14:paraId="40311537"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Abiotic depletion</w:t>
            </w:r>
            <w:r w:rsidRPr="00453D5D">
              <w:rPr>
                <w:rFonts w:cs="Arial"/>
                <w:szCs w:val="18"/>
                <w:lang w:eastAsia="en-GB"/>
              </w:rPr>
              <w:t xml:space="preserve"> of </w:t>
            </w:r>
            <w:r w:rsidRPr="009C6A9A">
              <w:rPr>
                <w:rFonts w:cs="Arial"/>
                <w:szCs w:val="18"/>
                <w:lang w:eastAsia="en-GB"/>
              </w:rPr>
              <w:t>fossil fuels</w:t>
            </w:r>
          </w:p>
        </w:tc>
        <w:tc>
          <w:tcPr>
            <w:tcW w:w="1361" w:type="dxa"/>
            <w:tcBorders>
              <w:top w:val="nil"/>
              <w:left w:val="nil"/>
              <w:bottom w:val="nil"/>
              <w:right w:val="nil"/>
            </w:tcBorders>
            <w:shd w:val="clear" w:color="auto" w:fill="auto"/>
            <w:vAlign w:val="center"/>
            <w:hideMark/>
          </w:tcPr>
          <w:p w14:paraId="3607C5A2"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MJ</w:t>
            </w:r>
          </w:p>
        </w:tc>
        <w:tc>
          <w:tcPr>
            <w:tcW w:w="1192" w:type="dxa"/>
            <w:tcBorders>
              <w:top w:val="nil"/>
              <w:left w:val="nil"/>
              <w:bottom w:val="nil"/>
              <w:right w:val="nil"/>
            </w:tcBorders>
          </w:tcPr>
          <w:p w14:paraId="6335ABD8"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5.34E+00</w:t>
            </w:r>
          </w:p>
        </w:tc>
        <w:tc>
          <w:tcPr>
            <w:tcW w:w="1192" w:type="dxa"/>
            <w:tcBorders>
              <w:top w:val="nil"/>
              <w:left w:val="nil"/>
              <w:bottom w:val="nil"/>
              <w:right w:val="nil"/>
            </w:tcBorders>
          </w:tcPr>
          <w:p w14:paraId="1D0E6F10"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5.34E+00</w:t>
            </w:r>
          </w:p>
        </w:tc>
        <w:tc>
          <w:tcPr>
            <w:tcW w:w="1192" w:type="dxa"/>
            <w:tcBorders>
              <w:top w:val="nil"/>
              <w:left w:val="nil"/>
              <w:bottom w:val="nil"/>
              <w:right w:val="nil"/>
            </w:tcBorders>
          </w:tcPr>
          <w:p w14:paraId="4DC77A60"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5.34E+00</w:t>
            </w:r>
          </w:p>
        </w:tc>
      </w:tr>
      <w:tr w:rsidR="007D7554" w:rsidRPr="009C6A9A" w14:paraId="6ADABA63" w14:textId="77777777" w:rsidTr="001A3FB3">
        <w:trPr>
          <w:trHeight w:val="20"/>
        </w:trPr>
        <w:tc>
          <w:tcPr>
            <w:tcW w:w="2721" w:type="dxa"/>
            <w:tcBorders>
              <w:top w:val="nil"/>
              <w:left w:val="nil"/>
              <w:bottom w:val="nil"/>
              <w:right w:val="nil"/>
            </w:tcBorders>
            <w:shd w:val="clear" w:color="000000" w:fill="FFFFFF"/>
            <w:vAlign w:val="center"/>
            <w:hideMark/>
          </w:tcPr>
          <w:p w14:paraId="5B46F86B"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szCs w:val="18"/>
                <w:lang w:eastAsia="en-GB"/>
              </w:rPr>
              <w:t>Water scarcity</w:t>
            </w:r>
          </w:p>
        </w:tc>
        <w:tc>
          <w:tcPr>
            <w:tcW w:w="1361" w:type="dxa"/>
            <w:tcBorders>
              <w:top w:val="nil"/>
              <w:left w:val="nil"/>
              <w:bottom w:val="nil"/>
              <w:right w:val="nil"/>
            </w:tcBorders>
            <w:shd w:val="clear" w:color="auto" w:fill="auto"/>
            <w:vAlign w:val="center"/>
            <w:hideMark/>
          </w:tcPr>
          <w:p w14:paraId="4CB50F3D" w14:textId="77777777" w:rsidR="007D7554" w:rsidRPr="009C6A9A" w:rsidRDefault="007D7554" w:rsidP="00585C95">
            <w:pPr>
              <w:tabs>
                <w:tab w:val="clear" w:pos="7100"/>
              </w:tabs>
              <w:spacing w:line="240" w:lineRule="auto"/>
              <w:jc w:val="left"/>
              <w:rPr>
                <w:rFonts w:cs="Arial"/>
                <w:color w:val="000000"/>
                <w:szCs w:val="18"/>
                <w:lang w:eastAsia="en-GB"/>
              </w:rPr>
            </w:pPr>
            <w:r w:rsidRPr="009C6A9A">
              <w:rPr>
                <w:rFonts w:cs="Arial"/>
                <w:color w:val="000000"/>
                <w:szCs w:val="18"/>
                <w:lang w:eastAsia="en-GB"/>
              </w:rPr>
              <w:t>m</w:t>
            </w:r>
            <w:r w:rsidRPr="009C6A9A">
              <w:rPr>
                <w:rFonts w:cs="Arial"/>
                <w:color w:val="000000"/>
                <w:szCs w:val="18"/>
                <w:vertAlign w:val="superscript"/>
                <w:lang w:eastAsia="en-GB"/>
              </w:rPr>
              <w:t>3</w:t>
            </w:r>
            <w:r w:rsidRPr="009C6A9A">
              <w:rPr>
                <w:rFonts w:cs="Arial"/>
                <w:color w:val="000000"/>
                <w:szCs w:val="18"/>
                <w:lang w:eastAsia="en-GB"/>
              </w:rPr>
              <w:t xml:space="preserve"> eq</w:t>
            </w:r>
          </w:p>
        </w:tc>
        <w:tc>
          <w:tcPr>
            <w:tcW w:w="1192" w:type="dxa"/>
            <w:tcBorders>
              <w:top w:val="nil"/>
              <w:left w:val="nil"/>
              <w:bottom w:val="nil"/>
              <w:right w:val="nil"/>
            </w:tcBorders>
          </w:tcPr>
          <w:p w14:paraId="5916865A"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5.80E-01</w:t>
            </w:r>
          </w:p>
        </w:tc>
        <w:tc>
          <w:tcPr>
            <w:tcW w:w="1192" w:type="dxa"/>
            <w:tcBorders>
              <w:top w:val="nil"/>
              <w:left w:val="nil"/>
              <w:bottom w:val="nil"/>
              <w:right w:val="nil"/>
            </w:tcBorders>
          </w:tcPr>
          <w:p w14:paraId="502D19D0"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5.81E-01</w:t>
            </w:r>
          </w:p>
        </w:tc>
        <w:tc>
          <w:tcPr>
            <w:tcW w:w="1192" w:type="dxa"/>
            <w:tcBorders>
              <w:top w:val="nil"/>
              <w:left w:val="nil"/>
              <w:bottom w:val="nil"/>
              <w:right w:val="nil"/>
            </w:tcBorders>
          </w:tcPr>
          <w:p w14:paraId="6D4428B6" w14:textId="77777777" w:rsidR="007D7554" w:rsidRPr="009C6A9A" w:rsidRDefault="007D7554" w:rsidP="00585C95">
            <w:pPr>
              <w:tabs>
                <w:tab w:val="clear" w:pos="7100"/>
              </w:tabs>
              <w:spacing w:line="240" w:lineRule="auto"/>
              <w:jc w:val="left"/>
              <w:rPr>
                <w:rFonts w:cs="Arial"/>
                <w:color w:val="000000"/>
                <w:szCs w:val="18"/>
                <w:lang w:eastAsia="en-GB"/>
              </w:rPr>
            </w:pPr>
            <w:r w:rsidRPr="00557988">
              <w:t>5.82E-01</w:t>
            </w:r>
          </w:p>
        </w:tc>
      </w:tr>
      <w:tr w:rsidR="001A3FB3" w:rsidRPr="009C6A9A" w14:paraId="4EE5F16B" w14:textId="77777777" w:rsidTr="001A3FB3">
        <w:trPr>
          <w:trHeight w:val="20"/>
        </w:trPr>
        <w:tc>
          <w:tcPr>
            <w:tcW w:w="2721" w:type="dxa"/>
            <w:tcBorders>
              <w:top w:val="nil"/>
              <w:left w:val="nil"/>
              <w:bottom w:val="single" w:sz="12" w:space="0" w:color="007000"/>
              <w:right w:val="nil"/>
            </w:tcBorders>
            <w:shd w:val="clear" w:color="000000" w:fill="FFFFFF"/>
          </w:tcPr>
          <w:p w14:paraId="4612022F" w14:textId="1C65525B" w:rsidR="001A3FB3" w:rsidRPr="009C6A9A" w:rsidRDefault="001A3FB3" w:rsidP="001A3FB3">
            <w:pPr>
              <w:tabs>
                <w:tab w:val="clear" w:pos="7100"/>
              </w:tabs>
              <w:spacing w:line="240" w:lineRule="auto"/>
              <w:jc w:val="left"/>
              <w:rPr>
                <w:rFonts w:cs="Arial"/>
                <w:szCs w:val="18"/>
                <w:lang w:eastAsia="en-GB"/>
              </w:rPr>
            </w:pPr>
            <w:r w:rsidRPr="00AA5321">
              <w:t>Ozone layer depletion</w:t>
            </w:r>
          </w:p>
        </w:tc>
        <w:tc>
          <w:tcPr>
            <w:tcW w:w="1361" w:type="dxa"/>
            <w:tcBorders>
              <w:top w:val="nil"/>
              <w:left w:val="nil"/>
              <w:bottom w:val="single" w:sz="12" w:space="0" w:color="007000"/>
              <w:right w:val="nil"/>
            </w:tcBorders>
            <w:shd w:val="clear" w:color="auto" w:fill="auto"/>
          </w:tcPr>
          <w:p w14:paraId="3BEAAC40" w14:textId="5880279D" w:rsidR="001A3FB3" w:rsidRPr="009C6A9A" w:rsidRDefault="001A3FB3" w:rsidP="001A3FB3">
            <w:pPr>
              <w:tabs>
                <w:tab w:val="clear" w:pos="7100"/>
              </w:tabs>
              <w:spacing w:line="240" w:lineRule="auto"/>
              <w:jc w:val="left"/>
              <w:rPr>
                <w:rFonts w:cs="Arial"/>
                <w:color w:val="000000"/>
                <w:szCs w:val="18"/>
                <w:lang w:eastAsia="en-GB"/>
              </w:rPr>
            </w:pPr>
            <w:r w:rsidRPr="001A3FB3">
              <w:rPr>
                <w:rFonts w:cs="Arial"/>
                <w:color w:val="000000"/>
                <w:szCs w:val="18"/>
                <w:lang w:eastAsia="en-GB"/>
              </w:rPr>
              <w:t>kg CFC-11 eq</w:t>
            </w:r>
          </w:p>
        </w:tc>
        <w:tc>
          <w:tcPr>
            <w:tcW w:w="1192" w:type="dxa"/>
            <w:tcBorders>
              <w:top w:val="nil"/>
              <w:left w:val="nil"/>
              <w:bottom w:val="single" w:sz="12" w:space="0" w:color="007000"/>
              <w:right w:val="nil"/>
            </w:tcBorders>
          </w:tcPr>
          <w:p w14:paraId="34DEF1A9" w14:textId="189422D9" w:rsidR="001A3FB3" w:rsidRPr="00557988" w:rsidRDefault="001A3FB3" w:rsidP="001A3FB3">
            <w:pPr>
              <w:tabs>
                <w:tab w:val="clear" w:pos="7100"/>
              </w:tabs>
              <w:spacing w:line="240" w:lineRule="auto"/>
              <w:jc w:val="left"/>
            </w:pPr>
            <w:r w:rsidRPr="00777666">
              <w:t>1.09E-04</w:t>
            </w:r>
          </w:p>
        </w:tc>
        <w:tc>
          <w:tcPr>
            <w:tcW w:w="1192" w:type="dxa"/>
            <w:tcBorders>
              <w:top w:val="nil"/>
              <w:left w:val="nil"/>
              <w:bottom w:val="single" w:sz="12" w:space="0" w:color="007000"/>
              <w:right w:val="nil"/>
            </w:tcBorders>
          </w:tcPr>
          <w:p w14:paraId="67E9B523" w14:textId="06098B1E" w:rsidR="001A3FB3" w:rsidRPr="00557988" w:rsidRDefault="001A3FB3" w:rsidP="001A3FB3">
            <w:pPr>
              <w:tabs>
                <w:tab w:val="clear" w:pos="7100"/>
              </w:tabs>
              <w:spacing w:line="240" w:lineRule="auto"/>
              <w:jc w:val="left"/>
            </w:pPr>
            <w:r w:rsidRPr="00777666">
              <w:t>1.09E-04</w:t>
            </w:r>
          </w:p>
        </w:tc>
        <w:tc>
          <w:tcPr>
            <w:tcW w:w="1192" w:type="dxa"/>
            <w:tcBorders>
              <w:top w:val="nil"/>
              <w:left w:val="nil"/>
              <w:bottom w:val="single" w:sz="12" w:space="0" w:color="007000"/>
              <w:right w:val="nil"/>
            </w:tcBorders>
          </w:tcPr>
          <w:p w14:paraId="0BD6EA44" w14:textId="372ABECA" w:rsidR="001A3FB3" w:rsidRPr="00557988" w:rsidRDefault="001A3FB3" w:rsidP="001A3FB3">
            <w:pPr>
              <w:tabs>
                <w:tab w:val="clear" w:pos="7100"/>
              </w:tabs>
              <w:spacing w:line="240" w:lineRule="auto"/>
              <w:jc w:val="left"/>
            </w:pPr>
            <w:r w:rsidRPr="00777666">
              <w:t>1.09E-04</w:t>
            </w:r>
          </w:p>
        </w:tc>
      </w:tr>
    </w:tbl>
    <w:p w14:paraId="11AC5E0E" w14:textId="77777777" w:rsidR="007D7554" w:rsidRDefault="007D7554" w:rsidP="006E23FA">
      <w:pPr>
        <w:pStyle w:val="CETListbullets"/>
      </w:pPr>
    </w:p>
    <w:p w14:paraId="42FF5263" w14:textId="0AEF79C2" w:rsidR="006A7754" w:rsidRDefault="00C13B70" w:rsidP="00DA60F0">
      <w:pPr>
        <w:pStyle w:val="CETBodytext"/>
      </w:pPr>
      <w:r w:rsidRPr="00C13B70">
        <w:t>The contribution analysis</w:t>
      </w:r>
      <w:r w:rsidR="00DA60F0">
        <w:t xml:space="preserve"> in </w:t>
      </w:r>
      <w:r w:rsidR="00DA60F0">
        <w:fldChar w:fldCharType="begin"/>
      </w:r>
      <w:r w:rsidR="00DA60F0">
        <w:instrText xml:space="preserve"> REF _Ref191398614 \h  \* MERGEFORMAT </w:instrText>
      </w:r>
      <w:r w:rsidR="00DA60F0">
        <w:fldChar w:fldCharType="separate"/>
      </w:r>
      <w:r w:rsidR="00456733">
        <w:t xml:space="preserve">Figure </w:t>
      </w:r>
      <w:r w:rsidR="00456733">
        <w:rPr>
          <w:noProof/>
        </w:rPr>
        <w:t>2</w:t>
      </w:r>
      <w:r w:rsidR="00DA60F0">
        <w:fldChar w:fldCharType="end"/>
      </w:r>
      <w:r w:rsidR="00DA60F0">
        <w:t xml:space="preserve"> illustrates the assessment for electrode 2, </w:t>
      </w:r>
      <w:r w:rsidR="00DA60F0" w:rsidRPr="00DA60F0">
        <w:t>selected as a representative example</w:t>
      </w:r>
      <w:r w:rsidR="00DA60F0">
        <w:t>,</w:t>
      </w:r>
      <w:r w:rsidR="00464F88">
        <w:t xml:space="preserve"> given that</w:t>
      </w:r>
      <w:r w:rsidR="00DA60F0">
        <w:t xml:space="preserve"> the differences across the three electrodes are less than 1%. </w:t>
      </w:r>
      <w:r w:rsidRPr="00C13B70">
        <w:t xml:space="preserve">Specifically, trichloromethane etching is the </w:t>
      </w:r>
      <w:r>
        <w:t>main</w:t>
      </w:r>
      <w:r w:rsidRPr="00C13B70">
        <w:t xml:space="preserve"> contributor to global warming (78%), photochemical oxidation (42%), abiotic depletion of fossil fuels (68%),</w:t>
      </w:r>
      <w:r w:rsidR="00C21091">
        <w:t xml:space="preserve"> and</w:t>
      </w:r>
      <w:r w:rsidRPr="00C13B70">
        <w:t xml:space="preserve"> ozone layer depletion (nearly 100%)</w:t>
      </w:r>
      <w:r w:rsidR="004F2FFC">
        <w:t xml:space="preserve">. </w:t>
      </w:r>
      <w:r w:rsidR="005901D2" w:rsidRPr="005901D2">
        <w:t>In contrast, sputtering is identified as the main contributor to eutrophication (66%) and abiotic resource depletion of elements (87%).</w:t>
      </w:r>
      <w:r w:rsidR="005901D2">
        <w:t xml:space="preserve"> </w:t>
      </w:r>
      <w:r w:rsidR="005901D2" w:rsidRPr="005901D2">
        <w:t>Similarly, electrodeposition is the dominant factor for acidification (56%) and water scarcity (77%), primarily due to the use of nickel-based compounds</w:t>
      </w:r>
      <w:r w:rsidR="005901D2">
        <w:t>.</w:t>
      </w:r>
    </w:p>
    <w:p w14:paraId="30F0C02A" w14:textId="230C7097" w:rsidR="006A7754" w:rsidRDefault="00C21091" w:rsidP="006A7754">
      <w:pPr>
        <w:pStyle w:val="CETListbullets"/>
        <w:keepNext/>
      </w:pPr>
      <w:r>
        <w:rPr>
          <w:noProof/>
        </w:rPr>
        <w:lastRenderedPageBreak/>
        <w:drawing>
          <wp:inline distT="0" distB="0" distL="0" distR="0" wp14:anchorId="6076D2A6" wp14:editId="098A19D6">
            <wp:extent cx="4221150" cy="3600000"/>
            <wp:effectExtent l="0" t="0" r="8255" b="0"/>
            <wp:docPr id="2130335180"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35180"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4221150" cy="3600000"/>
                    </a:xfrm>
                    <a:prstGeom prst="rect">
                      <a:avLst/>
                    </a:prstGeom>
                  </pic:spPr>
                </pic:pic>
              </a:graphicData>
            </a:graphic>
          </wp:inline>
        </w:drawing>
      </w:r>
    </w:p>
    <w:p w14:paraId="22DA9719" w14:textId="5A2F8F08" w:rsidR="00306366" w:rsidRDefault="006A7754" w:rsidP="006A7754">
      <w:pPr>
        <w:pStyle w:val="Didascalia"/>
        <w:jc w:val="both"/>
      </w:pPr>
      <w:bookmarkStart w:id="9" w:name="_Ref191398614"/>
      <w:bookmarkStart w:id="10" w:name="_Ref191398610"/>
      <w:r>
        <w:t xml:space="preserve">Figure </w:t>
      </w:r>
      <w:r>
        <w:fldChar w:fldCharType="begin"/>
      </w:r>
      <w:r>
        <w:instrText xml:space="preserve"> SEQ Figure \* ARABIC </w:instrText>
      </w:r>
      <w:r>
        <w:fldChar w:fldCharType="separate"/>
      </w:r>
      <w:r w:rsidR="00456733">
        <w:rPr>
          <w:noProof/>
        </w:rPr>
        <w:t>2</w:t>
      </w:r>
      <w:r>
        <w:fldChar w:fldCharType="end"/>
      </w:r>
      <w:bookmarkEnd w:id="9"/>
      <w:r>
        <w:t xml:space="preserve"> Contribution analysis of the </w:t>
      </w:r>
      <w:bookmarkEnd w:id="10"/>
      <w:r w:rsidR="00A823DF">
        <w:t>electrode 2</w:t>
      </w:r>
      <w:r w:rsidR="00DE33BF">
        <w:t>: percentage incidence of each step on the total impact</w:t>
      </w:r>
    </w:p>
    <w:p w14:paraId="4BCC79F8" w14:textId="77777777" w:rsidR="00306366" w:rsidRDefault="00306366" w:rsidP="006E23FA">
      <w:pPr>
        <w:pStyle w:val="CETListbullets"/>
      </w:pPr>
    </w:p>
    <w:p w14:paraId="28530999" w14:textId="7F2783C2" w:rsidR="00A31EBE" w:rsidRDefault="00A97832" w:rsidP="005901D2">
      <w:pPr>
        <w:pStyle w:val="CETBodytext"/>
      </w:pPr>
      <w:r>
        <w:fldChar w:fldCharType="begin"/>
      </w:r>
      <w:r>
        <w:instrText xml:space="preserve"> REF _Ref191457411 \h </w:instrText>
      </w:r>
      <w:r w:rsidR="005901D2">
        <w:instrText xml:space="preserve"> \* MERGEFORMAT </w:instrText>
      </w:r>
      <w:r>
        <w:fldChar w:fldCharType="separate"/>
      </w:r>
      <w:r w:rsidR="00456733">
        <w:t xml:space="preserve">Figure </w:t>
      </w:r>
      <w:r w:rsidR="00456733">
        <w:rPr>
          <w:noProof/>
        </w:rPr>
        <w:t>3</w:t>
      </w:r>
      <w:r>
        <w:fldChar w:fldCharType="end"/>
      </w:r>
      <w:r w:rsidR="00A31EBE">
        <w:t xml:space="preserve"> </w:t>
      </w:r>
      <w:r w:rsidR="005901D2" w:rsidRPr="005901D2">
        <w:t xml:space="preserve">presents the contribution analysis for the sputtering process, which remains consistent across all three electrodes. Within this process, gold emerges as the primary </w:t>
      </w:r>
      <w:r w:rsidR="008B3E37" w:rsidRPr="005901D2">
        <w:t>hot spot</w:t>
      </w:r>
      <w:r w:rsidR="005901D2" w:rsidRPr="005901D2">
        <w:t xml:space="preserve">, contributing between 93% (water scarcity) and nearly 100% (abiotic depletion of elements) across all impact </w:t>
      </w:r>
      <w:r w:rsidR="00C47837" w:rsidRPr="005901D2">
        <w:t>categories.</w:t>
      </w:r>
      <w:r w:rsidR="005901D2">
        <w:t xml:space="preserve"> </w:t>
      </w:r>
      <w:r w:rsidR="005901D2" w:rsidRPr="005901D2">
        <w:t xml:space="preserve">In contrast, </w:t>
      </w:r>
      <w:r w:rsidR="006517CE">
        <w:t>t</w:t>
      </w:r>
      <w:r w:rsidR="005901D2" w:rsidRPr="005901D2">
        <w:t>he</w:t>
      </w:r>
      <w:r w:rsidR="00C21091">
        <w:t xml:space="preserve"> maximum</w:t>
      </w:r>
      <w:r w:rsidR="005901D2" w:rsidRPr="005901D2">
        <w:t xml:space="preserve"> impact </w:t>
      </w:r>
      <w:r w:rsidR="00C21091">
        <w:t>caused by</w:t>
      </w:r>
      <w:r w:rsidR="005901D2" w:rsidRPr="005901D2">
        <w:t xml:space="preserve"> electricity </w:t>
      </w:r>
      <w:r w:rsidR="00C21091">
        <w:t>is</w:t>
      </w:r>
      <w:r w:rsidR="005901D2" w:rsidRPr="005901D2">
        <w:t xml:space="preserve"> 7% for water scarcity, while polycarbonate contributes minimally, with its highest impact reaching approximately 1% for ozone layer depletion.</w:t>
      </w:r>
    </w:p>
    <w:p w14:paraId="0AF4EB25" w14:textId="77777777" w:rsidR="00A823DF" w:rsidRDefault="00A823DF" w:rsidP="005901D2">
      <w:pPr>
        <w:pStyle w:val="CETBodytext"/>
      </w:pPr>
    </w:p>
    <w:p w14:paraId="10D70CE3" w14:textId="4540D110" w:rsidR="007D7554" w:rsidRDefault="00C21091" w:rsidP="007D7554">
      <w:pPr>
        <w:pStyle w:val="CETListbullets"/>
        <w:keepNext/>
      </w:pPr>
      <w:r>
        <w:rPr>
          <w:noProof/>
        </w:rPr>
        <w:drawing>
          <wp:inline distT="0" distB="0" distL="0" distR="0" wp14:anchorId="72BC2C84" wp14:editId="7DA097D7">
            <wp:extent cx="4760123" cy="2772000"/>
            <wp:effectExtent l="0" t="0" r="0" b="9525"/>
            <wp:docPr id="145170143"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0143"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760123" cy="2772000"/>
                    </a:xfrm>
                    <a:prstGeom prst="rect">
                      <a:avLst/>
                    </a:prstGeom>
                  </pic:spPr>
                </pic:pic>
              </a:graphicData>
            </a:graphic>
          </wp:inline>
        </w:drawing>
      </w:r>
    </w:p>
    <w:p w14:paraId="62DC3282" w14:textId="7138782D" w:rsidR="006E23FA" w:rsidRDefault="007D7554" w:rsidP="007D7554">
      <w:pPr>
        <w:pStyle w:val="Didascalia"/>
        <w:jc w:val="both"/>
      </w:pPr>
      <w:bookmarkStart w:id="11" w:name="_Ref191457411"/>
      <w:r>
        <w:t xml:space="preserve">Figure </w:t>
      </w:r>
      <w:r>
        <w:fldChar w:fldCharType="begin"/>
      </w:r>
      <w:r>
        <w:instrText xml:space="preserve"> SEQ Figure \* ARABIC </w:instrText>
      </w:r>
      <w:r>
        <w:fldChar w:fldCharType="separate"/>
      </w:r>
      <w:r w:rsidR="00456733">
        <w:rPr>
          <w:noProof/>
        </w:rPr>
        <w:t>3</w:t>
      </w:r>
      <w:r>
        <w:fldChar w:fldCharType="end"/>
      </w:r>
      <w:bookmarkEnd w:id="11"/>
      <w:r>
        <w:t xml:space="preserve"> Contribution analysis of Sputtering</w:t>
      </w:r>
      <w:r w:rsidR="00DB2033">
        <w:t xml:space="preserve"> process</w:t>
      </w:r>
      <w:r w:rsidR="00DE33BF">
        <w:t>: percentage incidence of each input in the process</w:t>
      </w:r>
    </w:p>
    <w:p w14:paraId="53B39C73" w14:textId="77777777" w:rsidR="0011202D" w:rsidRDefault="0011202D" w:rsidP="006E23FA">
      <w:pPr>
        <w:pStyle w:val="CETListbullets"/>
      </w:pPr>
    </w:p>
    <w:p w14:paraId="2F20F0CE" w14:textId="5CAAEF4B" w:rsidR="007D7554" w:rsidRDefault="00C21091" w:rsidP="007D7554">
      <w:pPr>
        <w:pStyle w:val="CETListbullets"/>
        <w:keepNext/>
      </w:pPr>
      <w:r>
        <w:rPr>
          <w:noProof/>
        </w:rPr>
        <w:lastRenderedPageBreak/>
        <w:drawing>
          <wp:inline distT="0" distB="0" distL="0" distR="0" wp14:anchorId="676FA3E2" wp14:editId="7AEDA2F1">
            <wp:extent cx="5139810" cy="2772000"/>
            <wp:effectExtent l="0" t="0" r="3810" b="9525"/>
            <wp:docPr id="87755790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57909"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139810" cy="2772000"/>
                    </a:xfrm>
                    <a:prstGeom prst="rect">
                      <a:avLst/>
                    </a:prstGeom>
                  </pic:spPr>
                </pic:pic>
              </a:graphicData>
            </a:graphic>
          </wp:inline>
        </w:drawing>
      </w:r>
    </w:p>
    <w:p w14:paraId="25AEB60D" w14:textId="43177E34" w:rsidR="0011202D" w:rsidRDefault="007D7554" w:rsidP="007D7554">
      <w:pPr>
        <w:pStyle w:val="Didascalia"/>
        <w:jc w:val="both"/>
      </w:pPr>
      <w:bookmarkStart w:id="12" w:name="_Ref191458928"/>
      <w:r>
        <w:t xml:space="preserve">Figure </w:t>
      </w:r>
      <w:r>
        <w:fldChar w:fldCharType="begin"/>
      </w:r>
      <w:r>
        <w:instrText xml:space="preserve"> SEQ Figure \* ARABIC </w:instrText>
      </w:r>
      <w:r>
        <w:fldChar w:fldCharType="separate"/>
      </w:r>
      <w:r w:rsidR="00456733">
        <w:rPr>
          <w:noProof/>
        </w:rPr>
        <w:t>4</w:t>
      </w:r>
      <w:r>
        <w:fldChar w:fldCharType="end"/>
      </w:r>
      <w:bookmarkEnd w:id="12"/>
      <w:r>
        <w:t xml:space="preserve"> Contribution analysis of Electrodeposition of Electrode 2</w:t>
      </w:r>
      <w:r w:rsidR="00DE33BF">
        <w:t>: percentage incidence of each input in the process</w:t>
      </w:r>
    </w:p>
    <w:p w14:paraId="120030EC" w14:textId="77777777" w:rsidR="007D7554" w:rsidRDefault="007D7554" w:rsidP="007D7554"/>
    <w:p w14:paraId="26BD4106" w14:textId="47FB2E6D" w:rsidR="008871F8" w:rsidRPr="005C4560" w:rsidRDefault="00B12846" w:rsidP="005901D2">
      <w:pPr>
        <w:pStyle w:val="CETBodytext"/>
        <w:rPr>
          <w:lang w:val="en-GB"/>
        </w:rPr>
      </w:pPr>
      <w:r w:rsidRPr="005C4560">
        <w:rPr>
          <w:lang w:val="en-GB"/>
        </w:rPr>
        <w:t xml:space="preserve">Further contribution analyses are conducted on the electrodeposition process of the three prototypes. Figure 3 illustrates, as an example, the results for the electrodeposition of Electrode 2 (with a sodium hypophosphite concentration of 0.9 g/L). </w:t>
      </w:r>
      <w:r w:rsidR="0071062D" w:rsidRPr="005C4560">
        <w:rPr>
          <w:lang w:val="en-GB"/>
        </w:rPr>
        <w:t xml:space="preserve">Specifically, nickel sulfate accounts for a variable contribution ranging from 46% (acidification) to 90% (water scarcity). Similarly, nickel chloride causes impacts between 9% (water scarcity) and 51% (acidification). Boric acid reveals a minor contribution, with its impact ranging from 0.2% (water scarcity) to 15% (abiotic depletion of elements). Sodium hypophosphite </w:t>
      </w:r>
      <w:r w:rsidR="005C4560" w:rsidRPr="005C4560">
        <w:rPr>
          <w:lang w:val="en-GB"/>
        </w:rPr>
        <w:t>is responsible for an impact</w:t>
      </w:r>
      <w:r w:rsidR="0071062D" w:rsidRPr="005C4560">
        <w:rPr>
          <w:lang w:val="en-GB"/>
        </w:rPr>
        <w:t xml:space="preserve"> between 0.4% (abiotic depletion of elements) and 4% (eutrophication). Deioni</w:t>
      </w:r>
      <w:r w:rsidR="005C4560" w:rsidRPr="005C4560">
        <w:rPr>
          <w:lang w:val="en-GB"/>
        </w:rPr>
        <w:t>s</w:t>
      </w:r>
      <w:r w:rsidR="0071062D" w:rsidRPr="005C4560">
        <w:rPr>
          <w:lang w:val="en-GB"/>
        </w:rPr>
        <w:t>ed water and iron sulfate have negligible impacts, each contributing less than 1% across all impact categories.</w:t>
      </w:r>
    </w:p>
    <w:p w14:paraId="1B4F83EE" w14:textId="77777777" w:rsidR="008871F8" w:rsidRDefault="008871F8" w:rsidP="007D7554"/>
    <w:p w14:paraId="68D26B83" w14:textId="77777777" w:rsidR="00600535" w:rsidRPr="00453D5D" w:rsidRDefault="00600535" w:rsidP="00600535">
      <w:pPr>
        <w:pStyle w:val="CETHeading1"/>
        <w:rPr>
          <w:lang w:val="en-GB"/>
        </w:rPr>
      </w:pPr>
      <w:r w:rsidRPr="00453D5D">
        <w:rPr>
          <w:lang w:val="en-GB"/>
        </w:rPr>
        <w:t>Conclusions</w:t>
      </w:r>
    </w:p>
    <w:p w14:paraId="78408206" w14:textId="7864F81C" w:rsidR="00BD044D" w:rsidRPr="00BD044D" w:rsidRDefault="00BD044D" w:rsidP="00BD044D">
      <w:pPr>
        <w:pStyle w:val="CETBodytext"/>
      </w:pPr>
      <w:r w:rsidRPr="00BD044D">
        <w:t xml:space="preserve">In this LCA study, the energy and environmental impacts of </w:t>
      </w:r>
      <w:r w:rsidR="00DE25A4">
        <w:t xml:space="preserve">prototype </w:t>
      </w:r>
      <w:r w:rsidRPr="00BD044D">
        <w:t>electrodes</w:t>
      </w:r>
      <w:r w:rsidR="00DE25A4">
        <w:t xml:space="preserve"> for electrolysers</w:t>
      </w:r>
      <w:r w:rsidRPr="00BD044D">
        <w:t xml:space="preserve"> made from </w:t>
      </w:r>
      <w:r w:rsidR="00C47837" w:rsidRPr="00BD044D">
        <w:t>NiFeP</w:t>
      </w:r>
      <w:r w:rsidRPr="00BD044D">
        <w:t xml:space="preserve"> alloy were assessed by considering three different scenarios, which were defined by varying the concentration of sodium hypophosphite. The results demonstrated that the three electrodes </w:t>
      </w:r>
      <w:r>
        <w:t>reveal</w:t>
      </w:r>
      <w:r w:rsidRPr="00BD044D">
        <w:t xml:space="preserve"> negligible percentage differences in their environmental impacts. This lack of significant variation can be attributed to the minimal contribution of sodium hypophosphite across nearly all impact categories, with its maximum contribution reaching only 4% for eutrophication (in the case of Electrodeposition 2).</w:t>
      </w:r>
      <w:r w:rsidR="00DE25A4">
        <w:t xml:space="preserve"> </w:t>
      </w:r>
    </w:p>
    <w:p w14:paraId="05907C83" w14:textId="029DE4AB" w:rsidR="00BD044D" w:rsidRPr="00BD044D" w:rsidRDefault="00BD044D" w:rsidP="00BD044D">
      <w:pPr>
        <w:pStyle w:val="CETBodytext"/>
      </w:pPr>
      <w:r w:rsidRPr="00BD044D">
        <w:t>Furthermore, the contribution analysis of the electrodeposition process identifies nickel sulfate</w:t>
      </w:r>
      <w:r>
        <w:t xml:space="preserve"> (46%-90%)</w:t>
      </w:r>
      <w:r w:rsidRPr="00BD044D">
        <w:t xml:space="preserve"> and nickel chloride</w:t>
      </w:r>
      <w:r>
        <w:t xml:space="preserve"> (9%-51%)</w:t>
      </w:r>
      <w:r w:rsidRPr="00BD044D">
        <w:t xml:space="preserve"> as the </w:t>
      </w:r>
      <w:r>
        <w:t>main</w:t>
      </w:r>
      <w:r w:rsidRPr="00BD044D">
        <w:t xml:space="preserve"> hotspots. </w:t>
      </w:r>
      <w:r>
        <w:t>In addition, a</w:t>
      </w:r>
      <w:r w:rsidRPr="00BD044D">
        <w:t xml:space="preserve"> contribution analysis</w:t>
      </w:r>
      <w:r>
        <w:t xml:space="preserve"> was</w:t>
      </w:r>
      <w:r w:rsidRPr="00BD044D">
        <w:t xml:space="preserve"> conducted for the sputtering process highlight</w:t>
      </w:r>
      <w:r>
        <w:t>ing that</w:t>
      </w:r>
      <w:r w:rsidRPr="00BD044D">
        <w:t xml:space="preserve"> gold </w:t>
      </w:r>
      <w:r>
        <w:t>w</w:t>
      </w:r>
      <w:r w:rsidRPr="00BD044D">
        <w:t>as the component with the highest impact across all categories, with contributions reaching a minimum of 93%.</w:t>
      </w:r>
    </w:p>
    <w:p w14:paraId="6BB0DCBF" w14:textId="146221E0" w:rsidR="00A823DF" w:rsidRDefault="00BD044D" w:rsidP="00BD044D">
      <w:pPr>
        <w:pStyle w:val="CETBodytext"/>
        <w:rPr>
          <w:lang w:val="en-GB"/>
        </w:rPr>
      </w:pPr>
      <w:r w:rsidRPr="00BD044D">
        <w:t xml:space="preserve">This study provides a foundation for future LCA </w:t>
      </w:r>
      <w:r w:rsidR="00C47837" w:rsidRPr="00BD044D">
        <w:t>research</w:t>
      </w:r>
      <w:r w:rsidRPr="00BD044D">
        <w:t xml:space="preserve"> of electrodes for electrolysers and for identifying eco-design strategies. Given the critical role these technologies will play in achieving decarbonization goals, the findings underscore the importance of optimizing </w:t>
      </w:r>
      <w:r>
        <w:t>the environmental performances particularly at low TRL.</w:t>
      </w:r>
      <w:r w:rsidR="00DE25A4">
        <w:t xml:space="preserve"> Although the results are referred to lab-scale electrodes and may not be directly comparable to </w:t>
      </w:r>
      <w:r w:rsidR="00DE25A4" w:rsidRPr="00DE25A4">
        <w:t>established commercial technologies</w:t>
      </w:r>
      <w:r w:rsidR="00DE25A4">
        <w:t xml:space="preserve">, they can provide important insights into the environmental impacts of the prototypes and </w:t>
      </w:r>
      <w:r w:rsidR="00C43EE6" w:rsidRPr="00C43EE6">
        <w:t>constitute</w:t>
      </w:r>
      <w:r w:rsidR="00C43EE6">
        <w:t xml:space="preserve"> </w:t>
      </w:r>
      <w:r w:rsidR="00DE25A4">
        <w:t xml:space="preserve">a foundational basis for future </w:t>
      </w:r>
      <w:r w:rsidR="00C43EE6">
        <w:t>research</w:t>
      </w:r>
      <w:r w:rsidR="00DE25A4">
        <w:t xml:space="preserve"> aimed at scal</w:t>
      </w:r>
      <w:r w:rsidR="00C43EE6">
        <w:t>ing</w:t>
      </w:r>
      <w:r w:rsidR="00DE25A4">
        <w:t xml:space="preserve"> up </w:t>
      </w:r>
      <w:r w:rsidR="00C43EE6">
        <w:t>the process</w:t>
      </w:r>
      <w:r w:rsidR="00DE25A4">
        <w:t>.</w:t>
      </w:r>
      <w:r>
        <w:t xml:space="preserve"> </w:t>
      </w:r>
      <w:r w:rsidR="00C43EE6">
        <w:t>Thereby, I</w:t>
      </w:r>
      <w:r>
        <w:t xml:space="preserve">ntegrating LCA </w:t>
      </w:r>
      <w:r w:rsidRPr="00BD044D">
        <w:rPr>
          <w:lang w:val="en-GB"/>
        </w:rPr>
        <w:t>in</w:t>
      </w:r>
      <w:r w:rsidR="00C43EE6">
        <w:rPr>
          <w:lang w:val="en-GB"/>
        </w:rPr>
        <w:t>to</w:t>
      </w:r>
      <w:r w:rsidRPr="00BD044D">
        <w:rPr>
          <w:lang w:val="en-GB"/>
        </w:rPr>
        <w:t xml:space="preserve"> the research and development phase, </w:t>
      </w:r>
      <w:r w:rsidR="00F85766" w:rsidRPr="00F85766">
        <w:rPr>
          <w:lang w:val="en-GB"/>
        </w:rPr>
        <w:t>prior to the advancement of technologies to higher TRL</w:t>
      </w:r>
      <w:r w:rsidRPr="00BD044D">
        <w:rPr>
          <w:lang w:val="en-GB"/>
        </w:rPr>
        <w:t xml:space="preserve">, </w:t>
      </w:r>
      <w:r w:rsidR="00F85766">
        <w:rPr>
          <w:lang w:val="en-GB"/>
        </w:rPr>
        <w:t>can facilitate informed</w:t>
      </w:r>
      <w:r w:rsidRPr="00BD044D">
        <w:rPr>
          <w:lang w:val="en-GB"/>
        </w:rPr>
        <w:t xml:space="preserve"> design decisions and material </w:t>
      </w:r>
      <w:r w:rsidR="00F85766" w:rsidRPr="00BD044D">
        <w:rPr>
          <w:lang w:val="en-GB"/>
        </w:rPr>
        <w:t>selections</w:t>
      </w:r>
      <w:r w:rsidR="00F85766">
        <w:rPr>
          <w:lang w:val="en-GB"/>
        </w:rPr>
        <w:t xml:space="preserve">, </w:t>
      </w:r>
      <w:r w:rsidR="00F85766" w:rsidRPr="00F85766">
        <w:rPr>
          <w:lang w:val="en-GB"/>
        </w:rPr>
        <w:t>thereby promoting more sustainable technological pathways</w:t>
      </w:r>
      <w:r w:rsidR="00F85766">
        <w:rPr>
          <w:lang w:val="en-GB"/>
        </w:rPr>
        <w:t>.</w:t>
      </w:r>
    </w:p>
    <w:p w14:paraId="0EDFDD39" w14:textId="77777777" w:rsidR="00C47837" w:rsidRDefault="00C47837">
      <w:pPr>
        <w:tabs>
          <w:tab w:val="clear" w:pos="7100"/>
        </w:tabs>
        <w:spacing w:after="200" w:line="276" w:lineRule="auto"/>
        <w:jc w:val="left"/>
        <w:rPr>
          <w:b/>
        </w:rPr>
      </w:pPr>
      <w:r>
        <w:br w:type="page"/>
      </w:r>
    </w:p>
    <w:p w14:paraId="300CC813" w14:textId="01BB70B7" w:rsidR="00A823DF" w:rsidRDefault="00600535" w:rsidP="00A823DF">
      <w:pPr>
        <w:pStyle w:val="CETAcknowledgementstitle"/>
      </w:pPr>
      <w:r w:rsidRPr="00453D5D">
        <w:lastRenderedPageBreak/>
        <w:t>Acknowledgments</w:t>
      </w:r>
    </w:p>
    <w:p w14:paraId="1364C0AC" w14:textId="3902809D" w:rsidR="0072379B" w:rsidRPr="00A823DF" w:rsidRDefault="0072379B" w:rsidP="008B3E37">
      <w:pPr>
        <w:pStyle w:val="CETAcknowledgementstitle"/>
        <w:jc w:val="both"/>
      </w:pPr>
      <w:r w:rsidRPr="0072379B">
        <w:rPr>
          <w:b w:val="0"/>
        </w:rPr>
        <w:t xml:space="preserve">This work was financed by the project "SiciliAn MicronanOTecH Research And Innovation CEnter "SAMOTHRACE" (MUR, PNRR-M4C2, ECS_00000022), spoke 3 - Università degli Studi di Palermo "S2-COMMs - Micro and Nanotechnologies for Smart &amp; Sustainable Communities </w:t>
      </w:r>
    </w:p>
    <w:p w14:paraId="4F1327F8" w14:textId="5BB6EB11" w:rsidR="00600535" w:rsidRDefault="00600535" w:rsidP="00600535">
      <w:pPr>
        <w:pStyle w:val="CETReference"/>
      </w:pPr>
      <w:r w:rsidRPr="00453D5D">
        <w:t>References</w:t>
      </w:r>
    </w:p>
    <w:p w14:paraId="299FF52F" w14:textId="77777777" w:rsidR="005438DB" w:rsidRPr="005438DB" w:rsidRDefault="005F5588" w:rsidP="005438DB">
      <w:pPr>
        <w:pStyle w:val="Bibliografia"/>
        <w:rPr>
          <w:rFonts w:cs="Arial"/>
        </w:rPr>
      </w:pPr>
      <w:r>
        <w:fldChar w:fldCharType="begin"/>
      </w:r>
      <w:r w:rsidR="005438DB">
        <w:instrText xml:space="preserve"> ADDIN ZOTERO_BIBL {"uncited":[],"omitted":[],"custom":[]} CSL_BIBLIOGRAPHY </w:instrText>
      </w:r>
      <w:r>
        <w:fldChar w:fldCharType="separate"/>
      </w:r>
      <w:r w:rsidR="005438DB" w:rsidRPr="005438DB">
        <w:rPr>
          <w:rFonts w:cs="Arial"/>
        </w:rPr>
        <w:t>Arsad, A.Z., Hannan, M.A., Al-Shetwi, A.Q., Hossain, M.J., Begum, R.A., Ker, P.J., Salehi, F., Muttaqi, K.M., 2023. Hydrogen electrolyser for sustainable energy production: A bibliometric analysis and future directions. International Journal of Hydrogen Energy 48, 4960–4983. https://doi.org/10.1016/j.ijhydene.2022.11.023</w:t>
      </w:r>
    </w:p>
    <w:p w14:paraId="788DDEDE" w14:textId="77777777" w:rsidR="005438DB" w:rsidRPr="005438DB" w:rsidRDefault="005438DB" w:rsidP="005438DB">
      <w:pPr>
        <w:pStyle w:val="Bibliografia"/>
        <w:rPr>
          <w:rFonts w:cs="Arial"/>
          <w:lang w:val="it-IT"/>
        </w:rPr>
      </w:pPr>
      <w:r w:rsidRPr="00E46A4E">
        <w:rPr>
          <w:rFonts w:cs="Arial"/>
        </w:rPr>
        <w:t xml:space="preserve">Buccheri, B., Ganci, F., Patella, B., Aiello, G., Mandin, P., Inguanta, R., 2021. </w:t>
      </w:r>
      <w:r w:rsidRPr="005438DB">
        <w:rPr>
          <w:rFonts w:cs="Arial"/>
        </w:rPr>
        <w:t xml:space="preserve">Ni-Fe alloy nanostructured electrodes for water splitting in alkaline electrolyser. </w:t>
      </w:r>
      <w:r w:rsidRPr="005438DB">
        <w:rPr>
          <w:rFonts w:cs="Arial"/>
          <w:lang w:val="it-IT"/>
        </w:rPr>
        <w:t>Electrochimica Acta 388, 138588. https://doi.org/10.1016/j.electacta.2021.138588</w:t>
      </w:r>
    </w:p>
    <w:p w14:paraId="75ABDFD5" w14:textId="77777777" w:rsidR="005438DB" w:rsidRPr="005438DB" w:rsidRDefault="005438DB" w:rsidP="005438DB">
      <w:pPr>
        <w:pStyle w:val="Bibliografia"/>
        <w:rPr>
          <w:rFonts w:cs="Arial"/>
        </w:rPr>
      </w:pPr>
      <w:r w:rsidRPr="005438DB">
        <w:rPr>
          <w:rFonts w:cs="Arial"/>
          <w:lang w:val="it-IT"/>
        </w:rPr>
        <w:t xml:space="preserve">Franco, A., Giovannini, C., 2023. </w:t>
      </w:r>
      <w:r w:rsidRPr="005438DB">
        <w:rPr>
          <w:rFonts w:cs="Arial"/>
        </w:rPr>
        <w:t>Recent and Future Advances in Water Electrolysis for Green Hydrogen Generation: Critical Analysis and Perspectives. Sustainability 15, 16917. https://doi.org/10.3390/su152416917</w:t>
      </w:r>
    </w:p>
    <w:p w14:paraId="5DB6F1E0" w14:textId="77777777" w:rsidR="005438DB" w:rsidRPr="005438DB" w:rsidRDefault="005438DB" w:rsidP="005438DB">
      <w:pPr>
        <w:pStyle w:val="Bibliografia"/>
        <w:rPr>
          <w:rFonts w:cs="Arial"/>
        </w:rPr>
      </w:pPr>
      <w:r w:rsidRPr="005438DB">
        <w:rPr>
          <w:rFonts w:cs="Arial"/>
        </w:rPr>
        <w:t>Frischknecht, R., Jungbluth, N., 2007. Implementation of Life Cycle Impact Assessment Methods.</w:t>
      </w:r>
    </w:p>
    <w:p w14:paraId="4E6A162F" w14:textId="77777777" w:rsidR="005438DB" w:rsidRPr="005438DB" w:rsidRDefault="005438DB" w:rsidP="005438DB">
      <w:pPr>
        <w:pStyle w:val="Bibliografia"/>
        <w:rPr>
          <w:rFonts w:cs="Arial"/>
        </w:rPr>
      </w:pPr>
      <w:r w:rsidRPr="005438DB">
        <w:rPr>
          <w:rFonts w:cs="Arial"/>
          <w:lang w:val="de-DE"/>
        </w:rPr>
        <w:t xml:space="preserve">Hu, K., Fang, J., Ai, X., Huang, D., Zhong, Z., Yang, X., Wang, L., 2022. </w:t>
      </w:r>
      <w:r w:rsidRPr="005438DB">
        <w:rPr>
          <w:rFonts w:cs="Arial"/>
        </w:rPr>
        <w:t>Comparative study of alkaline water electrolysis, proton exchange membrane water electrolysis and solid oxide electrolysis through multiphysics modeling. Applied Energy 312, 118788. https://doi.org/10.1016/j.apenergy.2022.118788</w:t>
      </w:r>
    </w:p>
    <w:p w14:paraId="56E1F3EC" w14:textId="1CEC84B8" w:rsidR="005438DB" w:rsidRPr="005438DB" w:rsidRDefault="005438DB" w:rsidP="005438DB">
      <w:pPr>
        <w:pStyle w:val="Bibliografia"/>
        <w:rPr>
          <w:rFonts w:cs="Arial"/>
        </w:rPr>
      </w:pPr>
      <w:r w:rsidRPr="005438DB">
        <w:rPr>
          <w:rFonts w:cs="Arial"/>
        </w:rPr>
        <w:t>I</w:t>
      </w:r>
      <w:r w:rsidR="00091FDF" w:rsidRPr="00091FDF">
        <w:t xml:space="preserve"> </w:t>
      </w:r>
      <w:r w:rsidR="00091FDF" w:rsidRPr="00091FDF">
        <w:rPr>
          <w:rFonts w:cs="Arial"/>
        </w:rPr>
        <w:t>IEA (2024), World Energy Outlook 2024, IEA, Paris https://www.iea.org/reports/world-energy-outlook-2024, Licence: CC BY 4.0 (report); CC BY NC SA 4.0 (Annex A)</w:t>
      </w:r>
    </w:p>
    <w:p w14:paraId="35577F53" w14:textId="77777777" w:rsidR="005438DB" w:rsidRPr="005438DB" w:rsidRDefault="005438DB" w:rsidP="005438DB">
      <w:pPr>
        <w:pStyle w:val="Bibliografia"/>
        <w:rPr>
          <w:rFonts w:cs="Arial"/>
        </w:rPr>
      </w:pPr>
      <w:r w:rsidRPr="005438DB">
        <w:rPr>
          <w:rFonts w:cs="Arial"/>
        </w:rPr>
        <w:t>ISO 14040, 2021. Environmental Management: Life Cycle Assessment; Principles and Framework.</w:t>
      </w:r>
    </w:p>
    <w:p w14:paraId="78BC5DC7" w14:textId="77777777" w:rsidR="005438DB" w:rsidRPr="005438DB" w:rsidRDefault="005438DB" w:rsidP="005438DB">
      <w:pPr>
        <w:pStyle w:val="Bibliografia"/>
        <w:rPr>
          <w:rFonts w:cs="Arial"/>
        </w:rPr>
      </w:pPr>
      <w:r w:rsidRPr="005438DB">
        <w:rPr>
          <w:rFonts w:cs="Arial"/>
        </w:rPr>
        <w:t>ISO 14044, 2021. Environmental Management: Life Cycle Assessment; Requirements and Guidelines.</w:t>
      </w:r>
    </w:p>
    <w:p w14:paraId="6D669832" w14:textId="77777777" w:rsidR="005438DB" w:rsidRPr="005438DB" w:rsidRDefault="005438DB" w:rsidP="005438DB">
      <w:pPr>
        <w:pStyle w:val="Bibliografia"/>
        <w:rPr>
          <w:rFonts w:cs="Arial"/>
        </w:rPr>
      </w:pPr>
      <w:r w:rsidRPr="005438DB">
        <w:rPr>
          <w:rFonts w:cs="Arial"/>
        </w:rPr>
        <w:t>Kouchaki-Penchah, H., Bahn, O., Bashiri, H., Bedard, S., Bernier, E., Elliot, T., Hammache, A., Vaillancourt, K., Levasseur, A., 2024. The role of hydrogen in a net-zero emission economy under alternative policy scenarios. International Journal of Hydrogen Energy 49, 173–187. https://doi.org/10.1016/j.ijhydene.2023.07.196</w:t>
      </w:r>
    </w:p>
    <w:p w14:paraId="13E9AE94" w14:textId="77777777" w:rsidR="005438DB" w:rsidRPr="005438DB" w:rsidRDefault="005438DB" w:rsidP="005438DB">
      <w:pPr>
        <w:pStyle w:val="Bibliografia"/>
        <w:rPr>
          <w:rFonts w:cs="Arial"/>
        </w:rPr>
      </w:pPr>
      <w:r w:rsidRPr="005438DB">
        <w:rPr>
          <w:rFonts w:cs="Arial"/>
        </w:rPr>
        <w:t>Li, X., Zhao, L., Yu, J., Liu, X., Zhang, X., Liu, H., Zhou, W., 2020. Water Splitting: From Electrode to Green Energy System. Nano-Micro Lett. 12, 131. https://doi.org/10.1007/s40820-020-00469-3</w:t>
      </w:r>
    </w:p>
    <w:p w14:paraId="06DB1359" w14:textId="37B89B75" w:rsidR="005438DB" w:rsidRPr="005438DB" w:rsidRDefault="005438DB" w:rsidP="005438DB">
      <w:pPr>
        <w:pStyle w:val="Bibliografia"/>
        <w:rPr>
          <w:rFonts w:cs="Arial"/>
        </w:rPr>
      </w:pPr>
      <w:r w:rsidRPr="005438DB">
        <w:rPr>
          <w:rFonts w:cs="Arial"/>
        </w:rPr>
        <w:t>PRé Sustainability, Simapro, 2024.</w:t>
      </w:r>
      <w:r w:rsidR="00091FDF">
        <w:rPr>
          <w:rFonts w:cs="Arial"/>
        </w:rPr>
        <w:t xml:space="preserve"> </w:t>
      </w:r>
      <w:r w:rsidR="00091FDF" w:rsidRPr="00091FDF">
        <w:rPr>
          <w:rFonts w:cs="Arial"/>
        </w:rPr>
        <w:t>https://simapro.com/</w:t>
      </w:r>
    </w:p>
    <w:p w14:paraId="1D81FDEC" w14:textId="77777777" w:rsidR="005438DB" w:rsidRPr="005438DB" w:rsidRDefault="005438DB" w:rsidP="005438DB">
      <w:pPr>
        <w:pStyle w:val="Bibliografia"/>
        <w:rPr>
          <w:rFonts w:cs="Arial"/>
        </w:rPr>
      </w:pPr>
      <w:r w:rsidRPr="005438DB">
        <w:rPr>
          <w:rFonts w:cs="Arial"/>
        </w:rPr>
        <w:t>The International EPD System, 2018. EPD Environmental Performance Indicators [WWW Document]. URL https://www.environdec.com/pcr/env-perf-indic/gpi4 (accessed 2.10.25).</w:t>
      </w:r>
    </w:p>
    <w:p w14:paraId="1EF7103E" w14:textId="77777777" w:rsidR="005438DB" w:rsidRPr="005438DB" w:rsidRDefault="005438DB" w:rsidP="005438DB">
      <w:pPr>
        <w:pStyle w:val="Bibliografia"/>
        <w:rPr>
          <w:rFonts w:cs="Arial"/>
        </w:rPr>
      </w:pPr>
      <w:r w:rsidRPr="00C47837">
        <w:rPr>
          <w:rFonts w:cs="Arial"/>
          <w:lang w:val="de-DE"/>
        </w:rPr>
        <w:t xml:space="preserve">Wernet, G., Bauer, C., Steubing, B., Reinhard, J., Moreno-Ruiz, E., Weidema, B., 2016. </w:t>
      </w:r>
      <w:r w:rsidRPr="005438DB">
        <w:rPr>
          <w:rFonts w:cs="Arial"/>
        </w:rPr>
        <w:t>The ecoinvent database version 3 (part I): overview and methodology. Int J Life Cycle Assess 21, 1218–1230. https://doi.org/10.1007/s11367-016-1087-8</w:t>
      </w:r>
    </w:p>
    <w:p w14:paraId="0736D545" w14:textId="77777777" w:rsidR="005438DB" w:rsidRPr="005438DB" w:rsidRDefault="005438DB" w:rsidP="005438DB">
      <w:pPr>
        <w:pStyle w:val="Bibliografia"/>
        <w:rPr>
          <w:rFonts w:cs="Arial"/>
        </w:rPr>
      </w:pPr>
      <w:r w:rsidRPr="005438DB">
        <w:rPr>
          <w:rFonts w:cs="Arial"/>
          <w:lang w:val="de-DE"/>
        </w:rPr>
        <w:t xml:space="preserve">Yang, B., Zhang, R., Shao, Z., Zhang, C., 2023. </w:t>
      </w:r>
      <w:r w:rsidRPr="005438DB">
        <w:rPr>
          <w:rFonts w:cs="Arial"/>
        </w:rPr>
        <w:t>The economic analysis for hydrogen production cost towards electrolyzer technologies: Current and future competitiveness. International Journal of Hydrogen Energy 48, 13767–13779. https://doi.org/10.1016/j.ijhydene.2022.12.204</w:t>
      </w:r>
    </w:p>
    <w:p w14:paraId="6B2B162A" w14:textId="70A06A44" w:rsidR="005F5588" w:rsidRPr="00453D5D" w:rsidRDefault="005F5588" w:rsidP="005F5588">
      <w:pPr>
        <w:pStyle w:val="CETReferencetext"/>
      </w:pPr>
      <w:r>
        <w:fldChar w:fldCharType="end"/>
      </w:r>
    </w:p>
    <w:sectPr w:rsidR="005F5588" w:rsidRPr="00453D5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652CB" w14:textId="77777777" w:rsidR="0065543E" w:rsidRDefault="0065543E" w:rsidP="004F5E36">
      <w:r>
        <w:separator/>
      </w:r>
    </w:p>
  </w:endnote>
  <w:endnote w:type="continuationSeparator" w:id="0">
    <w:p w14:paraId="3D5EF0FA" w14:textId="77777777" w:rsidR="0065543E" w:rsidRDefault="0065543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9295D" w14:textId="77777777" w:rsidR="0065543E" w:rsidRDefault="0065543E" w:rsidP="004F5E36">
      <w:r>
        <w:separator/>
      </w:r>
    </w:p>
  </w:footnote>
  <w:footnote w:type="continuationSeparator" w:id="0">
    <w:p w14:paraId="4ADFA043" w14:textId="77777777" w:rsidR="0065543E" w:rsidRDefault="0065543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1839235">
    <w:abstractNumId w:val="11"/>
  </w:num>
  <w:num w:numId="2" w16cid:durableId="1646353243">
    <w:abstractNumId w:val="8"/>
  </w:num>
  <w:num w:numId="3" w16cid:durableId="902375650">
    <w:abstractNumId w:val="3"/>
  </w:num>
  <w:num w:numId="4" w16cid:durableId="816343557">
    <w:abstractNumId w:val="2"/>
  </w:num>
  <w:num w:numId="5" w16cid:durableId="1001808586">
    <w:abstractNumId w:val="1"/>
  </w:num>
  <w:num w:numId="6" w16cid:durableId="278538528">
    <w:abstractNumId w:val="0"/>
  </w:num>
  <w:num w:numId="7" w16cid:durableId="322391499">
    <w:abstractNumId w:val="9"/>
  </w:num>
  <w:num w:numId="8" w16cid:durableId="895550431">
    <w:abstractNumId w:val="7"/>
  </w:num>
  <w:num w:numId="9" w16cid:durableId="756026540">
    <w:abstractNumId w:val="6"/>
  </w:num>
  <w:num w:numId="10" w16cid:durableId="1509129712">
    <w:abstractNumId w:val="5"/>
  </w:num>
  <w:num w:numId="11" w16cid:durableId="387151123">
    <w:abstractNumId w:val="4"/>
  </w:num>
  <w:num w:numId="12" w16cid:durableId="762067763">
    <w:abstractNumId w:val="18"/>
  </w:num>
  <w:num w:numId="13" w16cid:durableId="947811501">
    <w:abstractNumId w:val="13"/>
  </w:num>
  <w:num w:numId="14" w16cid:durableId="677347085">
    <w:abstractNumId w:val="19"/>
  </w:num>
  <w:num w:numId="15" w16cid:durableId="892740448">
    <w:abstractNumId w:val="21"/>
  </w:num>
  <w:num w:numId="16" w16cid:durableId="361253406">
    <w:abstractNumId w:val="20"/>
  </w:num>
  <w:num w:numId="17" w16cid:durableId="1556547942">
    <w:abstractNumId w:val="12"/>
  </w:num>
  <w:num w:numId="18" w16cid:durableId="1876044974">
    <w:abstractNumId w:val="13"/>
    <w:lvlOverride w:ilvl="0">
      <w:startOverride w:val="1"/>
    </w:lvlOverride>
  </w:num>
  <w:num w:numId="19" w16cid:durableId="385302061">
    <w:abstractNumId w:val="17"/>
  </w:num>
  <w:num w:numId="20" w16cid:durableId="609242097">
    <w:abstractNumId w:val="16"/>
  </w:num>
  <w:num w:numId="21" w16cid:durableId="931813964">
    <w:abstractNumId w:val="15"/>
  </w:num>
  <w:num w:numId="22" w16cid:durableId="582565550">
    <w:abstractNumId w:val="14"/>
  </w:num>
  <w:num w:numId="23" w16cid:durableId="516232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2AF"/>
    <w:rsid w:val="000279BB"/>
    <w:rsid w:val="0003148D"/>
    <w:rsid w:val="00031EEC"/>
    <w:rsid w:val="00051566"/>
    <w:rsid w:val="00053C2D"/>
    <w:rsid w:val="000562A9"/>
    <w:rsid w:val="00062A9A"/>
    <w:rsid w:val="00065058"/>
    <w:rsid w:val="0007608C"/>
    <w:rsid w:val="00086C39"/>
    <w:rsid w:val="00091FDF"/>
    <w:rsid w:val="0009490B"/>
    <w:rsid w:val="000A03B2"/>
    <w:rsid w:val="000A1159"/>
    <w:rsid w:val="000D0268"/>
    <w:rsid w:val="000D34BE"/>
    <w:rsid w:val="000E0B3C"/>
    <w:rsid w:val="000E102F"/>
    <w:rsid w:val="000E323F"/>
    <w:rsid w:val="000E36F1"/>
    <w:rsid w:val="000E3A73"/>
    <w:rsid w:val="000E414A"/>
    <w:rsid w:val="000E75FD"/>
    <w:rsid w:val="000F093C"/>
    <w:rsid w:val="000F787B"/>
    <w:rsid w:val="00101573"/>
    <w:rsid w:val="00102ECA"/>
    <w:rsid w:val="0011202D"/>
    <w:rsid w:val="00112D73"/>
    <w:rsid w:val="00114669"/>
    <w:rsid w:val="00114D49"/>
    <w:rsid w:val="00115C0C"/>
    <w:rsid w:val="0012091F"/>
    <w:rsid w:val="00120C7D"/>
    <w:rsid w:val="00125CF5"/>
    <w:rsid w:val="00126BC2"/>
    <w:rsid w:val="001308B6"/>
    <w:rsid w:val="0013121F"/>
    <w:rsid w:val="00131FE6"/>
    <w:rsid w:val="0013263F"/>
    <w:rsid w:val="001331DF"/>
    <w:rsid w:val="00134DE4"/>
    <w:rsid w:val="001372A8"/>
    <w:rsid w:val="0014034D"/>
    <w:rsid w:val="00140FE3"/>
    <w:rsid w:val="00144D16"/>
    <w:rsid w:val="00150E59"/>
    <w:rsid w:val="00152DE3"/>
    <w:rsid w:val="001545A3"/>
    <w:rsid w:val="00155998"/>
    <w:rsid w:val="001626A5"/>
    <w:rsid w:val="00164CF9"/>
    <w:rsid w:val="00165FA7"/>
    <w:rsid w:val="001667A6"/>
    <w:rsid w:val="0018171E"/>
    <w:rsid w:val="00183E21"/>
    <w:rsid w:val="00184AD6"/>
    <w:rsid w:val="00193789"/>
    <w:rsid w:val="001A0E80"/>
    <w:rsid w:val="001A3FB3"/>
    <w:rsid w:val="001A4AF7"/>
    <w:rsid w:val="001A7AC0"/>
    <w:rsid w:val="001B0349"/>
    <w:rsid w:val="001B1E93"/>
    <w:rsid w:val="001B65C1"/>
    <w:rsid w:val="001C09C7"/>
    <w:rsid w:val="001C1BD2"/>
    <w:rsid w:val="001C260F"/>
    <w:rsid w:val="001C5C3A"/>
    <w:rsid w:val="001C684B"/>
    <w:rsid w:val="001D0CFB"/>
    <w:rsid w:val="001D21AF"/>
    <w:rsid w:val="001D53FC"/>
    <w:rsid w:val="001D63ED"/>
    <w:rsid w:val="001F2453"/>
    <w:rsid w:val="001F42A5"/>
    <w:rsid w:val="001F66BB"/>
    <w:rsid w:val="001F7B9D"/>
    <w:rsid w:val="00201C93"/>
    <w:rsid w:val="00205ACE"/>
    <w:rsid w:val="00217A7F"/>
    <w:rsid w:val="002224B4"/>
    <w:rsid w:val="00224501"/>
    <w:rsid w:val="0022469F"/>
    <w:rsid w:val="00224E82"/>
    <w:rsid w:val="002447EF"/>
    <w:rsid w:val="00251550"/>
    <w:rsid w:val="002519DF"/>
    <w:rsid w:val="00263B05"/>
    <w:rsid w:val="00266545"/>
    <w:rsid w:val="0027221A"/>
    <w:rsid w:val="00275B61"/>
    <w:rsid w:val="00277F9A"/>
    <w:rsid w:val="00280FAF"/>
    <w:rsid w:val="00282656"/>
    <w:rsid w:val="00294FDA"/>
    <w:rsid w:val="00296B83"/>
    <w:rsid w:val="002B4015"/>
    <w:rsid w:val="002B78CE"/>
    <w:rsid w:val="002C2FB6"/>
    <w:rsid w:val="002E5FA7"/>
    <w:rsid w:val="002F3309"/>
    <w:rsid w:val="003008CE"/>
    <w:rsid w:val="003009B7"/>
    <w:rsid w:val="00300E56"/>
    <w:rsid w:val="0030152C"/>
    <w:rsid w:val="0030469C"/>
    <w:rsid w:val="00306366"/>
    <w:rsid w:val="003120A7"/>
    <w:rsid w:val="00321CA6"/>
    <w:rsid w:val="00323763"/>
    <w:rsid w:val="00323C5F"/>
    <w:rsid w:val="00334C09"/>
    <w:rsid w:val="0033612C"/>
    <w:rsid w:val="0034202A"/>
    <w:rsid w:val="0034369B"/>
    <w:rsid w:val="00347077"/>
    <w:rsid w:val="003542CC"/>
    <w:rsid w:val="003723D4"/>
    <w:rsid w:val="00381905"/>
    <w:rsid w:val="00384CC8"/>
    <w:rsid w:val="003871FD"/>
    <w:rsid w:val="003904D3"/>
    <w:rsid w:val="003959C1"/>
    <w:rsid w:val="003A1E30"/>
    <w:rsid w:val="003A2829"/>
    <w:rsid w:val="003A7D1C"/>
    <w:rsid w:val="003B2E1D"/>
    <w:rsid w:val="003B304B"/>
    <w:rsid w:val="003B3146"/>
    <w:rsid w:val="003B49CD"/>
    <w:rsid w:val="003C768E"/>
    <w:rsid w:val="003D1E02"/>
    <w:rsid w:val="003D2248"/>
    <w:rsid w:val="003E30B0"/>
    <w:rsid w:val="003F015E"/>
    <w:rsid w:val="003F5811"/>
    <w:rsid w:val="00400414"/>
    <w:rsid w:val="0041446B"/>
    <w:rsid w:val="004263D5"/>
    <w:rsid w:val="004347FF"/>
    <w:rsid w:val="0044071E"/>
    <w:rsid w:val="0044329C"/>
    <w:rsid w:val="004432A5"/>
    <w:rsid w:val="0044372F"/>
    <w:rsid w:val="0044652B"/>
    <w:rsid w:val="00453D5D"/>
    <w:rsid w:val="00453E24"/>
    <w:rsid w:val="00456733"/>
    <w:rsid w:val="00457456"/>
    <w:rsid w:val="004577FE"/>
    <w:rsid w:val="00457B9C"/>
    <w:rsid w:val="0046164A"/>
    <w:rsid w:val="004628D2"/>
    <w:rsid w:val="00462AF5"/>
    <w:rsid w:val="00462DCD"/>
    <w:rsid w:val="004648AD"/>
    <w:rsid w:val="00464F88"/>
    <w:rsid w:val="004703A9"/>
    <w:rsid w:val="004760DE"/>
    <w:rsid w:val="004763D7"/>
    <w:rsid w:val="00480B67"/>
    <w:rsid w:val="004A004E"/>
    <w:rsid w:val="004A24CF"/>
    <w:rsid w:val="004A38D4"/>
    <w:rsid w:val="004A5937"/>
    <w:rsid w:val="004A63E2"/>
    <w:rsid w:val="004A73E6"/>
    <w:rsid w:val="004B3207"/>
    <w:rsid w:val="004B616E"/>
    <w:rsid w:val="004B7167"/>
    <w:rsid w:val="004C3D1D"/>
    <w:rsid w:val="004C3D84"/>
    <w:rsid w:val="004C7913"/>
    <w:rsid w:val="004D06E9"/>
    <w:rsid w:val="004D66DC"/>
    <w:rsid w:val="004E2B84"/>
    <w:rsid w:val="004E4DD6"/>
    <w:rsid w:val="004E58AA"/>
    <w:rsid w:val="004F2FD7"/>
    <w:rsid w:val="004F2FFC"/>
    <w:rsid w:val="004F5E36"/>
    <w:rsid w:val="00507B47"/>
    <w:rsid w:val="00507BEF"/>
    <w:rsid w:val="00507CC9"/>
    <w:rsid w:val="005119A5"/>
    <w:rsid w:val="00516DA0"/>
    <w:rsid w:val="00525B92"/>
    <w:rsid w:val="005278B7"/>
    <w:rsid w:val="00532016"/>
    <w:rsid w:val="005346C8"/>
    <w:rsid w:val="005438DB"/>
    <w:rsid w:val="00543E7D"/>
    <w:rsid w:val="00547A68"/>
    <w:rsid w:val="005531C9"/>
    <w:rsid w:val="00554879"/>
    <w:rsid w:val="00557D0B"/>
    <w:rsid w:val="00570C43"/>
    <w:rsid w:val="005849C0"/>
    <w:rsid w:val="005901D2"/>
    <w:rsid w:val="00592274"/>
    <w:rsid w:val="005B2110"/>
    <w:rsid w:val="005B350B"/>
    <w:rsid w:val="005B61E6"/>
    <w:rsid w:val="005C4560"/>
    <w:rsid w:val="005C6EF1"/>
    <w:rsid w:val="005C77E1"/>
    <w:rsid w:val="005D668A"/>
    <w:rsid w:val="005D6A2F"/>
    <w:rsid w:val="005E0592"/>
    <w:rsid w:val="005E1A82"/>
    <w:rsid w:val="005E794C"/>
    <w:rsid w:val="005F0A28"/>
    <w:rsid w:val="005F0E5E"/>
    <w:rsid w:val="005F5588"/>
    <w:rsid w:val="00600535"/>
    <w:rsid w:val="00610CD6"/>
    <w:rsid w:val="00620DEE"/>
    <w:rsid w:val="00621F92"/>
    <w:rsid w:val="0062280A"/>
    <w:rsid w:val="006231E1"/>
    <w:rsid w:val="00625639"/>
    <w:rsid w:val="00627B58"/>
    <w:rsid w:val="00631B33"/>
    <w:rsid w:val="0064184D"/>
    <w:rsid w:val="006422CC"/>
    <w:rsid w:val="006451B1"/>
    <w:rsid w:val="006517CE"/>
    <w:rsid w:val="00651D18"/>
    <w:rsid w:val="0065543E"/>
    <w:rsid w:val="00660E3E"/>
    <w:rsid w:val="00662E74"/>
    <w:rsid w:val="0067260E"/>
    <w:rsid w:val="00680C23"/>
    <w:rsid w:val="00683E23"/>
    <w:rsid w:val="00693766"/>
    <w:rsid w:val="00696FB1"/>
    <w:rsid w:val="006A3281"/>
    <w:rsid w:val="006A6DE5"/>
    <w:rsid w:val="006A7754"/>
    <w:rsid w:val="006B4888"/>
    <w:rsid w:val="006C2E45"/>
    <w:rsid w:val="006C359C"/>
    <w:rsid w:val="006C5579"/>
    <w:rsid w:val="006D6E8B"/>
    <w:rsid w:val="006D7209"/>
    <w:rsid w:val="006E23FA"/>
    <w:rsid w:val="006E3835"/>
    <w:rsid w:val="006E737D"/>
    <w:rsid w:val="00707DD1"/>
    <w:rsid w:val="0071062D"/>
    <w:rsid w:val="007134D0"/>
    <w:rsid w:val="00713973"/>
    <w:rsid w:val="00720A24"/>
    <w:rsid w:val="0072379B"/>
    <w:rsid w:val="00732386"/>
    <w:rsid w:val="0073514D"/>
    <w:rsid w:val="007447F3"/>
    <w:rsid w:val="0075499F"/>
    <w:rsid w:val="007661C8"/>
    <w:rsid w:val="0076712E"/>
    <w:rsid w:val="0077098D"/>
    <w:rsid w:val="00785BF9"/>
    <w:rsid w:val="007931FA"/>
    <w:rsid w:val="007A4861"/>
    <w:rsid w:val="007A7BBA"/>
    <w:rsid w:val="007B0C50"/>
    <w:rsid w:val="007B2067"/>
    <w:rsid w:val="007B48F9"/>
    <w:rsid w:val="007C1A43"/>
    <w:rsid w:val="007C2BFB"/>
    <w:rsid w:val="007D0951"/>
    <w:rsid w:val="007D29CE"/>
    <w:rsid w:val="007D610D"/>
    <w:rsid w:val="007D7554"/>
    <w:rsid w:val="007E585B"/>
    <w:rsid w:val="0080013E"/>
    <w:rsid w:val="00801759"/>
    <w:rsid w:val="00813288"/>
    <w:rsid w:val="008168FC"/>
    <w:rsid w:val="00826ED9"/>
    <w:rsid w:val="00830996"/>
    <w:rsid w:val="00833860"/>
    <w:rsid w:val="008345F1"/>
    <w:rsid w:val="0084151E"/>
    <w:rsid w:val="0084732D"/>
    <w:rsid w:val="00855881"/>
    <w:rsid w:val="00865B07"/>
    <w:rsid w:val="008667EA"/>
    <w:rsid w:val="0087637F"/>
    <w:rsid w:val="008832AA"/>
    <w:rsid w:val="008871F8"/>
    <w:rsid w:val="00892AD5"/>
    <w:rsid w:val="008A1512"/>
    <w:rsid w:val="008B3E37"/>
    <w:rsid w:val="008D32B9"/>
    <w:rsid w:val="008D433B"/>
    <w:rsid w:val="008D4A16"/>
    <w:rsid w:val="008E5401"/>
    <w:rsid w:val="008E566E"/>
    <w:rsid w:val="0090161A"/>
    <w:rsid w:val="00901EB6"/>
    <w:rsid w:val="009041F8"/>
    <w:rsid w:val="00904C62"/>
    <w:rsid w:val="0090579D"/>
    <w:rsid w:val="00913406"/>
    <w:rsid w:val="00922861"/>
    <w:rsid w:val="00922BA8"/>
    <w:rsid w:val="00924DAC"/>
    <w:rsid w:val="00927058"/>
    <w:rsid w:val="00942750"/>
    <w:rsid w:val="009450CE"/>
    <w:rsid w:val="009459BB"/>
    <w:rsid w:val="00947179"/>
    <w:rsid w:val="0095032E"/>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6A9A"/>
    <w:rsid w:val="009C7C86"/>
    <w:rsid w:val="009D0EF7"/>
    <w:rsid w:val="009D1049"/>
    <w:rsid w:val="009D2FF7"/>
    <w:rsid w:val="009E24EE"/>
    <w:rsid w:val="009E7884"/>
    <w:rsid w:val="009E788A"/>
    <w:rsid w:val="009F0E08"/>
    <w:rsid w:val="00A02DBF"/>
    <w:rsid w:val="00A079AE"/>
    <w:rsid w:val="00A1763D"/>
    <w:rsid w:val="00A17CEC"/>
    <w:rsid w:val="00A27EF0"/>
    <w:rsid w:val="00A31EBE"/>
    <w:rsid w:val="00A32EEA"/>
    <w:rsid w:val="00A42361"/>
    <w:rsid w:val="00A4398A"/>
    <w:rsid w:val="00A50B20"/>
    <w:rsid w:val="00A51390"/>
    <w:rsid w:val="00A60D13"/>
    <w:rsid w:val="00A66B3B"/>
    <w:rsid w:val="00A7223D"/>
    <w:rsid w:val="00A72745"/>
    <w:rsid w:val="00A72BEB"/>
    <w:rsid w:val="00A74C45"/>
    <w:rsid w:val="00A7610A"/>
    <w:rsid w:val="00A76EFC"/>
    <w:rsid w:val="00A823DF"/>
    <w:rsid w:val="00A87D50"/>
    <w:rsid w:val="00A91010"/>
    <w:rsid w:val="00A97832"/>
    <w:rsid w:val="00A97F29"/>
    <w:rsid w:val="00AA26E8"/>
    <w:rsid w:val="00AA702E"/>
    <w:rsid w:val="00AA7250"/>
    <w:rsid w:val="00AA7D26"/>
    <w:rsid w:val="00AB0964"/>
    <w:rsid w:val="00AB5011"/>
    <w:rsid w:val="00AC7368"/>
    <w:rsid w:val="00AD16B9"/>
    <w:rsid w:val="00AE377D"/>
    <w:rsid w:val="00AF0EBA"/>
    <w:rsid w:val="00AF2463"/>
    <w:rsid w:val="00B022D4"/>
    <w:rsid w:val="00B02C8A"/>
    <w:rsid w:val="00B12846"/>
    <w:rsid w:val="00B17FBD"/>
    <w:rsid w:val="00B315A6"/>
    <w:rsid w:val="00B31813"/>
    <w:rsid w:val="00B33365"/>
    <w:rsid w:val="00B37E66"/>
    <w:rsid w:val="00B409C6"/>
    <w:rsid w:val="00B419DD"/>
    <w:rsid w:val="00B528FA"/>
    <w:rsid w:val="00B5321A"/>
    <w:rsid w:val="00B57B36"/>
    <w:rsid w:val="00B57E6F"/>
    <w:rsid w:val="00B85A54"/>
    <w:rsid w:val="00B8686D"/>
    <w:rsid w:val="00B93F69"/>
    <w:rsid w:val="00BB1DDC"/>
    <w:rsid w:val="00BC2D4A"/>
    <w:rsid w:val="00BC30C9"/>
    <w:rsid w:val="00BD044D"/>
    <w:rsid w:val="00BD04AA"/>
    <w:rsid w:val="00BD077D"/>
    <w:rsid w:val="00BE3E58"/>
    <w:rsid w:val="00BE404A"/>
    <w:rsid w:val="00BE44E0"/>
    <w:rsid w:val="00BF13CE"/>
    <w:rsid w:val="00C015D1"/>
    <w:rsid w:val="00C01616"/>
    <w:rsid w:val="00C0162B"/>
    <w:rsid w:val="00C068ED"/>
    <w:rsid w:val="00C13B70"/>
    <w:rsid w:val="00C21091"/>
    <w:rsid w:val="00C22E0C"/>
    <w:rsid w:val="00C32C7D"/>
    <w:rsid w:val="00C345B1"/>
    <w:rsid w:val="00C40142"/>
    <w:rsid w:val="00C43EE6"/>
    <w:rsid w:val="00C47837"/>
    <w:rsid w:val="00C51F13"/>
    <w:rsid w:val="00C52C3C"/>
    <w:rsid w:val="00C56A15"/>
    <w:rsid w:val="00C57182"/>
    <w:rsid w:val="00C575DA"/>
    <w:rsid w:val="00C57863"/>
    <w:rsid w:val="00C640AF"/>
    <w:rsid w:val="00C655FD"/>
    <w:rsid w:val="00C71B6D"/>
    <w:rsid w:val="00C75407"/>
    <w:rsid w:val="00C81E7D"/>
    <w:rsid w:val="00C841C6"/>
    <w:rsid w:val="00C870A8"/>
    <w:rsid w:val="00C94434"/>
    <w:rsid w:val="00CA0D75"/>
    <w:rsid w:val="00CA1C95"/>
    <w:rsid w:val="00CA5A9C"/>
    <w:rsid w:val="00CA5DBC"/>
    <w:rsid w:val="00CB1721"/>
    <w:rsid w:val="00CC4C20"/>
    <w:rsid w:val="00CD3517"/>
    <w:rsid w:val="00CD5FE2"/>
    <w:rsid w:val="00CE03F6"/>
    <w:rsid w:val="00CE6563"/>
    <w:rsid w:val="00CE6FAC"/>
    <w:rsid w:val="00CE7C68"/>
    <w:rsid w:val="00D02B4C"/>
    <w:rsid w:val="00D040C4"/>
    <w:rsid w:val="00D05DDA"/>
    <w:rsid w:val="00D16286"/>
    <w:rsid w:val="00D20AD1"/>
    <w:rsid w:val="00D2582C"/>
    <w:rsid w:val="00D41899"/>
    <w:rsid w:val="00D46B7E"/>
    <w:rsid w:val="00D47A0C"/>
    <w:rsid w:val="00D57C84"/>
    <w:rsid w:val="00D6057D"/>
    <w:rsid w:val="00D63F3F"/>
    <w:rsid w:val="00D70BF5"/>
    <w:rsid w:val="00D71640"/>
    <w:rsid w:val="00D73FD9"/>
    <w:rsid w:val="00D77D53"/>
    <w:rsid w:val="00D836C5"/>
    <w:rsid w:val="00D84576"/>
    <w:rsid w:val="00D90507"/>
    <w:rsid w:val="00DA1399"/>
    <w:rsid w:val="00DA1CF8"/>
    <w:rsid w:val="00DA24C6"/>
    <w:rsid w:val="00DA4D7B"/>
    <w:rsid w:val="00DA60F0"/>
    <w:rsid w:val="00DB2033"/>
    <w:rsid w:val="00DB745B"/>
    <w:rsid w:val="00DC2840"/>
    <w:rsid w:val="00DC73EE"/>
    <w:rsid w:val="00DD271C"/>
    <w:rsid w:val="00DE25A4"/>
    <w:rsid w:val="00DE264A"/>
    <w:rsid w:val="00DE33BF"/>
    <w:rsid w:val="00DE66EC"/>
    <w:rsid w:val="00DF5072"/>
    <w:rsid w:val="00E02D18"/>
    <w:rsid w:val="00E041E7"/>
    <w:rsid w:val="00E21F89"/>
    <w:rsid w:val="00E23CA1"/>
    <w:rsid w:val="00E314A5"/>
    <w:rsid w:val="00E37F9E"/>
    <w:rsid w:val="00E409A8"/>
    <w:rsid w:val="00E46A4E"/>
    <w:rsid w:val="00E50519"/>
    <w:rsid w:val="00E50C12"/>
    <w:rsid w:val="00E6212A"/>
    <w:rsid w:val="00E65B91"/>
    <w:rsid w:val="00E7209D"/>
    <w:rsid w:val="00E72EAD"/>
    <w:rsid w:val="00E77223"/>
    <w:rsid w:val="00E826DD"/>
    <w:rsid w:val="00E84F08"/>
    <w:rsid w:val="00E8528B"/>
    <w:rsid w:val="00E85B94"/>
    <w:rsid w:val="00E978D0"/>
    <w:rsid w:val="00EA4613"/>
    <w:rsid w:val="00EA7F91"/>
    <w:rsid w:val="00EB1523"/>
    <w:rsid w:val="00EC0E49"/>
    <w:rsid w:val="00EC101F"/>
    <w:rsid w:val="00EC1D9F"/>
    <w:rsid w:val="00EC3650"/>
    <w:rsid w:val="00ED2317"/>
    <w:rsid w:val="00EE0131"/>
    <w:rsid w:val="00EE17B0"/>
    <w:rsid w:val="00EF06D9"/>
    <w:rsid w:val="00EF5F30"/>
    <w:rsid w:val="00F3049E"/>
    <w:rsid w:val="00F30C64"/>
    <w:rsid w:val="00F32BA2"/>
    <w:rsid w:val="00F32CDB"/>
    <w:rsid w:val="00F41EE4"/>
    <w:rsid w:val="00F565FE"/>
    <w:rsid w:val="00F63A70"/>
    <w:rsid w:val="00F63D8C"/>
    <w:rsid w:val="00F7534E"/>
    <w:rsid w:val="00F85766"/>
    <w:rsid w:val="00F9176A"/>
    <w:rsid w:val="00F93EDF"/>
    <w:rsid w:val="00F95828"/>
    <w:rsid w:val="00FA1802"/>
    <w:rsid w:val="00FA21D0"/>
    <w:rsid w:val="00FA5F5F"/>
    <w:rsid w:val="00FB730C"/>
    <w:rsid w:val="00FC2695"/>
    <w:rsid w:val="00FC3E03"/>
    <w:rsid w:val="00FC3FC1"/>
    <w:rsid w:val="00FC422B"/>
    <w:rsid w:val="00FD0658"/>
    <w:rsid w:val="00FD62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294FDA"/>
    <w:pPr>
      <w:spacing w:line="240" w:lineRule="auto"/>
      <w:jc w:val="left"/>
    </w:pPr>
    <w:rPr>
      <w:bCs/>
      <w:i/>
      <w:color w:val="000000" w:themeColor="tex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DB745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626">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26582801">
      <w:bodyDiv w:val="1"/>
      <w:marLeft w:val="0"/>
      <w:marRight w:val="0"/>
      <w:marTop w:val="0"/>
      <w:marBottom w:val="0"/>
      <w:divBdr>
        <w:top w:val="none" w:sz="0" w:space="0" w:color="auto"/>
        <w:left w:val="none" w:sz="0" w:space="0" w:color="auto"/>
        <w:bottom w:val="none" w:sz="0" w:space="0" w:color="auto"/>
        <w:right w:val="none" w:sz="0" w:space="0" w:color="auto"/>
      </w:divBdr>
    </w:div>
    <w:div w:id="577329411">
      <w:bodyDiv w:val="1"/>
      <w:marLeft w:val="0"/>
      <w:marRight w:val="0"/>
      <w:marTop w:val="0"/>
      <w:marBottom w:val="0"/>
      <w:divBdr>
        <w:top w:val="none" w:sz="0" w:space="0" w:color="auto"/>
        <w:left w:val="none" w:sz="0" w:space="0" w:color="auto"/>
        <w:bottom w:val="none" w:sz="0" w:space="0" w:color="auto"/>
        <w:right w:val="none" w:sz="0" w:space="0" w:color="auto"/>
      </w:divBdr>
    </w:div>
    <w:div w:id="609583053">
      <w:bodyDiv w:val="1"/>
      <w:marLeft w:val="0"/>
      <w:marRight w:val="0"/>
      <w:marTop w:val="0"/>
      <w:marBottom w:val="0"/>
      <w:divBdr>
        <w:top w:val="none" w:sz="0" w:space="0" w:color="auto"/>
        <w:left w:val="none" w:sz="0" w:space="0" w:color="auto"/>
        <w:bottom w:val="none" w:sz="0" w:space="0" w:color="auto"/>
        <w:right w:val="none" w:sz="0" w:space="0" w:color="auto"/>
      </w:divBdr>
    </w:div>
    <w:div w:id="629288576">
      <w:bodyDiv w:val="1"/>
      <w:marLeft w:val="0"/>
      <w:marRight w:val="0"/>
      <w:marTop w:val="0"/>
      <w:marBottom w:val="0"/>
      <w:divBdr>
        <w:top w:val="none" w:sz="0" w:space="0" w:color="auto"/>
        <w:left w:val="none" w:sz="0" w:space="0" w:color="auto"/>
        <w:bottom w:val="none" w:sz="0" w:space="0" w:color="auto"/>
        <w:right w:val="none" w:sz="0" w:space="0" w:color="auto"/>
      </w:divBdr>
    </w:div>
    <w:div w:id="77274714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0098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7068">
      <w:bodyDiv w:val="1"/>
      <w:marLeft w:val="0"/>
      <w:marRight w:val="0"/>
      <w:marTop w:val="0"/>
      <w:marBottom w:val="0"/>
      <w:divBdr>
        <w:top w:val="none" w:sz="0" w:space="0" w:color="auto"/>
        <w:left w:val="none" w:sz="0" w:space="0" w:color="auto"/>
        <w:bottom w:val="none" w:sz="0" w:space="0" w:color="auto"/>
        <w:right w:val="none" w:sz="0" w:space="0" w:color="auto"/>
      </w:divBdr>
    </w:div>
    <w:div w:id="1028917047">
      <w:bodyDiv w:val="1"/>
      <w:marLeft w:val="0"/>
      <w:marRight w:val="0"/>
      <w:marTop w:val="0"/>
      <w:marBottom w:val="0"/>
      <w:divBdr>
        <w:top w:val="none" w:sz="0" w:space="0" w:color="auto"/>
        <w:left w:val="none" w:sz="0" w:space="0" w:color="auto"/>
        <w:bottom w:val="none" w:sz="0" w:space="0" w:color="auto"/>
        <w:right w:val="none" w:sz="0" w:space="0" w:color="auto"/>
      </w:divBdr>
    </w:div>
    <w:div w:id="128838730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6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1264-3297-4617-8A7A-A7923611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5515</Words>
  <Characters>31440</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ALBERTO AFFRANCHI</cp:lastModifiedBy>
  <cp:revision>54</cp:revision>
  <cp:lastPrinted>2015-05-12T18:31:00Z</cp:lastPrinted>
  <dcterms:created xsi:type="dcterms:W3CDTF">2024-02-20T10:29:00Z</dcterms:created>
  <dcterms:modified xsi:type="dcterms:W3CDTF">2025-05-19T13:11:00Z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id="jG3mL9eK"/&gt;&lt;style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