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bookmarkEnd w:id="0"/>
    </w:tbl>
    <w:p w14:paraId="28A1C4F2" w14:textId="610D3D25" w:rsidR="008251C9" w:rsidRPr="00E56B1F" w:rsidRDefault="008251C9" w:rsidP="008251C9">
      <w:pPr>
        <w:pStyle w:val="CETBodytext"/>
        <w:rPr>
          <w:lang w:val="en-GB"/>
        </w:rPr>
      </w:pPr>
    </w:p>
    <w:p w14:paraId="2D007A7A" w14:textId="77777777" w:rsidR="008251C9" w:rsidRPr="008251C9" w:rsidRDefault="008251C9" w:rsidP="008251C9">
      <w:pPr>
        <w:jc w:val="center"/>
        <w:rPr>
          <w:sz w:val="32"/>
        </w:rPr>
      </w:pPr>
      <w:r w:rsidRPr="008251C9">
        <w:rPr>
          <w:sz w:val="32"/>
        </w:rPr>
        <w:t>Integrative digital platform to enhance the value of data, knowledge, and scientific expertise for biorefinery platforms</w:t>
      </w:r>
    </w:p>
    <w:p w14:paraId="49F159CA" w14:textId="30AF98A5" w:rsidR="008251C9" w:rsidRPr="008251C9" w:rsidRDefault="008251C9" w:rsidP="008251C9">
      <w:pPr>
        <w:pStyle w:val="CETBodytext"/>
        <w:rPr>
          <w:lang w:val="en-GB"/>
        </w:rPr>
      </w:pPr>
    </w:p>
    <w:p w14:paraId="5F0C5327" w14:textId="266F7EF7" w:rsidR="008251C9" w:rsidRPr="00A014D8" w:rsidRDefault="008251C9" w:rsidP="008251C9">
      <w:pPr>
        <w:spacing w:line="240" w:lineRule="auto"/>
        <w:rPr>
          <w:noProof/>
          <w:sz w:val="24"/>
          <w:vertAlign w:val="superscript"/>
        </w:rPr>
      </w:pPr>
      <w:r w:rsidRPr="008251C9">
        <w:rPr>
          <w:noProof/>
          <w:sz w:val="24"/>
        </w:rPr>
        <w:t>Amaya Saint-Bois</w:t>
      </w:r>
      <w:r w:rsidRPr="008251C9">
        <w:rPr>
          <w:noProof/>
          <w:sz w:val="24"/>
          <w:vertAlign w:val="superscript"/>
        </w:rPr>
        <w:t>a</w:t>
      </w:r>
      <w:r w:rsidRPr="008251C9">
        <w:rPr>
          <w:noProof/>
          <w:sz w:val="24"/>
        </w:rPr>
        <w:t>, Jean-Pierre Belaud</w:t>
      </w:r>
      <w:r w:rsidRPr="008251C9">
        <w:rPr>
          <w:noProof/>
          <w:sz w:val="24"/>
          <w:vertAlign w:val="superscript"/>
        </w:rPr>
        <w:t>a</w:t>
      </w:r>
      <w:r w:rsidRPr="008251C9">
        <w:rPr>
          <w:noProof/>
          <w:sz w:val="24"/>
        </w:rPr>
        <w:t>*, Rachid Ouaret</w:t>
      </w:r>
      <w:r w:rsidRPr="008251C9">
        <w:rPr>
          <w:noProof/>
          <w:sz w:val="24"/>
          <w:vertAlign w:val="superscript"/>
        </w:rPr>
        <w:t>a</w:t>
      </w:r>
      <w:r w:rsidRPr="008251C9">
        <w:rPr>
          <w:noProof/>
          <w:sz w:val="24"/>
        </w:rPr>
        <w:t>, Claire Vialle</w:t>
      </w:r>
      <w:r w:rsidRPr="008251C9">
        <w:rPr>
          <w:noProof/>
          <w:sz w:val="24"/>
          <w:vertAlign w:val="superscript"/>
        </w:rPr>
        <w:t>b</w:t>
      </w:r>
      <w:r w:rsidRPr="008251C9">
        <w:rPr>
          <w:noProof/>
          <w:sz w:val="24"/>
        </w:rPr>
        <w:t>, Caroline Sablayrolles</w:t>
      </w:r>
      <w:r>
        <w:rPr>
          <w:noProof/>
          <w:sz w:val="24"/>
          <w:vertAlign w:val="superscript"/>
        </w:rPr>
        <w:t>b</w:t>
      </w:r>
      <w:r>
        <w:rPr>
          <w:noProof/>
          <w:sz w:val="24"/>
        </w:rPr>
        <w:t>, Patrice Buche</w:t>
      </w:r>
      <w:r>
        <w:rPr>
          <w:noProof/>
          <w:sz w:val="24"/>
          <w:vertAlign w:val="superscript"/>
        </w:rPr>
        <w:t>c</w:t>
      </w:r>
      <w:r>
        <w:rPr>
          <w:noProof/>
          <w:sz w:val="24"/>
        </w:rPr>
        <w:t>, Adrien Reau</w:t>
      </w:r>
      <w:r>
        <w:rPr>
          <w:noProof/>
          <w:sz w:val="24"/>
          <w:vertAlign w:val="superscript"/>
        </w:rPr>
        <w:t>c</w:t>
      </w:r>
      <w:r>
        <w:rPr>
          <w:noProof/>
          <w:sz w:val="24"/>
        </w:rPr>
        <w:t>, Alrick Oudot</w:t>
      </w:r>
      <w:r>
        <w:rPr>
          <w:noProof/>
          <w:sz w:val="24"/>
          <w:vertAlign w:val="superscript"/>
        </w:rPr>
        <w:t>c</w:t>
      </w:r>
      <w:r w:rsidR="00AE1947">
        <w:rPr>
          <w:noProof/>
          <w:sz w:val="24"/>
        </w:rPr>
        <w:t>, Cédric Baudrit</w:t>
      </w:r>
      <w:r w:rsidR="00AE1947">
        <w:rPr>
          <w:noProof/>
          <w:sz w:val="24"/>
          <w:vertAlign w:val="superscript"/>
        </w:rPr>
        <w:t>d</w:t>
      </w:r>
      <w:r w:rsidR="00AE1947">
        <w:rPr>
          <w:noProof/>
          <w:sz w:val="24"/>
        </w:rPr>
        <w:t>, Christophe Fernandez</w:t>
      </w:r>
      <w:r w:rsidR="00AE1947">
        <w:rPr>
          <w:noProof/>
          <w:sz w:val="24"/>
          <w:vertAlign w:val="superscript"/>
        </w:rPr>
        <w:t>d</w:t>
      </w:r>
      <w:r w:rsidR="00AE1947">
        <w:rPr>
          <w:noProof/>
          <w:sz w:val="24"/>
        </w:rPr>
        <w:t>, Claire Mayer-Laigle</w:t>
      </w:r>
      <w:r w:rsidR="00AE1947">
        <w:rPr>
          <w:noProof/>
          <w:sz w:val="24"/>
          <w:vertAlign w:val="superscript"/>
        </w:rPr>
        <w:t>c</w:t>
      </w:r>
      <w:r w:rsidRPr="008251C9">
        <w:rPr>
          <w:noProof/>
          <w:sz w:val="24"/>
        </w:rPr>
        <w:t xml:space="preserve">, </w:t>
      </w:r>
      <w:r w:rsidR="00AE1947">
        <w:rPr>
          <w:noProof/>
          <w:sz w:val="24"/>
        </w:rPr>
        <w:t>Julien Cufi</w:t>
      </w:r>
      <w:r w:rsidR="00AE1947">
        <w:rPr>
          <w:noProof/>
          <w:sz w:val="24"/>
          <w:vertAlign w:val="superscript"/>
        </w:rPr>
        <w:t>c</w:t>
      </w:r>
      <w:r w:rsidRPr="008251C9">
        <w:rPr>
          <w:noProof/>
          <w:sz w:val="24"/>
        </w:rPr>
        <w:t>, L</w:t>
      </w:r>
      <w:r w:rsidR="00AE1947">
        <w:rPr>
          <w:noProof/>
          <w:sz w:val="24"/>
        </w:rPr>
        <w:t>eslie Lhomond</w:t>
      </w:r>
      <w:r w:rsidR="00AE1947">
        <w:rPr>
          <w:noProof/>
          <w:sz w:val="24"/>
          <w:vertAlign w:val="superscript"/>
        </w:rPr>
        <w:t>c</w:t>
      </w:r>
      <w:r w:rsidR="00AE1947">
        <w:rPr>
          <w:noProof/>
          <w:sz w:val="24"/>
        </w:rPr>
        <w:t>, Magalie Weber</w:t>
      </w:r>
      <w:r w:rsidR="00AE1947">
        <w:rPr>
          <w:noProof/>
          <w:sz w:val="24"/>
          <w:vertAlign w:val="superscript"/>
        </w:rPr>
        <w:t>e</w:t>
      </w:r>
      <w:r w:rsidR="00AE1947">
        <w:rPr>
          <w:noProof/>
          <w:sz w:val="24"/>
        </w:rPr>
        <w:t>, Liliana Ibanescu</w:t>
      </w:r>
      <w:r w:rsidR="00AE1947">
        <w:rPr>
          <w:noProof/>
          <w:sz w:val="24"/>
          <w:vertAlign w:val="superscript"/>
        </w:rPr>
        <w:t>f</w:t>
      </w:r>
      <w:r w:rsidR="00A014D8">
        <w:rPr>
          <w:noProof/>
          <w:sz w:val="24"/>
        </w:rPr>
        <w:t>, Stéphane Dervaux</w:t>
      </w:r>
      <w:r w:rsidR="00A014D8">
        <w:rPr>
          <w:noProof/>
          <w:sz w:val="24"/>
          <w:vertAlign w:val="superscript"/>
        </w:rPr>
        <w:t>f</w:t>
      </w:r>
    </w:p>
    <w:p w14:paraId="76DEDA94" w14:textId="77777777" w:rsidR="008251C9" w:rsidRPr="008251C9" w:rsidRDefault="008251C9" w:rsidP="008251C9"/>
    <w:p w14:paraId="5E7450AE" w14:textId="59D54924" w:rsidR="008251C9" w:rsidRPr="00A014D8" w:rsidRDefault="00A014D8" w:rsidP="00331C12">
      <w:pPr>
        <w:spacing w:line="240" w:lineRule="auto"/>
        <w:rPr>
          <w:noProof/>
          <w:sz w:val="16"/>
          <w:lang w:val="fr-FR"/>
        </w:rPr>
      </w:pPr>
      <w:r w:rsidRPr="00A014D8">
        <w:rPr>
          <w:noProof/>
          <w:sz w:val="16"/>
          <w:vertAlign w:val="superscript"/>
          <w:lang w:val="fr-FR"/>
        </w:rPr>
        <w:t>a</w:t>
      </w:r>
      <w:r w:rsidR="008251C9" w:rsidRPr="00A014D8">
        <w:rPr>
          <w:noProof/>
          <w:sz w:val="16"/>
          <w:lang w:val="fr-FR"/>
        </w:rPr>
        <w:t>Laboratoire de Génie Chimique, Université de Toulouse, CNRS, Toulouse, France</w:t>
      </w:r>
    </w:p>
    <w:p w14:paraId="2F481939" w14:textId="3F7111A9" w:rsidR="008251C9" w:rsidRPr="00331C12" w:rsidRDefault="00331C12" w:rsidP="00331C12">
      <w:pPr>
        <w:spacing w:line="240" w:lineRule="auto"/>
        <w:rPr>
          <w:noProof/>
          <w:sz w:val="16"/>
          <w:lang w:val="fr-FR"/>
        </w:rPr>
      </w:pPr>
      <w:r w:rsidRPr="00E56B1F">
        <w:rPr>
          <w:noProof/>
          <w:sz w:val="16"/>
          <w:vertAlign w:val="superscript"/>
          <w:lang w:val="fr-FR"/>
        </w:rPr>
        <w:t>b</w:t>
      </w:r>
      <w:r w:rsidR="008251C9" w:rsidRPr="00331C12">
        <w:rPr>
          <w:noProof/>
          <w:sz w:val="16"/>
          <w:lang w:val="fr-FR"/>
        </w:rPr>
        <w:t>Laboratoire de Chimie Agro-industrielle, Université de Toulouse, INRAE, Toulouse, France</w:t>
      </w:r>
    </w:p>
    <w:p w14:paraId="7BFC7CC4" w14:textId="2AD619DE" w:rsidR="008251C9" w:rsidRPr="00FA2EF6" w:rsidRDefault="00FA2EF6" w:rsidP="00331C12">
      <w:pPr>
        <w:spacing w:line="240" w:lineRule="auto"/>
        <w:rPr>
          <w:noProof/>
          <w:sz w:val="16"/>
          <w:lang w:val="fr-FR"/>
        </w:rPr>
      </w:pPr>
      <w:r w:rsidRPr="00FA2EF6">
        <w:rPr>
          <w:noProof/>
          <w:sz w:val="16"/>
          <w:vertAlign w:val="superscript"/>
          <w:lang w:val="fr-FR"/>
        </w:rPr>
        <w:t>c</w:t>
      </w:r>
      <w:r w:rsidR="008251C9" w:rsidRPr="00FA2EF6">
        <w:rPr>
          <w:noProof/>
          <w:sz w:val="16"/>
          <w:lang w:val="fr-FR"/>
        </w:rPr>
        <w:t>UMR IATE - Ingénierie des Agro-polymères et Technologies Émergentes, Montpellier, France</w:t>
      </w:r>
    </w:p>
    <w:p w14:paraId="204B5BF9" w14:textId="4C7FC13E" w:rsidR="008251C9" w:rsidRPr="00DD5BDC" w:rsidRDefault="00FA2EF6" w:rsidP="00331C12">
      <w:pPr>
        <w:spacing w:line="240" w:lineRule="auto"/>
        <w:rPr>
          <w:rFonts w:ascii="Times New Roman" w:hAnsi="Times New Roman"/>
          <w:i/>
          <w:lang w:val="fr-FR"/>
        </w:rPr>
      </w:pPr>
      <w:r>
        <w:rPr>
          <w:noProof/>
          <w:sz w:val="16"/>
          <w:vertAlign w:val="superscript"/>
          <w:lang w:val="fr-FR"/>
        </w:rPr>
        <w:t>d</w:t>
      </w:r>
      <w:r w:rsidR="008251C9" w:rsidRPr="00FA2EF6">
        <w:rPr>
          <w:noProof/>
          <w:sz w:val="16"/>
          <w:lang w:val="fr-FR"/>
        </w:rPr>
        <w:t>I2M - Institut de Mécanique et d'Ingénierie, Talence, France</w:t>
      </w:r>
    </w:p>
    <w:p w14:paraId="0614212C" w14:textId="5C25422F" w:rsidR="008251C9" w:rsidRPr="00DD5BDC" w:rsidRDefault="00FA2EF6" w:rsidP="00331C12">
      <w:pPr>
        <w:spacing w:line="240" w:lineRule="auto"/>
        <w:rPr>
          <w:rFonts w:ascii="Times New Roman" w:hAnsi="Times New Roman"/>
          <w:i/>
          <w:lang w:val="fr-FR"/>
        </w:rPr>
      </w:pPr>
      <w:r>
        <w:rPr>
          <w:noProof/>
          <w:sz w:val="16"/>
          <w:vertAlign w:val="superscript"/>
          <w:lang w:val="fr-FR"/>
        </w:rPr>
        <w:t>e</w:t>
      </w:r>
      <w:r w:rsidR="008251C9" w:rsidRPr="00FA2EF6">
        <w:rPr>
          <w:noProof/>
          <w:sz w:val="16"/>
          <w:lang w:val="fr-FR"/>
        </w:rPr>
        <w:t>BIA - Unité de recherche sur les Biopolymères, Interactions Assemblages, Nantes, France</w:t>
      </w:r>
    </w:p>
    <w:p w14:paraId="4D4953EC" w14:textId="1C68FD09" w:rsidR="008251C9" w:rsidRPr="00DD5BDC" w:rsidRDefault="00FA2EF6" w:rsidP="00331C12">
      <w:pPr>
        <w:spacing w:line="240" w:lineRule="auto"/>
        <w:rPr>
          <w:rFonts w:ascii="Times New Roman" w:hAnsi="Times New Roman"/>
          <w:i/>
          <w:lang w:val="fr-FR"/>
        </w:rPr>
      </w:pPr>
      <w:r>
        <w:rPr>
          <w:noProof/>
          <w:sz w:val="16"/>
          <w:vertAlign w:val="superscript"/>
          <w:lang w:val="fr-FR"/>
        </w:rPr>
        <w:t>f</w:t>
      </w:r>
      <w:r w:rsidR="008251C9" w:rsidRPr="00FA2EF6">
        <w:rPr>
          <w:noProof/>
          <w:sz w:val="16"/>
          <w:lang w:val="fr-FR"/>
        </w:rPr>
        <w:t>MIA Paris-Saclay - Mathématiques et Informatique Appliquées, Palaiseau, France</w:t>
      </w:r>
    </w:p>
    <w:p w14:paraId="2D5DC5C9" w14:textId="60080B9B" w:rsidR="007700E5" w:rsidRDefault="00AE59F6" w:rsidP="00467D13">
      <w:pPr>
        <w:spacing w:after="120" w:line="240" w:lineRule="auto"/>
        <w:rPr>
          <w:rStyle w:val="Lienhypertexte"/>
          <w:noProof/>
          <w:sz w:val="16"/>
        </w:rPr>
      </w:pPr>
      <w:hyperlink r:id="rId10" w:history="1">
        <w:r w:rsidR="007700E5" w:rsidRPr="008D4DDF">
          <w:rPr>
            <w:rStyle w:val="Lienhypertexte"/>
            <w:noProof/>
            <w:sz w:val="16"/>
          </w:rPr>
          <w:t>jeanpierre.belaud@toulouse-inp.fr</w:t>
        </w:r>
      </w:hyperlink>
    </w:p>
    <w:p w14:paraId="38DABA28" w14:textId="066C1703" w:rsidR="00DB6540" w:rsidRPr="0058306B" w:rsidRDefault="00DB6540" w:rsidP="007C4D87">
      <w:pPr>
        <w:spacing w:after="120" w:line="240" w:lineRule="auto"/>
        <w:rPr>
          <w:noProof/>
          <w:sz w:val="16"/>
        </w:rPr>
      </w:pPr>
      <w:r w:rsidRPr="0058306B">
        <w:rPr>
          <w:noProof/>
          <w:sz w:val="16"/>
        </w:rPr>
        <w:t xml:space="preserve"> </w:t>
      </w:r>
    </w:p>
    <w:p w14:paraId="6C79A93C" w14:textId="41B84EB7" w:rsidR="002B7450" w:rsidRPr="002B7450" w:rsidRDefault="009F5045" w:rsidP="009D10EF">
      <w:pPr>
        <w:spacing w:after="120" w:line="240" w:lineRule="auto"/>
      </w:pPr>
      <w:r w:rsidRPr="009F5045">
        <w:rPr>
          <w:noProof/>
          <w:szCs w:val="18"/>
        </w:rPr>
        <w:t xml:space="preserve">The French </w:t>
      </w:r>
      <w:r w:rsidR="00730B99">
        <w:rPr>
          <w:noProof/>
          <w:szCs w:val="18"/>
        </w:rPr>
        <w:t xml:space="preserve">3BCAR ICAM 2024-2026 project aims at leveraging digitalization tools and sustainability principles to </w:t>
      </w:r>
      <w:r w:rsidR="0032218F">
        <w:rPr>
          <w:noProof/>
          <w:szCs w:val="18"/>
        </w:rPr>
        <w:t>obtain</w:t>
      </w:r>
      <w:r w:rsidR="00730B99">
        <w:rPr>
          <w:noProof/>
          <w:szCs w:val="18"/>
        </w:rPr>
        <w:t xml:space="preserve"> an integrated digital platform for bioeconomy actors. </w:t>
      </w:r>
      <w:r w:rsidR="005C497C">
        <w:rPr>
          <w:noProof/>
          <w:szCs w:val="18"/>
        </w:rPr>
        <w:t>ICAM</w:t>
      </w:r>
      <w:r w:rsidR="0010035A">
        <w:rPr>
          <w:noProof/>
          <w:szCs w:val="18"/>
        </w:rPr>
        <w:t>, in French</w:t>
      </w:r>
      <w:r w:rsidR="00936355">
        <w:rPr>
          <w:noProof/>
          <w:szCs w:val="18"/>
        </w:rPr>
        <w:t>,</w:t>
      </w:r>
      <w:r w:rsidR="005C497C">
        <w:rPr>
          <w:noProof/>
          <w:szCs w:val="18"/>
        </w:rPr>
        <w:t xml:space="preserve"> stands for </w:t>
      </w:r>
      <w:r w:rsidR="003F3778" w:rsidRPr="009F5045">
        <w:rPr>
          <w:szCs w:val="18"/>
        </w:rPr>
        <w:t>Knowledge Engineering and Multidimensional Analysis</w:t>
      </w:r>
      <w:r w:rsidR="005E1C0E">
        <w:rPr>
          <w:szCs w:val="18"/>
        </w:rPr>
        <w:t xml:space="preserve">. </w:t>
      </w:r>
      <w:r w:rsidR="005C497C">
        <w:rPr>
          <w:szCs w:val="18"/>
        </w:rPr>
        <w:t>The project</w:t>
      </w:r>
      <w:r w:rsidR="00936355">
        <w:rPr>
          <w:szCs w:val="18"/>
        </w:rPr>
        <w:t>’s</w:t>
      </w:r>
      <w:r w:rsidR="007C4D87">
        <w:rPr>
          <w:szCs w:val="18"/>
        </w:rPr>
        <w:t xml:space="preserve"> goal is to </w:t>
      </w:r>
      <w:r w:rsidR="005E1C0E">
        <w:rPr>
          <w:szCs w:val="18"/>
        </w:rPr>
        <w:t>develop</w:t>
      </w:r>
      <w:r w:rsidR="007C4D87">
        <w:rPr>
          <w:szCs w:val="18"/>
        </w:rPr>
        <w:t xml:space="preserve"> an </w:t>
      </w:r>
      <w:r w:rsidR="005C497C">
        <w:rPr>
          <w:szCs w:val="18"/>
        </w:rPr>
        <w:t xml:space="preserve">ontology based integrative digital platform </w:t>
      </w:r>
      <w:r w:rsidR="005E1C0E">
        <w:rPr>
          <w:szCs w:val="18"/>
        </w:rPr>
        <w:t>that</w:t>
      </w:r>
      <w:r w:rsidR="005C497C">
        <w:rPr>
          <w:szCs w:val="18"/>
        </w:rPr>
        <w:t xml:space="preserve"> enhance</w:t>
      </w:r>
      <w:r w:rsidR="005E1C0E">
        <w:rPr>
          <w:szCs w:val="18"/>
        </w:rPr>
        <w:t>s</w:t>
      </w:r>
      <w:r w:rsidR="005C497C">
        <w:rPr>
          <w:szCs w:val="18"/>
        </w:rPr>
        <w:t xml:space="preserve"> data, knowledge, and scientific e</w:t>
      </w:r>
      <w:r w:rsidR="003F3778" w:rsidRPr="009F5045">
        <w:rPr>
          <w:szCs w:val="18"/>
        </w:rPr>
        <w:t xml:space="preserve">xpertise </w:t>
      </w:r>
      <w:r w:rsidR="005C497C">
        <w:rPr>
          <w:szCs w:val="18"/>
        </w:rPr>
        <w:t>around</w:t>
      </w:r>
      <w:r w:rsidR="003F3778" w:rsidRPr="009F5045">
        <w:rPr>
          <w:szCs w:val="18"/>
        </w:rPr>
        <w:t xml:space="preserve"> </w:t>
      </w:r>
      <w:r w:rsidR="005C497C">
        <w:rPr>
          <w:szCs w:val="18"/>
        </w:rPr>
        <w:t>bio-refinery platforms.</w:t>
      </w:r>
      <w:r w:rsidR="0032218F">
        <w:rPr>
          <w:szCs w:val="18"/>
        </w:rPr>
        <w:t xml:space="preserve"> This paper introduces </w:t>
      </w:r>
      <w:r w:rsidR="00E7388F">
        <w:rPr>
          <w:szCs w:val="18"/>
        </w:rPr>
        <w:t>PowderLib</w:t>
      </w:r>
      <w:r w:rsidR="0032218F">
        <w:rPr>
          <w:szCs w:val="18"/>
        </w:rPr>
        <w:t>, a</w:t>
      </w:r>
      <w:r w:rsidR="00936355">
        <w:rPr>
          <w:szCs w:val="18"/>
        </w:rPr>
        <w:t xml:space="preserve">n </w:t>
      </w:r>
      <w:r w:rsidR="0032218F">
        <w:rPr>
          <w:szCs w:val="18"/>
        </w:rPr>
        <w:t>instantiation of ICAM’s integrative digital platform</w:t>
      </w:r>
      <w:r w:rsidR="00936355">
        <w:rPr>
          <w:szCs w:val="18"/>
        </w:rPr>
        <w:t xml:space="preserve"> for vegetable powders</w:t>
      </w:r>
      <w:r w:rsidR="0032218F">
        <w:rPr>
          <w:szCs w:val="18"/>
        </w:rPr>
        <w:t xml:space="preserve">. </w:t>
      </w:r>
      <w:r w:rsidR="00386907">
        <w:rPr>
          <w:szCs w:val="18"/>
        </w:rPr>
        <w:t xml:space="preserve">The platform stores data and knowledge </w:t>
      </w:r>
      <w:r w:rsidR="009527FE">
        <w:rPr>
          <w:szCs w:val="18"/>
        </w:rPr>
        <w:t>on</w:t>
      </w:r>
      <w:r w:rsidR="00386907">
        <w:rPr>
          <w:szCs w:val="18"/>
        </w:rPr>
        <w:t xml:space="preserve"> the production and valorisation of plant powders</w:t>
      </w:r>
      <w:r w:rsidR="001F26F2">
        <w:rPr>
          <w:szCs w:val="18"/>
        </w:rPr>
        <w:t xml:space="preserve">. </w:t>
      </w:r>
      <w:r w:rsidR="00A84E54">
        <w:rPr>
          <w:szCs w:val="18"/>
        </w:rPr>
        <w:t xml:space="preserve">It connects four modules: PO2, </w:t>
      </w:r>
      <w:r w:rsidR="00890FE3">
        <w:t>an experimental database</w:t>
      </w:r>
      <w:r w:rsidR="00890FE3">
        <w:rPr>
          <w:szCs w:val="18"/>
        </w:rPr>
        <w:t xml:space="preserve">, </w:t>
      </w:r>
      <w:r w:rsidR="00E66C07">
        <w:rPr>
          <w:szCs w:val="18"/>
        </w:rPr>
        <w:t xml:space="preserve">Makebook, </w:t>
      </w:r>
      <w:r w:rsidR="009527FE">
        <w:t xml:space="preserve">a tool to store and manage </w:t>
      </w:r>
      <w:r w:rsidR="00E66C07">
        <w:t xml:space="preserve">electronic knowledge books, CAPEX, </w:t>
      </w:r>
      <w:r w:rsidR="001F768E">
        <w:t xml:space="preserve">a </w:t>
      </w:r>
      <w:r w:rsidR="00D43C51">
        <w:t>decision tree-reasoning engine</w:t>
      </w:r>
      <w:r w:rsidR="00E66C07">
        <w:t xml:space="preserve"> </w:t>
      </w:r>
      <w:r w:rsidR="008D4710">
        <w:t>and AdCVcalc&amp;visu</w:t>
      </w:r>
      <w:r w:rsidR="00530872">
        <w:t>, an environmental ass</w:t>
      </w:r>
      <w:r w:rsidR="007A360D">
        <w:t xml:space="preserve">essment and visualization tool. </w:t>
      </w:r>
      <w:r w:rsidR="00D43C51">
        <w:t>The</w:t>
      </w:r>
      <w:r w:rsidR="008A5FD1">
        <w:t xml:space="preserve"> modules are interoperable because they </w:t>
      </w:r>
      <w:r w:rsidR="00D43C51">
        <w:t>adopt</w:t>
      </w:r>
      <w:r w:rsidR="008A5FD1">
        <w:t xml:space="preserve"> </w:t>
      </w:r>
      <w:r w:rsidR="00A84E54">
        <w:t xml:space="preserve">the same </w:t>
      </w:r>
      <w:r w:rsidR="008A5FD1">
        <w:t>vocabul</w:t>
      </w:r>
      <w:r w:rsidR="00BE438C">
        <w:t>ary from the domain ontology PO2</w:t>
      </w:r>
      <w:r w:rsidR="008A5FD1">
        <w:t>/Transfo</w:t>
      </w:r>
      <w:r w:rsidR="007A360D">
        <w:t>rmON</w:t>
      </w:r>
      <w:r w:rsidR="00D43C51">
        <w:t xml:space="preserve">, </w:t>
      </w:r>
      <w:r w:rsidR="00BE438C">
        <w:t xml:space="preserve">designed to describe transformation processes and observations of associated </w:t>
      </w:r>
      <w:r w:rsidR="00A84E54">
        <w:t xml:space="preserve">characterization </w:t>
      </w:r>
      <w:r w:rsidR="00BE438C">
        <w:t>experiment</w:t>
      </w:r>
      <w:r w:rsidR="009527FE">
        <w:t>s</w:t>
      </w:r>
      <w:r w:rsidR="00BE438C">
        <w:t xml:space="preserve">. </w:t>
      </w:r>
      <w:r w:rsidR="005E1C0E">
        <w:t xml:space="preserve">A use case </w:t>
      </w:r>
      <w:r w:rsidR="00D87AC2">
        <w:t xml:space="preserve">shows how the platform </w:t>
      </w:r>
      <w:r w:rsidR="00D43C51">
        <w:t>assists</w:t>
      </w:r>
      <w:r w:rsidR="006E7ED6">
        <w:t xml:space="preserve"> users</w:t>
      </w:r>
      <w:r w:rsidR="00D43C51">
        <w:t xml:space="preserve"> in the discovery of</w:t>
      </w:r>
      <w:r w:rsidR="00D87AC2">
        <w:t xml:space="preserve"> vegetal powders that match given </w:t>
      </w:r>
      <w:r w:rsidR="00A84E54">
        <w:t xml:space="preserve">end-product functional </w:t>
      </w:r>
      <w:r w:rsidR="00D87AC2">
        <w:t>specifications</w:t>
      </w:r>
      <w:r w:rsidR="00A84E54">
        <w:t xml:space="preserve"> in a reverse engineering approach</w:t>
      </w:r>
      <w:r w:rsidR="0082465C">
        <w:t xml:space="preserve">. </w:t>
      </w:r>
    </w:p>
    <w:p w14:paraId="6E1D0A77" w14:textId="41E24B97" w:rsidR="000124CC" w:rsidRPr="00C262A8" w:rsidRDefault="003232E3" w:rsidP="00C262A8">
      <w:pPr>
        <w:pStyle w:val="CETHeading1"/>
        <w:rPr>
          <w:lang w:val="en-GB"/>
        </w:rPr>
      </w:pPr>
      <w:r>
        <w:rPr>
          <w:lang w:val="en-GB"/>
        </w:rPr>
        <w:t>Introduction</w:t>
      </w:r>
    </w:p>
    <w:p w14:paraId="707D6FF4" w14:textId="0FC8FFBA" w:rsidR="003D5248" w:rsidRDefault="00065DD5" w:rsidP="00056BFA">
      <w:pPr>
        <w:tabs>
          <w:tab w:val="clear" w:pos="7100"/>
        </w:tabs>
        <w:spacing w:before="240" w:after="240" w:line="240" w:lineRule="auto"/>
      </w:pPr>
      <w:r>
        <w:t>Increasing population, globalization and urbanization have led to consumption patterns that emit</w:t>
      </w:r>
      <w:r w:rsidR="00FB72AD">
        <w:t xml:space="preserve"> significant amounts of</w:t>
      </w:r>
      <w:r>
        <w:t xml:space="preserve"> C02, raising the atmosphere, earth and oceans’</w:t>
      </w:r>
      <w:r w:rsidR="006C3C4E">
        <w:t xml:space="preserve"> temperatures. </w:t>
      </w:r>
      <w:r w:rsidR="007B571D">
        <w:t>Climate change originates extreme environmental phenomena such</w:t>
      </w:r>
      <w:r w:rsidR="005E4161">
        <w:t xml:space="preserve"> as heatwaves or sea level rise. It also</w:t>
      </w:r>
      <w:r w:rsidR="007B571D">
        <w:t xml:space="preserve"> </w:t>
      </w:r>
      <w:r w:rsidR="00ED4C43">
        <w:t>deepens</w:t>
      </w:r>
      <w:r w:rsidR="00667A48">
        <w:t xml:space="preserve"> </w:t>
      </w:r>
      <w:r w:rsidR="00ED4C43">
        <w:t>social and economic inequalities</w:t>
      </w:r>
      <w:r w:rsidR="00667A48">
        <w:t xml:space="preserve">. </w:t>
      </w:r>
      <w:r w:rsidR="00B20FC0">
        <w:t>To tackle global warming and transition towards sustainable human activities, members of the United Nations devised 17 Sustainable Development Goals (SDGs) that lie at the core of the 2030 Agen</w:t>
      </w:r>
      <w:r w:rsidR="001E5158">
        <w:t xml:space="preserve">da for Sustainable Development. </w:t>
      </w:r>
      <w:r w:rsidR="0003629A">
        <w:t xml:space="preserve">The United Nations describes sustainable activities as those who enable meeting present needs without compromising future generations’ abilities to meet theirs. </w:t>
      </w:r>
      <w:r w:rsidR="00412272">
        <w:t xml:space="preserve">Shifting towards bio-economical systems aligns with these goals. </w:t>
      </w:r>
      <w:r w:rsidR="00160E57">
        <w:t>Bio-economical systems are those that produce and transform biomass to</w:t>
      </w:r>
      <w:r w:rsidR="00FC25AF">
        <w:t xml:space="preserve"> reduce waste,</w:t>
      </w:r>
      <w:r w:rsidR="00160E57">
        <w:t xml:space="preserve"> obtain </w:t>
      </w:r>
      <w:r w:rsidR="0052526C">
        <w:t>bioenergy</w:t>
      </w:r>
      <w:r w:rsidR="00160E57">
        <w:t xml:space="preserve">, </w:t>
      </w:r>
      <w:r w:rsidR="00FC25AF">
        <w:t xml:space="preserve">biomolecules </w:t>
      </w:r>
      <w:r w:rsidR="00B872FE">
        <w:t>and biomaterials.</w:t>
      </w:r>
      <w:r w:rsidR="00385B03">
        <w:t xml:space="preserve"> Biomass can be from agricultural, forestry or aquaculture origin.</w:t>
      </w:r>
      <w:r w:rsidR="0052526C">
        <w:t xml:space="preserve"> Bio-economy </w:t>
      </w:r>
      <w:r w:rsidR="00922E51">
        <w:t xml:space="preserve">aims at developing renewable sources and sustainable technologies to </w:t>
      </w:r>
      <w:r w:rsidR="00056BFA">
        <w:t>minimize environmental impacts</w:t>
      </w:r>
      <w:r w:rsidR="00BA5152">
        <w:t xml:space="preserve"> </w:t>
      </w:r>
      <w:r w:rsidR="005067E6">
        <w:fldChar w:fldCharType="begin"/>
      </w:r>
      <w:r w:rsidR="00016212">
        <w:instrText xml:space="preserve"> ADDIN ZOTERO_ITEM CSL_CITATION {"citationID":"elx3NyZT","properties":{"formattedCitation":"(\\uc0\\u8220{}Our manifesto,\\uc0\\u8221{} 2023)","plainCitation":"(“Our manifesto,” 2023)","noteIndex":0},"citationItems":[{"id":1496,"uris":["http://zotero.org/users/9008260/items/E2K3HVSY"],"itemData":{"id":1496,"type":"post-weblog","container-title":"Bioeconomy For Change","language":"en-US","title":"Our manifesto","URL":"https://www.bioeconomyforchange.eu/en/our-manifesto/","accessed":{"date-parts":[["2025",2,14]]},"issued":{"date-parts":[["2023"]]}}}],"schema":"https://github.com/citation-style-language/schema/raw/master/csl-citation.json"} </w:instrText>
      </w:r>
      <w:r w:rsidR="005067E6">
        <w:fldChar w:fldCharType="separate"/>
      </w:r>
      <w:r w:rsidR="00016212" w:rsidRPr="00016212">
        <w:rPr>
          <w:rFonts w:cs="Arial"/>
          <w:szCs w:val="24"/>
        </w:rPr>
        <w:t>(“Our manifesto,” 2023)</w:t>
      </w:r>
      <w:r w:rsidR="005067E6">
        <w:fldChar w:fldCharType="end"/>
      </w:r>
      <w:r w:rsidR="00056BFA">
        <w:t xml:space="preserve">. </w:t>
      </w:r>
    </w:p>
    <w:p w14:paraId="495FAB95" w14:textId="0B579D84" w:rsidR="00704FE2" w:rsidRPr="001328A7" w:rsidRDefault="00407523" w:rsidP="00056BFA">
      <w:pPr>
        <w:tabs>
          <w:tab w:val="clear" w:pos="7100"/>
        </w:tabs>
        <w:spacing w:before="240" w:after="240" w:line="240" w:lineRule="auto"/>
        <w:rPr>
          <w:szCs w:val="18"/>
        </w:rPr>
      </w:pPr>
      <w:r w:rsidRPr="0057602C">
        <w:rPr>
          <w:szCs w:val="18"/>
        </w:rPr>
        <w:t xml:space="preserve">The ICAM project is financed by the Carnot consortium of research institutions, which comprises </w:t>
      </w:r>
      <w:r w:rsidRPr="00A236AE">
        <w:rPr>
          <w:szCs w:val="18"/>
        </w:rPr>
        <w:t xml:space="preserve">39 French public research organizations recognized for their ability </w:t>
      </w:r>
      <w:r w:rsidRPr="0057602C">
        <w:rPr>
          <w:szCs w:val="18"/>
        </w:rPr>
        <w:t xml:space="preserve">and dedication </w:t>
      </w:r>
      <w:r w:rsidRPr="00A236AE">
        <w:rPr>
          <w:szCs w:val="18"/>
        </w:rPr>
        <w:t xml:space="preserve">to meet </w:t>
      </w:r>
      <w:r w:rsidRPr="0057602C">
        <w:rPr>
          <w:szCs w:val="18"/>
        </w:rPr>
        <w:t xml:space="preserve">private companies’ </w:t>
      </w:r>
      <w:r w:rsidRPr="00A236AE">
        <w:rPr>
          <w:szCs w:val="18"/>
        </w:rPr>
        <w:t>R&amp;D needs.</w:t>
      </w:r>
      <w:r w:rsidRPr="0057602C">
        <w:rPr>
          <w:szCs w:val="18"/>
        </w:rPr>
        <w:t xml:space="preserve"> The project is led by the Carnot 3BCAR cluster, which incorporates 18 R&amp;D entities</w:t>
      </w:r>
      <w:r w:rsidRPr="00351F9C">
        <w:rPr>
          <w:szCs w:val="18"/>
        </w:rPr>
        <w:t xml:space="preserve">, ranging from laboratories to </w:t>
      </w:r>
      <w:r w:rsidRPr="0057602C">
        <w:rPr>
          <w:szCs w:val="18"/>
        </w:rPr>
        <w:t>pilot plants</w:t>
      </w:r>
      <w:r w:rsidRPr="00351F9C">
        <w:rPr>
          <w:szCs w:val="18"/>
        </w:rPr>
        <w:t xml:space="preserve">. </w:t>
      </w:r>
      <w:r w:rsidRPr="0057602C">
        <w:rPr>
          <w:szCs w:val="18"/>
        </w:rPr>
        <w:t xml:space="preserve">The </w:t>
      </w:r>
      <w:r w:rsidRPr="00351F9C">
        <w:rPr>
          <w:szCs w:val="18"/>
        </w:rPr>
        <w:t xml:space="preserve">Carnot 3BCAR </w:t>
      </w:r>
      <w:r w:rsidRPr="0057602C">
        <w:rPr>
          <w:szCs w:val="18"/>
        </w:rPr>
        <w:t>leverages</w:t>
      </w:r>
      <w:r w:rsidRPr="00351F9C">
        <w:rPr>
          <w:szCs w:val="18"/>
        </w:rPr>
        <w:t xml:space="preserve"> </w:t>
      </w:r>
      <w:r w:rsidRPr="0057602C">
        <w:rPr>
          <w:szCs w:val="18"/>
        </w:rPr>
        <w:t>biotechnologies and green chemistry</w:t>
      </w:r>
      <w:r w:rsidRPr="00351F9C">
        <w:rPr>
          <w:szCs w:val="18"/>
        </w:rPr>
        <w:t xml:space="preserve"> to support business innovation.</w:t>
      </w:r>
      <w:r w:rsidR="00544F9A">
        <w:rPr>
          <w:szCs w:val="18"/>
        </w:rPr>
        <w:t xml:space="preserve"> </w:t>
      </w:r>
      <w:r w:rsidR="001328A7">
        <w:rPr>
          <w:szCs w:val="18"/>
        </w:rPr>
        <w:t xml:space="preserve">Biotechnologies </w:t>
      </w:r>
      <w:r w:rsidR="00ED538B">
        <w:rPr>
          <w:szCs w:val="18"/>
        </w:rPr>
        <w:t>rely on</w:t>
      </w:r>
      <w:r w:rsidR="001328A7">
        <w:rPr>
          <w:szCs w:val="18"/>
        </w:rPr>
        <w:t xml:space="preserve"> living organisms or biological systems to derive innovative products and </w:t>
      </w:r>
      <w:r w:rsidR="00C82EE6">
        <w:rPr>
          <w:szCs w:val="18"/>
        </w:rPr>
        <w:t>services</w:t>
      </w:r>
      <w:r w:rsidR="001328A7">
        <w:rPr>
          <w:szCs w:val="18"/>
        </w:rPr>
        <w:t xml:space="preserve">. </w:t>
      </w:r>
      <w:r w:rsidR="00C82EE6" w:rsidRPr="0057602C">
        <w:rPr>
          <w:szCs w:val="18"/>
        </w:rPr>
        <w:t xml:space="preserve">The </w:t>
      </w:r>
      <w:r w:rsidR="00C82EE6">
        <w:rPr>
          <w:szCs w:val="18"/>
        </w:rPr>
        <w:t>Carnot 3BCAR’s</w:t>
      </w:r>
      <w:r w:rsidRPr="00351F9C">
        <w:rPr>
          <w:szCs w:val="18"/>
        </w:rPr>
        <w:t xml:space="preserve"> expertise covers the entire value chain, from </w:t>
      </w:r>
      <w:r w:rsidRPr="0057602C">
        <w:rPr>
          <w:szCs w:val="18"/>
        </w:rPr>
        <w:t xml:space="preserve">biomass production, biorefinery and the study of bio-based products’ functional properties. </w:t>
      </w:r>
      <w:r w:rsidR="00C82EE6">
        <w:rPr>
          <w:szCs w:val="18"/>
        </w:rPr>
        <w:t xml:space="preserve">Biorefineries </w:t>
      </w:r>
      <w:r w:rsidR="00C82EE6" w:rsidRPr="00C82EE6">
        <w:rPr>
          <w:szCs w:val="18"/>
        </w:rPr>
        <w:t xml:space="preserve">integrate biomass conversion processes </w:t>
      </w:r>
      <w:r w:rsidR="00C82EE6" w:rsidRPr="00C82EE6">
        <w:rPr>
          <w:szCs w:val="18"/>
        </w:rPr>
        <w:lastRenderedPageBreak/>
        <w:t>to produce fuels, power, heat and value-added chemicals</w:t>
      </w:r>
      <w:r w:rsidR="00C82EE6" w:rsidRPr="00C82EE6">
        <w:rPr>
          <w:szCs w:val="18"/>
        </w:rPr>
        <w:t xml:space="preserve"> from biomass.</w:t>
      </w:r>
      <w:r w:rsidR="00704FE2">
        <w:rPr>
          <w:szCs w:val="18"/>
        </w:rPr>
        <w:t xml:space="preserve"> B</w:t>
      </w:r>
      <w:r w:rsidR="00704FE2" w:rsidRPr="0057602C">
        <w:rPr>
          <w:szCs w:val="18"/>
        </w:rPr>
        <w:t>io-based products</w:t>
      </w:r>
      <w:r w:rsidR="00704FE2">
        <w:rPr>
          <w:szCs w:val="18"/>
        </w:rPr>
        <w:t xml:space="preserve"> or bioproducts are </w:t>
      </w:r>
      <w:r w:rsidR="00704FE2">
        <w:t xml:space="preserve">materials, chemicals, and energy derived from </w:t>
      </w:r>
      <w:r w:rsidR="00704FE2" w:rsidRPr="00694D32">
        <w:rPr>
          <w:bCs/>
        </w:rPr>
        <w:t>renewable biological resources</w:t>
      </w:r>
      <w:r w:rsidR="00704FE2">
        <w:t xml:space="preserve"> such as plants, animals, marine organisms, or microorganisms</w:t>
      </w:r>
      <w:r w:rsidR="005E4161">
        <w:t>.</w:t>
      </w:r>
    </w:p>
    <w:p w14:paraId="6F761049" w14:textId="4A581535" w:rsidR="00056BFA" w:rsidRDefault="004477A5" w:rsidP="008C5E90">
      <w:pPr>
        <w:tabs>
          <w:tab w:val="clear" w:pos="7100"/>
        </w:tabs>
        <w:spacing w:before="240" w:after="240" w:line="240" w:lineRule="auto"/>
      </w:pPr>
      <w:r>
        <w:rPr>
          <w:szCs w:val="18"/>
        </w:rPr>
        <w:t xml:space="preserve">Lignocellulosic biomass </w:t>
      </w:r>
      <w:r w:rsidR="00602E7C">
        <w:rPr>
          <w:szCs w:val="18"/>
        </w:rPr>
        <w:t>from p</w:t>
      </w:r>
      <w:r>
        <w:rPr>
          <w:szCs w:val="18"/>
        </w:rPr>
        <w:t xml:space="preserve">lant-based biomass </w:t>
      </w:r>
      <w:r w:rsidR="00602E7C">
        <w:rPr>
          <w:szCs w:val="18"/>
        </w:rPr>
        <w:t>constitutes</w:t>
      </w:r>
      <w:r>
        <w:rPr>
          <w:szCs w:val="18"/>
        </w:rPr>
        <w:t xml:space="preserve"> one of the most </w:t>
      </w:r>
      <w:r w:rsidR="00602E7C">
        <w:rPr>
          <w:szCs w:val="18"/>
        </w:rPr>
        <w:t>prom</w:t>
      </w:r>
      <w:r w:rsidR="002C5A8B">
        <w:rPr>
          <w:szCs w:val="18"/>
        </w:rPr>
        <w:t>ising and available r</w:t>
      </w:r>
      <w:r>
        <w:rPr>
          <w:szCs w:val="18"/>
        </w:rPr>
        <w:t>enewable resource</w:t>
      </w:r>
      <w:r w:rsidR="002C5A8B">
        <w:rPr>
          <w:szCs w:val="18"/>
        </w:rPr>
        <w:t>s</w:t>
      </w:r>
      <w:r>
        <w:rPr>
          <w:szCs w:val="18"/>
        </w:rPr>
        <w:t xml:space="preserve"> on Earth. </w:t>
      </w:r>
      <w:r w:rsidR="00F960BD">
        <w:rPr>
          <w:szCs w:val="18"/>
        </w:rPr>
        <w:t>Lignocellul</w:t>
      </w:r>
      <w:r w:rsidR="00AE4CF8">
        <w:rPr>
          <w:szCs w:val="18"/>
        </w:rPr>
        <w:t>o</w:t>
      </w:r>
      <w:r w:rsidR="00F960BD">
        <w:rPr>
          <w:szCs w:val="18"/>
        </w:rPr>
        <w:t>s</w:t>
      </w:r>
      <w:r w:rsidR="00AE4CF8">
        <w:rPr>
          <w:szCs w:val="18"/>
        </w:rPr>
        <w:t>ic biomass is mainly composed of cellulose, hemicellulose and lignin</w:t>
      </w:r>
      <w:r w:rsidR="006D61D3">
        <w:rPr>
          <w:szCs w:val="18"/>
        </w:rPr>
        <w:t xml:space="preserve"> </w:t>
      </w:r>
      <w:r w:rsidR="006D61D3">
        <w:rPr>
          <w:szCs w:val="18"/>
        </w:rPr>
        <w:fldChar w:fldCharType="begin"/>
      </w:r>
      <w:r w:rsidR="006D61D3">
        <w:rPr>
          <w:szCs w:val="18"/>
        </w:rPr>
        <w:instrText xml:space="preserve"> ADDIN ZOTERO_ITEM CSL_CITATION {"citationID":"xFaYuDBn","properties":{"formattedCitation":"(Phanthong et al., 2018)","plainCitation":"(Phanthong et al., 2018)","noteIndex":0},"citationItems":[{"id":1477,"uris":["http://zotero.org/users/9008260/items/GIDJGKAP"],"itemData":{"id":1477,"type":"article-journal","abstract":"Recently, nanocellulose and its applications gain high attraction in both research and industrial areas due to its attractive properties such as excellent mechanical properties, high surface area, rich hydroxyl groups for modification, and natural properties with 100% environmental friendliness. In this review, the background of nanocellulose originated from lignocellulosic biomass and the typical extraction methods and general applications are summarized, in which the nanocellulose extraction methods related to ball milling are mainly introduced. Also, an outlook on its future is given. It is expected to provide guidance on the effective extraction of nanocellulose from biomass and its most possible applications in the future.","container-title":"Carbon Resources Conversion","DOI":"10.1016/j.crcon.2018.05.004","ISSN":"2588-9133","issue":"1","journalAbbreviation":"Carbon Resources Conversion","page":"32-43","source":"ScienceDirect","title":"Nanocellulose: Extraction and application","title-short":"Nanocellulose","volume":"1","author":[{"family":"Phanthong","given":"Patchiya"},{"family":"Reubroycharoen","given":"Prasert"},{"family":"Hao","given":"Xiaogang"},{"family":"Xu","given":"Guangwen"},{"family":"Abudula","given":"Abuliti"},{"family":"Guan","given":"Guoqing"}],"issued":{"date-parts":[["2018",4,1]]}}}],"schema":"https://github.com/citation-style-language/schema/raw/master/csl-citation.json"} </w:instrText>
      </w:r>
      <w:r w:rsidR="006D61D3">
        <w:rPr>
          <w:szCs w:val="18"/>
        </w:rPr>
        <w:fldChar w:fldCharType="separate"/>
      </w:r>
      <w:r w:rsidR="006D61D3" w:rsidRPr="006D61D3">
        <w:rPr>
          <w:rFonts w:cs="Arial"/>
        </w:rPr>
        <w:t>(Phanthong et al., 2018)</w:t>
      </w:r>
      <w:r w:rsidR="006D61D3">
        <w:rPr>
          <w:szCs w:val="18"/>
        </w:rPr>
        <w:fldChar w:fldCharType="end"/>
      </w:r>
      <w:r w:rsidR="00AE4CF8">
        <w:rPr>
          <w:szCs w:val="18"/>
        </w:rPr>
        <w:t xml:space="preserve">. </w:t>
      </w:r>
      <w:r w:rsidR="00C67A8B">
        <w:rPr>
          <w:szCs w:val="18"/>
        </w:rPr>
        <w:t xml:space="preserve">Biomass can be processed into numerous products for a wide range of applications such as food </w:t>
      </w:r>
      <w:r w:rsidR="00D53EE0">
        <w:rPr>
          <w:szCs w:val="18"/>
        </w:rPr>
        <w:t>packaging</w:t>
      </w:r>
      <w:r w:rsidR="00C67A8B">
        <w:rPr>
          <w:szCs w:val="18"/>
        </w:rPr>
        <w:t xml:space="preserve"> </w:t>
      </w:r>
      <w:r w:rsidR="006D61D3">
        <w:rPr>
          <w:szCs w:val="18"/>
        </w:rPr>
        <w:fldChar w:fldCharType="begin"/>
      </w:r>
      <w:r w:rsidR="006D61D3">
        <w:rPr>
          <w:szCs w:val="18"/>
        </w:rPr>
        <w:instrText xml:space="preserve"> ADDIN ZOTERO_ITEM CSL_CITATION {"citationID":"yf9zg6Jo","properties":{"formattedCitation":"(Lammi et al., 2018)","plainCitation":"(Lammi et al., 2018)","noteIndex":0},"citationItems":[{"id":1479,"uris":["http://zotero.org/users/9008260/items/7FPU9MK5"],"itemData":{"id":1479,"type":"article-journal","abstract":"Three lignocellulosic fractions with contrasted properties were produced by dry fractionation of olive pomace (OP): a stone-rich fraction (SF) rich in cellulose and having high polarity, a pulp-rich fraction (PF) richer in lignin and less polar, and a crude pomace fraction (CF) with intermediate properties. These fractions were used as fillers in two thermoplastic matrices, i.e. polyprolylene (PP) and polyhydroxybutyrate-co-valerate (PHBV). Tensile tests showed a decrease of both the stress and the elongation at break for all biocomposites, while the Young’s modulus was not significantly affected. At low filler contents, no effect of filler composition was observed whereas at high filler content (30 wt%), the decrease in the stress at break was less pronounced for PHBV-PF, with respective reduction values of 36%, 65% and up to 78% for PHBV-PF (30%), PHBV-CF (30%)and PHBV-SF (30%) composites, as compared to the neat PHBV. The elongation at break also greatly decreased according to the filler content. The highest reduction was recorded in the case of SF fillers, with a reduction of 74% for PHBV-SF composites. Mechanical properties were better preserved in the case of the PF filler due to better interfacial adhesion towards the matrices, as revealed by work of adhesion calculations, SEM observations and mechanical modelling. Water vapour permeability (WVP) of both matrices was increased in presence of both SF and CF fillers, while oxygen permeability was not significantly affected by the fillers. As an example, WVP increased from 0.9 ± 0.1 × 10−12 mol m−1 s−1 Pa−1 for the neat PHBV up to 15.1 ± 2.6 × 10−12 mol m−1 s−1 Pa−1 for PHBV-CF (30%). This supports a promising use of SF/CF fractions in sustainable biocomposites packaging for respiring food products, the PF-based formulations being more appropriate for non-respiring and water sensitive products. Our results demonstrated that the conditioning of lignocellulosic biomass by dry fractionation is important for the control of bio-based fillers properties and the resulting functionalities of biocomposites. Besides, the PP-based composites developed in this study allow reducing costs and dependence to fossil resources, while PHBV-based biocomposites also have the advantage of being fully bio-based and biodegradable.","container-title":"Industrial Crops and Products","DOI":"10.1016/j.indcrop.2018.04.052","ISSN":"0926-6690","journalAbbreviation":"Industrial Crops and Products","page":"250-261","source":"ScienceDirect","title":"Dry fractionation of olive pomace for the development of food packaging biocomposites","volume":"120","author":[{"family":"Lammi","given":"Sarah"},{"family":"Le Moigne","given":"Nicolas"},{"family":"Djenane","given":"Djamel"},{"family":"Gontard","given":"Nathalie"},{"family":"Angellier-Coussy","given":"Hélène"}],"issued":{"date-parts":[["2018",9,15]]}}}],"schema":"https://github.com/citation-style-language/schema/raw/master/csl-citation.json"} </w:instrText>
      </w:r>
      <w:r w:rsidR="006D61D3">
        <w:rPr>
          <w:szCs w:val="18"/>
        </w:rPr>
        <w:fldChar w:fldCharType="separate"/>
      </w:r>
      <w:r w:rsidR="006D61D3" w:rsidRPr="006D61D3">
        <w:rPr>
          <w:rFonts w:cs="Arial"/>
        </w:rPr>
        <w:t>(Lammi et al., 2018)</w:t>
      </w:r>
      <w:r w:rsidR="006D61D3">
        <w:rPr>
          <w:szCs w:val="18"/>
        </w:rPr>
        <w:fldChar w:fldCharType="end"/>
      </w:r>
      <w:r w:rsidR="006D61D3">
        <w:rPr>
          <w:szCs w:val="18"/>
        </w:rPr>
        <w:t xml:space="preserve"> </w:t>
      </w:r>
      <w:r w:rsidR="00C67A8B">
        <w:rPr>
          <w:szCs w:val="18"/>
        </w:rPr>
        <w:t>or 3D printing</w:t>
      </w:r>
      <w:r w:rsidR="006D61D3">
        <w:rPr>
          <w:szCs w:val="18"/>
        </w:rPr>
        <w:t xml:space="preserve"> </w:t>
      </w:r>
      <w:r w:rsidR="006D61D3">
        <w:rPr>
          <w:szCs w:val="18"/>
        </w:rPr>
        <w:fldChar w:fldCharType="begin"/>
      </w:r>
      <w:r w:rsidR="006D61D3">
        <w:rPr>
          <w:szCs w:val="18"/>
        </w:rPr>
        <w:instrText xml:space="preserve"> ADDIN ZOTERO_ITEM CSL_CITATION {"citationID":"9A3VlwyX","properties":{"formattedCitation":"(Le Duigou et al., 2020)","plainCitation":"(Le Duigou et al., 2020)","noteIndex":0},"citationItems":[{"id":1482,"uris":["http://zotero.org/users/9008260/items/383X9CSQ"],"itemData":{"id":1482,"type":"article-journal","abstract":"To date, the literature has focused on synthetic fibre-reinforced composites, but it has not adequately addressed the unique properties that differentiate natural from synthetic fibres, such as their natural variation in microstructure and composition across species. This review paper proposes a critical overview of the current state of 3D printing of natural fibre-reinforced composites or biocomposites for mechanical purposes, as well as an overview of their role in 4D printing for stimuli-responsive applications. The paper is structured as follows: after the first part recalling the specificities of natural fibres and their associated composites, the two main sections are each divided into two parts presenting an analysis of the available data to provide fundamental understandings and a discussion and outlook for the future. Natural discontinuous fibre-reinforced polymers exhibit moderate mechanical properties compared to composites manufactured by conventional processes due to specific factors of the 3D printing process, such as high porosity, low fibre content, and a very low fibre-aspect ratio (L/d). Hygromorph BioComposites (HBC) are categorized into a new class of smart materials that could be used for 4D printing of shape-changing mechanisms. Fibre content, fibre orientation control, and fibre continuity are outlined in relation to known challenges in actuation performance.","container-title":"Materials &amp; Design","DOI":"10.1016/j.matdes.2020.108911","ISSN":"0264-1275","journalAbbreviation":"Materials &amp; Design","page":"108911","source":"ScienceDirect","title":"A review of 3D and 4D printing of natural fibre biocomposites","volume":"194","author":[{"family":"Le Duigou","given":"Antoine"},{"family":"Correa","given":"David"},{"family":"Ueda","given":"Masahito"},{"family":"Matsuzaki","given":"Ryosuke"},{"family":"Castro","given":"Mickael"}],"issued":{"date-parts":[["2020",9,1]]}}}],"schema":"https://github.com/citation-style-language/schema/raw/master/csl-citation.json"} </w:instrText>
      </w:r>
      <w:r w:rsidR="006D61D3">
        <w:rPr>
          <w:szCs w:val="18"/>
        </w:rPr>
        <w:fldChar w:fldCharType="separate"/>
      </w:r>
      <w:r w:rsidR="006D61D3" w:rsidRPr="006D61D3">
        <w:rPr>
          <w:rFonts w:cs="Arial"/>
        </w:rPr>
        <w:t>(Le Duigou et al., 2020)</w:t>
      </w:r>
      <w:r w:rsidR="006D61D3">
        <w:rPr>
          <w:szCs w:val="18"/>
        </w:rPr>
        <w:fldChar w:fldCharType="end"/>
      </w:r>
      <w:r w:rsidR="00C67A8B">
        <w:rPr>
          <w:szCs w:val="18"/>
        </w:rPr>
        <w:t xml:space="preserve">. </w:t>
      </w:r>
      <w:r w:rsidR="00431885">
        <w:rPr>
          <w:szCs w:val="18"/>
        </w:rPr>
        <w:t xml:space="preserve">The variety of available biomass </w:t>
      </w:r>
      <w:r w:rsidR="00431885">
        <w:t xml:space="preserve">requires a diverse range of specific and technical </w:t>
      </w:r>
      <w:r w:rsidR="00BB6054">
        <w:t>treatment</w:t>
      </w:r>
      <w:r w:rsidR="00431885">
        <w:t xml:space="preserve"> and conversio</w:t>
      </w:r>
      <w:r w:rsidR="00BB6054">
        <w:t xml:space="preserve">n </w:t>
      </w:r>
      <w:r w:rsidR="004E613D">
        <w:t>processes</w:t>
      </w:r>
      <w:r w:rsidR="001E7594">
        <w:t xml:space="preserve"> </w:t>
      </w:r>
      <w:r w:rsidR="00E82089">
        <w:t>to generate</w:t>
      </w:r>
      <w:r w:rsidR="001E7594">
        <w:t xml:space="preserve"> the desired bio-products</w:t>
      </w:r>
      <w:r w:rsidR="00383ADB">
        <w:t xml:space="preserve">. </w:t>
      </w:r>
      <w:r w:rsidR="00313EEC">
        <w:t xml:space="preserve">Experimental data, </w:t>
      </w:r>
      <w:r w:rsidR="00F2153F">
        <w:t>expert and academic knowledge on biomass production and transformation process</w:t>
      </w:r>
      <w:r w:rsidR="00817683">
        <w:t>es</w:t>
      </w:r>
      <w:r w:rsidR="00F2153F">
        <w:t xml:space="preserve"> is growing but widely dispersed and stored in different online data repositories or books. Some of the expert knowledge is not even </w:t>
      </w:r>
      <w:r w:rsidR="0079101F">
        <w:t xml:space="preserve">archived, only held </w:t>
      </w:r>
      <w:r w:rsidR="00F2153F">
        <w:t xml:space="preserve">among experts. </w:t>
      </w:r>
      <w:r w:rsidR="006F3EBC">
        <w:t>To tackle this, t</w:t>
      </w:r>
      <w:r w:rsidR="0068014D">
        <w:t xml:space="preserve">he ICAM project </w:t>
      </w:r>
      <w:r w:rsidR="00361572">
        <w:t>is developing</w:t>
      </w:r>
      <w:r w:rsidR="0068014D">
        <w:t xml:space="preserve"> an integrated digital platform that eases knowledge and innovation transfer and diffusion.</w:t>
      </w:r>
    </w:p>
    <w:p w14:paraId="577227D5" w14:textId="44791993" w:rsidR="003D5248" w:rsidRDefault="00E7388F" w:rsidP="008C5E90">
      <w:pPr>
        <w:tabs>
          <w:tab w:val="clear" w:pos="7100"/>
        </w:tabs>
        <w:spacing w:before="240" w:after="240" w:line="240" w:lineRule="auto"/>
      </w:pPr>
      <w:r>
        <w:t>PowderLib</w:t>
      </w:r>
      <w:r w:rsidR="00594814">
        <w:t xml:space="preserve"> </w:t>
      </w:r>
      <w:r w:rsidR="00594814">
        <w:fldChar w:fldCharType="begin"/>
      </w:r>
      <w:r w:rsidR="00016212">
        <w:instrText xml:space="preserve"> ADDIN ZOTERO_ITEM CSL_CITATION {"citationID":"G2TC84QH","properties":{"formattedCitation":"(\\uc0\\u8220{}PowderLib Portal,\\uc0\\u8221{} 2025)","plainCitation":"(“PowderLib Portal,” 2025)","noteIndex":0},"citationItems":[{"id":1500,"uris":["http://zotero.org/users/9008260/items/8BNDDV55"],"itemData":{"id":1500,"type":"webpage","title":"PowderLib Portal","URL":"https://icotest.iate.inrae.fr/powderlib_portail/","accessed":{"date-parts":[["2025",2,14]]},"issued":{"date-parts":[["2025"]]}}}],"schema":"https://github.com/citation-style-language/schema/raw/master/csl-citation.json"} </w:instrText>
      </w:r>
      <w:r w:rsidR="00594814">
        <w:fldChar w:fldCharType="separate"/>
      </w:r>
      <w:r w:rsidR="00016212" w:rsidRPr="00016212">
        <w:rPr>
          <w:rFonts w:cs="Arial"/>
          <w:szCs w:val="24"/>
        </w:rPr>
        <w:t>(“PowderLib Portal,” 2025)</w:t>
      </w:r>
      <w:r w:rsidR="00594814">
        <w:fldChar w:fldCharType="end"/>
      </w:r>
      <w:r w:rsidR="00472631">
        <w:t xml:space="preserve"> is </w:t>
      </w:r>
      <w:r w:rsidR="0090718B">
        <w:t xml:space="preserve">an </w:t>
      </w:r>
      <w:r w:rsidR="00FE029A">
        <w:t>instantiation</w:t>
      </w:r>
      <w:r w:rsidR="0090718B">
        <w:t xml:space="preserve"> </w:t>
      </w:r>
      <w:r w:rsidR="00FE029A">
        <w:t xml:space="preserve">of the integrated digital platform </w:t>
      </w:r>
      <w:r w:rsidR="00361572">
        <w:t xml:space="preserve">that results from the </w:t>
      </w:r>
      <w:r w:rsidR="00FE029A">
        <w:t xml:space="preserve">ICAM </w:t>
      </w:r>
      <w:r w:rsidR="00361572">
        <w:t>project.</w:t>
      </w:r>
      <w:r w:rsidR="00472631">
        <w:t xml:space="preserve"> </w:t>
      </w:r>
      <w:r w:rsidR="00361572">
        <w:t xml:space="preserve">PowderLib </w:t>
      </w:r>
      <w:r w:rsidR="00E71F30">
        <w:t xml:space="preserve">gathers knowledge on vegetable powders. </w:t>
      </w:r>
      <w:r w:rsidR="0068014D">
        <w:t xml:space="preserve">The platform </w:t>
      </w:r>
      <w:r w:rsidR="00566DDE">
        <w:t xml:space="preserve">embeds </w:t>
      </w:r>
      <w:r w:rsidR="008F70F0">
        <w:t>an open source data reposi</w:t>
      </w:r>
      <w:r w:rsidR="002A420A">
        <w:t>tory conceived with the PO2/Transform</w:t>
      </w:r>
      <w:r w:rsidR="000E6359">
        <w:t xml:space="preserve">ON </w:t>
      </w:r>
      <w:r w:rsidR="00B77596">
        <w:t>domain ontology</w:t>
      </w:r>
      <w:r w:rsidR="001F31D4">
        <w:t xml:space="preserve"> </w:t>
      </w:r>
      <w:r w:rsidR="001F31D4">
        <w:fldChar w:fldCharType="begin"/>
      </w:r>
      <w:r w:rsidR="001F31D4">
        <w:instrText xml:space="preserve"> ADDIN ZOTERO_ITEM CSL_CITATION {"citationID":"5XBbI8CC","properties":{"formattedCitation":"(Weber et al., 2023)","plainCitation":"(Weber et al., 2023)","noteIndex":0},"citationItems":[{"id":1488,"uris":["http://zotero.org/users/9008260/items/2SKU8K8R"],"itemData":{"id":1488,"type":"article-journal","abstract":"We are witnessing an acceleration of the global drive to converge consumption and production patterns towards a more circular and sustainable approach to the food system. To address the challenge of reconnecting agriculture, environment, food and health, collections of large datasets must be exploited. However, building high-capacity data-sharing networks means unlocking the information silos that are caused by a multiplicity of local data dictionaries. To solve the data harmonization problem, we proposed an ontology on food, feed, bioproducts, and biowastes engineering for data integration in a circular bioeconomy and nexus-oriented approach. This ontology is based on a core model representing a generic process, the Process and Observation Ontology (PO2), which has been specialized to provide the vocabulary necessary to describe any biomass transformation process and to characterize the food, bioproducts, and wastes derived from these processes. Much of this vocabulary comes from transforming authoritative references such as the European food classification system (FoodEx2), the European Waste Catalogue, and other international nomenclatures into a semantic, world wide web consortium (W3C) format that provides system interoperability and software-driven intelligence. We showed the relevance of this new domain ontology PO2/TransformON through several concrete use cases in the fields of process engineering, bio-based composite making, food ecodesign, and relations with consumer’s perception and preferences. Further works will aim to align with other ontologies to create an ontology network for bridging the gap between upstream and downstream processes in the food system.","container-title":"npj Science of Food","DOI":"10.1038/s41538-023-00221-2","ISSN":"2396-8370","issue":"1","journalAbbreviation":"npj Sci Food","language":"en","license":"2023 The Author(s)","note":"publisher: Nature Publishing Group","page":"47","source":"www.nature.com","title":"PO2/TransformON, an ontology for data integration on food, feed, bioproducts and biowaste engineering","volume":"7","author":[{"family":"Weber","given":"Magalie"},{"family":"Buche","given":"Patrice"},{"family":"Ibanescu","given":"Liliana"},{"family":"Dervaux","given":"Stéphane"},{"family":"Guillemin","given":"Hervé"},{"family":"Cufi","given":"Julien"},{"family":"Visalli","given":"Michel"},{"family":"Guichard","given":"Elisabeth"},{"family":"Pénicaud","given":"Caroline"}],"issued":{"date-parts":[["2023",9,4]]}}}],"schema":"https://github.com/citation-style-language/schema/raw/master/csl-citation.json"} </w:instrText>
      </w:r>
      <w:r w:rsidR="001F31D4">
        <w:fldChar w:fldCharType="separate"/>
      </w:r>
      <w:r w:rsidR="001F31D4" w:rsidRPr="001F31D4">
        <w:rPr>
          <w:rFonts w:cs="Arial"/>
        </w:rPr>
        <w:t>(Weber et al., 2023)</w:t>
      </w:r>
      <w:r w:rsidR="001F31D4">
        <w:fldChar w:fldCharType="end"/>
      </w:r>
      <w:r w:rsidR="00566DDE">
        <w:rPr>
          <w:i/>
        </w:rPr>
        <w:t xml:space="preserve">. </w:t>
      </w:r>
      <w:r w:rsidR="00FA42A0">
        <w:t>The PO2/Transform</w:t>
      </w:r>
      <w:r w:rsidR="000E6359">
        <w:t>ON</w:t>
      </w:r>
      <w:r w:rsidR="00FA42A0">
        <w:t xml:space="preserve"> domain ontology </w:t>
      </w:r>
      <w:r w:rsidR="00931F71">
        <w:t>comprises</w:t>
      </w:r>
      <w:r w:rsidR="00FA42A0">
        <w:t xml:space="preserve"> the Process and Observation O</w:t>
      </w:r>
      <w:r w:rsidR="00CB2E88">
        <w:t xml:space="preserve">ntology (PO2) at its core. </w:t>
      </w:r>
      <w:r w:rsidR="00920CF6">
        <w:t xml:space="preserve">The PO2 ontology </w:t>
      </w:r>
      <w:r w:rsidR="00FA42A0">
        <w:t xml:space="preserve">has been specialized to describe biomass transformation processes and enable characterizations of wastes, food and </w:t>
      </w:r>
      <w:r w:rsidR="00805FE7">
        <w:t>bioproducts</w:t>
      </w:r>
      <w:r w:rsidR="00FA42A0">
        <w:t xml:space="preserve">. </w:t>
      </w:r>
      <w:r w:rsidR="00920CF6">
        <w:t>The PO2/Transform</w:t>
      </w:r>
      <w:r w:rsidR="000E6359">
        <w:t>ON</w:t>
      </w:r>
      <w:r w:rsidR="00805FE7">
        <w:t xml:space="preserve"> ontology is</w:t>
      </w:r>
      <w:r w:rsidR="00087D09">
        <w:t xml:space="preserve"> aligned with </w:t>
      </w:r>
      <w:r w:rsidR="00AC4A65">
        <w:t xml:space="preserve">principles from </w:t>
      </w:r>
      <w:r w:rsidR="00087D09">
        <w:t xml:space="preserve">the Semantic Web, </w:t>
      </w:r>
      <w:r w:rsidR="004D5F57">
        <w:t>endorsed by the World Wide Web C</w:t>
      </w:r>
      <w:r w:rsidR="00087D09">
        <w:t>onsortium (W3C).</w:t>
      </w:r>
      <w:r w:rsidR="00DB48BE">
        <w:t xml:space="preserve"> </w:t>
      </w:r>
      <w:r w:rsidR="00796315">
        <w:t>In line with this</w:t>
      </w:r>
      <w:r w:rsidR="00DB48BE">
        <w:t>, the open source data repository is an RDF</w:t>
      </w:r>
      <w:r w:rsidR="00D35AE1">
        <w:t xml:space="preserve"> (Resource Description Framework)</w:t>
      </w:r>
      <w:r w:rsidR="00DB48BE">
        <w:t xml:space="preserve"> graph database.</w:t>
      </w:r>
      <w:r w:rsidR="00287E79">
        <w:t xml:space="preserve"> </w:t>
      </w:r>
      <w:r w:rsidR="001D442F">
        <w:t>Data shared and stored</w:t>
      </w:r>
      <w:r w:rsidR="00CF1716">
        <w:t xml:space="preserve"> in the reposit</w:t>
      </w:r>
      <w:r w:rsidR="001D442F">
        <w:t xml:space="preserve">ory is thus FAIR </w:t>
      </w:r>
      <w:r w:rsidR="001D442F" w:rsidRPr="001D442F">
        <w:t>(Findable, Accessible, Interoperable, Reusable)</w:t>
      </w:r>
      <w:r w:rsidR="001D442F">
        <w:t xml:space="preserve"> by construction</w:t>
      </w:r>
      <w:r w:rsidR="00ED64C8">
        <w:t xml:space="preserve">. </w:t>
      </w:r>
      <w:r w:rsidR="005543F0">
        <w:t>The PO2/Transform</w:t>
      </w:r>
      <w:r w:rsidR="000E6359">
        <w:t>ON</w:t>
      </w:r>
      <w:r w:rsidR="005543F0">
        <w:t xml:space="preserve"> ontology lies at the heart of </w:t>
      </w:r>
      <w:r>
        <w:t>PowderLib</w:t>
      </w:r>
      <w:r w:rsidR="005543F0">
        <w:t xml:space="preserve">, since </w:t>
      </w:r>
      <w:r w:rsidR="000A072E">
        <w:t xml:space="preserve">it </w:t>
      </w:r>
      <w:r w:rsidR="00DF26F6">
        <w:t>connects</w:t>
      </w:r>
      <w:r w:rsidR="002F248C">
        <w:t xml:space="preserve"> </w:t>
      </w:r>
      <w:r w:rsidR="000A072E">
        <w:t xml:space="preserve">and makes </w:t>
      </w:r>
      <w:r w:rsidR="002F248C">
        <w:t xml:space="preserve">modules </w:t>
      </w:r>
      <w:r w:rsidR="000A072E">
        <w:t>interoperable</w:t>
      </w:r>
      <w:r w:rsidR="00DF26F6">
        <w:t xml:space="preserve">. </w:t>
      </w:r>
      <w:r w:rsidR="00D77564" w:rsidRPr="009754EF">
        <w:t>The first module is</w:t>
      </w:r>
      <w:r w:rsidR="00084959" w:rsidRPr="009754EF">
        <w:t xml:space="preserve"> the </w:t>
      </w:r>
      <w:r w:rsidR="005D75EE" w:rsidRPr="007553D6">
        <w:t xml:space="preserve">PO2 </w:t>
      </w:r>
      <w:r w:rsidR="00084959" w:rsidRPr="009754EF">
        <w:t>open so</w:t>
      </w:r>
      <w:r w:rsidR="00D77564" w:rsidRPr="009754EF">
        <w:t>urce RDF graph data repository</w:t>
      </w:r>
      <w:r w:rsidR="00023B47">
        <w:t xml:space="preserve"> </w:t>
      </w:r>
      <w:r w:rsidR="005D75EE" w:rsidRPr="007553D6">
        <w:t>dedicated to biomass transformation and experimental</w:t>
      </w:r>
      <w:r w:rsidR="007553D6">
        <w:t xml:space="preserve"> </w:t>
      </w:r>
      <w:r w:rsidR="007553D6" w:rsidRPr="007553D6">
        <w:t>characterization</w:t>
      </w:r>
      <w:r w:rsidR="005D75EE" w:rsidRPr="007553D6">
        <w:t xml:space="preserve"> data</w:t>
      </w:r>
      <w:r w:rsidR="00D77564" w:rsidRPr="009754EF">
        <w:t>.</w:t>
      </w:r>
      <w:r w:rsidR="001D442F">
        <w:t xml:space="preserve"> </w:t>
      </w:r>
      <w:r w:rsidR="00D77564">
        <w:t>The second one</w:t>
      </w:r>
      <w:r w:rsidR="006C650C">
        <w:t>, named Makebook</w:t>
      </w:r>
      <w:r w:rsidR="00D81078">
        <w:t xml:space="preserve"> </w:t>
      </w:r>
      <w:r w:rsidR="00D81078">
        <w:fldChar w:fldCharType="begin"/>
      </w:r>
      <w:r w:rsidR="00D81078">
        <w:instrText xml:space="preserve"> ADDIN ZOTERO_ITEM CSL_CITATION {"citationID":"oxooXDyj","properties":{"formattedCitation":"(Baudrit et al., 2024)","plainCitation":"(Baudrit et al., 2024)","noteIndex":0},"citationItems":[{"id":1504,"uris":["http://zotero.org/users/9008260/items/8EJQXKL7"],"itemData":{"id":1504,"type":"article-journal","abstract":"Purpose This paper aims to address the challenges faced by the cheese industry, particularly concerning the preservation and transfer of traditional cheesemaking knowledge. It emphasises the need for innovative solutions in sustainably managing knowledge and skills amidst changing demographic and technological landscapes. Design/methodology/approach Our approach consists of developing and implementing a digital tool, the cheese eK-Book, which is designed to capture, structure and disseminate cheesemaking knowledge. This tool is based on a semantic network and is accessible via smartphones and tablets and aims to facilitate continuous learning, knowledge transfer and collaboration across diverse stakeholders in the cheese production sector. Findings The study highlights several critical findings. Traditional cheesemaking knowledge is currently at risk due to a number of factors, including the ageing of skilled workers, a lack of succession planning and pressures from globalisation and industrialisation. The European dairy sector is evolving towards more specialised and automated production, requiring a skilled workforce capable of adapting to these changes. There is a significant gap between traditional cheese makers and research institutions, hindering the adoption of new technologies and best practices. The cheese eK-Book offers a promising solution to these challenges by preserving knowledge, supporting continuous learning and enhancing collaboration between industry stakeholders and educational/research institutions. The tool facilitates access to scientific knowledge, promotes work–life balance by offering a range of flexible learning opportunities and supports tailored training programmes based on individual users’ needs. Originality/value This article contributes original insights by proposing a comprehensive digital solution tailored to the specific, current needs of the cheese industry. By integrating modern technology with traditional knowledge, the cheese eK-Book not only preserves expertise but also fosters innovation and sustainability within the sector. It bridges the gap between practical cheesemaking skills and contemporary scientific understanding, addressing critical challenges such as knowledge retention, succession planning and workforce development in a rapidly evolving industry landscape. The strength of the Cheese eK-Book lies in its capacity to communicate knowledge, traditions and teachings across generations. This transfer of knowledge and skills plays a crucial role in preserving heritage and fostering connections across different generations within a community.","container-title":"Journal of Documentation","DOI":"10.1108/JD-07-2024-0182","language":"en","source":"hal.inrae.fr","title":"Cheese eK-Book: a new web-based medium for capitalising on, structuring and transferring cheesemaking knowledge and know-how","title-short":"Cheese eK-Book","URL":"https://hal.inrae.fr/hal-04859605","author":[{"family":"Baudrit","given":"Cédric"},{"family":"Fernandez","given":"Christophe"},{"family":"Couteaux","given":"Julien"},{"family":"Buche","given":"Patrice"},{"family":"Bel","given":"Nadege"},{"family":"Charles","given":"Cecile"},{"family":"Notz","given":"Eric"}],"accessed":{"date-parts":[["2025",2,14]]},"issued":{"date-parts":[["2024",12,25]]}}}],"schema":"https://github.com/citation-style-language/schema/raw/master/csl-citation.json"} </w:instrText>
      </w:r>
      <w:r w:rsidR="00D81078">
        <w:fldChar w:fldCharType="separate"/>
      </w:r>
      <w:r w:rsidR="00D81078" w:rsidRPr="00D81078">
        <w:rPr>
          <w:rFonts w:cs="Arial"/>
        </w:rPr>
        <w:t>(Baudrit et al., 2024)</w:t>
      </w:r>
      <w:r w:rsidR="00D81078">
        <w:fldChar w:fldCharType="end"/>
      </w:r>
      <w:r w:rsidR="006C650C">
        <w:t>,</w:t>
      </w:r>
      <w:r w:rsidR="00D77564">
        <w:t xml:space="preserve"> </w:t>
      </w:r>
      <w:r w:rsidR="000A072E">
        <w:t>is</w:t>
      </w:r>
      <w:r w:rsidR="00D77564">
        <w:t xml:space="preserve"> </w:t>
      </w:r>
      <w:r w:rsidR="00084959">
        <w:t>a</w:t>
      </w:r>
      <w:r w:rsidR="00C035C6">
        <w:t>n electronic knowledge book software that stores</w:t>
      </w:r>
      <w:r w:rsidR="00801639">
        <w:t xml:space="preserve"> knowledge </w:t>
      </w:r>
      <w:r w:rsidR="0067107C">
        <w:t>in</w:t>
      </w:r>
      <w:r w:rsidR="00801639">
        <w:t xml:space="preserve"> the form</w:t>
      </w:r>
      <w:r w:rsidR="0067107C">
        <w:t xml:space="preserve"> of</w:t>
      </w:r>
      <w:r w:rsidR="008775F0">
        <w:t xml:space="preserve"> concept ma</w:t>
      </w:r>
      <w:r w:rsidR="00921155">
        <w:t>p</w:t>
      </w:r>
      <w:r w:rsidR="008775F0">
        <w:t xml:space="preserve">s (cmaps), </w:t>
      </w:r>
      <w:r w:rsidR="00921155">
        <w:t xml:space="preserve">knowledge sheets, </w:t>
      </w:r>
      <w:r w:rsidR="008775F0">
        <w:t>graphs, downloadable documents or web pages</w:t>
      </w:r>
      <w:r w:rsidR="00D77564">
        <w:t>.</w:t>
      </w:r>
      <w:r w:rsidR="006C650C">
        <w:t xml:space="preserve"> The third one</w:t>
      </w:r>
      <w:r w:rsidR="00D408A3">
        <w:t xml:space="preserve"> is a</w:t>
      </w:r>
      <w:r w:rsidR="00063393">
        <w:t xml:space="preserve"> </w:t>
      </w:r>
      <w:r w:rsidR="008775F0">
        <w:t>reasoning</w:t>
      </w:r>
      <w:r w:rsidR="00084959">
        <w:t xml:space="preserve"> engine named CAPEX</w:t>
      </w:r>
      <w:r w:rsidR="005A022D">
        <w:t>,</w:t>
      </w:r>
      <w:r w:rsidR="00063393">
        <w:t xml:space="preserve"> </w:t>
      </w:r>
      <w:r w:rsidR="005D75EE">
        <w:t xml:space="preserve">which </w:t>
      </w:r>
      <w:r w:rsidR="00B53290">
        <w:t xml:space="preserve">enables navigating decision trees to find explanations </w:t>
      </w:r>
      <w:r w:rsidR="005D75EE">
        <w:t xml:space="preserve">and solutions </w:t>
      </w:r>
      <w:r w:rsidR="00B53290">
        <w:t>to defaults or qualities</w:t>
      </w:r>
      <w:r w:rsidR="007E472E">
        <w:t xml:space="preserve">. </w:t>
      </w:r>
      <w:r w:rsidR="00D408A3">
        <w:t>The fourth module, under development, is</w:t>
      </w:r>
      <w:r w:rsidR="00B53290">
        <w:t xml:space="preserve"> </w:t>
      </w:r>
      <w:r w:rsidR="002818A2">
        <w:t xml:space="preserve">a visualization and </w:t>
      </w:r>
      <w:r w:rsidR="00D408A3">
        <w:t>e</w:t>
      </w:r>
      <w:r w:rsidR="000A072E">
        <w:t xml:space="preserve">nvironmental assessment module. </w:t>
      </w:r>
      <w:r w:rsidR="00BC6488">
        <w:t xml:space="preserve">It </w:t>
      </w:r>
      <w:r w:rsidR="000A072E">
        <w:t>leverages</w:t>
      </w:r>
      <w:r w:rsidR="00BC6488">
        <w:t xml:space="preserve"> </w:t>
      </w:r>
      <w:r w:rsidR="000A072E">
        <w:t>machine-learning</w:t>
      </w:r>
      <w:r w:rsidR="00BC6488">
        <w:t xml:space="preserve"> techniques to facilitate analysis and sustainability assessments</w:t>
      </w:r>
      <w:r w:rsidR="00F96734">
        <w:t xml:space="preserve">. It </w:t>
      </w:r>
      <w:r w:rsidR="000A072E">
        <w:t>is</w:t>
      </w:r>
      <w:r w:rsidR="00F96734">
        <w:t xml:space="preserve"> inspired </w:t>
      </w:r>
      <w:r w:rsidR="00C54DAC">
        <w:t>from</w:t>
      </w:r>
      <w:r w:rsidR="00F96734">
        <w:t xml:space="preserve"> previous work from </w:t>
      </w:r>
      <w:r w:rsidR="00D969FD">
        <w:fldChar w:fldCharType="begin"/>
      </w:r>
      <w:r w:rsidR="00D969FD">
        <w:instrText xml:space="preserve"> ADDIN ZOTERO_ITEM CSL_CITATION {"citationID":"pVecodCN","properties":{"formattedCitation":"(Prioux et al., 2023)","plainCitation":"(Prioux et al., 2023)","noteIndex":0},"citationItems":[{"id":1490,"uris":["http://zotero.org/users/9008260/items/VMHB5ESX"],"itemData":{"id":1490,"type":"article-journal","abstract":"The circular economy and its various recirculation loops have become a major study subject over recent years, particularly in the field of agriculture, which is a significant source of waste production. There have been several studies focused on transforming agricultural lignocellulosic waste with “sustainable” processes: economically viable, socially accepted, and environmentally friendly. Thanks to “life cycle thinking”, it is possible to assess these potential environmental impacts. However, these environmental analyses generally require a massive volume of specific data, the collection of which can be time-consuming and tedious, or impossible to practice. On the other hand, scientific articles describing the processes for the valorization of agricultural by-products are intriguing but rarely exploited sources of data. In this paper, a hybridization of data science techniques and environmental analysis was proposed to improve life cycle analysis (LCA) thanks to Machine Learning (ML). ML part of the proposed approach is based on unsupervised learning, which is composed of two methods: dimension reduction using the Multidimensional Scaling and clustering technique using k-means. Composed of five steps and dedicated to researchers or R&amp;D engineers, the approach is oriented towards offering a decision on technologies and processes for waste to energy in the early eco-design step. The case study in the domain of pre-treatment processes for corn stover and rice straw is detailed. The results show that all impacts that concern the chemical pollution of soil and water are found in the same cluster. Other impacts are detected in the same cluster which is related to the land use and the land transformation. In the same vein, two purely mechanical pre-treatments have been identified and grouped by Multidimensional Scaling and k-means.","container-title":"Clean Technologies and Environmental Policy","DOI":"10.1007/s10098-022-02275-4","ISSN":"1618-9558","issue":"2","journalAbbreviation":"Clean Techn Environ Policy","language":"en","page":"689-702","source":"Springer Link","title":"Environmental assessment coupled with machine learning for circular economy","volume":"25","author":[{"family":"Prioux","given":"N."},{"family":"Ouaret","given":"R."},{"family":"Hetreux","given":"G."},{"family":"Belaud","given":"J.-P."}],"issued":{"date-parts":[["2023",3,1]]}}}],"schema":"https://github.com/citation-style-language/schema/raw/master/csl-citation.json"} </w:instrText>
      </w:r>
      <w:r w:rsidR="00D969FD">
        <w:fldChar w:fldCharType="separate"/>
      </w:r>
      <w:r w:rsidR="00D969FD" w:rsidRPr="00D969FD">
        <w:rPr>
          <w:rFonts w:cs="Arial"/>
        </w:rPr>
        <w:t>(Prioux et al., 2023)</w:t>
      </w:r>
      <w:r w:rsidR="00D969FD">
        <w:fldChar w:fldCharType="end"/>
      </w:r>
      <w:r w:rsidR="00D969FD">
        <w:t xml:space="preserve"> </w:t>
      </w:r>
      <w:r w:rsidR="00000C21">
        <w:t>and</w:t>
      </w:r>
      <w:r w:rsidR="00D969FD">
        <w:t xml:space="preserve"> </w:t>
      </w:r>
      <w:r w:rsidR="00D969FD">
        <w:fldChar w:fldCharType="begin"/>
      </w:r>
      <w:r w:rsidR="00E41E11">
        <w:instrText xml:space="preserve"> ADDIN ZOTERO_ITEM CSL_CITATION {"citationID":"H6TMo000","properties":{"formattedCitation":"(Munch et al., 2022b)","plainCitation":"(Munch et al., 2022b)","noteIndex":0},"citationItems":[{"id":1491,"uris":["http://zotero.org/users/9008260/items/PG8ENA8T"],"itemData":{"id":1491,"type":"article-journal","abstract":"This paper presents a workflow for the design of transformation processes using different kinds of expert’s knowledge. It introduces POND (Process and observation ONtology Discovery), a workflow dedicated to answer expert’s questions about processes. It addresses two main issues: (1) how to represent the processes inner complexity, and (2) how to reason about processes taking into account uncertainty and causality. First, we show how to use a semantic model, an ontology, and its associated data to answer some of the expert’s questions concerning the processes, using semantic web languages and technologies. Then, we describe how to learn a predictive model, to discover new knowledge and provide explicative models by integrating the semantic model into a probabilistic relational model. The result is a complete workflow able to extensively analyze transformation processes through all their granularity levels and answer expert’s questions about their domains. An example of this workflow is given on biocomposites manufacturing for food packaging.","container-title":"Expert Systems with Applications","DOI":"10.1016/j.eswa.2022.117406","ISSN":"0957-4174","journalAbbreviation":"Expert Systems with Applications","page":"117406","source":"ScienceDirect","title":"Combining ontology and probabilistic models for the design of bio-based product transformation processes","volume":"203","author":[{"family":"Munch","given":"Mélanie"},{"family":"Buche","given":"Patrice"},{"family":"Dervaux","given":"Stéphane"},{"family":"Dibie","given":"Juliette"},{"family":"Ibanescu","given":"Liliana"},{"family":"Manfredotti","given":"Cristina"},{"family":"Wuillemin","given":"Pierre-Henri"},{"family":"Angellier-Coussy","given":"Hélène"}],"issued":{"date-parts":[["2022",10,1]]}}}],"schema":"https://github.com/citation-style-language/schema/raw/master/csl-citation.json"} </w:instrText>
      </w:r>
      <w:r w:rsidR="00D969FD">
        <w:fldChar w:fldCharType="separate"/>
      </w:r>
      <w:r w:rsidR="00E41E11" w:rsidRPr="00E41E11">
        <w:rPr>
          <w:rFonts w:cs="Arial"/>
        </w:rPr>
        <w:t>(Munch et al., 2022b)</w:t>
      </w:r>
      <w:r w:rsidR="00D969FD">
        <w:fldChar w:fldCharType="end"/>
      </w:r>
      <w:r w:rsidR="00000C21">
        <w:t xml:space="preserve">. </w:t>
      </w:r>
    </w:p>
    <w:p w14:paraId="012FE003" w14:textId="76CEBCE9" w:rsidR="00AF58EB" w:rsidRDefault="00AF58EB" w:rsidP="008C5E90">
      <w:pPr>
        <w:tabs>
          <w:tab w:val="clear" w:pos="7100"/>
        </w:tabs>
        <w:spacing w:before="240" w:after="240" w:line="240" w:lineRule="auto"/>
      </w:pPr>
      <w:r>
        <w:t xml:space="preserve">The following section illustrates </w:t>
      </w:r>
      <w:r w:rsidR="00E7388F">
        <w:t>PowderLib</w:t>
      </w:r>
      <w:r w:rsidR="001B333B">
        <w:t>, the integrative digit</w:t>
      </w:r>
      <w:r>
        <w:t xml:space="preserve">al platform </w:t>
      </w:r>
      <w:r w:rsidR="00886825">
        <w:t>that results from</w:t>
      </w:r>
      <w:r>
        <w:t xml:space="preserve"> the ICAM project. Section 3 illustrates </w:t>
      </w:r>
      <w:r w:rsidR="00886825">
        <w:t>one use case</w:t>
      </w:r>
      <w:r>
        <w:t xml:space="preserve"> of the platform and section 4 concludes the paper. </w:t>
      </w:r>
    </w:p>
    <w:p w14:paraId="09F226D4" w14:textId="14643BF3" w:rsidR="00072C41" w:rsidRDefault="00886D87" w:rsidP="00072C41">
      <w:pPr>
        <w:pStyle w:val="CETHeading1"/>
      </w:pPr>
      <w:r>
        <w:t>Integrative digital platform</w:t>
      </w:r>
    </w:p>
    <w:p w14:paraId="1C4168D4" w14:textId="4A6C5592" w:rsidR="003C7B5A" w:rsidRPr="00212B42" w:rsidRDefault="009B160E" w:rsidP="0045126B">
      <w:pPr>
        <w:pStyle w:val="CETBodytext"/>
        <w:spacing w:before="240" w:after="240"/>
      </w:pPr>
      <w:r>
        <w:t xml:space="preserve">The ICAM project </w:t>
      </w:r>
      <w:r w:rsidR="00185F72">
        <w:t>has developed an</w:t>
      </w:r>
      <w:r w:rsidRPr="00212B42">
        <w:t xml:space="preserve"> integrative digital platform within an Open Science approach, aimed at various types of stakeholders who wish to access experimental data, find answers to </w:t>
      </w:r>
      <w:r>
        <w:t>scientific questions</w:t>
      </w:r>
      <w:r w:rsidRPr="00212B42">
        <w:t xml:space="preserve"> and obtain </w:t>
      </w:r>
      <w:r>
        <w:t>technical</w:t>
      </w:r>
      <w:r w:rsidRPr="00212B42">
        <w:t xml:space="preserve"> recommendat</w:t>
      </w:r>
      <w:r>
        <w:t>ions for the implementation of sustainable biorefineries</w:t>
      </w:r>
      <w:r w:rsidRPr="00212B42">
        <w:t>.</w:t>
      </w:r>
      <w:r>
        <w:t xml:space="preserve"> </w:t>
      </w:r>
      <w:r w:rsidR="00185F72">
        <w:t>It</w:t>
      </w:r>
      <w:r>
        <w:t xml:space="preserve"> facilitate</w:t>
      </w:r>
      <w:r w:rsidR="00185F72">
        <w:t>s</w:t>
      </w:r>
      <w:r>
        <w:t xml:space="preserve"> knowledge and innovation transfer and diffusion.</w:t>
      </w:r>
      <w:r w:rsidR="00B4530B">
        <w:t xml:space="preserve"> </w:t>
      </w:r>
      <w:r w:rsidR="00185F72">
        <w:t>The platform is regularly</w:t>
      </w:r>
      <w:r w:rsidR="00B4530B">
        <w:t xml:space="preserve"> updated to incorporate new knowledge</w:t>
      </w:r>
      <w:r w:rsidR="00185F72">
        <w:t>.</w:t>
      </w:r>
      <w:r w:rsidR="003647B7">
        <w:t xml:space="preserve"> </w:t>
      </w:r>
      <w:r w:rsidR="00185F72">
        <w:t xml:space="preserve">It </w:t>
      </w:r>
      <w:r w:rsidR="00720F94">
        <w:t>advise</w:t>
      </w:r>
      <w:r w:rsidR="00185F72">
        <w:t>s</w:t>
      </w:r>
      <w:r w:rsidR="003647B7">
        <w:t xml:space="preserve"> industries through innovative technology-related decision-making</w:t>
      </w:r>
      <w:r w:rsidR="00720F94">
        <w:t xml:space="preserve"> methods</w:t>
      </w:r>
      <w:r w:rsidR="00B4530B">
        <w:t>.</w:t>
      </w:r>
      <w:r w:rsidR="00185F72">
        <w:t xml:space="preserve"> Powderlib is </w:t>
      </w:r>
      <w:r w:rsidR="00522251">
        <w:t xml:space="preserve">an instantiation of </w:t>
      </w:r>
      <w:r w:rsidR="00185F72">
        <w:t>ICAM’s</w:t>
      </w:r>
      <w:r w:rsidR="00522251">
        <w:t xml:space="preserve"> platform </w:t>
      </w:r>
      <w:r w:rsidR="00185F72">
        <w:t>that is specialized</w:t>
      </w:r>
      <w:r w:rsidR="00522251">
        <w:t xml:space="preserve"> </w:t>
      </w:r>
      <w:r w:rsidR="00185F72">
        <w:t>in</w:t>
      </w:r>
      <w:r w:rsidR="00522251">
        <w:t xml:space="preserve"> the production and valorization of p</w:t>
      </w:r>
      <w:r w:rsidR="00476457">
        <w:t>l</w:t>
      </w:r>
      <w:r w:rsidR="00522251">
        <w:t xml:space="preserve">ant-based vegetal powders. </w:t>
      </w:r>
      <w:r w:rsidR="00185F72">
        <w:t>Its</w:t>
      </w:r>
      <w:r w:rsidR="000E18BC">
        <w:t xml:space="preserve"> interoperable modules </w:t>
      </w:r>
      <w:r w:rsidR="008B5DEE">
        <w:t>simplify</w:t>
      </w:r>
      <w:r w:rsidR="003C7B5A">
        <w:t xml:space="preserve"> the </w:t>
      </w:r>
      <w:r w:rsidR="001F45C5" w:rsidRPr="00212B42">
        <w:t xml:space="preserve">organization of academic knowledge, </w:t>
      </w:r>
      <w:r w:rsidR="003C7B5A">
        <w:t xml:space="preserve">the </w:t>
      </w:r>
      <w:r w:rsidR="001F45C5" w:rsidRPr="00212B42">
        <w:t>struct</w:t>
      </w:r>
      <w:r w:rsidR="003C7B5A">
        <w:t xml:space="preserve">uring of operational expertise </w:t>
      </w:r>
      <w:r w:rsidR="001F45C5" w:rsidRPr="00212B42">
        <w:t xml:space="preserve">and </w:t>
      </w:r>
      <w:r w:rsidR="003C7B5A">
        <w:t xml:space="preserve">grant </w:t>
      </w:r>
      <w:r w:rsidR="001F45C5" w:rsidRPr="00212B42">
        <w:t>a</w:t>
      </w:r>
      <w:r w:rsidR="003C7B5A">
        <w:t xml:space="preserve">ccess to FAIR experimental data. </w:t>
      </w:r>
      <w:r w:rsidR="00185F72">
        <w:t>It will also</w:t>
      </w:r>
      <w:r w:rsidR="003C7B5A">
        <w:t xml:space="preserve"> provide</w:t>
      </w:r>
      <w:r w:rsidR="001F45C5" w:rsidRPr="00212B42">
        <w:t xml:space="preserve"> sustainability analyses that take into account </w:t>
      </w:r>
      <w:r w:rsidR="00E72737">
        <w:t xml:space="preserve">multi-dimensional </w:t>
      </w:r>
      <w:r w:rsidR="001F45C5" w:rsidRPr="00212B42">
        <w:t>environmental an</w:t>
      </w:r>
      <w:r w:rsidR="003C7B5A">
        <w:t xml:space="preserve">d potentially economic factors </w:t>
      </w:r>
      <w:r w:rsidR="00E72737">
        <w:t>in order to</w:t>
      </w:r>
      <w:r w:rsidR="003C7B5A">
        <w:t xml:space="preserve"> </w:t>
      </w:r>
      <w:r w:rsidR="00E72737">
        <w:t>aid</w:t>
      </w:r>
      <w:r w:rsidR="008B5DEE">
        <w:t xml:space="preserve"> and support</w:t>
      </w:r>
      <w:r w:rsidR="003C7B5A">
        <w:t xml:space="preserve"> users of the platform in their choice of vegetable powders and </w:t>
      </w:r>
      <w:r w:rsidR="00F11B0F">
        <w:t>transformation</w:t>
      </w:r>
      <w:r w:rsidR="003C7B5A">
        <w:t xml:space="preserve"> </w:t>
      </w:r>
      <w:r w:rsidR="008B5DEE">
        <w:t>technologies and itineraries</w:t>
      </w:r>
      <w:r w:rsidR="003C7B5A">
        <w:t xml:space="preserve">. </w:t>
      </w:r>
    </w:p>
    <w:p w14:paraId="71887684" w14:textId="234E882B" w:rsidR="001F45C5" w:rsidRPr="00212B42" w:rsidRDefault="001F45C5" w:rsidP="0045126B">
      <w:pPr>
        <w:tabs>
          <w:tab w:val="clear" w:pos="7100"/>
        </w:tabs>
        <w:spacing w:before="240" w:line="240" w:lineRule="auto"/>
        <w:jc w:val="left"/>
      </w:pPr>
      <w:r w:rsidRPr="00212B42">
        <w:t xml:space="preserve">The targeted users </w:t>
      </w:r>
      <w:r w:rsidR="0045126B">
        <w:t xml:space="preserve">of the platform </w:t>
      </w:r>
      <w:r w:rsidRPr="00212B42">
        <w:t>are:</w:t>
      </w:r>
    </w:p>
    <w:p w14:paraId="1B37978C" w14:textId="3FE014B4" w:rsidR="001F45C5" w:rsidRPr="00212B42" w:rsidRDefault="001F45C5" w:rsidP="009910F6">
      <w:pPr>
        <w:numPr>
          <w:ilvl w:val="0"/>
          <w:numId w:val="31"/>
        </w:numPr>
        <w:tabs>
          <w:tab w:val="clear" w:pos="7100"/>
        </w:tabs>
        <w:spacing w:line="240" w:lineRule="auto"/>
        <w:jc w:val="left"/>
      </w:pPr>
      <w:r w:rsidRPr="00212B42">
        <w:t xml:space="preserve">R&amp;D engineers from bioeconomy companies, who will eventually have access to a </w:t>
      </w:r>
      <w:r w:rsidR="002A6B4F">
        <w:t xml:space="preserve">decision </w:t>
      </w:r>
      <w:r w:rsidRPr="00212B42">
        <w:t>support system for explanation and technological reasoning, integrating sustainability indicators.</w:t>
      </w:r>
    </w:p>
    <w:p w14:paraId="3EBD976C" w14:textId="77777777" w:rsidR="001F45C5" w:rsidRPr="00212B42" w:rsidRDefault="001F45C5" w:rsidP="009910F6">
      <w:pPr>
        <w:numPr>
          <w:ilvl w:val="0"/>
          <w:numId w:val="31"/>
        </w:numPr>
        <w:tabs>
          <w:tab w:val="clear" w:pos="7100"/>
        </w:tabs>
        <w:spacing w:line="240" w:lineRule="auto"/>
        <w:jc w:val="left"/>
      </w:pPr>
      <w:r w:rsidRPr="00212B42">
        <w:t>Data scientists interested in biorefinery applications within an Open Science framework, who will have access to a structured database for data mining and knowledge discovery.</w:t>
      </w:r>
    </w:p>
    <w:p w14:paraId="395233FE" w14:textId="78FBB5EC" w:rsidR="001F45C5" w:rsidRDefault="001F45C5" w:rsidP="009910F6">
      <w:pPr>
        <w:numPr>
          <w:ilvl w:val="0"/>
          <w:numId w:val="31"/>
        </w:numPr>
        <w:tabs>
          <w:tab w:val="clear" w:pos="7100"/>
        </w:tabs>
        <w:spacing w:line="240" w:lineRule="auto"/>
        <w:jc w:val="left"/>
      </w:pPr>
      <w:r w:rsidRPr="00212B42">
        <w:t>Students specializing in bioeconomy and educators, who will benefit from a knowledge and expertise transfer tool</w:t>
      </w:r>
      <w:r w:rsidR="0045126B">
        <w:t>.</w:t>
      </w:r>
    </w:p>
    <w:p w14:paraId="08147517" w14:textId="3F047EE6" w:rsidR="00E54534" w:rsidRPr="00E54534" w:rsidRDefault="00BA7721" w:rsidP="00BA7721">
      <w:pPr>
        <w:tabs>
          <w:tab w:val="clear" w:pos="7100"/>
        </w:tabs>
        <w:spacing w:before="240" w:after="240" w:line="240" w:lineRule="auto"/>
      </w:pPr>
      <w:r>
        <w:t>ICAM’s integrated digital platform relies on a common ontological resource, PO2/TransformON to make its modules interoperable. The ontology enables annotating and structuring</w:t>
      </w:r>
      <w:r w:rsidR="000148ED">
        <w:t xml:space="preserve"> knowledge with a </w:t>
      </w:r>
      <w:r w:rsidR="000148ED" w:rsidRPr="00B0763A">
        <w:t>single reference framework</w:t>
      </w:r>
      <w:r w:rsidR="000148ED">
        <w:t xml:space="preserve"> across </w:t>
      </w:r>
      <w:r>
        <w:t>its four modules or software components shown in Figure 1</w:t>
      </w:r>
      <w:r w:rsidR="000148ED">
        <w:t xml:space="preserve">: </w:t>
      </w:r>
      <w:r>
        <w:t>CAPEX, Makebook</w:t>
      </w:r>
      <w:r w:rsidR="000148ED">
        <w:t xml:space="preserve">, </w:t>
      </w:r>
      <w:r w:rsidR="000148ED" w:rsidRPr="00B0763A">
        <w:t>PO2</w:t>
      </w:r>
      <w:r w:rsidR="003A51DA">
        <w:t xml:space="preserve"> </w:t>
      </w:r>
      <w:r w:rsidR="000148ED" w:rsidRPr="00B0763A">
        <w:t>Manager</w:t>
      </w:r>
      <w:r>
        <w:t xml:space="preserve"> </w:t>
      </w:r>
      <w:r w:rsidR="000148ED">
        <w:t xml:space="preserve">and </w:t>
      </w:r>
      <w:r w:rsidR="000148ED" w:rsidRPr="00B0763A">
        <w:t>AdCVcalc&amp;visu</w:t>
      </w:r>
      <w:r w:rsidR="000148ED">
        <w:t>.</w:t>
      </w:r>
    </w:p>
    <w:p w14:paraId="0E82415D" w14:textId="17A381D7" w:rsidR="00091CB9" w:rsidRDefault="00E54534" w:rsidP="003A51DA">
      <w:pPr>
        <w:pStyle w:val="CETBodytext"/>
        <w:keepNext/>
        <w:spacing w:before="240" w:after="240"/>
      </w:pPr>
      <w:r>
        <w:rPr>
          <w:noProof/>
          <w:lang w:val="en-GB" w:eastAsia="en-GB"/>
        </w:rPr>
        <w:lastRenderedPageBreak/>
        <w:drawing>
          <wp:inline distT="0" distB="0" distL="0" distR="0" wp14:anchorId="76B8D8C3" wp14:editId="2F468ED4">
            <wp:extent cx="5579745" cy="1603375"/>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grative digital platform - v4.png"/>
                    <pic:cNvPicPr/>
                  </pic:nvPicPr>
                  <pic:blipFill>
                    <a:blip r:embed="rId11">
                      <a:extLst>
                        <a:ext uri="{28A0092B-C50C-407E-A947-70E740481C1C}">
                          <a14:useLocalDpi xmlns:a14="http://schemas.microsoft.com/office/drawing/2010/main" val="0"/>
                        </a:ext>
                      </a:extLst>
                    </a:blip>
                    <a:stretch>
                      <a:fillRect/>
                    </a:stretch>
                  </pic:blipFill>
                  <pic:spPr>
                    <a:xfrm>
                      <a:off x="0" y="0"/>
                      <a:ext cx="5579745" cy="1603375"/>
                    </a:xfrm>
                    <a:prstGeom prst="rect">
                      <a:avLst/>
                    </a:prstGeom>
                  </pic:spPr>
                </pic:pic>
              </a:graphicData>
            </a:graphic>
          </wp:inline>
        </w:drawing>
      </w:r>
    </w:p>
    <w:p w14:paraId="403201A0" w14:textId="5C805B20" w:rsidR="000717E8" w:rsidRPr="00804612" w:rsidRDefault="00091CB9" w:rsidP="00804612">
      <w:pPr>
        <w:pStyle w:val="Lgende"/>
        <w:jc w:val="left"/>
        <w:rPr>
          <w:b w:val="0"/>
          <w:bCs w:val="0"/>
          <w:i/>
          <w:color w:val="auto"/>
          <w:szCs w:val="20"/>
        </w:rPr>
      </w:pPr>
      <w:r w:rsidRPr="00091CB9">
        <w:rPr>
          <w:rStyle w:val="CETCaptionCarattere"/>
          <w:b w:val="0"/>
          <w:bCs w:val="0"/>
          <w:color w:val="auto"/>
        </w:rPr>
        <w:t xml:space="preserve">Figure </w:t>
      </w:r>
      <w:r w:rsidRPr="00091CB9">
        <w:rPr>
          <w:rStyle w:val="CETCaptionCarattere"/>
          <w:b w:val="0"/>
          <w:bCs w:val="0"/>
          <w:color w:val="auto"/>
        </w:rPr>
        <w:fldChar w:fldCharType="begin"/>
      </w:r>
      <w:r w:rsidRPr="00091CB9">
        <w:rPr>
          <w:rStyle w:val="CETCaptionCarattere"/>
          <w:b w:val="0"/>
          <w:bCs w:val="0"/>
          <w:color w:val="auto"/>
        </w:rPr>
        <w:instrText xml:space="preserve"> SEQ Figure \* ARABIC </w:instrText>
      </w:r>
      <w:r w:rsidRPr="00091CB9">
        <w:rPr>
          <w:rStyle w:val="CETCaptionCarattere"/>
          <w:b w:val="0"/>
          <w:bCs w:val="0"/>
          <w:color w:val="auto"/>
        </w:rPr>
        <w:fldChar w:fldCharType="separate"/>
      </w:r>
      <w:r w:rsidR="001A4933">
        <w:rPr>
          <w:rStyle w:val="CETCaptionCarattere"/>
          <w:b w:val="0"/>
          <w:bCs w:val="0"/>
          <w:noProof/>
          <w:color w:val="auto"/>
        </w:rPr>
        <w:t>1</w:t>
      </w:r>
      <w:r w:rsidRPr="00091CB9">
        <w:rPr>
          <w:rStyle w:val="CETCaptionCarattere"/>
          <w:b w:val="0"/>
          <w:bCs w:val="0"/>
          <w:color w:val="auto"/>
        </w:rPr>
        <w:fldChar w:fldCharType="end"/>
      </w:r>
      <w:r w:rsidRPr="00091CB9">
        <w:rPr>
          <w:rStyle w:val="CETCaptionCarattere"/>
          <w:b w:val="0"/>
          <w:bCs w:val="0"/>
          <w:color w:val="auto"/>
        </w:rPr>
        <w:t xml:space="preserve">: Digital components of </w:t>
      </w:r>
      <w:r w:rsidR="00E7388F">
        <w:rPr>
          <w:rStyle w:val="CETCaptionCarattere"/>
          <w:b w:val="0"/>
          <w:bCs w:val="0"/>
          <w:color w:val="auto"/>
        </w:rPr>
        <w:t>PowderLib</w:t>
      </w:r>
      <w:r w:rsidRPr="00091CB9">
        <w:rPr>
          <w:rStyle w:val="CETCaptionCarattere"/>
          <w:b w:val="0"/>
          <w:bCs w:val="0"/>
          <w:color w:val="auto"/>
        </w:rPr>
        <w:t>, an instantiation of ICAM</w:t>
      </w:r>
      <w:r w:rsidR="00407F9A">
        <w:rPr>
          <w:rStyle w:val="CETCaptionCarattere"/>
          <w:b w:val="0"/>
          <w:bCs w:val="0"/>
          <w:color w:val="auto"/>
        </w:rPr>
        <w:t>’</w:t>
      </w:r>
      <w:r w:rsidRPr="00091CB9">
        <w:rPr>
          <w:rStyle w:val="CETCaptionCarattere"/>
          <w:b w:val="0"/>
          <w:bCs w:val="0"/>
          <w:color w:val="auto"/>
        </w:rPr>
        <w:t xml:space="preserve"> integrated </w:t>
      </w:r>
      <w:r w:rsidR="00407F9A">
        <w:rPr>
          <w:rStyle w:val="CETCaptionCarattere"/>
          <w:b w:val="0"/>
          <w:bCs w:val="0"/>
          <w:color w:val="auto"/>
        </w:rPr>
        <w:t xml:space="preserve">digital </w:t>
      </w:r>
      <w:r w:rsidRPr="00091CB9">
        <w:rPr>
          <w:rStyle w:val="CETCaptionCarattere"/>
          <w:b w:val="0"/>
          <w:bCs w:val="0"/>
          <w:color w:val="auto"/>
        </w:rPr>
        <w:t>platform</w:t>
      </w:r>
    </w:p>
    <w:p w14:paraId="7E8D5C95" w14:textId="1CE94567" w:rsidR="004429CE" w:rsidRPr="000717E8" w:rsidRDefault="00CF487B" w:rsidP="00804612">
      <w:pPr>
        <w:tabs>
          <w:tab w:val="clear" w:pos="7100"/>
        </w:tabs>
        <w:spacing w:before="100" w:beforeAutospacing="1" w:after="100" w:afterAutospacing="1" w:line="240" w:lineRule="auto"/>
      </w:pPr>
      <w:r>
        <w:t>PowderLib</w:t>
      </w:r>
      <w:r w:rsidR="000717E8" w:rsidRPr="000717E8">
        <w:t xml:space="preserve"> </w:t>
      </w:r>
      <w:r w:rsidR="007E32B3" w:rsidRPr="007E32B3">
        <w:t>encompasses</w:t>
      </w:r>
      <w:r w:rsidR="000717E8" w:rsidRPr="000717E8">
        <w:t xml:space="preserve"> two </w:t>
      </w:r>
      <w:r w:rsidR="000717E8" w:rsidRPr="007E32B3">
        <w:t>knowledge compartments</w:t>
      </w:r>
      <w:r w:rsidR="000717E8" w:rsidRPr="000717E8">
        <w:t xml:space="preserve"> (generic and specific) for each module</w:t>
      </w:r>
      <w:r w:rsidR="007E32B3">
        <w:t xml:space="preserve"> shown in Figure 1</w:t>
      </w:r>
      <w:r w:rsidR="000717E8" w:rsidRPr="000717E8">
        <w:t xml:space="preserve">. The </w:t>
      </w:r>
      <w:r w:rsidR="000717E8" w:rsidRPr="007E32B3">
        <w:t>generic knowledge</w:t>
      </w:r>
      <w:r w:rsidR="000717E8" w:rsidRPr="000717E8">
        <w:t xml:space="preserve"> </w:t>
      </w:r>
      <w:r w:rsidR="00F36F94">
        <w:t xml:space="preserve">compartment </w:t>
      </w:r>
      <w:r w:rsidR="000717E8" w:rsidRPr="000717E8">
        <w:t xml:space="preserve">of each module </w:t>
      </w:r>
      <w:r>
        <w:t>facilitates</w:t>
      </w:r>
      <w:r w:rsidR="000717E8" w:rsidRPr="000717E8">
        <w:t xml:space="preserve"> the creation of </w:t>
      </w:r>
      <w:r w:rsidR="00E026F4">
        <w:t>user</w:t>
      </w:r>
      <w:r w:rsidR="000717E8" w:rsidRPr="007E32B3">
        <w:t>-specific knowledge</w:t>
      </w:r>
      <w:r w:rsidR="00EA6E1D">
        <w:t xml:space="preserve"> that is contained in specific knowledge compartments </w:t>
      </w:r>
      <w:r w:rsidR="00E026F4">
        <w:t>for each user</w:t>
      </w:r>
      <w:r w:rsidR="000717E8" w:rsidRPr="000717E8">
        <w:t xml:space="preserve">. The </w:t>
      </w:r>
      <w:r w:rsidR="000717E8" w:rsidRPr="002F5E98">
        <w:t xml:space="preserve">generic knowledge </w:t>
      </w:r>
      <w:r w:rsidR="002F5E98" w:rsidRPr="002F5E98">
        <w:t>compartments</w:t>
      </w:r>
      <w:r w:rsidR="000717E8" w:rsidRPr="000717E8">
        <w:t xml:space="preserve"> include an </w:t>
      </w:r>
      <w:r w:rsidR="000717E8" w:rsidRPr="002F5E98">
        <w:t>open science section</w:t>
      </w:r>
      <w:r w:rsidR="000717E8" w:rsidRPr="000717E8">
        <w:t xml:space="preserve"> (</w:t>
      </w:r>
      <w:r w:rsidR="002F5E98">
        <w:t>for which open access is granted</w:t>
      </w:r>
      <w:r w:rsidR="000717E8" w:rsidRPr="000717E8">
        <w:t xml:space="preserve"> under an accepted license) and a </w:t>
      </w:r>
      <w:r w:rsidR="000717E8" w:rsidRPr="002F5E98">
        <w:t>protected section</w:t>
      </w:r>
      <w:r w:rsidR="000717E8" w:rsidRPr="000717E8">
        <w:t xml:space="preserve">. For example, </w:t>
      </w:r>
      <w:r w:rsidR="000717E8" w:rsidRPr="002F5E98">
        <w:t>generic decision trees</w:t>
      </w:r>
      <w:r w:rsidR="000717E8" w:rsidRPr="000717E8">
        <w:t xml:space="preserve"> can be used and specialized by companies.</w:t>
      </w:r>
      <w:r w:rsidR="000B04D8">
        <w:t xml:space="preserve"> </w:t>
      </w:r>
      <w:r w:rsidR="006E494B">
        <w:t>The following paragraphs</w:t>
      </w:r>
      <w:r w:rsidR="000B04D8">
        <w:t xml:space="preserve"> detail each module’s aim, mechanism and functionalities.</w:t>
      </w:r>
    </w:p>
    <w:p w14:paraId="47AC930E" w14:textId="3B4F6896" w:rsidR="00144AA4" w:rsidRPr="00144AA4" w:rsidRDefault="004429CE" w:rsidP="00144AA4">
      <w:pPr>
        <w:pStyle w:val="CETBodytext"/>
        <w:numPr>
          <w:ilvl w:val="0"/>
          <w:numId w:val="35"/>
        </w:numPr>
        <w:rPr>
          <w:lang w:val="fr-FR"/>
        </w:rPr>
      </w:pPr>
      <w:r w:rsidRPr="00426FB6">
        <w:rPr>
          <w:u w:val="single"/>
          <w:lang w:val="fr-FR"/>
        </w:rPr>
        <w:t>PO</w:t>
      </w:r>
      <w:r w:rsidR="00426FB6" w:rsidRPr="00426FB6">
        <w:rPr>
          <w:u w:val="single"/>
          <w:lang w:val="fr-FR"/>
        </w:rPr>
        <w:t>2/TransformON Ontology</w:t>
      </w:r>
      <w:r w:rsidR="00314C0B">
        <w:rPr>
          <w:lang w:val="fr-FR"/>
        </w:rPr>
        <w:t> :</w:t>
      </w:r>
    </w:p>
    <w:p w14:paraId="3E2C9362" w14:textId="584E2F73" w:rsidR="00971AF9" w:rsidRPr="002C5C10" w:rsidRDefault="00C92438" w:rsidP="00217C71">
      <w:pPr>
        <w:tabs>
          <w:tab w:val="clear" w:pos="7100"/>
        </w:tabs>
        <w:spacing w:before="100" w:beforeAutospacing="1" w:after="100" w:afterAutospacing="1" w:line="240" w:lineRule="auto"/>
      </w:pPr>
      <w:r>
        <w:t>PO2/</w:t>
      </w:r>
      <w:r w:rsidR="002C5C10" w:rsidRPr="002C5C10">
        <w:t xml:space="preserve">TransformON </w:t>
      </w:r>
      <w:r w:rsidR="00B43146">
        <w:fldChar w:fldCharType="begin"/>
      </w:r>
      <w:r w:rsidR="00B43146">
        <w:instrText xml:space="preserve"> ADDIN ZOTERO_ITEM CSL_CITATION {"citationID":"oXABrZ5z","properties":{"formattedCitation":"(Weber et al., 2023)","plainCitation":"(Weber et al., 2023)","noteIndex":0},"citationItems":[{"id":1488,"uris":["http://zotero.org/users/9008260/items/2SKU8K8R"],"itemData":{"id":1488,"type":"article-journal","abstract":"We are witnessing an acceleration of the global drive to converge consumption and production patterns towards a more circular and sustainable approach to the food system. To address the challenge of reconnecting agriculture, environment, food and health, collections of large datasets must be exploited. However, building high-capacity data-sharing networks means unlocking the information silos that are caused by a multiplicity of local data dictionaries. To solve the data harmonization problem, we proposed an ontology on food, feed, bioproducts, and biowastes engineering for data integration in a circular bioeconomy and nexus-oriented approach. This ontology is based on a core model representing a generic process, the Process and Observation Ontology (PO2), which has been specialized to provide the vocabulary necessary to describe any biomass transformation process and to characterize the food, bioproducts, and wastes derived from these processes. Much of this vocabulary comes from transforming authoritative references such as the European food classification system (FoodEx2), the European Waste Catalogue, and other international nomenclatures into a semantic, world wide web consortium (W3C) format that provides system interoperability and software-driven intelligence. We showed the relevance of this new domain ontology PO2/TransformON through several concrete use cases in the fields of process engineering, bio-based composite making, food ecodesign, and relations with consumer’s perception and preferences. Further works will aim to align with other ontologies to create an ontology network for bridging the gap between upstream and downstream processes in the food system.","container-title":"npj Science of Food","DOI":"10.1038/s41538-023-00221-2","ISSN":"2396-8370","issue":"1","journalAbbreviation":"npj Sci Food","language":"en","license":"2023 The Author(s)","note":"publisher: Nature Publishing Group","page":"47","source":"www.nature.com","title":"PO2/TransformON, an ontology for data integration on food, feed, bioproducts and biowaste engineering","volume":"7","author":[{"family":"Weber","given":"Magalie"},{"family":"Buche","given":"Patrice"},{"family":"Ibanescu","given":"Liliana"},{"family":"Dervaux","given":"Stéphane"},{"family":"Guillemin","given":"Hervé"},{"family":"Cufi","given":"Julien"},{"family":"Visalli","given":"Michel"},{"family":"Guichard","given":"Elisabeth"},{"family":"Pénicaud","given":"Caroline"}],"issued":{"date-parts":[["2023",9,4]]}}}],"schema":"https://github.com/citation-style-language/schema/raw/master/csl-citation.json"} </w:instrText>
      </w:r>
      <w:r w:rsidR="00B43146">
        <w:fldChar w:fldCharType="separate"/>
      </w:r>
      <w:r w:rsidR="00B43146" w:rsidRPr="00B43146">
        <w:rPr>
          <w:rFonts w:cs="Arial"/>
        </w:rPr>
        <w:t>(Weber et al., 2023)</w:t>
      </w:r>
      <w:r w:rsidR="00B43146">
        <w:fldChar w:fldCharType="end"/>
      </w:r>
      <w:r w:rsidR="00B43146">
        <w:t xml:space="preserve"> </w:t>
      </w:r>
      <w:r>
        <w:t>is a domain ontology</w:t>
      </w:r>
      <w:r w:rsidR="00F624F0">
        <w:t>,</w:t>
      </w:r>
      <w:r>
        <w:t xml:space="preserve"> based on </w:t>
      </w:r>
      <w:r w:rsidRPr="00F63502">
        <w:t>the Process and Observation Ontology (PO2),</w:t>
      </w:r>
      <w:r w:rsidR="00F624F0">
        <w:t xml:space="preserve"> designed to address the data harmonization challenge in the context of food, feed, bioproducts and biowaste engineering. </w:t>
      </w:r>
      <w:r w:rsidR="00C51270">
        <w:t xml:space="preserve">PO2/TransformON </w:t>
      </w:r>
      <w:r w:rsidR="0062334B">
        <w:t>facilitates</w:t>
      </w:r>
      <w:r w:rsidR="00C51270">
        <w:t xml:space="preserve"> data integration to move towards circular sustainable bioeconomy and nexus-oriented approaches. </w:t>
      </w:r>
      <w:r w:rsidR="0075326A">
        <w:t xml:space="preserve">PO2 describes processes </w:t>
      </w:r>
      <w:r w:rsidR="0075326A" w:rsidRPr="002C5C10">
        <w:t>(step, input/output components) and observations associated with experiments</w:t>
      </w:r>
      <w:r w:rsidR="0075326A">
        <w:t xml:space="preserve"> of transformation processes. </w:t>
      </w:r>
      <w:r w:rsidR="00085A65">
        <w:t xml:space="preserve">It has been specialized to contain vocabulary that structures and assists the description of biomass transformation processes and characterization processes of food, feed, bioproducts and wastes. </w:t>
      </w:r>
      <w:r w:rsidR="002B09C4">
        <w:t xml:space="preserve">PO2/TransformON’s vocabulary is inspired from existing food </w:t>
      </w:r>
      <w:r w:rsidR="005B0BE3">
        <w:t>reference</w:t>
      </w:r>
      <w:r w:rsidR="002B09C4">
        <w:t xml:space="preserve"> catalogues such as </w:t>
      </w:r>
      <w:r w:rsidR="00F63502" w:rsidRPr="00F63502">
        <w:t>the European food c</w:t>
      </w:r>
      <w:r w:rsidR="002B09C4">
        <w:t xml:space="preserve">lassification system (FoodEx2) or </w:t>
      </w:r>
      <w:r w:rsidR="00F63502" w:rsidRPr="00F63502">
        <w:t>th</w:t>
      </w:r>
      <w:r w:rsidR="002B09C4">
        <w:t xml:space="preserve">e European Waste Catalogue. These have been used together with other international nomenclatures to define PO2/TransformON’s vocabulary and </w:t>
      </w:r>
      <w:r w:rsidR="005B0BE3">
        <w:t xml:space="preserve">semantics in a </w:t>
      </w:r>
      <w:r w:rsidR="002B09C4" w:rsidRPr="00F63502">
        <w:t>World Wide Web</w:t>
      </w:r>
      <w:r w:rsidR="00F63502" w:rsidRPr="00F63502">
        <w:t xml:space="preserve"> consortium (W3C) format that provides system interoperability and software-driven intelligence.</w:t>
      </w:r>
    </w:p>
    <w:p w14:paraId="65A8C2DA" w14:textId="62FCFEEC" w:rsidR="003E2CAC" w:rsidRDefault="008D0E75" w:rsidP="003E2CAC">
      <w:pPr>
        <w:pStyle w:val="CETBodytext"/>
        <w:numPr>
          <w:ilvl w:val="0"/>
          <w:numId w:val="33"/>
        </w:numPr>
        <w:spacing w:before="240" w:after="240"/>
        <w:rPr>
          <w:u w:val="single"/>
          <w:lang w:val="fr-FR"/>
        </w:rPr>
      </w:pPr>
      <w:r w:rsidRPr="008D0E75">
        <w:rPr>
          <w:u w:val="single"/>
          <w:lang w:val="fr-FR"/>
        </w:rPr>
        <w:t>Makebook</w:t>
      </w:r>
      <w:r w:rsidRPr="00585A93">
        <w:rPr>
          <w:lang w:val="fr-FR"/>
        </w:rPr>
        <w:t> :</w:t>
      </w:r>
      <w:r w:rsidRPr="00BE60AE">
        <w:rPr>
          <w:u w:val="single"/>
          <w:lang w:val="fr-FR"/>
        </w:rPr>
        <w:t xml:space="preserve"> </w:t>
      </w:r>
    </w:p>
    <w:p w14:paraId="5836551D" w14:textId="4DA3C45F" w:rsidR="001559BB" w:rsidRPr="00FE186E" w:rsidRDefault="001D1634" w:rsidP="001D1634">
      <w:pPr>
        <w:pStyle w:val="CETBodytext"/>
        <w:spacing w:before="240" w:after="240"/>
        <w:rPr>
          <w:lang w:val="en-GB"/>
        </w:rPr>
      </w:pPr>
      <w:r w:rsidRPr="001D1634">
        <w:rPr>
          <w:lang w:val="en-GB"/>
        </w:rPr>
        <w:t xml:space="preserve">The </w:t>
      </w:r>
      <w:r w:rsidR="003E2CAC" w:rsidRPr="001D1634">
        <w:rPr>
          <w:lang w:val="en-GB"/>
        </w:rPr>
        <w:t>Makebook</w:t>
      </w:r>
      <w:r w:rsidRPr="001D1634">
        <w:rPr>
          <w:lang w:val="en-GB"/>
        </w:rPr>
        <w:t xml:space="preserve"> module is </w:t>
      </w:r>
      <w:r w:rsidR="001559BB" w:rsidRPr="00D04E52">
        <w:t xml:space="preserve">a software tool </w:t>
      </w:r>
      <w:r w:rsidR="0062334B">
        <w:t>that</w:t>
      </w:r>
      <w:r>
        <w:t xml:space="preserve"> store</w:t>
      </w:r>
      <w:r w:rsidR="0062334B">
        <w:t>s</w:t>
      </w:r>
      <w:r w:rsidR="001559BB" w:rsidRPr="00D04E52">
        <w:t xml:space="preserve"> </w:t>
      </w:r>
      <w:r w:rsidR="001559BB" w:rsidRPr="00D04E52">
        <w:rPr>
          <w:bCs/>
        </w:rPr>
        <w:t>electronic knowledge books</w:t>
      </w:r>
      <w:r w:rsidR="001559BB" w:rsidRPr="00D04E52">
        <w:t>,</w:t>
      </w:r>
      <w:r w:rsidR="00A141C6">
        <w:t xml:space="preserve"> which are</w:t>
      </w:r>
      <w:r w:rsidR="001559BB" w:rsidRPr="00D04E52">
        <w:t xml:space="preserve"> structured </w:t>
      </w:r>
      <w:r w:rsidR="001559BB" w:rsidRPr="00D04E52">
        <w:rPr>
          <w:bCs/>
        </w:rPr>
        <w:t>hypertext networks with semantic capabilities</w:t>
      </w:r>
      <w:r w:rsidR="00FE186E">
        <w:rPr>
          <w:bCs/>
        </w:rPr>
        <w:t xml:space="preserve"> that connect digital documents among them and facilitate navigation, knowledge representation and retrieval</w:t>
      </w:r>
      <w:r w:rsidR="001559BB" w:rsidRPr="00D04E52">
        <w:t xml:space="preserve">. </w:t>
      </w:r>
      <w:r w:rsidR="00FE186E">
        <w:t>These books enable users</w:t>
      </w:r>
      <w:r w:rsidR="001559BB" w:rsidRPr="00D04E52">
        <w:t xml:space="preserve"> to organize knowledge in a given domain using </w:t>
      </w:r>
      <w:r w:rsidR="001559BB" w:rsidRPr="00D04E52">
        <w:rPr>
          <w:bCs/>
        </w:rPr>
        <w:t>concept maps (cmaps), process graphs, influence graphs, downloadable documents, web pages, and hypermedia knowledge sheets</w:t>
      </w:r>
      <w:r w:rsidR="00FE186E">
        <w:t xml:space="preserve">. </w:t>
      </w:r>
    </w:p>
    <w:p w14:paraId="068F0773" w14:textId="42F1BCC4" w:rsidR="005012E8" w:rsidRPr="001B59E8" w:rsidRDefault="00900BAF" w:rsidP="005012E8">
      <w:pPr>
        <w:pStyle w:val="CETBodytext"/>
        <w:numPr>
          <w:ilvl w:val="0"/>
          <w:numId w:val="33"/>
        </w:numPr>
        <w:spacing w:before="240" w:after="240"/>
        <w:rPr>
          <w:lang w:val="fr-FR"/>
        </w:rPr>
      </w:pPr>
      <w:r>
        <w:rPr>
          <w:u w:val="single"/>
          <w:lang w:val="fr-FR"/>
        </w:rPr>
        <w:t>CAPEX</w:t>
      </w:r>
      <w:r>
        <w:rPr>
          <w:lang w:val="fr-FR"/>
        </w:rPr>
        <w:t xml:space="preserve"> : </w:t>
      </w:r>
    </w:p>
    <w:p w14:paraId="4356F209" w14:textId="27B67A19" w:rsidR="00F40154" w:rsidRDefault="001B6838" w:rsidP="002C5C10">
      <w:pPr>
        <w:pStyle w:val="CETBodytext"/>
        <w:spacing w:before="240" w:after="240"/>
      </w:pPr>
      <w:r w:rsidRPr="00A1511D">
        <w:rPr>
          <w:lang w:val="en-GB"/>
        </w:rPr>
        <w:t>The CAPEX</w:t>
      </w:r>
      <w:r w:rsidR="00A1511D" w:rsidRPr="00A1511D">
        <w:rPr>
          <w:lang w:val="en-GB"/>
        </w:rPr>
        <w:t xml:space="preserve"> reasoning engine module is integrated in</w:t>
      </w:r>
      <w:r w:rsidR="000F0DEE">
        <w:rPr>
          <w:lang w:val="en-GB"/>
        </w:rPr>
        <w:t>to</w:t>
      </w:r>
      <w:r w:rsidR="00A1511D" w:rsidRPr="00A1511D">
        <w:rPr>
          <w:lang w:val="en-GB"/>
        </w:rPr>
        <w:t xml:space="preserve"> </w:t>
      </w:r>
      <w:r w:rsidR="00A1511D">
        <w:rPr>
          <w:lang w:val="en-GB"/>
        </w:rPr>
        <w:t xml:space="preserve">ICAM’s digital platform with the aim of providing technical recommendations for situations of interest (default or desired situations). </w:t>
      </w:r>
      <w:r w:rsidR="002A2CA1">
        <w:rPr>
          <w:lang w:val="en-GB"/>
        </w:rPr>
        <w:t>This</w:t>
      </w:r>
      <w:r w:rsidR="009C0EF6">
        <w:rPr>
          <w:lang w:val="en-GB"/>
        </w:rPr>
        <w:t xml:space="preserve"> module implements a </w:t>
      </w:r>
      <w:r w:rsidR="00BF0C1F">
        <w:rPr>
          <w:lang w:val="en-GB"/>
        </w:rPr>
        <w:t>four-step</w:t>
      </w:r>
      <w:r w:rsidR="009C0EF6">
        <w:rPr>
          <w:lang w:val="en-GB"/>
        </w:rPr>
        <w:t xml:space="preserve"> iterative methodology. </w:t>
      </w:r>
      <w:r w:rsidR="002F368B" w:rsidRPr="009754EF">
        <w:rPr>
          <w:lang w:val="en-GB"/>
        </w:rPr>
        <w:t xml:space="preserve">The first step lists </w:t>
      </w:r>
      <w:r w:rsidR="00C306A8" w:rsidRPr="00B61DD7">
        <w:rPr>
          <w:lang w:val="en-GB"/>
        </w:rPr>
        <w:t xml:space="preserve">default/desired qualities </w:t>
      </w:r>
      <w:r w:rsidR="002F368B" w:rsidRPr="009754EF">
        <w:rPr>
          <w:lang w:val="en-GB"/>
        </w:rPr>
        <w:t xml:space="preserve">of vegetable powders and draws mind maps that identify potential causes and links between situations of interest </w:t>
      </w:r>
      <w:r w:rsidR="0057603D" w:rsidRPr="009754EF">
        <w:rPr>
          <w:lang w:val="en-GB"/>
        </w:rPr>
        <w:t>associated</w:t>
      </w:r>
      <w:r w:rsidR="002F368B" w:rsidRPr="009754EF">
        <w:rPr>
          <w:lang w:val="en-GB"/>
        </w:rPr>
        <w:t xml:space="preserve"> to the functional specifications.</w:t>
      </w:r>
      <w:r w:rsidR="002F368B">
        <w:rPr>
          <w:lang w:val="en-GB"/>
        </w:rPr>
        <w:t xml:space="preserve"> </w:t>
      </w:r>
      <w:r w:rsidR="0057603D">
        <w:rPr>
          <w:lang w:val="en-GB"/>
        </w:rPr>
        <w:t xml:space="preserve">The second step performs and computes individual efficiency evaluations for the technical solutions identified for the situations of interest. </w:t>
      </w:r>
      <w:r w:rsidR="002F368B">
        <w:rPr>
          <w:lang w:val="en-GB"/>
        </w:rPr>
        <w:t xml:space="preserve">The </w:t>
      </w:r>
      <w:r w:rsidR="0057603D">
        <w:rPr>
          <w:lang w:val="en-GB"/>
        </w:rPr>
        <w:t>third</w:t>
      </w:r>
      <w:r w:rsidR="002F368B">
        <w:rPr>
          <w:lang w:val="en-GB"/>
        </w:rPr>
        <w:t xml:space="preserve"> step</w:t>
      </w:r>
      <w:r w:rsidR="00CB248B">
        <w:rPr>
          <w:lang w:val="en-GB"/>
        </w:rPr>
        <w:t xml:space="preserve"> automatically</w:t>
      </w:r>
      <w:r w:rsidR="002F368B">
        <w:rPr>
          <w:lang w:val="en-GB"/>
        </w:rPr>
        <w:t xml:space="preserve"> translates </w:t>
      </w:r>
      <w:r w:rsidR="0057603D">
        <w:rPr>
          <w:lang w:val="en-GB"/>
        </w:rPr>
        <w:t>the mind maps</w:t>
      </w:r>
      <w:r w:rsidR="002F368B">
        <w:rPr>
          <w:lang w:val="en-GB"/>
        </w:rPr>
        <w:t xml:space="preserve"> into decision trees</w:t>
      </w:r>
      <w:r w:rsidR="00CB248B">
        <w:rPr>
          <w:lang w:val="en-GB"/>
        </w:rPr>
        <w:t xml:space="preserve"> stored </w:t>
      </w:r>
      <w:r w:rsidR="006D4939">
        <w:rPr>
          <w:lang w:val="en-GB"/>
        </w:rPr>
        <w:t>in an RDF knowledge graph</w:t>
      </w:r>
      <w:r w:rsidR="002F368B">
        <w:rPr>
          <w:lang w:val="en-GB"/>
        </w:rPr>
        <w:t xml:space="preserve">. </w:t>
      </w:r>
      <w:r w:rsidR="00E41BAC">
        <w:rPr>
          <w:lang w:val="en-GB"/>
        </w:rPr>
        <w:t>The fourth st</w:t>
      </w:r>
      <w:r w:rsidR="00695634">
        <w:rPr>
          <w:lang w:val="en-GB"/>
        </w:rPr>
        <w:t>ep relies on a multi-criteria de</w:t>
      </w:r>
      <w:r w:rsidR="00E41BAC">
        <w:rPr>
          <w:lang w:val="en-GB"/>
        </w:rPr>
        <w:t>cision-support system (MCDSS)</w:t>
      </w:r>
      <w:r w:rsidR="00C86214">
        <w:rPr>
          <w:lang w:val="en-GB"/>
        </w:rPr>
        <w:t xml:space="preserve"> that accounts with a graphical user interface that offers an explanatory and an action view. </w:t>
      </w:r>
      <w:r w:rsidR="00DB2CA5">
        <w:rPr>
          <w:lang w:val="en-GB"/>
        </w:rPr>
        <w:t>The explanatory view</w:t>
      </w:r>
      <w:r w:rsidR="0017126D">
        <w:rPr>
          <w:lang w:val="en-GB"/>
        </w:rPr>
        <w:t xml:space="preserve"> enables the users to navigate through decision trees to identify potential cau</w:t>
      </w:r>
      <w:r w:rsidR="00CB2B4A">
        <w:rPr>
          <w:lang w:val="en-GB"/>
        </w:rPr>
        <w:t>ses for situations of interest and technical actions that can help correct or reach the situation</w:t>
      </w:r>
      <w:r w:rsidR="00225564">
        <w:rPr>
          <w:lang w:val="en-GB"/>
        </w:rPr>
        <w:t>s</w:t>
      </w:r>
      <w:r w:rsidR="00CB2B4A">
        <w:rPr>
          <w:lang w:val="en-GB"/>
        </w:rPr>
        <w:t xml:space="preserve"> of interest.</w:t>
      </w:r>
      <w:r w:rsidR="001052B8">
        <w:rPr>
          <w:lang w:val="en-GB"/>
        </w:rPr>
        <w:t xml:space="preserve"> The action view </w:t>
      </w:r>
      <w:r w:rsidR="00EB5910">
        <w:rPr>
          <w:lang w:val="en-GB"/>
        </w:rPr>
        <w:t>enabl</w:t>
      </w:r>
      <w:r w:rsidR="00672DEE">
        <w:rPr>
          <w:lang w:val="en-GB"/>
        </w:rPr>
        <w:t xml:space="preserve">es multi-criteria filtering, action ranking and </w:t>
      </w:r>
      <w:r w:rsidR="00EB5910">
        <w:rPr>
          <w:lang w:val="en-GB"/>
        </w:rPr>
        <w:t xml:space="preserve">identification of possible side effects. </w:t>
      </w:r>
      <w:r w:rsidR="000F6B43">
        <w:rPr>
          <w:lang w:val="en-GB"/>
        </w:rPr>
        <w:t xml:space="preserve">The methodology is iterative because the users can update the mind maps of the first step to improve results of the MCDSS. </w:t>
      </w:r>
      <w:r w:rsidR="00B12585">
        <w:rPr>
          <w:lang w:val="en-GB"/>
        </w:rPr>
        <w:t xml:space="preserve">See </w:t>
      </w:r>
      <w:r w:rsidR="00B43146">
        <w:rPr>
          <w:lang w:val="en-GB"/>
        </w:rPr>
        <w:fldChar w:fldCharType="begin"/>
      </w:r>
      <w:r w:rsidR="00B43146">
        <w:rPr>
          <w:lang w:val="en-GB"/>
        </w:rPr>
        <w:instrText xml:space="preserve"> ADDIN ZOTERO_ITEM CSL_CITATION {"citationID":"NU9jAMbn","properties":{"formattedCitation":"(Buche et al., 2023)","plainCitation":"(Buche et al., 2023)","noteIndex":0},"citationItems":[{"id":1494,"uris":["http://zotero.org/users/9008260/items/FNNZ625C"],"itemData":{"id":1494,"type":"article-journal","abstract":"&lt;p&gt;Agrifood chain processes are based on a multitude of knowledge, know-how and experiences forged over time. This collective expertise must be shared to improve food quality. Here we test the hypothesis that it is possible to design and implement a comprehensive methodology to create a knowledge base integrating collective expertise, while also using it to recommend technical actions required to improve food quality. The method used to test this hypothesis consists firstly in listing the functional specifications that were defined in collaboration with several partners (technical centers, vocational training schools, producers) over the course of several projects carried out in recent years. Secondly, we propose an innovative core ontology that utilizes the international languages of the Semantic Web to effectively represent knowledge in the form of decision trees. These decision trees will depict potential causal relationships between situations of interest and provide recommendations for managing them through technological actions, as well as a collective assessment of the efficiency of those actions. We show how mind map files created using mind-mapping tools are automatically translated into an RDF knowledge base using the core ontological model. Thirdly, a model to aggregate individual assessments provided by technicians and associated with technical action recommendations is proposed and evaluated. Finally, a multicriteria decision-support system (MCDSS) using the knowledge base is presented. It consists of an explanatory view allowing navigation in a decision tree and an action view for multicriteria filtering and possible side effect identification. The different types of MCDSS-delivered answers to a query expressed in the action view are explained. The MCDSS graphical user interface is presented through a real-use case. Experimental assessments have been performed and confirm that tested hypothesis is relevant.&lt;/p&gt;","container-title":"Frontiers in Artificial Intelligence","DOI":"10.3389/frai.2023.1145007","ISSN":"2624-8212","journalAbbreviation":"Front. Artif. Intell.","language":"English","note":"publisher: Frontiers","source":"Frontiers","title":"Integrating collective know-how for multicriteria decision support in agrifood chains—application to cheesemaking","URL":"https://www.frontiersin.org/journals/artificial-intelligence/articles/10.3389/frai.2023.1145007/full","volume":"6","author":[{"family":"Buche","given":"Patrice"},{"family":"Couteaux","given":"Julien"},{"family":"Cufi","given":"Julien"},{"family":"Destercke","given":"Sébastien"},{"family":"Oudot","given":"Alrick"}],"accessed":{"date-parts":[["2025",2,12]]},"issued":{"date-parts":[["2023",4,28]]}}}],"schema":"https://github.com/citation-style-language/schema/raw/master/csl-citation.json"} </w:instrText>
      </w:r>
      <w:r w:rsidR="00B43146">
        <w:rPr>
          <w:lang w:val="en-GB"/>
        </w:rPr>
        <w:fldChar w:fldCharType="separate"/>
      </w:r>
      <w:r w:rsidR="00B43146" w:rsidRPr="00B43146">
        <w:rPr>
          <w:rFonts w:cs="Arial"/>
        </w:rPr>
        <w:t>(Buche et al., 2023)</w:t>
      </w:r>
      <w:r w:rsidR="00B43146">
        <w:rPr>
          <w:lang w:val="en-GB"/>
        </w:rPr>
        <w:fldChar w:fldCharType="end"/>
      </w:r>
      <w:r w:rsidR="00B43146">
        <w:rPr>
          <w:lang w:val="en-GB"/>
        </w:rPr>
        <w:t xml:space="preserve"> </w:t>
      </w:r>
      <w:r w:rsidR="00B12585">
        <w:t xml:space="preserve">for more details on the CAPEX reasoning engine. </w:t>
      </w:r>
    </w:p>
    <w:p w14:paraId="1F2890DF" w14:textId="41602BA7" w:rsidR="001D7D87" w:rsidRDefault="001D7D87" w:rsidP="001D7D87">
      <w:pPr>
        <w:pStyle w:val="CETBodytext"/>
        <w:numPr>
          <w:ilvl w:val="0"/>
          <w:numId w:val="33"/>
        </w:numPr>
        <w:rPr>
          <w:lang w:val="fr-FR"/>
        </w:rPr>
      </w:pPr>
      <w:r>
        <w:rPr>
          <w:u w:val="single"/>
          <w:lang w:val="fr-FR"/>
        </w:rPr>
        <w:lastRenderedPageBreak/>
        <w:t>PO2Manager</w:t>
      </w:r>
      <w:r>
        <w:rPr>
          <w:lang w:val="fr-FR"/>
        </w:rPr>
        <w:t xml:space="preserve"> : </w:t>
      </w:r>
    </w:p>
    <w:p w14:paraId="25F9FCAA" w14:textId="1BA08CE6" w:rsidR="00CC617C" w:rsidRDefault="00552299" w:rsidP="00CC617C">
      <w:pPr>
        <w:tabs>
          <w:tab w:val="clear" w:pos="7100"/>
        </w:tabs>
        <w:spacing w:before="240" w:after="240" w:line="240" w:lineRule="auto"/>
      </w:pPr>
      <w:r>
        <w:t xml:space="preserve">PO2Manager is the software tool that contains experimental data and knowledge associated to transformation processes. It is </w:t>
      </w:r>
      <w:r w:rsidR="00793408">
        <w:t xml:space="preserve">a </w:t>
      </w:r>
      <w:r w:rsidR="001D7D87">
        <w:t xml:space="preserve">data repository </w:t>
      </w:r>
      <w:r>
        <w:t xml:space="preserve">structured with vocabulary from the PO2/TransformON ontology. </w:t>
      </w:r>
      <w:r w:rsidR="00D22F46">
        <w:t xml:space="preserve">The present version of </w:t>
      </w:r>
      <w:r w:rsidR="00E7388F">
        <w:t>PowderLib</w:t>
      </w:r>
      <w:r w:rsidR="00D22F46">
        <w:t xml:space="preserve">’s PO2Manager data repository contains data on the production and transformation processes of vegetable powders </w:t>
      </w:r>
      <w:r w:rsidR="006C2584">
        <w:fldChar w:fldCharType="begin"/>
      </w:r>
      <w:r w:rsidR="00E41E11">
        <w:instrText xml:space="preserve"> ADDIN ZOTERO_ITEM CSL_CITATION {"citationID":"Z7plmPI7","properties":{"formattedCitation":"(Munch et al., 2022a)","plainCitation":"(Munch et al., 2022a)","noteIndex":0},"citationItems":[{"id":1506,"uris":["http://zotero.org/users/9008260/items/YQ55PAEB"],"itemData":{"id":1506,"type":"article-journal","abstract":"Due to the rising amount of plastic waste generated each year, multiple questions are emerging about their harmful long-term effects on the environment, the ecosystems and human health. One possible strategy to mitigate these issues is to substitute conventional plastics by materials fully biodegradable in natural conditions, such as poly(3-hydroxybutyrate-co-3-hydroxyvalerate) (PHBV). In order to decrease the overall cost and environmental impact of PHBV-based materials while modulating their technical performance, PHBV can be combined with lignocellulosic fillers. In this article, a total of 88 formulations of PHBV-based biocomposites has been collected, distributed over 5 interdisciplinary projects involving computer scientists, data scientists and biomass processing experts for food and bio-based material production. Available data concern the technical process descriptions, including the description of each step and the different observations measured. These data are stored in a knowledge base that can be queried on the Web.","container-title":"Data in Brief","DOI":"10.1016/j.dib.2022.108191","note":"publisher: Elsevier","page":"108191","source":"HAL Archives Ouvertes","title":"Biocomposites from poly(3-hydroxybutyrate-co-3-hydroxyvalerate) and lignocellulosic fillers: Processes stored in data warehouse structured by an ontology","title-short":"Biocomposites from poly(3-hydroxybutyrate-co-3-hydroxyvalerate) and lignocellulosic fillers","volume":"42","author":[{"family":"Munch","given":"Mélanie"},{"family":"Buche","given":"Patrice"},{"family":"Dervaux","given":"Stéphane"},{"family":"Breysse","given":"Amélie"},{"family":"Berthet","given":"Marie-Alix"},{"family":"David","given":"Grégoire"},{"family":"Lammi","given":"Sarah"},{"family":"Rol","given":"Fleur"},{"family":"Viretto","given":"Amandine"},{"family":"Angellier-Coussy","given":"Hélène"}],"issued":{"date-parts":[["2022",6]]}}}],"schema":"https://github.com/citation-style-language/schema/raw/master/csl-citation.json"} </w:instrText>
      </w:r>
      <w:r w:rsidR="006C2584">
        <w:fldChar w:fldCharType="separate"/>
      </w:r>
      <w:r w:rsidR="00E41E11" w:rsidRPr="00E41E11">
        <w:rPr>
          <w:rFonts w:cs="Arial"/>
        </w:rPr>
        <w:t>(Munch et al., 2022a)</w:t>
      </w:r>
      <w:r w:rsidR="006C2584">
        <w:fldChar w:fldCharType="end"/>
      </w:r>
      <w:r w:rsidR="006C2584">
        <w:t xml:space="preserve">. </w:t>
      </w:r>
      <w:r w:rsidR="00937E27">
        <w:t xml:space="preserve">PO2Manager software tool enables users to enrich the data repository by facilitating the annotation of data that is stored in the </w:t>
      </w:r>
      <w:r w:rsidR="00997289">
        <w:t xml:space="preserve">PO2 </w:t>
      </w:r>
      <w:r w:rsidR="00937E27">
        <w:t>RDF</w:t>
      </w:r>
      <w:r w:rsidR="00CC617C">
        <w:t xml:space="preserve"> </w:t>
      </w:r>
      <w:r w:rsidR="00937E27">
        <w:t xml:space="preserve">(Resource Description Framework) database component. </w:t>
      </w:r>
      <w:r w:rsidR="00CC617C" w:rsidRPr="00B81367">
        <w:t xml:space="preserve">SPOOQ is </w:t>
      </w:r>
      <w:r w:rsidR="00CC617C">
        <w:t>a</w:t>
      </w:r>
      <w:r w:rsidR="00CC617C" w:rsidRPr="00B81367">
        <w:t xml:space="preserve"> software</w:t>
      </w:r>
      <w:r w:rsidR="00CC617C">
        <w:t xml:space="preserve"> web-based</w:t>
      </w:r>
      <w:r w:rsidR="00CC617C" w:rsidRPr="00B81367">
        <w:t xml:space="preserve"> </w:t>
      </w:r>
      <w:r w:rsidR="00CC617C">
        <w:t xml:space="preserve">tool </w:t>
      </w:r>
      <w:r w:rsidR="001E457F">
        <w:t>implemented to assist</w:t>
      </w:r>
      <w:r w:rsidR="00CC617C" w:rsidRPr="00B81367">
        <w:t xml:space="preserve"> user</w:t>
      </w:r>
      <w:r w:rsidR="00CC617C">
        <w:t>s</w:t>
      </w:r>
      <w:r w:rsidR="00CC617C" w:rsidRPr="00B81367">
        <w:t xml:space="preserve"> in writing SPARQL queries </w:t>
      </w:r>
      <w:r w:rsidR="00CC617C">
        <w:t xml:space="preserve">to interrogate PO2Manager’s data repository. </w:t>
      </w:r>
      <w:r w:rsidR="00CC617C" w:rsidRPr="00B81367">
        <w:t xml:space="preserve">SPOOQ also </w:t>
      </w:r>
      <w:r w:rsidR="001E457F">
        <w:t>allows users</w:t>
      </w:r>
      <w:r w:rsidR="00CC617C" w:rsidRPr="00B81367">
        <w:t xml:space="preserve"> </w:t>
      </w:r>
      <w:r w:rsidR="001E457F">
        <w:t xml:space="preserve">to publish and share data on INRAE’s, the French national institute for agricultural and environment, </w:t>
      </w:r>
      <w:r w:rsidR="00CC617C" w:rsidRPr="00B81367">
        <w:t>data warehouse</w:t>
      </w:r>
      <w:r w:rsidR="00997289">
        <w:t>, component of Research Data gouv</w:t>
      </w:r>
      <w:r w:rsidR="00AA5BD8">
        <w:t>, the French open data platform</w:t>
      </w:r>
      <w:r w:rsidR="007F5764">
        <w:t xml:space="preserve"> (</w:t>
      </w:r>
      <w:hyperlink r:id="rId12" w:history="1">
        <w:r w:rsidR="007F5764" w:rsidRPr="007F5764">
          <w:rPr>
            <w:rStyle w:val="Lienhypertexte"/>
          </w:rPr>
          <w:t>https://www.data.gouv.fr/fr/</w:t>
        </w:r>
      </w:hyperlink>
      <w:r w:rsidR="007F5764">
        <w:t>)</w:t>
      </w:r>
      <w:r w:rsidR="00CC617C" w:rsidRPr="00B81367">
        <w:t xml:space="preserve">. </w:t>
      </w:r>
    </w:p>
    <w:p w14:paraId="588D26AC" w14:textId="23C5DF3A" w:rsidR="00B524E1" w:rsidRPr="0034082F" w:rsidRDefault="00C43215" w:rsidP="00D3452B">
      <w:pPr>
        <w:pStyle w:val="Paragraphedeliste"/>
        <w:numPr>
          <w:ilvl w:val="0"/>
          <w:numId w:val="33"/>
        </w:numPr>
        <w:spacing w:before="240" w:after="240" w:line="240" w:lineRule="auto"/>
        <w:rPr>
          <w:rFonts w:ascii="Times New Roman" w:hAnsi="Times New Roman"/>
          <w:iCs/>
          <w:color w:val="000000"/>
          <w:lang w:val="fr-FR"/>
        </w:rPr>
      </w:pPr>
      <w:r>
        <w:rPr>
          <w:u w:val="single"/>
          <w:lang w:val="fr-FR"/>
        </w:rPr>
        <w:t>AdCVcalc&amp;visu</w:t>
      </w:r>
      <w:r w:rsidR="00F40154" w:rsidRPr="00F40154">
        <w:rPr>
          <w:lang w:val="fr-FR"/>
        </w:rPr>
        <w:t> :</w:t>
      </w:r>
      <w:r w:rsidR="00AA28A1">
        <w:rPr>
          <w:lang w:val="fr-FR"/>
        </w:rPr>
        <w:t xml:space="preserve"> </w:t>
      </w:r>
    </w:p>
    <w:p w14:paraId="69D19B9B" w14:textId="10A5D327" w:rsidR="00D3452B" w:rsidRDefault="0034082F" w:rsidP="009910F6">
      <w:pPr>
        <w:spacing w:before="240" w:after="240" w:line="240" w:lineRule="auto"/>
      </w:pPr>
      <w:r w:rsidRPr="00E01A16">
        <w:t>The AdCVcalc</w:t>
      </w:r>
      <w:r w:rsidR="009A351C" w:rsidRPr="00E01A16">
        <w:t xml:space="preserve">&amp;visu </w:t>
      </w:r>
      <w:r w:rsidR="00941D2D" w:rsidRPr="00E01A16">
        <w:t xml:space="preserve">module </w:t>
      </w:r>
      <w:r w:rsidR="003202CB">
        <w:t>is being developed</w:t>
      </w:r>
      <w:r w:rsidR="00E01A16" w:rsidRPr="00E01A16">
        <w:t xml:space="preserve"> to enable users to assess and compare the sustainability of different </w:t>
      </w:r>
      <w:r w:rsidR="00E01A16">
        <w:t xml:space="preserve">biomass </w:t>
      </w:r>
      <w:r w:rsidR="00E01A16" w:rsidRPr="00E01A16">
        <w:t>transformation</w:t>
      </w:r>
      <w:r w:rsidR="003202CB">
        <w:t xml:space="preserve"> itineraries. The module is inspired from p</w:t>
      </w:r>
      <w:r w:rsidR="00070424">
        <w:t>revious work</w:t>
      </w:r>
      <w:r w:rsidR="00C6300F">
        <w:t xml:space="preserve"> </w:t>
      </w:r>
      <w:r w:rsidR="00611359">
        <w:t>coupling</w:t>
      </w:r>
      <w:r w:rsidR="00C6300F">
        <w:t xml:space="preserve"> big data, artificial intelligence and </w:t>
      </w:r>
      <w:r w:rsidR="00C6300F" w:rsidRPr="0085788A">
        <w:t>Life Cycle Assessment (LCA)</w:t>
      </w:r>
      <w:r w:rsidR="00611359">
        <w:t xml:space="preserve"> </w:t>
      </w:r>
      <w:r w:rsidR="00611359" w:rsidRPr="00E07FCD">
        <w:t xml:space="preserve">described in </w:t>
      </w:r>
      <w:r w:rsidR="008215C9">
        <w:fldChar w:fldCharType="begin"/>
      </w:r>
      <w:r w:rsidR="008215C9">
        <w:instrText xml:space="preserve"> ADDIN ZOTERO_ITEM CSL_CITATION {"citationID":"NsJ9BeB9","properties":{"formattedCitation":"(Prioux Nancy et al., 2023)","plainCitation":"(Prioux Nancy et al., 2023)","noteIndex":0},"citationItems":[{"id":1509,"uris":["http://zotero.org/users/9008260/items/9NMDGEZ7"],"itemData":{"id":1509,"type":"article-journal","abstract":"The approach is tested by comparing biomass pretreatment processes for glucose production. Only the environmental area is considered.The goal of the study is to help a researcher select a process for glucose production. The boundaries range from biomass to the enzymatic hydrolysis step i.e., a “cradle-to-gate” approach. Biomass is considered as a waste – the impacts of agricultural phases are attributed to the end product. If the biomass is considered as a co-product, the impacts of the production of the final product will be split between it and the biomass. The biomass transport phase impact is minor – the biorefinery is close to the field. The functional unit is “1 g of glucose” and all results are expressed based on this unit.","container-title":"Chemical Engineering Transactions","DOI":"10.3303/CET23105051","language":"en","page":"301–306","source":"DOI.org (CSL JSON)","title":"Environmental Assessment of Glucose Production Using Neuronal Networks","volume":"105","author":[{"literal":"Prioux Nancy"},{"literal":"Ouaret Rachid"},{"literal":"Belaud Jean-Pierre"}],"issued":{"date-parts":[["2023",11]]}}}],"schema":"https://github.com/citation-style-language/schema/raw/master/csl-citation.json"} </w:instrText>
      </w:r>
      <w:r w:rsidR="008215C9">
        <w:fldChar w:fldCharType="separate"/>
      </w:r>
      <w:r w:rsidR="008215C9" w:rsidRPr="008215C9">
        <w:rPr>
          <w:rFonts w:cs="Arial"/>
        </w:rPr>
        <w:t>(Prioux Nancy et al., 2023)</w:t>
      </w:r>
      <w:r w:rsidR="008215C9">
        <w:fldChar w:fldCharType="end"/>
      </w:r>
      <w:r w:rsidR="008215C9">
        <w:t xml:space="preserve"> </w:t>
      </w:r>
      <w:r w:rsidR="00453347">
        <w:t xml:space="preserve">and </w:t>
      </w:r>
      <w:r w:rsidR="008215C9">
        <w:fldChar w:fldCharType="begin"/>
      </w:r>
      <w:r w:rsidR="008215C9">
        <w:instrText xml:space="preserve"> ADDIN ZOTERO_ITEM CSL_CITATION {"citationID":"KiA1rWIS","properties":{"formattedCitation":"(Prioux et al., 2023)","plainCitation":"(Prioux et al., 2023)","noteIndex":0},"citationItems":[{"id":1490,"uris":["http://zotero.org/users/9008260/items/VMHB5ESX"],"itemData":{"id":1490,"type":"article-journal","abstract":"The circular economy and its various recirculation loops have become a major study subject over recent years, particularly in the field of agriculture, which is a significant source of waste production. There have been several studies focused on transforming agricultural lignocellulosic waste with “sustainable” processes: economically viable, socially accepted, and environmentally friendly. Thanks to “life cycle thinking”, it is possible to assess these potential environmental impacts. However, these environmental analyses generally require a massive volume of specific data, the collection of which can be time-consuming and tedious, or impossible to practice. On the other hand, scientific articles describing the processes for the valorization of agricultural by-products are intriguing but rarely exploited sources of data. In this paper, a hybridization of data science techniques and environmental analysis was proposed to improve life cycle analysis (LCA) thanks to Machine Learning (ML). ML part of the proposed approach is based on unsupervised learning, which is composed of two methods: dimension reduction using the Multidimensional Scaling and clustering technique using k-means. Composed of five steps and dedicated to researchers or R&amp;D engineers, the approach is oriented towards offering a decision on technologies and processes for waste to energy in the early eco-design step. The case study in the domain of pre-treatment processes for corn stover and rice straw is detailed. The results show that all impacts that concern the chemical pollution of soil and water are found in the same cluster. Other impacts are detected in the same cluster which is related to the land use and the land transformation. In the same vein, two purely mechanical pre-treatments have been identified and grouped by Multidimensional Scaling and k-means.","container-title":"Clean Technologies and Environmental Policy","DOI":"10.1007/s10098-022-02275-4","ISSN":"1618-9558","issue":"2","journalAbbreviation":"Clean Techn Environ Policy","language":"en","page":"689-702","source":"Springer Link","title":"Environmental assessment coupled with machine learning for circular economy","volume":"25","author":[{"family":"Prioux","given":"N."},{"family":"Ouaret","given":"R."},{"family":"Hetreux","given":"G."},{"family":"Belaud","given":"J.-P."}],"issued":{"date-parts":[["2023",3,1]]}}}],"schema":"https://github.com/citation-style-language/schema/raw/master/csl-citation.json"} </w:instrText>
      </w:r>
      <w:r w:rsidR="008215C9">
        <w:fldChar w:fldCharType="separate"/>
      </w:r>
      <w:r w:rsidR="008215C9" w:rsidRPr="008215C9">
        <w:rPr>
          <w:rFonts w:cs="Arial"/>
        </w:rPr>
        <w:t>(Prioux et al., 2023)</w:t>
      </w:r>
      <w:r w:rsidR="008215C9">
        <w:fldChar w:fldCharType="end"/>
      </w:r>
      <w:r w:rsidR="00C6300F" w:rsidRPr="00E07FCD">
        <w:t>.</w:t>
      </w:r>
      <w:r w:rsidR="00E53136">
        <w:t xml:space="preserve"> </w:t>
      </w:r>
      <w:r w:rsidR="00866BF9">
        <w:t xml:space="preserve">The approach described in </w:t>
      </w:r>
      <w:r w:rsidR="008215C9">
        <w:fldChar w:fldCharType="begin"/>
      </w:r>
      <w:r w:rsidR="008215C9">
        <w:instrText xml:space="preserve"> ADDIN ZOTERO_ITEM CSL_CITATION {"citationID":"ZpM0ZpM4","properties":{"formattedCitation":"(Prioux Nancy et al., 2023)","plainCitation":"(Prioux Nancy et al., 2023)","noteIndex":0},"citationItems":[{"id":1509,"uris":["http://zotero.org/users/9008260/items/9NMDGEZ7"],"itemData":{"id":1509,"type":"article-journal","abstract":"The approach is tested by comparing biomass pretreatment processes for glucose production. Only the environmental area is considered.The goal of the study is to help a researcher select a process for glucose production. The boundaries range from biomass to the enzymatic hydrolysis step i.e., a “cradle-to-gate” approach. Biomass is considered as a waste – the impacts of agricultural phases are attributed to the end product. If the biomass is considered as a co-product, the impacts of the production of the final product will be split between it and the biomass. The biomass transport phase impact is minor – the biorefinery is close to the field. The functional unit is “1 g of glucose” and all results are expressed based on this unit.","container-title":"Chemical Engineering Transactions","DOI":"10.3303/CET23105051","language":"en","page":"301–306","source":"DOI.org (CSL JSON)","title":"Environmental Assessment of Glucose Production Using Neuronal Networks","volume":"105","author":[{"literal":"Prioux Nancy"},{"literal":"Ouaret Rachid"},{"literal":"Belaud Jean-Pierre"}],"issued":{"date-parts":[["2023",11]]}}}],"schema":"https://github.com/citation-style-language/schema/raw/master/csl-citation.json"} </w:instrText>
      </w:r>
      <w:r w:rsidR="008215C9">
        <w:fldChar w:fldCharType="separate"/>
      </w:r>
      <w:r w:rsidR="008215C9" w:rsidRPr="008215C9">
        <w:rPr>
          <w:rFonts w:cs="Arial"/>
        </w:rPr>
        <w:t>(Prioux Nancy et al., 2023)</w:t>
      </w:r>
      <w:r w:rsidR="008215C9">
        <w:fldChar w:fldCharType="end"/>
      </w:r>
      <w:r w:rsidR="008215C9">
        <w:t xml:space="preserve"> </w:t>
      </w:r>
      <w:r w:rsidR="00866BF9" w:rsidRPr="00E07FCD">
        <w:t>consists of five main steps: objective and boundary</w:t>
      </w:r>
      <w:r w:rsidR="00866BF9">
        <w:t xml:space="preserve"> definition</w:t>
      </w:r>
      <w:r w:rsidR="00866BF9" w:rsidRPr="00E07FCD">
        <w:t>, data architecture</w:t>
      </w:r>
      <w:r w:rsidR="00F13B37">
        <w:t xml:space="preserve"> and enrichment</w:t>
      </w:r>
      <w:r w:rsidR="00866BF9" w:rsidRPr="00E07FCD">
        <w:t>, sustainability assessment, re</w:t>
      </w:r>
      <w:r w:rsidR="00AA1740">
        <w:t>sult visualization and analysis</w:t>
      </w:r>
      <w:r w:rsidR="00866BF9" w:rsidRPr="00E07FCD">
        <w:t xml:space="preserve"> and decision-making. </w:t>
      </w:r>
      <w:r w:rsidR="00246BA3">
        <w:t>The approach implements neural networks to complete missing data. Partial dependence plots (PDP) and individual conditional expectation plots (ICE)</w:t>
      </w:r>
      <w:r w:rsidR="00DC2C5D">
        <w:t xml:space="preserve"> are</w:t>
      </w:r>
      <w:r w:rsidR="006334DF">
        <w:t xml:space="preserve"> </w:t>
      </w:r>
      <w:r w:rsidR="00DE08BC">
        <w:t>leveraged to examine and improve the neural networks</w:t>
      </w:r>
      <w:r w:rsidR="00246BA3">
        <w:t>.</w:t>
      </w:r>
      <w:r w:rsidR="00E368E7">
        <w:t xml:space="preserve"> </w:t>
      </w:r>
      <w:r w:rsidR="00114D3E">
        <w:t>Bayesian networks could also be implemented to augment missing data. They could be combined with knowledge and data structured with the PO2 Ontology to represent transformation processes and account for uncertainty and causality in transformation processes to answer expert’s queries</w:t>
      </w:r>
      <w:r w:rsidR="00E272C3">
        <w:t xml:space="preserve"> </w:t>
      </w:r>
      <w:r w:rsidR="00E272C3">
        <w:fldChar w:fldCharType="begin"/>
      </w:r>
      <w:r w:rsidR="00E41E11">
        <w:instrText xml:space="preserve"> ADDIN ZOTERO_ITEM CSL_CITATION {"citationID":"cFnl3q45","properties":{"formattedCitation":"(Munch et al., 2022b)","plainCitation":"(Munch et al., 2022b)","noteIndex":0},"citationItems":[{"id":1491,"uris":["http://zotero.org/users/9008260/items/PG8ENA8T"],"itemData":{"id":1491,"type":"article-journal","abstract":"This paper presents a workflow for the design of transformation processes using different kinds of expert’s knowledge. It introduces POND (Process and observation ONtology Discovery), a workflow dedicated to answer expert’s questions about processes. It addresses two main issues: (1) how to represent the processes inner complexity, and (2) how to reason about processes taking into account uncertainty and causality. First, we show how to use a semantic model, an ontology, and its associated data to answer some of the expert’s questions concerning the processes, using semantic web languages and technologies. Then, we describe how to learn a predictive model, to discover new knowledge and provide explicative models by integrating the semantic model into a probabilistic relational model. The result is a complete workflow able to extensively analyze transformation processes through all their granularity levels and answer expert’s questions about their domains. An example of this workflow is given on biocomposites manufacturing for food packaging.","container-title":"Expert Systems with Applications","DOI":"10.1016/j.eswa.2022.117406","ISSN":"0957-4174","journalAbbreviation":"Expert Systems with Applications","page":"117406","source":"ScienceDirect","title":"Combining ontology and probabilistic models for the design of bio-based product transformation processes","volume":"203","author":[{"family":"Munch","given":"Mélanie"},{"family":"Buche","given":"Patrice"},{"family":"Dervaux","given":"Stéphane"},{"family":"Dibie","given":"Juliette"},{"family":"Ibanescu","given":"Liliana"},{"family":"Manfredotti","given":"Cristina"},{"family":"Wuillemin","given":"Pierre-Henri"},{"family":"Angellier-Coussy","given":"Hélène"}],"issued":{"date-parts":[["2022",10,1]]}}}],"schema":"https://github.com/citation-style-language/schema/raw/master/csl-citation.json"} </w:instrText>
      </w:r>
      <w:r w:rsidR="00E272C3">
        <w:fldChar w:fldCharType="separate"/>
      </w:r>
      <w:r w:rsidR="00E41E11" w:rsidRPr="00E41E11">
        <w:rPr>
          <w:rFonts w:cs="Arial"/>
        </w:rPr>
        <w:t>(Munch et al., 2022b)</w:t>
      </w:r>
      <w:r w:rsidR="00E272C3">
        <w:fldChar w:fldCharType="end"/>
      </w:r>
      <w:r w:rsidR="00114D3E">
        <w:t xml:space="preserve">. </w:t>
      </w:r>
      <w:r w:rsidR="0050638C">
        <w:t xml:space="preserve">The </w:t>
      </w:r>
      <w:r w:rsidR="00E53136">
        <w:t xml:space="preserve">analysis and </w:t>
      </w:r>
      <w:r w:rsidR="0050638C">
        <w:t xml:space="preserve">visualization part of the AdCVcalc&amp;visu module could harness </w:t>
      </w:r>
      <w:r w:rsidR="0050638C" w:rsidRPr="00E07FCD">
        <w:t>traditional dimensionality reduction techniques (Multi-Dimensional Scaling) and unsupervised clustering methods (k-means)</w:t>
      </w:r>
      <w:r w:rsidR="0050638C">
        <w:t xml:space="preserve"> as </w:t>
      </w:r>
      <w:r w:rsidR="00797E9A">
        <w:t xml:space="preserve">described in </w:t>
      </w:r>
      <w:r w:rsidR="00E272C3">
        <w:fldChar w:fldCharType="begin"/>
      </w:r>
      <w:r w:rsidR="00E272C3">
        <w:instrText xml:space="preserve"> ADDIN ZOTERO_ITEM CSL_CITATION {"citationID":"mb7iPWb9","properties":{"formattedCitation":"(Prioux et al., 2023)","plainCitation":"(Prioux et al., 2023)","noteIndex":0},"citationItems":[{"id":1490,"uris":["http://zotero.org/users/9008260/items/VMHB5ESX"],"itemData":{"id":1490,"type":"article-journal","abstract":"The circular economy and its various recirculation loops have become a major study subject over recent years, particularly in the field of agriculture, which is a significant source of waste production. There have been several studies focused on transforming agricultural lignocellulosic waste with “sustainable” processes: economically viable, socially accepted, and environmentally friendly. Thanks to “life cycle thinking”, it is possible to assess these potential environmental impacts. However, these environmental analyses generally require a massive volume of specific data, the collection of which can be time-consuming and tedious, or impossible to practice. On the other hand, scientific articles describing the processes for the valorization of agricultural by-products are intriguing but rarely exploited sources of data. In this paper, a hybridization of data science techniques and environmental analysis was proposed to improve life cycle analysis (LCA) thanks to Machine Learning (ML). ML part of the proposed approach is based on unsupervised learning, which is composed of two methods: dimension reduction using the Multidimensional Scaling and clustering technique using k-means. Composed of five steps and dedicated to researchers or R&amp;D engineers, the approach is oriented towards offering a decision on technologies and processes for waste to energy in the early eco-design step. The case study in the domain of pre-treatment processes for corn stover and rice straw is detailed. The results show that all impacts that concern the chemical pollution of soil and water are found in the same cluster. Other impacts are detected in the same cluster which is related to the land use and the land transformation. In the same vein, two purely mechanical pre-treatments have been identified and grouped by Multidimensional Scaling and k-means.","container-title":"Clean Technologies and Environmental Policy","DOI":"10.1007/s10098-022-02275-4","ISSN":"1618-9558","issue":"2","journalAbbreviation":"Clean Techn Environ Policy","language":"en","page":"689-702","source":"Springer Link","title":"Environmental assessment coupled with machine learning for circular economy","volume":"25","author":[{"family":"Prioux","given":"N."},{"family":"Ouaret","given":"R."},{"family":"Hetreux","given":"G."},{"family":"Belaud","given":"J.-P."}],"issued":{"date-parts":[["2023",3,1]]}}}],"schema":"https://github.com/citation-style-language/schema/raw/master/csl-citation.json"} </w:instrText>
      </w:r>
      <w:r w:rsidR="00E272C3">
        <w:fldChar w:fldCharType="separate"/>
      </w:r>
      <w:r w:rsidR="00E272C3" w:rsidRPr="00E272C3">
        <w:rPr>
          <w:rFonts w:cs="Arial"/>
        </w:rPr>
        <w:t>(Prioux et al., 2023)</w:t>
      </w:r>
      <w:r w:rsidR="00E272C3">
        <w:fldChar w:fldCharType="end"/>
      </w:r>
      <w:r w:rsidR="00797E9A">
        <w:t xml:space="preserve"> </w:t>
      </w:r>
      <w:r w:rsidR="00DB3AB7">
        <w:t>to help users understand the complexity of different processing trajectories and derive links between processes</w:t>
      </w:r>
      <w:r w:rsidR="009910F6">
        <w:t>,</w:t>
      </w:r>
      <w:r w:rsidR="00DB3AB7">
        <w:t xml:space="preserve"> inputs and impacts.</w:t>
      </w:r>
      <w:r w:rsidR="00E53136">
        <w:t xml:space="preserve"> </w:t>
      </w:r>
      <w:r w:rsidR="00043025">
        <w:t>The final prototype of the model should adopt vocabulary and semantics from the PO2/TransformON ontology.</w:t>
      </w:r>
    </w:p>
    <w:p w14:paraId="6C1F19AB" w14:textId="53294B77" w:rsidR="00E13595" w:rsidRPr="004252D5" w:rsidRDefault="00E13595" w:rsidP="00331EDE">
      <w:pPr>
        <w:pStyle w:val="CETBodytext"/>
        <w:rPr>
          <w:lang w:val="en-GB"/>
        </w:rPr>
      </w:pPr>
      <w:r>
        <w:rPr>
          <w:lang w:val="en-GB"/>
        </w:rPr>
        <w:t xml:space="preserve">Section 3 </w:t>
      </w:r>
      <w:r w:rsidR="00AC648D">
        <w:rPr>
          <w:lang w:val="en-GB"/>
        </w:rPr>
        <w:t xml:space="preserve">depicts </w:t>
      </w:r>
      <w:r w:rsidR="00997289">
        <w:rPr>
          <w:lang w:val="en-GB"/>
        </w:rPr>
        <w:t xml:space="preserve">one </w:t>
      </w:r>
      <w:r w:rsidR="00AC648D">
        <w:rPr>
          <w:lang w:val="en-GB"/>
        </w:rPr>
        <w:t>use case that illustrate</w:t>
      </w:r>
      <w:r w:rsidR="00997289">
        <w:rPr>
          <w:lang w:val="en-GB"/>
        </w:rPr>
        <w:t>s</w:t>
      </w:r>
      <w:r w:rsidR="00AC648D">
        <w:rPr>
          <w:lang w:val="en-GB"/>
        </w:rPr>
        <w:t xml:space="preserve"> the functionalities and novelty of </w:t>
      </w:r>
      <w:r w:rsidR="003202CB">
        <w:rPr>
          <w:lang w:val="en-GB"/>
        </w:rPr>
        <w:t xml:space="preserve">the </w:t>
      </w:r>
      <w:r w:rsidR="00AC648D">
        <w:rPr>
          <w:lang w:val="en-GB"/>
        </w:rPr>
        <w:t>integrated digital platform.</w:t>
      </w:r>
    </w:p>
    <w:p w14:paraId="08E28DF9" w14:textId="3C81005A" w:rsidR="00942D44" w:rsidRPr="00942D44" w:rsidRDefault="00DB0978" w:rsidP="00942D44">
      <w:pPr>
        <w:pStyle w:val="CETHeading1"/>
        <w:tabs>
          <w:tab w:val="clear" w:pos="360"/>
          <w:tab w:val="right" w:pos="7100"/>
        </w:tabs>
        <w:jc w:val="both"/>
        <w:rPr>
          <w:lang w:val="en-GB"/>
        </w:rPr>
      </w:pPr>
      <w:r>
        <w:rPr>
          <w:lang w:val="en-GB"/>
        </w:rPr>
        <w:t>Use case</w:t>
      </w:r>
      <w:r w:rsidR="00372F3D">
        <w:rPr>
          <w:lang w:val="en-GB"/>
        </w:rPr>
        <w:t xml:space="preserve"> : </w:t>
      </w:r>
      <w:r w:rsidR="00372F3D">
        <w:t>finding vegetable po</w:t>
      </w:r>
      <w:r w:rsidR="003232E3">
        <w:t>wders with given specifications</w:t>
      </w:r>
    </w:p>
    <w:p w14:paraId="6B546ECF" w14:textId="2125F694" w:rsidR="00D63EDB" w:rsidRDefault="00FA3649" w:rsidP="00D31500">
      <w:pPr>
        <w:pStyle w:val="CETBodytext"/>
        <w:spacing w:before="240" w:after="240"/>
      </w:pPr>
      <w:r w:rsidRPr="00FA3649">
        <w:rPr>
          <w:lang w:val="en-GB"/>
        </w:rPr>
        <w:t xml:space="preserve">This section details </w:t>
      </w:r>
      <w:r w:rsidR="0051054D">
        <w:rPr>
          <w:lang w:val="en-GB"/>
        </w:rPr>
        <w:t>one use case</w:t>
      </w:r>
      <w:r w:rsidRPr="00FA3649">
        <w:rPr>
          <w:lang w:val="en-GB"/>
        </w:rPr>
        <w:t xml:space="preserve"> of </w:t>
      </w:r>
      <w:r w:rsidR="00E7388F">
        <w:rPr>
          <w:lang w:val="en-GB"/>
        </w:rPr>
        <w:t>PowderLib</w:t>
      </w:r>
      <w:r w:rsidR="00C221CC">
        <w:rPr>
          <w:lang w:val="en-GB"/>
        </w:rPr>
        <w:t xml:space="preserve"> </w:t>
      </w:r>
      <w:r w:rsidR="00C221CC" w:rsidRPr="00C221CC">
        <w:rPr>
          <w:szCs w:val="18"/>
          <w:lang w:val="en-GB"/>
        </w:rPr>
        <w:t>(</w:t>
      </w:r>
      <w:hyperlink r:id="rId13" w:history="1">
        <w:r w:rsidR="00C221CC" w:rsidRPr="00C221CC">
          <w:rPr>
            <w:rStyle w:val="Lienhypertexte"/>
            <w:rFonts w:cs="Arial"/>
            <w:color w:val="1155CC"/>
            <w:szCs w:val="18"/>
          </w:rPr>
          <w:t>https://ico.iate.inrae.fr/powderlib_portail/</w:t>
        </w:r>
      </w:hyperlink>
      <w:r w:rsidR="00C221CC">
        <w:t>)</w:t>
      </w:r>
      <w:r>
        <w:rPr>
          <w:lang w:val="en-GB"/>
        </w:rPr>
        <w:t xml:space="preserve">, </w:t>
      </w:r>
      <w:r w:rsidR="00935933">
        <w:rPr>
          <w:lang w:val="en-GB"/>
        </w:rPr>
        <w:t>the</w:t>
      </w:r>
      <w:r>
        <w:rPr>
          <w:lang w:val="en-GB"/>
        </w:rPr>
        <w:t xml:space="preserve"> instantiation of ICAM’s integrative digital platform </w:t>
      </w:r>
      <w:r w:rsidR="001030AB">
        <w:rPr>
          <w:lang w:val="en-GB"/>
        </w:rPr>
        <w:t>for vegetable powders</w:t>
      </w:r>
      <w:r>
        <w:rPr>
          <w:lang w:val="en-GB"/>
        </w:rPr>
        <w:t xml:space="preserve">. </w:t>
      </w:r>
      <w:r w:rsidR="00CA4C18">
        <w:rPr>
          <w:lang w:val="en-GB"/>
        </w:rPr>
        <w:t xml:space="preserve">The use case </w:t>
      </w:r>
      <w:r w:rsidR="009623E9">
        <w:rPr>
          <w:lang w:val="en-GB"/>
        </w:rPr>
        <w:t>show</w:t>
      </w:r>
      <w:r w:rsidR="0051054D">
        <w:rPr>
          <w:lang w:val="en-GB"/>
        </w:rPr>
        <w:t>s</w:t>
      </w:r>
      <w:r>
        <w:rPr>
          <w:lang w:val="en-GB"/>
        </w:rPr>
        <w:t xml:space="preserve"> how the</w:t>
      </w:r>
      <w:r w:rsidR="0051054D">
        <w:rPr>
          <w:lang w:val="en-GB"/>
        </w:rPr>
        <w:t xml:space="preserve"> Makebook module and the SPOOQ software tool associated to the PO2Manager experimental database</w:t>
      </w:r>
      <w:r>
        <w:rPr>
          <w:lang w:val="en-GB"/>
        </w:rPr>
        <w:t xml:space="preserve"> </w:t>
      </w:r>
      <w:r w:rsidR="00942D44">
        <w:rPr>
          <w:lang w:val="en-GB"/>
        </w:rPr>
        <w:t>are used together</w:t>
      </w:r>
      <w:r>
        <w:rPr>
          <w:lang w:val="en-GB"/>
        </w:rPr>
        <w:t xml:space="preserve"> </w:t>
      </w:r>
      <w:r w:rsidR="0054051A">
        <w:rPr>
          <w:lang w:val="en-GB"/>
        </w:rPr>
        <w:t>to</w:t>
      </w:r>
      <w:r>
        <w:rPr>
          <w:lang w:val="en-GB"/>
        </w:rPr>
        <w:t xml:space="preserve"> identify vegetable powders </w:t>
      </w:r>
      <w:r w:rsidR="0054051A">
        <w:rPr>
          <w:lang w:val="en-GB"/>
        </w:rPr>
        <w:t>with given characteristics.</w:t>
      </w:r>
      <w:r w:rsidR="00D31500">
        <w:rPr>
          <w:lang w:val="en-GB"/>
        </w:rPr>
        <w:t xml:space="preserve"> </w:t>
      </w:r>
      <w:r w:rsidR="00394277">
        <w:t>The use case puts into play a</w:t>
      </w:r>
      <w:r w:rsidR="00E320B0" w:rsidRPr="00E320B0">
        <w:t xml:space="preserve"> data scientist</w:t>
      </w:r>
      <w:r w:rsidR="00394277">
        <w:t xml:space="preserve"> </w:t>
      </w:r>
      <w:r w:rsidR="003034A4">
        <w:t xml:space="preserve">that </w:t>
      </w:r>
      <w:r w:rsidR="00D31500">
        <w:t>wants</w:t>
      </w:r>
      <w:r w:rsidR="00D63EDB">
        <w:t xml:space="preserve"> to </w:t>
      </w:r>
      <w:r w:rsidR="00D63EDB" w:rsidRPr="00E320B0">
        <w:t xml:space="preserve">discover plant biomasses with </w:t>
      </w:r>
      <w:r w:rsidR="00D63EDB">
        <w:t xml:space="preserve">the following input variable profile: </w:t>
      </w:r>
      <w:r w:rsidR="00D63EDB" w:rsidRPr="00E320B0">
        <w:t>cellul</w:t>
      </w:r>
      <w:r w:rsidR="00D63EDB">
        <w:t>ose content between 25% and 33%</w:t>
      </w:r>
      <w:r w:rsidR="00D63EDB" w:rsidRPr="00E320B0">
        <w:t>.</w:t>
      </w:r>
      <w:r w:rsidR="00863106">
        <w:t xml:space="preserve"> </w:t>
      </w:r>
      <w:r w:rsidR="00CD2671">
        <w:t>The data scientist</w:t>
      </w:r>
      <w:r w:rsidR="00863106">
        <w:t xml:space="preserve"> has established this specification with a machine learning model </w:t>
      </w:r>
      <w:r w:rsidR="0067243D">
        <w:t>trained with</w:t>
      </w:r>
      <w:r w:rsidR="00863106">
        <w:t xml:space="preserve"> data available in the platform to discover relationships between input and output variables of composite manufacturing process. </w:t>
      </w:r>
    </w:p>
    <w:p w14:paraId="78FA1FA5" w14:textId="257E36A9" w:rsidR="002F5817" w:rsidRPr="00D31500" w:rsidRDefault="002F5817" w:rsidP="00FF38EE">
      <w:r>
        <w:t xml:space="preserve">To perform </w:t>
      </w:r>
      <w:r w:rsidR="00CD2671">
        <w:t>the</w:t>
      </w:r>
      <w:r>
        <w:t xml:space="preserve"> search the user starts by navigating the Makebook module. Figure 2 shows the conceptual mind map that the user encounters at the homepage of PowderLib’s Makebook. </w:t>
      </w:r>
      <w:r w:rsidR="0015594B">
        <w:t xml:space="preserve">Since the user is looking for vegetable powders that match a given specification, </w:t>
      </w:r>
      <w:r w:rsidR="00935933">
        <w:t>the user</w:t>
      </w:r>
      <w:r w:rsidR="0015594B">
        <w:t xml:space="preserve"> open</w:t>
      </w:r>
      <w:r w:rsidR="00935933">
        <w:t>s</w:t>
      </w:r>
      <w:r w:rsidR="0015594B">
        <w:t xml:space="preserve"> the conceptual mind map associated to the Data Papers concept linked to the vegetal powders concept </w:t>
      </w:r>
      <w:r w:rsidR="00AA7B61">
        <w:t xml:space="preserve">in Figure 1. The conceptual mind map of the Data Papers concept enables </w:t>
      </w:r>
      <w:r w:rsidR="00CD2671">
        <w:t>the discovery of</w:t>
      </w:r>
      <w:r w:rsidR="00AA7B61">
        <w:t xml:space="preserve"> the existence of a dataset named “</w:t>
      </w:r>
      <w:r w:rsidR="006D3D75">
        <w:t>“Planet-Milling_itineraries_for_a_collection_of_crop_byproducts”</w:t>
      </w:r>
      <w:r w:rsidR="00F24ED2">
        <w:t>, which is available on a public repository and can be queried through the SPOOQ software tool</w:t>
      </w:r>
      <w:r w:rsidR="006D3D75">
        <w:t xml:space="preserve">. </w:t>
      </w:r>
      <w:r w:rsidR="005260BC">
        <w:t>Figu</w:t>
      </w:r>
      <w:r w:rsidR="00B67CB1">
        <w:t>re 3</w:t>
      </w:r>
      <w:r w:rsidR="005260BC">
        <w:t xml:space="preserve"> shows the query </w:t>
      </w:r>
      <w:r w:rsidR="00CA4C18">
        <w:t>expressed</w:t>
      </w:r>
      <w:r w:rsidR="005260BC">
        <w:t xml:space="preserve"> through SPOOQ’s graphical user interface to find biomasses with a </w:t>
      </w:r>
      <w:r w:rsidR="005260BC" w:rsidRPr="00E320B0">
        <w:t>cellul</w:t>
      </w:r>
      <w:r w:rsidR="005260BC">
        <w:t>ose content between 25% and 33%</w:t>
      </w:r>
      <w:r w:rsidR="005260BC" w:rsidRPr="00E320B0">
        <w:t>.</w:t>
      </w:r>
      <w:r w:rsidR="00F37C6F">
        <w:t xml:space="preserve"> Figure 4 </w:t>
      </w:r>
      <w:r w:rsidR="00935933">
        <w:t>shows the result of the query. Two</w:t>
      </w:r>
      <w:r w:rsidR="00BF3F6B">
        <w:t xml:space="preserve"> milling itineraries</w:t>
      </w:r>
      <w:r w:rsidR="00F37C6F">
        <w:t xml:space="preserve"> </w:t>
      </w:r>
      <w:r w:rsidR="00935933">
        <w:t xml:space="preserve">are </w:t>
      </w:r>
      <w:r w:rsidR="00F37C6F">
        <w:t>obtained by interrogating PO2Manager’s experimental database through SPOOQ</w:t>
      </w:r>
      <w:r w:rsidR="00FB243E">
        <w:t>. The milling itineraries are associated to</w:t>
      </w:r>
      <w:r w:rsidR="00997289">
        <w:t xml:space="preserve"> hemp core (HC) and rice husk (RH)</w:t>
      </w:r>
      <w:r w:rsidR="00FB243E">
        <w:t xml:space="preserve"> biomasses.</w:t>
      </w:r>
      <w:r w:rsidR="002E35EB">
        <w:t>s</w:t>
      </w:r>
      <w:r w:rsidR="00BF3F6B">
        <w:t xml:space="preserve"> </w:t>
      </w:r>
    </w:p>
    <w:p w14:paraId="19814910" w14:textId="776CF486" w:rsidR="00BA626F" w:rsidRDefault="002966B3" w:rsidP="002F5817">
      <w:pPr>
        <w:pStyle w:val="NormalWeb"/>
        <w:keepNext/>
        <w:spacing w:before="240" w:after="240"/>
        <w:jc w:val="left"/>
      </w:pPr>
      <w:r>
        <w:rPr>
          <w:noProof/>
          <w:sz w:val="18"/>
          <w:szCs w:val="20"/>
          <w:lang w:eastAsia="en-GB"/>
        </w:rPr>
        <w:lastRenderedPageBreak/>
        <w:drawing>
          <wp:inline distT="0" distB="0" distL="0" distR="0" wp14:anchorId="119169FA" wp14:editId="3C366E50">
            <wp:extent cx="3855914" cy="2702257"/>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map makebook use case 1 - v1.png"/>
                    <pic:cNvPicPr/>
                  </pic:nvPicPr>
                  <pic:blipFill>
                    <a:blip r:embed="rId14">
                      <a:extLst>
                        <a:ext uri="{28A0092B-C50C-407E-A947-70E740481C1C}">
                          <a14:useLocalDpi xmlns:a14="http://schemas.microsoft.com/office/drawing/2010/main" val="0"/>
                        </a:ext>
                      </a:extLst>
                    </a:blip>
                    <a:stretch>
                      <a:fillRect/>
                    </a:stretch>
                  </pic:blipFill>
                  <pic:spPr>
                    <a:xfrm>
                      <a:off x="0" y="0"/>
                      <a:ext cx="3857851" cy="2703614"/>
                    </a:xfrm>
                    <a:prstGeom prst="rect">
                      <a:avLst/>
                    </a:prstGeom>
                  </pic:spPr>
                </pic:pic>
              </a:graphicData>
            </a:graphic>
          </wp:inline>
        </w:drawing>
      </w:r>
      <w:r w:rsidR="00AA7B61" w:rsidRPr="00AA7B61">
        <w:rPr>
          <w:noProof/>
          <w:sz w:val="18"/>
          <w:szCs w:val="20"/>
          <w:lang w:eastAsia="en-GB"/>
        </w:rPr>
        <w:t xml:space="preserve"> </w:t>
      </w:r>
    </w:p>
    <w:p w14:paraId="75C3489C" w14:textId="080CE759" w:rsidR="00AA7B61" w:rsidRPr="00AA7B61" w:rsidRDefault="00BA626F" w:rsidP="00AA7B61">
      <w:pPr>
        <w:pStyle w:val="Lgende"/>
        <w:jc w:val="left"/>
        <w:rPr>
          <w:b w:val="0"/>
          <w:bCs w:val="0"/>
          <w:i/>
          <w:color w:val="auto"/>
          <w:szCs w:val="20"/>
        </w:rPr>
      </w:pPr>
      <w:r w:rsidRPr="00BA626F">
        <w:rPr>
          <w:rStyle w:val="CETCaptionCarattere"/>
          <w:b w:val="0"/>
          <w:bCs w:val="0"/>
          <w:color w:val="auto"/>
        </w:rPr>
        <w:t xml:space="preserve">Figure </w:t>
      </w:r>
      <w:r w:rsidRPr="00BA626F">
        <w:rPr>
          <w:rStyle w:val="CETCaptionCarattere"/>
          <w:b w:val="0"/>
          <w:bCs w:val="0"/>
          <w:color w:val="auto"/>
        </w:rPr>
        <w:fldChar w:fldCharType="begin"/>
      </w:r>
      <w:r w:rsidRPr="00BA626F">
        <w:rPr>
          <w:rStyle w:val="CETCaptionCarattere"/>
          <w:b w:val="0"/>
          <w:bCs w:val="0"/>
          <w:color w:val="auto"/>
        </w:rPr>
        <w:instrText xml:space="preserve"> SEQ Figure \* ARABIC </w:instrText>
      </w:r>
      <w:r w:rsidRPr="00BA626F">
        <w:rPr>
          <w:rStyle w:val="CETCaptionCarattere"/>
          <w:b w:val="0"/>
          <w:bCs w:val="0"/>
          <w:color w:val="auto"/>
        </w:rPr>
        <w:fldChar w:fldCharType="separate"/>
      </w:r>
      <w:r w:rsidR="001A4933">
        <w:rPr>
          <w:rStyle w:val="CETCaptionCarattere"/>
          <w:b w:val="0"/>
          <w:bCs w:val="0"/>
          <w:noProof/>
          <w:color w:val="auto"/>
        </w:rPr>
        <w:t>2</w:t>
      </w:r>
      <w:r w:rsidRPr="00BA626F">
        <w:rPr>
          <w:rStyle w:val="CETCaptionCarattere"/>
          <w:b w:val="0"/>
          <w:bCs w:val="0"/>
          <w:color w:val="auto"/>
        </w:rPr>
        <w:fldChar w:fldCharType="end"/>
      </w:r>
      <w:r w:rsidRPr="00BA626F">
        <w:rPr>
          <w:rStyle w:val="CETCaptionCarattere"/>
          <w:b w:val="0"/>
          <w:bCs w:val="0"/>
          <w:color w:val="auto"/>
        </w:rPr>
        <w:t>: Conceptual mind map of the Makebook's homepage</w:t>
      </w:r>
    </w:p>
    <w:p w14:paraId="089EA550" w14:textId="77777777" w:rsidR="00F37C6F" w:rsidRDefault="00A03B85" w:rsidP="00F37C6F">
      <w:pPr>
        <w:keepNext/>
        <w:tabs>
          <w:tab w:val="clear" w:pos="7100"/>
        </w:tabs>
        <w:spacing w:before="100" w:beforeAutospacing="1" w:after="100" w:afterAutospacing="1" w:line="240" w:lineRule="auto"/>
        <w:jc w:val="left"/>
      </w:pPr>
      <w:r w:rsidRPr="00A03B85">
        <w:rPr>
          <w:rFonts w:ascii="Times New Roman" w:hAnsi="Times New Roman"/>
          <w:noProof/>
          <w:sz w:val="24"/>
          <w:szCs w:val="24"/>
          <w:lang w:eastAsia="en-GB"/>
        </w:rPr>
        <w:drawing>
          <wp:inline distT="0" distB="0" distL="0" distR="0" wp14:anchorId="74313F51" wp14:editId="2B8196E5">
            <wp:extent cx="5173034" cy="2681785"/>
            <wp:effectExtent l="0" t="0" r="8890" b="444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15"/>
                    <a:srcRect t="1846" b="1"/>
                    <a:stretch/>
                  </pic:blipFill>
                  <pic:spPr bwMode="auto">
                    <a:xfrm>
                      <a:off x="0" y="0"/>
                      <a:ext cx="5211971" cy="2701970"/>
                    </a:xfrm>
                    <a:prstGeom prst="rect">
                      <a:avLst/>
                    </a:prstGeom>
                    <a:ln>
                      <a:noFill/>
                    </a:ln>
                    <a:extLst>
                      <a:ext uri="{53640926-AAD7-44D8-BBD7-CCE9431645EC}">
                        <a14:shadowObscured xmlns:a14="http://schemas.microsoft.com/office/drawing/2010/main"/>
                      </a:ext>
                    </a:extLst>
                  </pic:spPr>
                </pic:pic>
              </a:graphicData>
            </a:graphic>
          </wp:inline>
        </w:drawing>
      </w:r>
    </w:p>
    <w:p w14:paraId="4E39C98D" w14:textId="1930C2B0" w:rsidR="00E320B0" w:rsidRDefault="00F37C6F" w:rsidP="00F37C6F">
      <w:pPr>
        <w:pStyle w:val="Lgende"/>
        <w:spacing w:before="240" w:after="240"/>
        <w:jc w:val="left"/>
        <w:rPr>
          <w:rStyle w:val="CETCaptionCarattere"/>
          <w:b w:val="0"/>
          <w:bCs w:val="0"/>
          <w:color w:val="auto"/>
        </w:rPr>
      </w:pPr>
      <w:r w:rsidRPr="00F37C6F">
        <w:rPr>
          <w:rStyle w:val="CETCaptionCarattere"/>
          <w:b w:val="0"/>
          <w:bCs w:val="0"/>
          <w:color w:val="auto"/>
        </w:rPr>
        <w:t xml:space="preserve">Figure </w:t>
      </w:r>
      <w:r w:rsidRPr="00F37C6F">
        <w:rPr>
          <w:rStyle w:val="CETCaptionCarattere"/>
          <w:b w:val="0"/>
          <w:bCs w:val="0"/>
          <w:color w:val="auto"/>
        </w:rPr>
        <w:fldChar w:fldCharType="begin"/>
      </w:r>
      <w:r w:rsidRPr="00F37C6F">
        <w:rPr>
          <w:rStyle w:val="CETCaptionCarattere"/>
          <w:b w:val="0"/>
          <w:bCs w:val="0"/>
          <w:color w:val="auto"/>
        </w:rPr>
        <w:instrText xml:space="preserve"> SEQ Figure \* ARABIC </w:instrText>
      </w:r>
      <w:r w:rsidRPr="00F37C6F">
        <w:rPr>
          <w:rStyle w:val="CETCaptionCarattere"/>
          <w:b w:val="0"/>
          <w:bCs w:val="0"/>
          <w:color w:val="auto"/>
        </w:rPr>
        <w:fldChar w:fldCharType="separate"/>
      </w:r>
      <w:r w:rsidR="001A4933">
        <w:rPr>
          <w:rStyle w:val="CETCaptionCarattere"/>
          <w:b w:val="0"/>
          <w:bCs w:val="0"/>
          <w:noProof/>
          <w:color w:val="auto"/>
        </w:rPr>
        <w:t>3</w:t>
      </w:r>
      <w:r w:rsidRPr="00F37C6F">
        <w:rPr>
          <w:rStyle w:val="CETCaptionCarattere"/>
          <w:b w:val="0"/>
          <w:bCs w:val="0"/>
          <w:color w:val="auto"/>
        </w:rPr>
        <w:fldChar w:fldCharType="end"/>
      </w:r>
      <w:r w:rsidRPr="00F37C6F">
        <w:rPr>
          <w:rStyle w:val="CETCaptionCarattere"/>
          <w:b w:val="0"/>
          <w:bCs w:val="0"/>
          <w:color w:val="auto"/>
        </w:rPr>
        <w:t>: The user's query performed through SPOOQ's graphical user interface</w:t>
      </w:r>
    </w:p>
    <w:p w14:paraId="0D2ACF0C" w14:textId="596DBEC9" w:rsidR="00FF38EE" w:rsidRPr="00FF38EE" w:rsidRDefault="00FF38EE" w:rsidP="00FF38EE">
      <w:r>
        <w:t xml:space="preserve">Figure 4 shows that two milling itineraries applied to a </w:t>
      </w:r>
      <w:r w:rsidR="00935933">
        <w:t>Hemp Core or Rice Husk</w:t>
      </w:r>
      <w:r>
        <w:t xml:space="preserve"> enable obtaining vegetable powders with the required cellulose content</w:t>
      </w:r>
      <w:r w:rsidR="00935933">
        <w:t xml:space="preserve"> specified in the users’ query</w:t>
      </w:r>
      <w:r>
        <w:t xml:space="preserve">. </w:t>
      </w:r>
    </w:p>
    <w:p w14:paraId="064C18A6" w14:textId="77777777" w:rsidR="001A4933" w:rsidRDefault="00367171" w:rsidP="001A4933">
      <w:pPr>
        <w:pStyle w:val="CETBodytext"/>
        <w:keepNext/>
        <w:spacing w:before="240" w:after="240"/>
      </w:pPr>
      <w:r w:rsidRPr="00367171">
        <w:rPr>
          <w:noProof/>
          <w:lang w:val="en-GB" w:eastAsia="en-GB"/>
        </w:rPr>
        <w:drawing>
          <wp:inline distT="0" distB="0" distL="0" distR="0" wp14:anchorId="1C9DFA86" wp14:editId="122FF376">
            <wp:extent cx="5577372" cy="600152"/>
            <wp:effectExtent l="0" t="0" r="4445"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16"/>
                    <a:srcRect t="36740" b="29944"/>
                    <a:stretch/>
                  </pic:blipFill>
                  <pic:spPr bwMode="auto">
                    <a:xfrm>
                      <a:off x="0" y="0"/>
                      <a:ext cx="5579745" cy="600407"/>
                    </a:xfrm>
                    <a:prstGeom prst="rect">
                      <a:avLst/>
                    </a:prstGeom>
                    <a:ln>
                      <a:noFill/>
                    </a:ln>
                    <a:extLst>
                      <a:ext uri="{53640926-AAD7-44D8-BBD7-CCE9431645EC}">
                        <a14:shadowObscured xmlns:a14="http://schemas.microsoft.com/office/drawing/2010/main"/>
                      </a:ext>
                    </a:extLst>
                  </pic:spPr>
                </pic:pic>
              </a:graphicData>
            </a:graphic>
          </wp:inline>
        </w:drawing>
      </w:r>
    </w:p>
    <w:p w14:paraId="1CD44808" w14:textId="0027088E" w:rsidR="007B15DD" w:rsidRPr="001A4933" w:rsidRDefault="001A4933" w:rsidP="001A4933">
      <w:pPr>
        <w:pStyle w:val="Lgende"/>
        <w:rPr>
          <w:rStyle w:val="CETCaptionCarattere"/>
          <w:b w:val="0"/>
          <w:bCs w:val="0"/>
          <w:color w:val="auto"/>
        </w:rPr>
      </w:pPr>
      <w:r w:rsidRPr="001A4933">
        <w:rPr>
          <w:rStyle w:val="CETCaptionCarattere"/>
          <w:b w:val="0"/>
          <w:bCs w:val="0"/>
          <w:color w:val="auto"/>
        </w:rPr>
        <w:t xml:space="preserve">Figure </w:t>
      </w:r>
      <w:r w:rsidRPr="001A4933">
        <w:rPr>
          <w:rStyle w:val="CETCaptionCarattere"/>
          <w:b w:val="0"/>
          <w:bCs w:val="0"/>
          <w:color w:val="auto"/>
        </w:rPr>
        <w:fldChar w:fldCharType="begin"/>
      </w:r>
      <w:r w:rsidRPr="001A4933">
        <w:rPr>
          <w:rStyle w:val="CETCaptionCarattere"/>
          <w:b w:val="0"/>
          <w:bCs w:val="0"/>
          <w:color w:val="auto"/>
        </w:rPr>
        <w:instrText xml:space="preserve"> SEQ Figure \* ARABIC </w:instrText>
      </w:r>
      <w:r w:rsidRPr="001A4933">
        <w:rPr>
          <w:rStyle w:val="CETCaptionCarattere"/>
          <w:b w:val="0"/>
          <w:bCs w:val="0"/>
          <w:color w:val="auto"/>
        </w:rPr>
        <w:fldChar w:fldCharType="separate"/>
      </w:r>
      <w:r w:rsidRPr="001A4933">
        <w:rPr>
          <w:rStyle w:val="CETCaptionCarattere"/>
          <w:b w:val="0"/>
          <w:bCs w:val="0"/>
          <w:color w:val="auto"/>
        </w:rPr>
        <w:t>4</w:t>
      </w:r>
      <w:r w:rsidRPr="001A4933">
        <w:rPr>
          <w:rStyle w:val="CETCaptionCarattere"/>
          <w:b w:val="0"/>
          <w:bCs w:val="0"/>
          <w:color w:val="auto"/>
        </w:rPr>
        <w:fldChar w:fldCharType="end"/>
      </w:r>
      <w:r w:rsidRPr="001A4933">
        <w:rPr>
          <w:rStyle w:val="CETCaptionCarattere"/>
          <w:b w:val="0"/>
          <w:bCs w:val="0"/>
          <w:color w:val="auto"/>
        </w:rPr>
        <w:t>: Results of the user's query that looks for vegetable powders with a given cellulose content</w:t>
      </w:r>
    </w:p>
    <w:p w14:paraId="42527596" w14:textId="44D1DD45" w:rsidR="00AC3FB0" w:rsidRDefault="00600535" w:rsidP="00600535">
      <w:pPr>
        <w:pStyle w:val="CETHeading1"/>
        <w:rPr>
          <w:lang w:val="en-GB"/>
        </w:rPr>
      </w:pPr>
      <w:r w:rsidRPr="00B57B36">
        <w:rPr>
          <w:lang w:val="en-GB"/>
        </w:rPr>
        <w:t>Conclusions</w:t>
      </w:r>
    </w:p>
    <w:p w14:paraId="1658C6C4" w14:textId="2EAE9854" w:rsidR="000B1031" w:rsidRDefault="00764D15" w:rsidP="0079056D">
      <w:pPr>
        <w:pStyle w:val="CETBodytext"/>
        <w:rPr>
          <w:lang w:val="en-GB"/>
        </w:rPr>
      </w:pPr>
      <w:r>
        <w:rPr>
          <w:lang w:val="en-GB"/>
        </w:rPr>
        <w:t>To conclude, this paper has presented and illustrated Powderlib, an instantiation of ICAM’s integrative digital platform designed to support innovation transfer around vegetal powders and aid in the eco-design of sustainable transformation processes.</w:t>
      </w:r>
      <w:r w:rsidR="00EC170B">
        <w:rPr>
          <w:lang w:val="en-GB"/>
        </w:rPr>
        <w:t xml:space="preserve"> Powderlib adopts vocabulary and semantics from the PO2/TransformOn </w:t>
      </w:r>
      <w:r w:rsidR="00EC170B">
        <w:rPr>
          <w:lang w:val="en-GB"/>
        </w:rPr>
        <w:lastRenderedPageBreak/>
        <w:t xml:space="preserve">ontology, which has been designed to address the data harmonization challenge around feed, food, bioproducts and waste. Four modules are linked together </w:t>
      </w:r>
      <w:r w:rsidR="00997289">
        <w:rPr>
          <w:lang w:val="en-GB"/>
        </w:rPr>
        <w:t>using</w:t>
      </w:r>
      <w:r w:rsidR="00EC170B">
        <w:rPr>
          <w:lang w:val="en-GB"/>
        </w:rPr>
        <w:t xml:space="preserve"> vocabulary and semantics from the PO2/TransformOn ontology. The CAPEX module is a reasoning engine designed to provide technological recommendations. The Makebook software tool stores electronic knowledge books that structure information as RDF graphs. PO2Manager is </w:t>
      </w:r>
      <w:r w:rsidR="00782C6D">
        <w:rPr>
          <w:lang w:val="en-GB"/>
        </w:rPr>
        <w:t xml:space="preserve">a </w:t>
      </w:r>
      <w:r w:rsidR="00EC170B">
        <w:rPr>
          <w:lang w:val="en-GB"/>
        </w:rPr>
        <w:t xml:space="preserve">software application that enables storing data in data repositories structured with the PO2/TransformOn ontology. SPOOQ is a web-based tool conceived to ease queries of repositories contained in PO2Manager. AdCVcalc&amp;visu is a visualization and environmental assessment model under development that leverages AI methodologies to augment missing data, assess environmental impacts of different transformation itineraries </w:t>
      </w:r>
      <w:r w:rsidR="00782C6D">
        <w:rPr>
          <w:lang w:val="en-GB"/>
        </w:rPr>
        <w:t xml:space="preserve">and recommend pathways </w:t>
      </w:r>
      <w:r w:rsidR="00EC170B">
        <w:rPr>
          <w:lang w:val="en-GB"/>
        </w:rPr>
        <w:t xml:space="preserve">accounting for uncertainty and casual relations. </w:t>
      </w:r>
      <w:r w:rsidR="0079056D">
        <w:rPr>
          <w:lang w:val="en-GB"/>
        </w:rPr>
        <w:t xml:space="preserve">Present work is focused on addressing the challenge of collecting and obtaining the necessary data to compute multi-criteria LCA environmental assessment indicators. Present work is also focused on the development of the AdCVcalc&amp;visu module to enable the sustainability assessment and comparison of vegetal powders’ transformation pathways. </w:t>
      </w:r>
    </w:p>
    <w:p w14:paraId="7B168D3A" w14:textId="77777777" w:rsidR="0079056D" w:rsidRDefault="0079056D" w:rsidP="0079056D">
      <w:pPr>
        <w:pStyle w:val="CETBodytext"/>
        <w:rPr>
          <w:lang w:val="en-GB"/>
        </w:rPr>
      </w:pPr>
    </w:p>
    <w:p w14:paraId="1E7B619F" w14:textId="157D8968" w:rsidR="00567518" w:rsidRPr="00126343" w:rsidRDefault="001D5227" w:rsidP="000B1031">
      <w:pPr>
        <w:pStyle w:val="CETBodytext"/>
      </w:pPr>
      <w:r>
        <w:rPr>
          <w:lang w:val="en-GB"/>
        </w:rPr>
        <w:t>Perspectives are to extend the PowderLib platform with data an</w:t>
      </w:r>
      <w:r w:rsidR="00062952">
        <w:rPr>
          <w:lang w:val="en-GB"/>
        </w:rPr>
        <w:t>d knowledge related to vegetal</w:t>
      </w:r>
      <w:r>
        <w:rPr>
          <w:lang w:val="en-GB"/>
        </w:rPr>
        <w:t xml:space="preserve"> powders and transformation processes for</w:t>
      </w:r>
      <w:r w:rsidR="00062952">
        <w:rPr>
          <w:lang w:val="en-GB"/>
        </w:rPr>
        <w:t xml:space="preserve"> the production of</w:t>
      </w:r>
      <w:r>
        <w:rPr>
          <w:lang w:val="en-GB"/>
        </w:rPr>
        <w:t xml:space="preserve"> biocomposites used </w:t>
      </w:r>
      <w:r w:rsidR="00062952">
        <w:rPr>
          <w:lang w:val="en-GB"/>
        </w:rPr>
        <w:t>for</w:t>
      </w:r>
      <w:r>
        <w:rPr>
          <w:lang w:val="en-GB"/>
        </w:rPr>
        <w:t xml:space="preserve"> food packaging and 3D printing. </w:t>
      </w:r>
      <w:r w:rsidR="00126343">
        <w:rPr>
          <w:lang w:val="en-GB"/>
        </w:rPr>
        <w:t>A p</w:t>
      </w:r>
      <w:r w:rsidR="00221B80">
        <w:rPr>
          <w:lang w:val="en-GB"/>
        </w:rPr>
        <w:t>otential limi</w:t>
      </w:r>
      <w:r w:rsidR="00126343">
        <w:rPr>
          <w:lang w:val="en-GB"/>
        </w:rPr>
        <w:t xml:space="preserve">tation </w:t>
      </w:r>
      <w:r w:rsidR="00221B80">
        <w:rPr>
          <w:lang w:val="en-GB"/>
        </w:rPr>
        <w:t xml:space="preserve">of the </w:t>
      </w:r>
      <w:r w:rsidR="00567518">
        <w:rPr>
          <w:lang w:val="en-GB"/>
        </w:rPr>
        <w:t xml:space="preserve">current </w:t>
      </w:r>
      <w:r w:rsidR="00221B80">
        <w:rPr>
          <w:lang w:val="en-GB"/>
        </w:rPr>
        <w:t xml:space="preserve">platform </w:t>
      </w:r>
      <w:r w:rsidR="00126343">
        <w:rPr>
          <w:lang w:val="en-GB"/>
        </w:rPr>
        <w:t>is</w:t>
      </w:r>
      <w:r w:rsidR="00567518">
        <w:rPr>
          <w:lang w:val="en-GB"/>
        </w:rPr>
        <w:t xml:space="preserve"> the introduction of new data in the Makebook and PO2/Manager modules. Since the</w:t>
      </w:r>
      <w:r w:rsidR="00567518">
        <w:t xml:space="preserve"> introduction of new d</w:t>
      </w:r>
      <w:r w:rsidR="00567518">
        <w:t xml:space="preserve">ata is currently done manually. A perspective is </w:t>
      </w:r>
      <w:r w:rsidR="00567518">
        <w:t>to create an interface so that researchers can input new data as they produce it and publish articles</w:t>
      </w:r>
      <w:r w:rsidR="00567518">
        <w:t xml:space="preserve">. </w:t>
      </w:r>
      <w:bookmarkStart w:id="1" w:name="_GoBack"/>
      <w:bookmarkEnd w:id="1"/>
    </w:p>
    <w:p w14:paraId="459D05E6" w14:textId="2B9858F1" w:rsidR="00600535" w:rsidRPr="00B57B36" w:rsidRDefault="00600535" w:rsidP="00600535">
      <w:pPr>
        <w:pStyle w:val="CETAcknowledgementstitle"/>
      </w:pPr>
      <w:r w:rsidRPr="00B57B36">
        <w:t>Acknowledgments</w:t>
      </w:r>
      <w:r w:rsidR="0091777E">
        <w:t xml:space="preserve"> </w:t>
      </w:r>
    </w:p>
    <w:p w14:paraId="33F8138F" w14:textId="7BC92477" w:rsidR="00600535" w:rsidRDefault="000B2BCB" w:rsidP="00600535">
      <w:pPr>
        <w:pStyle w:val="CETBodytext"/>
        <w:rPr>
          <w:lang w:val="en-GB"/>
        </w:rPr>
      </w:pPr>
      <w:r>
        <w:rPr>
          <w:lang w:val="en-GB"/>
        </w:rPr>
        <w:t>This work acknowledges funding</w:t>
      </w:r>
      <w:r w:rsidR="001B4A2C">
        <w:rPr>
          <w:lang w:val="en-GB"/>
        </w:rPr>
        <w:t xml:space="preserve"> from</w:t>
      </w:r>
      <w:r>
        <w:rPr>
          <w:lang w:val="en-GB"/>
        </w:rPr>
        <w:t xml:space="preserve"> the Carnot 3BCAR </w:t>
      </w:r>
      <w:r w:rsidR="00820FC1">
        <w:rPr>
          <w:lang w:val="en-GB"/>
        </w:rPr>
        <w:t xml:space="preserve">and ANR </w:t>
      </w:r>
      <w:r w:rsidR="009754EF">
        <w:rPr>
          <w:lang w:val="en-GB"/>
        </w:rPr>
        <w:t xml:space="preserve">PEPR </w:t>
      </w:r>
      <w:r w:rsidR="00820FC1">
        <w:rPr>
          <w:lang w:val="en-GB"/>
        </w:rPr>
        <w:t xml:space="preserve">FAIRCARBON SLAM’B </w:t>
      </w:r>
      <w:r>
        <w:rPr>
          <w:lang w:val="en-GB"/>
        </w:rPr>
        <w:t xml:space="preserve">research institutions. </w:t>
      </w:r>
    </w:p>
    <w:p w14:paraId="19C4FC68" w14:textId="2C56A763" w:rsidR="004628D2" w:rsidRPr="00023B47" w:rsidRDefault="00600535" w:rsidP="007C0FB2">
      <w:pPr>
        <w:pStyle w:val="CETReference"/>
        <w:rPr>
          <w:color w:val="FF0000"/>
          <w:lang w:val="fr-FR"/>
        </w:rPr>
      </w:pPr>
      <w:r w:rsidRPr="00023B47">
        <w:rPr>
          <w:lang w:val="fr-FR"/>
        </w:rPr>
        <w:t>References</w:t>
      </w:r>
    </w:p>
    <w:p w14:paraId="01FE9E84" w14:textId="5F57384C" w:rsidR="00E41E11" w:rsidRPr="00E41E11" w:rsidRDefault="0063453B" w:rsidP="00E41E11">
      <w:pPr>
        <w:pStyle w:val="Bibliographie"/>
        <w:rPr>
          <w:rFonts w:cs="Arial"/>
          <w:lang w:val="fr-FR"/>
        </w:rPr>
      </w:pPr>
      <w:r>
        <w:rPr>
          <w:lang w:val="fr-FR"/>
        </w:rPr>
        <w:fldChar w:fldCharType="begin"/>
      </w:r>
      <w:r w:rsidR="00E41E11">
        <w:rPr>
          <w:lang w:val="fr-FR"/>
        </w:rPr>
        <w:instrText xml:space="preserve"> ADDIN ZOTERO_BIBL {"uncited":[],"omitted":[],"custom":[]} CSL_BIBLIOGRAPHY </w:instrText>
      </w:r>
      <w:r>
        <w:rPr>
          <w:lang w:val="fr-FR"/>
        </w:rPr>
        <w:fldChar w:fldCharType="separate"/>
      </w:r>
      <w:r w:rsidR="00E41E11" w:rsidRPr="00E41E11">
        <w:rPr>
          <w:rFonts w:cs="Arial"/>
          <w:lang w:val="fr-FR"/>
        </w:rPr>
        <w:t xml:space="preserve">Baudrit, C., Fernandez, C., Couteaux, J., Buche, P., Bel, N., Charles, C., Notz, E., 2024. </w:t>
      </w:r>
      <w:r w:rsidR="00E41E11" w:rsidRPr="00E41E11">
        <w:rPr>
          <w:rFonts w:cs="Arial"/>
        </w:rPr>
        <w:t xml:space="preserve">Cheese eK-Book: a new web-based medium for capitalising on, structuring and transferring cheesemaking knowledge and know-how. </w:t>
      </w:r>
      <w:r w:rsidR="00E41E11" w:rsidRPr="00E41E11">
        <w:rPr>
          <w:rFonts w:cs="Arial"/>
          <w:lang w:val="fr-FR"/>
        </w:rPr>
        <w:t xml:space="preserve">Journal of Documentation. </w:t>
      </w:r>
    </w:p>
    <w:p w14:paraId="2013CF99" w14:textId="3017A93B" w:rsidR="00E41E11" w:rsidRPr="00E41E11" w:rsidRDefault="00E41E11" w:rsidP="00E41E11">
      <w:pPr>
        <w:pStyle w:val="Bibliographie"/>
        <w:rPr>
          <w:rFonts w:cs="Arial"/>
          <w:lang w:val="fr-FR"/>
        </w:rPr>
      </w:pPr>
      <w:r w:rsidRPr="00E41E11">
        <w:rPr>
          <w:rFonts w:cs="Arial"/>
          <w:lang w:val="fr-FR"/>
        </w:rPr>
        <w:t xml:space="preserve">Buche, P., Couteaux, J., Cufi, J., Destercke, S., Oudot, A., 2023. </w:t>
      </w:r>
      <w:r w:rsidRPr="00E41E11">
        <w:rPr>
          <w:rFonts w:cs="Arial"/>
        </w:rPr>
        <w:t xml:space="preserve">Integrating collective know-how for multicriteria decision support in agrifood chains—application to cheesemaking. </w:t>
      </w:r>
      <w:r w:rsidRPr="00E41E11">
        <w:rPr>
          <w:rFonts w:cs="Arial"/>
          <w:lang w:val="fr-FR"/>
        </w:rPr>
        <w:t xml:space="preserve">Front. Artif. Intell. 6. </w:t>
      </w:r>
    </w:p>
    <w:p w14:paraId="330FE96A" w14:textId="16C40C4F" w:rsidR="00E41E11" w:rsidRPr="00E41E11" w:rsidRDefault="00E41E11" w:rsidP="00E41E11">
      <w:pPr>
        <w:pStyle w:val="Bibliographie"/>
        <w:rPr>
          <w:rFonts w:cs="Arial"/>
        </w:rPr>
      </w:pPr>
      <w:r w:rsidRPr="00E41E11">
        <w:rPr>
          <w:rFonts w:cs="Arial"/>
          <w:lang w:val="fr-FR"/>
        </w:rPr>
        <w:t xml:space="preserve">Lammi, S., Le Moigne, N., Djenane, D., Gontard, N., Angellier-Coussy, H., 2018. </w:t>
      </w:r>
      <w:r w:rsidRPr="00E41E11">
        <w:rPr>
          <w:rFonts w:cs="Arial"/>
        </w:rPr>
        <w:t xml:space="preserve">Dry fractionation of olive pomace for the development of food packaging biocomposites. Industrial Crops and Products 120, 250–261. </w:t>
      </w:r>
    </w:p>
    <w:p w14:paraId="047A6745" w14:textId="2BE0B461" w:rsidR="00E41E11" w:rsidRPr="00E41E11" w:rsidRDefault="00E41E11" w:rsidP="00E41E11">
      <w:pPr>
        <w:pStyle w:val="Bibliographie"/>
        <w:rPr>
          <w:rFonts w:cs="Arial"/>
        </w:rPr>
      </w:pPr>
      <w:r w:rsidRPr="004633FF">
        <w:rPr>
          <w:rFonts w:cs="Arial"/>
          <w:lang w:val="fr-FR"/>
        </w:rPr>
        <w:t xml:space="preserve">Le Duigou, A., Correa, D., Ueda, M., Matsuzaki, R., Castro, M., 2020. </w:t>
      </w:r>
      <w:r w:rsidRPr="00E41E11">
        <w:rPr>
          <w:rFonts w:cs="Arial"/>
        </w:rPr>
        <w:t xml:space="preserve">A review of 3D and 4D printing of natural fibre biocomposites. Materials &amp; Design 194, 108911. </w:t>
      </w:r>
    </w:p>
    <w:p w14:paraId="66D87AC9" w14:textId="7A18FE4C" w:rsidR="00E41E11" w:rsidRPr="00E41E11" w:rsidRDefault="00E41E11" w:rsidP="00E41E11">
      <w:pPr>
        <w:pStyle w:val="Bibliographie"/>
        <w:rPr>
          <w:rFonts w:cs="Arial"/>
          <w:lang w:val="fr-FR"/>
        </w:rPr>
      </w:pPr>
      <w:r w:rsidRPr="00E41E11">
        <w:rPr>
          <w:rFonts w:cs="Arial"/>
        </w:rPr>
        <w:t xml:space="preserve">Munch, M., Buche, P., Dervaux, S., Breysse, A., Berthet, M.-A., David, G., Lammi, S., Rol, F., Viretto, A., Angellier-Coussy, H., 2022a. Biocomposites from poly(3-hydroxybutyrate-co-3-hydroxyvalerate) and lignocellulosic fillers: Processes stored in data warehouse structured by an ontology. </w:t>
      </w:r>
      <w:r w:rsidRPr="00E41E11">
        <w:rPr>
          <w:rFonts w:cs="Arial"/>
          <w:lang w:val="fr-FR"/>
        </w:rPr>
        <w:t xml:space="preserve">Data in Brief 42, 108191. </w:t>
      </w:r>
    </w:p>
    <w:p w14:paraId="19EB5E1E" w14:textId="6674AFFF" w:rsidR="00E41E11" w:rsidRPr="00E41E11" w:rsidRDefault="00E41E11" w:rsidP="00E41E11">
      <w:pPr>
        <w:pStyle w:val="Bibliographie"/>
        <w:rPr>
          <w:rFonts w:cs="Arial"/>
        </w:rPr>
      </w:pPr>
      <w:r w:rsidRPr="00E41E11">
        <w:rPr>
          <w:rFonts w:cs="Arial"/>
          <w:lang w:val="fr-FR"/>
        </w:rPr>
        <w:t xml:space="preserve">Munch, M., Buche, P., Dervaux, S., Dibie, J., Ibanescu, L., Manfredotti, C., Wuillemin, P.-H., Angellier-Coussy, H., 2022b. </w:t>
      </w:r>
      <w:r w:rsidRPr="00E41E11">
        <w:rPr>
          <w:rFonts w:cs="Arial"/>
        </w:rPr>
        <w:t xml:space="preserve">Combining ontology and probabilistic models for the design of bio-based product transformation processes. Expert Systems with Applications 203, 117406. </w:t>
      </w:r>
    </w:p>
    <w:p w14:paraId="75866A5B" w14:textId="77777777" w:rsidR="00E41E11" w:rsidRPr="00E41E11" w:rsidRDefault="00E41E11" w:rsidP="00E41E11">
      <w:pPr>
        <w:pStyle w:val="Bibliographie"/>
        <w:rPr>
          <w:rFonts w:cs="Arial"/>
        </w:rPr>
      </w:pPr>
      <w:r w:rsidRPr="00E41E11">
        <w:rPr>
          <w:rFonts w:cs="Arial"/>
        </w:rPr>
        <w:t>Our manifesto, 2023. . Bioeconomy For Change. URL https://www.bioeconomyforchange.eu/en/our-manifesto/ (accessed 2.14.25).</w:t>
      </w:r>
    </w:p>
    <w:p w14:paraId="40AB0D82" w14:textId="62B03E2B" w:rsidR="00E41E11" w:rsidRPr="00E41E11" w:rsidRDefault="00E41E11" w:rsidP="00E41E11">
      <w:pPr>
        <w:pStyle w:val="Bibliographie"/>
        <w:rPr>
          <w:rFonts w:cs="Arial"/>
        </w:rPr>
      </w:pPr>
      <w:r w:rsidRPr="00E41E11">
        <w:rPr>
          <w:rFonts w:cs="Arial"/>
        </w:rPr>
        <w:t xml:space="preserve">Phanthong, P., Reubroycharoen, P., Hao, X., Xu, G., Abudula, A., Guan, G., 2018. Nanocellulose: Extraction and application. Carbon Resources Conversion 1, 32–43. </w:t>
      </w:r>
    </w:p>
    <w:p w14:paraId="7D321628" w14:textId="77777777" w:rsidR="00E41E11" w:rsidRPr="00E41E11" w:rsidRDefault="00E41E11" w:rsidP="00E41E11">
      <w:pPr>
        <w:pStyle w:val="Bibliographie"/>
        <w:rPr>
          <w:rFonts w:cs="Arial"/>
        </w:rPr>
      </w:pPr>
      <w:r w:rsidRPr="00E41E11">
        <w:rPr>
          <w:rFonts w:cs="Arial"/>
        </w:rPr>
        <w:t>PowderLib Portal [WWW Document], 2025. URL https://icotest.iate.inrae.fr/powderlib_portail/ (accessed 2.14.25).</w:t>
      </w:r>
    </w:p>
    <w:p w14:paraId="0588E5E2" w14:textId="79DF7081" w:rsidR="00E41E11" w:rsidRPr="00E41E11" w:rsidRDefault="00E41E11" w:rsidP="00E41E11">
      <w:pPr>
        <w:pStyle w:val="Bibliographie"/>
        <w:rPr>
          <w:rFonts w:cs="Arial"/>
        </w:rPr>
      </w:pPr>
      <w:r w:rsidRPr="00E41E11">
        <w:rPr>
          <w:rFonts w:cs="Arial"/>
        </w:rPr>
        <w:t xml:space="preserve">Prioux, N., Ouaret, R., Hetreux, G., Belaud, J.-P., 2023. Environmental assessment coupled with machine learning for circular economy. Clean Techn Environ Policy 25, 689–702. </w:t>
      </w:r>
    </w:p>
    <w:p w14:paraId="6FE7D18F" w14:textId="2381BF2B" w:rsidR="00E41E11" w:rsidRPr="00E41E11" w:rsidRDefault="00BB519D" w:rsidP="00E41E11">
      <w:pPr>
        <w:pStyle w:val="Bibliographie"/>
        <w:rPr>
          <w:rFonts w:cs="Arial"/>
        </w:rPr>
      </w:pPr>
      <w:r>
        <w:rPr>
          <w:rFonts w:cs="Arial"/>
          <w:lang w:val="fr-FR"/>
        </w:rPr>
        <w:t>Prioux N., Ouaret, R.</w:t>
      </w:r>
      <w:r w:rsidR="00E41E11" w:rsidRPr="004633FF">
        <w:rPr>
          <w:rFonts w:cs="Arial"/>
          <w:lang w:val="fr-FR"/>
        </w:rPr>
        <w:t xml:space="preserve">, </w:t>
      </w:r>
      <w:r w:rsidRPr="00BB519D">
        <w:rPr>
          <w:rFonts w:cs="Arial"/>
          <w:lang w:val="fr-FR"/>
        </w:rPr>
        <w:t>Belaud, J.-P.</w:t>
      </w:r>
      <w:r w:rsidR="00E41E11" w:rsidRPr="004633FF">
        <w:rPr>
          <w:rFonts w:cs="Arial"/>
          <w:lang w:val="fr-FR"/>
        </w:rPr>
        <w:t xml:space="preserve">, 2023. </w:t>
      </w:r>
      <w:r w:rsidR="00E41E11" w:rsidRPr="00E41E11">
        <w:rPr>
          <w:rFonts w:cs="Arial"/>
        </w:rPr>
        <w:t xml:space="preserve">Environmental Assessment of Glucose Production Using Neuronal Networks. Chemical Engineering Transactions 105, 301–306. </w:t>
      </w:r>
    </w:p>
    <w:p w14:paraId="04E2515D" w14:textId="7854914D" w:rsidR="00E41E11" w:rsidRPr="00E41E11" w:rsidRDefault="00E41E11" w:rsidP="00E41E11">
      <w:pPr>
        <w:pStyle w:val="Bibliographie"/>
        <w:rPr>
          <w:rFonts w:cs="Arial"/>
        </w:rPr>
      </w:pPr>
      <w:r w:rsidRPr="00E41E11">
        <w:rPr>
          <w:rFonts w:cs="Arial"/>
          <w:lang w:val="fr-FR"/>
        </w:rPr>
        <w:t xml:space="preserve">Weber, M., Buche, P., Ibanescu, L., Dervaux, S., Guillemin, H., Cufi, J., Visalli, M., Guichard, E., Pénicaud, C., 2023. </w:t>
      </w:r>
      <w:r w:rsidRPr="00E41E11">
        <w:rPr>
          <w:rFonts w:cs="Arial"/>
        </w:rPr>
        <w:t xml:space="preserve">PO2/TransformON, an ontology for data integration on food, feed, bioproducts and biowaste engineering. npj Sci Food 7, 47. </w:t>
      </w:r>
    </w:p>
    <w:p w14:paraId="2D15176D" w14:textId="795810C8" w:rsidR="00D14B29" w:rsidRPr="00016212" w:rsidRDefault="0063453B" w:rsidP="00D75765">
      <w:pPr>
        <w:pStyle w:val="Bibliographie"/>
      </w:pPr>
      <w:r>
        <w:rPr>
          <w:lang w:val="fr-FR"/>
        </w:rPr>
        <w:fldChar w:fldCharType="end"/>
      </w:r>
    </w:p>
    <w:sectPr w:rsidR="00D14B29" w:rsidRPr="0001621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5465" w14:textId="77777777" w:rsidR="00AE59F6" w:rsidRDefault="00AE59F6" w:rsidP="004F5E36">
      <w:r>
        <w:separator/>
      </w:r>
    </w:p>
  </w:endnote>
  <w:endnote w:type="continuationSeparator" w:id="0">
    <w:p w14:paraId="2A64307E" w14:textId="77777777" w:rsidR="00AE59F6" w:rsidRDefault="00AE59F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AC4D" w14:textId="77777777" w:rsidR="00AE59F6" w:rsidRDefault="00AE59F6" w:rsidP="004F5E36">
      <w:r>
        <w:separator/>
      </w:r>
    </w:p>
  </w:footnote>
  <w:footnote w:type="continuationSeparator" w:id="0">
    <w:p w14:paraId="5AC982C3" w14:textId="77777777" w:rsidR="00AE59F6" w:rsidRDefault="00AE59F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E90633A"/>
    <w:multiLevelType w:val="hybridMultilevel"/>
    <w:tmpl w:val="EED6294C"/>
    <w:lvl w:ilvl="0" w:tplc="D0D068B8">
      <w:start w:val="1"/>
      <w:numFmt w:val="decimal"/>
      <w:lvlText w:val="%1."/>
      <w:lvlJc w:val="left"/>
      <w:pPr>
        <w:ind w:left="720" w:hanging="360"/>
      </w:pPr>
    </w:lvl>
    <w:lvl w:ilvl="1" w:tplc="B374ED66">
      <w:start w:val="1"/>
      <w:numFmt w:val="lowerLetter"/>
      <w:lvlText w:val="%2."/>
      <w:lvlJc w:val="left"/>
      <w:pPr>
        <w:ind w:left="1440" w:hanging="360"/>
      </w:pPr>
    </w:lvl>
    <w:lvl w:ilvl="2" w:tplc="28A24882">
      <w:start w:val="1"/>
      <w:numFmt w:val="lowerRoman"/>
      <w:lvlText w:val="%3."/>
      <w:lvlJc w:val="right"/>
      <w:pPr>
        <w:ind w:left="2160" w:hanging="180"/>
      </w:pPr>
    </w:lvl>
    <w:lvl w:ilvl="3" w:tplc="13CA91C0">
      <w:start w:val="1"/>
      <w:numFmt w:val="decimal"/>
      <w:lvlText w:val="%4."/>
      <w:lvlJc w:val="left"/>
      <w:pPr>
        <w:ind w:left="2880" w:hanging="360"/>
      </w:pPr>
    </w:lvl>
    <w:lvl w:ilvl="4" w:tplc="1FE276EC">
      <w:start w:val="1"/>
      <w:numFmt w:val="lowerLetter"/>
      <w:lvlText w:val="%5."/>
      <w:lvlJc w:val="left"/>
      <w:pPr>
        <w:ind w:left="3600" w:hanging="360"/>
      </w:pPr>
    </w:lvl>
    <w:lvl w:ilvl="5" w:tplc="BF4AEF9C">
      <w:start w:val="1"/>
      <w:numFmt w:val="lowerRoman"/>
      <w:lvlText w:val="%6."/>
      <w:lvlJc w:val="right"/>
      <w:pPr>
        <w:ind w:left="4320" w:hanging="180"/>
      </w:pPr>
    </w:lvl>
    <w:lvl w:ilvl="6" w:tplc="F3022B3E">
      <w:start w:val="1"/>
      <w:numFmt w:val="decimal"/>
      <w:lvlText w:val="%7."/>
      <w:lvlJc w:val="left"/>
      <w:pPr>
        <w:ind w:left="5040" w:hanging="360"/>
      </w:pPr>
    </w:lvl>
    <w:lvl w:ilvl="7" w:tplc="432075CC">
      <w:start w:val="1"/>
      <w:numFmt w:val="lowerLetter"/>
      <w:lvlText w:val="%8."/>
      <w:lvlJc w:val="left"/>
      <w:pPr>
        <w:ind w:left="5760" w:hanging="360"/>
      </w:pPr>
    </w:lvl>
    <w:lvl w:ilvl="8" w:tplc="7256ED84">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0220B7"/>
    <w:multiLevelType w:val="hybridMultilevel"/>
    <w:tmpl w:val="45A6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0040B"/>
    <w:multiLevelType w:val="hybridMultilevel"/>
    <w:tmpl w:val="6130C842"/>
    <w:lvl w:ilvl="0" w:tplc="EB76962A">
      <w:numFmt w:val="bullet"/>
      <w:lvlText w:val=""/>
      <w:lvlJc w:val="left"/>
      <w:pPr>
        <w:ind w:left="720" w:hanging="360"/>
      </w:pPr>
      <w:rPr>
        <w:rFonts w:ascii="Wingdings" w:eastAsia="Times New Roman" w:hAnsi="Wingdings"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826D5"/>
    <w:multiLevelType w:val="hybridMultilevel"/>
    <w:tmpl w:val="1234A494"/>
    <w:lvl w:ilvl="0" w:tplc="01DCAB1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74B18"/>
    <w:multiLevelType w:val="multilevel"/>
    <w:tmpl w:val="502C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F600F"/>
    <w:multiLevelType w:val="multilevel"/>
    <w:tmpl w:val="FAD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2309D0"/>
    <w:multiLevelType w:val="hybridMultilevel"/>
    <w:tmpl w:val="2A042C06"/>
    <w:lvl w:ilvl="0" w:tplc="4CF261E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F1429A"/>
    <w:multiLevelType w:val="multilevel"/>
    <w:tmpl w:val="A4C0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4F51D0"/>
    <w:multiLevelType w:val="hybridMultilevel"/>
    <w:tmpl w:val="CAFCE420"/>
    <w:lvl w:ilvl="0" w:tplc="56E0427E">
      <w:start w:val="1"/>
      <w:numFmt w:val="decimal"/>
      <w:lvlText w:val="%1."/>
      <w:lvlJc w:val="left"/>
      <w:pPr>
        <w:tabs>
          <w:tab w:val="num" w:pos="720"/>
        </w:tabs>
        <w:ind w:left="720" w:hanging="360"/>
      </w:pPr>
    </w:lvl>
    <w:lvl w:ilvl="1" w:tplc="59C68198" w:tentative="1">
      <w:start w:val="1"/>
      <w:numFmt w:val="decimal"/>
      <w:lvlText w:val="%2."/>
      <w:lvlJc w:val="left"/>
      <w:pPr>
        <w:tabs>
          <w:tab w:val="num" w:pos="1440"/>
        </w:tabs>
        <w:ind w:left="1440" w:hanging="360"/>
      </w:pPr>
    </w:lvl>
    <w:lvl w:ilvl="2" w:tplc="3858D8CC" w:tentative="1">
      <w:start w:val="1"/>
      <w:numFmt w:val="decimal"/>
      <w:lvlText w:val="%3."/>
      <w:lvlJc w:val="left"/>
      <w:pPr>
        <w:tabs>
          <w:tab w:val="num" w:pos="2160"/>
        </w:tabs>
        <w:ind w:left="2160" w:hanging="360"/>
      </w:pPr>
    </w:lvl>
    <w:lvl w:ilvl="3" w:tplc="8F74C0F6" w:tentative="1">
      <w:start w:val="1"/>
      <w:numFmt w:val="decimal"/>
      <w:lvlText w:val="%4."/>
      <w:lvlJc w:val="left"/>
      <w:pPr>
        <w:tabs>
          <w:tab w:val="num" w:pos="2880"/>
        </w:tabs>
        <w:ind w:left="2880" w:hanging="360"/>
      </w:pPr>
    </w:lvl>
    <w:lvl w:ilvl="4" w:tplc="0DBC36E2" w:tentative="1">
      <w:start w:val="1"/>
      <w:numFmt w:val="decimal"/>
      <w:lvlText w:val="%5."/>
      <w:lvlJc w:val="left"/>
      <w:pPr>
        <w:tabs>
          <w:tab w:val="num" w:pos="3600"/>
        </w:tabs>
        <w:ind w:left="3600" w:hanging="360"/>
      </w:pPr>
    </w:lvl>
    <w:lvl w:ilvl="5" w:tplc="0A28F028" w:tentative="1">
      <w:start w:val="1"/>
      <w:numFmt w:val="decimal"/>
      <w:lvlText w:val="%6."/>
      <w:lvlJc w:val="left"/>
      <w:pPr>
        <w:tabs>
          <w:tab w:val="num" w:pos="4320"/>
        </w:tabs>
        <w:ind w:left="4320" w:hanging="360"/>
      </w:pPr>
    </w:lvl>
    <w:lvl w:ilvl="6" w:tplc="BD7E239E" w:tentative="1">
      <w:start w:val="1"/>
      <w:numFmt w:val="decimal"/>
      <w:lvlText w:val="%7."/>
      <w:lvlJc w:val="left"/>
      <w:pPr>
        <w:tabs>
          <w:tab w:val="num" w:pos="5040"/>
        </w:tabs>
        <w:ind w:left="5040" w:hanging="360"/>
      </w:pPr>
    </w:lvl>
    <w:lvl w:ilvl="7" w:tplc="EAC62D14" w:tentative="1">
      <w:start w:val="1"/>
      <w:numFmt w:val="decimal"/>
      <w:lvlText w:val="%8."/>
      <w:lvlJc w:val="left"/>
      <w:pPr>
        <w:tabs>
          <w:tab w:val="num" w:pos="5760"/>
        </w:tabs>
        <w:ind w:left="5760" w:hanging="360"/>
      </w:pPr>
    </w:lvl>
    <w:lvl w:ilvl="8" w:tplc="DA84AA54" w:tentative="1">
      <w:start w:val="1"/>
      <w:numFmt w:val="decimal"/>
      <w:lvlText w:val="%9."/>
      <w:lvlJc w:val="left"/>
      <w:pPr>
        <w:tabs>
          <w:tab w:val="num" w:pos="6480"/>
        </w:tabs>
        <w:ind w:left="6480" w:hanging="360"/>
      </w:pPr>
    </w:lvl>
  </w:abstractNum>
  <w:abstractNum w:abstractNumId="27" w15:restartNumberingAfterBreak="0">
    <w:nsid w:val="560B3566"/>
    <w:multiLevelType w:val="hybridMultilevel"/>
    <w:tmpl w:val="AA8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77F5DBC"/>
    <w:multiLevelType w:val="multilevel"/>
    <w:tmpl w:val="6724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2A7208"/>
    <w:multiLevelType w:val="multilevel"/>
    <w:tmpl w:val="DB9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86B92"/>
    <w:multiLevelType w:val="hybridMultilevel"/>
    <w:tmpl w:val="33A4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3B3B16"/>
    <w:multiLevelType w:val="multilevel"/>
    <w:tmpl w:val="DC1E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734F0C"/>
    <w:multiLevelType w:val="multilevel"/>
    <w:tmpl w:val="A158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F84F4E"/>
    <w:multiLevelType w:val="hybridMultilevel"/>
    <w:tmpl w:val="DBAE34B2"/>
    <w:lvl w:ilvl="0" w:tplc="A628C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17"/>
  </w:num>
  <w:num w:numId="14">
    <w:abstractNumId w:val="30"/>
  </w:num>
  <w:num w:numId="15">
    <w:abstractNumId w:val="35"/>
  </w:num>
  <w:num w:numId="16">
    <w:abstractNumId w:val="33"/>
  </w:num>
  <w:num w:numId="17">
    <w:abstractNumId w:val="16"/>
  </w:num>
  <w:num w:numId="18">
    <w:abstractNumId w:val="17"/>
    <w:lvlOverride w:ilvl="0">
      <w:startOverride w:val="1"/>
    </w:lvlOverride>
  </w:num>
  <w:num w:numId="19">
    <w:abstractNumId w:val="25"/>
  </w:num>
  <w:num w:numId="20">
    <w:abstractNumId w:val="23"/>
  </w:num>
  <w:num w:numId="21">
    <w:abstractNumId w:val="21"/>
  </w:num>
  <w:num w:numId="22">
    <w:abstractNumId w:val="18"/>
  </w:num>
  <w:num w:numId="23">
    <w:abstractNumId w:val="11"/>
  </w:num>
  <w:num w:numId="24">
    <w:abstractNumId w:val="22"/>
  </w:num>
  <w:num w:numId="25">
    <w:abstractNumId w:val="14"/>
  </w:num>
  <w:num w:numId="26">
    <w:abstractNumId w:val="19"/>
  </w:num>
  <w:num w:numId="27">
    <w:abstractNumId w:val="36"/>
  </w:num>
  <w:num w:numId="28">
    <w:abstractNumId w:val="31"/>
  </w:num>
  <w:num w:numId="29">
    <w:abstractNumId w:val="13"/>
  </w:num>
  <w:num w:numId="30">
    <w:abstractNumId w:val="26"/>
  </w:num>
  <w:num w:numId="31">
    <w:abstractNumId w:val="24"/>
  </w:num>
  <w:num w:numId="32">
    <w:abstractNumId w:val="32"/>
  </w:num>
  <w:num w:numId="33">
    <w:abstractNumId w:val="12"/>
  </w:num>
  <w:num w:numId="34">
    <w:abstractNumId w:val="10"/>
  </w:num>
  <w:num w:numId="35">
    <w:abstractNumId w:val="27"/>
  </w:num>
  <w:num w:numId="36">
    <w:abstractNumId w:val="37"/>
  </w:num>
  <w:num w:numId="37">
    <w:abstractNumId w:val="29"/>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21"/>
    <w:rsid w:val="000027C0"/>
    <w:rsid w:val="000052FB"/>
    <w:rsid w:val="00005A19"/>
    <w:rsid w:val="00007D77"/>
    <w:rsid w:val="000117CB"/>
    <w:rsid w:val="000124CC"/>
    <w:rsid w:val="000148ED"/>
    <w:rsid w:val="00016212"/>
    <w:rsid w:val="00016C62"/>
    <w:rsid w:val="00023B47"/>
    <w:rsid w:val="0003148D"/>
    <w:rsid w:val="00031DBC"/>
    <w:rsid w:val="00031EEC"/>
    <w:rsid w:val="000328D2"/>
    <w:rsid w:val="0003629A"/>
    <w:rsid w:val="00036574"/>
    <w:rsid w:val="00036769"/>
    <w:rsid w:val="000368AA"/>
    <w:rsid w:val="0004071A"/>
    <w:rsid w:val="000410B0"/>
    <w:rsid w:val="00041487"/>
    <w:rsid w:val="00043025"/>
    <w:rsid w:val="0004396D"/>
    <w:rsid w:val="00051566"/>
    <w:rsid w:val="0005171B"/>
    <w:rsid w:val="000562A9"/>
    <w:rsid w:val="00056BFA"/>
    <w:rsid w:val="00062952"/>
    <w:rsid w:val="00062A9A"/>
    <w:rsid w:val="00063393"/>
    <w:rsid w:val="00065058"/>
    <w:rsid w:val="00065229"/>
    <w:rsid w:val="00065CF5"/>
    <w:rsid w:val="00065DD5"/>
    <w:rsid w:val="00070424"/>
    <w:rsid w:val="000717E8"/>
    <w:rsid w:val="00072C41"/>
    <w:rsid w:val="00084959"/>
    <w:rsid w:val="00085A65"/>
    <w:rsid w:val="00086C39"/>
    <w:rsid w:val="00087D09"/>
    <w:rsid w:val="00090B13"/>
    <w:rsid w:val="00091CB9"/>
    <w:rsid w:val="00093698"/>
    <w:rsid w:val="00094852"/>
    <w:rsid w:val="000A03B2"/>
    <w:rsid w:val="000A072E"/>
    <w:rsid w:val="000A07A3"/>
    <w:rsid w:val="000A2B76"/>
    <w:rsid w:val="000A5AEC"/>
    <w:rsid w:val="000B04D8"/>
    <w:rsid w:val="000B1031"/>
    <w:rsid w:val="000B2502"/>
    <w:rsid w:val="000B2BCB"/>
    <w:rsid w:val="000B3C7F"/>
    <w:rsid w:val="000B597C"/>
    <w:rsid w:val="000C7A4F"/>
    <w:rsid w:val="000C7BDB"/>
    <w:rsid w:val="000D0268"/>
    <w:rsid w:val="000D0365"/>
    <w:rsid w:val="000D17EF"/>
    <w:rsid w:val="000D34BE"/>
    <w:rsid w:val="000E0B3C"/>
    <w:rsid w:val="000E102F"/>
    <w:rsid w:val="000E18BC"/>
    <w:rsid w:val="000E233D"/>
    <w:rsid w:val="000E323F"/>
    <w:rsid w:val="000E36F1"/>
    <w:rsid w:val="000E3A73"/>
    <w:rsid w:val="000E414A"/>
    <w:rsid w:val="000E6359"/>
    <w:rsid w:val="000E75FD"/>
    <w:rsid w:val="000F093C"/>
    <w:rsid w:val="000F0DEE"/>
    <w:rsid w:val="000F1FC2"/>
    <w:rsid w:val="000F3A91"/>
    <w:rsid w:val="000F4675"/>
    <w:rsid w:val="000F6B43"/>
    <w:rsid w:val="000F787B"/>
    <w:rsid w:val="0010035A"/>
    <w:rsid w:val="00100FBF"/>
    <w:rsid w:val="001017F0"/>
    <w:rsid w:val="001021D6"/>
    <w:rsid w:val="001030AB"/>
    <w:rsid w:val="001052B8"/>
    <w:rsid w:val="00107B7C"/>
    <w:rsid w:val="00114D3E"/>
    <w:rsid w:val="001204B5"/>
    <w:rsid w:val="0012091F"/>
    <w:rsid w:val="00122C43"/>
    <w:rsid w:val="00123BF4"/>
    <w:rsid w:val="00125D7A"/>
    <w:rsid w:val="00126343"/>
    <w:rsid w:val="00126BC2"/>
    <w:rsid w:val="001308B6"/>
    <w:rsid w:val="0013121F"/>
    <w:rsid w:val="00131FE6"/>
    <w:rsid w:val="0013263F"/>
    <w:rsid w:val="001328A7"/>
    <w:rsid w:val="001331DF"/>
    <w:rsid w:val="00134B96"/>
    <w:rsid w:val="00134DE4"/>
    <w:rsid w:val="0014034D"/>
    <w:rsid w:val="00140FE3"/>
    <w:rsid w:val="0014146B"/>
    <w:rsid w:val="00144AA4"/>
    <w:rsid w:val="00144D16"/>
    <w:rsid w:val="00146283"/>
    <w:rsid w:val="00150E59"/>
    <w:rsid w:val="001512F0"/>
    <w:rsid w:val="00152DE3"/>
    <w:rsid w:val="0015433E"/>
    <w:rsid w:val="001545A3"/>
    <w:rsid w:val="0015513A"/>
    <w:rsid w:val="0015594B"/>
    <w:rsid w:val="001559BB"/>
    <w:rsid w:val="00160E57"/>
    <w:rsid w:val="00161B39"/>
    <w:rsid w:val="00161BD2"/>
    <w:rsid w:val="00164CF9"/>
    <w:rsid w:val="001667A6"/>
    <w:rsid w:val="0017126D"/>
    <w:rsid w:val="00174A4D"/>
    <w:rsid w:val="00175BBD"/>
    <w:rsid w:val="00176CEA"/>
    <w:rsid w:val="0018107F"/>
    <w:rsid w:val="0018171E"/>
    <w:rsid w:val="00184AD6"/>
    <w:rsid w:val="00185F72"/>
    <w:rsid w:val="00190889"/>
    <w:rsid w:val="001A206F"/>
    <w:rsid w:val="001A2C59"/>
    <w:rsid w:val="001A3387"/>
    <w:rsid w:val="001A4933"/>
    <w:rsid w:val="001A4AF7"/>
    <w:rsid w:val="001A5798"/>
    <w:rsid w:val="001A6DAD"/>
    <w:rsid w:val="001A7064"/>
    <w:rsid w:val="001B0349"/>
    <w:rsid w:val="001B0BAD"/>
    <w:rsid w:val="001B1E93"/>
    <w:rsid w:val="001B333B"/>
    <w:rsid w:val="001B4A2C"/>
    <w:rsid w:val="001B5288"/>
    <w:rsid w:val="001B59E8"/>
    <w:rsid w:val="001B65C1"/>
    <w:rsid w:val="001B6838"/>
    <w:rsid w:val="001C260F"/>
    <w:rsid w:val="001C5C3A"/>
    <w:rsid w:val="001C684B"/>
    <w:rsid w:val="001D015E"/>
    <w:rsid w:val="001D0CFB"/>
    <w:rsid w:val="001D1634"/>
    <w:rsid w:val="001D21AF"/>
    <w:rsid w:val="001D2A0B"/>
    <w:rsid w:val="001D442F"/>
    <w:rsid w:val="001D5227"/>
    <w:rsid w:val="001D53FC"/>
    <w:rsid w:val="001D575B"/>
    <w:rsid w:val="001D7D87"/>
    <w:rsid w:val="001E16AE"/>
    <w:rsid w:val="001E1A47"/>
    <w:rsid w:val="001E22C6"/>
    <w:rsid w:val="001E457F"/>
    <w:rsid w:val="001E5158"/>
    <w:rsid w:val="001E64D8"/>
    <w:rsid w:val="001E7594"/>
    <w:rsid w:val="001F0F61"/>
    <w:rsid w:val="001F169D"/>
    <w:rsid w:val="001F26F2"/>
    <w:rsid w:val="001F31D4"/>
    <w:rsid w:val="001F42A5"/>
    <w:rsid w:val="001F45C5"/>
    <w:rsid w:val="001F768E"/>
    <w:rsid w:val="001F7B9D"/>
    <w:rsid w:val="00201C93"/>
    <w:rsid w:val="00210B35"/>
    <w:rsid w:val="002111FD"/>
    <w:rsid w:val="00212B42"/>
    <w:rsid w:val="00213B21"/>
    <w:rsid w:val="00217C71"/>
    <w:rsid w:val="00221AAB"/>
    <w:rsid w:val="00221B80"/>
    <w:rsid w:val="002224B4"/>
    <w:rsid w:val="00225564"/>
    <w:rsid w:val="00227B56"/>
    <w:rsid w:val="002352AD"/>
    <w:rsid w:val="002352D2"/>
    <w:rsid w:val="002379A1"/>
    <w:rsid w:val="002410AF"/>
    <w:rsid w:val="00243351"/>
    <w:rsid w:val="002447EF"/>
    <w:rsid w:val="0024682D"/>
    <w:rsid w:val="00246BA3"/>
    <w:rsid w:val="00251550"/>
    <w:rsid w:val="0025385C"/>
    <w:rsid w:val="00255B2F"/>
    <w:rsid w:val="002604A8"/>
    <w:rsid w:val="00263B05"/>
    <w:rsid w:val="00270E33"/>
    <w:rsid w:val="00270EBB"/>
    <w:rsid w:val="0027221A"/>
    <w:rsid w:val="00275B61"/>
    <w:rsid w:val="00280FAF"/>
    <w:rsid w:val="002818A2"/>
    <w:rsid w:val="00282656"/>
    <w:rsid w:val="00283221"/>
    <w:rsid w:val="00287E79"/>
    <w:rsid w:val="002966B3"/>
    <w:rsid w:val="00296B83"/>
    <w:rsid w:val="002978CA"/>
    <w:rsid w:val="002A25C2"/>
    <w:rsid w:val="002A2CA1"/>
    <w:rsid w:val="002A420A"/>
    <w:rsid w:val="002A60E1"/>
    <w:rsid w:val="002A6B4F"/>
    <w:rsid w:val="002A732A"/>
    <w:rsid w:val="002B09C4"/>
    <w:rsid w:val="002B1E17"/>
    <w:rsid w:val="002B4015"/>
    <w:rsid w:val="002B7450"/>
    <w:rsid w:val="002B78CE"/>
    <w:rsid w:val="002C1AEA"/>
    <w:rsid w:val="002C2FB6"/>
    <w:rsid w:val="002C5A8B"/>
    <w:rsid w:val="002C5C10"/>
    <w:rsid w:val="002C6FF5"/>
    <w:rsid w:val="002D48F4"/>
    <w:rsid w:val="002E35EB"/>
    <w:rsid w:val="002E5FA7"/>
    <w:rsid w:val="002E68EE"/>
    <w:rsid w:val="002E6F01"/>
    <w:rsid w:val="002F248C"/>
    <w:rsid w:val="002F3309"/>
    <w:rsid w:val="002F368B"/>
    <w:rsid w:val="002F5817"/>
    <w:rsid w:val="002F5E98"/>
    <w:rsid w:val="002F6A0F"/>
    <w:rsid w:val="003008CE"/>
    <w:rsid w:val="003009B7"/>
    <w:rsid w:val="00300E56"/>
    <w:rsid w:val="0030152C"/>
    <w:rsid w:val="00302F85"/>
    <w:rsid w:val="003034A4"/>
    <w:rsid w:val="0030469C"/>
    <w:rsid w:val="00306457"/>
    <w:rsid w:val="00307084"/>
    <w:rsid w:val="003110C2"/>
    <w:rsid w:val="003128C1"/>
    <w:rsid w:val="00313EEC"/>
    <w:rsid w:val="00314C0B"/>
    <w:rsid w:val="003202CB"/>
    <w:rsid w:val="003204EB"/>
    <w:rsid w:val="00321CA6"/>
    <w:rsid w:val="0032218F"/>
    <w:rsid w:val="003232E3"/>
    <w:rsid w:val="00323763"/>
    <w:rsid w:val="00323C5F"/>
    <w:rsid w:val="00324D8C"/>
    <w:rsid w:val="00331C12"/>
    <w:rsid w:val="00331EDE"/>
    <w:rsid w:val="00334C09"/>
    <w:rsid w:val="00335A1A"/>
    <w:rsid w:val="003406CE"/>
    <w:rsid w:val="0034082F"/>
    <w:rsid w:val="003463EA"/>
    <w:rsid w:val="00346B37"/>
    <w:rsid w:val="00351F9C"/>
    <w:rsid w:val="00352625"/>
    <w:rsid w:val="00361572"/>
    <w:rsid w:val="003647B7"/>
    <w:rsid w:val="00365824"/>
    <w:rsid w:val="00366EBB"/>
    <w:rsid w:val="00367171"/>
    <w:rsid w:val="003723D4"/>
    <w:rsid w:val="00372F3D"/>
    <w:rsid w:val="00381905"/>
    <w:rsid w:val="00383ADB"/>
    <w:rsid w:val="00384CC8"/>
    <w:rsid w:val="00385B03"/>
    <w:rsid w:val="00386907"/>
    <w:rsid w:val="003871FD"/>
    <w:rsid w:val="003904D3"/>
    <w:rsid w:val="00394277"/>
    <w:rsid w:val="00396A68"/>
    <w:rsid w:val="003A1E30"/>
    <w:rsid w:val="003A2829"/>
    <w:rsid w:val="003A51DA"/>
    <w:rsid w:val="003A5EFF"/>
    <w:rsid w:val="003A7D1C"/>
    <w:rsid w:val="003B304B"/>
    <w:rsid w:val="003B3146"/>
    <w:rsid w:val="003B3EBB"/>
    <w:rsid w:val="003B49CD"/>
    <w:rsid w:val="003B5679"/>
    <w:rsid w:val="003B64FF"/>
    <w:rsid w:val="003C40D9"/>
    <w:rsid w:val="003C7694"/>
    <w:rsid w:val="003C7B5A"/>
    <w:rsid w:val="003D1C6F"/>
    <w:rsid w:val="003D1E02"/>
    <w:rsid w:val="003D5248"/>
    <w:rsid w:val="003D7449"/>
    <w:rsid w:val="003E1D93"/>
    <w:rsid w:val="003E2CAC"/>
    <w:rsid w:val="003E4CA2"/>
    <w:rsid w:val="003E54D5"/>
    <w:rsid w:val="003F015E"/>
    <w:rsid w:val="003F3778"/>
    <w:rsid w:val="003F6836"/>
    <w:rsid w:val="00400414"/>
    <w:rsid w:val="004029E7"/>
    <w:rsid w:val="00405AD9"/>
    <w:rsid w:val="00407523"/>
    <w:rsid w:val="00407F9A"/>
    <w:rsid w:val="00412272"/>
    <w:rsid w:val="0041446B"/>
    <w:rsid w:val="00420322"/>
    <w:rsid w:val="00423362"/>
    <w:rsid w:val="004252D5"/>
    <w:rsid w:val="00426FB6"/>
    <w:rsid w:val="00431885"/>
    <w:rsid w:val="00436518"/>
    <w:rsid w:val="0044071E"/>
    <w:rsid w:val="00442352"/>
    <w:rsid w:val="004429CE"/>
    <w:rsid w:val="0044329C"/>
    <w:rsid w:val="00445ED6"/>
    <w:rsid w:val="004470C1"/>
    <w:rsid w:val="004477A5"/>
    <w:rsid w:val="00447CC6"/>
    <w:rsid w:val="0045126B"/>
    <w:rsid w:val="00452CDB"/>
    <w:rsid w:val="00453347"/>
    <w:rsid w:val="00453E24"/>
    <w:rsid w:val="00457456"/>
    <w:rsid w:val="004577FE"/>
    <w:rsid w:val="00457B9C"/>
    <w:rsid w:val="0046164A"/>
    <w:rsid w:val="00461CB6"/>
    <w:rsid w:val="004628D2"/>
    <w:rsid w:val="00462DCD"/>
    <w:rsid w:val="004633FF"/>
    <w:rsid w:val="0046401B"/>
    <w:rsid w:val="004642C1"/>
    <w:rsid w:val="004648AD"/>
    <w:rsid w:val="00466B39"/>
    <w:rsid w:val="0046720D"/>
    <w:rsid w:val="00467D13"/>
    <w:rsid w:val="004703A9"/>
    <w:rsid w:val="004714C3"/>
    <w:rsid w:val="00472631"/>
    <w:rsid w:val="004760DE"/>
    <w:rsid w:val="004763D7"/>
    <w:rsid w:val="00476457"/>
    <w:rsid w:val="00481096"/>
    <w:rsid w:val="004A004E"/>
    <w:rsid w:val="004A24CF"/>
    <w:rsid w:val="004A375A"/>
    <w:rsid w:val="004A44F1"/>
    <w:rsid w:val="004B420E"/>
    <w:rsid w:val="004B7A5A"/>
    <w:rsid w:val="004C3D1D"/>
    <w:rsid w:val="004C3D84"/>
    <w:rsid w:val="004C4441"/>
    <w:rsid w:val="004C6196"/>
    <w:rsid w:val="004C7913"/>
    <w:rsid w:val="004D4F15"/>
    <w:rsid w:val="004D5F57"/>
    <w:rsid w:val="004D6C2B"/>
    <w:rsid w:val="004E0CBB"/>
    <w:rsid w:val="004E0F9E"/>
    <w:rsid w:val="004E2B84"/>
    <w:rsid w:val="004E4DD6"/>
    <w:rsid w:val="004E613D"/>
    <w:rsid w:val="004F4AC0"/>
    <w:rsid w:val="004F5E36"/>
    <w:rsid w:val="004F7B3F"/>
    <w:rsid w:val="005012E8"/>
    <w:rsid w:val="0050638C"/>
    <w:rsid w:val="005067E6"/>
    <w:rsid w:val="00507B47"/>
    <w:rsid w:val="00507BEF"/>
    <w:rsid w:val="00507CC9"/>
    <w:rsid w:val="0051054D"/>
    <w:rsid w:val="005119A5"/>
    <w:rsid w:val="005144B4"/>
    <w:rsid w:val="00515467"/>
    <w:rsid w:val="00522251"/>
    <w:rsid w:val="0052435C"/>
    <w:rsid w:val="005244B7"/>
    <w:rsid w:val="0052526C"/>
    <w:rsid w:val="005260BC"/>
    <w:rsid w:val="005278B7"/>
    <w:rsid w:val="00530872"/>
    <w:rsid w:val="0053183C"/>
    <w:rsid w:val="00532016"/>
    <w:rsid w:val="005346C8"/>
    <w:rsid w:val="0054051A"/>
    <w:rsid w:val="00543667"/>
    <w:rsid w:val="00543E7D"/>
    <w:rsid w:val="00544F9A"/>
    <w:rsid w:val="00545A2F"/>
    <w:rsid w:val="00547A68"/>
    <w:rsid w:val="00552299"/>
    <w:rsid w:val="005531C9"/>
    <w:rsid w:val="005543F0"/>
    <w:rsid w:val="00554879"/>
    <w:rsid w:val="005576BA"/>
    <w:rsid w:val="005612A1"/>
    <w:rsid w:val="00562F4B"/>
    <w:rsid w:val="00565F3C"/>
    <w:rsid w:val="00566DDE"/>
    <w:rsid w:val="00567518"/>
    <w:rsid w:val="00570C43"/>
    <w:rsid w:val="0057602C"/>
    <w:rsid w:val="0057603D"/>
    <w:rsid w:val="00577AF2"/>
    <w:rsid w:val="00577D68"/>
    <w:rsid w:val="00581721"/>
    <w:rsid w:val="0058306B"/>
    <w:rsid w:val="005849C0"/>
    <w:rsid w:val="00585A93"/>
    <w:rsid w:val="00591D11"/>
    <w:rsid w:val="00592274"/>
    <w:rsid w:val="00594814"/>
    <w:rsid w:val="00594B1B"/>
    <w:rsid w:val="005A022D"/>
    <w:rsid w:val="005B0BE3"/>
    <w:rsid w:val="005B129B"/>
    <w:rsid w:val="005B1C63"/>
    <w:rsid w:val="005B2110"/>
    <w:rsid w:val="005B26DF"/>
    <w:rsid w:val="005B350B"/>
    <w:rsid w:val="005B3BC0"/>
    <w:rsid w:val="005B43E5"/>
    <w:rsid w:val="005B61E6"/>
    <w:rsid w:val="005B63E8"/>
    <w:rsid w:val="005C497C"/>
    <w:rsid w:val="005C4A7E"/>
    <w:rsid w:val="005C77E1"/>
    <w:rsid w:val="005D21CB"/>
    <w:rsid w:val="005D4C08"/>
    <w:rsid w:val="005D668A"/>
    <w:rsid w:val="005D6A2F"/>
    <w:rsid w:val="005D75EE"/>
    <w:rsid w:val="005E0592"/>
    <w:rsid w:val="005E1A82"/>
    <w:rsid w:val="005E1C0E"/>
    <w:rsid w:val="005E4161"/>
    <w:rsid w:val="005E794C"/>
    <w:rsid w:val="005E7E07"/>
    <w:rsid w:val="005F0A28"/>
    <w:rsid w:val="005F0E5E"/>
    <w:rsid w:val="005F5618"/>
    <w:rsid w:val="005F6E05"/>
    <w:rsid w:val="005F7A71"/>
    <w:rsid w:val="00600535"/>
    <w:rsid w:val="00602E7C"/>
    <w:rsid w:val="00610CD6"/>
    <w:rsid w:val="00611359"/>
    <w:rsid w:val="00614631"/>
    <w:rsid w:val="00620DEE"/>
    <w:rsid w:val="00621F92"/>
    <w:rsid w:val="0062280A"/>
    <w:rsid w:val="006231E1"/>
    <w:rsid w:val="0062334B"/>
    <w:rsid w:val="00625639"/>
    <w:rsid w:val="00626CA5"/>
    <w:rsid w:val="00627E98"/>
    <w:rsid w:val="0063189C"/>
    <w:rsid w:val="00631B33"/>
    <w:rsid w:val="006334DF"/>
    <w:rsid w:val="0063453B"/>
    <w:rsid w:val="00635742"/>
    <w:rsid w:val="0063754F"/>
    <w:rsid w:val="0064184D"/>
    <w:rsid w:val="006422CC"/>
    <w:rsid w:val="006446C3"/>
    <w:rsid w:val="00651D18"/>
    <w:rsid w:val="00655481"/>
    <w:rsid w:val="00660E3E"/>
    <w:rsid w:val="00662E74"/>
    <w:rsid w:val="00666B1A"/>
    <w:rsid w:val="00667A48"/>
    <w:rsid w:val="00670212"/>
    <w:rsid w:val="0067107C"/>
    <w:rsid w:val="0067243D"/>
    <w:rsid w:val="00672DEE"/>
    <w:rsid w:val="0068014D"/>
    <w:rsid w:val="00680C23"/>
    <w:rsid w:val="006813BA"/>
    <w:rsid w:val="00683E23"/>
    <w:rsid w:val="00693766"/>
    <w:rsid w:val="0069385D"/>
    <w:rsid w:val="00694D32"/>
    <w:rsid w:val="00695634"/>
    <w:rsid w:val="006A08AD"/>
    <w:rsid w:val="006A3281"/>
    <w:rsid w:val="006A5FD9"/>
    <w:rsid w:val="006A6DE5"/>
    <w:rsid w:val="006B4888"/>
    <w:rsid w:val="006B4BBE"/>
    <w:rsid w:val="006C2584"/>
    <w:rsid w:val="006C2E45"/>
    <w:rsid w:val="006C359C"/>
    <w:rsid w:val="006C3C4E"/>
    <w:rsid w:val="006C429F"/>
    <w:rsid w:val="006C4724"/>
    <w:rsid w:val="006C5012"/>
    <w:rsid w:val="006C5579"/>
    <w:rsid w:val="006C650C"/>
    <w:rsid w:val="006C7AD1"/>
    <w:rsid w:val="006D282B"/>
    <w:rsid w:val="006D3843"/>
    <w:rsid w:val="006D3D75"/>
    <w:rsid w:val="006D4939"/>
    <w:rsid w:val="006D61D3"/>
    <w:rsid w:val="006D6E8B"/>
    <w:rsid w:val="006D7209"/>
    <w:rsid w:val="006E494B"/>
    <w:rsid w:val="006E737D"/>
    <w:rsid w:val="006E7ED6"/>
    <w:rsid w:val="006F3EBC"/>
    <w:rsid w:val="006F47E6"/>
    <w:rsid w:val="006F53FC"/>
    <w:rsid w:val="00703C36"/>
    <w:rsid w:val="00704FE2"/>
    <w:rsid w:val="00707DD1"/>
    <w:rsid w:val="007100A5"/>
    <w:rsid w:val="00713973"/>
    <w:rsid w:val="00713FF4"/>
    <w:rsid w:val="00720A24"/>
    <w:rsid w:val="00720F94"/>
    <w:rsid w:val="007241CF"/>
    <w:rsid w:val="00730B99"/>
    <w:rsid w:val="00732386"/>
    <w:rsid w:val="0073514D"/>
    <w:rsid w:val="007408BD"/>
    <w:rsid w:val="007447F3"/>
    <w:rsid w:val="0075326A"/>
    <w:rsid w:val="0075499F"/>
    <w:rsid w:val="007553D6"/>
    <w:rsid w:val="00764D15"/>
    <w:rsid w:val="00765506"/>
    <w:rsid w:val="007661C8"/>
    <w:rsid w:val="007700E5"/>
    <w:rsid w:val="0077098D"/>
    <w:rsid w:val="00772142"/>
    <w:rsid w:val="00775D61"/>
    <w:rsid w:val="007772AC"/>
    <w:rsid w:val="00782BDD"/>
    <w:rsid w:val="00782C6D"/>
    <w:rsid w:val="00782FB2"/>
    <w:rsid w:val="0078422E"/>
    <w:rsid w:val="00785908"/>
    <w:rsid w:val="00785BF9"/>
    <w:rsid w:val="0079056D"/>
    <w:rsid w:val="0079101F"/>
    <w:rsid w:val="00792B24"/>
    <w:rsid w:val="007931FA"/>
    <w:rsid w:val="00793408"/>
    <w:rsid w:val="00795844"/>
    <w:rsid w:val="00796315"/>
    <w:rsid w:val="00797960"/>
    <w:rsid w:val="00797E9A"/>
    <w:rsid w:val="007A360D"/>
    <w:rsid w:val="007A4861"/>
    <w:rsid w:val="007A7BBA"/>
    <w:rsid w:val="007B0C50"/>
    <w:rsid w:val="007B15DD"/>
    <w:rsid w:val="007B2CCD"/>
    <w:rsid w:val="007B48F9"/>
    <w:rsid w:val="007B571D"/>
    <w:rsid w:val="007C0FB2"/>
    <w:rsid w:val="007C1A43"/>
    <w:rsid w:val="007C1CDF"/>
    <w:rsid w:val="007C4D87"/>
    <w:rsid w:val="007C5D50"/>
    <w:rsid w:val="007D0951"/>
    <w:rsid w:val="007D0F13"/>
    <w:rsid w:val="007D610D"/>
    <w:rsid w:val="007E018B"/>
    <w:rsid w:val="007E10E7"/>
    <w:rsid w:val="007E32B3"/>
    <w:rsid w:val="007E472E"/>
    <w:rsid w:val="007E473C"/>
    <w:rsid w:val="007E7C5C"/>
    <w:rsid w:val="007F0114"/>
    <w:rsid w:val="007F1D2A"/>
    <w:rsid w:val="007F2EC6"/>
    <w:rsid w:val="007F4A0B"/>
    <w:rsid w:val="007F5764"/>
    <w:rsid w:val="0080013E"/>
    <w:rsid w:val="00801639"/>
    <w:rsid w:val="00801759"/>
    <w:rsid w:val="00804612"/>
    <w:rsid w:val="00805FE7"/>
    <w:rsid w:val="00810FA6"/>
    <w:rsid w:val="00812D55"/>
    <w:rsid w:val="00813288"/>
    <w:rsid w:val="008168FC"/>
    <w:rsid w:val="00817683"/>
    <w:rsid w:val="00817780"/>
    <w:rsid w:val="00820FC1"/>
    <w:rsid w:val="008215C9"/>
    <w:rsid w:val="0082465C"/>
    <w:rsid w:val="008251C9"/>
    <w:rsid w:val="0082534C"/>
    <w:rsid w:val="00830996"/>
    <w:rsid w:val="00832195"/>
    <w:rsid w:val="008345F1"/>
    <w:rsid w:val="008509AE"/>
    <w:rsid w:val="00854B94"/>
    <w:rsid w:val="00855F09"/>
    <w:rsid w:val="0085788A"/>
    <w:rsid w:val="00860138"/>
    <w:rsid w:val="00863106"/>
    <w:rsid w:val="00865B07"/>
    <w:rsid w:val="008667EA"/>
    <w:rsid w:val="00866BF9"/>
    <w:rsid w:val="00871ACE"/>
    <w:rsid w:val="0087637F"/>
    <w:rsid w:val="00876FE5"/>
    <w:rsid w:val="008775F0"/>
    <w:rsid w:val="008817FA"/>
    <w:rsid w:val="008832AA"/>
    <w:rsid w:val="00883F66"/>
    <w:rsid w:val="00886825"/>
    <w:rsid w:val="00886D87"/>
    <w:rsid w:val="00890FE3"/>
    <w:rsid w:val="00892128"/>
    <w:rsid w:val="00892AD5"/>
    <w:rsid w:val="008A1512"/>
    <w:rsid w:val="008A5FD1"/>
    <w:rsid w:val="008B4FE8"/>
    <w:rsid w:val="008B5DEE"/>
    <w:rsid w:val="008B6FE9"/>
    <w:rsid w:val="008B76EC"/>
    <w:rsid w:val="008C2A56"/>
    <w:rsid w:val="008C5E90"/>
    <w:rsid w:val="008C7D9A"/>
    <w:rsid w:val="008D0E75"/>
    <w:rsid w:val="008D23C8"/>
    <w:rsid w:val="008D2841"/>
    <w:rsid w:val="008D32B9"/>
    <w:rsid w:val="008D433B"/>
    <w:rsid w:val="008D4710"/>
    <w:rsid w:val="008D4A16"/>
    <w:rsid w:val="008E5401"/>
    <w:rsid w:val="008E566E"/>
    <w:rsid w:val="008E6A90"/>
    <w:rsid w:val="008F5DEC"/>
    <w:rsid w:val="008F70F0"/>
    <w:rsid w:val="00900BAF"/>
    <w:rsid w:val="0090161A"/>
    <w:rsid w:val="00901EB6"/>
    <w:rsid w:val="009041F8"/>
    <w:rsid w:val="00904C62"/>
    <w:rsid w:val="0090718B"/>
    <w:rsid w:val="0091777E"/>
    <w:rsid w:val="00920CF6"/>
    <w:rsid w:val="00920FA6"/>
    <w:rsid w:val="00921155"/>
    <w:rsid w:val="00921D6F"/>
    <w:rsid w:val="00922BA8"/>
    <w:rsid w:val="00922E51"/>
    <w:rsid w:val="00924DAC"/>
    <w:rsid w:val="00927058"/>
    <w:rsid w:val="00931F71"/>
    <w:rsid w:val="0093518A"/>
    <w:rsid w:val="00935933"/>
    <w:rsid w:val="00936355"/>
    <w:rsid w:val="00937E27"/>
    <w:rsid w:val="00941D2D"/>
    <w:rsid w:val="00942750"/>
    <w:rsid w:val="00942D44"/>
    <w:rsid w:val="009450CE"/>
    <w:rsid w:val="009459BB"/>
    <w:rsid w:val="00947179"/>
    <w:rsid w:val="0094780F"/>
    <w:rsid w:val="0095164B"/>
    <w:rsid w:val="00951B15"/>
    <w:rsid w:val="009527FE"/>
    <w:rsid w:val="00954090"/>
    <w:rsid w:val="0095711D"/>
    <w:rsid w:val="009573E7"/>
    <w:rsid w:val="009623E9"/>
    <w:rsid w:val="00963E05"/>
    <w:rsid w:val="00964A45"/>
    <w:rsid w:val="00965246"/>
    <w:rsid w:val="00967843"/>
    <w:rsid w:val="00967D54"/>
    <w:rsid w:val="00971028"/>
    <w:rsid w:val="00971AF9"/>
    <w:rsid w:val="009754EF"/>
    <w:rsid w:val="009845FD"/>
    <w:rsid w:val="009910F6"/>
    <w:rsid w:val="00993B84"/>
    <w:rsid w:val="00994C6A"/>
    <w:rsid w:val="00996483"/>
    <w:rsid w:val="00996F5A"/>
    <w:rsid w:val="009970B1"/>
    <w:rsid w:val="00997289"/>
    <w:rsid w:val="009A1A4C"/>
    <w:rsid w:val="009A351C"/>
    <w:rsid w:val="009A561D"/>
    <w:rsid w:val="009A6A36"/>
    <w:rsid w:val="009B041A"/>
    <w:rsid w:val="009B160E"/>
    <w:rsid w:val="009B5B07"/>
    <w:rsid w:val="009C0EF6"/>
    <w:rsid w:val="009C32E5"/>
    <w:rsid w:val="009C37C3"/>
    <w:rsid w:val="009C3AC8"/>
    <w:rsid w:val="009C4BC6"/>
    <w:rsid w:val="009C7C86"/>
    <w:rsid w:val="009D10EF"/>
    <w:rsid w:val="009D2FF7"/>
    <w:rsid w:val="009E06DD"/>
    <w:rsid w:val="009E5E25"/>
    <w:rsid w:val="009E7884"/>
    <w:rsid w:val="009E788A"/>
    <w:rsid w:val="009F0E08"/>
    <w:rsid w:val="009F5045"/>
    <w:rsid w:val="00A0018C"/>
    <w:rsid w:val="00A01166"/>
    <w:rsid w:val="00A014D8"/>
    <w:rsid w:val="00A0392D"/>
    <w:rsid w:val="00A03B85"/>
    <w:rsid w:val="00A0673F"/>
    <w:rsid w:val="00A079AE"/>
    <w:rsid w:val="00A11594"/>
    <w:rsid w:val="00A141C6"/>
    <w:rsid w:val="00A1511D"/>
    <w:rsid w:val="00A1763D"/>
    <w:rsid w:val="00A17CEC"/>
    <w:rsid w:val="00A222E5"/>
    <w:rsid w:val="00A236AE"/>
    <w:rsid w:val="00A27A76"/>
    <w:rsid w:val="00A27EF0"/>
    <w:rsid w:val="00A30F02"/>
    <w:rsid w:val="00A31B60"/>
    <w:rsid w:val="00A37D0C"/>
    <w:rsid w:val="00A4167B"/>
    <w:rsid w:val="00A42361"/>
    <w:rsid w:val="00A4294F"/>
    <w:rsid w:val="00A50B20"/>
    <w:rsid w:val="00A51390"/>
    <w:rsid w:val="00A60D13"/>
    <w:rsid w:val="00A63199"/>
    <w:rsid w:val="00A64DFA"/>
    <w:rsid w:val="00A66653"/>
    <w:rsid w:val="00A71B7A"/>
    <w:rsid w:val="00A71E45"/>
    <w:rsid w:val="00A7223D"/>
    <w:rsid w:val="00A72745"/>
    <w:rsid w:val="00A72C03"/>
    <w:rsid w:val="00A72E8D"/>
    <w:rsid w:val="00A76EFC"/>
    <w:rsid w:val="00A771B3"/>
    <w:rsid w:val="00A826F5"/>
    <w:rsid w:val="00A84E54"/>
    <w:rsid w:val="00A87D50"/>
    <w:rsid w:val="00A91010"/>
    <w:rsid w:val="00A97F29"/>
    <w:rsid w:val="00AA1740"/>
    <w:rsid w:val="00AA28A1"/>
    <w:rsid w:val="00AA5BD8"/>
    <w:rsid w:val="00AA702E"/>
    <w:rsid w:val="00AA75F5"/>
    <w:rsid w:val="00AA7B61"/>
    <w:rsid w:val="00AA7D26"/>
    <w:rsid w:val="00AB0964"/>
    <w:rsid w:val="00AB1FFA"/>
    <w:rsid w:val="00AB5011"/>
    <w:rsid w:val="00AC21BF"/>
    <w:rsid w:val="00AC3C75"/>
    <w:rsid w:val="00AC3FB0"/>
    <w:rsid w:val="00AC4A65"/>
    <w:rsid w:val="00AC648D"/>
    <w:rsid w:val="00AC7007"/>
    <w:rsid w:val="00AC7368"/>
    <w:rsid w:val="00AD16B9"/>
    <w:rsid w:val="00AE1947"/>
    <w:rsid w:val="00AE377D"/>
    <w:rsid w:val="00AE4CF8"/>
    <w:rsid w:val="00AE59F6"/>
    <w:rsid w:val="00AF0EBA"/>
    <w:rsid w:val="00AF2463"/>
    <w:rsid w:val="00AF58EB"/>
    <w:rsid w:val="00AF7552"/>
    <w:rsid w:val="00B02C8A"/>
    <w:rsid w:val="00B05E34"/>
    <w:rsid w:val="00B0763A"/>
    <w:rsid w:val="00B12585"/>
    <w:rsid w:val="00B14E8C"/>
    <w:rsid w:val="00B17FBD"/>
    <w:rsid w:val="00B20FC0"/>
    <w:rsid w:val="00B257CA"/>
    <w:rsid w:val="00B26750"/>
    <w:rsid w:val="00B30674"/>
    <w:rsid w:val="00B313BD"/>
    <w:rsid w:val="00B315A6"/>
    <w:rsid w:val="00B31813"/>
    <w:rsid w:val="00B31E39"/>
    <w:rsid w:val="00B33365"/>
    <w:rsid w:val="00B43146"/>
    <w:rsid w:val="00B431F2"/>
    <w:rsid w:val="00B43828"/>
    <w:rsid w:val="00B4530B"/>
    <w:rsid w:val="00B46216"/>
    <w:rsid w:val="00B524E1"/>
    <w:rsid w:val="00B53290"/>
    <w:rsid w:val="00B53C19"/>
    <w:rsid w:val="00B558A5"/>
    <w:rsid w:val="00B56557"/>
    <w:rsid w:val="00B57B36"/>
    <w:rsid w:val="00B57E6F"/>
    <w:rsid w:val="00B615A6"/>
    <w:rsid w:val="00B61DD7"/>
    <w:rsid w:val="00B64B6A"/>
    <w:rsid w:val="00B65AB7"/>
    <w:rsid w:val="00B669E5"/>
    <w:rsid w:val="00B66BE7"/>
    <w:rsid w:val="00B67CB1"/>
    <w:rsid w:val="00B71E9B"/>
    <w:rsid w:val="00B72DA9"/>
    <w:rsid w:val="00B744C4"/>
    <w:rsid w:val="00B77596"/>
    <w:rsid w:val="00B81367"/>
    <w:rsid w:val="00B82447"/>
    <w:rsid w:val="00B8686D"/>
    <w:rsid w:val="00B8719D"/>
    <w:rsid w:val="00B872FE"/>
    <w:rsid w:val="00B901B1"/>
    <w:rsid w:val="00B927B1"/>
    <w:rsid w:val="00B93F69"/>
    <w:rsid w:val="00BA00CB"/>
    <w:rsid w:val="00BA09B6"/>
    <w:rsid w:val="00BA3533"/>
    <w:rsid w:val="00BA5152"/>
    <w:rsid w:val="00BA626F"/>
    <w:rsid w:val="00BA7721"/>
    <w:rsid w:val="00BB180E"/>
    <w:rsid w:val="00BB1DDC"/>
    <w:rsid w:val="00BB4BE9"/>
    <w:rsid w:val="00BB519D"/>
    <w:rsid w:val="00BB6054"/>
    <w:rsid w:val="00BC30C9"/>
    <w:rsid w:val="00BC437D"/>
    <w:rsid w:val="00BC4812"/>
    <w:rsid w:val="00BC6488"/>
    <w:rsid w:val="00BD077D"/>
    <w:rsid w:val="00BD1946"/>
    <w:rsid w:val="00BD1EEA"/>
    <w:rsid w:val="00BD4AF0"/>
    <w:rsid w:val="00BD4DEA"/>
    <w:rsid w:val="00BE15A4"/>
    <w:rsid w:val="00BE3E58"/>
    <w:rsid w:val="00BE438C"/>
    <w:rsid w:val="00BE44E0"/>
    <w:rsid w:val="00BE4A99"/>
    <w:rsid w:val="00BE60AE"/>
    <w:rsid w:val="00BF0C1F"/>
    <w:rsid w:val="00BF13CE"/>
    <w:rsid w:val="00BF1DD2"/>
    <w:rsid w:val="00BF315A"/>
    <w:rsid w:val="00BF3F6B"/>
    <w:rsid w:val="00BF7484"/>
    <w:rsid w:val="00C01616"/>
    <w:rsid w:val="00C0162B"/>
    <w:rsid w:val="00C035C6"/>
    <w:rsid w:val="00C068ED"/>
    <w:rsid w:val="00C101DB"/>
    <w:rsid w:val="00C10F61"/>
    <w:rsid w:val="00C12335"/>
    <w:rsid w:val="00C140F6"/>
    <w:rsid w:val="00C221CC"/>
    <w:rsid w:val="00C22E0C"/>
    <w:rsid w:val="00C256E7"/>
    <w:rsid w:val="00C26021"/>
    <w:rsid w:val="00C2621A"/>
    <w:rsid w:val="00C262A8"/>
    <w:rsid w:val="00C306A8"/>
    <w:rsid w:val="00C32C7D"/>
    <w:rsid w:val="00C345B1"/>
    <w:rsid w:val="00C37118"/>
    <w:rsid w:val="00C40142"/>
    <w:rsid w:val="00C43215"/>
    <w:rsid w:val="00C44617"/>
    <w:rsid w:val="00C502B4"/>
    <w:rsid w:val="00C51270"/>
    <w:rsid w:val="00C52C3C"/>
    <w:rsid w:val="00C52EB4"/>
    <w:rsid w:val="00C54DAC"/>
    <w:rsid w:val="00C55207"/>
    <w:rsid w:val="00C57182"/>
    <w:rsid w:val="00C57863"/>
    <w:rsid w:val="00C6300F"/>
    <w:rsid w:val="00C640AF"/>
    <w:rsid w:val="00C649A3"/>
    <w:rsid w:val="00C655FD"/>
    <w:rsid w:val="00C664DD"/>
    <w:rsid w:val="00C67A8B"/>
    <w:rsid w:val="00C75407"/>
    <w:rsid w:val="00C764A2"/>
    <w:rsid w:val="00C81E7D"/>
    <w:rsid w:val="00C82EE6"/>
    <w:rsid w:val="00C84121"/>
    <w:rsid w:val="00C841C6"/>
    <w:rsid w:val="00C86214"/>
    <w:rsid w:val="00C870A8"/>
    <w:rsid w:val="00C92438"/>
    <w:rsid w:val="00C94434"/>
    <w:rsid w:val="00CA0D75"/>
    <w:rsid w:val="00CA1064"/>
    <w:rsid w:val="00CA14DA"/>
    <w:rsid w:val="00CA1C95"/>
    <w:rsid w:val="00CA4C18"/>
    <w:rsid w:val="00CA5A9C"/>
    <w:rsid w:val="00CB12A9"/>
    <w:rsid w:val="00CB248B"/>
    <w:rsid w:val="00CB2B4A"/>
    <w:rsid w:val="00CB2E88"/>
    <w:rsid w:val="00CB445A"/>
    <w:rsid w:val="00CB568B"/>
    <w:rsid w:val="00CC3DF1"/>
    <w:rsid w:val="00CC4C20"/>
    <w:rsid w:val="00CC5A28"/>
    <w:rsid w:val="00CC617C"/>
    <w:rsid w:val="00CD2671"/>
    <w:rsid w:val="00CD3517"/>
    <w:rsid w:val="00CD5FE2"/>
    <w:rsid w:val="00CD6890"/>
    <w:rsid w:val="00CE7C68"/>
    <w:rsid w:val="00CF03B8"/>
    <w:rsid w:val="00CF1716"/>
    <w:rsid w:val="00CF487B"/>
    <w:rsid w:val="00D02B4C"/>
    <w:rsid w:val="00D040C4"/>
    <w:rsid w:val="00D04491"/>
    <w:rsid w:val="00D04E52"/>
    <w:rsid w:val="00D14B29"/>
    <w:rsid w:val="00D20AD1"/>
    <w:rsid w:val="00D22F46"/>
    <w:rsid w:val="00D257C6"/>
    <w:rsid w:val="00D2582C"/>
    <w:rsid w:val="00D27950"/>
    <w:rsid w:val="00D30D7C"/>
    <w:rsid w:val="00D31500"/>
    <w:rsid w:val="00D3452B"/>
    <w:rsid w:val="00D35433"/>
    <w:rsid w:val="00D35AE1"/>
    <w:rsid w:val="00D408A3"/>
    <w:rsid w:val="00D43C51"/>
    <w:rsid w:val="00D46B7E"/>
    <w:rsid w:val="00D47A0C"/>
    <w:rsid w:val="00D53EE0"/>
    <w:rsid w:val="00D571A4"/>
    <w:rsid w:val="00D57C84"/>
    <w:rsid w:val="00D6057D"/>
    <w:rsid w:val="00D61B3A"/>
    <w:rsid w:val="00D63EDB"/>
    <w:rsid w:val="00D640E7"/>
    <w:rsid w:val="00D71640"/>
    <w:rsid w:val="00D7321C"/>
    <w:rsid w:val="00D73D86"/>
    <w:rsid w:val="00D73FD9"/>
    <w:rsid w:val="00D75765"/>
    <w:rsid w:val="00D76E22"/>
    <w:rsid w:val="00D77564"/>
    <w:rsid w:val="00D81078"/>
    <w:rsid w:val="00D825FF"/>
    <w:rsid w:val="00D836C5"/>
    <w:rsid w:val="00D84576"/>
    <w:rsid w:val="00D849D5"/>
    <w:rsid w:val="00D85A8A"/>
    <w:rsid w:val="00D87AC2"/>
    <w:rsid w:val="00D91729"/>
    <w:rsid w:val="00D969FD"/>
    <w:rsid w:val="00DA1399"/>
    <w:rsid w:val="00DA1CF8"/>
    <w:rsid w:val="00DA24C6"/>
    <w:rsid w:val="00DA4D7B"/>
    <w:rsid w:val="00DB0978"/>
    <w:rsid w:val="00DB2CA5"/>
    <w:rsid w:val="00DB3AB7"/>
    <w:rsid w:val="00DB3D77"/>
    <w:rsid w:val="00DB48BE"/>
    <w:rsid w:val="00DB6540"/>
    <w:rsid w:val="00DC2840"/>
    <w:rsid w:val="00DC2C5D"/>
    <w:rsid w:val="00DC73EE"/>
    <w:rsid w:val="00DD271C"/>
    <w:rsid w:val="00DD2B5D"/>
    <w:rsid w:val="00DD3447"/>
    <w:rsid w:val="00DE08BC"/>
    <w:rsid w:val="00DE1B67"/>
    <w:rsid w:val="00DE264A"/>
    <w:rsid w:val="00DF26F6"/>
    <w:rsid w:val="00DF5072"/>
    <w:rsid w:val="00E01A16"/>
    <w:rsid w:val="00E026F4"/>
    <w:rsid w:val="00E02D18"/>
    <w:rsid w:val="00E041E7"/>
    <w:rsid w:val="00E07FCD"/>
    <w:rsid w:val="00E13595"/>
    <w:rsid w:val="00E15667"/>
    <w:rsid w:val="00E16DEE"/>
    <w:rsid w:val="00E208B3"/>
    <w:rsid w:val="00E23CA1"/>
    <w:rsid w:val="00E272C3"/>
    <w:rsid w:val="00E320B0"/>
    <w:rsid w:val="00E332BB"/>
    <w:rsid w:val="00E35B8B"/>
    <w:rsid w:val="00E368E7"/>
    <w:rsid w:val="00E409A8"/>
    <w:rsid w:val="00E409C0"/>
    <w:rsid w:val="00E41BAC"/>
    <w:rsid w:val="00E41E11"/>
    <w:rsid w:val="00E43B9C"/>
    <w:rsid w:val="00E50C12"/>
    <w:rsid w:val="00E53136"/>
    <w:rsid w:val="00E54534"/>
    <w:rsid w:val="00E55F89"/>
    <w:rsid w:val="00E56B1F"/>
    <w:rsid w:val="00E619AB"/>
    <w:rsid w:val="00E62804"/>
    <w:rsid w:val="00E65B91"/>
    <w:rsid w:val="00E66C07"/>
    <w:rsid w:val="00E674A2"/>
    <w:rsid w:val="00E70E97"/>
    <w:rsid w:val="00E71F30"/>
    <w:rsid w:val="00E7209D"/>
    <w:rsid w:val="00E72737"/>
    <w:rsid w:val="00E72DC2"/>
    <w:rsid w:val="00E72EAD"/>
    <w:rsid w:val="00E7388F"/>
    <w:rsid w:val="00E74034"/>
    <w:rsid w:val="00E74712"/>
    <w:rsid w:val="00E77223"/>
    <w:rsid w:val="00E82089"/>
    <w:rsid w:val="00E8528B"/>
    <w:rsid w:val="00E85B94"/>
    <w:rsid w:val="00E86D7A"/>
    <w:rsid w:val="00E9026A"/>
    <w:rsid w:val="00E90303"/>
    <w:rsid w:val="00E90AE4"/>
    <w:rsid w:val="00E95927"/>
    <w:rsid w:val="00E978D0"/>
    <w:rsid w:val="00EA4613"/>
    <w:rsid w:val="00EA61B8"/>
    <w:rsid w:val="00EA6E1D"/>
    <w:rsid w:val="00EA7F91"/>
    <w:rsid w:val="00EB1523"/>
    <w:rsid w:val="00EB5910"/>
    <w:rsid w:val="00EC0E49"/>
    <w:rsid w:val="00EC101F"/>
    <w:rsid w:val="00EC170B"/>
    <w:rsid w:val="00EC1D9F"/>
    <w:rsid w:val="00EC2702"/>
    <w:rsid w:val="00EC321B"/>
    <w:rsid w:val="00EC463E"/>
    <w:rsid w:val="00ED4C43"/>
    <w:rsid w:val="00ED538B"/>
    <w:rsid w:val="00ED64C8"/>
    <w:rsid w:val="00ED65D7"/>
    <w:rsid w:val="00EE0131"/>
    <w:rsid w:val="00EE17B0"/>
    <w:rsid w:val="00EE20F8"/>
    <w:rsid w:val="00EE4DF0"/>
    <w:rsid w:val="00EF06D9"/>
    <w:rsid w:val="00EF30EB"/>
    <w:rsid w:val="00EF585F"/>
    <w:rsid w:val="00EF6AAA"/>
    <w:rsid w:val="00EF6C14"/>
    <w:rsid w:val="00F0294D"/>
    <w:rsid w:val="00F041C3"/>
    <w:rsid w:val="00F11B0F"/>
    <w:rsid w:val="00F13B37"/>
    <w:rsid w:val="00F14AAE"/>
    <w:rsid w:val="00F2153F"/>
    <w:rsid w:val="00F22E99"/>
    <w:rsid w:val="00F24ED2"/>
    <w:rsid w:val="00F2622E"/>
    <w:rsid w:val="00F26C5C"/>
    <w:rsid w:val="00F3049E"/>
    <w:rsid w:val="00F30C64"/>
    <w:rsid w:val="00F32BA2"/>
    <w:rsid w:val="00F32CDB"/>
    <w:rsid w:val="00F36F94"/>
    <w:rsid w:val="00F37C6F"/>
    <w:rsid w:val="00F40154"/>
    <w:rsid w:val="00F419D7"/>
    <w:rsid w:val="00F41EE4"/>
    <w:rsid w:val="00F41F70"/>
    <w:rsid w:val="00F451BA"/>
    <w:rsid w:val="00F52C09"/>
    <w:rsid w:val="00F540A3"/>
    <w:rsid w:val="00F540DD"/>
    <w:rsid w:val="00F54EE4"/>
    <w:rsid w:val="00F54F8C"/>
    <w:rsid w:val="00F565FE"/>
    <w:rsid w:val="00F624F0"/>
    <w:rsid w:val="00F63502"/>
    <w:rsid w:val="00F63A70"/>
    <w:rsid w:val="00F63D8C"/>
    <w:rsid w:val="00F746D4"/>
    <w:rsid w:val="00F7471E"/>
    <w:rsid w:val="00F7534E"/>
    <w:rsid w:val="00F77BD4"/>
    <w:rsid w:val="00F82093"/>
    <w:rsid w:val="00F939E1"/>
    <w:rsid w:val="00F93EDF"/>
    <w:rsid w:val="00F95960"/>
    <w:rsid w:val="00F960BD"/>
    <w:rsid w:val="00F96734"/>
    <w:rsid w:val="00F97287"/>
    <w:rsid w:val="00FA1802"/>
    <w:rsid w:val="00FA1DB2"/>
    <w:rsid w:val="00FA21D0"/>
    <w:rsid w:val="00FA2EF6"/>
    <w:rsid w:val="00FA3649"/>
    <w:rsid w:val="00FA42A0"/>
    <w:rsid w:val="00FA5F5F"/>
    <w:rsid w:val="00FB05FB"/>
    <w:rsid w:val="00FB243E"/>
    <w:rsid w:val="00FB24A9"/>
    <w:rsid w:val="00FB5C07"/>
    <w:rsid w:val="00FB6E42"/>
    <w:rsid w:val="00FB72AD"/>
    <w:rsid w:val="00FB730C"/>
    <w:rsid w:val="00FC25AF"/>
    <w:rsid w:val="00FC2695"/>
    <w:rsid w:val="00FC3E03"/>
    <w:rsid w:val="00FC3FC1"/>
    <w:rsid w:val="00FC4C89"/>
    <w:rsid w:val="00FE029A"/>
    <w:rsid w:val="00FE186E"/>
    <w:rsid w:val="00FE22A3"/>
    <w:rsid w:val="00FE4A37"/>
    <w:rsid w:val="00FE4EB4"/>
    <w:rsid w:val="00FE629E"/>
    <w:rsid w:val="00FF1D1C"/>
    <w:rsid w:val="00FF38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customStyle="1" w:styleId="gmail-apple-converted-space">
    <w:name w:val="gmail-apple-converted-space"/>
    <w:basedOn w:val="Policepardfaut"/>
    <w:rsid w:val="00005A19"/>
  </w:style>
  <w:style w:type="character" w:styleId="Appelnotedebasdep">
    <w:name w:val="footnote reference"/>
    <w:basedOn w:val="Policepardfaut"/>
    <w:uiPriority w:val="99"/>
    <w:semiHidden/>
    <w:unhideWhenUsed/>
    <w:rsid w:val="00DD3447"/>
    <w:rPr>
      <w:vertAlign w:val="superscript"/>
    </w:rPr>
  </w:style>
  <w:style w:type="paragraph" w:customStyle="1" w:styleId="docdata">
    <w:name w:val="docdata"/>
    <w:basedOn w:val="Normal"/>
    <w:rsid w:val="00BE438C"/>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lev">
    <w:name w:val="Strong"/>
    <w:basedOn w:val="Policepardfaut"/>
    <w:uiPriority w:val="22"/>
    <w:qFormat/>
    <w:rsid w:val="001E22C6"/>
    <w:rPr>
      <w:b/>
      <w:bCs/>
    </w:rPr>
  </w:style>
  <w:style w:type="character" w:customStyle="1" w:styleId="topic-highlight">
    <w:name w:val="topic-highlight"/>
    <w:basedOn w:val="Policepardfaut"/>
    <w:rsid w:val="006C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5609">
      <w:bodyDiv w:val="1"/>
      <w:marLeft w:val="0"/>
      <w:marRight w:val="0"/>
      <w:marTop w:val="0"/>
      <w:marBottom w:val="0"/>
      <w:divBdr>
        <w:top w:val="none" w:sz="0" w:space="0" w:color="auto"/>
        <w:left w:val="none" w:sz="0" w:space="0" w:color="auto"/>
        <w:bottom w:val="none" w:sz="0" w:space="0" w:color="auto"/>
        <w:right w:val="none" w:sz="0" w:space="0" w:color="auto"/>
      </w:divBdr>
    </w:div>
    <w:div w:id="220946451">
      <w:bodyDiv w:val="1"/>
      <w:marLeft w:val="0"/>
      <w:marRight w:val="0"/>
      <w:marTop w:val="0"/>
      <w:marBottom w:val="0"/>
      <w:divBdr>
        <w:top w:val="none" w:sz="0" w:space="0" w:color="auto"/>
        <w:left w:val="none" w:sz="0" w:space="0" w:color="auto"/>
        <w:bottom w:val="none" w:sz="0" w:space="0" w:color="auto"/>
        <w:right w:val="none" w:sz="0" w:space="0" w:color="auto"/>
      </w:divBdr>
      <w:divsChild>
        <w:div w:id="453646157">
          <w:marLeft w:val="547"/>
          <w:marRight w:val="0"/>
          <w:marTop w:val="0"/>
          <w:marBottom w:val="0"/>
          <w:divBdr>
            <w:top w:val="none" w:sz="0" w:space="0" w:color="auto"/>
            <w:left w:val="none" w:sz="0" w:space="0" w:color="auto"/>
            <w:bottom w:val="none" w:sz="0" w:space="0" w:color="auto"/>
            <w:right w:val="none" w:sz="0" w:space="0" w:color="auto"/>
          </w:divBdr>
        </w:div>
        <w:div w:id="1882786537">
          <w:marLeft w:val="547"/>
          <w:marRight w:val="0"/>
          <w:marTop w:val="0"/>
          <w:marBottom w:val="0"/>
          <w:divBdr>
            <w:top w:val="none" w:sz="0" w:space="0" w:color="auto"/>
            <w:left w:val="none" w:sz="0" w:space="0" w:color="auto"/>
            <w:bottom w:val="none" w:sz="0" w:space="0" w:color="auto"/>
            <w:right w:val="none" w:sz="0" w:space="0" w:color="auto"/>
          </w:divBdr>
        </w:div>
      </w:divsChild>
    </w:div>
    <w:div w:id="282227070">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72510254">
      <w:bodyDiv w:val="1"/>
      <w:marLeft w:val="0"/>
      <w:marRight w:val="0"/>
      <w:marTop w:val="0"/>
      <w:marBottom w:val="0"/>
      <w:divBdr>
        <w:top w:val="none" w:sz="0" w:space="0" w:color="auto"/>
        <w:left w:val="none" w:sz="0" w:space="0" w:color="auto"/>
        <w:bottom w:val="none" w:sz="0" w:space="0" w:color="auto"/>
        <w:right w:val="none" w:sz="0" w:space="0" w:color="auto"/>
      </w:divBdr>
    </w:div>
    <w:div w:id="387922176">
      <w:bodyDiv w:val="1"/>
      <w:marLeft w:val="0"/>
      <w:marRight w:val="0"/>
      <w:marTop w:val="0"/>
      <w:marBottom w:val="0"/>
      <w:divBdr>
        <w:top w:val="none" w:sz="0" w:space="0" w:color="auto"/>
        <w:left w:val="none" w:sz="0" w:space="0" w:color="auto"/>
        <w:bottom w:val="none" w:sz="0" w:space="0" w:color="auto"/>
        <w:right w:val="none" w:sz="0" w:space="0" w:color="auto"/>
      </w:divBdr>
    </w:div>
    <w:div w:id="456418005">
      <w:bodyDiv w:val="1"/>
      <w:marLeft w:val="0"/>
      <w:marRight w:val="0"/>
      <w:marTop w:val="0"/>
      <w:marBottom w:val="0"/>
      <w:divBdr>
        <w:top w:val="none" w:sz="0" w:space="0" w:color="auto"/>
        <w:left w:val="none" w:sz="0" w:space="0" w:color="auto"/>
        <w:bottom w:val="none" w:sz="0" w:space="0" w:color="auto"/>
        <w:right w:val="none" w:sz="0" w:space="0" w:color="auto"/>
      </w:divBdr>
    </w:div>
    <w:div w:id="678964196">
      <w:bodyDiv w:val="1"/>
      <w:marLeft w:val="0"/>
      <w:marRight w:val="0"/>
      <w:marTop w:val="0"/>
      <w:marBottom w:val="0"/>
      <w:divBdr>
        <w:top w:val="none" w:sz="0" w:space="0" w:color="auto"/>
        <w:left w:val="none" w:sz="0" w:space="0" w:color="auto"/>
        <w:bottom w:val="none" w:sz="0" w:space="0" w:color="auto"/>
        <w:right w:val="none" w:sz="0" w:space="0" w:color="auto"/>
      </w:divBdr>
    </w:div>
    <w:div w:id="72210209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11277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7606">
      <w:bodyDiv w:val="1"/>
      <w:marLeft w:val="0"/>
      <w:marRight w:val="0"/>
      <w:marTop w:val="0"/>
      <w:marBottom w:val="0"/>
      <w:divBdr>
        <w:top w:val="none" w:sz="0" w:space="0" w:color="auto"/>
        <w:left w:val="none" w:sz="0" w:space="0" w:color="auto"/>
        <w:bottom w:val="none" w:sz="0" w:space="0" w:color="auto"/>
        <w:right w:val="none" w:sz="0" w:space="0" w:color="auto"/>
      </w:divBdr>
    </w:div>
    <w:div w:id="937951870">
      <w:bodyDiv w:val="1"/>
      <w:marLeft w:val="0"/>
      <w:marRight w:val="0"/>
      <w:marTop w:val="0"/>
      <w:marBottom w:val="0"/>
      <w:divBdr>
        <w:top w:val="none" w:sz="0" w:space="0" w:color="auto"/>
        <w:left w:val="none" w:sz="0" w:space="0" w:color="auto"/>
        <w:bottom w:val="none" w:sz="0" w:space="0" w:color="auto"/>
        <w:right w:val="none" w:sz="0" w:space="0" w:color="auto"/>
      </w:divBdr>
    </w:div>
    <w:div w:id="995105958">
      <w:bodyDiv w:val="1"/>
      <w:marLeft w:val="0"/>
      <w:marRight w:val="0"/>
      <w:marTop w:val="0"/>
      <w:marBottom w:val="0"/>
      <w:divBdr>
        <w:top w:val="none" w:sz="0" w:space="0" w:color="auto"/>
        <w:left w:val="none" w:sz="0" w:space="0" w:color="auto"/>
        <w:bottom w:val="none" w:sz="0" w:space="0" w:color="auto"/>
        <w:right w:val="none" w:sz="0" w:space="0" w:color="auto"/>
      </w:divBdr>
    </w:div>
    <w:div w:id="109675182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388589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9831665">
      <w:bodyDiv w:val="1"/>
      <w:marLeft w:val="0"/>
      <w:marRight w:val="0"/>
      <w:marTop w:val="0"/>
      <w:marBottom w:val="0"/>
      <w:divBdr>
        <w:top w:val="none" w:sz="0" w:space="0" w:color="auto"/>
        <w:left w:val="none" w:sz="0" w:space="0" w:color="auto"/>
        <w:bottom w:val="none" w:sz="0" w:space="0" w:color="auto"/>
        <w:right w:val="none" w:sz="0" w:space="0" w:color="auto"/>
      </w:divBdr>
    </w:div>
    <w:div w:id="1601991300">
      <w:bodyDiv w:val="1"/>
      <w:marLeft w:val="0"/>
      <w:marRight w:val="0"/>
      <w:marTop w:val="0"/>
      <w:marBottom w:val="0"/>
      <w:divBdr>
        <w:top w:val="none" w:sz="0" w:space="0" w:color="auto"/>
        <w:left w:val="none" w:sz="0" w:space="0" w:color="auto"/>
        <w:bottom w:val="none" w:sz="0" w:space="0" w:color="auto"/>
        <w:right w:val="none" w:sz="0" w:space="0" w:color="auto"/>
      </w:divBdr>
      <w:divsChild>
        <w:div w:id="839545249">
          <w:marLeft w:val="0"/>
          <w:marRight w:val="0"/>
          <w:marTop w:val="0"/>
          <w:marBottom w:val="0"/>
          <w:divBdr>
            <w:top w:val="none" w:sz="0" w:space="0" w:color="auto"/>
            <w:left w:val="none" w:sz="0" w:space="0" w:color="auto"/>
            <w:bottom w:val="none" w:sz="0" w:space="0" w:color="auto"/>
            <w:right w:val="none" w:sz="0" w:space="0" w:color="auto"/>
          </w:divBdr>
        </w:div>
      </w:divsChild>
    </w:div>
    <w:div w:id="162203140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15">
      <w:bodyDiv w:val="1"/>
      <w:marLeft w:val="0"/>
      <w:marRight w:val="0"/>
      <w:marTop w:val="0"/>
      <w:marBottom w:val="0"/>
      <w:divBdr>
        <w:top w:val="none" w:sz="0" w:space="0" w:color="auto"/>
        <w:left w:val="none" w:sz="0" w:space="0" w:color="auto"/>
        <w:bottom w:val="none" w:sz="0" w:space="0" w:color="auto"/>
        <w:right w:val="none" w:sz="0" w:space="0" w:color="auto"/>
      </w:divBdr>
    </w:div>
    <w:div w:id="1722366414">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74070652">
      <w:bodyDiv w:val="1"/>
      <w:marLeft w:val="0"/>
      <w:marRight w:val="0"/>
      <w:marTop w:val="0"/>
      <w:marBottom w:val="0"/>
      <w:divBdr>
        <w:top w:val="none" w:sz="0" w:space="0" w:color="auto"/>
        <w:left w:val="none" w:sz="0" w:space="0" w:color="auto"/>
        <w:bottom w:val="none" w:sz="0" w:space="0" w:color="auto"/>
        <w:right w:val="none" w:sz="0" w:space="0" w:color="auto"/>
      </w:divBdr>
    </w:div>
    <w:div w:id="1909996576">
      <w:bodyDiv w:val="1"/>
      <w:marLeft w:val="0"/>
      <w:marRight w:val="0"/>
      <w:marTop w:val="0"/>
      <w:marBottom w:val="0"/>
      <w:divBdr>
        <w:top w:val="none" w:sz="0" w:space="0" w:color="auto"/>
        <w:left w:val="none" w:sz="0" w:space="0" w:color="auto"/>
        <w:bottom w:val="none" w:sz="0" w:space="0" w:color="auto"/>
        <w:right w:val="none" w:sz="0" w:space="0" w:color="auto"/>
      </w:divBdr>
    </w:div>
    <w:div w:id="1951476566">
      <w:bodyDiv w:val="1"/>
      <w:marLeft w:val="0"/>
      <w:marRight w:val="0"/>
      <w:marTop w:val="0"/>
      <w:marBottom w:val="0"/>
      <w:divBdr>
        <w:top w:val="none" w:sz="0" w:space="0" w:color="auto"/>
        <w:left w:val="none" w:sz="0" w:space="0" w:color="auto"/>
        <w:bottom w:val="none" w:sz="0" w:space="0" w:color="auto"/>
        <w:right w:val="none" w:sz="0" w:space="0" w:color="auto"/>
      </w:divBdr>
    </w:div>
    <w:div w:id="1967464721">
      <w:bodyDiv w:val="1"/>
      <w:marLeft w:val="0"/>
      <w:marRight w:val="0"/>
      <w:marTop w:val="0"/>
      <w:marBottom w:val="0"/>
      <w:divBdr>
        <w:top w:val="none" w:sz="0" w:space="0" w:color="auto"/>
        <w:left w:val="none" w:sz="0" w:space="0" w:color="auto"/>
        <w:bottom w:val="none" w:sz="0" w:space="0" w:color="auto"/>
        <w:right w:val="none" w:sz="0" w:space="0" w:color="auto"/>
      </w:divBdr>
    </w:div>
    <w:div w:id="1982542917">
      <w:bodyDiv w:val="1"/>
      <w:marLeft w:val="0"/>
      <w:marRight w:val="0"/>
      <w:marTop w:val="0"/>
      <w:marBottom w:val="0"/>
      <w:divBdr>
        <w:top w:val="none" w:sz="0" w:space="0" w:color="auto"/>
        <w:left w:val="none" w:sz="0" w:space="0" w:color="auto"/>
        <w:bottom w:val="none" w:sz="0" w:space="0" w:color="auto"/>
        <w:right w:val="none" w:sz="0" w:space="0" w:color="auto"/>
      </w:divBdr>
    </w:div>
    <w:div w:id="2029285405">
      <w:bodyDiv w:val="1"/>
      <w:marLeft w:val="0"/>
      <w:marRight w:val="0"/>
      <w:marTop w:val="0"/>
      <w:marBottom w:val="0"/>
      <w:divBdr>
        <w:top w:val="none" w:sz="0" w:space="0" w:color="auto"/>
        <w:left w:val="none" w:sz="0" w:space="0" w:color="auto"/>
        <w:bottom w:val="none" w:sz="0" w:space="0" w:color="auto"/>
        <w:right w:val="none" w:sz="0" w:space="0" w:color="auto"/>
      </w:divBdr>
    </w:div>
    <w:div w:id="2033417710">
      <w:bodyDiv w:val="1"/>
      <w:marLeft w:val="0"/>
      <w:marRight w:val="0"/>
      <w:marTop w:val="0"/>
      <w:marBottom w:val="0"/>
      <w:divBdr>
        <w:top w:val="none" w:sz="0" w:space="0" w:color="auto"/>
        <w:left w:val="none" w:sz="0" w:space="0" w:color="auto"/>
        <w:bottom w:val="none" w:sz="0" w:space="0" w:color="auto"/>
        <w:right w:val="none" w:sz="0" w:space="0" w:color="auto"/>
      </w:divBdr>
    </w:div>
    <w:div w:id="2100830994">
      <w:bodyDiv w:val="1"/>
      <w:marLeft w:val="0"/>
      <w:marRight w:val="0"/>
      <w:marTop w:val="0"/>
      <w:marBottom w:val="0"/>
      <w:divBdr>
        <w:top w:val="none" w:sz="0" w:space="0" w:color="auto"/>
        <w:left w:val="none" w:sz="0" w:space="0" w:color="auto"/>
        <w:bottom w:val="none" w:sz="0" w:space="0" w:color="auto"/>
        <w:right w:val="none" w:sz="0" w:space="0" w:color="auto"/>
      </w:divBdr>
    </w:div>
    <w:div w:id="210221416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iate.inrae.fr/powderlib_porta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gouv.fr/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eanpierre.belaud@toulouse-inp.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65DF-9709-474D-9207-1D47C730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9339</Words>
  <Characters>53234</Characters>
  <Application>Microsoft Office Word</Application>
  <DocSecurity>0</DocSecurity>
  <Lines>443</Lines>
  <Paragraphs>124</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Amaya Saint Bois</cp:lastModifiedBy>
  <cp:revision>2</cp:revision>
  <cp:lastPrinted>2015-05-12T18:31:00Z</cp:lastPrinted>
  <dcterms:created xsi:type="dcterms:W3CDTF">2025-04-18T15:50:00Z</dcterms:created>
  <dcterms:modified xsi:type="dcterms:W3CDTF">2025-04-18T15:50:00Z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id="kMV2Ni6A"/&gt;&lt;style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