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3B5422">
        <w:trPr>
          <w:trHeight w:val="852"/>
          <w:jc w:val="center"/>
        </w:trPr>
        <w:tc>
          <w:tcPr>
            <w:tcW w:w="6940" w:type="dxa"/>
            <w:vMerge w:val="restart"/>
            <w:tcBorders>
              <w:right w:val="single" w:sz="4" w:space="0" w:color="auto"/>
            </w:tcBorders>
          </w:tcPr>
          <w:p w14:paraId="38C3D2BA" w14:textId="15B3955D"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8349E8E"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3B542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3B5422">
        <w:trPr>
          <w:trHeight w:val="68"/>
          <w:jc w:val="center"/>
        </w:trPr>
        <w:tc>
          <w:tcPr>
            <w:tcW w:w="8782" w:type="dxa"/>
            <w:gridSpan w:val="2"/>
          </w:tcPr>
          <w:p w14:paraId="7AF2A89E" w14:textId="77777777" w:rsidR="00FF5BDA" w:rsidRPr="00C03E25" w:rsidRDefault="00AA7D26" w:rsidP="00FF5BDA">
            <w:pPr>
              <w:pStyle w:val="NormalWeb"/>
              <w:ind w:left="-107"/>
              <w:rPr>
                <w:rFonts w:ascii="Times New Roman" w:hAnsi="Times New Roman"/>
                <w:lang w:val="en-US" w:eastAsia="es-CO"/>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FF5BDA" w:rsidRPr="00C03E25">
              <w:rPr>
                <w:rFonts w:ascii="Tahoma" w:hAnsi="Tahoma" w:cs="Tahoma"/>
                <w:color w:val="333333"/>
                <w:sz w:val="14"/>
                <w:szCs w:val="14"/>
                <w:lang w:val="en-US" w:eastAsia="es-CO"/>
              </w:rPr>
              <w:t xml:space="preserve">David Bogle, Flavio </w:t>
            </w:r>
            <w:proofErr w:type="spellStart"/>
            <w:r w:rsidR="00FF5BDA" w:rsidRPr="00C03E25">
              <w:rPr>
                <w:rFonts w:ascii="Tahoma" w:hAnsi="Tahoma" w:cs="Tahoma"/>
                <w:color w:val="333333"/>
                <w:sz w:val="14"/>
                <w:szCs w:val="14"/>
                <w:lang w:val="en-US" w:eastAsia="es-CO"/>
              </w:rPr>
              <w:t>Manenti</w:t>
            </w:r>
            <w:proofErr w:type="spellEnd"/>
            <w:r w:rsidR="00FF5BDA" w:rsidRPr="00C03E25">
              <w:rPr>
                <w:rFonts w:ascii="Tahoma" w:hAnsi="Tahoma" w:cs="Tahoma"/>
                <w:color w:val="333333"/>
                <w:sz w:val="14"/>
                <w:szCs w:val="14"/>
                <w:lang w:val="en-US" w:eastAsia="es-CO"/>
              </w:rPr>
              <w:t xml:space="preserve">, Piero </w:t>
            </w:r>
            <w:proofErr w:type="spellStart"/>
            <w:r w:rsidR="00FF5BDA" w:rsidRPr="00C03E25">
              <w:rPr>
                <w:rFonts w:ascii="Tahoma" w:hAnsi="Tahoma" w:cs="Tahoma"/>
                <w:color w:val="333333"/>
                <w:sz w:val="14"/>
                <w:szCs w:val="14"/>
                <w:lang w:val="en-US" w:eastAsia="es-CO"/>
              </w:rPr>
              <w:t>Salatino</w:t>
            </w:r>
            <w:proofErr w:type="spellEnd"/>
          </w:p>
          <w:p w14:paraId="1B0F1814" w14:textId="4A3BAA10" w:rsidR="000A03B2" w:rsidRPr="00B57B36" w:rsidRDefault="00FF5BDA" w:rsidP="00FF5BDA">
            <w:pPr>
              <w:tabs>
                <w:tab w:val="left" w:pos="-108"/>
              </w:tabs>
              <w:spacing w:line="140" w:lineRule="atLeast"/>
              <w:ind w:left="-107"/>
              <w:jc w:val="left"/>
            </w:pPr>
            <w:r w:rsidRPr="00C03E25">
              <w:rPr>
                <w:rFonts w:ascii="Tahoma" w:hAnsi="Tahoma" w:cs="Tahoma"/>
                <w:color w:val="333333"/>
                <w:sz w:val="14"/>
                <w:szCs w:val="14"/>
                <w:lang w:val="en-US" w:eastAsia="es-CO"/>
              </w:rPr>
              <w:t xml:space="preserve">Copyright © 2025, AIDIC </w:t>
            </w:r>
            <w:proofErr w:type="spellStart"/>
            <w:r w:rsidRPr="00C03E25">
              <w:rPr>
                <w:rFonts w:ascii="Tahoma" w:hAnsi="Tahoma" w:cs="Tahoma"/>
                <w:color w:val="333333"/>
                <w:sz w:val="14"/>
                <w:szCs w:val="14"/>
                <w:lang w:val="en-US" w:eastAsia="es-CO"/>
              </w:rPr>
              <w:t>Servizi</w:t>
            </w:r>
            <w:proofErr w:type="spellEnd"/>
            <w:r w:rsidRPr="00C03E25">
              <w:rPr>
                <w:rFonts w:ascii="Tahoma" w:hAnsi="Tahoma" w:cs="Tahoma"/>
                <w:color w:val="333333"/>
                <w:sz w:val="14"/>
                <w:szCs w:val="14"/>
                <w:lang w:val="en-US" w:eastAsia="es-CO"/>
              </w:rPr>
              <w:t xml:space="preserve"> </w:t>
            </w:r>
            <w:proofErr w:type="spellStart"/>
            <w:r w:rsidRPr="00C03E25">
              <w:rPr>
                <w:rFonts w:ascii="Tahoma" w:hAnsi="Tahoma" w:cs="Tahoma"/>
                <w:color w:val="333333"/>
                <w:sz w:val="14"/>
                <w:szCs w:val="14"/>
                <w:lang w:val="en-US" w:eastAsia="es-CO"/>
              </w:rPr>
              <w:t>S.r.l</w:t>
            </w:r>
            <w:proofErr w:type="spellEnd"/>
            <w:r w:rsidRPr="00C03E25">
              <w:rPr>
                <w:rFonts w:ascii="Tahoma" w:hAnsi="Tahoma" w:cs="Tahoma"/>
                <w:color w:val="333333"/>
                <w:sz w:val="14"/>
                <w:szCs w:val="14"/>
                <w:lang w:val="en-US" w:eastAsia="es-CO"/>
              </w:rPr>
              <w:t>.</w:t>
            </w:r>
            <w:r w:rsidRPr="00C03E25">
              <w:rPr>
                <w:rFonts w:ascii="Tahoma" w:hAnsi="Tahoma" w:cs="Tahoma"/>
                <w:color w:val="333333"/>
                <w:sz w:val="14"/>
                <w:szCs w:val="14"/>
                <w:lang w:val="en-US" w:eastAsia="es-CO"/>
              </w:rPr>
              <w:br/>
            </w:r>
            <w:r w:rsidRPr="00C03E25">
              <w:rPr>
                <w:rFonts w:ascii="Tahoma" w:hAnsi="Tahoma" w:cs="Tahoma"/>
                <w:b/>
                <w:bCs/>
                <w:color w:val="333333"/>
                <w:sz w:val="14"/>
                <w:szCs w:val="14"/>
                <w:lang w:val="en-US" w:eastAsia="es-CO"/>
              </w:rPr>
              <w:t>ISBN</w:t>
            </w:r>
            <w:r w:rsidRPr="00C03E25">
              <w:rPr>
                <w:rFonts w:ascii="Tahoma" w:hAnsi="Tahoma" w:cs="Tahoma"/>
                <w:color w:val="333333"/>
                <w:sz w:val="14"/>
                <w:szCs w:val="14"/>
                <w:lang w:val="en-US" w:eastAsia="es-CO"/>
              </w:rPr>
              <w:t xml:space="preserve"> 979-12-81206-21-2; </w:t>
            </w:r>
            <w:r w:rsidRPr="00C03E25">
              <w:rPr>
                <w:rFonts w:ascii="Tahoma" w:hAnsi="Tahoma" w:cs="Tahoma"/>
                <w:b/>
                <w:bCs/>
                <w:color w:val="333333"/>
                <w:sz w:val="14"/>
                <w:szCs w:val="14"/>
                <w:lang w:val="en-US" w:eastAsia="es-CO"/>
              </w:rPr>
              <w:t>ISSN</w:t>
            </w:r>
            <w:r w:rsidRPr="00C03E25">
              <w:rPr>
                <w:rFonts w:ascii="Tahoma" w:hAnsi="Tahoma" w:cs="Tahoma"/>
                <w:color w:val="333333"/>
                <w:sz w:val="14"/>
                <w:szCs w:val="14"/>
                <w:lang w:val="en-US" w:eastAsia="es-CO"/>
              </w:rPr>
              <w:t xml:space="preserve"> 2283-9216</w:t>
            </w:r>
          </w:p>
        </w:tc>
      </w:tr>
    </w:tbl>
    <w:bookmarkEnd w:id="0"/>
    <w:p w14:paraId="2E667253" w14:textId="6F5B1FCD" w:rsidR="00E978D0" w:rsidRPr="00B57B36" w:rsidRDefault="003B5422" w:rsidP="00075B87">
      <w:pPr>
        <w:pStyle w:val="CETTitle"/>
      </w:pPr>
      <w:r w:rsidRPr="003B5422">
        <w:t xml:space="preserve">Technical Assessment </w:t>
      </w:r>
      <w:r>
        <w:t>o</w:t>
      </w:r>
      <w:r w:rsidRPr="003B5422">
        <w:t xml:space="preserve">f </w:t>
      </w:r>
      <w:r>
        <w:t>a</w:t>
      </w:r>
      <w:r w:rsidRPr="003B5422">
        <w:t xml:space="preserve"> Cascade Avocado Waste Biorefinery Based </w:t>
      </w:r>
      <w:r>
        <w:t>o</w:t>
      </w:r>
      <w:r w:rsidRPr="003B5422">
        <w:t xml:space="preserve">n Water, Energy </w:t>
      </w:r>
      <w:r>
        <w:t>a</w:t>
      </w:r>
      <w:r w:rsidRPr="003B5422">
        <w:t>nd Product Evaluation (W</w:t>
      </w:r>
      <w:r>
        <w:t>EP</w:t>
      </w:r>
      <w:r w:rsidRPr="003B5422">
        <w:t>)</w:t>
      </w:r>
      <w:r w:rsidRPr="00C916D4">
        <w:t xml:space="preserve"> </w:t>
      </w:r>
    </w:p>
    <w:p w14:paraId="0488FED2" w14:textId="2CC5B82A" w:rsidR="00B57E6F" w:rsidRPr="004E4F0F" w:rsidRDefault="00C916D4" w:rsidP="00B57E6F">
      <w:pPr>
        <w:pStyle w:val="CETAuthors"/>
        <w:rPr>
          <w:sz w:val="22"/>
          <w:lang w:val="es-CO"/>
        </w:rPr>
      </w:pPr>
      <w:r w:rsidRPr="004E4F0F">
        <w:rPr>
          <w:sz w:val="22"/>
          <w:lang w:val="es-CO"/>
        </w:rPr>
        <w:t xml:space="preserve">Stefany A. Valdez-Valdes, </w:t>
      </w:r>
      <w:r w:rsidR="00075B87" w:rsidRPr="004E4F0F">
        <w:rPr>
          <w:sz w:val="22"/>
          <w:lang w:val="es-CO"/>
        </w:rPr>
        <w:t xml:space="preserve">Alejandra V. Fontalvo-Morales, </w:t>
      </w:r>
      <w:r w:rsidRPr="004E4F0F">
        <w:rPr>
          <w:sz w:val="22"/>
          <w:lang w:val="es-CO"/>
        </w:rPr>
        <w:t>Ángel D</w:t>
      </w:r>
      <w:r w:rsidR="00945F91" w:rsidRPr="004E4F0F">
        <w:rPr>
          <w:sz w:val="22"/>
          <w:lang w:val="es-CO"/>
        </w:rPr>
        <w:t>arío</w:t>
      </w:r>
      <w:r w:rsidRPr="004E4F0F">
        <w:rPr>
          <w:sz w:val="22"/>
          <w:lang w:val="es-CO"/>
        </w:rPr>
        <w:t xml:space="preserve"> González-Delgado*</w:t>
      </w:r>
    </w:p>
    <w:p w14:paraId="293842E9" w14:textId="77777777" w:rsidR="00C916D4" w:rsidRPr="00E15B9F" w:rsidRDefault="00C916D4" w:rsidP="00C916D4">
      <w:pPr>
        <w:pStyle w:val="CETAddress"/>
        <w:jc w:val="both"/>
      </w:pPr>
      <w:r w:rsidRPr="00E15B9F">
        <w:t xml:space="preserve">Chemical Engineering Department, Nanomaterials and Computer-Aided Process Engineering Research </w:t>
      </w:r>
      <w:r w:rsidRPr="00E15B9F">
        <w:rPr>
          <w:lang w:val="en-US"/>
        </w:rPr>
        <w:t xml:space="preserve">Group (NIPAC), Universidad de Cartagena, Cartagena 130014, Bolívar, Colombia. </w:t>
      </w:r>
    </w:p>
    <w:p w14:paraId="38F76186" w14:textId="16EFB995" w:rsidR="006A6DE5" w:rsidRPr="004956F8" w:rsidRDefault="009D7863" w:rsidP="00C916D4">
      <w:pPr>
        <w:pStyle w:val="CETemail"/>
        <w:rPr>
          <w:lang w:val="en-US"/>
        </w:rPr>
      </w:pPr>
      <w:hyperlink r:id="rId10" w:history="1">
        <w:r w:rsidR="004956F8" w:rsidRPr="004956F8">
          <w:rPr>
            <w:rStyle w:val="Hyperlink"/>
            <w:color w:val="000000" w:themeColor="text1"/>
            <w:u w:val="none"/>
            <w:lang w:val="en-US"/>
          </w:rPr>
          <w:t>*agonzalezd1@unicartagena.edu.co</w:t>
        </w:r>
      </w:hyperlink>
    </w:p>
    <w:p w14:paraId="5BD3612E" w14:textId="68527CCB" w:rsidR="004956F8" w:rsidRPr="004956F8" w:rsidRDefault="007313E3" w:rsidP="007313E3">
      <w:pPr>
        <w:pStyle w:val="CETBodytext"/>
      </w:pPr>
      <w:r w:rsidRPr="007313E3">
        <w:rPr>
          <w:szCs w:val="18"/>
        </w:rPr>
        <w:t>The rising global population is driving significant changes in climate and environmental</w:t>
      </w:r>
      <w:r>
        <w:rPr>
          <w:szCs w:val="18"/>
        </w:rPr>
        <w:t xml:space="preserve"> </w:t>
      </w:r>
      <w:r w:rsidRPr="007313E3">
        <w:rPr>
          <w:szCs w:val="18"/>
        </w:rPr>
        <w:t>conditions, emphasizing the urgent need for sustainable practices across all sectors. This study</w:t>
      </w:r>
      <w:r>
        <w:rPr>
          <w:szCs w:val="18"/>
        </w:rPr>
        <w:t xml:space="preserve"> </w:t>
      </w:r>
      <w:r w:rsidRPr="007313E3">
        <w:rPr>
          <w:szCs w:val="18"/>
        </w:rPr>
        <w:t>evaluates the technical performance of a cascade biorefinery for processing avocado waste</w:t>
      </w:r>
      <w:r>
        <w:rPr>
          <w:szCs w:val="18"/>
        </w:rPr>
        <w:t xml:space="preserve"> </w:t>
      </w:r>
      <w:r w:rsidRPr="007313E3">
        <w:rPr>
          <w:szCs w:val="18"/>
        </w:rPr>
        <w:t>from Colombia. This waste can be transformed into value-added products such as starch and</w:t>
      </w:r>
      <w:r>
        <w:rPr>
          <w:szCs w:val="18"/>
        </w:rPr>
        <w:t xml:space="preserve"> </w:t>
      </w:r>
      <w:r w:rsidRPr="007313E3">
        <w:rPr>
          <w:szCs w:val="18"/>
        </w:rPr>
        <w:t>bioplastic films. The assessment was conducted using the Water-Energy-Product (WEP)</w:t>
      </w:r>
      <w:r>
        <w:rPr>
          <w:szCs w:val="18"/>
        </w:rPr>
        <w:t xml:space="preserve"> </w:t>
      </w:r>
      <w:r w:rsidRPr="007313E3">
        <w:rPr>
          <w:szCs w:val="18"/>
        </w:rPr>
        <w:t>framework, analyzing key metrics on water and energy consumption along with product</w:t>
      </w:r>
      <w:r>
        <w:rPr>
          <w:szCs w:val="18"/>
        </w:rPr>
        <w:t xml:space="preserve"> </w:t>
      </w:r>
      <w:r w:rsidRPr="007313E3">
        <w:rPr>
          <w:szCs w:val="18"/>
        </w:rPr>
        <w:t>outputs. Eight critical process parameters and eleven technical indicators were calculated.</w:t>
      </w:r>
      <w:r>
        <w:rPr>
          <w:szCs w:val="18"/>
        </w:rPr>
        <w:t xml:space="preserve"> </w:t>
      </w:r>
      <w:r w:rsidRPr="007313E3">
        <w:rPr>
          <w:szCs w:val="18"/>
        </w:rPr>
        <w:t>Results indicate efficient resource use, with a 61.93</w:t>
      </w:r>
      <w:r w:rsidR="00F77C41">
        <w:rPr>
          <w:szCs w:val="18"/>
        </w:rPr>
        <w:t xml:space="preserve"> </w:t>
      </w:r>
      <w:r w:rsidRPr="007313E3">
        <w:rPr>
          <w:szCs w:val="18"/>
        </w:rPr>
        <w:t>% fractional water consumption and an</w:t>
      </w:r>
      <w:r>
        <w:rPr>
          <w:szCs w:val="18"/>
        </w:rPr>
        <w:t xml:space="preserve"> </w:t>
      </w:r>
      <w:r w:rsidRPr="007313E3">
        <w:rPr>
          <w:szCs w:val="18"/>
        </w:rPr>
        <w:t>energy-specific intensity of 89.22 MJ/t. However, challenges remain, including a 46.93</w:t>
      </w:r>
      <w:r w:rsidR="00F77C41">
        <w:rPr>
          <w:szCs w:val="18"/>
        </w:rPr>
        <w:t xml:space="preserve"> </w:t>
      </w:r>
      <w:r w:rsidRPr="007313E3">
        <w:rPr>
          <w:szCs w:val="18"/>
        </w:rPr>
        <w:t>%</w:t>
      </w:r>
      <w:r>
        <w:rPr>
          <w:szCs w:val="18"/>
        </w:rPr>
        <w:t xml:space="preserve"> </w:t>
      </w:r>
      <w:r w:rsidRPr="007313E3">
        <w:rPr>
          <w:szCs w:val="18"/>
        </w:rPr>
        <w:t>wastewater production ratio and high energy costs (50.38</w:t>
      </w:r>
      <w:r w:rsidR="00F77C41">
        <w:rPr>
          <w:szCs w:val="18"/>
        </w:rPr>
        <w:t xml:space="preserve"> </w:t>
      </w:r>
      <w:r w:rsidRPr="007313E3">
        <w:rPr>
          <w:szCs w:val="18"/>
        </w:rPr>
        <w:t>%). Scenario analysis suggests that</w:t>
      </w:r>
      <w:r>
        <w:rPr>
          <w:szCs w:val="18"/>
        </w:rPr>
        <w:t xml:space="preserve"> </w:t>
      </w:r>
      <w:r w:rsidRPr="007313E3">
        <w:rPr>
          <w:szCs w:val="18"/>
        </w:rPr>
        <w:t>integrating renewable energy sources and enhancing material recirculation could further</w:t>
      </w:r>
      <w:r>
        <w:rPr>
          <w:szCs w:val="18"/>
        </w:rPr>
        <w:t xml:space="preserve"> </w:t>
      </w:r>
      <w:r w:rsidRPr="007313E3">
        <w:rPr>
          <w:szCs w:val="18"/>
        </w:rPr>
        <w:t>optimize efficiency. These findings highlight the potential of cascade biorefineries to support</w:t>
      </w:r>
      <w:r>
        <w:rPr>
          <w:szCs w:val="18"/>
        </w:rPr>
        <w:t xml:space="preserve"> </w:t>
      </w:r>
      <w:r w:rsidRPr="007313E3">
        <w:rPr>
          <w:szCs w:val="18"/>
        </w:rPr>
        <w:t>circular economy principles and sustainable waste management, providing a scalable model</w:t>
      </w:r>
      <w:r>
        <w:rPr>
          <w:szCs w:val="18"/>
        </w:rPr>
        <w:t xml:space="preserve"> </w:t>
      </w:r>
      <w:r w:rsidRPr="007313E3">
        <w:rPr>
          <w:szCs w:val="18"/>
        </w:rPr>
        <w:t>for ag</w:t>
      </w:r>
      <w:r>
        <w:rPr>
          <w:szCs w:val="18"/>
        </w:rPr>
        <w:t>ricultural residue valorization</w:t>
      </w:r>
      <w:r w:rsidR="004956F8" w:rsidRPr="00360179">
        <w:rPr>
          <w:szCs w:val="18"/>
        </w:rPr>
        <w:t>.</w:t>
      </w:r>
    </w:p>
    <w:p w14:paraId="476B2F2E" w14:textId="52B36035" w:rsidR="00600535" w:rsidRPr="00B57B36" w:rsidRDefault="00600535" w:rsidP="00600535">
      <w:pPr>
        <w:pStyle w:val="CETHeading1"/>
        <w:rPr>
          <w:lang w:val="en-GB"/>
        </w:rPr>
      </w:pPr>
      <w:r w:rsidRPr="00B57B36">
        <w:rPr>
          <w:lang w:val="en-GB"/>
        </w:rPr>
        <w:t>Introduction</w:t>
      </w:r>
    </w:p>
    <w:p w14:paraId="70DED070" w14:textId="3F8A60F2" w:rsidR="003C3F5C" w:rsidRPr="003C3F5C" w:rsidRDefault="003C3F5C" w:rsidP="003C3F5C">
      <w:pPr>
        <w:pStyle w:val="CETBodytext"/>
        <w:rPr>
          <w:lang w:val="en-GB"/>
        </w:rPr>
      </w:pPr>
      <w:r w:rsidRPr="003C3F5C">
        <w:rPr>
          <w:lang w:val="en-GB"/>
        </w:rPr>
        <w:t xml:space="preserve">The increasing demand for sustainable solutions in agro-industrial waste management has driven the exploration of biorefineries to </w:t>
      </w:r>
      <w:r w:rsidR="0095724A" w:rsidRPr="003C3F5C">
        <w:rPr>
          <w:lang w:val="en-GB"/>
        </w:rPr>
        <w:t>valorise</w:t>
      </w:r>
      <w:r w:rsidRPr="003C3F5C">
        <w:rPr>
          <w:lang w:val="en-GB"/>
        </w:rPr>
        <w:t xml:space="preserve"> residues and reduce environmental impact. Avocado (</w:t>
      </w:r>
      <w:proofErr w:type="spellStart"/>
      <w:r w:rsidRPr="00421757">
        <w:rPr>
          <w:i/>
          <w:iCs/>
          <w:lang w:val="en-GB"/>
        </w:rPr>
        <w:t>Persea</w:t>
      </w:r>
      <w:proofErr w:type="spellEnd"/>
      <w:r w:rsidRPr="00421757">
        <w:rPr>
          <w:i/>
          <w:iCs/>
          <w:lang w:val="en-GB"/>
        </w:rPr>
        <w:t xml:space="preserve"> </w:t>
      </w:r>
      <w:r w:rsidR="000711FC" w:rsidRPr="00421757">
        <w:rPr>
          <w:i/>
          <w:iCs/>
          <w:lang w:val="en-GB"/>
        </w:rPr>
        <w:t>Americana</w:t>
      </w:r>
      <w:r w:rsidRPr="00421757">
        <w:rPr>
          <w:i/>
          <w:iCs/>
          <w:lang w:val="en-GB"/>
        </w:rPr>
        <w:t xml:space="preserve"> Mill.</w:t>
      </w:r>
      <w:r w:rsidRPr="003C3F5C">
        <w:rPr>
          <w:lang w:val="en-GB"/>
        </w:rPr>
        <w:t>), a widely cultivated fruit in Latin America, generates substantial waste, particularly from its seed, which accounts for approximately 20</w:t>
      </w:r>
      <w:r w:rsidR="00F77C41">
        <w:rPr>
          <w:lang w:val="en-GB"/>
        </w:rPr>
        <w:t xml:space="preserve"> </w:t>
      </w:r>
      <w:r w:rsidRPr="003C3F5C">
        <w:rPr>
          <w:lang w:val="en-GB"/>
        </w:rPr>
        <w:t>% of the total fruit weight</w:t>
      </w:r>
      <w:r w:rsidR="00F200D6">
        <w:rPr>
          <w:lang w:val="en-GB"/>
        </w:rPr>
        <w:t xml:space="preserve"> </w:t>
      </w:r>
      <w:r w:rsidR="00F200D6">
        <w:t>(</w:t>
      </w:r>
      <w:r w:rsidR="00F200D6" w:rsidRPr="00C8425B">
        <w:t>Charles</w:t>
      </w:r>
      <w:r w:rsidR="00F200D6">
        <w:t xml:space="preserve"> et al., 2022)</w:t>
      </w:r>
      <w:r w:rsidRPr="003C3F5C">
        <w:rPr>
          <w:lang w:val="en-GB"/>
        </w:rPr>
        <w:t>. Although rich in bioacti</w:t>
      </w:r>
      <w:r w:rsidR="00C86828">
        <w:rPr>
          <w:lang w:val="en-GB"/>
        </w:rPr>
        <w:t xml:space="preserve">ve compounds, starch, and </w:t>
      </w:r>
      <w:proofErr w:type="spellStart"/>
      <w:r w:rsidR="00C86828">
        <w:rPr>
          <w:lang w:val="en-GB"/>
        </w:rPr>
        <w:t>fiber</w:t>
      </w:r>
      <w:proofErr w:type="spellEnd"/>
      <w:r w:rsidRPr="003C3F5C">
        <w:rPr>
          <w:lang w:val="en-GB"/>
        </w:rPr>
        <w:t>, avocado seeds are largely discarded, contributing to organic waste accu</w:t>
      </w:r>
      <w:r w:rsidR="000711FC">
        <w:rPr>
          <w:lang w:val="en-GB"/>
        </w:rPr>
        <w:t>mulation. Implementing cascade</w:t>
      </w:r>
      <w:r w:rsidRPr="003C3F5C">
        <w:rPr>
          <w:lang w:val="en-GB"/>
        </w:rPr>
        <w:t xml:space="preserve"> biorefineries offers an opportunity to transform these residues into value-added products while optimizing resource use through water and energy efficiency strategies.</w:t>
      </w:r>
    </w:p>
    <w:p w14:paraId="2EF5975E" w14:textId="1474F3CE" w:rsidR="003C3F5C" w:rsidRPr="003C3F5C" w:rsidRDefault="003C3F5C" w:rsidP="003C3F5C">
      <w:pPr>
        <w:pStyle w:val="CETBodytext"/>
        <w:rPr>
          <w:lang w:val="en-GB"/>
        </w:rPr>
      </w:pPr>
      <w:r w:rsidRPr="003C3F5C">
        <w:rPr>
          <w:lang w:val="en-GB"/>
        </w:rPr>
        <w:t>Colombia</w:t>
      </w:r>
      <w:r w:rsidR="00F200D6">
        <w:rPr>
          <w:lang w:val="en-GB"/>
        </w:rPr>
        <w:t xml:space="preserve"> </w:t>
      </w:r>
      <w:r w:rsidRPr="003C3F5C">
        <w:rPr>
          <w:lang w:val="en-GB"/>
        </w:rPr>
        <w:t>has experienced a significant expansion in Hass avocado cultivation, particularly in the Putumayo region, where production plays a crucial role in the local economy</w:t>
      </w:r>
      <w:r w:rsidR="00270DBE">
        <w:rPr>
          <w:lang w:val="en-GB"/>
        </w:rPr>
        <w:t xml:space="preserve"> (García et al., 2021)</w:t>
      </w:r>
      <w:r w:rsidRPr="003C3F5C">
        <w:rPr>
          <w:lang w:val="en-GB"/>
        </w:rPr>
        <w:t>. Despite this growth, the avocado supply chain remains primarily focused on fresh fruit commercialization, neglecting the potential of by-products such as seeds and peels</w:t>
      </w:r>
      <w:r w:rsidR="00F200D6">
        <w:rPr>
          <w:lang w:val="en-GB"/>
        </w:rPr>
        <w:t xml:space="preserve"> (Fajardo, 2023)</w:t>
      </w:r>
      <w:r w:rsidRPr="003C3F5C">
        <w:rPr>
          <w:lang w:val="en-GB"/>
        </w:rPr>
        <w:t xml:space="preserve">. </w:t>
      </w:r>
      <w:r w:rsidR="000711FC">
        <w:rPr>
          <w:lang w:val="en-GB"/>
        </w:rPr>
        <w:t>To address this gap, a cascade</w:t>
      </w:r>
      <w:r w:rsidRPr="003C3F5C">
        <w:rPr>
          <w:lang w:val="en-GB"/>
        </w:rPr>
        <w:t xml:space="preserve"> biorefinery model has been proposed to process Hass avocad</w:t>
      </w:r>
      <w:r w:rsidR="00C86828">
        <w:rPr>
          <w:lang w:val="en-GB"/>
        </w:rPr>
        <w:t xml:space="preserve">o </w:t>
      </w:r>
      <w:r w:rsidR="00634AF1">
        <w:rPr>
          <w:lang w:val="en-GB"/>
        </w:rPr>
        <w:t>waste</w:t>
      </w:r>
      <w:r w:rsidR="00C86828">
        <w:rPr>
          <w:lang w:val="en-GB"/>
        </w:rPr>
        <w:t>s into starch and</w:t>
      </w:r>
      <w:r w:rsidR="00F200D6">
        <w:rPr>
          <w:lang w:val="en-GB"/>
        </w:rPr>
        <w:t xml:space="preserve"> bio</w:t>
      </w:r>
      <w:r w:rsidR="00C86828">
        <w:rPr>
          <w:lang w:val="en-GB"/>
        </w:rPr>
        <w:t>films</w:t>
      </w:r>
      <w:r w:rsidRPr="003C3F5C">
        <w:rPr>
          <w:lang w:val="en-GB"/>
        </w:rPr>
        <w:t>, employing computer-aided process engineering for technical evaluation.</w:t>
      </w:r>
    </w:p>
    <w:p w14:paraId="49825794" w14:textId="47986689" w:rsidR="003C3F5C" w:rsidRPr="003C3F5C" w:rsidRDefault="003C3F5C" w:rsidP="003C3F5C">
      <w:pPr>
        <w:pStyle w:val="CETBodytext"/>
        <w:rPr>
          <w:lang w:val="en-GB"/>
        </w:rPr>
      </w:pPr>
      <w:r w:rsidRPr="003C3F5C">
        <w:rPr>
          <w:lang w:val="en-GB"/>
        </w:rPr>
        <w:t xml:space="preserve">Water and energy management are critical in biorefineries, as these factors directly influence economic feasibility and environmental sustainability. The Water-Energy-Product (WEP) assessment methodology provides a structured approach to evaluating process efficiency by </w:t>
      </w:r>
      <w:proofErr w:type="spellStart"/>
      <w:r w:rsidRPr="003C3F5C">
        <w:rPr>
          <w:lang w:val="en-GB"/>
        </w:rPr>
        <w:t>analyzing</w:t>
      </w:r>
      <w:proofErr w:type="spellEnd"/>
      <w:r w:rsidRPr="003C3F5C">
        <w:rPr>
          <w:lang w:val="en-GB"/>
        </w:rPr>
        <w:t xml:space="preserve"> key indicators such as fractional water consumption, production yield, energy-specific intensity, and material recirculation</w:t>
      </w:r>
      <w:r w:rsidR="00270DBE">
        <w:rPr>
          <w:lang w:val="en-GB"/>
        </w:rPr>
        <w:t xml:space="preserve"> (García-Maza et al., 2024)</w:t>
      </w:r>
      <w:r w:rsidRPr="003C3F5C">
        <w:rPr>
          <w:lang w:val="en-GB"/>
        </w:rPr>
        <w:t>. This approach allows for an in-depth examination of resource optimization and potential areas for improvement, ensuring sustainable and economically viable process development</w:t>
      </w:r>
      <w:r w:rsidR="0076279E">
        <w:rPr>
          <w:lang w:val="en-GB"/>
        </w:rPr>
        <w:t xml:space="preserve"> (</w:t>
      </w:r>
      <w:proofErr w:type="spellStart"/>
      <w:r w:rsidR="0076279E">
        <w:rPr>
          <w:lang w:val="en-GB"/>
        </w:rPr>
        <w:t>Caporusso</w:t>
      </w:r>
      <w:proofErr w:type="spellEnd"/>
      <w:r w:rsidR="0076279E">
        <w:rPr>
          <w:lang w:val="en-GB"/>
        </w:rPr>
        <w:t xml:space="preserve"> et al., 2022)</w:t>
      </w:r>
      <w:r w:rsidRPr="003C3F5C">
        <w:rPr>
          <w:lang w:val="en-GB"/>
        </w:rPr>
        <w:t>.</w:t>
      </w:r>
    </w:p>
    <w:p w14:paraId="1AED3853" w14:textId="6D7C9CAA" w:rsidR="00600535" w:rsidRDefault="003C3F5C" w:rsidP="003C3F5C">
      <w:pPr>
        <w:pStyle w:val="CETBodytext"/>
      </w:pPr>
      <w:r w:rsidRPr="003C3F5C">
        <w:rPr>
          <w:lang w:val="en-GB"/>
        </w:rPr>
        <w:t xml:space="preserve">This study focuses on the technical assessment of a Hass avocado </w:t>
      </w:r>
      <w:r w:rsidR="00634AF1">
        <w:rPr>
          <w:lang w:val="en-GB"/>
        </w:rPr>
        <w:t>waste</w:t>
      </w:r>
      <w:r w:rsidRPr="003C3F5C">
        <w:rPr>
          <w:lang w:val="en-GB"/>
        </w:rPr>
        <w:t xml:space="preserve"> </w:t>
      </w:r>
      <w:r w:rsidR="00E3734C">
        <w:rPr>
          <w:lang w:val="en-GB"/>
        </w:rPr>
        <w:t xml:space="preserve">cascade </w:t>
      </w:r>
      <w:r w:rsidRPr="003C3F5C">
        <w:rPr>
          <w:lang w:val="en-GB"/>
        </w:rPr>
        <w:t xml:space="preserve">biorefinery in the </w:t>
      </w:r>
      <w:r w:rsidR="009122B1">
        <w:rPr>
          <w:lang w:val="en-GB"/>
        </w:rPr>
        <w:t>south of Colombia</w:t>
      </w:r>
      <w:r w:rsidRPr="003C3F5C">
        <w:rPr>
          <w:lang w:val="en-GB"/>
        </w:rPr>
        <w:t xml:space="preserve">, with a particular emphasis on water and energy efficiency. Using computer-aided simulation, the </w:t>
      </w:r>
      <w:r w:rsidR="00E3734C">
        <w:rPr>
          <w:lang w:val="en-GB"/>
        </w:rPr>
        <w:lastRenderedPageBreak/>
        <w:t xml:space="preserve">cascade </w:t>
      </w:r>
      <w:r w:rsidRPr="003C3F5C">
        <w:rPr>
          <w:lang w:val="en-GB"/>
        </w:rPr>
        <w:t xml:space="preserve">biorefinery process was </w:t>
      </w:r>
      <w:r w:rsidR="0095724A" w:rsidRPr="003C3F5C">
        <w:rPr>
          <w:lang w:val="en-GB"/>
        </w:rPr>
        <w:t>modelled</w:t>
      </w:r>
      <w:r w:rsidRPr="003C3F5C">
        <w:rPr>
          <w:lang w:val="en-GB"/>
        </w:rPr>
        <w:t xml:space="preserve"> to determine material and energy balances, evaluate resource consumption, and assess the efficiency of key performance indicators. The analysis includes best- and worst-case scenarios to benchmark process performance and identify strategies to enhance sustainability.</w:t>
      </w:r>
      <w:r>
        <w:rPr>
          <w:lang w:val="en-GB"/>
        </w:rPr>
        <w:t xml:space="preserve"> </w:t>
      </w:r>
      <w:r w:rsidRPr="003C3F5C">
        <w:rPr>
          <w:lang w:val="en-GB"/>
        </w:rPr>
        <w:t>By integrating the WEP evaluation framework, this research provides valuable insights into the feasi</w:t>
      </w:r>
      <w:r w:rsidR="000711FC">
        <w:rPr>
          <w:lang w:val="en-GB"/>
        </w:rPr>
        <w:t>bility of implementing cascade</w:t>
      </w:r>
      <w:r w:rsidRPr="003C3F5C">
        <w:rPr>
          <w:lang w:val="en-GB"/>
        </w:rPr>
        <w:t xml:space="preserve"> biorefineries for avocado </w:t>
      </w:r>
      <w:r w:rsidR="00634AF1">
        <w:rPr>
          <w:lang w:val="en-GB"/>
        </w:rPr>
        <w:t>waste</w:t>
      </w:r>
      <w:r w:rsidRPr="003C3F5C">
        <w:rPr>
          <w:lang w:val="en-GB"/>
        </w:rPr>
        <w:t xml:space="preserve"> </w:t>
      </w:r>
      <w:proofErr w:type="spellStart"/>
      <w:r w:rsidRPr="003C3F5C">
        <w:rPr>
          <w:lang w:val="en-GB"/>
        </w:rPr>
        <w:t>valorization</w:t>
      </w:r>
      <w:proofErr w:type="spellEnd"/>
      <w:r w:rsidR="009122B1" w:rsidRPr="0026674D">
        <w:rPr>
          <w:color w:val="000000" w:themeColor="text1"/>
          <w:lang w:val="en-GB"/>
        </w:rPr>
        <w:t xml:space="preserve">. </w:t>
      </w:r>
      <w:r w:rsidR="0026674D" w:rsidRPr="0026674D">
        <w:rPr>
          <w:color w:val="000000" w:themeColor="text1"/>
          <w:lang w:val="en-GB"/>
        </w:rPr>
        <w:t xml:space="preserve">Unlike previous research, which primarily focuses on single-product </w:t>
      </w:r>
      <w:proofErr w:type="spellStart"/>
      <w:r w:rsidR="0026674D" w:rsidRPr="0026674D">
        <w:rPr>
          <w:color w:val="000000" w:themeColor="text1"/>
          <w:lang w:val="en-GB"/>
        </w:rPr>
        <w:t>valorization</w:t>
      </w:r>
      <w:proofErr w:type="spellEnd"/>
      <w:r w:rsidR="0026674D" w:rsidRPr="0026674D">
        <w:rPr>
          <w:color w:val="000000" w:themeColor="text1"/>
          <w:lang w:val="en-GB"/>
        </w:rPr>
        <w:t>, such as Araújo et al. (2020) on the process optimization of microwave-assisted extraction of bioactive molecules from avocado seeds</w:t>
      </w:r>
      <w:r w:rsidR="009122B1" w:rsidRPr="0026674D">
        <w:rPr>
          <w:color w:val="000000" w:themeColor="text1"/>
          <w:lang w:val="en-GB"/>
        </w:rPr>
        <w:t xml:space="preserve">, this study </w:t>
      </w:r>
      <w:r w:rsidR="009122B1" w:rsidRPr="009122B1">
        <w:rPr>
          <w:lang w:val="en-GB"/>
        </w:rPr>
        <w:t xml:space="preserve">examines a multi-product strategy </w:t>
      </w:r>
      <w:r w:rsidR="00E20682">
        <w:rPr>
          <w:lang w:val="en-GB"/>
        </w:rPr>
        <w:t>that integrates starch extraction and biofilm production,</w:t>
      </w:r>
      <w:r w:rsidR="009122B1" w:rsidRPr="009122B1">
        <w:rPr>
          <w:lang w:val="en-GB"/>
        </w:rPr>
        <w:t xml:space="preserve"> while assessing water and energy efficiency. Additionally, process simulation was used to model resource consumption under </w:t>
      </w:r>
      <w:r w:rsidR="009122B1">
        <w:rPr>
          <w:lang w:val="en-GB"/>
        </w:rPr>
        <w:t>a specific operational scenario</w:t>
      </w:r>
      <w:r w:rsidR="009122B1" w:rsidRPr="009122B1">
        <w:rPr>
          <w:lang w:val="en-GB"/>
        </w:rPr>
        <w:t>, offering a more comprehensive technical ass</w:t>
      </w:r>
      <w:r w:rsidR="009122B1">
        <w:rPr>
          <w:lang w:val="en-GB"/>
        </w:rPr>
        <w:t>essment compared to prior works</w:t>
      </w:r>
      <w:r w:rsidRPr="003C3F5C">
        <w:rPr>
          <w:lang w:val="en-GB"/>
        </w:rPr>
        <w:t>. The findings contribute to the advancement of circular economy strategies in the agro-industrial sector, supporting the transition toward more sustainable and efficient resource utilization practices.</w:t>
      </w:r>
    </w:p>
    <w:p w14:paraId="5741900F" w14:textId="3961F8E2" w:rsidR="00453E24" w:rsidRDefault="00980458" w:rsidP="00980458">
      <w:pPr>
        <w:pStyle w:val="CETHeading1"/>
      </w:pPr>
      <w:r w:rsidRPr="00980458">
        <w:t>Materials and methods</w:t>
      </w:r>
    </w:p>
    <w:p w14:paraId="0636B784" w14:textId="3EA3AF94" w:rsidR="00453E24" w:rsidRDefault="00945F91" w:rsidP="003C3F5C">
      <w:pPr>
        <w:pStyle w:val="CETheadingx"/>
      </w:pPr>
      <w:r>
        <w:t>Modelling of the cascade biorefinery topology</w:t>
      </w:r>
    </w:p>
    <w:p w14:paraId="66ED8D76" w14:textId="27934C49" w:rsidR="00490440" w:rsidRDefault="00490440" w:rsidP="00490440">
      <w:pPr>
        <w:pStyle w:val="CETBodytext"/>
      </w:pPr>
      <w:r>
        <w:t xml:space="preserve">The </w:t>
      </w:r>
      <w:r w:rsidR="00E3734C">
        <w:t xml:space="preserve">cascade </w:t>
      </w:r>
      <w:r>
        <w:t>biorefinery consists of three m</w:t>
      </w:r>
      <w:r w:rsidR="00C86828">
        <w:t>ain sections: starch extraction and</w:t>
      </w:r>
      <w:r>
        <w:t xml:space="preserve"> </w:t>
      </w:r>
      <w:r w:rsidR="00C86828">
        <w:t>bioplastic film production</w:t>
      </w:r>
      <w:r>
        <w:t>. These sections were designed to maximize raw material utilization while minimizing waste generation through material recirculation.</w:t>
      </w:r>
      <w:r w:rsidR="000734B1">
        <w:t xml:space="preserve"> </w:t>
      </w:r>
      <w:r>
        <w:t xml:space="preserve">The process begins with the washing and size reduction of avocado </w:t>
      </w:r>
      <w:r w:rsidR="00634AF1">
        <w:t>waste</w:t>
      </w:r>
      <w:r>
        <w:t>s, followed by starch extraction using wet milling, decantation, and drying</w:t>
      </w:r>
      <w:r w:rsidR="00E9620A">
        <w:t xml:space="preserve"> </w:t>
      </w:r>
      <w:r w:rsidR="00E9620A" w:rsidRPr="00E9620A">
        <w:t>(Tesfaye et al., 2018)</w:t>
      </w:r>
      <w:r>
        <w:t>. The extracted starch is used in biofilm production, where it undergoes gelatinization with glycerol to produce biofilm1. To obtain biofilm</w:t>
      </w:r>
      <w:r w:rsidR="0026674D">
        <w:t xml:space="preserve"> </w:t>
      </w:r>
      <w:r>
        <w:t>2</w:t>
      </w:r>
      <w:r w:rsidR="0026674D">
        <w:t>,</w:t>
      </w:r>
      <w:r>
        <w:t xml:space="preserve"> part of the incoming </w:t>
      </w:r>
      <w:r w:rsidR="00634AF1">
        <w:t>waste</w:t>
      </w:r>
      <w:r>
        <w:t xml:space="preserve"> is converted into polylactic acid (PLA) through hydrolysis, fermentation, and polymerization steps</w:t>
      </w:r>
      <w:r w:rsidR="005C6236">
        <w:t xml:space="preserve"> </w:t>
      </w:r>
      <w:r w:rsidR="005C6236" w:rsidRPr="005C6236">
        <w:t>(</w:t>
      </w:r>
      <w:proofErr w:type="spellStart"/>
      <w:r w:rsidR="005C6236" w:rsidRPr="005C6236">
        <w:t>Heo</w:t>
      </w:r>
      <w:proofErr w:type="spellEnd"/>
      <w:r w:rsidR="005C6236" w:rsidRPr="005C6236">
        <w:t xml:space="preserve"> et al., 2019)</w:t>
      </w:r>
      <w:r>
        <w:t xml:space="preserve">. </w:t>
      </w:r>
    </w:p>
    <w:p w14:paraId="63384CB5" w14:textId="3AB5FEA7" w:rsidR="00221BA5" w:rsidRPr="0026674D" w:rsidRDefault="000734B1" w:rsidP="00B3601E">
      <w:pPr>
        <w:pStyle w:val="CETBodytext"/>
      </w:pPr>
      <w:r w:rsidRPr="000734B1">
        <w:t>The Non-Random Two-Liquid (NRTL) model with the Redlich-</w:t>
      </w:r>
      <w:proofErr w:type="spellStart"/>
      <w:r w:rsidRPr="000734B1">
        <w:t>Kwong</w:t>
      </w:r>
      <w:proofErr w:type="spellEnd"/>
      <w:r w:rsidRPr="000734B1">
        <w:t xml:space="preserve"> (RK) equation of state was </w:t>
      </w:r>
      <w:r w:rsidR="00F02ACA">
        <w:t>selected</w:t>
      </w:r>
      <w:r w:rsidR="005C3DC7">
        <w:t xml:space="preserve"> on </w:t>
      </w:r>
      <w:r w:rsidR="00F77C41">
        <w:t xml:space="preserve">the </w:t>
      </w:r>
      <w:r w:rsidR="005C3DC7">
        <w:t>simulator Aspen Plus</w:t>
      </w:r>
      <w:r w:rsidR="005C3DC7" w:rsidRPr="005C3DC7">
        <w:rPr>
          <w:vertAlign w:val="superscript"/>
        </w:rPr>
        <w:t>®</w:t>
      </w:r>
      <w:r w:rsidRPr="000734B1">
        <w:t xml:space="preserve"> </w:t>
      </w:r>
      <w:r w:rsidR="005C3DC7">
        <w:t xml:space="preserve">V14 </w:t>
      </w:r>
      <w:r w:rsidRPr="000734B1">
        <w:t>to describe liquid and vapor phase behavior, ensuring accurate thermodynamic mode</w:t>
      </w:r>
      <w:r>
        <w:t xml:space="preserve">ling of the biorefinery process </w:t>
      </w:r>
      <w:r w:rsidR="00BC11A6" w:rsidRPr="00BC11A6">
        <w:t>(Smith et al., 2021)</w:t>
      </w:r>
      <w:r w:rsidR="00490440">
        <w:t>. Operating conditions, such as pressure, temperature, and reaction kinetics, were determined based on experimental data and literature values. The raw material input was set at 2645.4 tons per year, corresponding to 50</w:t>
      </w:r>
      <w:r w:rsidR="00F77C41">
        <w:t xml:space="preserve"> </w:t>
      </w:r>
      <w:r w:rsidR="00490440">
        <w:t xml:space="preserve">% of the estimated avocado </w:t>
      </w:r>
      <w:r w:rsidR="00634AF1">
        <w:t>waste</w:t>
      </w:r>
      <w:r w:rsidR="00490440">
        <w:t xml:space="preserve"> availability in the </w:t>
      </w:r>
      <w:r w:rsidR="009122B1">
        <w:t xml:space="preserve">selected </w:t>
      </w:r>
      <w:r w:rsidR="00490440">
        <w:t>region</w:t>
      </w:r>
      <w:r w:rsidR="009122B1">
        <w:t xml:space="preserve"> (South of Colombia)</w:t>
      </w:r>
      <w:r w:rsidR="00490440">
        <w:t>.</w:t>
      </w:r>
      <w:r w:rsidR="00BC11A6">
        <w:t xml:space="preserve"> </w:t>
      </w:r>
      <w:r w:rsidR="0062153C">
        <w:t>In Figure 1, a</w:t>
      </w:r>
      <w:r w:rsidR="00490440">
        <w:t xml:space="preserve"> process flow d</w:t>
      </w:r>
      <w:r w:rsidR="000711FC">
        <w:t xml:space="preserve">iagram </w:t>
      </w:r>
      <w:r w:rsidR="00490440">
        <w:t>illustrates the integration of different processing units and material flows within the system</w:t>
      </w:r>
      <w:r w:rsidR="0062153C">
        <w:t xml:space="preserve"> of the</w:t>
      </w:r>
      <w:r w:rsidR="00E3734C">
        <w:t xml:space="preserve"> cascade</w:t>
      </w:r>
      <w:r w:rsidR="0062153C">
        <w:t xml:space="preserve"> biorefinery topology</w:t>
      </w:r>
      <w:r w:rsidR="00490440">
        <w:t>.</w:t>
      </w:r>
    </w:p>
    <w:p w14:paraId="7B75396F" w14:textId="6D5C8343" w:rsidR="00C7724B" w:rsidRPr="00C7724B" w:rsidRDefault="00B40A0A" w:rsidP="00B3601E">
      <w:pPr>
        <w:tabs>
          <w:tab w:val="clear" w:pos="7100"/>
        </w:tabs>
        <w:spacing w:before="240" w:line="240" w:lineRule="auto"/>
        <w:jc w:val="left"/>
        <w:rPr>
          <w:rFonts w:ascii="Times New Roman" w:hAnsi="Times New Roman"/>
          <w:sz w:val="24"/>
          <w:szCs w:val="24"/>
          <w:lang w:val="en-US"/>
        </w:rPr>
      </w:pPr>
      <w:r w:rsidRPr="007313E3">
        <w:rPr>
          <w:rFonts w:ascii="Times New Roman" w:hAnsi="Times New Roman"/>
          <w:noProof/>
          <w:sz w:val="24"/>
          <w:szCs w:val="24"/>
          <w:lang w:val="en-US"/>
        </w:rPr>
        <w:drawing>
          <wp:inline distT="0" distB="0" distL="0" distR="0" wp14:anchorId="112494E2" wp14:editId="5681E2DF">
            <wp:extent cx="5579745" cy="3705251"/>
            <wp:effectExtent l="19050" t="19050" r="20955" b="28575"/>
            <wp:docPr id="1" name="Imagen 1" descr="C:\Users\Asus\AppData\Local\Microsoft\Windows\INetCache\Content.MSO\7B0020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MSO\7B002086.tmp"/>
                    <pic:cNvPicPr>
                      <a:picLocks noChangeAspect="1" noChangeArrowheads="1"/>
                    </pic:cNvPicPr>
                  </pic:nvPicPr>
                  <pic:blipFill rotWithShape="1">
                    <a:blip r:embed="rId11">
                      <a:extLst>
                        <a:ext uri="{28A0092B-C50C-407E-A947-70E740481C1C}">
                          <a14:useLocalDpi xmlns:a14="http://schemas.microsoft.com/office/drawing/2010/main" val="0"/>
                        </a:ext>
                      </a:extLst>
                    </a:blip>
                    <a:srcRect b="1993"/>
                    <a:stretch/>
                  </pic:blipFill>
                  <pic:spPr bwMode="auto">
                    <a:xfrm>
                      <a:off x="0" y="0"/>
                      <a:ext cx="5579745" cy="37052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236CBAA" w14:textId="08982F28" w:rsidR="00835581" w:rsidRPr="0026674D" w:rsidRDefault="00835581" w:rsidP="00945F91">
      <w:pPr>
        <w:pStyle w:val="CETCaption"/>
        <w:rPr>
          <w:color w:val="000000" w:themeColor="text1"/>
        </w:rPr>
      </w:pPr>
      <w:r w:rsidRPr="0026674D">
        <w:rPr>
          <w:color w:val="000000" w:themeColor="text1"/>
        </w:rPr>
        <w:t xml:space="preserve">Figure 1: Process Flow Diagram of the Hass Avocado </w:t>
      </w:r>
      <w:r w:rsidR="00634AF1" w:rsidRPr="0026674D">
        <w:rPr>
          <w:color w:val="000000" w:themeColor="text1"/>
        </w:rPr>
        <w:t>Waste</w:t>
      </w:r>
      <w:r w:rsidR="00945F91" w:rsidRPr="0026674D">
        <w:rPr>
          <w:color w:val="000000" w:themeColor="text1"/>
        </w:rPr>
        <w:t xml:space="preserve"> Cascade</w:t>
      </w:r>
      <w:r w:rsidRPr="0026674D">
        <w:rPr>
          <w:color w:val="000000" w:themeColor="text1"/>
        </w:rPr>
        <w:t xml:space="preserve"> Biorefinery.</w:t>
      </w:r>
    </w:p>
    <w:p w14:paraId="4CE25176" w14:textId="2164098D" w:rsidR="00E851BF" w:rsidRDefault="00D16776" w:rsidP="00D16776">
      <w:pPr>
        <w:pStyle w:val="CETheadingx"/>
      </w:pPr>
      <w:r w:rsidRPr="00D16776">
        <w:lastRenderedPageBreak/>
        <w:t xml:space="preserve">Water-Energy-Product (WEP) </w:t>
      </w:r>
      <w:r w:rsidR="00945F91">
        <w:t xml:space="preserve">Technical </w:t>
      </w:r>
      <w:r w:rsidRPr="00D16776">
        <w:t>Assessment</w:t>
      </w:r>
    </w:p>
    <w:p w14:paraId="5F7537DB" w14:textId="625130F3" w:rsidR="00E851BF" w:rsidRDefault="00E851BF" w:rsidP="00E851BF">
      <w:pPr>
        <w:pStyle w:val="CETBodytext"/>
      </w:pPr>
      <w:r>
        <w:t xml:space="preserve">The sustainability and efficiency of the </w:t>
      </w:r>
      <w:r w:rsidR="00E3734C">
        <w:t xml:space="preserve">cascade </w:t>
      </w:r>
      <w:r>
        <w:t>biorefinery were evaluated using the Water-Energy-Product (WEP) assessment methodology</w:t>
      </w:r>
      <w:r w:rsidR="005A0847">
        <w:t xml:space="preserve"> (</w:t>
      </w:r>
      <w:r w:rsidR="0033489C">
        <w:t>Aguilar-Vazquez</w:t>
      </w:r>
      <w:r w:rsidR="005A0847">
        <w:t xml:space="preserve"> et al., 2024)</w:t>
      </w:r>
      <w:r>
        <w:t>, which quantifies process performance based on key indicators related to water consumption, energy efficiency, and material utilization</w:t>
      </w:r>
      <w:r w:rsidR="004E4F0F">
        <w:t xml:space="preserve">. </w:t>
      </w:r>
      <w:r w:rsidR="004E4F0F" w:rsidRPr="004E4F0F">
        <w:t xml:space="preserve">The WEP assessment framework has been previously used to evaluate biorefinery efficiency; however, this study expands its </w:t>
      </w:r>
      <w:r w:rsidR="004E4F0F">
        <w:t>application by incorporating a multiproduct</w:t>
      </w:r>
      <w:r w:rsidR="004E4F0F" w:rsidRPr="004E4F0F">
        <w:t xml:space="preserve"> set of process indicators tailored to an avocado </w:t>
      </w:r>
      <w:r w:rsidR="00634AF1">
        <w:t>waste</w:t>
      </w:r>
      <w:r w:rsidR="004E4F0F" w:rsidRPr="004E4F0F">
        <w:t xml:space="preserve"> </w:t>
      </w:r>
      <w:r w:rsidR="004E4F0F">
        <w:t xml:space="preserve">cascade </w:t>
      </w:r>
      <w:r w:rsidR="004E4F0F" w:rsidRPr="004E4F0F">
        <w:t>biorefinery</w:t>
      </w:r>
      <w:r>
        <w:t>. The assessment included the following metrics</w:t>
      </w:r>
      <w:r w:rsidR="00835581">
        <w:t xml:space="preserve"> described in </w:t>
      </w:r>
      <w:r w:rsidR="001B6FB8">
        <w:t>T</w:t>
      </w:r>
      <w:r w:rsidR="00835581">
        <w:t>able 1.</w:t>
      </w:r>
    </w:p>
    <w:p w14:paraId="41578BED" w14:textId="1886DE52" w:rsidR="00835581" w:rsidRDefault="00835581" w:rsidP="001B6FB8">
      <w:pPr>
        <w:pStyle w:val="CETTabletitle"/>
      </w:pPr>
      <w:r>
        <w:t xml:space="preserve">Table 1: </w:t>
      </w:r>
      <w:r w:rsidRPr="00835581">
        <w:t>Technical indicators, description</w:t>
      </w:r>
      <w:r>
        <w:t>s</w:t>
      </w:r>
      <w:r w:rsidRPr="00835581">
        <w:t xml:space="preserve"> and equation</w:t>
      </w:r>
      <w:r>
        <w:t>s</w:t>
      </w:r>
      <w:r w:rsidRPr="00835581">
        <w:t>.</w:t>
      </w:r>
    </w:p>
    <w:tbl>
      <w:tblPr>
        <w:tblW w:w="5000" w:type="pct"/>
        <w:jc w:val="right"/>
        <w:tblBorders>
          <w:top w:val="single" w:sz="12" w:space="0" w:color="00B050"/>
          <w:bottom w:val="single" w:sz="12" w:space="0" w:color="00B050"/>
          <w:insideH w:val="single" w:sz="4" w:space="0" w:color="auto"/>
        </w:tblBorders>
        <w:tblLook w:val="0400" w:firstRow="0" w:lastRow="0" w:firstColumn="0" w:lastColumn="0" w:noHBand="0" w:noVBand="1"/>
      </w:tblPr>
      <w:tblGrid>
        <w:gridCol w:w="1418"/>
        <w:gridCol w:w="2835"/>
        <w:gridCol w:w="4534"/>
      </w:tblGrid>
      <w:tr w:rsidR="00835581" w:rsidRPr="00C4648F" w14:paraId="68858F1D" w14:textId="77777777" w:rsidTr="005C6236">
        <w:trPr>
          <w:trHeight w:val="356"/>
          <w:jc w:val="right"/>
        </w:trPr>
        <w:tc>
          <w:tcPr>
            <w:tcW w:w="807" w:type="pct"/>
            <w:tcBorders>
              <w:top w:val="single" w:sz="12" w:space="0" w:color="00B050"/>
              <w:bottom w:val="single" w:sz="12" w:space="0" w:color="00B050"/>
            </w:tcBorders>
            <w:vAlign w:val="center"/>
          </w:tcPr>
          <w:p w14:paraId="28B9902F" w14:textId="77777777" w:rsidR="00835581" w:rsidRPr="00C4648F" w:rsidRDefault="00835581" w:rsidP="002655CF">
            <w:pPr>
              <w:pStyle w:val="CETBodytext"/>
              <w:jc w:val="center"/>
              <w:rPr>
                <w:b/>
                <w:bCs/>
                <w:i/>
                <w:sz w:val="14"/>
                <w:lang w:val="es-CO"/>
              </w:rPr>
            </w:pPr>
            <w:r w:rsidRPr="00C4648F">
              <w:rPr>
                <w:b/>
                <w:bCs/>
                <w:sz w:val="14"/>
                <w:lang w:val="es-CO"/>
              </w:rPr>
              <w:t>Variable</w:t>
            </w:r>
          </w:p>
        </w:tc>
        <w:tc>
          <w:tcPr>
            <w:tcW w:w="1613" w:type="pct"/>
            <w:tcBorders>
              <w:top w:val="single" w:sz="12" w:space="0" w:color="00B050"/>
              <w:bottom w:val="single" w:sz="12" w:space="0" w:color="00B050"/>
            </w:tcBorders>
            <w:vAlign w:val="center"/>
          </w:tcPr>
          <w:p w14:paraId="71DD1D4F" w14:textId="77777777" w:rsidR="00835581" w:rsidRPr="00C4648F" w:rsidRDefault="00835581" w:rsidP="002655CF">
            <w:pPr>
              <w:pStyle w:val="CETBodytext"/>
              <w:jc w:val="center"/>
              <w:rPr>
                <w:b/>
                <w:bCs/>
                <w:i/>
                <w:sz w:val="14"/>
                <w:lang w:val="es-CO"/>
              </w:rPr>
            </w:pPr>
            <w:proofErr w:type="spellStart"/>
            <w:r w:rsidRPr="00C4648F">
              <w:rPr>
                <w:b/>
                <w:bCs/>
                <w:sz w:val="14"/>
                <w:lang w:val="es-CO"/>
              </w:rPr>
              <w:t>Description</w:t>
            </w:r>
            <w:proofErr w:type="spellEnd"/>
          </w:p>
        </w:tc>
        <w:tc>
          <w:tcPr>
            <w:tcW w:w="2580" w:type="pct"/>
            <w:tcBorders>
              <w:top w:val="single" w:sz="12" w:space="0" w:color="00B050"/>
              <w:bottom w:val="single" w:sz="12" w:space="0" w:color="00B050"/>
            </w:tcBorders>
            <w:vAlign w:val="center"/>
          </w:tcPr>
          <w:p w14:paraId="4ABA4F6B" w14:textId="77777777" w:rsidR="00835581" w:rsidRPr="00C4648F" w:rsidRDefault="00835581" w:rsidP="002655CF">
            <w:pPr>
              <w:pStyle w:val="CETBodytext"/>
              <w:jc w:val="center"/>
              <w:rPr>
                <w:b/>
                <w:bCs/>
                <w:i/>
                <w:sz w:val="14"/>
                <w:lang w:val="es-CO"/>
              </w:rPr>
            </w:pPr>
            <w:proofErr w:type="spellStart"/>
            <w:r w:rsidRPr="00C4648F">
              <w:rPr>
                <w:b/>
                <w:bCs/>
                <w:sz w:val="14"/>
                <w:lang w:val="es-CO"/>
              </w:rPr>
              <w:t>Equation</w:t>
            </w:r>
            <w:proofErr w:type="spellEnd"/>
          </w:p>
        </w:tc>
      </w:tr>
      <w:tr w:rsidR="00835581" w:rsidRPr="00C4648F" w14:paraId="0F15B9D1" w14:textId="77777777" w:rsidTr="005C6236">
        <w:trPr>
          <w:trHeight w:val="624"/>
          <w:jc w:val="right"/>
        </w:trPr>
        <w:tc>
          <w:tcPr>
            <w:tcW w:w="807" w:type="pct"/>
            <w:tcBorders>
              <w:top w:val="single" w:sz="12" w:space="0" w:color="00B050"/>
              <w:bottom w:val="nil"/>
            </w:tcBorders>
            <w:vAlign w:val="center"/>
          </w:tcPr>
          <w:p w14:paraId="66D0442B" w14:textId="77777777" w:rsidR="00835581" w:rsidRPr="00C4648F" w:rsidRDefault="00835581" w:rsidP="002655CF">
            <w:pPr>
              <w:pStyle w:val="CETBodytext"/>
              <w:jc w:val="center"/>
              <w:rPr>
                <w:b/>
                <w:i/>
                <w:sz w:val="14"/>
                <w:lang w:val="es-CO"/>
              </w:rPr>
            </w:pPr>
            <w:bookmarkStart w:id="1" w:name="_heading=h.tyjcwt" w:colFirst="0" w:colLast="0"/>
            <w:bookmarkEnd w:id="1"/>
            <w:proofErr w:type="spellStart"/>
            <w:r w:rsidRPr="00C4648F">
              <w:rPr>
                <w:sz w:val="14"/>
                <w:lang w:val="es-CO"/>
              </w:rPr>
              <w:t>Production</w:t>
            </w:r>
            <w:proofErr w:type="spellEnd"/>
            <w:r w:rsidRPr="00C4648F">
              <w:rPr>
                <w:sz w:val="14"/>
                <w:lang w:val="es-CO"/>
              </w:rPr>
              <w:t xml:space="preserve"> </w:t>
            </w:r>
            <w:proofErr w:type="spellStart"/>
            <w:r w:rsidRPr="00C4648F">
              <w:rPr>
                <w:sz w:val="14"/>
                <w:lang w:val="es-CO"/>
              </w:rPr>
              <w:t>yield</w:t>
            </w:r>
            <w:proofErr w:type="spellEnd"/>
            <w:r w:rsidRPr="00C4648F">
              <w:rPr>
                <w:sz w:val="14"/>
                <w:lang w:val="es-CO"/>
              </w:rPr>
              <w:t xml:space="preserve"> (%)</w:t>
            </w:r>
          </w:p>
        </w:tc>
        <w:tc>
          <w:tcPr>
            <w:tcW w:w="1613" w:type="pct"/>
            <w:tcBorders>
              <w:top w:val="single" w:sz="12" w:space="0" w:color="00B050"/>
              <w:bottom w:val="nil"/>
            </w:tcBorders>
            <w:vAlign w:val="center"/>
          </w:tcPr>
          <w:p w14:paraId="5ED41064" w14:textId="79998FDF" w:rsidR="00835581" w:rsidRPr="00C4648F" w:rsidRDefault="00ED3022" w:rsidP="002655CF">
            <w:pPr>
              <w:pStyle w:val="CETBodytext"/>
              <w:jc w:val="center"/>
              <w:rPr>
                <w:sz w:val="14"/>
              </w:rPr>
            </w:pPr>
            <w:r w:rsidRPr="00C4648F">
              <w:rPr>
                <w:sz w:val="14"/>
              </w:rPr>
              <w:t>Amount of product obtained per unit of raw material.</w:t>
            </w:r>
          </w:p>
        </w:tc>
        <w:tc>
          <w:tcPr>
            <w:tcW w:w="2580" w:type="pct"/>
            <w:tcBorders>
              <w:top w:val="single" w:sz="12" w:space="0" w:color="00B050"/>
              <w:bottom w:val="nil"/>
            </w:tcBorders>
            <w:vAlign w:val="center"/>
          </w:tcPr>
          <w:p w14:paraId="0885C651" w14:textId="26BE4A81" w:rsidR="00835581" w:rsidRPr="00C4648F" w:rsidRDefault="009D7863" w:rsidP="002655CF">
            <w:pPr>
              <w:pStyle w:val="CETBodytext"/>
              <w:jc w:val="center"/>
              <w:rPr>
                <w:sz w:val="14"/>
                <w:lang w:val="es-CO"/>
              </w:rPr>
            </w:pPr>
            <m:oMathPara>
              <m:oMath>
                <m:sSub>
                  <m:sSubPr>
                    <m:ctrlPr>
                      <w:rPr>
                        <w:rFonts w:ascii="Cambria Math" w:hAnsi="Cambria Math"/>
                        <w:sz w:val="14"/>
                        <w:lang w:val="es-CO"/>
                      </w:rPr>
                    </m:ctrlPr>
                  </m:sSubPr>
                  <m:e>
                    <m:r>
                      <w:rPr>
                        <w:rFonts w:ascii="Cambria Math" w:hAnsi="Cambria Math"/>
                        <w:sz w:val="14"/>
                        <w:lang w:val="es-CO"/>
                      </w:rPr>
                      <m:t>γ</m:t>
                    </m:r>
                  </m:e>
                  <m:sub>
                    <m:r>
                      <w:rPr>
                        <w:rFonts w:ascii="Cambria Math" w:hAnsi="Cambria Math"/>
                        <w:sz w:val="14"/>
                        <w:lang w:val="es-CO"/>
                      </w:rPr>
                      <m:t>i</m:t>
                    </m:r>
                  </m:sub>
                </m:sSub>
                <m:r>
                  <w:rPr>
                    <w:rFonts w:ascii="Cambria Math" w:hAnsi="Cambria Math"/>
                    <w:sz w:val="14"/>
                    <w:lang w:val="es-CO"/>
                  </w:rPr>
                  <m:t>=</m:t>
                </m:r>
                <m:f>
                  <m:fPr>
                    <m:ctrlPr>
                      <w:rPr>
                        <w:rFonts w:ascii="Cambria Math" w:hAnsi="Cambria Math"/>
                        <w:sz w:val="14"/>
                        <w:lang w:val="es-CO"/>
                      </w:rPr>
                    </m:ctrlPr>
                  </m:fPr>
                  <m:num>
                    <m:r>
                      <w:rPr>
                        <w:rFonts w:ascii="Cambria Math" w:hAnsi="Cambria Math"/>
                        <w:sz w:val="14"/>
                        <w:lang w:val="es-CO"/>
                      </w:rPr>
                      <m:t>Product</m:t>
                    </m:r>
                    <m:r>
                      <w:rPr>
                        <w:rFonts w:ascii="Cambria Math" w:hAnsi="Cambria Math"/>
                        <w:sz w:val="14"/>
                        <w:lang w:val="es-CO"/>
                      </w:rPr>
                      <m:t xml:space="preserve"> </m:t>
                    </m:r>
                    <m:r>
                      <w:rPr>
                        <w:rFonts w:ascii="Cambria Math" w:hAnsi="Cambria Math"/>
                        <w:sz w:val="14"/>
                        <w:lang w:val="es-CO"/>
                      </w:rPr>
                      <m:t>flow</m:t>
                    </m:r>
                  </m:num>
                  <m:den>
                    <m:r>
                      <w:rPr>
                        <w:rFonts w:ascii="Cambria Math" w:hAnsi="Cambria Math"/>
                        <w:sz w:val="14"/>
                        <w:lang w:val="es-CO"/>
                      </w:rPr>
                      <m:t>Raw</m:t>
                    </m:r>
                    <m:r>
                      <w:rPr>
                        <w:rFonts w:ascii="Cambria Math" w:hAnsi="Cambria Math"/>
                        <w:sz w:val="14"/>
                        <w:lang w:val="es-CO"/>
                      </w:rPr>
                      <m:t xml:space="preserve"> </m:t>
                    </m:r>
                    <m:r>
                      <w:rPr>
                        <w:rFonts w:ascii="Cambria Math" w:hAnsi="Cambria Math"/>
                        <w:sz w:val="14"/>
                        <w:lang w:val="es-CO"/>
                      </w:rPr>
                      <m:t>material</m:t>
                    </m:r>
                    <m:r>
                      <w:rPr>
                        <w:rFonts w:ascii="Cambria Math" w:hAnsi="Cambria Math"/>
                        <w:sz w:val="14"/>
                        <w:lang w:val="es-CO"/>
                      </w:rPr>
                      <m:t xml:space="preserve"> </m:t>
                    </m:r>
                    <m:r>
                      <w:rPr>
                        <w:rFonts w:ascii="Cambria Math" w:hAnsi="Cambria Math"/>
                        <w:sz w:val="14"/>
                        <w:lang w:val="es-CO"/>
                      </w:rPr>
                      <m:t>flow</m:t>
                    </m:r>
                  </m:den>
                </m:f>
                <m:r>
                  <w:rPr>
                    <w:rFonts w:ascii="Cambria Math" w:hAnsi="Cambria Math"/>
                    <w:sz w:val="14"/>
                    <w:lang w:val="es-CO"/>
                  </w:rPr>
                  <m:t>×100%</m:t>
                </m:r>
              </m:oMath>
            </m:oMathPara>
          </w:p>
        </w:tc>
      </w:tr>
      <w:tr w:rsidR="00835581" w:rsidRPr="00C4648F" w14:paraId="16B67DAE" w14:textId="77777777" w:rsidTr="005C6236">
        <w:trPr>
          <w:trHeight w:val="624"/>
          <w:jc w:val="right"/>
        </w:trPr>
        <w:tc>
          <w:tcPr>
            <w:tcW w:w="807" w:type="pct"/>
            <w:tcBorders>
              <w:top w:val="nil"/>
              <w:bottom w:val="nil"/>
            </w:tcBorders>
            <w:vAlign w:val="center"/>
          </w:tcPr>
          <w:p w14:paraId="32BAD88D" w14:textId="77777777" w:rsidR="00835581" w:rsidRPr="00C4648F" w:rsidRDefault="00835581" w:rsidP="002655CF">
            <w:pPr>
              <w:pStyle w:val="CETBodytext"/>
              <w:jc w:val="center"/>
              <w:rPr>
                <w:sz w:val="14"/>
              </w:rPr>
            </w:pPr>
            <w:r w:rsidRPr="00C4648F">
              <w:rPr>
                <w:sz w:val="14"/>
              </w:rPr>
              <w:t>Fractional water consumption (m</w:t>
            </w:r>
            <w:r w:rsidRPr="00C4648F">
              <w:rPr>
                <w:sz w:val="14"/>
                <w:vertAlign w:val="superscript"/>
              </w:rPr>
              <w:t>3</w:t>
            </w:r>
            <w:r w:rsidRPr="00C4648F">
              <w:rPr>
                <w:sz w:val="14"/>
              </w:rPr>
              <w:t>/t)</w:t>
            </w:r>
          </w:p>
          <w:p w14:paraId="4F8636BB" w14:textId="446D5DF8" w:rsidR="005C6236" w:rsidRPr="00C4648F" w:rsidRDefault="005C6236" w:rsidP="002655CF">
            <w:pPr>
              <w:pStyle w:val="CETBodytext"/>
              <w:jc w:val="center"/>
              <w:rPr>
                <w:b/>
                <w:i/>
                <w:sz w:val="14"/>
              </w:rPr>
            </w:pPr>
          </w:p>
        </w:tc>
        <w:tc>
          <w:tcPr>
            <w:tcW w:w="1613" w:type="pct"/>
            <w:tcBorders>
              <w:top w:val="nil"/>
              <w:bottom w:val="nil"/>
            </w:tcBorders>
            <w:vAlign w:val="center"/>
          </w:tcPr>
          <w:p w14:paraId="6AEE796D" w14:textId="302611B0" w:rsidR="00835581" w:rsidRPr="00C4648F" w:rsidRDefault="00B14633" w:rsidP="002655CF">
            <w:pPr>
              <w:pStyle w:val="CETBodytext"/>
              <w:jc w:val="center"/>
              <w:rPr>
                <w:iCs/>
                <w:sz w:val="14"/>
              </w:rPr>
            </w:pPr>
            <w:r w:rsidRPr="00C4648F">
              <w:rPr>
                <w:iCs/>
                <w:sz w:val="14"/>
              </w:rPr>
              <w:t>The volume of water consumed during product manufacturing.</w:t>
            </w:r>
          </w:p>
        </w:tc>
        <w:tc>
          <w:tcPr>
            <w:tcW w:w="2580" w:type="pct"/>
            <w:tcBorders>
              <w:top w:val="nil"/>
              <w:bottom w:val="nil"/>
            </w:tcBorders>
            <w:vAlign w:val="center"/>
          </w:tcPr>
          <w:p w14:paraId="59B52E1A" w14:textId="1C0BA3F0" w:rsidR="00835581" w:rsidRPr="00C4648F" w:rsidRDefault="00835581" w:rsidP="002655CF">
            <w:pPr>
              <w:pStyle w:val="CETBodytext"/>
              <w:jc w:val="center"/>
              <w:rPr>
                <w:sz w:val="14"/>
                <w:lang w:val="es-CO"/>
              </w:rPr>
            </w:pPr>
            <m:oMathPara>
              <m:oMath>
                <m:r>
                  <w:rPr>
                    <w:rFonts w:ascii="Cambria Math" w:hAnsi="Cambria Math"/>
                    <w:sz w:val="14"/>
                    <w:lang w:val="es-CO"/>
                  </w:rPr>
                  <m:t>FWC=</m:t>
                </m:r>
                <m:f>
                  <m:fPr>
                    <m:ctrlPr>
                      <w:rPr>
                        <w:rFonts w:ascii="Cambria Math" w:hAnsi="Cambria Math"/>
                        <w:sz w:val="14"/>
                        <w:lang w:val="es-CO"/>
                      </w:rPr>
                    </m:ctrlPr>
                  </m:fPr>
                  <m:num>
                    <m:r>
                      <w:rPr>
                        <w:rFonts w:ascii="Cambria Math" w:hAnsi="Cambria Math"/>
                        <w:sz w:val="14"/>
                        <w:lang w:val="es-CO"/>
                      </w:rPr>
                      <m:t>Volumetric flow of freshwater</m:t>
                    </m:r>
                  </m:num>
                  <m:den>
                    <m:r>
                      <w:rPr>
                        <w:rFonts w:ascii="Cambria Math" w:hAnsi="Cambria Math"/>
                        <w:sz w:val="14"/>
                        <w:lang w:val="es-CO"/>
                      </w:rPr>
                      <m:t>Product mass flow</m:t>
                    </m:r>
                  </m:den>
                </m:f>
              </m:oMath>
            </m:oMathPara>
          </w:p>
        </w:tc>
      </w:tr>
      <w:tr w:rsidR="00835581" w:rsidRPr="00C4648F" w14:paraId="207B877F" w14:textId="77777777" w:rsidTr="005C6236">
        <w:trPr>
          <w:trHeight w:val="624"/>
          <w:jc w:val="right"/>
        </w:trPr>
        <w:tc>
          <w:tcPr>
            <w:tcW w:w="807" w:type="pct"/>
            <w:tcBorders>
              <w:top w:val="nil"/>
              <w:bottom w:val="nil"/>
            </w:tcBorders>
            <w:vAlign w:val="center"/>
          </w:tcPr>
          <w:p w14:paraId="720034B4" w14:textId="77777777" w:rsidR="00835581" w:rsidRPr="00C4648F" w:rsidRDefault="00835581" w:rsidP="002655CF">
            <w:pPr>
              <w:pStyle w:val="CETBodytext"/>
              <w:jc w:val="center"/>
              <w:rPr>
                <w:b/>
                <w:i/>
                <w:sz w:val="14"/>
              </w:rPr>
            </w:pPr>
            <w:r w:rsidRPr="00C4648F">
              <w:rPr>
                <w:sz w:val="14"/>
              </w:rPr>
              <w:t>Total cost of freshwater ($/day)</w:t>
            </w:r>
          </w:p>
        </w:tc>
        <w:tc>
          <w:tcPr>
            <w:tcW w:w="1613" w:type="pct"/>
            <w:tcBorders>
              <w:top w:val="nil"/>
              <w:bottom w:val="nil"/>
            </w:tcBorders>
            <w:vAlign w:val="center"/>
          </w:tcPr>
          <w:p w14:paraId="0CF2DBF3" w14:textId="040B2263" w:rsidR="00835581" w:rsidRPr="00C4648F" w:rsidRDefault="00B14633" w:rsidP="002655CF">
            <w:pPr>
              <w:pStyle w:val="CETBodytext"/>
              <w:jc w:val="center"/>
              <w:rPr>
                <w:i/>
                <w:sz w:val="14"/>
              </w:rPr>
            </w:pPr>
            <w:r w:rsidRPr="00C4648F">
              <w:rPr>
                <w:sz w:val="14"/>
              </w:rPr>
              <w:t>Overall cost of freshwater usage per unit of time.</w:t>
            </w:r>
          </w:p>
        </w:tc>
        <w:tc>
          <w:tcPr>
            <w:tcW w:w="2580" w:type="pct"/>
            <w:tcBorders>
              <w:top w:val="nil"/>
              <w:bottom w:val="nil"/>
            </w:tcBorders>
            <w:vAlign w:val="center"/>
          </w:tcPr>
          <w:p w14:paraId="5BECA4CF" w14:textId="2E215335" w:rsidR="00835581" w:rsidRPr="00C4648F" w:rsidRDefault="00835581" w:rsidP="002655CF">
            <w:pPr>
              <w:pStyle w:val="CETBodytext"/>
              <w:jc w:val="center"/>
              <w:rPr>
                <w:sz w:val="14"/>
                <w:lang w:val="es-CO"/>
              </w:rPr>
            </w:pPr>
            <m:oMathPara>
              <m:oMath>
                <m:r>
                  <w:rPr>
                    <w:rFonts w:ascii="Cambria Math" w:hAnsi="Cambria Math"/>
                    <w:sz w:val="14"/>
                    <w:lang w:val="es-CO"/>
                  </w:rPr>
                  <m:t>TCF=Fresh water flow consumed×cost of freshwater</m:t>
                </m:r>
              </m:oMath>
            </m:oMathPara>
          </w:p>
        </w:tc>
      </w:tr>
      <w:tr w:rsidR="00835581" w:rsidRPr="00C4648F" w14:paraId="382BEB99" w14:textId="77777777" w:rsidTr="005C6236">
        <w:trPr>
          <w:trHeight w:val="624"/>
          <w:jc w:val="right"/>
        </w:trPr>
        <w:tc>
          <w:tcPr>
            <w:tcW w:w="807" w:type="pct"/>
            <w:tcBorders>
              <w:top w:val="nil"/>
              <w:bottom w:val="nil"/>
            </w:tcBorders>
            <w:vAlign w:val="center"/>
          </w:tcPr>
          <w:p w14:paraId="3E09D500" w14:textId="77777777" w:rsidR="00835581" w:rsidRPr="00C4648F" w:rsidRDefault="00835581" w:rsidP="002655CF">
            <w:pPr>
              <w:pStyle w:val="CETBodytext"/>
              <w:jc w:val="center"/>
              <w:rPr>
                <w:b/>
                <w:i/>
                <w:sz w:val="14"/>
                <w:lang w:val="es-CO"/>
              </w:rPr>
            </w:pPr>
            <w:proofErr w:type="spellStart"/>
            <w:r w:rsidRPr="00C4648F">
              <w:rPr>
                <w:sz w:val="14"/>
                <w:lang w:val="es-CO"/>
              </w:rPr>
              <w:t>Wastewater</w:t>
            </w:r>
            <w:proofErr w:type="spellEnd"/>
            <w:r w:rsidRPr="00C4648F">
              <w:rPr>
                <w:sz w:val="14"/>
                <w:lang w:val="es-CO"/>
              </w:rPr>
              <w:t xml:space="preserve"> </w:t>
            </w:r>
            <w:proofErr w:type="spellStart"/>
            <w:r w:rsidRPr="00C4648F">
              <w:rPr>
                <w:sz w:val="14"/>
                <w:lang w:val="es-CO"/>
              </w:rPr>
              <w:t>production</w:t>
            </w:r>
            <w:proofErr w:type="spellEnd"/>
            <w:r w:rsidRPr="00C4648F">
              <w:rPr>
                <w:sz w:val="14"/>
                <w:lang w:val="es-CO"/>
              </w:rPr>
              <w:t xml:space="preserve"> ratio (%)</w:t>
            </w:r>
          </w:p>
        </w:tc>
        <w:tc>
          <w:tcPr>
            <w:tcW w:w="1613" w:type="pct"/>
            <w:tcBorders>
              <w:top w:val="nil"/>
              <w:bottom w:val="nil"/>
            </w:tcBorders>
            <w:vAlign w:val="center"/>
          </w:tcPr>
          <w:p w14:paraId="6A5CE6F9" w14:textId="77777777" w:rsidR="00835581" w:rsidRPr="00C4648F" w:rsidRDefault="00B14633" w:rsidP="002655CF">
            <w:pPr>
              <w:pStyle w:val="CETBodytext"/>
              <w:jc w:val="center"/>
              <w:rPr>
                <w:iCs/>
                <w:sz w:val="14"/>
              </w:rPr>
            </w:pPr>
            <w:r w:rsidRPr="00C4648F">
              <w:rPr>
                <w:iCs/>
                <w:sz w:val="14"/>
              </w:rPr>
              <w:t>The net freshwater consumption, calculated as the required input minus the wastewater produced.</w:t>
            </w:r>
          </w:p>
          <w:p w14:paraId="1A3D2DE1" w14:textId="286FF6D4" w:rsidR="00B14633" w:rsidRPr="00C4648F" w:rsidRDefault="00B14633" w:rsidP="002655CF">
            <w:pPr>
              <w:pStyle w:val="CETBodytext"/>
              <w:jc w:val="center"/>
              <w:rPr>
                <w:iCs/>
                <w:sz w:val="14"/>
              </w:rPr>
            </w:pPr>
          </w:p>
        </w:tc>
        <w:tc>
          <w:tcPr>
            <w:tcW w:w="2580" w:type="pct"/>
            <w:tcBorders>
              <w:top w:val="nil"/>
              <w:bottom w:val="nil"/>
            </w:tcBorders>
            <w:vAlign w:val="center"/>
          </w:tcPr>
          <w:p w14:paraId="3815D227" w14:textId="071EBE22" w:rsidR="00835581" w:rsidRPr="00C4648F" w:rsidRDefault="00835581" w:rsidP="002655CF">
            <w:pPr>
              <w:pStyle w:val="CETBodytext"/>
              <w:jc w:val="center"/>
              <w:rPr>
                <w:i/>
                <w:sz w:val="14"/>
                <w:lang w:val="es-CO"/>
              </w:rPr>
            </w:pPr>
            <m:oMathPara>
              <m:oMath>
                <m:r>
                  <w:rPr>
                    <w:rFonts w:ascii="Cambria Math" w:hAnsi="Cambria Math"/>
                    <w:sz w:val="14"/>
                    <w:lang w:val="es-CO"/>
                  </w:rPr>
                  <m:t>WPR=</m:t>
                </m:r>
                <m:f>
                  <m:fPr>
                    <m:ctrlPr>
                      <w:rPr>
                        <w:rFonts w:ascii="Cambria Math" w:hAnsi="Cambria Math"/>
                        <w:sz w:val="14"/>
                        <w:lang w:val="es-CO"/>
                      </w:rPr>
                    </m:ctrlPr>
                  </m:fPr>
                  <m:num>
                    <m:r>
                      <w:rPr>
                        <w:rFonts w:ascii="Cambria Math" w:hAnsi="Cambria Math"/>
                        <w:sz w:val="14"/>
                        <w:lang w:val="es-CO"/>
                      </w:rPr>
                      <m:t xml:space="preserve">Wastewater volumetric flow </m:t>
                    </m:r>
                  </m:num>
                  <m:den>
                    <m:r>
                      <w:rPr>
                        <w:rFonts w:ascii="Cambria Math" w:hAnsi="Cambria Math"/>
                        <w:sz w:val="14"/>
                        <w:lang w:val="es-CO"/>
                      </w:rPr>
                      <m:t>Volumetric flow of freshwater</m:t>
                    </m:r>
                  </m:den>
                </m:f>
                <m:r>
                  <w:rPr>
                    <w:rFonts w:ascii="Cambria Math" w:hAnsi="Cambria Math"/>
                    <w:sz w:val="14"/>
                    <w:lang w:val="es-CO"/>
                  </w:rPr>
                  <m:t>×100</m:t>
                </m:r>
              </m:oMath>
            </m:oMathPara>
          </w:p>
        </w:tc>
      </w:tr>
      <w:tr w:rsidR="00835581" w:rsidRPr="00C4648F" w14:paraId="34499C86" w14:textId="77777777" w:rsidTr="005C6236">
        <w:trPr>
          <w:trHeight w:val="624"/>
          <w:jc w:val="right"/>
        </w:trPr>
        <w:tc>
          <w:tcPr>
            <w:tcW w:w="807" w:type="pct"/>
            <w:tcBorders>
              <w:top w:val="nil"/>
              <w:bottom w:val="nil"/>
            </w:tcBorders>
            <w:vAlign w:val="center"/>
          </w:tcPr>
          <w:p w14:paraId="07FA26B9" w14:textId="77777777" w:rsidR="00835581" w:rsidRPr="00C4648F" w:rsidRDefault="00835581" w:rsidP="002655CF">
            <w:pPr>
              <w:pStyle w:val="CETBodytext"/>
              <w:jc w:val="center"/>
              <w:rPr>
                <w:sz w:val="14"/>
                <w:lang w:val="es-CO"/>
              </w:rPr>
            </w:pPr>
            <w:proofErr w:type="spellStart"/>
            <w:r w:rsidRPr="00C4648F">
              <w:rPr>
                <w:sz w:val="14"/>
                <w:lang w:val="es-CO"/>
              </w:rPr>
              <w:t>Solvent</w:t>
            </w:r>
            <w:proofErr w:type="spellEnd"/>
            <w:r w:rsidRPr="00C4648F">
              <w:rPr>
                <w:sz w:val="14"/>
                <w:lang w:val="es-CO"/>
              </w:rPr>
              <w:t xml:space="preserve"> </w:t>
            </w:r>
            <w:proofErr w:type="spellStart"/>
            <w:r w:rsidRPr="00C4648F">
              <w:rPr>
                <w:sz w:val="14"/>
                <w:lang w:val="es-CO"/>
              </w:rPr>
              <w:t>reuse</w:t>
            </w:r>
            <w:proofErr w:type="spellEnd"/>
            <w:r w:rsidRPr="00C4648F">
              <w:rPr>
                <w:sz w:val="14"/>
                <w:lang w:val="es-CO"/>
              </w:rPr>
              <w:t xml:space="preserve"> </w:t>
            </w:r>
            <w:proofErr w:type="spellStart"/>
            <w:r w:rsidRPr="00C4648F">
              <w:rPr>
                <w:sz w:val="14"/>
                <w:lang w:val="es-CO"/>
              </w:rPr>
              <w:t>index</w:t>
            </w:r>
            <w:proofErr w:type="spellEnd"/>
            <w:r w:rsidRPr="00C4648F">
              <w:rPr>
                <w:sz w:val="14"/>
                <w:lang w:val="es-CO"/>
              </w:rPr>
              <w:t xml:space="preserve"> (%)</w:t>
            </w:r>
          </w:p>
        </w:tc>
        <w:tc>
          <w:tcPr>
            <w:tcW w:w="1613" w:type="pct"/>
            <w:tcBorders>
              <w:top w:val="nil"/>
              <w:bottom w:val="nil"/>
            </w:tcBorders>
            <w:vAlign w:val="center"/>
          </w:tcPr>
          <w:p w14:paraId="22AC4E64" w14:textId="3E42EC4C" w:rsidR="00835581" w:rsidRPr="00C4648F" w:rsidRDefault="00B14633" w:rsidP="002655CF">
            <w:pPr>
              <w:pStyle w:val="CETBodytext"/>
              <w:jc w:val="center"/>
              <w:rPr>
                <w:sz w:val="14"/>
              </w:rPr>
            </w:pPr>
            <w:r w:rsidRPr="00C4648F">
              <w:rPr>
                <w:sz w:val="14"/>
              </w:rPr>
              <w:t>The proportion of solvent recovered and reused relative to the total solvent consumed in the process.</w:t>
            </w:r>
          </w:p>
        </w:tc>
        <w:tc>
          <w:tcPr>
            <w:tcW w:w="2580" w:type="pct"/>
            <w:tcBorders>
              <w:top w:val="nil"/>
              <w:bottom w:val="nil"/>
            </w:tcBorders>
            <w:vAlign w:val="center"/>
          </w:tcPr>
          <w:p w14:paraId="47481B3C" w14:textId="74154853" w:rsidR="00835581" w:rsidRPr="00C4648F" w:rsidRDefault="00835581" w:rsidP="002655CF">
            <w:pPr>
              <w:pStyle w:val="CETBodytext"/>
              <w:jc w:val="center"/>
              <w:rPr>
                <w:i/>
                <w:sz w:val="14"/>
                <w:lang w:val="es-CO"/>
              </w:rPr>
            </w:pPr>
            <m:oMathPara>
              <m:oMath>
                <m:r>
                  <w:rPr>
                    <w:rFonts w:ascii="Cambria Math" w:hAnsi="Cambria Math"/>
                    <w:sz w:val="14"/>
                    <w:lang w:val="es-CO"/>
                  </w:rPr>
                  <m:t>SRI=</m:t>
                </m:r>
                <m:f>
                  <m:fPr>
                    <m:ctrlPr>
                      <w:rPr>
                        <w:rFonts w:ascii="Cambria Math" w:hAnsi="Cambria Math"/>
                        <w:sz w:val="14"/>
                        <w:lang w:val="es-CO"/>
                      </w:rPr>
                    </m:ctrlPr>
                  </m:fPr>
                  <m:num>
                    <m:r>
                      <w:rPr>
                        <w:rFonts w:ascii="Cambria Math" w:hAnsi="Cambria Math"/>
                        <w:sz w:val="14"/>
                        <w:lang w:val="es-CO"/>
                      </w:rPr>
                      <m:t>Mass flow of reused solvent</m:t>
                    </m:r>
                  </m:num>
                  <m:den>
                    <m:r>
                      <w:rPr>
                        <w:rFonts w:ascii="Cambria Math" w:hAnsi="Cambria Math"/>
                        <w:sz w:val="14"/>
                        <w:lang w:val="es-CO"/>
                      </w:rPr>
                      <m:t>Mass flow of used solvent</m:t>
                    </m:r>
                  </m:den>
                </m:f>
                <m:r>
                  <w:rPr>
                    <w:rFonts w:ascii="Cambria Math" w:hAnsi="Cambria Math"/>
                    <w:sz w:val="14"/>
                    <w:lang w:val="es-CO"/>
                  </w:rPr>
                  <m:t>×100%</m:t>
                </m:r>
              </m:oMath>
            </m:oMathPara>
          </w:p>
        </w:tc>
      </w:tr>
      <w:tr w:rsidR="00835581" w:rsidRPr="00C4648F" w14:paraId="618F5BF5" w14:textId="77777777" w:rsidTr="005C6236">
        <w:trPr>
          <w:trHeight w:val="624"/>
          <w:jc w:val="right"/>
        </w:trPr>
        <w:tc>
          <w:tcPr>
            <w:tcW w:w="807" w:type="pct"/>
            <w:tcBorders>
              <w:top w:val="nil"/>
              <w:bottom w:val="nil"/>
            </w:tcBorders>
            <w:vAlign w:val="center"/>
          </w:tcPr>
          <w:p w14:paraId="07067E59" w14:textId="77777777" w:rsidR="00835581" w:rsidRPr="00C4648F" w:rsidRDefault="00835581" w:rsidP="002655CF">
            <w:pPr>
              <w:pStyle w:val="CETBodytext"/>
              <w:jc w:val="center"/>
              <w:rPr>
                <w:b/>
                <w:i/>
                <w:sz w:val="14"/>
              </w:rPr>
            </w:pPr>
            <w:r w:rsidRPr="00C4648F">
              <w:rPr>
                <w:sz w:val="14"/>
              </w:rPr>
              <w:t>Total cost of energy ($/day)</w:t>
            </w:r>
          </w:p>
        </w:tc>
        <w:tc>
          <w:tcPr>
            <w:tcW w:w="1613" w:type="pct"/>
            <w:tcBorders>
              <w:top w:val="nil"/>
              <w:bottom w:val="nil"/>
            </w:tcBorders>
            <w:vAlign w:val="center"/>
          </w:tcPr>
          <w:p w14:paraId="1F29E29E" w14:textId="71DCC6C9" w:rsidR="00835581" w:rsidRPr="00C4648F" w:rsidRDefault="00B14633" w:rsidP="002655CF">
            <w:pPr>
              <w:pStyle w:val="CETBodytext"/>
              <w:jc w:val="center"/>
              <w:rPr>
                <w:i/>
                <w:sz w:val="14"/>
              </w:rPr>
            </w:pPr>
            <w:r w:rsidRPr="00C4648F">
              <w:rPr>
                <w:sz w:val="14"/>
              </w:rPr>
              <w:t>Overall expenditure on energy consumption per unit of time</w:t>
            </w:r>
            <w:r w:rsidR="00835581" w:rsidRPr="00C4648F">
              <w:rPr>
                <w:sz w:val="14"/>
              </w:rPr>
              <w:t>.</w:t>
            </w:r>
          </w:p>
        </w:tc>
        <w:tc>
          <w:tcPr>
            <w:tcW w:w="2580" w:type="pct"/>
            <w:tcBorders>
              <w:top w:val="nil"/>
              <w:bottom w:val="nil"/>
            </w:tcBorders>
            <w:vAlign w:val="center"/>
          </w:tcPr>
          <w:p w14:paraId="24E7896A" w14:textId="5DE3D6A4" w:rsidR="00835581" w:rsidRPr="00C4648F" w:rsidRDefault="00835581" w:rsidP="002655CF">
            <w:pPr>
              <w:pStyle w:val="CETBodytext"/>
              <w:jc w:val="center"/>
              <w:rPr>
                <w:sz w:val="14"/>
                <w:lang w:val="es-CO"/>
              </w:rPr>
            </w:pPr>
            <m:oMathPara>
              <m:oMath>
                <m:r>
                  <w:rPr>
                    <w:rFonts w:ascii="Cambria Math" w:hAnsi="Cambria Math"/>
                    <w:sz w:val="14"/>
                    <w:lang w:val="es-CO"/>
                  </w:rPr>
                  <m:t>TCE=Total energy consumed×Energy cost</m:t>
                </m:r>
              </m:oMath>
            </m:oMathPara>
          </w:p>
        </w:tc>
      </w:tr>
      <w:tr w:rsidR="00835581" w:rsidRPr="00C4648F" w14:paraId="47A3EA3B" w14:textId="77777777" w:rsidTr="005C6236">
        <w:trPr>
          <w:trHeight w:val="624"/>
          <w:jc w:val="right"/>
        </w:trPr>
        <w:tc>
          <w:tcPr>
            <w:tcW w:w="807" w:type="pct"/>
            <w:tcBorders>
              <w:top w:val="nil"/>
              <w:bottom w:val="nil"/>
            </w:tcBorders>
            <w:vAlign w:val="center"/>
          </w:tcPr>
          <w:p w14:paraId="53C7A589" w14:textId="77777777" w:rsidR="00835581" w:rsidRPr="00C4648F" w:rsidRDefault="00835581" w:rsidP="002655CF">
            <w:pPr>
              <w:pStyle w:val="CETBodytext"/>
              <w:jc w:val="center"/>
              <w:rPr>
                <w:b/>
                <w:i/>
                <w:sz w:val="14"/>
              </w:rPr>
            </w:pPr>
            <w:r w:rsidRPr="00C4648F">
              <w:rPr>
                <w:sz w:val="14"/>
              </w:rPr>
              <w:t>Energy specific intensity (MJ/t)</w:t>
            </w:r>
          </w:p>
        </w:tc>
        <w:tc>
          <w:tcPr>
            <w:tcW w:w="1613" w:type="pct"/>
            <w:tcBorders>
              <w:top w:val="nil"/>
              <w:bottom w:val="nil"/>
            </w:tcBorders>
            <w:vAlign w:val="center"/>
          </w:tcPr>
          <w:p w14:paraId="10BA0728" w14:textId="77777777" w:rsidR="00B14633" w:rsidRPr="00C4648F" w:rsidRDefault="00B14633" w:rsidP="00B14633">
            <w:pPr>
              <w:pStyle w:val="CETBodytext"/>
              <w:jc w:val="center"/>
              <w:rPr>
                <w:sz w:val="14"/>
              </w:rPr>
            </w:pPr>
          </w:p>
          <w:p w14:paraId="2D266950" w14:textId="54020849" w:rsidR="00835581" w:rsidRPr="00C4648F" w:rsidRDefault="00B14633" w:rsidP="00B14633">
            <w:pPr>
              <w:pStyle w:val="CETBodytext"/>
              <w:jc w:val="center"/>
              <w:rPr>
                <w:i/>
                <w:sz w:val="14"/>
              </w:rPr>
            </w:pPr>
            <w:r w:rsidRPr="00C4648F">
              <w:rPr>
                <w:sz w:val="14"/>
              </w:rPr>
              <w:t xml:space="preserve">Energy usage per ton of product </w:t>
            </w:r>
            <w:r w:rsidR="00421757" w:rsidRPr="00C4648F">
              <w:rPr>
                <w:sz w:val="14"/>
              </w:rPr>
              <w:t>obtained</w:t>
            </w:r>
          </w:p>
        </w:tc>
        <w:tc>
          <w:tcPr>
            <w:tcW w:w="2580" w:type="pct"/>
            <w:tcBorders>
              <w:top w:val="nil"/>
              <w:bottom w:val="nil"/>
            </w:tcBorders>
            <w:vAlign w:val="center"/>
          </w:tcPr>
          <w:p w14:paraId="35A2F529" w14:textId="7B99AB1F" w:rsidR="00835581" w:rsidRPr="00C4648F" w:rsidRDefault="009D7863" w:rsidP="002655CF">
            <w:pPr>
              <w:pStyle w:val="CETBodytext"/>
              <w:jc w:val="center"/>
              <w:rPr>
                <w:sz w:val="14"/>
                <w:lang w:val="es-CO"/>
              </w:rPr>
            </w:pPr>
            <m:oMathPara>
              <m:oMath>
                <m:sSub>
                  <m:sSubPr>
                    <m:ctrlPr>
                      <w:rPr>
                        <w:rFonts w:ascii="Cambria Math" w:hAnsi="Cambria Math"/>
                        <w:sz w:val="14"/>
                        <w:lang w:val="es-CO"/>
                      </w:rPr>
                    </m:ctrlPr>
                  </m:sSubPr>
                  <m:e>
                    <m:r>
                      <w:rPr>
                        <w:rFonts w:ascii="Cambria Math" w:hAnsi="Cambria Math"/>
                        <w:sz w:val="14"/>
                        <w:lang w:val="es-CO"/>
                      </w:rPr>
                      <m:t>R</m:t>
                    </m:r>
                  </m:e>
                  <m:sub>
                    <m:r>
                      <w:rPr>
                        <w:rFonts w:ascii="Cambria Math" w:hAnsi="Cambria Math"/>
                        <w:sz w:val="14"/>
                        <w:lang w:val="es-CO"/>
                      </w:rPr>
                      <m:t>ESI</m:t>
                    </m:r>
                  </m:sub>
                </m:sSub>
                <m:r>
                  <w:rPr>
                    <w:rFonts w:ascii="Cambria Math" w:hAnsi="Cambria Math"/>
                    <w:sz w:val="14"/>
                    <w:lang w:val="es-CO"/>
                  </w:rPr>
                  <m:t>=</m:t>
                </m:r>
                <m:f>
                  <m:fPr>
                    <m:ctrlPr>
                      <w:rPr>
                        <w:rFonts w:ascii="Cambria Math" w:hAnsi="Cambria Math"/>
                        <w:sz w:val="14"/>
                        <w:lang w:val="es-CO"/>
                      </w:rPr>
                    </m:ctrlPr>
                  </m:fPr>
                  <m:num>
                    <m:r>
                      <w:rPr>
                        <w:rFonts w:ascii="Cambria Math" w:hAnsi="Cambria Math"/>
                        <w:sz w:val="14"/>
                        <w:lang w:val="es-CO"/>
                      </w:rPr>
                      <m:t>Total</m:t>
                    </m:r>
                    <m:r>
                      <w:rPr>
                        <w:rFonts w:ascii="Cambria Math" w:hAnsi="Cambria Math"/>
                        <w:sz w:val="14"/>
                        <w:lang w:val="es-CO"/>
                      </w:rPr>
                      <m:t xml:space="preserve"> </m:t>
                    </m:r>
                    <m:r>
                      <w:rPr>
                        <w:rFonts w:ascii="Cambria Math" w:hAnsi="Cambria Math"/>
                        <w:sz w:val="14"/>
                        <w:lang w:val="es-CO"/>
                      </w:rPr>
                      <m:t>energy</m:t>
                    </m:r>
                    <m:r>
                      <w:rPr>
                        <w:rFonts w:ascii="Cambria Math" w:hAnsi="Cambria Math"/>
                        <w:sz w:val="14"/>
                        <w:lang w:val="es-CO"/>
                      </w:rPr>
                      <m:t xml:space="preserve"> </m:t>
                    </m:r>
                    <m:r>
                      <w:rPr>
                        <w:rFonts w:ascii="Cambria Math" w:hAnsi="Cambria Math"/>
                        <w:sz w:val="14"/>
                        <w:lang w:val="es-CO"/>
                      </w:rPr>
                      <m:t>consumed</m:t>
                    </m:r>
                  </m:num>
                  <m:den>
                    <m:r>
                      <w:rPr>
                        <w:rFonts w:ascii="Cambria Math" w:hAnsi="Cambria Math"/>
                        <w:sz w:val="14"/>
                        <w:lang w:val="es-CO"/>
                      </w:rPr>
                      <m:t>Product</m:t>
                    </m:r>
                    <m:r>
                      <w:rPr>
                        <w:rFonts w:ascii="Cambria Math" w:hAnsi="Cambria Math"/>
                        <w:sz w:val="14"/>
                        <w:lang w:val="es-CO"/>
                      </w:rPr>
                      <m:t xml:space="preserve"> </m:t>
                    </m:r>
                    <m:r>
                      <w:rPr>
                        <w:rFonts w:ascii="Cambria Math" w:hAnsi="Cambria Math"/>
                        <w:sz w:val="14"/>
                        <w:lang w:val="es-CO"/>
                      </w:rPr>
                      <m:t>mass</m:t>
                    </m:r>
                    <m:r>
                      <w:rPr>
                        <w:rFonts w:ascii="Cambria Math" w:hAnsi="Cambria Math"/>
                        <w:sz w:val="14"/>
                        <w:lang w:val="es-CO"/>
                      </w:rPr>
                      <m:t xml:space="preserve"> </m:t>
                    </m:r>
                    <m:r>
                      <w:rPr>
                        <w:rFonts w:ascii="Cambria Math" w:hAnsi="Cambria Math"/>
                        <w:sz w:val="14"/>
                        <w:lang w:val="es-CO"/>
                      </w:rPr>
                      <m:t>flow</m:t>
                    </m:r>
                  </m:den>
                </m:f>
              </m:oMath>
            </m:oMathPara>
          </w:p>
        </w:tc>
      </w:tr>
      <w:tr w:rsidR="00835581" w:rsidRPr="00C4648F" w14:paraId="5FADAEB0" w14:textId="77777777" w:rsidTr="005C6236">
        <w:trPr>
          <w:trHeight w:val="624"/>
          <w:jc w:val="right"/>
        </w:trPr>
        <w:tc>
          <w:tcPr>
            <w:tcW w:w="807" w:type="pct"/>
            <w:tcBorders>
              <w:top w:val="nil"/>
              <w:bottom w:val="nil"/>
            </w:tcBorders>
            <w:vAlign w:val="center"/>
          </w:tcPr>
          <w:p w14:paraId="765DA615" w14:textId="77777777" w:rsidR="00835581" w:rsidRPr="00C4648F" w:rsidRDefault="00835581" w:rsidP="002655CF">
            <w:pPr>
              <w:pStyle w:val="CETBodytext"/>
              <w:jc w:val="center"/>
              <w:rPr>
                <w:i/>
                <w:sz w:val="14"/>
                <w:lang w:val="es-CO"/>
              </w:rPr>
            </w:pPr>
            <w:r w:rsidRPr="00C4648F">
              <w:rPr>
                <w:sz w:val="14"/>
                <w:lang w:val="es-CO"/>
              </w:rPr>
              <w:t>Net Energy ratio (</w:t>
            </w:r>
            <w:proofErr w:type="spellStart"/>
            <w:r w:rsidRPr="00C4648F">
              <w:rPr>
                <w:sz w:val="14"/>
                <w:lang w:val="es-CO"/>
              </w:rPr>
              <w:t>Dimensionless</w:t>
            </w:r>
            <w:proofErr w:type="spellEnd"/>
            <w:r w:rsidRPr="00C4648F">
              <w:rPr>
                <w:sz w:val="14"/>
                <w:lang w:val="es-CO"/>
              </w:rPr>
              <w:t>)</w:t>
            </w:r>
          </w:p>
        </w:tc>
        <w:tc>
          <w:tcPr>
            <w:tcW w:w="1613" w:type="pct"/>
            <w:tcBorders>
              <w:top w:val="nil"/>
              <w:bottom w:val="nil"/>
            </w:tcBorders>
            <w:vAlign w:val="center"/>
          </w:tcPr>
          <w:p w14:paraId="5657D00A" w14:textId="62F9B14C" w:rsidR="00835581" w:rsidRPr="00C4648F" w:rsidRDefault="005C6236" w:rsidP="002655CF">
            <w:pPr>
              <w:pStyle w:val="CETBodytext"/>
              <w:jc w:val="center"/>
              <w:rPr>
                <w:sz w:val="14"/>
              </w:rPr>
            </w:pPr>
            <w:r w:rsidRPr="00C4648F">
              <w:rPr>
                <w:sz w:val="14"/>
              </w:rPr>
              <w:br/>
            </w:r>
            <w:r w:rsidR="00B14633" w:rsidRPr="00C4648F">
              <w:rPr>
                <w:sz w:val="14"/>
              </w:rPr>
              <w:t>The ratio of the energy content of the products to the energy input into the process</w:t>
            </w:r>
            <w:r w:rsidR="00835581" w:rsidRPr="00C4648F">
              <w:rPr>
                <w:sz w:val="14"/>
              </w:rPr>
              <w:t>.</w:t>
            </w:r>
          </w:p>
          <w:p w14:paraId="01B96CDE" w14:textId="2CF1E12A" w:rsidR="005C6236" w:rsidRPr="00C4648F" w:rsidRDefault="005C6236" w:rsidP="002655CF">
            <w:pPr>
              <w:pStyle w:val="CETBodytext"/>
              <w:jc w:val="center"/>
              <w:rPr>
                <w:i/>
                <w:sz w:val="14"/>
              </w:rPr>
            </w:pPr>
          </w:p>
        </w:tc>
        <w:tc>
          <w:tcPr>
            <w:tcW w:w="2580" w:type="pct"/>
            <w:tcBorders>
              <w:top w:val="nil"/>
              <w:bottom w:val="nil"/>
            </w:tcBorders>
            <w:vAlign w:val="center"/>
          </w:tcPr>
          <w:p w14:paraId="4192303A" w14:textId="56D6793C" w:rsidR="00835581" w:rsidRPr="00C4648F" w:rsidRDefault="00835581" w:rsidP="002655CF">
            <w:pPr>
              <w:pStyle w:val="CETBodytext"/>
              <w:jc w:val="center"/>
              <w:rPr>
                <w:sz w:val="14"/>
                <w:lang w:val="es-CO"/>
              </w:rPr>
            </w:pPr>
            <m:oMathPara>
              <m:oMath>
                <m:r>
                  <w:rPr>
                    <w:rFonts w:ascii="Cambria Math" w:hAnsi="Cambria Math"/>
                    <w:sz w:val="14"/>
                    <w:lang w:val="es-CO"/>
                  </w:rPr>
                  <m:t>NER=</m:t>
                </m:r>
                <m:f>
                  <m:fPr>
                    <m:ctrlPr>
                      <w:rPr>
                        <w:rFonts w:ascii="Cambria Math" w:hAnsi="Cambria Math"/>
                        <w:sz w:val="14"/>
                        <w:lang w:val="es-CO"/>
                      </w:rPr>
                    </m:ctrlPr>
                  </m:fPr>
                  <m:num>
                    <m:r>
                      <w:rPr>
                        <w:rFonts w:ascii="Cambria Math" w:hAnsi="Cambria Math"/>
                        <w:sz w:val="14"/>
                        <w:lang w:val="es-CO"/>
                      </w:rPr>
                      <m:t xml:space="preserve"> </m:t>
                    </m:r>
                    <m:sSub>
                      <m:sSubPr>
                        <m:ctrlPr>
                          <w:rPr>
                            <w:rFonts w:ascii="Cambria Math" w:hAnsi="Cambria Math"/>
                            <w:i/>
                            <w:sz w:val="14"/>
                            <w:lang w:val="es-CO"/>
                          </w:rPr>
                        </m:ctrlPr>
                      </m:sSubPr>
                      <m:e>
                        <m:r>
                          <w:rPr>
                            <w:rFonts w:ascii="Cambria Math" w:hAnsi="Cambria Math"/>
                            <w:sz w:val="14"/>
                            <w:lang w:val="es-CO"/>
                          </w:rPr>
                          <m:t>HHV</m:t>
                        </m:r>
                      </m:e>
                      <m:sub>
                        <m:r>
                          <w:rPr>
                            <w:rFonts w:ascii="Cambria Math" w:hAnsi="Cambria Math"/>
                            <w:sz w:val="14"/>
                            <w:lang w:val="es-CO"/>
                          </w:rPr>
                          <m:t>p</m:t>
                        </m:r>
                      </m:sub>
                    </m:sSub>
                    <m:r>
                      <w:rPr>
                        <w:rFonts w:ascii="Cambria Math" w:hAnsi="Cambria Math"/>
                        <w:sz w:val="14"/>
                        <w:lang w:val="es-CO"/>
                      </w:rPr>
                      <m:t>×Product mass flow</m:t>
                    </m:r>
                  </m:num>
                  <m:den>
                    <m:r>
                      <w:rPr>
                        <w:rFonts w:ascii="Cambria Math" w:hAnsi="Cambria Math"/>
                        <w:sz w:val="14"/>
                        <w:lang w:val="es-CO"/>
                      </w:rPr>
                      <m:t>Total energy consumed+(</m:t>
                    </m:r>
                    <m:sSub>
                      <m:sSubPr>
                        <m:ctrlPr>
                          <w:rPr>
                            <w:rFonts w:ascii="Cambria Math" w:hAnsi="Cambria Math"/>
                            <w:i/>
                            <w:sz w:val="14"/>
                            <w:lang w:val="es-CO"/>
                          </w:rPr>
                        </m:ctrlPr>
                      </m:sSubPr>
                      <m:e>
                        <m:r>
                          <w:rPr>
                            <w:rFonts w:ascii="Cambria Math" w:hAnsi="Cambria Math"/>
                            <w:sz w:val="14"/>
                            <w:lang w:val="es-CO"/>
                          </w:rPr>
                          <m:t>HHV</m:t>
                        </m:r>
                      </m:e>
                      <m:sub>
                        <m:r>
                          <w:rPr>
                            <w:rFonts w:ascii="Cambria Math" w:hAnsi="Cambria Math"/>
                            <w:sz w:val="14"/>
                            <w:lang w:val="es-CO"/>
                          </w:rPr>
                          <m:t>rm</m:t>
                        </m:r>
                      </m:sub>
                    </m:sSub>
                    <m:r>
                      <w:rPr>
                        <w:rFonts w:ascii="Cambria Math" w:hAnsi="Cambria Math"/>
                        <w:sz w:val="14"/>
                        <w:lang w:val="es-CO"/>
                      </w:rPr>
                      <m:t>×rm mass flow)</m:t>
                    </m:r>
                  </m:den>
                </m:f>
              </m:oMath>
            </m:oMathPara>
          </w:p>
          <w:p w14:paraId="20510807" w14:textId="77777777" w:rsidR="00835581" w:rsidRPr="00C4648F" w:rsidRDefault="00835581" w:rsidP="002655CF">
            <w:pPr>
              <w:pStyle w:val="CETBodytext"/>
              <w:jc w:val="center"/>
              <w:rPr>
                <w:sz w:val="14"/>
                <w:lang w:val="es-CO"/>
              </w:rPr>
            </w:pPr>
          </w:p>
        </w:tc>
      </w:tr>
      <w:tr w:rsidR="00835581" w:rsidRPr="00C4648F" w14:paraId="64BF5DB2" w14:textId="77777777" w:rsidTr="005C6236">
        <w:trPr>
          <w:trHeight w:val="624"/>
          <w:jc w:val="right"/>
        </w:trPr>
        <w:tc>
          <w:tcPr>
            <w:tcW w:w="807" w:type="pct"/>
            <w:tcBorders>
              <w:top w:val="nil"/>
              <w:bottom w:val="nil"/>
            </w:tcBorders>
            <w:vAlign w:val="center"/>
          </w:tcPr>
          <w:p w14:paraId="25136DFB" w14:textId="77777777" w:rsidR="00835581" w:rsidRPr="00C4648F" w:rsidRDefault="00835581" w:rsidP="002655CF">
            <w:pPr>
              <w:pStyle w:val="CETBodytext"/>
              <w:jc w:val="center"/>
              <w:rPr>
                <w:i/>
                <w:sz w:val="14"/>
                <w:lang w:val="es-CO"/>
              </w:rPr>
            </w:pPr>
            <w:r w:rsidRPr="00C4648F">
              <w:rPr>
                <w:sz w:val="14"/>
                <w:lang w:val="es-CO"/>
              </w:rPr>
              <w:t xml:space="preserve">Energy </w:t>
            </w:r>
            <w:proofErr w:type="spellStart"/>
            <w:r w:rsidRPr="00C4648F">
              <w:rPr>
                <w:sz w:val="14"/>
                <w:lang w:val="es-CO"/>
              </w:rPr>
              <w:t>utilization</w:t>
            </w:r>
            <w:proofErr w:type="spellEnd"/>
            <w:r w:rsidRPr="00C4648F">
              <w:rPr>
                <w:sz w:val="14"/>
                <w:lang w:val="es-CO"/>
              </w:rPr>
              <w:t xml:space="preserve"> </w:t>
            </w:r>
            <w:proofErr w:type="spellStart"/>
            <w:r w:rsidRPr="00C4648F">
              <w:rPr>
                <w:sz w:val="14"/>
                <w:lang w:val="es-CO"/>
              </w:rPr>
              <w:t>index</w:t>
            </w:r>
            <w:proofErr w:type="spellEnd"/>
            <w:r w:rsidRPr="00C4648F">
              <w:rPr>
                <w:sz w:val="14"/>
                <w:lang w:val="es-CO"/>
              </w:rPr>
              <w:t xml:space="preserve"> (</w:t>
            </w:r>
            <w:proofErr w:type="spellStart"/>
            <w:r w:rsidRPr="00C4648F">
              <w:rPr>
                <w:sz w:val="14"/>
                <w:lang w:val="es-CO"/>
              </w:rPr>
              <w:t>Dimensionless</w:t>
            </w:r>
            <w:proofErr w:type="spellEnd"/>
            <w:r w:rsidRPr="00C4648F">
              <w:rPr>
                <w:sz w:val="14"/>
                <w:lang w:val="es-CO"/>
              </w:rPr>
              <w:t>)</w:t>
            </w:r>
          </w:p>
        </w:tc>
        <w:tc>
          <w:tcPr>
            <w:tcW w:w="1613" w:type="pct"/>
            <w:tcBorders>
              <w:top w:val="nil"/>
              <w:bottom w:val="nil"/>
            </w:tcBorders>
            <w:vAlign w:val="center"/>
          </w:tcPr>
          <w:p w14:paraId="756EFA11" w14:textId="6D04BE6B" w:rsidR="00835581" w:rsidRPr="00C4648F" w:rsidRDefault="00B14633" w:rsidP="002655CF">
            <w:pPr>
              <w:pStyle w:val="CETBodytext"/>
              <w:jc w:val="center"/>
              <w:rPr>
                <w:i/>
                <w:sz w:val="14"/>
              </w:rPr>
            </w:pPr>
            <w:r w:rsidRPr="00C4648F">
              <w:rPr>
                <w:sz w:val="14"/>
              </w:rPr>
              <w:t>Shows the ratio between the energy that could be gained from the product as fuel and the energy needed.</w:t>
            </w:r>
          </w:p>
        </w:tc>
        <w:tc>
          <w:tcPr>
            <w:tcW w:w="2580" w:type="pct"/>
            <w:tcBorders>
              <w:top w:val="nil"/>
              <w:bottom w:val="nil"/>
            </w:tcBorders>
            <w:vAlign w:val="center"/>
          </w:tcPr>
          <w:p w14:paraId="3D7C4DBF" w14:textId="70D5A4F5" w:rsidR="00835581" w:rsidRPr="00C4648F" w:rsidRDefault="00835581" w:rsidP="002655CF">
            <w:pPr>
              <w:pStyle w:val="CETBodytext"/>
              <w:jc w:val="center"/>
              <w:rPr>
                <w:sz w:val="14"/>
                <w:lang w:val="es-CO"/>
              </w:rPr>
            </w:pPr>
            <m:oMathPara>
              <m:oMath>
                <m:r>
                  <w:rPr>
                    <w:rFonts w:ascii="Cambria Math" w:hAnsi="Cambria Math"/>
                    <w:sz w:val="14"/>
                    <w:lang w:val="es-CO"/>
                  </w:rPr>
                  <m:t>EUI=</m:t>
                </m:r>
                <m:f>
                  <m:fPr>
                    <m:ctrlPr>
                      <w:rPr>
                        <w:rFonts w:ascii="Cambria Math" w:hAnsi="Cambria Math"/>
                        <w:sz w:val="14"/>
                        <w:lang w:val="es-CO"/>
                      </w:rPr>
                    </m:ctrlPr>
                  </m:fPr>
                  <m:num>
                    <m:r>
                      <w:rPr>
                        <w:rFonts w:ascii="Cambria Math" w:hAnsi="Cambria Math"/>
                        <w:sz w:val="14"/>
                        <w:lang w:val="es-CO"/>
                      </w:rPr>
                      <m:t xml:space="preserve"> </m:t>
                    </m:r>
                    <m:sSub>
                      <m:sSubPr>
                        <m:ctrlPr>
                          <w:rPr>
                            <w:rFonts w:ascii="Cambria Math" w:hAnsi="Cambria Math"/>
                            <w:i/>
                            <w:sz w:val="14"/>
                            <w:lang w:val="es-CO"/>
                          </w:rPr>
                        </m:ctrlPr>
                      </m:sSubPr>
                      <m:e>
                        <m:r>
                          <w:rPr>
                            <w:rFonts w:ascii="Cambria Math" w:hAnsi="Cambria Math"/>
                            <w:sz w:val="14"/>
                            <w:lang w:val="es-CO"/>
                          </w:rPr>
                          <m:t>HHV</m:t>
                        </m:r>
                      </m:e>
                      <m:sub>
                        <m:r>
                          <w:rPr>
                            <w:rFonts w:ascii="Cambria Math" w:hAnsi="Cambria Math"/>
                            <w:sz w:val="14"/>
                            <w:lang w:val="es-CO"/>
                          </w:rPr>
                          <m:t>product</m:t>
                        </m:r>
                      </m:sub>
                    </m:sSub>
                    <m:r>
                      <w:rPr>
                        <w:rFonts w:ascii="Cambria Math" w:hAnsi="Cambria Math"/>
                        <w:sz w:val="14"/>
                        <w:lang w:val="es-CO"/>
                      </w:rPr>
                      <m:t>×Product mass flow</m:t>
                    </m:r>
                  </m:num>
                  <m:den>
                    <m:r>
                      <w:rPr>
                        <w:rFonts w:ascii="Cambria Math" w:hAnsi="Cambria Math"/>
                        <w:sz w:val="14"/>
                        <w:lang w:val="es-CO"/>
                      </w:rPr>
                      <m:t>Total energy consumed</m:t>
                    </m:r>
                  </m:den>
                </m:f>
              </m:oMath>
            </m:oMathPara>
          </w:p>
        </w:tc>
      </w:tr>
      <w:tr w:rsidR="00835581" w:rsidRPr="00C4648F" w14:paraId="23AF62F2" w14:textId="77777777" w:rsidTr="005C6236">
        <w:trPr>
          <w:trHeight w:val="624"/>
          <w:jc w:val="right"/>
        </w:trPr>
        <w:tc>
          <w:tcPr>
            <w:tcW w:w="807" w:type="pct"/>
            <w:tcBorders>
              <w:top w:val="nil"/>
              <w:bottom w:val="nil"/>
            </w:tcBorders>
            <w:vAlign w:val="center"/>
          </w:tcPr>
          <w:p w14:paraId="02B06708" w14:textId="77777777" w:rsidR="00835581" w:rsidRPr="00C4648F" w:rsidRDefault="00835581" w:rsidP="002655CF">
            <w:pPr>
              <w:pStyle w:val="CETBodytext"/>
              <w:jc w:val="center"/>
              <w:rPr>
                <w:sz w:val="14"/>
              </w:rPr>
            </w:pPr>
            <w:bookmarkStart w:id="2" w:name="_heading=h.3dy6vkm" w:colFirst="0" w:colLast="0"/>
            <w:bookmarkEnd w:id="2"/>
            <w:r w:rsidRPr="00C4648F">
              <w:rPr>
                <w:sz w:val="14"/>
              </w:rPr>
              <w:t>Natural gas consumption index (m</w:t>
            </w:r>
            <w:r w:rsidRPr="00C4648F">
              <w:rPr>
                <w:sz w:val="14"/>
                <w:vertAlign w:val="superscript"/>
              </w:rPr>
              <w:t>3</w:t>
            </w:r>
            <w:r w:rsidRPr="00C4648F">
              <w:rPr>
                <w:sz w:val="14"/>
              </w:rPr>
              <w:t>/t)</w:t>
            </w:r>
          </w:p>
          <w:p w14:paraId="1C7A502E" w14:textId="70D05095" w:rsidR="005C6236" w:rsidRPr="00C4648F" w:rsidRDefault="005C6236" w:rsidP="002655CF">
            <w:pPr>
              <w:pStyle w:val="CETBodytext"/>
              <w:jc w:val="center"/>
              <w:rPr>
                <w:b/>
                <w:i/>
                <w:sz w:val="14"/>
              </w:rPr>
            </w:pPr>
          </w:p>
        </w:tc>
        <w:tc>
          <w:tcPr>
            <w:tcW w:w="1613" w:type="pct"/>
            <w:tcBorders>
              <w:top w:val="nil"/>
              <w:bottom w:val="nil"/>
            </w:tcBorders>
            <w:vAlign w:val="center"/>
          </w:tcPr>
          <w:p w14:paraId="1B62B860" w14:textId="768F510F" w:rsidR="00835581" w:rsidRPr="00C4648F" w:rsidRDefault="00B14633" w:rsidP="002655CF">
            <w:pPr>
              <w:pStyle w:val="CETBodytext"/>
              <w:jc w:val="center"/>
              <w:rPr>
                <w:i/>
                <w:sz w:val="14"/>
              </w:rPr>
            </w:pPr>
            <w:r w:rsidRPr="00C4648F">
              <w:rPr>
                <w:sz w:val="14"/>
              </w:rPr>
              <w:t xml:space="preserve">Amount of gas used per ton of product </w:t>
            </w:r>
            <w:r w:rsidR="00421757" w:rsidRPr="00C4648F">
              <w:rPr>
                <w:sz w:val="14"/>
              </w:rPr>
              <w:t>obtained</w:t>
            </w:r>
            <w:r w:rsidRPr="00C4648F">
              <w:rPr>
                <w:sz w:val="14"/>
              </w:rPr>
              <w:t>.</w:t>
            </w:r>
          </w:p>
        </w:tc>
        <w:tc>
          <w:tcPr>
            <w:tcW w:w="2580" w:type="pct"/>
            <w:tcBorders>
              <w:top w:val="nil"/>
              <w:bottom w:val="nil"/>
            </w:tcBorders>
            <w:vAlign w:val="center"/>
          </w:tcPr>
          <w:p w14:paraId="3547EF2D" w14:textId="721AD14F" w:rsidR="00835581" w:rsidRPr="00C4648F" w:rsidRDefault="00835581" w:rsidP="002655CF">
            <w:pPr>
              <w:pStyle w:val="CETBodytext"/>
              <w:jc w:val="center"/>
              <w:rPr>
                <w:sz w:val="14"/>
                <w:lang w:val="es-CO"/>
              </w:rPr>
            </w:pPr>
            <m:oMathPara>
              <m:oMath>
                <m:r>
                  <w:rPr>
                    <w:rFonts w:ascii="Cambria Math" w:hAnsi="Cambria Math"/>
                    <w:sz w:val="14"/>
                    <w:lang w:val="es-CO"/>
                  </w:rPr>
                  <m:t>NGCI=</m:t>
                </m:r>
                <m:f>
                  <m:fPr>
                    <m:ctrlPr>
                      <w:rPr>
                        <w:rFonts w:ascii="Cambria Math" w:hAnsi="Cambria Math"/>
                        <w:sz w:val="14"/>
                        <w:lang w:val="es-CO"/>
                      </w:rPr>
                    </m:ctrlPr>
                  </m:fPr>
                  <m:num>
                    <m:r>
                      <w:rPr>
                        <w:rFonts w:ascii="Cambria Math" w:hAnsi="Cambria Math"/>
                        <w:sz w:val="14"/>
                        <w:lang w:val="es-CO"/>
                      </w:rPr>
                      <m:t>Total natural gas consumed</m:t>
                    </m:r>
                  </m:num>
                  <m:den>
                    <m:r>
                      <w:rPr>
                        <w:rFonts w:ascii="Cambria Math" w:hAnsi="Cambria Math"/>
                        <w:sz w:val="14"/>
                        <w:lang w:val="es-CO"/>
                      </w:rPr>
                      <m:t>Product mass flow</m:t>
                    </m:r>
                  </m:den>
                </m:f>
              </m:oMath>
            </m:oMathPara>
          </w:p>
        </w:tc>
      </w:tr>
      <w:tr w:rsidR="00835581" w:rsidRPr="00C4648F" w14:paraId="7B8E964B" w14:textId="77777777" w:rsidTr="005C6236">
        <w:trPr>
          <w:trHeight w:val="624"/>
          <w:jc w:val="right"/>
        </w:trPr>
        <w:tc>
          <w:tcPr>
            <w:tcW w:w="807" w:type="pct"/>
            <w:tcBorders>
              <w:top w:val="nil"/>
              <w:bottom w:val="single" w:sz="12" w:space="0" w:color="00B050"/>
            </w:tcBorders>
            <w:vAlign w:val="center"/>
          </w:tcPr>
          <w:p w14:paraId="1A73B056" w14:textId="77777777" w:rsidR="00835581" w:rsidRPr="00C4648F" w:rsidRDefault="00835581" w:rsidP="002655CF">
            <w:pPr>
              <w:pStyle w:val="CETBodytext"/>
              <w:jc w:val="center"/>
              <w:rPr>
                <w:b/>
                <w:i/>
                <w:sz w:val="14"/>
                <w:lang w:val="es-CO"/>
              </w:rPr>
            </w:pPr>
            <w:r w:rsidRPr="00C4648F">
              <w:rPr>
                <w:sz w:val="14"/>
                <w:lang w:val="es-CO"/>
              </w:rPr>
              <w:t xml:space="preserve">Electric </w:t>
            </w:r>
            <w:proofErr w:type="spellStart"/>
            <w:r w:rsidRPr="00C4648F">
              <w:rPr>
                <w:sz w:val="14"/>
                <w:lang w:val="es-CO"/>
              </w:rPr>
              <w:t>energy</w:t>
            </w:r>
            <w:proofErr w:type="spellEnd"/>
            <w:r w:rsidRPr="00C4648F">
              <w:rPr>
                <w:sz w:val="14"/>
                <w:lang w:val="es-CO"/>
              </w:rPr>
              <w:t xml:space="preserve"> </w:t>
            </w:r>
            <w:proofErr w:type="spellStart"/>
            <w:r w:rsidRPr="00C4648F">
              <w:rPr>
                <w:sz w:val="14"/>
                <w:lang w:val="es-CO"/>
              </w:rPr>
              <w:t>consumption</w:t>
            </w:r>
            <w:proofErr w:type="spellEnd"/>
            <w:r w:rsidRPr="00C4648F">
              <w:rPr>
                <w:sz w:val="14"/>
                <w:lang w:val="es-CO"/>
              </w:rPr>
              <w:t xml:space="preserve"> </w:t>
            </w:r>
            <w:proofErr w:type="spellStart"/>
            <w:r w:rsidRPr="00C4648F">
              <w:rPr>
                <w:sz w:val="14"/>
                <w:lang w:val="es-CO"/>
              </w:rPr>
              <w:t>index</w:t>
            </w:r>
            <w:proofErr w:type="spellEnd"/>
          </w:p>
        </w:tc>
        <w:tc>
          <w:tcPr>
            <w:tcW w:w="1613" w:type="pct"/>
            <w:tcBorders>
              <w:top w:val="nil"/>
              <w:bottom w:val="single" w:sz="12" w:space="0" w:color="00B050"/>
            </w:tcBorders>
            <w:vAlign w:val="center"/>
          </w:tcPr>
          <w:p w14:paraId="6340A596" w14:textId="39AF4674" w:rsidR="00835581" w:rsidRPr="00C4648F" w:rsidRDefault="00B14633" w:rsidP="002655CF">
            <w:pPr>
              <w:pStyle w:val="CETBodytext"/>
              <w:jc w:val="center"/>
              <w:rPr>
                <w:i/>
                <w:sz w:val="14"/>
              </w:rPr>
            </w:pPr>
            <w:proofErr w:type="gramStart"/>
            <w:r w:rsidRPr="00C4648F">
              <w:rPr>
                <w:sz w:val="14"/>
              </w:rPr>
              <w:t>Amount</w:t>
            </w:r>
            <w:proofErr w:type="gramEnd"/>
            <w:r w:rsidRPr="00C4648F">
              <w:rPr>
                <w:sz w:val="14"/>
              </w:rPr>
              <w:t xml:space="preserve"> of kilowatt-hours consumed per ton of product </w:t>
            </w:r>
            <w:r w:rsidR="00421757" w:rsidRPr="00C4648F">
              <w:rPr>
                <w:sz w:val="14"/>
              </w:rPr>
              <w:t>obtained</w:t>
            </w:r>
            <w:r w:rsidRPr="00C4648F">
              <w:rPr>
                <w:sz w:val="14"/>
              </w:rPr>
              <w:t>.</w:t>
            </w:r>
          </w:p>
        </w:tc>
        <w:tc>
          <w:tcPr>
            <w:tcW w:w="2580" w:type="pct"/>
            <w:tcBorders>
              <w:top w:val="nil"/>
              <w:bottom w:val="single" w:sz="12" w:space="0" w:color="00B050"/>
            </w:tcBorders>
            <w:vAlign w:val="center"/>
          </w:tcPr>
          <w:p w14:paraId="421D5D3C" w14:textId="18B99FC6" w:rsidR="00835581" w:rsidRPr="00C4648F" w:rsidRDefault="00835581" w:rsidP="002655CF">
            <w:pPr>
              <w:pStyle w:val="CETBodytext"/>
              <w:jc w:val="center"/>
              <w:rPr>
                <w:sz w:val="14"/>
                <w:lang w:val="es-CO"/>
              </w:rPr>
            </w:pPr>
            <m:oMathPara>
              <m:oMath>
                <m:r>
                  <w:rPr>
                    <w:rFonts w:ascii="Cambria Math" w:hAnsi="Cambria Math"/>
                    <w:sz w:val="14"/>
                    <w:lang w:val="es-CO"/>
                  </w:rPr>
                  <m:t>EECI=</m:t>
                </m:r>
                <m:f>
                  <m:fPr>
                    <m:ctrlPr>
                      <w:rPr>
                        <w:rFonts w:ascii="Cambria Math" w:hAnsi="Cambria Math"/>
                        <w:sz w:val="14"/>
                        <w:lang w:val="es-CO"/>
                      </w:rPr>
                    </m:ctrlPr>
                  </m:fPr>
                  <m:num>
                    <m:r>
                      <w:rPr>
                        <w:rFonts w:ascii="Cambria Math" w:hAnsi="Cambria Math"/>
                        <w:sz w:val="14"/>
                        <w:lang w:val="es-CO"/>
                      </w:rPr>
                      <m:t>Total electricity consumed</m:t>
                    </m:r>
                  </m:num>
                  <m:den>
                    <m:r>
                      <w:rPr>
                        <w:rFonts w:ascii="Cambria Math" w:hAnsi="Cambria Math"/>
                        <w:sz w:val="14"/>
                        <w:lang w:val="es-CO"/>
                      </w:rPr>
                      <m:t>Product mass flow</m:t>
                    </m:r>
                  </m:den>
                </m:f>
              </m:oMath>
            </m:oMathPara>
          </w:p>
        </w:tc>
      </w:tr>
    </w:tbl>
    <w:p w14:paraId="5CA9D430" w14:textId="77777777" w:rsidR="00835581" w:rsidRDefault="00835581" w:rsidP="00D16776">
      <w:pPr>
        <w:pStyle w:val="CETBodytext"/>
      </w:pPr>
    </w:p>
    <w:p w14:paraId="2C15774A" w14:textId="482E1890" w:rsidR="005E5369" w:rsidRDefault="00D16776" w:rsidP="005E5369">
      <w:pPr>
        <w:pStyle w:val="CETBodytext"/>
      </w:pPr>
      <w:r>
        <w:t xml:space="preserve">The best- and worst-case scenarios were established to benchmark process efficiency by analyzing variations in key performance indicators such as energy consumption, production yield, and material recirculation. In the best-case scenario, </w:t>
      </w:r>
      <w:r w:rsidR="00E3734C">
        <w:t xml:space="preserve">the cascade </w:t>
      </w:r>
      <w:r>
        <w:t>biorefinery achieved optimal efficiency, with a production yield of 100</w:t>
      </w:r>
      <w:r w:rsidR="00F77C41">
        <w:t xml:space="preserve"> </w:t>
      </w:r>
      <w:r>
        <w:t>%, while in the worst-case scenario, the production yield dropped to 0</w:t>
      </w:r>
      <w:r w:rsidR="00F77C41">
        <w:t xml:space="preserve"> </w:t>
      </w:r>
      <w:r>
        <w:t>%. Fractional water consumption was 0.35 m³/t in the best-case scenario, reflecting efficient water use, whereas in the worst-case scenario, it increased to 0.88 m³/t due to ineffective water recycling. Wastewater generation was minimal in the best-case scenario, but in the worst-case scenario, the wastewater production ratio reached 75</w:t>
      </w:r>
      <w:r w:rsidR="00F77C41">
        <w:t xml:space="preserve"> %. The</w:t>
      </w:r>
      <w:r>
        <w:t xml:space="preserve"> total cost of freshwater was reduced to </w:t>
      </w:r>
      <w:r w:rsidRPr="00D16776">
        <w:t>0.48</w:t>
      </w:r>
      <w:r>
        <w:t xml:space="preserve"> per day in the best−case scenario,</w:t>
      </w:r>
      <w:r w:rsidR="0095724A">
        <w:t xml:space="preserve"> </w:t>
      </w:r>
      <w:r>
        <w:t>but it rose significantly to</w:t>
      </w:r>
      <w:r w:rsidR="001B6FB8">
        <w:t xml:space="preserve"> </w:t>
      </w:r>
      <w:r>
        <w:t>15.60 per day in the worst-case scenario, indicating excessive reliance on external water sources. Energy-specific intensity was 40.41 MJ/t in the best-case scenario, reflecting efficient energy utilization, whereas in the worst-case scenario, it increased dramatically to 240.82 MJ/t. Similarly, the electric energy consumption index was 6.9 kWh/t in the best-case scenario but doubled to 27.6 kWh/t in the worst-case scenario. Natural gas consumption was fully optimized in the best-case scenario, contributing to an improved net energy ratio, but in the worst-case scenario, its efficiency dropped to only 25.15</w:t>
      </w:r>
      <w:r w:rsidR="00F77C41">
        <w:t xml:space="preserve"> </w:t>
      </w:r>
      <w:r>
        <w:t>%, highlighting significant inefficiencies in energy utilization.</w:t>
      </w:r>
    </w:p>
    <w:p w14:paraId="677EBFF0" w14:textId="0A7326DA" w:rsidR="00600535" w:rsidRPr="00B57B36" w:rsidRDefault="00F637FE" w:rsidP="00600535">
      <w:pPr>
        <w:pStyle w:val="CETHeading1"/>
        <w:tabs>
          <w:tab w:val="clear" w:pos="360"/>
          <w:tab w:val="right" w:pos="7100"/>
        </w:tabs>
        <w:jc w:val="both"/>
        <w:rPr>
          <w:lang w:val="en-GB"/>
        </w:rPr>
      </w:pPr>
      <w:r>
        <w:rPr>
          <w:lang w:val="en-GB"/>
        </w:rPr>
        <w:lastRenderedPageBreak/>
        <w:t>Results and discussion</w:t>
      </w:r>
    </w:p>
    <w:p w14:paraId="04963A06" w14:textId="3FD5E235" w:rsidR="00600535" w:rsidRPr="00B57B36" w:rsidRDefault="0095724A" w:rsidP="0095724A">
      <w:pPr>
        <w:pStyle w:val="CETheadingx"/>
      </w:pPr>
      <w:r w:rsidRPr="0095724A">
        <w:t xml:space="preserve">WEP Technical Evaluation Parameters of the Hass Avocado </w:t>
      </w:r>
      <w:r w:rsidR="00634AF1">
        <w:t>Waste</w:t>
      </w:r>
      <w:r w:rsidRPr="0095724A">
        <w:t xml:space="preserve"> Cascade Biorefinery</w:t>
      </w:r>
    </w:p>
    <w:p w14:paraId="42EE71EF" w14:textId="4C08D97E" w:rsidR="009F22BC" w:rsidRPr="009C680C" w:rsidRDefault="0095724A" w:rsidP="009F22BC">
      <w:pPr>
        <w:pStyle w:val="CETBodytext"/>
      </w:pPr>
      <w:r>
        <w:t xml:space="preserve">The performance of the Hass avocado </w:t>
      </w:r>
      <w:r w:rsidR="00634AF1">
        <w:t>waste</w:t>
      </w:r>
      <w:r>
        <w:t xml:space="preserve"> cascad</w:t>
      </w:r>
      <w:r w:rsidR="000711FC">
        <w:t>e</w:t>
      </w:r>
      <w:r>
        <w:t xml:space="preserve"> biorefinery was assessed using the Water-Energy-Product (WEP) methodology to quantify the sustainability and efficiency of the process. The evaluation considered key operational parameters, including raw material input, product yield, water consumption, and energy utilization. The biorefinery processed 27.40 kg/h of avocado </w:t>
      </w:r>
      <w:r w:rsidR="00634AF1">
        <w:t>waste</w:t>
      </w:r>
      <w:r>
        <w:t xml:space="preserve">, generating 21.46 kg/h of final products, with a total of 1.01 kg/h of recirculated material. Unconverted material was measured at 3.52 kg/h, indicating a high conversion efficiency. </w:t>
      </w:r>
      <w:r w:rsidR="00CA00C5">
        <w:t>The</w:t>
      </w:r>
      <w:r w:rsidR="00E3734C">
        <w:t xml:space="preserve"> cascade</w:t>
      </w:r>
      <w:r w:rsidR="00CA00C5">
        <w:t xml:space="preserve"> biorefinery had a freshwater consumption</w:t>
      </w:r>
      <w:r>
        <w:t xml:space="preserve"> of 0.31 m³/h, while wastewater generation was </w:t>
      </w:r>
      <w:r w:rsidR="00CA00C5">
        <w:t>up</w:t>
      </w:r>
      <w:r>
        <w:t xml:space="preserve"> to 0.13 m³/h.</w:t>
      </w:r>
      <w:r w:rsidR="00CA00C5">
        <w:t xml:space="preserve"> </w:t>
      </w:r>
      <w:r>
        <w:t>In terms of energy consumption, the total energy demand for the process was 728.04 MJ/h, distributed across the different production stag</w:t>
      </w:r>
      <w:r w:rsidR="00C86828">
        <w:t>es, including starch extraction and</w:t>
      </w:r>
      <w:r>
        <w:t xml:space="preserve"> </w:t>
      </w:r>
      <w:r w:rsidR="00CA00C5">
        <w:t>bio</w:t>
      </w:r>
      <w:r>
        <w:t>film</w:t>
      </w:r>
      <w:r w:rsidR="00CA00C5">
        <w:t>s</w:t>
      </w:r>
      <w:r w:rsidR="00C86828">
        <w:t xml:space="preserve"> production</w:t>
      </w:r>
      <w:r w:rsidR="00CA00C5">
        <w:t>.</w:t>
      </w:r>
    </w:p>
    <w:p w14:paraId="1F96CA21" w14:textId="1D361DE7" w:rsidR="00600535" w:rsidRPr="00B57B36" w:rsidRDefault="00592EA7" w:rsidP="00592EA7">
      <w:pPr>
        <w:pStyle w:val="CETheadingx"/>
      </w:pPr>
      <w:r w:rsidRPr="00592EA7">
        <w:t>WEP Technical Evaluation Indicators of the Cascade Biorefinery</w:t>
      </w:r>
    </w:p>
    <w:p w14:paraId="19EC027C" w14:textId="4E4120F2" w:rsidR="0045066D" w:rsidRDefault="0045066D" w:rsidP="00CA00C5">
      <w:pPr>
        <w:pStyle w:val="CETBodytext"/>
      </w:pPr>
      <w:r>
        <w:t>T</w:t>
      </w:r>
      <w:r w:rsidR="002655CF">
        <w:t>able 2</w:t>
      </w:r>
      <w:r w:rsidRPr="0045066D">
        <w:t xml:space="preserve"> shows the summary of the WEP technical indicators obtained for the Hass avocado </w:t>
      </w:r>
      <w:r w:rsidR="00634AF1">
        <w:t>waste</w:t>
      </w:r>
      <w:r w:rsidRPr="0045066D">
        <w:t xml:space="preserve"> cascade biorefinery</w:t>
      </w:r>
      <w:r w:rsidR="00C86828">
        <w:t xml:space="preserve"> to obtain starch and biofilms</w:t>
      </w:r>
      <w:r w:rsidRPr="0045066D">
        <w:t>.</w:t>
      </w:r>
    </w:p>
    <w:p w14:paraId="72C387CD" w14:textId="2F3082D5" w:rsidR="00CA00C5" w:rsidRDefault="002655CF" w:rsidP="001B6FB8">
      <w:pPr>
        <w:pStyle w:val="CETTabletitle"/>
      </w:pPr>
      <w:r>
        <w:t>Table 2</w:t>
      </w:r>
      <w:r w:rsidR="0045066D">
        <w:t>:</w:t>
      </w:r>
      <w:r w:rsidR="0045066D" w:rsidRPr="0045066D">
        <w:t xml:space="preserve"> Results of the technical evaluation of the cascade biorefinery from H</w:t>
      </w:r>
      <w:r w:rsidR="0045066D">
        <w:t xml:space="preserve">ass avocado </w:t>
      </w:r>
      <w:r w:rsidR="00634AF1">
        <w:t>waste</w:t>
      </w:r>
      <w:r w:rsidR="00817E11" w:rsidRPr="00817E11">
        <w:t>.</w:t>
      </w:r>
    </w:p>
    <w:tbl>
      <w:tblPr>
        <w:tblW w:w="4285" w:type="pct"/>
        <w:jc w:val="center"/>
        <w:tblLook w:val="04A0" w:firstRow="1" w:lastRow="0" w:firstColumn="1" w:lastColumn="0" w:noHBand="0" w:noVBand="1"/>
      </w:tblPr>
      <w:tblGrid>
        <w:gridCol w:w="3422"/>
        <w:gridCol w:w="3087"/>
        <w:gridCol w:w="1021"/>
      </w:tblGrid>
      <w:tr w:rsidR="006E6CBD" w:rsidRPr="00C4648F" w14:paraId="1ABE1257" w14:textId="780D5525" w:rsidTr="006E6CBD">
        <w:trPr>
          <w:trHeight w:val="283"/>
          <w:jc w:val="center"/>
        </w:trPr>
        <w:tc>
          <w:tcPr>
            <w:tcW w:w="2272" w:type="pct"/>
            <w:tcBorders>
              <w:top w:val="single" w:sz="12" w:space="0" w:color="00B050"/>
              <w:left w:val="nil"/>
              <w:bottom w:val="single" w:sz="4" w:space="0" w:color="00B050"/>
              <w:right w:val="nil"/>
            </w:tcBorders>
            <w:shd w:val="clear" w:color="auto" w:fill="auto"/>
            <w:noWrap/>
            <w:vAlign w:val="center"/>
            <w:hideMark/>
          </w:tcPr>
          <w:p w14:paraId="279D1314" w14:textId="77777777" w:rsidR="006E6CBD" w:rsidRPr="00C4648F" w:rsidRDefault="006E6CBD" w:rsidP="00CA00C5">
            <w:pPr>
              <w:pStyle w:val="CETBodytext"/>
              <w:jc w:val="center"/>
              <w:rPr>
                <w:b/>
                <w:bCs/>
                <w:sz w:val="16"/>
              </w:rPr>
            </w:pPr>
            <w:r w:rsidRPr="00C4648F">
              <w:rPr>
                <w:b/>
                <w:bCs/>
                <w:sz w:val="16"/>
              </w:rPr>
              <w:t>Indicator</w:t>
            </w:r>
          </w:p>
        </w:tc>
        <w:tc>
          <w:tcPr>
            <w:tcW w:w="2050" w:type="pct"/>
            <w:tcBorders>
              <w:top w:val="single" w:sz="12" w:space="0" w:color="00B050"/>
              <w:left w:val="nil"/>
              <w:bottom w:val="single" w:sz="4" w:space="0" w:color="00B050"/>
              <w:right w:val="nil"/>
            </w:tcBorders>
            <w:shd w:val="clear" w:color="auto" w:fill="auto"/>
            <w:noWrap/>
            <w:vAlign w:val="center"/>
            <w:hideMark/>
          </w:tcPr>
          <w:p w14:paraId="4FF1A115" w14:textId="77777777" w:rsidR="006E6CBD" w:rsidRPr="00C4648F" w:rsidRDefault="006E6CBD" w:rsidP="00CA00C5">
            <w:pPr>
              <w:pStyle w:val="CETBodytext"/>
              <w:jc w:val="center"/>
              <w:rPr>
                <w:b/>
                <w:bCs/>
                <w:sz w:val="16"/>
              </w:rPr>
            </w:pPr>
            <w:r w:rsidRPr="00C4648F">
              <w:rPr>
                <w:b/>
                <w:bCs/>
                <w:sz w:val="16"/>
              </w:rPr>
              <w:t>Units</w:t>
            </w:r>
          </w:p>
        </w:tc>
        <w:tc>
          <w:tcPr>
            <w:tcW w:w="679" w:type="pct"/>
            <w:tcBorders>
              <w:top w:val="single" w:sz="12" w:space="0" w:color="00B050"/>
              <w:left w:val="nil"/>
              <w:bottom w:val="single" w:sz="4" w:space="0" w:color="00B050"/>
              <w:right w:val="nil"/>
            </w:tcBorders>
            <w:shd w:val="clear" w:color="auto" w:fill="auto"/>
            <w:noWrap/>
            <w:vAlign w:val="center"/>
            <w:hideMark/>
          </w:tcPr>
          <w:p w14:paraId="03BD9306" w14:textId="77777777" w:rsidR="006E6CBD" w:rsidRPr="00C4648F" w:rsidRDefault="006E6CBD" w:rsidP="00CA00C5">
            <w:pPr>
              <w:pStyle w:val="CETBodytext"/>
              <w:jc w:val="center"/>
              <w:rPr>
                <w:b/>
                <w:bCs/>
                <w:sz w:val="16"/>
              </w:rPr>
            </w:pPr>
            <w:r w:rsidRPr="00C4648F">
              <w:rPr>
                <w:b/>
                <w:bCs/>
                <w:sz w:val="16"/>
              </w:rPr>
              <w:t>Value</w:t>
            </w:r>
          </w:p>
        </w:tc>
      </w:tr>
      <w:tr w:rsidR="006E6CBD" w:rsidRPr="00C4648F" w14:paraId="2CFCFAF0" w14:textId="347821D0" w:rsidTr="006E6CBD">
        <w:trPr>
          <w:trHeight w:val="283"/>
          <w:jc w:val="center"/>
        </w:trPr>
        <w:tc>
          <w:tcPr>
            <w:tcW w:w="2272" w:type="pct"/>
            <w:tcBorders>
              <w:top w:val="single" w:sz="4" w:space="0" w:color="00B050"/>
              <w:left w:val="nil"/>
              <w:bottom w:val="nil"/>
              <w:right w:val="nil"/>
            </w:tcBorders>
            <w:shd w:val="clear" w:color="auto" w:fill="auto"/>
            <w:noWrap/>
            <w:vAlign w:val="center"/>
            <w:hideMark/>
          </w:tcPr>
          <w:p w14:paraId="08D26030" w14:textId="77777777" w:rsidR="006E6CBD" w:rsidRPr="00C4648F" w:rsidRDefault="006E6CBD" w:rsidP="00CA00C5">
            <w:pPr>
              <w:pStyle w:val="CETBodytext"/>
              <w:jc w:val="center"/>
              <w:rPr>
                <w:sz w:val="16"/>
              </w:rPr>
            </w:pPr>
            <w:r w:rsidRPr="00C4648F">
              <w:rPr>
                <w:sz w:val="16"/>
              </w:rPr>
              <w:t>Production Yield</w:t>
            </w:r>
          </w:p>
        </w:tc>
        <w:tc>
          <w:tcPr>
            <w:tcW w:w="2050" w:type="pct"/>
            <w:tcBorders>
              <w:top w:val="single" w:sz="4" w:space="0" w:color="00B050"/>
              <w:left w:val="nil"/>
              <w:bottom w:val="nil"/>
              <w:right w:val="nil"/>
            </w:tcBorders>
            <w:shd w:val="clear" w:color="auto" w:fill="auto"/>
            <w:noWrap/>
            <w:vAlign w:val="center"/>
            <w:hideMark/>
          </w:tcPr>
          <w:p w14:paraId="09C0B6FB" w14:textId="77777777" w:rsidR="006E6CBD" w:rsidRPr="00C4648F" w:rsidRDefault="006E6CBD" w:rsidP="00CA00C5">
            <w:pPr>
              <w:pStyle w:val="CETBodytext"/>
              <w:jc w:val="center"/>
              <w:rPr>
                <w:sz w:val="16"/>
              </w:rPr>
            </w:pPr>
            <w:r w:rsidRPr="00C4648F">
              <w:rPr>
                <w:sz w:val="16"/>
              </w:rPr>
              <w:t>%</w:t>
            </w:r>
          </w:p>
        </w:tc>
        <w:tc>
          <w:tcPr>
            <w:tcW w:w="679" w:type="pct"/>
            <w:tcBorders>
              <w:top w:val="single" w:sz="4" w:space="0" w:color="00B050"/>
              <w:left w:val="nil"/>
              <w:bottom w:val="nil"/>
              <w:right w:val="nil"/>
            </w:tcBorders>
            <w:shd w:val="clear" w:color="auto" w:fill="auto"/>
            <w:noWrap/>
            <w:vAlign w:val="center"/>
            <w:hideMark/>
          </w:tcPr>
          <w:p w14:paraId="41386EBC" w14:textId="77777777" w:rsidR="006E6CBD" w:rsidRPr="00C4648F" w:rsidRDefault="006E6CBD" w:rsidP="00CA00C5">
            <w:pPr>
              <w:pStyle w:val="CETBodytext"/>
              <w:jc w:val="center"/>
              <w:rPr>
                <w:sz w:val="16"/>
              </w:rPr>
            </w:pPr>
            <w:r w:rsidRPr="00C4648F">
              <w:rPr>
                <w:sz w:val="16"/>
              </w:rPr>
              <w:t>78.34</w:t>
            </w:r>
          </w:p>
        </w:tc>
      </w:tr>
      <w:tr w:rsidR="006E6CBD" w:rsidRPr="00C4648F" w14:paraId="1822D4C2" w14:textId="03C663C2" w:rsidTr="006E6CBD">
        <w:trPr>
          <w:trHeight w:val="283"/>
          <w:jc w:val="center"/>
        </w:trPr>
        <w:tc>
          <w:tcPr>
            <w:tcW w:w="2272" w:type="pct"/>
            <w:tcBorders>
              <w:top w:val="nil"/>
              <w:left w:val="nil"/>
              <w:bottom w:val="nil"/>
              <w:right w:val="nil"/>
            </w:tcBorders>
            <w:shd w:val="clear" w:color="auto" w:fill="auto"/>
            <w:vAlign w:val="center"/>
            <w:hideMark/>
          </w:tcPr>
          <w:p w14:paraId="00339E76" w14:textId="3E8AB241" w:rsidR="006E6CBD" w:rsidRPr="00C4648F" w:rsidRDefault="006E6CBD" w:rsidP="00CA00C5">
            <w:pPr>
              <w:pStyle w:val="CETBodytext"/>
              <w:jc w:val="center"/>
              <w:rPr>
                <w:sz w:val="16"/>
              </w:rPr>
            </w:pPr>
            <w:r w:rsidRPr="00C4648F">
              <w:rPr>
                <w:sz w:val="16"/>
              </w:rPr>
              <w:t>Fractional Water Consumption (FWC)</w:t>
            </w:r>
          </w:p>
        </w:tc>
        <w:tc>
          <w:tcPr>
            <w:tcW w:w="2050" w:type="pct"/>
            <w:tcBorders>
              <w:top w:val="nil"/>
              <w:left w:val="nil"/>
              <w:bottom w:val="nil"/>
              <w:right w:val="nil"/>
            </w:tcBorders>
            <w:shd w:val="clear" w:color="auto" w:fill="auto"/>
            <w:vAlign w:val="center"/>
            <w:hideMark/>
          </w:tcPr>
          <w:p w14:paraId="5752BD1A" w14:textId="77777777" w:rsidR="006E6CBD" w:rsidRPr="00C4648F" w:rsidRDefault="006E6CBD" w:rsidP="00CA00C5">
            <w:pPr>
              <w:pStyle w:val="CETBodytext"/>
              <w:jc w:val="center"/>
              <w:rPr>
                <w:sz w:val="16"/>
              </w:rPr>
            </w:pPr>
            <w:r w:rsidRPr="00C4648F">
              <w:rPr>
                <w:sz w:val="16"/>
              </w:rPr>
              <w:t>m</w:t>
            </w:r>
            <w:r w:rsidRPr="00C4648F">
              <w:rPr>
                <w:sz w:val="16"/>
                <w:vertAlign w:val="superscript"/>
              </w:rPr>
              <w:t>3</w:t>
            </w:r>
            <w:r w:rsidRPr="00C4648F">
              <w:rPr>
                <w:sz w:val="16"/>
              </w:rPr>
              <w:t>/t</w:t>
            </w:r>
          </w:p>
        </w:tc>
        <w:tc>
          <w:tcPr>
            <w:tcW w:w="679" w:type="pct"/>
            <w:tcBorders>
              <w:top w:val="nil"/>
              <w:left w:val="nil"/>
              <w:bottom w:val="nil"/>
              <w:right w:val="nil"/>
            </w:tcBorders>
            <w:shd w:val="clear" w:color="auto" w:fill="auto"/>
            <w:noWrap/>
            <w:vAlign w:val="center"/>
            <w:hideMark/>
          </w:tcPr>
          <w:p w14:paraId="1C2D7D0B" w14:textId="77777777" w:rsidR="006E6CBD" w:rsidRPr="00C4648F" w:rsidRDefault="006E6CBD" w:rsidP="00CA00C5">
            <w:pPr>
              <w:pStyle w:val="CETBodytext"/>
              <w:jc w:val="center"/>
              <w:rPr>
                <w:sz w:val="16"/>
              </w:rPr>
            </w:pPr>
            <w:r w:rsidRPr="00C4648F">
              <w:rPr>
                <w:sz w:val="16"/>
              </w:rPr>
              <w:t>0.55</w:t>
            </w:r>
          </w:p>
        </w:tc>
      </w:tr>
      <w:tr w:rsidR="006E6CBD" w:rsidRPr="00C4648F" w14:paraId="05E10886" w14:textId="788AA1E5" w:rsidTr="006E6CBD">
        <w:trPr>
          <w:trHeight w:val="283"/>
          <w:jc w:val="center"/>
        </w:trPr>
        <w:tc>
          <w:tcPr>
            <w:tcW w:w="2272" w:type="pct"/>
            <w:tcBorders>
              <w:top w:val="nil"/>
              <w:left w:val="nil"/>
              <w:bottom w:val="nil"/>
              <w:right w:val="nil"/>
            </w:tcBorders>
            <w:shd w:val="clear" w:color="auto" w:fill="auto"/>
            <w:vAlign w:val="center"/>
            <w:hideMark/>
          </w:tcPr>
          <w:p w14:paraId="0B48CE14" w14:textId="6FEC8D08" w:rsidR="006E6CBD" w:rsidRPr="00C4648F" w:rsidRDefault="006E6CBD" w:rsidP="00CA00C5">
            <w:pPr>
              <w:pStyle w:val="CETBodytext"/>
              <w:jc w:val="center"/>
              <w:rPr>
                <w:sz w:val="16"/>
              </w:rPr>
            </w:pPr>
            <w:r w:rsidRPr="00C4648F">
              <w:rPr>
                <w:sz w:val="16"/>
              </w:rPr>
              <w:t>Total Cost of Freshwater (TCF)</w:t>
            </w:r>
          </w:p>
        </w:tc>
        <w:tc>
          <w:tcPr>
            <w:tcW w:w="2050" w:type="pct"/>
            <w:tcBorders>
              <w:top w:val="nil"/>
              <w:left w:val="nil"/>
              <w:bottom w:val="nil"/>
              <w:right w:val="nil"/>
            </w:tcBorders>
            <w:shd w:val="clear" w:color="auto" w:fill="auto"/>
            <w:vAlign w:val="center"/>
            <w:hideMark/>
          </w:tcPr>
          <w:p w14:paraId="03168034" w14:textId="77777777" w:rsidR="006E6CBD" w:rsidRPr="00C4648F" w:rsidRDefault="006E6CBD" w:rsidP="00CA00C5">
            <w:pPr>
              <w:pStyle w:val="CETBodytext"/>
              <w:jc w:val="center"/>
              <w:rPr>
                <w:sz w:val="16"/>
              </w:rPr>
            </w:pPr>
            <w:r w:rsidRPr="00C4648F">
              <w:rPr>
                <w:sz w:val="16"/>
              </w:rPr>
              <w:t>USD/day</w:t>
            </w:r>
          </w:p>
        </w:tc>
        <w:tc>
          <w:tcPr>
            <w:tcW w:w="679" w:type="pct"/>
            <w:tcBorders>
              <w:top w:val="nil"/>
              <w:left w:val="nil"/>
              <w:bottom w:val="nil"/>
              <w:right w:val="nil"/>
            </w:tcBorders>
            <w:shd w:val="clear" w:color="auto" w:fill="auto"/>
            <w:noWrap/>
            <w:vAlign w:val="center"/>
            <w:hideMark/>
          </w:tcPr>
          <w:p w14:paraId="11410171" w14:textId="77777777" w:rsidR="006E6CBD" w:rsidRPr="00C4648F" w:rsidRDefault="006E6CBD" w:rsidP="00CA00C5">
            <w:pPr>
              <w:pStyle w:val="CETBodytext"/>
              <w:jc w:val="center"/>
              <w:rPr>
                <w:sz w:val="16"/>
              </w:rPr>
            </w:pPr>
            <w:r w:rsidRPr="00C4648F">
              <w:rPr>
                <w:sz w:val="16"/>
              </w:rPr>
              <w:t>3.02</w:t>
            </w:r>
          </w:p>
        </w:tc>
      </w:tr>
      <w:tr w:rsidR="006E6CBD" w:rsidRPr="00C4648F" w14:paraId="601D5F71" w14:textId="1C305FA6" w:rsidTr="006E6CBD">
        <w:trPr>
          <w:trHeight w:val="283"/>
          <w:jc w:val="center"/>
        </w:trPr>
        <w:tc>
          <w:tcPr>
            <w:tcW w:w="2272" w:type="pct"/>
            <w:tcBorders>
              <w:top w:val="nil"/>
              <w:left w:val="nil"/>
              <w:bottom w:val="nil"/>
              <w:right w:val="nil"/>
            </w:tcBorders>
            <w:shd w:val="clear" w:color="auto" w:fill="auto"/>
            <w:vAlign w:val="center"/>
            <w:hideMark/>
          </w:tcPr>
          <w:p w14:paraId="2510B733" w14:textId="5144CD18" w:rsidR="006E6CBD" w:rsidRPr="00C4648F" w:rsidRDefault="006E6CBD" w:rsidP="00CA00C5">
            <w:pPr>
              <w:pStyle w:val="CETBodytext"/>
              <w:jc w:val="center"/>
              <w:rPr>
                <w:sz w:val="16"/>
              </w:rPr>
            </w:pPr>
            <w:r w:rsidRPr="00C4648F">
              <w:rPr>
                <w:sz w:val="16"/>
              </w:rPr>
              <w:t>Wastewater Production Ratio (WPR)</w:t>
            </w:r>
          </w:p>
        </w:tc>
        <w:tc>
          <w:tcPr>
            <w:tcW w:w="2050" w:type="pct"/>
            <w:tcBorders>
              <w:top w:val="nil"/>
              <w:left w:val="nil"/>
              <w:bottom w:val="nil"/>
              <w:right w:val="nil"/>
            </w:tcBorders>
            <w:shd w:val="clear" w:color="auto" w:fill="auto"/>
            <w:vAlign w:val="center"/>
            <w:hideMark/>
          </w:tcPr>
          <w:p w14:paraId="0D50F40D" w14:textId="0A59F615" w:rsidR="006E6CBD" w:rsidRPr="00C4648F" w:rsidRDefault="006E6CBD" w:rsidP="00B941CB">
            <w:pPr>
              <w:pStyle w:val="CETBodytext"/>
              <w:jc w:val="center"/>
              <w:rPr>
                <w:sz w:val="16"/>
              </w:rPr>
            </w:pPr>
            <w:r w:rsidRPr="00C4648F">
              <w:rPr>
                <w:sz w:val="16"/>
              </w:rPr>
              <w:t xml:space="preserve">% </w:t>
            </w:r>
            <w:proofErr w:type="gramStart"/>
            <w:r w:rsidRPr="00C4648F">
              <w:rPr>
                <w:sz w:val="16"/>
              </w:rPr>
              <w:t>of</w:t>
            </w:r>
            <w:proofErr w:type="gramEnd"/>
            <w:r w:rsidRPr="00C4648F">
              <w:rPr>
                <w:sz w:val="16"/>
              </w:rPr>
              <w:t xml:space="preserve"> water utility</w:t>
            </w:r>
          </w:p>
        </w:tc>
        <w:tc>
          <w:tcPr>
            <w:tcW w:w="679" w:type="pct"/>
            <w:tcBorders>
              <w:top w:val="nil"/>
              <w:left w:val="nil"/>
              <w:bottom w:val="nil"/>
              <w:right w:val="nil"/>
            </w:tcBorders>
            <w:shd w:val="clear" w:color="auto" w:fill="auto"/>
            <w:noWrap/>
            <w:vAlign w:val="center"/>
            <w:hideMark/>
          </w:tcPr>
          <w:p w14:paraId="75AF4600" w14:textId="77777777" w:rsidR="006E6CBD" w:rsidRPr="00C4648F" w:rsidRDefault="006E6CBD" w:rsidP="00CA00C5">
            <w:pPr>
              <w:pStyle w:val="CETBodytext"/>
              <w:jc w:val="center"/>
              <w:rPr>
                <w:sz w:val="16"/>
              </w:rPr>
            </w:pPr>
            <w:r w:rsidRPr="00C4648F">
              <w:rPr>
                <w:sz w:val="16"/>
              </w:rPr>
              <w:t>39.80</w:t>
            </w:r>
          </w:p>
        </w:tc>
      </w:tr>
      <w:tr w:rsidR="006E6CBD" w:rsidRPr="00C4648F" w14:paraId="1D0517DE" w14:textId="494A1415" w:rsidTr="006E6CBD">
        <w:trPr>
          <w:trHeight w:val="283"/>
          <w:jc w:val="center"/>
        </w:trPr>
        <w:tc>
          <w:tcPr>
            <w:tcW w:w="2272" w:type="pct"/>
            <w:tcBorders>
              <w:top w:val="nil"/>
              <w:left w:val="nil"/>
              <w:bottom w:val="nil"/>
              <w:right w:val="nil"/>
            </w:tcBorders>
            <w:shd w:val="clear" w:color="auto" w:fill="auto"/>
            <w:vAlign w:val="center"/>
            <w:hideMark/>
          </w:tcPr>
          <w:p w14:paraId="61E34C30" w14:textId="2693F18E" w:rsidR="006E6CBD" w:rsidRPr="00C4648F" w:rsidRDefault="006E6CBD" w:rsidP="00CA00C5">
            <w:pPr>
              <w:pStyle w:val="CETBodytext"/>
              <w:jc w:val="center"/>
              <w:rPr>
                <w:sz w:val="16"/>
              </w:rPr>
            </w:pPr>
            <w:r w:rsidRPr="00C4648F">
              <w:rPr>
                <w:sz w:val="16"/>
              </w:rPr>
              <w:t>Index of Reused Unconverted Material (IRUM)</w:t>
            </w:r>
          </w:p>
        </w:tc>
        <w:tc>
          <w:tcPr>
            <w:tcW w:w="2050" w:type="pct"/>
            <w:tcBorders>
              <w:top w:val="nil"/>
              <w:left w:val="nil"/>
              <w:bottom w:val="nil"/>
              <w:right w:val="nil"/>
            </w:tcBorders>
            <w:shd w:val="clear" w:color="auto" w:fill="auto"/>
            <w:vAlign w:val="center"/>
            <w:hideMark/>
          </w:tcPr>
          <w:p w14:paraId="67EEBAFB" w14:textId="0F52B920" w:rsidR="006E6CBD" w:rsidRPr="00C4648F" w:rsidRDefault="006E6CBD" w:rsidP="00C7724B">
            <w:pPr>
              <w:pStyle w:val="CETBodytext"/>
              <w:jc w:val="center"/>
              <w:rPr>
                <w:sz w:val="16"/>
              </w:rPr>
            </w:pPr>
            <w:r w:rsidRPr="00C4648F">
              <w:rPr>
                <w:sz w:val="16"/>
              </w:rPr>
              <w:t xml:space="preserve">% </w:t>
            </w:r>
            <w:proofErr w:type="gramStart"/>
            <w:r w:rsidRPr="00C4648F">
              <w:rPr>
                <w:sz w:val="16"/>
              </w:rPr>
              <w:t>of</w:t>
            </w:r>
            <w:proofErr w:type="gramEnd"/>
            <w:r w:rsidRPr="00C4648F">
              <w:rPr>
                <w:sz w:val="16"/>
              </w:rPr>
              <w:t xml:space="preserve"> material not converted</w:t>
            </w:r>
          </w:p>
        </w:tc>
        <w:tc>
          <w:tcPr>
            <w:tcW w:w="679" w:type="pct"/>
            <w:tcBorders>
              <w:top w:val="nil"/>
              <w:left w:val="nil"/>
              <w:bottom w:val="nil"/>
              <w:right w:val="nil"/>
            </w:tcBorders>
            <w:shd w:val="clear" w:color="auto" w:fill="auto"/>
            <w:noWrap/>
            <w:vAlign w:val="center"/>
            <w:hideMark/>
          </w:tcPr>
          <w:p w14:paraId="4C881E74" w14:textId="77777777" w:rsidR="006E6CBD" w:rsidRPr="00C4648F" w:rsidRDefault="006E6CBD" w:rsidP="00CA00C5">
            <w:pPr>
              <w:pStyle w:val="CETBodytext"/>
              <w:jc w:val="center"/>
              <w:rPr>
                <w:sz w:val="16"/>
              </w:rPr>
            </w:pPr>
            <w:r w:rsidRPr="00C4648F">
              <w:rPr>
                <w:sz w:val="16"/>
              </w:rPr>
              <w:t>28.80</w:t>
            </w:r>
          </w:p>
        </w:tc>
      </w:tr>
      <w:tr w:rsidR="006E6CBD" w:rsidRPr="00C4648F" w14:paraId="283F76CE" w14:textId="755A7F6C" w:rsidTr="006E6CBD">
        <w:trPr>
          <w:trHeight w:val="283"/>
          <w:jc w:val="center"/>
        </w:trPr>
        <w:tc>
          <w:tcPr>
            <w:tcW w:w="2272" w:type="pct"/>
            <w:tcBorders>
              <w:top w:val="nil"/>
              <w:left w:val="nil"/>
              <w:bottom w:val="nil"/>
              <w:right w:val="nil"/>
            </w:tcBorders>
            <w:shd w:val="clear" w:color="auto" w:fill="auto"/>
            <w:vAlign w:val="center"/>
            <w:hideMark/>
          </w:tcPr>
          <w:p w14:paraId="67715D50" w14:textId="7C7CC11C" w:rsidR="006E6CBD" w:rsidRPr="00C4648F" w:rsidRDefault="006E6CBD" w:rsidP="00CA00C5">
            <w:pPr>
              <w:pStyle w:val="CETBodytext"/>
              <w:jc w:val="center"/>
              <w:rPr>
                <w:sz w:val="16"/>
              </w:rPr>
            </w:pPr>
            <w:r w:rsidRPr="00C4648F">
              <w:rPr>
                <w:sz w:val="16"/>
              </w:rPr>
              <w:t>Total Cost of Energy (TCE)</w:t>
            </w:r>
          </w:p>
        </w:tc>
        <w:tc>
          <w:tcPr>
            <w:tcW w:w="2050" w:type="pct"/>
            <w:tcBorders>
              <w:top w:val="nil"/>
              <w:left w:val="nil"/>
              <w:bottom w:val="nil"/>
              <w:right w:val="nil"/>
            </w:tcBorders>
            <w:shd w:val="clear" w:color="auto" w:fill="auto"/>
            <w:vAlign w:val="center"/>
            <w:hideMark/>
          </w:tcPr>
          <w:p w14:paraId="0315B2B6" w14:textId="77777777" w:rsidR="006E6CBD" w:rsidRPr="00C4648F" w:rsidRDefault="006E6CBD" w:rsidP="00CA00C5">
            <w:pPr>
              <w:pStyle w:val="CETBodytext"/>
              <w:jc w:val="center"/>
              <w:rPr>
                <w:sz w:val="16"/>
              </w:rPr>
            </w:pPr>
            <w:r w:rsidRPr="00C4648F">
              <w:rPr>
                <w:sz w:val="16"/>
              </w:rPr>
              <w:t>USD/day</w:t>
            </w:r>
          </w:p>
        </w:tc>
        <w:tc>
          <w:tcPr>
            <w:tcW w:w="679" w:type="pct"/>
            <w:tcBorders>
              <w:top w:val="nil"/>
              <w:left w:val="nil"/>
              <w:bottom w:val="nil"/>
              <w:right w:val="nil"/>
            </w:tcBorders>
            <w:shd w:val="clear" w:color="auto" w:fill="auto"/>
            <w:noWrap/>
            <w:vAlign w:val="center"/>
            <w:hideMark/>
          </w:tcPr>
          <w:p w14:paraId="7275B220" w14:textId="77777777" w:rsidR="006E6CBD" w:rsidRPr="00C4648F" w:rsidRDefault="006E6CBD" w:rsidP="00CA00C5">
            <w:pPr>
              <w:pStyle w:val="CETBodytext"/>
              <w:jc w:val="center"/>
              <w:rPr>
                <w:sz w:val="16"/>
              </w:rPr>
            </w:pPr>
            <w:r w:rsidRPr="00C4648F">
              <w:rPr>
                <w:sz w:val="16"/>
              </w:rPr>
              <w:t>1,013.52</w:t>
            </w:r>
          </w:p>
        </w:tc>
      </w:tr>
      <w:tr w:rsidR="006E6CBD" w:rsidRPr="00C4648F" w14:paraId="57073B19" w14:textId="7BE7826F" w:rsidTr="006E6CBD">
        <w:trPr>
          <w:trHeight w:val="283"/>
          <w:jc w:val="center"/>
        </w:trPr>
        <w:tc>
          <w:tcPr>
            <w:tcW w:w="2272" w:type="pct"/>
            <w:tcBorders>
              <w:top w:val="nil"/>
              <w:left w:val="nil"/>
              <w:bottom w:val="nil"/>
              <w:right w:val="nil"/>
            </w:tcBorders>
            <w:shd w:val="clear" w:color="auto" w:fill="auto"/>
            <w:vAlign w:val="center"/>
            <w:hideMark/>
          </w:tcPr>
          <w:p w14:paraId="25BD8D16" w14:textId="40CC42A6" w:rsidR="006E6CBD" w:rsidRPr="00C4648F" w:rsidRDefault="006E6CBD" w:rsidP="00CA00C5">
            <w:pPr>
              <w:pStyle w:val="CETBodytext"/>
              <w:jc w:val="center"/>
              <w:rPr>
                <w:sz w:val="16"/>
              </w:rPr>
            </w:pPr>
            <w:r w:rsidRPr="00C4648F">
              <w:rPr>
                <w:sz w:val="16"/>
              </w:rPr>
              <w:t>Energy Specific Intensity (ESI)</w:t>
            </w:r>
          </w:p>
        </w:tc>
        <w:tc>
          <w:tcPr>
            <w:tcW w:w="2050" w:type="pct"/>
            <w:tcBorders>
              <w:top w:val="nil"/>
              <w:left w:val="nil"/>
              <w:bottom w:val="nil"/>
              <w:right w:val="nil"/>
            </w:tcBorders>
            <w:shd w:val="clear" w:color="auto" w:fill="auto"/>
            <w:vAlign w:val="center"/>
            <w:hideMark/>
          </w:tcPr>
          <w:p w14:paraId="73DA4D12" w14:textId="77777777" w:rsidR="006E6CBD" w:rsidRPr="00C4648F" w:rsidRDefault="006E6CBD" w:rsidP="00CA00C5">
            <w:pPr>
              <w:pStyle w:val="CETBodytext"/>
              <w:jc w:val="center"/>
              <w:rPr>
                <w:sz w:val="16"/>
              </w:rPr>
            </w:pPr>
            <w:r w:rsidRPr="00C4648F">
              <w:rPr>
                <w:sz w:val="16"/>
              </w:rPr>
              <w:t>MJ/t</w:t>
            </w:r>
          </w:p>
        </w:tc>
        <w:tc>
          <w:tcPr>
            <w:tcW w:w="679" w:type="pct"/>
            <w:tcBorders>
              <w:top w:val="nil"/>
              <w:left w:val="nil"/>
              <w:bottom w:val="nil"/>
              <w:right w:val="nil"/>
            </w:tcBorders>
            <w:shd w:val="clear" w:color="auto" w:fill="auto"/>
            <w:noWrap/>
            <w:vAlign w:val="center"/>
            <w:hideMark/>
          </w:tcPr>
          <w:p w14:paraId="18CBA1B4" w14:textId="77777777" w:rsidR="006E6CBD" w:rsidRPr="00C4648F" w:rsidRDefault="006E6CBD" w:rsidP="00CA00C5">
            <w:pPr>
              <w:pStyle w:val="CETBodytext"/>
              <w:jc w:val="center"/>
              <w:rPr>
                <w:sz w:val="16"/>
              </w:rPr>
            </w:pPr>
            <w:r w:rsidRPr="00C4648F">
              <w:rPr>
                <w:sz w:val="16"/>
              </w:rPr>
              <w:t>62,004.30</w:t>
            </w:r>
          </w:p>
        </w:tc>
      </w:tr>
      <w:tr w:rsidR="006E6CBD" w:rsidRPr="00C4648F" w14:paraId="7E474DCE" w14:textId="0D3712CA" w:rsidTr="006E6CBD">
        <w:trPr>
          <w:trHeight w:val="283"/>
          <w:jc w:val="center"/>
        </w:trPr>
        <w:tc>
          <w:tcPr>
            <w:tcW w:w="2272" w:type="pct"/>
            <w:tcBorders>
              <w:top w:val="nil"/>
              <w:left w:val="nil"/>
              <w:bottom w:val="nil"/>
              <w:right w:val="nil"/>
            </w:tcBorders>
            <w:shd w:val="clear" w:color="auto" w:fill="auto"/>
            <w:vAlign w:val="center"/>
            <w:hideMark/>
          </w:tcPr>
          <w:p w14:paraId="4B731D93" w14:textId="474A1099" w:rsidR="006E6CBD" w:rsidRPr="00C4648F" w:rsidRDefault="006E6CBD" w:rsidP="00BF28EC">
            <w:pPr>
              <w:pStyle w:val="CETBodytext"/>
              <w:jc w:val="center"/>
              <w:rPr>
                <w:sz w:val="16"/>
              </w:rPr>
            </w:pPr>
            <w:r w:rsidRPr="00C4648F">
              <w:rPr>
                <w:sz w:val="16"/>
              </w:rPr>
              <w:t>Natural Gas Consumption Index (NGCI)</w:t>
            </w:r>
          </w:p>
        </w:tc>
        <w:tc>
          <w:tcPr>
            <w:tcW w:w="2050" w:type="pct"/>
            <w:tcBorders>
              <w:top w:val="nil"/>
              <w:left w:val="nil"/>
              <w:bottom w:val="nil"/>
              <w:right w:val="nil"/>
            </w:tcBorders>
            <w:shd w:val="clear" w:color="auto" w:fill="auto"/>
            <w:vAlign w:val="center"/>
            <w:hideMark/>
          </w:tcPr>
          <w:p w14:paraId="1A427509" w14:textId="77777777" w:rsidR="006E6CBD" w:rsidRPr="00C4648F" w:rsidRDefault="006E6CBD" w:rsidP="00CA00C5">
            <w:pPr>
              <w:pStyle w:val="CETBodytext"/>
              <w:jc w:val="center"/>
              <w:rPr>
                <w:sz w:val="16"/>
              </w:rPr>
            </w:pPr>
            <w:r w:rsidRPr="00C4648F">
              <w:rPr>
                <w:sz w:val="16"/>
              </w:rPr>
              <w:t>%</w:t>
            </w:r>
          </w:p>
        </w:tc>
        <w:tc>
          <w:tcPr>
            <w:tcW w:w="679" w:type="pct"/>
            <w:tcBorders>
              <w:top w:val="nil"/>
              <w:left w:val="nil"/>
              <w:bottom w:val="nil"/>
              <w:right w:val="nil"/>
            </w:tcBorders>
            <w:shd w:val="clear" w:color="auto" w:fill="auto"/>
            <w:noWrap/>
            <w:vAlign w:val="center"/>
            <w:hideMark/>
          </w:tcPr>
          <w:p w14:paraId="02908B94" w14:textId="77777777" w:rsidR="006E6CBD" w:rsidRPr="00C4648F" w:rsidRDefault="006E6CBD" w:rsidP="00CA00C5">
            <w:pPr>
              <w:pStyle w:val="CETBodytext"/>
              <w:jc w:val="center"/>
              <w:rPr>
                <w:sz w:val="16"/>
              </w:rPr>
            </w:pPr>
            <w:r w:rsidRPr="00C4648F">
              <w:rPr>
                <w:sz w:val="16"/>
              </w:rPr>
              <w:t>50.29</w:t>
            </w:r>
          </w:p>
        </w:tc>
      </w:tr>
      <w:tr w:rsidR="006E6CBD" w:rsidRPr="00C4648F" w14:paraId="353B44DE" w14:textId="52E16F6B" w:rsidTr="006E6CBD">
        <w:trPr>
          <w:trHeight w:val="283"/>
          <w:jc w:val="center"/>
        </w:trPr>
        <w:tc>
          <w:tcPr>
            <w:tcW w:w="2272" w:type="pct"/>
            <w:tcBorders>
              <w:top w:val="nil"/>
              <w:left w:val="nil"/>
              <w:bottom w:val="nil"/>
              <w:right w:val="nil"/>
            </w:tcBorders>
            <w:shd w:val="clear" w:color="auto" w:fill="auto"/>
            <w:vAlign w:val="center"/>
            <w:hideMark/>
          </w:tcPr>
          <w:p w14:paraId="1080DC04" w14:textId="38549559" w:rsidR="006E6CBD" w:rsidRPr="00C4648F" w:rsidRDefault="006E6CBD" w:rsidP="00BF28EC">
            <w:pPr>
              <w:pStyle w:val="CETBodytext"/>
              <w:jc w:val="center"/>
              <w:rPr>
                <w:sz w:val="16"/>
              </w:rPr>
            </w:pPr>
            <w:r w:rsidRPr="00C4648F">
              <w:rPr>
                <w:sz w:val="16"/>
              </w:rPr>
              <w:t>Electric Energy Consumption Index (EECI)</w:t>
            </w:r>
          </w:p>
        </w:tc>
        <w:tc>
          <w:tcPr>
            <w:tcW w:w="2050" w:type="pct"/>
            <w:tcBorders>
              <w:top w:val="nil"/>
              <w:left w:val="nil"/>
              <w:bottom w:val="nil"/>
              <w:right w:val="nil"/>
            </w:tcBorders>
            <w:shd w:val="clear" w:color="auto" w:fill="auto"/>
            <w:vAlign w:val="center"/>
            <w:hideMark/>
          </w:tcPr>
          <w:p w14:paraId="3A853987" w14:textId="77777777" w:rsidR="006E6CBD" w:rsidRPr="00C4648F" w:rsidRDefault="006E6CBD" w:rsidP="00CA00C5">
            <w:pPr>
              <w:pStyle w:val="CETBodytext"/>
              <w:jc w:val="center"/>
              <w:rPr>
                <w:sz w:val="16"/>
              </w:rPr>
            </w:pPr>
            <w:r w:rsidRPr="00C4648F">
              <w:rPr>
                <w:sz w:val="16"/>
              </w:rPr>
              <w:t>%</w:t>
            </w:r>
          </w:p>
        </w:tc>
        <w:tc>
          <w:tcPr>
            <w:tcW w:w="679" w:type="pct"/>
            <w:tcBorders>
              <w:top w:val="nil"/>
              <w:left w:val="nil"/>
              <w:bottom w:val="nil"/>
              <w:right w:val="nil"/>
            </w:tcBorders>
            <w:shd w:val="clear" w:color="auto" w:fill="auto"/>
            <w:noWrap/>
            <w:vAlign w:val="center"/>
            <w:hideMark/>
          </w:tcPr>
          <w:p w14:paraId="23FCD31A" w14:textId="77777777" w:rsidR="006E6CBD" w:rsidRPr="00C4648F" w:rsidRDefault="006E6CBD" w:rsidP="00CA00C5">
            <w:pPr>
              <w:pStyle w:val="CETBodytext"/>
              <w:jc w:val="center"/>
              <w:rPr>
                <w:sz w:val="16"/>
              </w:rPr>
            </w:pPr>
            <w:r w:rsidRPr="00C4648F">
              <w:rPr>
                <w:sz w:val="16"/>
              </w:rPr>
              <w:t>13.78</w:t>
            </w:r>
          </w:p>
        </w:tc>
      </w:tr>
      <w:tr w:rsidR="006E6CBD" w:rsidRPr="00C4648F" w14:paraId="30ECB251" w14:textId="12788988" w:rsidTr="006E6CBD">
        <w:trPr>
          <w:trHeight w:val="283"/>
          <w:jc w:val="center"/>
        </w:trPr>
        <w:tc>
          <w:tcPr>
            <w:tcW w:w="2272" w:type="pct"/>
            <w:tcBorders>
              <w:top w:val="nil"/>
              <w:left w:val="nil"/>
              <w:bottom w:val="nil"/>
              <w:right w:val="nil"/>
            </w:tcBorders>
            <w:shd w:val="clear" w:color="auto" w:fill="auto"/>
            <w:vAlign w:val="center"/>
          </w:tcPr>
          <w:p w14:paraId="1AC645F5" w14:textId="2F6887EA" w:rsidR="006E6CBD" w:rsidRPr="00C4648F" w:rsidRDefault="006E6CBD" w:rsidP="00BF28EC">
            <w:pPr>
              <w:pStyle w:val="CETBodytext"/>
              <w:jc w:val="center"/>
              <w:rPr>
                <w:sz w:val="16"/>
              </w:rPr>
            </w:pPr>
            <w:r w:rsidRPr="00C4648F">
              <w:rPr>
                <w:sz w:val="16"/>
              </w:rPr>
              <w:t>Net Energy ratio (NER)</w:t>
            </w:r>
          </w:p>
        </w:tc>
        <w:tc>
          <w:tcPr>
            <w:tcW w:w="2050" w:type="pct"/>
            <w:tcBorders>
              <w:top w:val="nil"/>
              <w:left w:val="nil"/>
              <w:bottom w:val="nil"/>
              <w:right w:val="nil"/>
            </w:tcBorders>
            <w:shd w:val="clear" w:color="auto" w:fill="auto"/>
            <w:vAlign w:val="center"/>
          </w:tcPr>
          <w:p w14:paraId="43768898" w14:textId="77777777" w:rsidR="006E6CBD" w:rsidRPr="00C4648F" w:rsidRDefault="006E6CBD" w:rsidP="00CA00C5">
            <w:pPr>
              <w:pStyle w:val="CETBodytext"/>
              <w:jc w:val="center"/>
              <w:rPr>
                <w:sz w:val="16"/>
              </w:rPr>
            </w:pPr>
            <w:r w:rsidRPr="00C4648F">
              <w:rPr>
                <w:sz w:val="16"/>
              </w:rPr>
              <w:t>Dimensionless</w:t>
            </w:r>
          </w:p>
        </w:tc>
        <w:tc>
          <w:tcPr>
            <w:tcW w:w="679" w:type="pct"/>
            <w:tcBorders>
              <w:top w:val="nil"/>
              <w:left w:val="nil"/>
              <w:bottom w:val="nil"/>
              <w:right w:val="nil"/>
            </w:tcBorders>
            <w:shd w:val="clear" w:color="auto" w:fill="auto"/>
            <w:noWrap/>
            <w:vAlign w:val="center"/>
          </w:tcPr>
          <w:p w14:paraId="3562F8B9" w14:textId="77777777" w:rsidR="006E6CBD" w:rsidRPr="00C4648F" w:rsidRDefault="006E6CBD" w:rsidP="00CA00C5">
            <w:pPr>
              <w:pStyle w:val="CETBodytext"/>
              <w:jc w:val="center"/>
              <w:rPr>
                <w:sz w:val="16"/>
              </w:rPr>
            </w:pPr>
            <w:r w:rsidRPr="00C4648F">
              <w:rPr>
                <w:sz w:val="16"/>
              </w:rPr>
              <w:t>0.18</w:t>
            </w:r>
          </w:p>
        </w:tc>
      </w:tr>
      <w:tr w:rsidR="006E6CBD" w:rsidRPr="00C4648F" w14:paraId="32FA790A" w14:textId="15BF7016" w:rsidTr="006E6CBD">
        <w:trPr>
          <w:trHeight w:val="283"/>
          <w:jc w:val="center"/>
        </w:trPr>
        <w:tc>
          <w:tcPr>
            <w:tcW w:w="2272" w:type="pct"/>
            <w:tcBorders>
              <w:top w:val="nil"/>
              <w:left w:val="nil"/>
              <w:bottom w:val="single" w:sz="12" w:space="0" w:color="00B050"/>
              <w:right w:val="nil"/>
            </w:tcBorders>
            <w:shd w:val="clear" w:color="auto" w:fill="auto"/>
            <w:vAlign w:val="center"/>
          </w:tcPr>
          <w:p w14:paraId="1C90D4B1" w14:textId="3492E893" w:rsidR="006E6CBD" w:rsidRPr="00C4648F" w:rsidRDefault="006E6CBD" w:rsidP="00BF28EC">
            <w:pPr>
              <w:pStyle w:val="CETBodytext"/>
              <w:jc w:val="center"/>
              <w:rPr>
                <w:sz w:val="16"/>
              </w:rPr>
            </w:pPr>
            <w:r w:rsidRPr="00C4648F">
              <w:rPr>
                <w:sz w:val="16"/>
              </w:rPr>
              <w:t>Energy Usability Index (EUI)</w:t>
            </w:r>
          </w:p>
        </w:tc>
        <w:tc>
          <w:tcPr>
            <w:tcW w:w="2050" w:type="pct"/>
            <w:tcBorders>
              <w:top w:val="nil"/>
              <w:left w:val="nil"/>
              <w:bottom w:val="single" w:sz="12" w:space="0" w:color="00B050"/>
              <w:right w:val="nil"/>
            </w:tcBorders>
            <w:shd w:val="clear" w:color="auto" w:fill="auto"/>
            <w:vAlign w:val="center"/>
          </w:tcPr>
          <w:p w14:paraId="7B3C5680" w14:textId="77777777" w:rsidR="006E6CBD" w:rsidRPr="00C4648F" w:rsidRDefault="006E6CBD" w:rsidP="00CA00C5">
            <w:pPr>
              <w:pStyle w:val="CETBodytext"/>
              <w:jc w:val="center"/>
              <w:rPr>
                <w:sz w:val="16"/>
              </w:rPr>
            </w:pPr>
            <w:r w:rsidRPr="00C4648F">
              <w:rPr>
                <w:sz w:val="16"/>
              </w:rPr>
              <w:t>Dimensionless</w:t>
            </w:r>
          </w:p>
        </w:tc>
        <w:tc>
          <w:tcPr>
            <w:tcW w:w="679" w:type="pct"/>
            <w:tcBorders>
              <w:top w:val="nil"/>
              <w:left w:val="nil"/>
              <w:bottom w:val="single" w:sz="12" w:space="0" w:color="00B050"/>
              <w:right w:val="nil"/>
            </w:tcBorders>
            <w:shd w:val="clear" w:color="auto" w:fill="auto"/>
            <w:noWrap/>
            <w:vAlign w:val="center"/>
          </w:tcPr>
          <w:p w14:paraId="54CF6249" w14:textId="77777777" w:rsidR="006E6CBD" w:rsidRPr="00C4648F" w:rsidRDefault="006E6CBD" w:rsidP="00CA00C5">
            <w:pPr>
              <w:pStyle w:val="CETBodytext"/>
              <w:jc w:val="center"/>
              <w:rPr>
                <w:sz w:val="16"/>
              </w:rPr>
            </w:pPr>
            <w:r w:rsidRPr="00C4648F">
              <w:rPr>
                <w:sz w:val="16"/>
              </w:rPr>
              <w:t>0.24</w:t>
            </w:r>
          </w:p>
        </w:tc>
      </w:tr>
    </w:tbl>
    <w:p w14:paraId="651E27FE" w14:textId="77777777" w:rsidR="004E4F0F" w:rsidRDefault="004E4F0F" w:rsidP="004E4F0F">
      <w:pPr>
        <w:pStyle w:val="CETBodytext"/>
        <w:ind w:left="720"/>
      </w:pPr>
    </w:p>
    <w:p w14:paraId="09D5E83C" w14:textId="2B712973" w:rsidR="00592EA7" w:rsidRDefault="00592EA7" w:rsidP="0095724A">
      <w:pPr>
        <w:pStyle w:val="CETBodytext"/>
      </w:pPr>
      <w:r>
        <w:t xml:space="preserve">The parameters evaluated in the process highlight the technical efficiency achieved in the </w:t>
      </w:r>
      <w:r w:rsidR="00E3734C">
        <w:t xml:space="preserve">cascade </w:t>
      </w:r>
      <w:r>
        <w:t xml:space="preserve">biorefinery. The total mass of Hass avocado </w:t>
      </w:r>
      <w:r w:rsidR="00634AF1">
        <w:t>waste</w:t>
      </w:r>
      <w:r>
        <w:t xml:space="preserve"> processed is 27.40 kg/h, from which 21.46 kg/h of products are generated, equivalent to a mass yield of 78.34</w:t>
      </w:r>
      <w:r w:rsidR="00F77C41">
        <w:t xml:space="preserve"> </w:t>
      </w:r>
      <w:r>
        <w:t>%. This shows a significant utilization of the raw material, with only 3.52 kg/h of unconverted material. In addition, the flow of recirculated material (1.01 kg/h) suggests that the integration of the process optimizes the use of resources, reducing losses and promoting internal reuse.</w:t>
      </w:r>
      <w:r w:rsidR="00F77C41">
        <w:t xml:space="preserve"> </w:t>
      </w:r>
      <w:r>
        <w:t>In terms of resource consumption, the process uses a moderate volume of fresh water (0.31 m³/h) and generates a low volume of wastewater (0.13 m³/h), indicating efficient water management in line with sustainability principles. However, total energy consumption is 728.04 MJ/h, underscoring the need to explore energy integration strategies to reduce operating costs and improve environmental performance. These parameters provide a solid basis for assessing the viability of the process, highlighting both its strengths and opportunities for improvement</w:t>
      </w:r>
      <w:r w:rsidR="009F22BC">
        <w:t>.</w:t>
      </w:r>
      <w:r w:rsidR="00F7534E" w:rsidRPr="00BD077D">
        <w:t xml:space="preserve"> </w:t>
      </w:r>
    </w:p>
    <w:p w14:paraId="5BB02146" w14:textId="5FC05361" w:rsidR="001F17AA" w:rsidRDefault="001B6FB8" w:rsidP="001F17AA">
      <w:pPr>
        <w:pStyle w:val="CETheadingx"/>
      </w:pPr>
      <w:r w:rsidRPr="001F17AA">
        <w:t xml:space="preserve">Efficiency </w:t>
      </w:r>
      <w:r>
        <w:t xml:space="preserve">of </w:t>
      </w:r>
      <w:r w:rsidR="001F17AA" w:rsidRPr="001F17AA">
        <w:t xml:space="preserve">Technical Evaluation Indicators </w:t>
      </w:r>
    </w:p>
    <w:p w14:paraId="3433321F" w14:textId="29097FB0" w:rsidR="001F17AA" w:rsidRDefault="001F17AA" w:rsidP="0095724A">
      <w:pPr>
        <w:pStyle w:val="CETBodytext"/>
      </w:pPr>
      <w:r>
        <w:t>To further assess the effectiveness of the</w:t>
      </w:r>
      <w:r w:rsidR="00E3734C">
        <w:t xml:space="preserve"> cascade</w:t>
      </w:r>
      <w:r>
        <w:t xml:space="preserve"> biorefinery, the technical evaluation indicators were compared against best- and worst-case scenarios to determine their efficiency. Figure 2</w:t>
      </w:r>
      <w:r w:rsidRPr="001F17AA">
        <w:t xml:space="preserve"> illustrates the effectiveness of the nine metrics evaluated in the production process</w:t>
      </w:r>
      <w:r w:rsidR="00C86828">
        <w:t xml:space="preserve"> of starch and biofilms</w:t>
      </w:r>
      <w:r w:rsidRPr="001F17AA">
        <w:t xml:space="preserve"> </w:t>
      </w:r>
      <w:r>
        <w:t>derived from Hass av</w:t>
      </w:r>
      <w:r w:rsidRPr="001F17AA">
        <w:t xml:space="preserve">ocado </w:t>
      </w:r>
      <w:r w:rsidR="00634AF1">
        <w:t>waste</w:t>
      </w:r>
      <w:r w:rsidRPr="001F17AA">
        <w:t xml:space="preserve">s. It is important to note that the NER and EUI metrics were excluded from this analysis due to their specific nature and calculation methods, which do not yield values suitable for normalization into percentages. Consequently, these metrics did not contribute to the overall evaluation. The remnant indicators, however, provide insight into the efficiency of the process concerning energy consumption, mass utilization, and output. Additionally, it highlights potential areas where optimization </w:t>
      </w:r>
      <w:r w:rsidR="00F02ACA">
        <w:t>alternatives</w:t>
      </w:r>
      <w:r w:rsidRPr="001F17AA">
        <w:t xml:space="preserve"> could enhance performance.</w:t>
      </w:r>
      <w:r w:rsidR="00F77C41">
        <w:t xml:space="preserve"> </w:t>
      </w:r>
      <w:r w:rsidR="00F77C41">
        <w:t>The efficiency evaluation highlights both strengths and areas for improvement in the cascade biorefinery process. The Production Yield (78.34</w:t>
      </w:r>
      <w:r w:rsidR="00F77C41">
        <w:t xml:space="preserve"> </w:t>
      </w:r>
      <w:r w:rsidR="00F77C41">
        <w:t xml:space="preserve">%) reflects effective conversion of avocado waste into valuable products, </w:t>
      </w:r>
      <w:r w:rsidR="00F77C41">
        <w:lastRenderedPageBreak/>
        <w:t>underscoring the robustness of the process design. However, the Index of Reused Unconverted Material (IRUM, 28.80</w:t>
      </w:r>
      <w:r w:rsidR="00F77C41">
        <w:t xml:space="preserve"> </w:t>
      </w:r>
      <w:r w:rsidR="00F77C41">
        <w:t>%) suggests a missed opportunity to optimize material recirculation. Enhancing resource efficiency could involve refining extraction parameters (e.g., pH, temperature, solvent ratio) or employing advanced separation methods such as ultrafiltration and supercritical fluid extraction (Poveda-</w:t>
      </w:r>
      <w:proofErr w:type="spellStart"/>
      <w:r w:rsidR="00F77C41">
        <w:t>Giraldo</w:t>
      </w:r>
      <w:proofErr w:type="spellEnd"/>
      <w:r w:rsidR="00F77C41">
        <w:t xml:space="preserve"> et al., 2021). Additionally, secondary valorization of unconverted residues, such as fermentation for bioethanol or biochar synthesis (</w:t>
      </w:r>
      <w:proofErr w:type="spellStart"/>
      <w:r w:rsidR="00F77C41">
        <w:t>Trinca</w:t>
      </w:r>
      <w:proofErr w:type="spellEnd"/>
      <w:r w:rsidR="00F77C41">
        <w:t xml:space="preserve"> et al., 2024), could further reduce waste and enhance sustainability.</w:t>
      </w:r>
    </w:p>
    <w:p w14:paraId="7963ADA1" w14:textId="48DE10AF" w:rsidR="001F17AA" w:rsidRDefault="001F17AA" w:rsidP="00F77C41">
      <w:pPr>
        <w:pStyle w:val="CETBodytext"/>
        <w:spacing w:before="240" w:after="240"/>
      </w:pPr>
      <w:r>
        <w:rPr>
          <w:noProof/>
        </w:rPr>
        <w:drawing>
          <wp:inline distT="0" distB="0" distL="0" distR="0" wp14:anchorId="39F81EA7" wp14:editId="1721B3C7">
            <wp:extent cx="5270500" cy="1854200"/>
            <wp:effectExtent l="0" t="0" r="6350" b="12700"/>
            <wp:docPr id="16" name="Gráfico 16">
              <a:extLst xmlns:a="http://schemas.openxmlformats.org/drawingml/2006/main">
                <a:ext uri="{FF2B5EF4-FFF2-40B4-BE49-F238E27FC236}">
                  <a16:creationId xmlns:a16="http://schemas.microsoft.com/office/drawing/2014/main" id="{EA938A52-2F43-4EC8-982E-34F15ED331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32EFA1" w14:textId="48830007" w:rsidR="001F17AA" w:rsidRDefault="001F17AA" w:rsidP="0095724A">
      <w:pPr>
        <w:pStyle w:val="CETBodytext"/>
      </w:pPr>
      <w:r>
        <w:t xml:space="preserve">Figure 2: </w:t>
      </w:r>
      <w:r w:rsidRPr="001F17AA">
        <w:t xml:space="preserve">Performance of </w:t>
      </w:r>
      <w:r>
        <w:t xml:space="preserve">the </w:t>
      </w:r>
      <w:r w:rsidRPr="001F17AA">
        <w:t>technical indicators for the Hass</w:t>
      </w:r>
      <w:r>
        <w:t xml:space="preserve"> avocado </w:t>
      </w:r>
      <w:r w:rsidR="00634AF1">
        <w:t>waste</w:t>
      </w:r>
      <w:r>
        <w:t>s cascade biorefin</w:t>
      </w:r>
      <w:r w:rsidRPr="001F17AA">
        <w:t>ery.</w:t>
      </w:r>
    </w:p>
    <w:p w14:paraId="7487DFCD" w14:textId="2B16A488" w:rsidR="001F17AA" w:rsidRDefault="001F17AA" w:rsidP="0095724A">
      <w:pPr>
        <w:pStyle w:val="CETBodytext"/>
      </w:pPr>
    </w:p>
    <w:p w14:paraId="0749582C" w14:textId="0FE6EDF1" w:rsidR="00C4648F" w:rsidRDefault="00C4648F" w:rsidP="00C4648F">
      <w:pPr>
        <w:pStyle w:val="CETBodytext"/>
      </w:pPr>
      <w:r>
        <w:t>Water and wastewater management indicators present a controlled but improvable performance. The Fractional Water Consumption (FWC, 61.93</w:t>
      </w:r>
      <w:r w:rsidR="00F77C41">
        <w:t xml:space="preserve"> </w:t>
      </w:r>
      <w:r>
        <w:t>%) and Total Cost of Freshwater (TCF, 83.23</w:t>
      </w:r>
      <w:r w:rsidR="00F77C41">
        <w:t xml:space="preserve"> </w:t>
      </w:r>
      <w:r>
        <w:t>%) indicate good efficiency, but the Wastewater Production Ratio (WPR, 46.93</w:t>
      </w:r>
      <w:r w:rsidR="00F77C41">
        <w:t xml:space="preserve"> </w:t>
      </w:r>
      <w:r>
        <w:t>%) suggests that nearly half of the water used becomes wastewater. Implementing advanced water treatment and reuse strategies, such as membrane filtration (ultrafiltration, reverse osmosis) and electrocoagulation, could improve process sustainability (</w:t>
      </w:r>
      <w:proofErr w:type="spellStart"/>
      <w:r>
        <w:t>Radelyuk</w:t>
      </w:r>
      <w:proofErr w:type="spellEnd"/>
      <w:r>
        <w:t xml:space="preserve"> et al., 2023). A closed-loop water system, where wastewater is treated and reused, would further enhance efficiency, particularly in regions with limited water resources. Energy-related indicators highlight mixed performance. While the Energy-Specific Intensity (ESI, 89.22</w:t>
      </w:r>
      <w:r w:rsidR="00F77C41">
        <w:t xml:space="preserve"> </w:t>
      </w:r>
      <w:r>
        <w:t>%) demonstrates high efficiency, the Total Cost of Energy (TCE, 50.38</w:t>
      </w:r>
      <w:r w:rsidR="00F77C41">
        <w:t xml:space="preserve"> </w:t>
      </w:r>
      <w:r>
        <w:t>%) and Natural Gas Consumption Index (NGCI, 33.59</w:t>
      </w:r>
      <w:r w:rsidR="00F77C41">
        <w:t xml:space="preserve"> </w:t>
      </w:r>
      <w:r>
        <w:t>%) indicate a need for better energy cost management. The Electric Energy Consumption Index (EECI, 66.67</w:t>
      </w:r>
      <w:r w:rsidR="00F77C41">
        <w:t xml:space="preserve"> </w:t>
      </w:r>
      <w:r>
        <w:t>%) suggests a higher reliance on electricity compared to natural gas. To improve energy efficiency, heat recovery systems such as waste heat exchangers and cogeneration using biogas from process residues could be explored (</w:t>
      </w:r>
      <w:proofErr w:type="spellStart"/>
      <w:r>
        <w:t>Stampfli</w:t>
      </w:r>
      <w:proofErr w:type="spellEnd"/>
      <w:r>
        <w:t xml:space="preserve"> et al., 2019; </w:t>
      </w:r>
      <w:proofErr w:type="spellStart"/>
      <w:r>
        <w:t>Potrc</w:t>
      </w:r>
      <w:proofErr w:type="spellEnd"/>
      <w:r>
        <w:t xml:space="preserve"> et al., 2021).</w:t>
      </w:r>
    </w:p>
    <w:p w14:paraId="7E78027E" w14:textId="642D8289" w:rsidR="00C4648F" w:rsidRPr="00AF3470" w:rsidRDefault="00C4648F" w:rsidP="00C4648F">
      <w:pPr>
        <w:pStyle w:val="CETBodytext"/>
      </w:pPr>
      <w:r>
        <w:t xml:space="preserve">A comparison with the extractive-based biorefinery studied by García-Maza et al. (2024) reveals notable differences in process performance. The extractive-based biorefinery, which utilizes the entire Creole-Antillean avocado (pulp, peel, and </w:t>
      </w:r>
      <w:r w:rsidR="00634AF1">
        <w:t>waste</w:t>
      </w:r>
      <w:r>
        <w:t>), had a lower production yield (61.63</w:t>
      </w:r>
      <w:r w:rsidR="00F77C41">
        <w:t xml:space="preserve"> </w:t>
      </w:r>
      <w:r>
        <w:t>%) than the cascade biorefinery (78.34</w:t>
      </w:r>
      <w:r w:rsidR="00F77C41">
        <w:t xml:space="preserve"> </w:t>
      </w:r>
      <w:r>
        <w:t>%), likely due to differences in feedstock optimization. Water efficiency was significantly higher in the cascade biorefinery, with an FWC of 0.55 m³/t compared to 2.45 m³/t in the extractive-based system. Additionally, WPR efficiency was 94</w:t>
      </w:r>
      <w:r w:rsidR="00F77C41">
        <w:t xml:space="preserve"> </w:t>
      </w:r>
      <w:r>
        <w:t>% in the extractive-based biorefinery versus 46.94</w:t>
      </w:r>
      <w:r w:rsidR="00F77C41">
        <w:t xml:space="preserve"> </w:t>
      </w:r>
      <w:r>
        <w:t>% in the cascade, indicating greater wastewater challenges in the former. Energy performance also varied: TCE efficiency was higher in the extractive-based biorefinery (95</w:t>
      </w:r>
      <w:r w:rsidR="00F77C41">
        <w:t xml:space="preserve"> </w:t>
      </w:r>
      <w:r>
        <w:t>%) compared to 50.38</w:t>
      </w:r>
      <w:r w:rsidR="00F77C41">
        <w:t xml:space="preserve"> </w:t>
      </w:r>
      <w:r>
        <w:t>% in the cascade system, reflecting higher energy intensity. The ESI efficiency was 74</w:t>
      </w:r>
      <w:r w:rsidR="00F77C41">
        <w:t xml:space="preserve"> </w:t>
      </w:r>
      <w:r>
        <w:t>% in the extractive-based system and 89.22</w:t>
      </w:r>
      <w:r w:rsidR="00F77C41">
        <w:t xml:space="preserve"> </w:t>
      </w:r>
      <w:r>
        <w:t>% in the cascade biorefinery, demonstrating lower energy consumption per ton of product in the latter. The NGCI efficiency (77</w:t>
      </w:r>
      <w:r w:rsidR="00F77C41">
        <w:t xml:space="preserve"> </w:t>
      </w:r>
      <w:r>
        <w:t>%) in the extractive-based biorefinery was more than twice that of the cascade system (33.59</w:t>
      </w:r>
      <w:r w:rsidR="00F77C41">
        <w:t xml:space="preserve"> </w:t>
      </w:r>
      <w:r>
        <w:t>%), indicating a higher dependency on natural gas. Conversely, EECI efficiency was 90</w:t>
      </w:r>
      <w:r w:rsidR="00F77C41">
        <w:t xml:space="preserve"> </w:t>
      </w:r>
      <w:r>
        <w:t>% in the extractive-based biorefinery, compared to 66.67</w:t>
      </w:r>
      <w:r w:rsidR="00F77C41">
        <w:t xml:space="preserve"> </w:t>
      </w:r>
      <w:r>
        <w:t xml:space="preserve">% in the cascade, suggesting greater reliance on electricity. These performance differences are largely due to variations in process design and feedstock selection. The extractive-based biorefinery operates at a higher processing capacity, while the cascade biorefinery focuses solely on avocado </w:t>
      </w:r>
      <w:r w:rsidR="00634AF1">
        <w:t>waste</w:t>
      </w:r>
      <w:r>
        <w:t>, affecting resource utilization and efficiency. This comparison underscores the importance of tailored process configurations to optimize energy, water, and material flows in biorefinery systems.</w:t>
      </w:r>
    </w:p>
    <w:p w14:paraId="68D26B83" w14:textId="77777777" w:rsidR="00600535" w:rsidRPr="00B57B36" w:rsidRDefault="00600535" w:rsidP="00600535">
      <w:pPr>
        <w:pStyle w:val="CETHeading1"/>
        <w:rPr>
          <w:lang w:val="en-GB"/>
        </w:rPr>
      </w:pPr>
      <w:r w:rsidRPr="00B57B36">
        <w:rPr>
          <w:lang w:val="en-GB"/>
        </w:rPr>
        <w:t>Conclusions</w:t>
      </w:r>
    </w:p>
    <w:p w14:paraId="52DAFDE0" w14:textId="16875100" w:rsidR="001D0CFB" w:rsidRDefault="003C3F5C" w:rsidP="003C3F5C">
      <w:pPr>
        <w:pStyle w:val="CETBodytext"/>
        <w:rPr>
          <w:lang w:val="en-GB"/>
        </w:rPr>
      </w:pPr>
      <w:r w:rsidRPr="003C3F5C">
        <w:rPr>
          <w:lang w:val="en-GB"/>
        </w:rPr>
        <w:t xml:space="preserve">The technical assessment of the Hass </w:t>
      </w:r>
      <w:r w:rsidR="009122B1">
        <w:rPr>
          <w:lang w:val="en-GB"/>
        </w:rPr>
        <w:t xml:space="preserve">avocado </w:t>
      </w:r>
      <w:r w:rsidR="00634AF1">
        <w:rPr>
          <w:lang w:val="en-GB"/>
        </w:rPr>
        <w:t>waste</w:t>
      </w:r>
      <w:r w:rsidR="009122B1">
        <w:rPr>
          <w:lang w:val="en-GB"/>
        </w:rPr>
        <w:t xml:space="preserve"> biorefinery in the south of Colombia</w:t>
      </w:r>
      <w:r w:rsidRPr="003C3F5C">
        <w:rPr>
          <w:lang w:val="en-GB"/>
        </w:rPr>
        <w:t xml:space="preserve"> demonstrated the feasibi</w:t>
      </w:r>
      <w:r w:rsidR="000711FC">
        <w:rPr>
          <w:lang w:val="en-GB"/>
        </w:rPr>
        <w:t>lity of implementing a cascade</w:t>
      </w:r>
      <w:r w:rsidRPr="003C3F5C">
        <w:rPr>
          <w:lang w:val="en-GB"/>
        </w:rPr>
        <w:t xml:space="preserve"> biorefinery model to optimize resource utilization and minimize waste. The Water-Energy-Product (WEP) evaluation framework provided key insights into process efficiency, highlighting the importance of water and energy management in sustainable bioprocessing.</w:t>
      </w:r>
      <w:r w:rsidR="00634AF1">
        <w:rPr>
          <w:lang w:val="en-GB"/>
        </w:rPr>
        <w:t xml:space="preserve"> </w:t>
      </w:r>
      <w:r w:rsidR="00E3734C" w:rsidRPr="003C3F5C">
        <w:rPr>
          <w:lang w:val="en-GB"/>
        </w:rPr>
        <w:t xml:space="preserve">The </w:t>
      </w:r>
      <w:r w:rsidR="00E3734C">
        <w:rPr>
          <w:lang w:val="en-GB"/>
        </w:rPr>
        <w:t xml:space="preserve">cascade </w:t>
      </w:r>
      <w:r w:rsidRPr="003C3F5C">
        <w:rPr>
          <w:lang w:val="en-GB"/>
        </w:rPr>
        <w:t xml:space="preserve">biorefinery </w:t>
      </w:r>
      <w:r w:rsidRPr="003C3F5C">
        <w:rPr>
          <w:lang w:val="en-GB"/>
        </w:rPr>
        <w:lastRenderedPageBreak/>
        <w:t>achieved a production yield of 78.34</w:t>
      </w:r>
      <w:r w:rsidR="00F77C41">
        <w:rPr>
          <w:lang w:val="en-GB"/>
        </w:rPr>
        <w:t xml:space="preserve"> </w:t>
      </w:r>
      <w:r w:rsidRPr="003C3F5C">
        <w:rPr>
          <w:lang w:val="en-GB"/>
        </w:rPr>
        <w:t xml:space="preserve">%, demonstrating efficient conversion of avocado </w:t>
      </w:r>
      <w:r w:rsidR="00634AF1">
        <w:rPr>
          <w:lang w:val="en-GB"/>
        </w:rPr>
        <w:t>waste</w:t>
      </w:r>
      <w:r w:rsidRPr="003C3F5C">
        <w:rPr>
          <w:lang w:val="en-GB"/>
        </w:rPr>
        <w:t xml:space="preserve"> into value-added products. Efficiency indicators revealed the strengths and challenges of the process. Water usage was relatively efficient, with a Fractional Water Consumption (FWC) of 61.93</w:t>
      </w:r>
      <w:r w:rsidR="00F77C41">
        <w:rPr>
          <w:lang w:val="en-GB"/>
        </w:rPr>
        <w:t xml:space="preserve"> </w:t>
      </w:r>
      <w:r w:rsidRPr="003C3F5C">
        <w:rPr>
          <w:lang w:val="en-GB"/>
        </w:rPr>
        <w:t>%, but the Wastewater Production Ratio (WPR) of 46.93</w:t>
      </w:r>
      <w:r w:rsidR="00F77C41">
        <w:rPr>
          <w:lang w:val="en-GB"/>
        </w:rPr>
        <w:t xml:space="preserve"> </w:t>
      </w:r>
      <w:r w:rsidRPr="003C3F5C">
        <w:rPr>
          <w:lang w:val="en-GB"/>
        </w:rPr>
        <w:t>% indicates a need to enhance water recycling systems. Energy analysis showed an Energy Specific Intensity (ESI) of 89.22</w:t>
      </w:r>
      <w:r w:rsidR="00F77C41">
        <w:rPr>
          <w:lang w:val="en-GB"/>
        </w:rPr>
        <w:t xml:space="preserve"> </w:t>
      </w:r>
      <w:r w:rsidRPr="003C3F5C">
        <w:rPr>
          <w:lang w:val="en-GB"/>
        </w:rPr>
        <w:t>%, reflecting high-energy efficiency, but costs re</w:t>
      </w:r>
      <w:r>
        <w:rPr>
          <w:lang w:val="en-GB"/>
        </w:rPr>
        <w:t>lated to energy consumption (To</w:t>
      </w:r>
      <w:r w:rsidRPr="003C3F5C">
        <w:rPr>
          <w:lang w:val="en-GB"/>
        </w:rPr>
        <w:t>tal Cost of Energy, 50.38</w:t>
      </w:r>
      <w:r w:rsidR="00F77C41">
        <w:rPr>
          <w:lang w:val="en-GB"/>
        </w:rPr>
        <w:t xml:space="preserve"> </w:t>
      </w:r>
      <w:r w:rsidRPr="003C3F5C">
        <w:rPr>
          <w:lang w:val="en-GB"/>
        </w:rPr>
        <w:t>%) and reliance on non-renewable sources</w:t>
      </w:r>
      <w:r w:rsidR="001F17AA">
        <w:rPr>
          <w:lang w:val="en-GB"/>
        </w:rPr>
        <w:t xml:space="preserve"> (Natural Gas Con</w:t>
      </w:r>
      <w:r w:rsidRPr="003C3F5C">
        <w:rPr>
          <w:lang w:val="en-GB"/>
        </w:rPr>
        <w:t>sumption Index, 33.59</w:t>
      </w:r>
      <w:r w:rsidR="00F77C41">
        <w:rPr>
          <w:lang w:val="en-GB"/>
        </w:rPr>
        <w:t xml:space="preserve"> </w:t>
      </w:r>
      <w:r w:rsidRPr="003C3F5C">
        <w:rPr>
          <w:lang w:val="en-GB"/>
        </w:rPr>
        <w:t>%) underscore opportunities for integrating renewable energy systems.</w:t>
      </w:r>
      <w:r w:rsidR="00634AF1">
        <w:rPr>
          <w:lang w:val="en-GB"/>
        </w:rPr>
        <w:t xml:space="preserve"> </w:t>
      </w:r>
      <w:r w:rsidRPr="003C3F5C">
        <w:rPr>
          <w:lang w:val="en-GB"/>
        </w:rPr>
        <w:t>By comparing best- and worst-case scenarios, the study identified key opportunities to enhance process efficiency, particularly in reducing natural gas and electricity consumption. The findings under</w:t>
      </w:r>
      <w:r>
        <w:rPr>
          <w:lang w:val="en-GB"/>
        </w:rPr>
        <w:t>score the potential of cascade</w:t>
      </w:r>
      <w:r w:rsidRPr="003C3F5C">
        <w:rPr>
          <w:lang w:val="en-GB"/>
        </w:rPr>
        <w:t xml:space="preserve"> biorefineries in the circular economy, providing a foundation for further research and industrial application of sustainable bioprocesses for agricultural residues.</w:t>
      </w:r>
    </w:p>
    <w:p w14:paraId="33F8138F" w14:textId="63D70A19" w:rsidR="00600535" w:rsidRPr="00C4648F" w:rsidRDefault="00600535" w:rsidP="00C4648F">
      <w:pPr>
        <w:pStyle w:val="CETAcknowledgementstitle"/>
        <w:rPr>
          <w:b w:val="0"/>
        </w:rPr>
      </w:pPr>
      <w:r w:rsidRPr="00B57B36">
        <w:t>Acknowledgments</w:t>
      </w:r>
      <w:r w:rsidR="00C4648F">
        <w:t xml:space="preserve">: </w:t>
      </w:r>
      <w:r w:rsidR="00071CFE" w:rsidRPr="00C4648F">
        <w:rPr>
          <w:b w:val="0"/>
        </w:rPr>
        <w:t>The authors gratefully acknowledge the financial support provided by the Universidad de Cartagena and the Colombian Ministry of Science, Technology, and Innovation (</w:t>
      </w:r>
      <w:proofErr w:type="spellStart"/>
      <w:r w:rsidR="00071CFE" w:rsidRPr="00C4648F">
        <w:rPr>
          <w:b w:val="0"/>
        </w:rPr>
        <w:t>Minciencias</w:t>
      </w:r>
      <w:proofErr w:type="spellEnd"/>
      <w:r w:rsidR="00071CFE" w:rsidRPr="00C4648F">
        <w:rPr>
          <w:b w:val="0"/>
        </w:rPr>
        <w:t>). This work was funded under the project SIGP 100307</w:t>
      </w:r>
      <w:r w:rsidR="00634AF1">
        <w:rPr>
          <w:b w:val="0"/>
        </w:rPr>
        <w:t xml:space="preserve"> and contract 442-2023</w:t>
      </w:r>
      <w:r w:rsidR="00EA7D74" w:rsidRPr="00C4648F">
        <w:rPr>
          <w:b w:val="0"/>
        </w:rPr>
        <w:t>.</w:t>
      </w:r>
    </w:p>
    <w:p w14:paraId="03507984" w14:textId="607CBF56" w:rsidR="00600535" w:rsidRPr="00F77C41" w:rsidRDefault="00600535" w:rsidP="001B7F45">
      <w:pPr>
        <w:pStyle w:val="CETReference"/>
        <w:rPr>
          <w:lang w:val="es-CO"/>
        </w:rPr>
      </w:pPr>
      <w:proofErr w:type="spellStart"/>
      <w:r w:rsidRPr="00F77C41">
        <w:rPr>
          <w:lang w:val="es-CO"/>
        </w:rPr>
        <w:t>References</w:t>
      </w:r>
      <w:proofErr w:type="spellEnd"/>
    </w:p>
    <w:p w14:paraId="524393E4" w14:textId="6D642C0E" w:rsidR="00C7724B" w:rsidRDefault="00C7724B" w:rsidP="00270DBE">
      <w:pPr>
        <w:pStyle w:val="CETReferencetext"/>
        <w:rPr>
          <w:lang w:val="it-IT"/>
        </w:rPr>
      </w:pPr>
      <w:r w:rsidRPr="00B01D97">
        <w:rPr>
          <w:lang w:val="en-US"/>
        </w:rPr>
        <w:t>Aguilar-Vásquez, E., Ramos-Olmos, M., &amp; González-Delgado, Á. D.</w:t>
      </w:r>
      <w:r w:rsidR="00B01D97" w:rsidRPr="00B01D97">
        <w:rPr>
          <w:lang w:val="en-US"/>
        </w:rPr>
        <w:t xml:space="preserve">, </w:t>
      </w:r>
      <w:r w:rsidRPr="00B01D97">
        <w:rPr>
          <w:lang w:val="en-US"/>
        </w:rPr>
        <w:t>2023</w:t>
      </w:r>
      <w:r w:rsidR="00B01D97" w:rsidRPr="00B01D97">
        <w:rPr>
          <w:lang w:val="en-US"/>
        </w:rPr>
        <w:t>,</w:t>
      </w:r>
      <w:r w:rsidRPr="00B01D97">
        <w:rPr>
          <w:lang w:val="en-US"/>
        </w:rPr>
        <w:t xml:space="preserve"> </w:t>
      </w:r>
      <w:r w:rsidRPr="00421757">
        <w:rPr>
          <w:lang w:val="en-US"/>
        </w:rPr>
        <w:t xml:space="preserve">A joint Computer-Aided Simulation and Water-Energy-Product (WEP) approach for technical evaluation of PVC production. </w:t>
      </w:r>
      <w:r w:rsidRPr="00C7724B">
        <w:rPr>
          <w:lang w:val="it-IT"/>
        </w:rPr>
        <w:t xml:space="preserve">Sustainability, 15(10), 8096. </w:t>
      </w:r>
    </w:p>
    <w:p w14:paraId="3C9919D2" w14:textId="2896FA2D" w:rsidR="00F77C41" w:rsidRDefault="00F77C41" w:rsidP="00270DBE">
      <w:pPr>
        <w:pStyle w:val="CETReferencetext"/>
        <w:rPr>
          <w:lang w:val="it-IT"/>
        </w:rPr>
      </w:pPr>
      <w:r w:rsidRPr="00F77C41">
        <w:rPr>
          <w:lang w:val="it-IT"/>
        </w:rPr>
        <w:t>Araújo, R. G., Rodriguez-Jasso, R. M., Ruiz, H. A., Govea-Salas, M., Pintado, M. E., &amp; Aguilar, C. N.</w:t>
      </w:r>
      <w:r w:rsidR="00B01D97">
        <w:rPr>
          <w:lang w:val="it-IT"/>
        </w:rPr>
        <w:t xml:space="preserve">, </w:t>
      </w:r>
      <w:r w:rsidRPr="00F77C41">
        <w:rPr>
          <w:lang w:val="it-IT"/>
        </w:rPr>
        <w:t>2020</w:t>
      </w:r>
      <w:r w:rsidR="00B01D97">
        <w:rPr>
          <w:lang w:val="it-IT"/>
        </w:rPr>
        <w:t>,</w:t>
      </w:r>
      <w:r w:rsidRPr="00F77C41">
        <w:rPr>
          <w:lang w:val="it-IT"/>
        </w:rPr>
        <w:t xml:space="preserve"> Process optimization of microwave-assisted extraction of bioactive molecules from avocado seeds. Industrial Crops and Products, 154, 112623.</w:t>
      </w:r>
    </w:p>
    <w:p w14:paraId="4C02BB56" w14:textId="32D31CCB" w:rsidR="000711FC" w:rsidRDefault="000711FC" w:rsidP="00270DBE">
      <w:pPr>
        <w:pStyle w:val="CETReferencetext"/>
        <w:rPr>
          <w:lang w:val="en-US"/>
        </w:rPr>
      </w:pPr>
      <w:r w:rsidRPr="00945F91">
        <w:rPr>
          <w:lang w:val="it-IT"/>
        </w:rPr>
        <w:t>Caporusso, A., Giuliano, A., Liuzzi, F., &amp; De Bari, I.</w:t>
      </w:r>
      <w:r w:rsidR="00B01D97">
        <w:rPr>
          <w:lang w:val="it-IT"/>
        </w:rPr>
        <w:t xml:space="preserve">, </w:t>
      </w:r>
      <w:r w:rsidRPr="00945F91">
        <w:rPr>
          <w:lang w:val="it-IT"/>
        </w:rPr>
        <w:t>2022</w:t>
      </w:r>
      <w:r w:rsidR="00B01D97">
        <w:rPr>
          <w:lang w:val="it-IT"/>
        </w:rPr>
        <w:t>,</w:t>
      </w:r>
      <w:r w:rsidRPr="00945F91">
        <w:rPr>
          <w:lang w:val="it-IT"/>
        </w:rPr>
        <w:t xml:space="preserve"> </w:t>
      </w:r>
      <w:r w:rsidRPr="000711FC">
        <w:rPr>
          <w:lang w:val="en-US"/>
        </w:rPr>
        <w:t>Techno-economic analysis of a lignocellulosic biorefinery producing microbial oils by oleaginous yeasts. Chemical Engineering Transactions, 92, 637-642.</w:t>
      </w:r>
    </w:p>
    <w:p w14:paraId="09E3F100" w14:textId="7AF960C7" w:rsidR="00270DBE" w:rsidRPr="00F200D6" w:rsidRDefault="00A13785" w:rsidP="00270DBE">
      <w:pPr>
        <w:pStyle w:val="CETReferencetext"/>
        <w:rPr>
          <w:lang w:val="en-US"/>
        </w:rPr>
      </w:pPr>
      <w:r w:rsidRPr="00F200D6">
        <w:rPr>
          <w:lang w:val="en-US"/>
        </w:rPr>
        <w:t xml:space="preserve">Charles, A. C., </w:t>
      </w:r>
      <w:proofErr w:type="spellStart"/>
      <w:r w:rsidRPr="00F200D6">
        <w:rPr>
          <w:lang w:val="en-US"/>
        </w:rPr>
        <w:t>Dadmohammadi</w:t>
      </w:r>
      <w:proofErr w:type="spellEnd"/>
      <w:r w:rsidRPr="00F200D6">
        <w:rPr>
          <w:lang w:val="en-US"/>
        </w:rPr>
        <w:t xml:space="preserve">, Y., &amp; </w:t>
      </w:r>
      <w:proofErr w:type="spellStart"/>
      <w:r w:rsidRPr="00F200D6">
        <w:rPr>
          <w:lang w:val="en-US"/>
        </w:rPr>
        <w:t>Abbaspourrad</w:t>
      </w:r>
      <w:proofErr w:type="spellEnd"/>
      <w:r w:rsidRPr="00F200D6">
        <w:rPr>
          <w:lang w:val="en-US"/>
        </w:rPr>
        <w:t>, A., 2022, Food and cosmetic applications of the avocado seed: a review. Food &amp; Function, 13(13), 6894-6901.</w:t>
      </w:r>
    </w:p>
    <w:p w14:paraId="6E9A53CF" w14:textId="622057FA" w:rsidR="00F200D6" w:rsidRPr="00F200D6" w:rsidRDefault="00F200D6" w:rsidP="00E65B91">
      <w:pPr>
        <w:pStyle w:val="CETReferencetext"/>
        <w:rPr>
          <w:lang w:val="es-ES"/>
        </w:rPr>
      </w:pPr>
      <w:r w:rsidRPr="00945F91">
        <w:rPr>
          <w:lang w:val="en-US"/>
        </w:rPr>
        <w:t>Fajardo Aguirre, L.</w:t>
      </w:r>
      <w:r w:rsidR="00B01D97">
        <w:rPr>
          <w:lang w:val="en-US"/>
        </w:rPr>
        <w:t xml:space="preserve">, </w:t>
      </w:r>
      <w:r w:rsidRPr="00945F91">
        <w:rPr>
          <w:lang w:val="en-US"/>
        </w:rPr>
        <w:t>2023</w:t>
      </w:r>
      <w:r w:rsidR="00B01D97">
        <w:rPr>
          <w:lang w:val="en-US"/>
        </w:rPr>
        <w:t>,</w:t>
      </w:r>
      <w:r w:rsidRPr="00945F91">
        <w:rPr>
          <w:lang w:val="en-US"/>
        </w:rPr>
        <w:t xml:space="preserve"> </w:t>
      </w:r>
      <w:r w:rsidR="00071CFE" w:rsidRPr="00071CFE">
        <w:rPr>
          <w:lang w:val="en-US"/>
        </w:rPr>
        <w:t>Business proposal for the reduction of environmental impacts associated with solid waste in Hass avocado (</w:t>
      </w:r>
      <w:proofErr w:type="spellStart"/>
      <w:r w:rsidR="00071CFE" w:rsidRPr="001B6FB8">
        <w:rPr>
          <w:i/>
          <w:iCs/>
          <w:lang w:val="en-US"/>
        </w:rPr>
        <w:t>Persea</w:t>
      </w:r>
      <w:proofErr w:type="spellEnd"/>
      <w:r w:rsidR="00071CFE" w:rsidRPr="001B6FB8">
        <w:rPr>
          <w:i/>
          <w:iCs/>
          <w:lang w:val="en-US"/>
        </w:rPr>
        <w:t xml:space="preserve"> americana</w:t>
      </w:r>
      <w:r w:rsidR="00071CFE" w:rsidRPr="00071CFE">
        <w:rPr>
          <w:lang w:val="en-US"/>
        </w:rPr>
        <w:t>) crops, case study, La Aurora farm,</w:t>
      </w:r>
      <w:r w:rsidR="00071CFE">
        <w:rPr>
          <w:lang w:val="en-US"/>
        </w:rPr>
        <w:t xml:space="preserve"> </w:t>
      </w:r>
      <w:proofErr w:type="spellStart"/>
      <w:r w:rsidR="00071CFE">
        <w:rPr>
          <w:lang w:val="en-US"/>
        </w:rPr>
        <w:t>Sibundoy</w:t>
      </w:r>
      <w:proofErr w:type="spellEnd"/>
      <w:r w:rsidR="00071CFE">
        <w:rPr>
          <w:lang w:val="en-US"/>
        </w:rPr>
        <w:t>-Putumayo (in Spanish)</w:t>
      </w:r>
      <w:r w:rsidRPr="00071CFE">
        <w:rPr>
          <w:lang w:val="en-US"/>
        </w:rPr>
        <w:t xml:space="preserve">.    </w:t>
      </w:r>
      <w:r w:rsidRPr="00F200D6">
        <w:rPr>
          <w:lang w:val="es-ES"/>
        </w:rPr>
        <w:t xml:space="preserve">Universidad Tecnológica de Pereira.  </w:t>
      </w:r>
      <w:proofErr w:type="spellStart"/>
      <w:r w:rsidR="00835581">
        <w:rPr>
          <w:lang w:val="es-ES"/>
        </w:rPr>
        <w:t>Available</w:t>
      </w:r>
      <w:proofErr w:type="spellEnd"/>
      <w:r w:rsidR="00835581">
        <w:rPr>
          <w:lang w:val="es-ES"/>
        </w:rPr>
        <w:t xml:space="preserve"> i</w:t>
      </w:r>
      <w:r w:rsidRPr="00F200D6">
        <w:rPr>
          <w:lang w:val="es-ES"/>
        </w:rPr>
        <w:t>n: https://hdl.handle.net/11059/14524</w:t>
      </w:r>
    </w:p>
    <w:p w14:paraId="574C6383" w14:textId="61D5CCD8" w:rsidR="00270DBE" w:rsidRDefault="00270DBE" w:rsidP="00E65B91">
      <w:pPr>
        <w:pStyle w:val="CETReferencetext"/>
        <w:rPr>
          <w:lang w:val="en-US"/>
        </w:rPr>
      </w:pPr>
      <w:r w:rsidRPr="00270DBE">
        <w:rPr>
          <w:lang w:val="es-ES"/>
        </w:rPr>
        <w:t>García, J. S. A., Hurtado-Salazar, A., &amp; Ceballos-Aguirre, N.</w:t>
      </w:r>
      <w:r w:rsidR="00B01D97">
        <w:rPr>
          <w:lang w:val="es-ES"/>
        </w:rPr>
        <w:t xml:space="preserve">, </w:t>
      </w:r>
      <w:r w:rsidRPr="00270DBE">
        <w:rPr>
          <w:lang w:val="es-ES"/>
        </w:rPr>
        <w:t>2021</w:t>
      </w:r>
      <w:r w:rsidR="00B01D97">
        <w:rPr>
          <w:lang w:val="es-ES"/>
        </w:rPr>
        <w:t>,</w:t>
      </w:r>
      <w:r w:rsidRPr="00270DBE">
        <w:rPr>
          <w:lang w:val="es-ES"/>
        </w:rPr>
        <w:t xml:space="preserve"> </w:t>
      </w:r>
      <w:r w:rsidRPr="00270DBE">
        <w:rPr>
          <w:lang w:val="en-US"/>
        </w:rPr>
        <w:t xml:space="preserve">Current overview of Hass avocado in Colombia. Challenges and opportunities: a review. </w:t>
      </w:r>
      <w:proofErr w:type="spellStart"/>
      <w:r w:rsidRPr="00270DBE">
        <w:rPr>
          <w:lang w:val="en-US"/>
        </w:rPr>
        <w:t>Ciência</w:t>
      </w:r>
      <w:proofErr w:type="spellEnd"/>
      <w:r w:rsidRPr="00270DBE">
        <w:rPr>
          <w:lang w:val="en-US"/>
        </w:rPr>
        <w:t xml:space="preserve"> Rural, 51(8). https://doi.org/10.1590/0103-8478cr20200903</w:t>
      </w:r>
    </w:p>
    <w:p w14:paraId="0C3447D3" w14:textId="2E6E9BC0" w:rsidR="00203DD7" w:rsidRDefault="00203DD7" w:rsidP="00E65B91">
      <w:pPr>
        <w:pStyle w:val="CETReferencetext"/>
        <w:rPr>
          <w:lang w:val="en-US"/>
        </w:rPr>
      </w:pPr>
      <w:r w:rsidRPr="00270DBE">
        <w:rPr>
          <w:lang w:val="en-US"/>
        </w:rPr>
        <w:t>García-Maza, S., Herrera-Rodríguez, T. C., &amp; González-Delgado, Á. D., 2024, Process Simulation and Technical Evaluation Using Water-Energy-Product (WEP) Analysis of an Extractive-Based Biorefinery of Creole-Antillean Avocado Produced in the Montes De María. Sustainability, 16(21), 9575.</w:t>
      </w:r>
    </w:p>
    <w:p w14:paraId="6459DC01" w14:textId="7651ED39" w:rsidR="005C6236" w:rsidRPr="00270DBE" w:rsidRDefault="005C6236" w:rsidP="00E65B91">
      <w:pPr>
        <w:pStyle w:val="CETReferencetext"/>
        <w:rPr>
          <w:lang w:val="en-US"/>
        </w:rPr>
      </w:pPr>
      <w:proofErr w:type="spellStart"/>
      <w:r w:rsidRPr="005C6236">
        <w:rPr>
          <w:lang w:val="en-US"/>
        </w:rPr>
        <w:t>Heo</w:t>
      </w:r>
      <w:proofErr w:type="spellEnd"/>
      <w:r w:rsidRPr="005C6236">
        <w:rPr>
          <w:lang w:val="en-US"/>
        </w:rPr>
        <w:t>, S., Park, H. W., Lee, J. H., &amp; Chang, Y. K.</w:t>
      </w:r>
      <w:r w:rsidR="00B01D97">
        <w:rPr>
          <w:lang w:val="en-US"/>
        </w:rPr>
        <w:t xml:space="preserve">, </w:t>
      </w:r>
      <w:r w:rsidRPr="005C6236">
        <w:rPr>
          <w:lang w:val="en-US"/>
        </w:rPr>
        <w:t>2019</w:t>
      </w:r>
      <w:r w:rsidR="00B01D97">
        <w:rPr>
          <w:lang w:val="en-US"/>
        </w:rPr>
        <w:t>,</w:t>
      </w:r>
      <w:r w:rsidRPr="005C6236">
        <w:rPr>
          <w:lang w:val="en-US"/>
        </w:rPr>
        <w:t xml:space="preserve"> Design and Evaluation of Sustainable Lactide Production Process with </w:t>
      </w:r>
      <w:proofErr w:type="gramStart"/>
      <w:r w:rsidRPr="005C6236">
        <w:rPr>
          <w:lang w:val="en-US"/>
        </w:rPr>
        <w:t>an</w:t>
      </w:r>
      <w:proofErr w:type="gramEnd"/>
      <w:r w:rsidRPr="005C6236">
        <w:rPr>
          <w:lang w:val="en-US"/>
        </w:rPr>
        <w:t xml:space="preserve"> One-Step Gas Phase Synthesis Route. ACS Sustainable Chemistry &amp; Engineering, 7(6), 6178–6184. </w:t>
      </w:r>
    </w:p>
    <w:p w14:paraId="5FDC21BD" w14:textId="72238CF8" w:rsidR="000711FC" w:rsidRDefault="000711FC" w:rsidP="000711FC">
      <w:pPr>
        <w:pStyle w:val="CETReferencetext"/>
        <w:rPr>
          <w:lang w:val="en-US"/>
        </w:rPr>
      </w:pPr>
      <w:proofErr w:type="spellStart"/>
      <w:r w:rsidRPr="000711FC">
        <w:rPr>
          <w:lang w:val="en-US"/>
        </w:rPr>
        <w:t>Potrc</w:t>
      </w:r>
      <w:proofErr w:type="spellEnd"/>
      <w:r w:rsidRPr="000711FC">
        <w:rPr>
          <w:lang w:val="en-US"/>
        </w:rPr>
        <w:t xml:space="preserve">, S., </w:t>
      </w:r>
      <w:proofErr w:type="spellStart"/>
      <w:r w:rsidRPr="000711FC">
        <w:rPr>
          <w:lang w:val="en-US"/>
        </w:rPr>
        <w:t>Nemet</w:t>
      </w:r>
      <w:proofErr w:type="spellEnd"/>
      <w:r w:rsidRPr="000711FC">
        <w:rPr>
          <w:lang w:val="en-US"/>
        </w:rPr>
        <w:t xml:space="preserve">, A., </w:t>
      </w:r>
      <w:proofErr w:type="spellStart"/>
      <w:r w:rsidRPr="000711FC">
        <w:rPr>
          <w:lang w:val="en-US"/>
        </w:rPr>
        <w:t>Cucek</w:t>
      </w:r>
      <w:proofErr w:type="spellEnd"/>
      <w:r w:rsidRPr="000711FC">
        <w:rPr>
          <w:lang w:val="en-US"/>
        </w:rPr>
        <w:t xml:space="preserve">, L., &amp; </w:t>
      </w:r>
      <w:proofErr w:type="spellStart"/>
      <w:r w:rsidRPr="000711FC">
        <w:rPr>
          <w:lang w:val="en-US"/>
        </w:rPr>
        <w:t>Kravanja</w:t>
      </w:r>
      <w:proofErr w:type="spellEnd"/>
      <w:r w:rsidRPr="000711FC">
        <w:rPr>
          <w:lang w:val="en-US"/>
        </w:rPr>
        <w:t>, Z.</w:t>
      </w:r>
      <w:r w:rsidR="00B01D97">
        <w:rPr>
          <w:lang w:val="en-US"/>
        </w:rPr>
        <w:t xml:space="preserve">, </w:t>
      </w:r>
      <w:r w:rsidRPr="000711FC">
        <w:rPr>
          <w:lang w:val="en-US"/>
        </w:rPr>
        <w:t>2021</w:t>
      </w:r>
      <w:r w:rsidR="00B01D97">
        <w:rPr>
          <w:lang w:val="en-US"/>
        </w:rPr>
        <w:t>,</w:t>
      </w:r>
      <w:r w:rsidRPr="000711FC">
        <w:rPr>
          <w:lang w:val="en-US"/>
        </w:rPr>
        <w:t xml:space="preserve"> Energy Integration within Sectors to improve the Efficiency of Renewable Energy System within the EU. Chemical Engineering Transactions, 88, 1153-1158.</w:t>
      </w:r>
    </w:p>
    <w:p w14:paraId="1EB799BE" w14:textId="33EE0490" w:rsidR="00CD4DDA" w:rsidRDefault="00CD4DDA" w:rsidP="000711FC">
      <w:pPr>
        <w:pStyle w:val="CETReferencetext"/>
        <w:rPr>
          <w:lang w:val="en-US"/>
        </w:rPr>
      </w:pPr>
      <w:r w:rsidRPr="00634AF1">
        <w:rPr>
          <w:lang w:val="en-US"/>
        </w:rPr>
        <w:t>Poveda-</w:t>
      </w:r>
      <w:proofErr w:type="spellStart"/>
      <w:r w:rsidRPr="00634AF1">
        <w:rPr>
          <w:lang w:val="en-US"/>
        </w:rPr>
        <w:t>Giraldo</w:t>
      </w:r>
      <w:proofErr w:type="spellEnd"/>
      <w:r w:rsidRPr="00634AF1">
        <w:rPr>
          <w:lang w:val="en-US"/>
        </w:rPr>
        <w:t xml:space="preserve"> J.A., </w:t>
      </w:r>
      <w:proofErr w:type="spellStart"/>
      <w:r w:rsidRPr="00634AF1">
        <w:rPr>
          <w:lang w:val="en-US"/>
        </w:rPr>
        <w:t>Piedrahita</w:t>
      </w:r>
      <w:proofErr w:type="spellEnd"/>
      <w:r w:rsidRPr="00634AF1">
        <w:rPr>
          <w:lang w:val="en-US"/>
        </w:rPr>
        <w:t>-Rodríguez S., Cardona-</w:t>
      </w:r>
      <w:proofErr w:type="spellStart"/>
      <w:r w:rsidRPr="00634AF1">
        <w:rPr>
          <w:lang w:val="en-US"/>
        </w:rPr>
        <w:t>Alzate</w:t>
      </w:r>
      <w:proofErr w:type="spellEnd"/>
      <w:r w:rsidRPr="00634AF1">
        <w:rPr>
          <w:lang w:val="en-US"/>
        </w:rPr>
        <w:t xml:space="preserve"> C.A.</w:t>
      </w:r>
      <w:r w:rsidR="00B01D97">
        <w:rPr>
          <w:lang w:val="en-US"/>
        </w:rPr>
        <w:t xml:space="preserve">, </w:t>
      </w:r>
      <w:r w:rsidRPr="00634AF1">
        <w:rPr>
          <w:lang w:val="en-US"/>
        </w:rPr>
        <w:t>2021</w:t>
      </w:r>
      <w:r w:rsidR="00B01D97">
        <w:rPr>
          <w:lang w:val="en-US"/>
        </w:rPr>
        <w:t>,</w:t>
      </w:r>
      <w:r w:rsidRPr="00634AF1">
        <w:rPr>
          <w:lang w:val="en-US"/>
        </w:rPr>
        <w:t xml:space="preserve"> </w:t>
      </w:r>
      <w:r w:rsidRPr="00CD4DDA">
        <w:rPr>
          <w:lang w:val="en-US"/>
        </w:rPr>
        <w:t>Life Cycle Analysis of Biotechnological Processes based on the Composition of the Raw Material. Eucalyptus, Avocado, and Plantain cases in a Biorefinery System, CET Journal-Chemical Engineering Transactions, 83.</w:t>
      </w:r>
    </w:p>
    <w:p w14:paraId="6252EE4D" w14:textId="50716291" w:rsidR="0076279E" w:rsidRDefault="0076279E" w:rsidP="00E65B91">
      <w:pPr>
        <w:pStyle w:val="CETReferencetext"/>
        <w:rPr>
          <w:lang w:val="en-US"/>
        </w:rPr>
      </w:pPr>
      <w:proofErr w:type="spellStart"/>
      <w:r w:rsidRPr="0076279E">
        <w:rPr>
          <w:lang w:val="en-US"/>
        </w:rPr>
        <w:t>Radelyuk</w:t>
      </w:r>
      <w:proofErr w:type="spellEnd"/>
      <w:r w:rsidRPr="0076279E">
        <w:rPr>
          <w:lang w:val="en-US"/>
        </w:rPr>
        <w:t xml:space="preserve">, I., </w:t>
      </w:r>
      <w:proofErr w:type="spellStart"/>
      <w:r w:rsidRPr="0076279E">
        <w:rPr>
          <w:lang w:val="en-US"/>
        </w:rPr>
        <w:t>Klemeš</w:t>
      </w:r>
      <w:proofErr w:type="spellEnd"/>
      <w:r w:rsidRPr="0076279E">
        <w:rPr>
          <w:lang w:val="en-US"/>
        </w:rPr>
        <w:t xml:space="preserve">, J. J., Jia, X., &amp; </w:t>
      </w:r>
      <w:proofErr w:type="spellStart"/>
      <w:r w:rsidRPr="0076279E">
        <w:rPr>
          <w:lang w:val="en-US"/>
        </w:rPr>
        <w:t>Yelubay</w:t>
      </w:r>
      <w:proofErr w:type="spellEnd"/>
      <w:r w:rsidRPr="0076279E">
        <w:rPr>
          <w:lang w:val="en-US"/>
        </w:rPr>
        <w:t>, M.</w:t>
      </w:r>
      <w:r w:rsidR="00B01D97">
        <w:rPr>
          <w:lang w:val="en-US"/>
        </w:rPr>
        <w:t xml:space="preserve">, </w:t>
      </w:r>
      <w:r w:rsidRPr="0076279E">
        <w:rPr>
          <w:lang w:val="en-US"/>
        </w:rPr>
        <w:t>2023</w:t>
      </w:r>
      <w:r w:rsidR="00B01D97">
        <w:rPr>
          <w:lang w:val="en-US"/>
        </w:rPr>
        <w:t>,</w:t>
      </w:r>
      <w:r w:rsidRPr="0076279E">
        <w:rPr>
          <w:lang w:val="en-US"/>
        </w:rPr>
        <w:t xml:space="preserve"> Implementation of Circular Economy in the Water Sector in the Industrial Region of Kazakhstan. Chemical Engineering Transactions, 103, 13-18.</w:t>
      </w:r>
    </w:p>
    <w:p w14:paraId="5D99FC17" w14:textId="3F3F9E71" w:rsidR="00270DBE" w:rsidRDefault="00BC11A6" w:rsidP="00E65B91">
      <w:pPr>
        <w:pStyle w:val="CETReferencetext"/>
        <w:rPr>
          <w:lang w:val="en-US"/>
        </w:rPr>
      </w:pPr>
      <w:r w:rsidRPr="00BC11A6">
        <w:rPr>
          <w:lang w:val="en-US"/>
        </w:rPr>
        <w:t xml:space="preserve">Smith, J. M., Van Ness, H. C., Abbott, M. M., &amp; </w:t>
      </w:r>
      <w:proofErr w:type="spellStart"/>
      <w:r w:rsidRPr="00BC11A6">
        <w:rPr>
          <w:lang w:val="en-US"/>
        </w:rPr>
        <w:t>Swihart</w:t>
      </w:r>
      <w:proofErr w:type="spellEnd"/>
      <w:r w:rsidRPr="00BC11A6">
        <w:rPr>
          <w:lang w:val="en-US"/>
        </w:rPr>
        <w:t>, M. T.</w:t>
      </w:r>
      <w:r w:rsidR="00B01D97">
        <w:rPr>
          <w:lang w:val="en-US"/>
        </w:rPr>
        <w:t xml:space="preserve">, </w:t>
      </w:r>
      <w:r w:rsidRPr="00BC11A6">
        <w:rPr>
          <w:lang w:val="en-US"/>
        </w:rPr>
        <w:t>2021</w:t>
      </w:r>
      <w:r w:rsidR="00B01D97">
        <w:rPr>
          <w:lang w:val="en-US"/>
        </w:rPr>
        <w:t>,</w:t>
      </w:r>
      <w:r w:rsidRPr="00BC11A6">
        <w:rPr>
          <w:lang w:val="en-US"/>
        </w:rPr>
        <w:t xml:space="preserve"> Introduction to </w:t>
      </w:r>
      <w:r w:rsidR="00B01D97">
        <w:rPr>
          <w:lang w:val="en-US"/>
        </w:rPr>
        <w:t>C</w:t>
      </w:r>
      <w:r w:rsidRPr="00BC11A6">
        <w:rPr>
          <w:lang w:val="en-US"/>
        </w:rPr>
        <w:t>hemical Engineering Thermodynamics.</w:t>
      </w:r>
    </w:p>
    <w:p w14:paraId="3D0B3794" w14:textId="4A2ACB93" w:rsidR="0076279E" w:rsidRDefault="0076279E" w:rsidP="00E65B91">
      <w:pPr>
        <w:pStyle w:val="CETReferencetext"/>
        <w:rPr>
          <w:lang w:val="en-US"/>
        </w:rPr>
      </w:pPr>
      <w:proofErr w:type="spellStart"/>
      <w:r w:rsidRPr="0076279E">
        <w:rPr>
          <w:lang w:val="en-US"/>
        </w:rPr>
        <w:t>Stampfli</w:t>
      </w:r>
      <w:proofErr w:type="spellEnd"/>
      <w:r w:rsidRPr="0076279E">
        <w:rPr>
          <w:lang w:val="en-US"/>
        </w:rPr>
        <w:t xml:space="preserve">, J. A., Lucas, E. J., Olsen, D. G., </w:t>
      </w:r>
      <w:proofErr w:type="spellStart"/>
      <w:r w:rsidRPr="0076279E">
        <w:rPr>
          <w:lang w:val="en-US"/>
        </w:rPr>
        <w:t>Krummenacher</w:t>
      </w:r>
      <w:proofErr w:type="spellEnd"/>
      <w:r w:rsidRPr="0076279E">
        <w:rPr>
          <w:lang w:val="en-US"/>
        </w:rPr>
        <w:t xml:space="preserve">, P., &amp; </w:t>
      </w:r>
      <w:proofErr w:type="spellStart"/>
      <w:r w:rsidRPr="0076279E">
        <w:rPr>
          <w:lang w:val="en-US"/>
        </w:rPr>
        <w:t>Wellig</w:t>
      </w:r>
      <w:proofErr w:type="spellEnd"/>
      <w:r w:rsidRPr="0076279E">
        <w:rPr>
          <w:lang w:val="en-US"/>
        </w:rPr>
        <w:t>, B.</w:t>
      </w:r>
      <w:r w:rsidR="00B01D97">
        <w:rPr>
          <w:lang w:val="en-US"/>
        </w:rPr>
        <w:t xml:space="preserve">, </w:t>
      </w:r>
      <w:r w:rsidRPr="0076279E">
        <w:rPr>
          <w:lang w:val="en-US"/>
        </w:rPr>
        <w:t>2019</w:t>
      </w:r>
      <w:r w:rsidR="00B01D97">
        <w:rPr>
          <w:lang w:val="en-US"/>
        </w:rPr>
        <w:t>,</w:t>
      </w:r>
      <w:r w:rsidRPr="0076279E">
        <w:rPr>
          <w:lang w:val="en-US"/>
        </w:rPr>
        <w:t xml:space="preserve"> Batch Process integration: Management of Capacity-Limited thermal energy storage by optimization of heat recovery. </w:t>
      </w:r>
      <w:r w:rsidRPr="000711FC">
        <w:rPr>
          <w:lang w:val="en-US"/>
        </w:rPr>
        <w:t>Chemical Engineering Transactions</w:t>
      </w:r>
      <w:r>
        <w:rPr>
          <w:lang w:val="en-US"/>
        </w:rPr>
        <w:t>, 76</w:t>
      </w:r>
      <w:r w:rsidR="00835581">
        <w:rPr>
          <w:lang w:val="en-US"/>
        </w:rPr>
        <w:t>, 1027-1033</w:t>
      </w:r>
      <w:r w:rsidRPr="0076279E">
        <w:rPr>
          <w:lang w:val="en-US"/>
        </w:rPr>
        <w:t xml:space="preserve">. </w:t>
      </w:r>
    </w:p>
    <w:p w14:paraId="73D37F86" w14:textId="0D1B921F" w:rsidR="005C6236" w:rsidRDefault="005C6236" w:rsidP="00071CFE">
      <w:pPr>
        <w:pStyle w:val="CETReferencetext"/>
        <w:rPr>
          <w:lang w:val="en-US"/>
        </w:rPr>
      </w:pPr>
      <w:r w:rsidRPr="005C6236">
        <w:rPr>
          <w:lang w:val="en-US"/>
        </w:rPr>
        <w:t xml:space="preserve">Tesfaye, T., </w:t>
      </w:r>
      <w:proofErr w:type="spellStart"/>
      <w:r w:rsidRPr="005C6236">
        <w:rPr>
          <w:lang w:val="en-US"/>
        </w:rPr>
        <w:t>Gibril</w:t>
      </w:r>
      <w:proofErr w:type="spellEnd"/>
      <w:r w:rsidRPr="005C6236">
        <w:rPr>
          <w:lang w:val="en-US"/>
        </w:rPr>
        <w:t xml:space="preserve">, M., Sithole, B., </w:t>
      </w:r>
      <w:proofErr w:type="spellStart"/>
      <w:r w:rsidRPr="005C6236">
        <w:rPr>
          <w:lang w:val="en-US"/>
        </w:rPr>
        <w:t>Ramjugernath</w:t>
      </w:r>
      <w:proofErr w:type="spellEnd"/>
      <w:r w:rsidRPr="005C6236">
        <w:rPr>
          <w:lang w:val="en-US"/>
        </w:rPr>
        <w:t xml:space="preserve">, D., Chavan, R., </w:t>
      </w:r>
      <w:proofErr w:type="spellStart"/>
      <w:r w:rsidRPr="005C6236">
        <w:rPr>
          <w:lang w:val="en-US"/>
        </w:rPr>
        <w:t>Chunilall</w:t>
      </w:r>
      <w:proofErr w:type="spellEnd"/>
      <w:r w:rsidRPr="005C6236">
        <w:rPr>
          <w:lang w:val="en-US"/>
        </w:rPr>
        <w:t xml:space="preserve">, V., &amp; </w:t>
      </w:r>
      <w:proofErr w:type="spellStart"/>
      <w:r w:rsidRPr="005C6236">
        <w:rPr>
          <w:lang w:val="en-US"/>
        </w:rPr>
        <w:t>Gounden</w:t>
      </w:r>
      <w:proofErr w:type="spellEnd"/>
      <w:r w:rsidRPr="005C6236">
        <w:rPr>
          <w:lang w:val="en-US"/>
        </w:rPr>
        <w:t>, N.</w:t>
      </w:r>
      <w:r w:rsidR="00B01D97">
        <w:rPr>
          <w:lang w:val="en-US"/>
        </w:rPr>
        <w:t xml:space="preserve">, </w:t>
      </w:r>
      <w:r w:rsidRPr="005C6236">
        <w:rPr>
          <w:lang w:val="en-US"/>
        </w:rPr>
        <w:t>2018</w:t>
      </w:r>
      <w:r w:rsidR="00B01D97">
        <w:rPr>
          <w:lang w:val="en-US"/>
        </w:rPr>
        <w:t>,</w:t>
      </w:r>
      <w:r w:rsidRPr="005C6236">
        <w:rPr>
          <w:lang w:val="en-US"/>
        </w:rPr>
        <w:t xml:space="preserve"> </w:t>
      </w:r>
      <w:proofErr w:type="spellStart"/>
      <w:r w:rsidRPr="005C6236">
        <w:rPr>
          <w:lang w:val="en-US"/>
        </w:rPr>
        <w:t>Valorisation</w:t>
      </w:r>
      <w:proofErr w:type="spellEnd"/>
      <w:r w:rsidRPr="005C6236">
        <w:rPr>
          <w:lang w:val="en-US"/>
        </w:rPr>
        <w:t xml:space="preserve"> of avocado seeds: extraction and </w:t>
      </w:r>
      <w:proofErr w:type="spellStart"/>
      <w:r w:rsidRPr="005C6236">
        <w:rPr>
          <w:lang w:val="en-US"/>
        </w:rPr>
        <w:t>characterisation</w:t>
      </w:r>
      <w:proofErr w:type="spellEnd"/>
      <w:r w:rsidRPr="005C6236">
        <w:rPr>
          <w:lang w:val="en-US"/>
        </w:rPr>
        <w:t xml:space="preserve"> of starch for textile applications. Clean Technologies and Environme</w:t>
      </w:r>
      <w:r>
        <w:rPr>
          <w:lang w:val="en-US"/>
        </w:rPr>
        <w:t>ntal Policy, 20(9), 2135–2154.</w:t>
      </w:r>
    </w:p>
    <w:p w14:paraId="48F27789" w14:textId="1E81A904" w:rsidR="00CD4DDA" w:rsidRDefault="00CD4DDA" w:rsidP="00071CFE">
      <w:pPr>
        <w:pStyle w:val="CETReferencetext"/>
      </w:pPr>
      <w:proofErr w:type="spellStart"/>
      <w:r w:rsidRPr="00CD4DDA">
        <w:t>Trinca</w:t>
      </w:r>
      <w:proofErr w:type="spellEnd"/>
      <w:r w:rsidRPr="00CD4DDA">
        <w:t xml:space="preserve"> A., Di Palma L., </w:t>
      </w:r>
      <w:proofErr w:type="spellStart"/>
      <w:r w:rsidRPr="00CD4DDA">
        <w:t>Verdone</w:t>
      </w:r>
      <w:proofErr w:type="spellEnd"/>
      <w:r w:rsidRPr="00CD4DDA">
        <w:t xml:space="preserve"> N., 2024, Innovative Solutions for a Circular Economy: </w:t>
      </w:r>
      <w:proofErr w:type="gramStart"/>
      <w:r w:rsidRPr="00CD4DDA">
        <w:t>a</w:t>
      </w:r>
      <w:proofErr w:type="gramEnd"/>
      <w:r w:rsidRPr="00CD4DDA">
        <w:t xml:space="preserve"> Review on Waste to Chemicals </w:t>
      </w:r>
      <w:proofErr w:type="spellStart"/>
      <w:r w:rsidRPr="00CD4DDA">
        <w:t>Valorization</w:t>
      </w:r>
      <w:proofErr w:type="spellEnd"/>
      <w:r w:rsidRPr="00CD4DDA">
        <w:t xml:space="preserve"> Plants, Chemical Engineering Transactions, 109, 391-396.</w:t>
      </w:r>
    </w:p>
    <w:sectPr w:rsidR="00CD4DDA" w:rsidSect="00DC73EE">
      <w:headerReference w:type="first" r:id="rId1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5491" w14:textId="77777777" w:rsidR="009D7863" w:rsidRDefault="009D7863" w:rsidP="004F5E36">
      <w:r>
        <w:separator/>
      </w:r>
    </w:p>
  </w:endnote>
  <w:endnote w:type="continuationSeparator" w:id="0">
    <w:p w14:paraId="5B5F71CF" w14:textId="77777777" w:rsidR="009D7863" w:rsidRDefault="009D786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A857" w14:textId="77777777" w:rsidR="009D7863" w:rsidRDefault="009D7863" w:rsidP="004F5E36">
      <w:r>
        <w:separator/>
      </w:r>
    </w:p>
  </w:footnote>
  <w:footnote w:type="continuationSeparator" w:id="0">
    <w:p w14:paraId="520124DD" w14:textId="77777777" w:rsidR="009D7863" w:rsidRDefault="009D786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4F17" w14:textId="77777777" w:rsidR="004E4F0F" w:rsidRDefault="004E4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F91468D"/>
    <w:multiLevelType w:val="hybridMultilevel"/>
    <w:tmpl w:val="BCF45A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C722A3"/>
    <w:multiLevelType w:val="hybridMultilevel"/>
    <w:tmpl w:val="FE0C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A7"/>
    <w:rsid w:val="000052FB"/>
    <w:rsid w:val="00005A19"/>
    <w:rsid w:val="000117CB"/>
    <w:rsid w:val="00015E2D"/>
    <w:rsid w:val="00023101"/>
    <w:rsid w:val="0003148D"/>
    <w:rsid w:val="00031EEC"/>
    <w:rsid w:val="000322DC"/>
    <w:rsid w:val="00036406"/>
    <w:rsid w:val="00051566"/>
    <w:rsid w:val="000562A9"/>
    <w:rsid w:val="00056645"/>
    <w:rsid w:val="00060165"/>
    <w:rsid w:val="00060605"/>
    <w:rsid w:val="00062A9A"/>
    <w:rsid w:val="0006337A"/>
    <w:rsid w:val="00065058"/>
    <w:rsid w:val="000711FC"/>
    <w:rsid w:val="00071CFE"/>
    <w:rsid w:val="000734B1"/>
    <w:rsid w:val="00075B87"/>
    <w:rsid w:val="00086C39"/>
    <w:rsid w:val="000A03B2"/>
    <w:rsid w:val="000B0BAB"/>
    <w:rsid w:val="000B634E"/>
    <w:rsid w:val="000D0268"/>
    <w:rsid w:val="000D34BE"/>
    <w:rsid w:val="000E0B3C"/>
    <w:rsid w:val="000E102F"/>
    <w:rsid w:val="000E30CE"/>
    <w:rsid w:val="000E36F1"/>
    <w:rsid w:val="000E3A73"/>
    <w:rsid w:val="000E414A"/>
    <w:rsid w:val="000E6B77"/>
    <w:rsid w:val="000E75FD"/>
    <w:rsid w:val="000F093C"/>
    <w:rsid w:val="000F783B"/>
    <w:rsid w:val="000F787B"/>
    <w:rsid w:val="001100FE"/>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A0308"/>
    <w:rsid w:val="001A4AF7"/>
    <w:rsid w:val="001B0349"/>
    <w:rsid w:val="001B1E93"/>
    <w:rsid w:val="001B65C1"/>
    <w:rsid w:val="001B6FB8"/>
    <w:rsid w:val="001B760B"/>
    <w:rsid w:val="001B7F45"/>
    <w:rsid w:val="001C260F"/>
    <w:rsid w:val="001C2740"/>
    <w:rsid w:val="001C5C3A"/>
    <w:rsid w:val="001C684B"/>
    <w:rsid w:val="001D0CFB"/>
    <w:rsid w:val="001D21AF"/>
    <w:rsid w:val="001D3D32"/>
    <w:rsid w:val="001D53FC"/>
    <w:rsid w:val="001F17AA"/>
    <w:rsid w:val="001F42A5"/>
    <w:rsid w:val="001F7B9D"/>
    <w:rsid w:val="00201265"/>
    <w:rsid w:val="00201518"/>
    <w:rsid w:val="00201C93"/>
    <w:rsid w:val="00203DD7"/>
    <w:rsid w:val="00221BA5"/>
    <w:rsid w:val="002224B4"/>
    <w:rsid w:val="002447EF"/>
    <w:rsid w:val="00251550"/>
    <w:rsid w:val="00263B05"/>
    <w:rsid w:val="002655CF"/>
    <w:rsid w:val="0026674D"/>
    <w:rsid w:val="00270DBE"/>
    <w:rsid w:val="0027221A"/>
    <w:rsid w:val="00275B61"/>
    <w:rsid w:val="00280A6E"/>
    <w:rsid w:val="00280FAF"/>
    <w:rsid w:val="00282656"/>
    <w:rsid w:val="00296B83"/>
    <w:rsid w:val="002A3A49"/>
    <w:rsid w:val="002B4015"/>
    <w:rsid w:val="002B78CE"/>
    <w:rsid w:val="002C2FB6"/>
    <w:rsid w:val="002E5FA7"/>
    <w:rsid w:val="002F3309"/>
    <w:rsid w:val="003008CE"/>
    <w:rsid w:val="003009B7"/>
    <w:rsid w:val="00300E56"/>
    <w:rsid w:val="0030152C"/>
    <w:rsid w:val="0030469C"/>
    <w:rsid w:val="00304CE8"/>
    <w:rsid w:val="0031355B"/>
    <w:rsid w:val="00321CA6"/>
    <w:rsid w:val="00323763"/>
    <w:rsid w:val="00323C5F"/>
    <w:rsid w:val="003246A7"/>
    <w:rsid w:val="00334007"/>
    <w:rsid w:val="0033489C"/>
    <w:rsid w:val="00334C09"/>
    <w:rsid w:val="00340F3A"/>
    <w:rsid w:val="00341CBE"/>
    <w:rsid w:val="0035293D"/>
    <w:rsid w:val="00357D5F"/>
    <w:rsid w:val="003723D4"/>
    <w:rsid w:val="00381905"/>
    <w:rsid w:val="00384CC8"/>
    <w:rsid w:val="003871FD"/>
    <w:rsid w:val="0038794B"/>
    <w:rsid w:val="003A1E30"/>
    <w:rsid w:val="003A2829"/>
    <w:rsid w:val="003A7D1C"/>
    <w:rsid w:val="003B304B"/>
    <w:rsid w:val="003B3146"/>
    <w:rsid w:val="003B49CD"/>
    <w:rsid w:val="003B5422"/>
    <w:rsid w:val="003C3F5C"/>
    <w:rsid w:val="003D1E02"/>
    <w:rsid w:val="003E649A"/>
    <w:rsid w:val="003F015E"/>
    <w:rsid w:val="00400414"/>
    <w:rsid w:val="00401A39"/>
    <w:rsid w:val="0041446B"/>
    <w:rsid w:val="00421757"/>
    <w:rsid w:val="00431C44"/>
    <w:rsid w:val="0043533C"/>
    <w:rsid w:val="0044071E"/>
    <w:rsid w:val="00442163"/>
    <w:rsid w:val="0044329C"/>
    <w:rsid w:val="0045066D"/>
    <w:rsid w:val="00453E24"/>
    <w:rsid w:val="00457456"/>
    <w:rsid w:val="004577FE"/>
    <w:rsid w:val="00457B9C"/>
    <w:rsid w:val="0046160A"/>
    <w:rsid w:val="0046164A"/>
    <w:rsid w:val="004628D2"/>
    <w:rsid w:val="00462DCD"/>
    <w:rsid w:val="00463416"/>
    <w:rsid w:val="004648AD"/>
    <w:rsid w:val="004703A9"/>
    <w:rsid w:val="00475897"/>
    <w:rsid w:val="004760DE"/>
    <w:rsid w:val="004763D7"/>
    <w:rsid w:val="00477C7E"/>
    <w:rsid w:val="00490440"/>
    <w:rsid w:val="004934DA"/>
    <w:rsid w:val="004956F8"/>
    <w:rsid w:val="004A004E"/>
    <w:rsid w:val="004A24CF"/>
    <w:rsid w:val="004A4F23"/>
    <w:rsid w:val="004C3D1D"/>
    <w:rsid w:val="004C3D84"/>
    <w:rsid w:val="004C7913"/>
    <w:rsid w:val="004D2F8C"/>
    <w:rsid w:val="004E12FB"/>
    <w:rsid w:val="004E4DD6"/>
    <w:rsid w:val="004E4F0F"/>
    <w:rsid w:val="004E5C7F"/>
    <w:rsid w:val="004F0227"/>
    <w:rsid w:val="004F2EB9"/>
    <w:rsid w:val="004F5E36"/>
    <w:rsid w:val="00507B47"/>
    <w:rsid w:val="00507BEF"/>
    <w:rsid w:val="00507CC9"/>
    <w:rsid w:val="005119A5"/>
    <w:rsid w:val="00526385"/>
    <w:rsid w:val="005278B7"/>
    <w:rsid w:val="00532016"/>
    <w:rsid w:val="00533019"/>
    <w:rsid w:val="005339F2"/>
    <w:rsid w:val="005343E8"/>
    <w:rsid w:val="005346C8"/>
    <w:rsid w:val="00543E7D"/>
    <w:rsid w:val="00547A68"/>
    <w:rsid w:val="005531C9"/>
    <w:rsid w:val="00554137"/>
    <w:rsid w:val="00554879"/>
    <w:rsid w:val="00570C43"/>
    <w:rsid w:val="00576A3A"/>
    <w:rsid w:val="005818E0"/>
    <w:rsid w:val="0058581C"/>
    <w:rsid w:val="00592274"/>
    <w:rsid w:val="00592EA7"/>
    <w:rsid w:val="005A06CF"/>
    <w:rsid w:val="005A0847"/>
    <w:rsid w:val="005B0800"/>
    <w:rsid w:val="005B2110"/>
    <w:rsid w:val="005B350B"/>
    <w:rsid w:val="005B450C"/>
    <w:rsid w:val="005B61E6"/>
    <w:rsid w:val="005C3DC7"/>
    <w:rsid w:val="005C57B2"/>
    <w:rsid w:val="005C6236"/>
    <w:rsid w:val="005C77E1"/>
    <w:rsid w:val="005D668A"/>
    <w:rsid w:val="005D6A2F"/>
    <w:rsid w:val="005E0592"/>
    <w:rsid w:val="005E1A82"/>
    <w:rsid w:val="005E5369"/>
    <w:rsid w:val="005E794C"/>
    <w:rsid w:val="005F0A28"/>
    <w:rsid w:val="005F0E5E"/>
    <w:rsid w:val="005F2877"/>
    <w:rsid w:val="00600535"/>
    <w:rsid w:val="00610CD6"/>
    <w:rsid w:val="00620DEE"/>
    <w:rsid w:val="0062153C"/>
    <w:rsid w:val="00621F92"/>
    <w:rsid w:val="0062280A"/>
    <w:rsid w:val="006231E1"/>
    <w:rsid w:val="00625639"/>
    <w:rsid w:val="00626342"/>
    <w:rsid w:val="00631B33"/>
    <w:rsid w:val="00634AF1"/>
    <w:rsid w:val="0064184D"/>
    <w:rsid w:val="006422CC"/>
    <w:rsid w:val="00651D18"/>
    <w:rsid w:val="00660E3E"/>
    <w:rsid w:val="00662E74"/>
    <w:rsid w:val="00664973"/>
    <w:rsid w:val="00666FA3"/>
    <w:rsid w:val="00674AA0"/>
    <w:rsid w:val="00680C23"/>
    <w:rsid w:val="00682F88"/>
    <w:rsid w:val="00683E23"/>
    <w:rsid w:val="00685A80"/>
    <w:rsid w:val="00693766"/>
    <w:rsid w:val="006A3281"/>
    <w:rsid w:val="006A5323"/>
    <w:rsid w:val="006A6DE5"/>
    <w:rsid w:val="006B2831"/>
    <w:rsid w:val="006B4888"/>
    <w:rsid w:val="006C2E45"/>
    <w:rsid w:val="006C359C"/>
    <w:rsid w:val="006C5579"/>
    <w:rsid w:val="006D6E8B"/>
    <w:rsid w:val="006D7209"/>
    <w:rsid w:val="006E119C"/>
    <w:rsid w:val="006E18FA"/>
    <w:rsid w:val="006E1EDA"/>
    <w:rsid w:val="006E29A7"/>
    <w:rsid w:val="006E6CBD"/>
    <w:rsid w:val="006E737D"/>
    <w:rsid w:val="00707DD1"/>
    <w:rsid w:val="00707F82"/>
    <w:rsid w:val="00713973"/>
    <w:rsid w:val="00713A9B"/>
    <w:rsid w:val="00713B6E"/>
    <w:rsid w:val="00720A24"/>
    <w:rsid w:val="0073013D"/>
    <w:rsid w:val="007313E3"/>
    <w:rsid w:val="00732386"/>
    <w:rsid w:val="0073514D"/>
    <w:rsid w:val="007447F3"/>
    <w:rsid w:val="007461C9"/>
    <w:rsid w:val="0075499F"/>
    <w:rsid w:val="0076279E"/>
    <w:rsid w:val="00762C3B"/>
    <w:rsid w:val="007661C8"/>
    <w:rsid w:val="0077098D"/>
    <w:rsid w:val="0077564A"/>
    <w:rsid w:val="00785BF9"/>
    <w:rsid w:val="00790B7D"/>
    <w:rsid w:val="007931FA"/>
    <w:rsid w:val="007A4861"/>
    <w:rsid w:val="007A69DB"/>
    <w:rsid w:val="007A7BBA"/>
    <w:rsid w:val="007B0C50"/>
    <w:rsid w:val="007B48F9"/>
    <w:rsid w:val="007C1A43"/>
    <w:rsid w:val="007D0951"/>
    <w:rsid w:val="007D610D"/>
    <w:rsid w:val="007F44B7"/>
    <w:rsid w:val="007F6EC2"/>
    <w:rsid w:val="0080013E"/>
    <w:rsid w:val="00801759"/>
    <w:rsid w:val="00802882"/>
    <w:rsid w:val="00813288"/>
    <w:rsid w:val="008168FC"/>
    <w:rsid w:val="00817E11"/>
    <w:rsid w:val="00830996"/>
    <w:rsid w:val="00831BD2"/>
    <w:rsid w:val="008345F1"/>
    <w:rsid w:val="00835581"/>
    <w:rsid w:val="00843701"/>
    <w:rsid w:val="00860FDE"/>
    <w:rsid w:val="00865B07"/>
    <w:rsid w:val="008667EA"/>
    <w:rsid w:val="0087637F"/>
    <w:rsid w:val="00882269"/>
    <w:rsid w:val="00892AD5"/>
    <w:rsid w:val="008A1512"/>
    <w:rsid w:val="008D32B9"/>
    <w:rsid w:val="008D433B"/>
    <w:rsid w:val="008D4A16"/>
    <w:rsid w:val="008E2F6F"/>
    <w:rsid w:val="008E38AB"/>
    <w:rsid w:val="008E5401"/>
    <w:rsid w:val="008E566E"/>
    <w:rsid w:val="008F446B"/>
    <w:rsid w:val="0090161A"/>
    <w:rsid w:val="00901EB6"/>
    <w:rsid w:val="009041F8"/>
    <w:rsid w:val="00904C62"/>
    <w:rsid w:val="009113B4"/>
    <w:rsid w:val="009122B1"/>
    <w:rsid w:val="00922BA8"/>
    <w:rsid w:val="00923FD3"/>
    <w:rsid w:val="00924DAC"/>
    <w:rsid w:val="00927058"/>
    <w:rsid w:val="00942750"/>
    <w:rsid w:val="009450CE"/>
    <w:rsid w:val="009459BB"/>
    <w:rsid w:val="00945F91"/>
    <w:rsid w:val="00947179"/>
    <w:rsid w:val="0095164B"/>
    <w:rsid w:val="00954090"/>
    <w:rsid w:val="00955DD7"/>
    <w:rsid w:val="0095724A"/>
    <w:rsid w:val="009573E7"/>
    <w:rsid w:val="00963E05"/>
    <w:rsid w:val="00964A45"/>
    <w:rsid w:val="00967843"/>
    <w:rsid w:val="00967D54"/>
    <w:rsid w:val="00971028"/>
    <w:rsid w:val="009761FF"/>
    <w:rsid w:val="00980458"/>
    <w:rsid w:val="00993B84"/>
    <w:rsid w:val="00994C6A"/>
    <w:rsid w:val="00995933"/>
    <w:rsid w:val="00996483"/>
    <w:rsid w:val="00996F5A"/>
    <w:rsid w:val="009B041A"/>
    <w:rsid w:val="009B6E57"/>
    <w:rsid w:val="009B7721"/>
    <w:rsid w:val="009C2831"/>
    <w:rsid w:val="009C37C3"/>
    <w:rsid w:val="009C680C"/>
    <w:rsid w:val="009C7C86"/>
    <w:rsid w:val="009D2FF7"/>
    <w:rsid w:val="009D5D5C"/>
    <w:rsid w:val="009D7863"/>
    <w:rsid w:val="009E4922"/>
    <w:rsid w:val="009E7884"/>
    <w:rsid w:val="009E788A"/>
    <w:rsid w:val="009F0E08"/>
    <w:rsid w:val="009F22BC"/>
    <w:rsid w:val="009F6E4A"/>
    <w:rsid w:val="00A01989"/>
    <w:rsid w:val="00A079AE"/>
    <w:rsid w:val="00A13785"/>
    <w:rsid w:val="00A1763D"/>
    <w:rsid w:val="00A17CEC"/>
    <w:rsid w:val="00A27EF0"/>
    <w:rsid w:val="00A42361"/>
    <w:rsid w:val="00A50B20"/>
    <w:rsid w:val="00A51390"/>
    <w:rsid w:val="00A60D13"/>
    <w:rsid w:val="00A64609"/>
    <w:rsid w:val="00A6614D"/>
    <w:rsid w:val="00A7223D"/>
    <w:rsid w:val="00A72745"/>
    <w:rsid w:val="00A76EFC"/>
    <w:rsid w:val="00A87D50"/>
    <w:rsid w:val="00A91010"/>
    <w:rsid w:val="00A97F29"/>
    <w:rsid w:val="00AA702E"/>
    <w:rsid w:val="00AA7D26"/>
    <w:rsid w:val="00AB0920"/>
    <w:rsid w:val="00AB0964"/>
    <w:rsid w:val="00AB5011"/>
    <w:rsid w:val="00AC7368"/>
    <w:rsid w:val="00AD16B9"/>
    <w:rsid w:val="00AE377D"/>
    <w:rsid w:val="00AF0EBA"/>
    <w:rsid w:val="00AF2463"/>
    <w:rsid w:val="00AF2B71"/>
    <w:rsid w:val="00AF3470"/>
    <w:rsid w:val="00B01D97"/>
    <w:rsid w:val="00B02C8A"/>
    <w:rsid w:val="00B14633"/>
    <w:rsid w:val="00B17258"/>
    <w:rsid w:val="00B17FBD"/>
    <w:rsid w:val="00B26682"/>
    <w:rsid w:val="00B277A1"/>
    <w:rsid w:val="00B315A6"/>
    <w:rsid w:val="00B31813"/>
    <w:rsid w:val="00B33365"/>
    <w:rsid w:val="00B3601E"/>
    <w:rsid w:val="00B40A0A"/>
    <w:rsid w:val="00B43E1C"/>
    <w:rsid w:val="00B57863"/>
    <w:rsid w:val="00B57B36"/>
    <w:rsid w:val="00B57E6F"/>
    <w:rsid w:val="00B814BE"/>
    <w:rsid w:val="00B8686D"/>
    <w:rsid w:val="00B93F69"/>
    <w:rsid w:val="00B941CB"/>
    <w:rsid w:val="00BB0DAB"/>
    <w:rsid w:val="00BB1DDC"/>
    <w:rsid w:val="00BB3B45"/>
    <w:rsid w:val="00BB4E06"/>
    <w:rsid w:val="00BC06E9"/>
    <w:rsid w:val="00BC11A6"/>
    <w:rsid w:val="00BC30C9"/>
    <w:rsid w:val="00BD077D"/>
    <w:rsid w:val="00BD21BC"/>
    <w:rsid w:val="00BD7201"/>
    <w:rsid w:val="00BD7BDA"/>
    <w:rsid w:val="00BE0400"/>
    <w:rsid w:val="00BE3E58"/>
    <w:rsid w:val="00BF13CE"/>
    <w:rsid w:val="00BF1E06"/>
    <w:rsid w:val="00BF28EC"/>
    <w:rsid w:val="00C01616"/>
    <w:rsid w:val="00C0162B"/>
    <w:rsid w:val="00C03E25"/>
    <w:rsid w:val="00C068ED"/>
    <w:rsid w:val="00C22E0C"/>
    <w:rsid w:val="00C345B1"/>
    <w:rsid w:val="00C40142"/>
    <w:rsid w:val="00C4648F"/>
    <w:rsid w:val="00C52C3C"/>
    <w:rsid w:val="00C57182"/>
    <w:rsid w:val="00C57863"/>
    <w:rsid w:val="00C610EF"/>
    <w:rsid w:val="00C640AF"/>
    <w:rsid w:val="00C655FD"/>
    <w:rsid w:val="00C75407"/>
    <w:rsid w:val="00C7724B"/>
    <w:rsid w:val="00C841C6"/>
    <w:rsid w:val="00C8425B"/>
    <w:rsid w:val="00C86828"/>
    <w:rsid w:val="00C870A8"/>
    <w:rsid w:val="00C916D4"/>
    <w:rsid w:val="00C94434"/>
    <w:rsid w:val="00CA00C5"/>
    <w:rsid w:val="00CA0D75"/>
    <w:rsid w:val="00CA1C95"/>
    <w:rsid w:val="00CA2EEC"/>
    <w:rsid w:val="00CA5A9C"/>
    <w:rsid w:val="00CB7D0B"/>
    <w:rsid w:val="00CC4C20"/>
    <w:rsid w:val="00CD3517"/>
    <w:rsid w:val="00CD44E8"/>
    <w:rsid w:val="00CD4DDA"/>
    <w:rsid w:val="00CD5FE2"/>
    <w:rsid w:val="00CE2048"/>
    <w:rsid w:val="00CE7C68"/>
    <w:rsid w:val="00D02B4C"/>
    <w:rsid w:val="00D040C4"/>
    <w:rsid w:val="00D1065F"/>
    <w:rsid w:val="00D16776"/>
    <w:rsid w:val="00D20AD1"/>
    <w:rsid w:val="00D22AB9"/>
    <w:rsid w:val="00D2582C"/>
    <w:rsid w:val="00D41005"/>
    <w:rsid w:val="00D43414"/>
    <w:rsid w:val="00D45765"/>
    <w:rsid w:val="00D46B7E"/>
    <w:rsid w:val="00D57C84"/>
    <w:rsid w:val="00D6057D"/>
    <w:rsid w:val="00D62463"/>
    <w:rsid w:val="00D6553A"/>
    <w:rsid w:val="00D71640"/>
    <w:rsid w:val="00D750BC"/>
    <w:rsid w:val="00D836C5"/>
    <w:rsid w:val="00D84576"/>
    <w:rsid w:val="00D92EA9"/>
    <w:rsid w:val="00DA1399"/>
    <w:rsid w:val="00DA24C6"/>
    <w:rsid w:val="00DA4D7B"/>
    <w:rsid w:val="00DB6EAD"/>
    <w:rsid w:val="00DC2840"/>
    <w:rsid w:val="00DC73EE"/>
    <w:rsid w:val="00DD271C"/>
    <w:rsid w:val="00DD4309"/>
    <w:rsid w:val="00DE1AFB"/>
    <w:rsid w:val="00DE264A"/>
    <w:rsid w:val="00DE41BF"/>
    <w:rsid w:val="00DF5072"/>
    <w:rsid w:val="00E028F0"/>
    <w:rsid w:val="00E02D18"/>
    <w:rsid w:val="00E041E7"/>
    <w:rsid w:val="00E14DF6"/>
    <w:rsid w:val="00E20682"/>
    <w:rsid w:val="00E23CA1"/>
    <w:rsid w:val="00E3734C"/>
    <w:rsid w:val="00E409A8"/>
    <w:rsid w:val="00E50C12"/>
    <w:rsid w:val="00E65B91"/>
    <w:rsid w:val="00E7209D"/>
    <w:rsid w:val="00E72EAD"/>
    <w:rsid w:val="00E77223"/>
    <w:rsid w:val="00E851BF"/>
    <w:rsid w:val="00E8528B"/>
    <w:rsid w:val="00E85B94"/>
    <w:rsid w:val="00E9620A"/>
    <w:rsid w:val="00E978D0"/>
    <w:rsid w:val="00EA4613"/>
    <w:rsid w:val="00EA7D74"/>
    <w:rsid w:val="00EA7F91"/>
    <w:rsid w:val="00EB1523"/>
    <w:rsid w:val="00EC0E49"/>
    <w:rsid w:val="00EC101F"/>
    <w:rsid w:val="00EC1D9F"/>
    <w:rsid w:val="00EC6F96"/>
    <w:rsid w:val="00ED3022"/>
    <w:rsid w:val="00EE0131"/>
    <w:rsid w:val="00EE17B0"/>
    <w:rsid w:val="00EE6AD9"/>
    <w:rsid w:val="00EF06D9"/>
    <w:rsid w:val="00F02ACA"/>
    <w:rsid w:val="00F03594"/>
    <w:rsid w:val="00F07485"/>
    <w:rsid w:val="00F200D6"/>
    <w:rsid w:val="00F22B67"/>
    <w:rsid w:val="00F3049E"/>
    <w:rsid w:val="00F30C64"/>
    <w:rsid w:val="00F32BA2"/>
    <w:rsid w:val="00F32CDB"/>
    <w:rsid w:val="00F36A88"/>
    <w:rsid w:val="00F3784F"/>
    <w:rsid w:val="00F41EE4"/>
    <w:rsid w:val="00F565FE"/>
    <w:rsid w:val="00F62B1D"/>
    <w:rsid w:val="00F637FE"/>
    <w:rsid w:val="00F63A70"/>
    <w:rsid w:val="00F63D8C"/>
    <w:rsid w:val="00F70B2F"/>
    <w:rsid w:val="00F7534E"/>
    <w:rsid w:val="00F77C41"/>
    <w:rsid w:val="00F93EDF"/>
    <w:rsid w:val="00FA1802"/>
    <w:rsid w:val="00FA21D0"/>
    <w:rsid w:val="00FA5EE0"/>
    <w:rsid w:val="00FA5F5F"/>
    <w:rsid w:val="00FB2076"/>
    <w:rsid w:val="00FB730C"/>
    <w:rsid w:val="00FC2695"/>
    <w:rsid w:val="00FC3E03"/>
    <w:rsid w:val="00FC3FC1"/>
    <w:rsid w:val="00FC63C1"/>
    <w:rsid w:val="00FE0F78"/>
    <w:rsid w:val="00FF09E6"/>
    <w:rsid w:val="00FF5B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4F0227"/>
    <w:rPr>
      <w:color w:val="808080"/>
    </w:rPr>
  </w:style>
  <w:style w:type="character" w:customStyle="1" w:styleId="Mencinsinresolver1">
    <w:name w:val="Mención sin resolver1"/>
    <w:basedOn w:val="DefaultParagraphFont"/>
    <w:uiPriority w:val="99"/>
    <w:semiHidden/>
    <w:unhideWhenUsed/>
    <w:rsid w:val="00495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30909">
      <w:bodyDiv w:val="1"/>
      <w:marLeft w:val="0"/>
      <w:marRight w:val="0"/>
      <w:marTop w:val="0"/>
      <w:marBottom w:val="0"/>
      <w:divBdr>
        <w:top w:val="none" w:sz="0" w:space="0" w:color="auto"/>
        <w:left w:val="none" w:sz="0" w:space="0" w:color="auto"/>
        <w:bottom w:val="none" w:sz="0" w:space="0" w:color="auto"/>
        <w:right w:val="none" w:sz="0" w:space="0" w:color="auto"/>
      </w:divBdr>
    </w:div>
    <w:div w:id="350299030">
      <w:bodyDiv w:val="1"/>
      <w:marLeft w:val="0"/>
      <w:marRight w:val="0"/>
      <w:marTop w:val="0"/>
      <w:marBottom w:val="0"/>
      <w:divBdr>
        <w:top w:val="none" w:sz="0" w:space="0" w:color="auto"/>
        <w:left w:val="none" w:sz="0" w:space="0" w:color="auto"/>
        <w:bottom w:val="none" w:sz="0" w:space="0" w:color="auto"/>
        <w:right w:val="none" w:sz="0" w:space="0" w:color="auto"/>
      </w:divBdr>
    </w:div>
    <w:div w:id="358358553">
      <w:bodyDiv w:val="1"/>
      <w:marLeft w:val="0"/>
      <w:marRight w:val="0"/>
      <w:marTop w:val="0"/>
      <w:marBottom w:val="0"/>
      <w:divBdr>
        <w:top w:val="none" w:sz="0" w:space="0" w:color="auto"/>
        <w:left w:val="none" w:sz="0" w:space="0" w:color="auto"/>
        <w:bottom w:val="none" w:sz="0" w:space="0" w:color="auto"/>
        <w:right w:val="none" w:sz="0" w:space="0" w:color="auto"/>
      </w:divBdr>
    </w:div>
    <w:div w:id="424112174">
      <w:bodyDiv w:val="1"/>
      <w:marLeft w:val="0"/>
      <w:marRight w:val="0"/>
      <w:marTop w:val="0"/>
      <w:marBottom w:val="0"/>
      <w:divBdr>
        <w:top w:val="none" w:sz="0" w:space="0" w:color="auto"/>
        <w:left w:val="none" w:sz="0" w:space="0" w:color="auto"/>
        <w:bottom w:val="none" w:sz="0" w:space="0" w:color="auto"/>
        <w:right w:val="none" w:sz="0" w:space="0" w:color="auto"/>
      </w:divBdr>
    </w:div>
    <w:div w:id="576093367">
      <w:bodyDiv w:val="1"/>
      <w:marLeft w:val="0"/>
      <w:marRight w:val="0"/>
      <w:marTop w:val="0"/>
      <w:marBottom w:val="0"/>
      <w:divBdr>
        <w:top w:val="none" w:sz="0" w:space="0" w:color="auto"/>
        <w:left w:val="none" w:sz="0" w:space="0" w:color="auto"/>
        <w:bottom w:val="none" w:sz="0" w:space="0" w:color="auto"/>
        <w:right w:val="none" w:sz="0" w:space="0" w:color="auto"/>
      </w:divBdr>
    </w:div>
    <w:div w:id="6031533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304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011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111894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8255192">
      <w:bodyDiv w:val="1"/>
      <w:marLeft w:val="0"/>
      <w:marRight w:val="0"/>
      <w:marTop w:val="0"/>
      <w:marBottom w:val="0"/>
      <w:divBdr>
        <w:top w:val="none" w:sz="0" w:space="0" w:color="auto"/>
        <w:left w:val="none" w:sz="0" w:space="0" w:color="auto"/>
        <w:bottom w:val="none" w:sz="0" w:space="0" w:color="auto"/>
        <w:right w:val="none" w:sz="0" w:space="0" w:color="auto"/>
      </w:divBdr>
    </w:div>
    <w:div w:id="209663109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onzalezd1@unicartagena.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84286642853028"/>
          <c:y val="8.2188412196139038E-2"/>
          <c:w val="0.84487471981362816"/>
          <c:h val="0.7315644393749845"/>
        </c:manualLayout>
      </c:layout>
      <c:barChart>
        <c:barDir val="col"/>
        <c:grouping val="clustered"/>
        <c:varyColors val="1"/>
        <c:ser>
          <c:idx val="0"/>
          <c:order val="0"/>
          <c:invertIfNegative val="0"/>
          <c:dPt>
            <c:idx val="0"/>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1-7B44-4381-93AC-B06D369D1CAD}"/>
              </c:ext>
            </c:extLst>
          </c:dPt>
          <c:dPt>
            <c:idx val="1"/>
            <c:invertIfNegative val="0"/>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3-7B44-4381-93AC-B06D369D1CAD}"/>
              </c:ext>
            </c:extLst>
          </c:dPt>
          <c:dPt>
            <c:idx val="2"/>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5-7B44-4381-93AC-B06D369D1CAD}"/>
              </c:ext>
            </c:extLst>
          </c:dPt>
          <c:dPt>
            <c:idx val="3"/>
            <c:invertIfNegative val="0"/>
            <c:bubble3D val="0"/>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extLst>
              <c:ext xmlns:c16="http://schemas.microsoft.com/office/drawing/2014/chart" uri="{C3380CC4-5D6E-409C-BE32-E72D297353CC}">
                <c16:uniqueId val="{00000007-7B44-4381-93AC-B06D369D1CAD}"/>
              </c:ext>
            </c:extLst>
          </c:dPt>
          <c:dPt>
            <c:idx val="4"/>
            <c:invertIfNegative val="0"/>
            <c:bubble3D val="0"/>
            <c:spPr>
              <a:solidFill>
                <a:schemeClr val="accent5">
                  <a:lumMod val="75000"/>
                </a:schemeClr>
              </a:solidFill>
              <a:ln w="9525" cap="flat" cmpd="sng" algn="ctr">
                <a:solidFill>
                  <a:srgbClr val="002060"/>
                </a:solidFill>
                <a:round/>
              </a:ln>
              <a:effectLst/>
            </c:spPr>
            <c:extLst>
              <c:ext xmlns:c16="http://schemas.microsoft.com/office/drawing/2014/chart" uri="{C3380CC4-5D6E-409C-BE32-E72D297353CC}">
                <c16:uniqueId val="{00000009-7B44-4381-93AC-B06D369D1CAD}"/>
              </c:ext>
            </c:extLst>
          </c:dPt>
          <c:dPt>
            <c:idx val="5"/>
            <c:invertIfNegative val="0"/>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extLst>
              <c:ext xmlns:c16="http://schemas.microsoft.com/office/drawing/2014/chart" uri="{C3380CC4-5D6E-409C-BE32-E72D297353CC}">
                <c16:uniqueId val="{0000000B-7B44-4381-93AC-B06D369D1CAD}"/>
              </c:ext>
            </c:extLst>
          </c:dPt>
          <c:dPt>
            <c:idx val="6"/>
            <c:invertIfNegative val="0"/>
            <c:bubble3D val="0"/>
            <c:spPr>
              <a:solidFill>
                <a:schemeClr val="accent6">
                  <a:lumMod val="75000"/>
                </a:schemeClr>
              </a:solidFill>
              <a:ln w="9525" cap="flat" cmpd="sng" algn="ctr">
                <a:solidFill>
                  <a:schemeClr val="accent6">
                    <a:lumMod val="50000"/>
                  </a:schemeClr>
                </a:solidFill>
                <a:round/>
              </a:ln>
              <a:effectLst/>
            </c:spPr>
            <c:extLst>
              <c:ext xmlns:c16="http://schemas.microsoft.com/office/drawing/2014/chart" uri="{C3380CC4-5D6E-409C-BE32-E72D297353CC}">
                <c16:uniqueId val="{0000000D-7B44-4381-93AC-B06D369D1CAD}"/>
              </c:ext>
            </c:extLst>
          </c:dPt>
          <c:dPt>
            <c:idx val="7"/>
            <c:invertIfNegative val="0"/>
            <c:bubble3D val="0"/>
            <c:spPr>
              <a:solidFill>
                <a:schemeClr val="accent2">
                  <a:lumMod val="75000"/>
                </a:schemeClr>
              </a:solidFill>
              <a:ln w="9525" cap="flat" cmpd="sng" algn="ctr">
                <a:solidFill>
                  <a:schemeClr val="accent2">
                    <a:lumMod val="50000"/>
                  </a:schemeClr>
                </a:solidFill>
                <a:round/>
              </a:ln>
              <a:effectLst/>
            </c:spPr>
            <c:extLst>
              <c:ext xmlns:c16="http://schemas.microsoft.com/office/drawing/2014/chart" uri="{C3380CC4-5D6E-409C-BE32-E72D297353CC}">
                <c16:uniqueId val="{0000000F-7B44-4381-93AC-B06D369D1CAD}"/>
              </c:ext>
            </c:extLst>
          </c:dPt>
          <c:dPt>
            <c:idx val="8"/>
            <c:invertIfNegative val="0"/>
            <c:bubble3D val="0"/>
            <c:spPr>
              <a:solidFill>
                <a:schemeClr val="bg2">
                  <a:lumMod val="50000"/>
                </a:schemeClr>
              </a:solidFill>
              <a:ln w="9525" cap="flat" cmpd="sng" algn="ctr">
                <a:solidFill>
                  <a:schemeClr val="bg2">
                    <a:lumMod val="25000"/>
                  </a:schemeClr>
                </a:solidFill>
                <a:round/>
              </a:ln>
              <a:effectLst/>
            </c:spPr>
            <c:extLst>
              <c:ext xmlns:c16="http://schemas.microsoft.com/office/drawing/2014/chart" uri="{C3380CC4-5D6E-409C-BE32-E72D297353CC}">
                <c16:uniqueId val="{00000011-7B44-4381-93AC-B06D369D1CAD}"/>
              </c:ext>
            </c:extLst>
          </c:dPt>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'Technical Evaluation'!$U$7:$U$15</c:f>
              <c:strCache>
                <c:ptCount val="9"/>
                <c:pt idx="0">
                  <c:v>Production Yield</c:v>
                </c:pt>
                <c:pt idx="1">
                  <c:v>FWC</c:v>
                </c:pt>
                <c:pt idx="2">
                  <c:v>TCF</c:v>
                </c:pt>
                <c:pt idx="3">
                  <c:v>WPR</c:v>
                </c:pt>
                <c:pt idx="4">
                  <c:v>IRUM</c:v>
                </c:pt>
                <c:pt idx="5">
                  <c:v>TCE</c:v>
                </c:pt>
                <c:pt idx="6">
                  <c:v>ESI</c:v>
                </c:pt>
                <c:pt idx="7">
                  <c:v>NGCI</c:v>
                </c:pt>
                <c:pt idx="8">
                  <c:v>EECI</c:v>
                </c:pt>
              </c:strCache>
            </c:strRef>
          </c:cat>
          <c:val>
            <c:numRef>
              <c:f>'Technical Evaluation'!$V$7:$V$15</c:f>
              <c:numCache>
                <c:formatCode>0.00%</c:formatCode>
                <c:ptCount val="9"/>
                <c:pt idx="0">
                  <c:v>0.78336858752496108</c:v>
                </c:pt>
                <c:pt idx="1">
                  <c:v>0.61934873456944406</c:v>
                </c:pt>
                <c:pt idx="2">
                  <c:v>0.83225690182275136</c:v>
                </c:pt>
                <c:pt idx="3">
                  <c:v>0.46929704288800073</c:v>
                </c:pt>
                <c:pt idx="4">
                  <c:v>0.28795384290201725</c:v>
                </c:pt>
                <c:pt idx="5">
                  <c:v>0.50377936432267179</c:v>
                </c:pt>
                <c:pt idx="6">
                  <c:v>0.89224313890331275</c:v>
                </c:pt>
                <c:pt idx="7">
                  <c:v>0.33594539766402431</c:v>
                </c:pt>
                <c:pt idx="8">
                  <c:v>0.66666666666666663</c:v>
                </c:pt>
              </c:numCache>
            </c:numRef>
          </c:val>
          <c:extLst>
            <c:ext xmlns:c16="http://schemas.microsoft.com/office/drawing/2014/chart" uri="{C3380CC4-5D6E-409C-BE32-E72D297353CC}">
              <c16:uniqueId val="{00000012-7B44-4381-93AC-B06D369D1CAD}"/>
            </c:ext>
          </c:extLst>
        </c:ser>
        <c:dLbls>
          <c:dLblPos val="outEnd"/>
          <c:showLegendKey val="0"/>
          <c:showVal val="1"/>
          <c:showCatName val="0"/>
          <c:showSerName val="0"/>
          <c:showPercent val="0"/>
          <c:showBubbleSize val="0"/>
        </c:dLbls>
        <c:gapWidth val="100"/>
        <c:overlap val="-24"/>
        <c:axId val="1043358624"/>
        <c:axId val="1043355264"/>
      </c:barChart>
      <c:catAx>
        <c:axId val="1043358624"/>
        <c:scaling>
          <c:orientation val="minMax"/>
        </c:scaling>
        <c:delete val="0"/>
        <c:axPos val="b"/>
        <c:title>
          <c:tx>
            <c:rich>
              <a:bodyPr rot="0" spcFirstLastPara="1" vertOverflow="ellipsis" vert="horz" wrap="square" anchor="ctr" anchorCtr="1"/>
              <a:lstStyle/>
              <a:p>
                <a:pPr>
                  <a:defRPr sz="7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US" sz="700" b="1" cap="none" baseline="0">
                    <a:solidFill>
                      <a:sysClr val="windowText" lastClr="000000"/>
                    </a:solidFill>
                    <a:latin typeface="Arial" panose="020B0604020202020204" pitchFamily="34" charset="0"/>
                    <a:cs typeface="Arial" panose="020B0604020202020204" pitchFamily="34" charset="0"/>
                  </a:rPr>
                  <a:t>Indicators</a:t>
                </a:r>
              </a:p>
            </c:rich>
          </c:tx>
          <c:layout>
            <c:manualLayout>
              <c:xMode val="edge"/>
              <c:yMode val="edge"/>
              <c:x val="0.44841263010029292"/>
              <c:y val="0.90570721118177389"/>
            </c:manualLayout>
          </c:layout>
          <c:overlay val="0"/>
          <c:spPr>
            <a:noFill/>
            <a:ln>
              <a:noFill/>
            </a:ln>
            <a:effectLst/>
          </c:spPr>
          <c:txPr>
            <a:bodyPr rot="0" spcFirstLastPara="1" vertOverflow="ellipsis" vert="horz" wrap="square" anchor="ctr" anchorCtr="1"/>
            <a:lstStyle/>
            <a:p>
              <a:pPr>
                <a:defRPr sz="7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043355264"/>
        <c:crosses val="autoZero"/>
        <c:auto val="1"/>
        <c:lblAlgn val="ctr"/>
        <c:lblOffset val="100"/>
        <c:noMultiLvlLbl val="0"/>
      </c:catAx>
      <c:valAx>
        <c:axId val="1043355264"/>
        <c:scaling>
          <c:orientation val="minMax"/>
          <c:max val="1"/>
        </c:scaling>
        <c:delete val="0"/>
        <c:axPos val="l"/>
        <c:title>
          <c:tx>
            <c:rich>
              <a:bodyPr rot="-5400000" spcFirstLastPara="1" vertOverflow="ellipsis" vert="horz" wrap="square" anchor="ctr" anchorCtr="1"/>
              <a:lstStyle/>
              <a:p>
                <a:pPr>
                  <a:defRPr sz="7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CO" sz="700" b="1" cap="none" baseline="0">
                    <a:solidFill>
                      <a:sysClr val="windowText" lastClr="000000"/>
                    </a:solidFill>
                    <a:latin typeface="Arial" panose="020B0604020202020204" pitchFamily="34" charset="0"/>
                    <a:cs typeface="Arial" panose="020B0604020202020204" pitchFamily="34" charset="0"/>
                  </a:rPr>
                  <a:t>Efficiency</a:t>
                </a:r>
                <a:r>
                  <a:rPr lang="es-CO" sz="700" b="1">
                    <a:solidFill>
                      <a:sysClr val="windowText" lastClr="000000"/>
                    </a:solidFill>
                    <a:latin typeface="Arial" panose="020B0604020202020204" pitchFamily="34" charset="0"/>
                    <a:cs typeface="Arial" panose="020B0604020202020204" pitchFamily="34" charset="0"/>
                  </a:rPr>
                  <a:t> (%)</a:t>
                </a:r>
              </a:p>
            </c:rich>
          </c:tx>
          <c:layout>
            <c:manualLayout>
              <c:xMode val="edge"/>
              <c:yMode val="edge"/>
              <c:x val="3.3982977833100017E-2"/>
              <c:y val="0.33160583314936098"/>
            </c:manualLayout>
          </c:layout>
          <c:overlay val="0"/>
          <c:spPr>
            <a:noFill/>
            <a:ln>
              <a:noFill/>
            </a:ln>
            <a:effectLst/>
          </c:spPr>
          <c:txPr>
            <a:bodyPr rot="-5400000" spcFirstLastPara="1" vertOverflow="ellipsis" vert="horz" wrap="square" anchor="ctr" anchorCtr="1"/>
            <a:lstStyle/>
            <a:p>
              <a:pPr>
                <a:defRPr sz="700" b="1"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0"/>
        <c:majorTickMark val="none"/>
        <c:minorTickMark val="none"/>
        <c:tickLblPos val="nextTo"/>
        <c:spPr>
          <a:noFill/>
          <a:ln w="9525" cap="flat" cmpd="sng" algn="ctr">
            <a:solidFill>
              <a:sysClr val="windowText" lastClr="000000"/>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043358624"/>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900">
          <a:latin typeface="Palatino Linotype" panose="02040502050505030304" pitchFamily="18"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35C5-3B02-4A99-8D57-D7653EFA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3367</Words>
  <Characters>21219</Characters>
  <Application>Microsoft Office Word</Application>
  <DocSecurity>0</DocSecurity>
  <Lines>359</Lines>
  <Paragraphs>153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Sofía García Maza</cp:lastModifiedBy>
  <cp:revision>15</cp:revision>
  <cp:lastPrinted>2015-05-12T18:31:00Z</cp:lastPrinted>
  <dcterms:created xsi:type="dcterms:W3CDTF">2025-06-06T15:38:00Z</dcterms:created>
  <dcterms:modified xsi:type="dcterms:W3CDTF">2025-08-08T15:25:00Z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d262e3a96c42ff2a9050c64cba59ec716ad7e863bad1c3c7a2fc7e32bc9927d0</vt:lpwstr>
  </property>
</Properties>
</file>