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4E2A132" w:rsidR="00E978D0" w:rsidRPr="00B57B36" w:rsidRDefault="60717719" w:rsidP="00E978D0">
      <w:pPr>
        <w:pStyle w:val="CETTitle"/>
      </w:pPr>
      <w:r>
        <w:t xml:space="preserve">Dynamic simulation </w:t>
      </w:r>
      <w:r w:rsidR="328C5D94">
        <w:t xml:space="preserve">and </w:t>
      </w:r>
      <w:r w:rsidR="00032630">
        <w:t>R</w:t>
      </w:r>
      <w:r w:rsidR="328C5D94">
        <w:t xml:space="preserve">esidence time </w:t>
      </w:r>
      <w:r w:rsidR="00032630">
        <w:t>O</w:t>
      </w:r>
      <w:r w:rsidR="328C5D94">
        <w:t>ptimization</w:t>
      </w:r>
      <w:r w:rsidR="711C5719">
        <w:t xml:space="preserve"> </w:t>
      </w:r>
      <w:r w:rsidR="29505F6F">
        <w:t xml:space="preserve">of an Autohydrolysis Reactor </w:t>
      </w:r>
      <w:r w:rsidR="711C5719">
        <w:t>for the</w:t>
      </w:r>
      <w:r w:rsidR="004650A3">
        <w:t xml:space="preserve"> </w:t>
      </w:r>
      <w:proofErr w:type="spellStart"/>
      <w:r w:rsidR="004650A3">
        <w:t>Valorization</w:t>
      </w:r>
      <w:proofErr w:type="spellEnd"/>
      <w:r w:rsidR="004650A3">
        <w:t xml:space="preserve"> of Lignocellulosic </w:t>
      </w:r>
      <w:r w:rsidR="00BA2342">
        <w:t>Waste</w:t>
      </w:r>
    </w:p>
    <w:p w14:paraId="0488FED2" w14:textId="73698819" w:rsidR="00B57E6F" w:rsidRPr="001415F7" w:rsidRDefault="00BA2342" w:rsidP="00B57E6F">
      <w:pPr>
        <w:pStyle w:val="CETAuthors"/>
        <w:rPr>
          <w:lang w:val="it-IT"/>
        </w:rPr>
      </w:pPr>
      <w:r w:rsidRPr="001415F7">
        <w:rPr>
          <w:lang w:val="it-IT"/>
        </w:rPr>
        <w:t>Mattia Vallerio</w:t>
      </w:r>
      <w:r w:rsidR="00B57E6F" w:rsidRPr="001415F7">
        <w:rPr>
          <w:vertAlign w:val="superscript"/>
          <w:lang w:val="it-IT"/>
        </w:rPr>
        <w:t>a</w:t>
      </w:r>
      <w:r w:rsidR="00B57E6F" w:rsidRPr="001415F7">
        <w:rPr>
          <w:lang w:val="it-IT"/>
        </w:rPr>
        <w:t>,</w:t>
      </w:r>
      <w:r w:rsidRPr="001415F7">
        <w:rPr>
          <w:lang w:val="it-IT"/>
        </w:rPr>
        <w:t xml:space="preserve"> Giorgia Spigno</w:t>
      </w:r>
      <w:r w:rsidR="001415F7" w:rsidRPr="001415F7">
        <w:rPr>
          <w:vertAlign w:val="superscript"/>
          <w:lang w:val="it-IT"/>
        </w:rPr>
        <w:t>b</w:t>
      </w:r>
      <w:r w:rsidRPr="001415F7">
        <w:rPr>
          <w:lang w:val="it-IT"/>
        </w:rPr>
        <w:t>, Flavio Manenti</w:t>
      </w:r>
      <w:r w:rsidR="001415F7" w:rsidRPr="001415F7">
        <w:rPr>
          <w:vertAlign w:val="superscript"/>
          <w:lang w:val="it-IT"/>
        </w:rPr>
        <w:t>a</w:t>
      </w:r>
      <w:r w:rsidRPr="001415F7">
        <w:rPr>
          <w:lang w:val="it-IT"/>
        </w:rPr>
        <w:t>,</w:t>
      </w:r>
      <w:r w:rsidR="00B57E6F" w:rsidRPr="001415F7">
        <w:rPr>
          <w:lang w:val="it-IT"/>
        </w:rPr>
        <w:t xml:space="preserve"> </w:t>
      </w:r>
      <w:r w:rsidRPr="001415F7">
        <w:rPr>
          <w:lang w:val="it-IT"/>
        </w:rPr>
        <w:t>Andrea Bassani</w:t>
      </w:r>
      <w:r w:rsidR="00B57E6F" w:rsidRPr="001415F7">
        <w:rPr>
          <w:vertAlign w:val="superscript"/>
          <w:lang w:val="it-IT"/>
        </w:rPr>
        <w:t>b,</w:t>
      </w:r>
      <w:r w:rsidR="00B57E6F" w:rsidRPr="001415F7">
        <w:rPr>
          <w:lang w:val="it-IT"/>
        </w:rPr>
        <w:t>*</w:t>
      </w:r>
    </w:p>
    <w:p w14:paraId="6B2D21B3" w14:textId="00799CDB" w:rsidR="00B57E6F" w:rsidRPr="008E20D2" w:rsidRDefault="00B57E6F" w:rsidP="00B57E6F">
      <w:pPr>
        <w:pStyle w:val="CETAddress"/>
        <w:rPr>
          <w:lang w:val="it-IT"/>
        </w:rPr>
      </w:pPr>
      <w:r w:rsidRPr="008E20D2">
        <w:rPr>
          <w:vertAlign w:val="superscript"/>
          <w:lang w:val="it-IT"/>
        </w:rPr>
        <w:t>a</w:t>
      </w:r>
      <w:r w:rsidR="008E20D2" w:rsidRPr="008E20D2">
        <w:rPr>
          <w:lang w:val="it-IT"/>
        </w:rPr>
        <w:t xml:space="preserve">Dipartimento di Chimica, Materiali e Ingegneria Chimica “Giulio Natta”, Politecnico di Milano, Piazza Leonardo Da Vinci, 32, Milan, 20133, Italy </w:t>
      </w:r>
      <w:r w:rsidRPr="008E20D2">
        <w:rPr>
          <w:lang w:val="it-IT"/>
        </w:rPr>
        <w:t xml:space="preserve"> </w:t>
      </w:r>
    </w:p>
    <w:p w14:paraId="3D72B0B0" w14:textId="092D860E" w:rsidR="00B57E6F" w:rsidRPr="006534B4" w:rsidRDefault="00B57E6F" w:rsidP="00B57E6F">
      <w:pPr>
        <w:pStyle w:val="CETAddress"/>
        <w:rPr>
          <w:lang w:val="it-IT"/>
        </w:rPr>
      </w:pPr>
      <w:r w:rsidRPr="006534B4">
        <w:rPr>
          <w:vertAlign w:val="superscript"/>
          <w:lang w:val="it-IT"/>
        </w:rPr>
        <w:t>b</w:t>
      </w:r>
      <w:r w:rsidR="006534B4" w:rsidRPr="006534B4">
        <w:rPr>
          <w:lang w:val="it-IT"/>
        </w:rPr>
        <w:t>Università Cattolica del Sacro Cuore, Department for Sustainbale Food Process (DiSTAS), Via Emilia Parmense 84, 29122 Piacenza, Italy</w:t>
      </w:r>
      <w:r w:rsidRPr="006534B4">
        <w:rPr>
          <w:lang w:val="it-IT"/>
        </w:rPr>
        <w:t xml:space="preserve"> </w:t>
      </w:r>
    </w:p>
    <w:p w14:paraId="73F1267A" w14:textId="765760D8" w:rsidR="00B57E6F" w:rsidRPr="00B57B36" w:rsidRDefault="006534B4" w:rsidP="00B57E6F">
      <w:pPr>
        <w:pStyle w:val="CETemail"/>
      </w:pPr>
      <w:hyperlink r:id="rId10" w:history="1">
        <w:r w:rsidRPr="009222A6">
          <w:rPr>
            <w:rStyle w:val="Collegamentoipertestuale"/>
            <w:lang w:val="en-US"/>
          </w:rPr>
          <w:t>andrea.bassani@unicatt.it</w:t>
        </w:r>
      </w:hyperlink>
      <w:r>
        <w:rPr>
          <w:lang w:val="en-US"/>
        </w:rPr>
        <w:t xml:space="preserve"> </w:t>
      </w:r>
    </w:p>
    <w:p w14:paraId="1A2213B0" w14:textId="5212DA9B" w:rsidR="00A05188" w:rsidRDefault="002C273C" w:rsidP="5E736752">
      <w:pPr>
        <w:pStyle w:val="CETBodytext"/>
        <w:rPr>
          <w:lang w:val="en-GB"/>
        </w:rPr>
      </w:pPr>
      <w:r w:rsidRPr="5E736752">
        <w:rPr>
          <w:lang w:val="en-GB"/>
        </w:rPr>
        <w:t xml:space="preserve">Lignocellulosic residues from agricultural and food-processing activities are increasingly recognized as promising feedstocks for the development of bio-based materials and sustainable energy carriers. In this framework, the </w:t>
      </w:r>
      <w:proofErr w:type="spellStart"/>
      <w:r w:rsidRPr="5E736752">
        <w:rPr>
          <w:lang w:val="en-GB"/>
        </w:rPr>
        <w:t>Cyclevit</w:t>
      </w:r>
      <w:proofErr w:type="spellEnd"/>
      <w:r w:rsidRPr="5E736752">
        <w:rPr>
          <w:lang w:val="en-GB"/>
        </w:rPr>
        <w:t xml:space="preserve"> project investigates a hybrid </w:t>
      </w:r>
      <w:proofErr w:type="spellStart"/>
      <w:r w:rsidRPr="5E736752">
        <w:rPr>
          <w:lang w:val="en-GB"/>
        </w:rPr>
        <w:t>valorization</w:t>
      </w:r>
      <w:proofErr w:type="spellEnd"/>
      <w:r w:rsidRPr="5E736752">
        <w:rPr>
          <w:lang w:val="en-GB"/>
        </w:rPr>
        <w:t xml:space="preserve"> approach combining autohydrolysis and </w:t>
      </w:r>
      <w:proofErr w:type="spellStart"/>
      <w:r w:rsidRPr="5E736752">
        <w:rPr>
          <w:lang w:val="en-GB"/>
        </w:rPr>
        <w:t>organosolv</w:t>
      </w:r>
      <w:proofErr w:type="spellEnd"/>
      <w:r w:rsidRPr="5E736752">
        <w:rPr>
          <w:lang w:val="en-GB"/>
        </w:rPr>
        <w:t xml:space="preserve"> treatments to extract cellulose and lignin, which are precursors for </w:t>
      </w:r>
      <w:proofErr w:type="spellStart"/>
      <w:r w:rsidRPr="5E736752">
        <w:rPr>
          <w:lang w:val="en-GB"/>
        </w:rPr>
        <w:t>vitrimers</w:t>
      </w:r>
      <w:proofErr w:type="spellEnd"/>
      <w:r w:rsidRPr="5E736752">
        <w:rPr>
          <w:lang w:val="en-GB"/>
        </w:rPr>
        <w:t xml:space="preserve">—recyclable polymer networks. This study had two primary goals: to carry out a dynamic </w:t>
      </w:r>
      <w:r w:rsidR="3076340E" w:rsidRPr="5E736752">
        <w:rPr>
          <w:lang w:val="en-GB"/>
        </w:rPr>
        <w:t xml:space="preserve">simulation </w:t>
      </w:r>
      <w:r w:rsidR="002D57AC" w:rsidRPr="5E736752">
        <w:rPr>
          <w:lang w:val="en-GB"/>
        </w:rPr>
        <w:t>in</w:t>
      </w:r>
      <w:r w:rsidR="76EDEDD9" w:rsidRPr="5E736752">
        <w:rPr>
          <w:lang w:val="en-GB"/>
        </w:rPr>
        <w:t xml:space="preserve"> the</w:t>
      </w:r>
      <w:r w:rsidR="002D57AC" w:rsidRPr="5E736752">
        <w:rPr>
          <w:lang w:val="en-GB"/>
        </w:rPr>
        <w:t xml:space="preserve"> Pomodoro toolkit </w:t>
      </w:r>
      <w:r w:rsidRPr="5E736752">
        <w:rPr>
          <w:lang w:val="en-GB"/>
        </w:rPr>
        <w:t xml:space="preserve">of the autohydrolysis process using a previously established kinetic model, and to </w:t>
      </w:r>
      <w:r w:rsidR="47498444" w:rsidRPr="5E736752">
        <w:rPr>
          <w:lang w:val="en-GB"/>
        </w:rPr>
        <w:t>optimize the residence time in the reactor.</w:t>
      </w:r>
      <w:r w:rsidRPr="5E736752">
        <w:rPr>
          <w:lang w:val="en-GB"/>
        </w:rPr>
        <w:t xml:space="preserve"> The kinetic model accounts for heat and mass transfer and simulates the thermal degradation of hemicellulose and cellulose. </w:t>
      </w:r>
      <w:r w:rsidR="006179E9" w:rsidRPr="5E736752">
        <w:rPr>
          <w:lang w:val="en-GB"/>
        </w:rPr>
        <w:t>Regarding o</w:t>
      </w:r>
      <w:r w:rsidRPr="5E736752">
        <w:rPr>
          <w:lang w:val="en-GB"/>
        </w:rPr>
        <w:t>ptimization</w:t>
      </w:r>
      <w:r w:rsidR="00827F54" w:rsidRPr="5E736752">
        <w:rPr>
          <w:lang w:val="en-GB"/>
        </w:rPr>
        <w:t>, the results showed</w:t>
      </w:r>
      <w:r w:rsidRPr="5E736752">
        <w:rPr>
          <w:lang w:val="en-GB"/>
        </w:rPr>
        <w:t xml:space="preserve"> sigmoidal degradation trends and stressed the need to fine-tune residence time to enhance hemicellulose solubilization while minimizing cellulose loss. </w:t>
      </w:r>
      <w:r w:rsidR="4A5D8837" w:rsidRPr="5E736752">
        <w:rPr>
          <w:rFonts w:eastAsia="Arial" w:cs="Arial"/>
          <w:color w:val="000000" w:themeColor="text1"/>
          <w:szCs w:val="18"/>
          <w:lang w:val="en-GB"/>
        </w:rPr>
        <w:t xml:space="preserve">These results lay the groundwork for a full dynamic optimization of the investigated reactor, including a possible extension to multi-objective optimization to explore the trade-offs with energy consumption with a systematic approach. </w:t>
      </w:r>
      <w:r w:rsidR="4A5D8837" w:rsidRPr="5E736752">
        <w:rPr>
          <w:lang w:val="en-GB"/>
        </w:rPr>
        <w:t xml:space="preserve"> </w:t>
      </w:r>
    </w:p>
    <w:p w14:paraId="73233075" w14:textId="0522A8D8" w:rsidR="00A05188" w:rsidRDefault="00A05188" w:rsidP="00600535">
      <w:pPr>
        <w:pStyle w:val="CETBodytext"/>
        <w:rPr>
          <w:lang w:val="en-GB"/>
        </w:rPr>
      </w:pPr>
    </w:p>
    <w:p w14:paraId="476B2F2E" w14:textId="52B36035" w:rsidR="00600535" w:rsidRPr="00B57B36" w:rsidRDefault="00600535" w:rsidP="00600535">
      <w:pPr>
        <w:pStyle w:val="CETHeading1"/>
        <w:rPr>
          <w:lang w:val="en-GB"/>
        </w:rPr>
      </w:pPr>
      <w:r w:rsidRPr="00B57B36">
        <w:rPr>
          <w:lang w:val="en-GB"/>
        </w:rPr>
        <w:t>Introduction</w:t>
      </w:r>
    </w:p>
    <w:p w14:paraId="580E058E" w14:textId="7C431F64" w:rsidR="00BC6941" w:rsidRDefault="00C4337A" w:rsidP="00600535">
      <w:pPr>
        <w:pStyle w:val="CETBodytext"/>
        <w:rPr>
          <w:lang w:val="en-GB"/>
        </w:rPr>
      </w:pPr>
      <w:r w:rsidRPr="5E736752">
        <w:rPr>
          <w:lang w:val="en-GB"/>
        </w:rPr>
        <w:t xml:space="preserve">Biomass and </w:t>
      </w:r>
      <w:proofErr w:type="spellStart"/>
      <w:r w:rsidRPr="5E736752">
        <w:rPr>
          <w:lang w:val="en-GB"/>
        </w:rPr>
        <w:t>agro</w:t>
      </w:r>
      <w:proofErr w:type="spellEnd"/>
      <w:r w:rsidRPr="5E736752">
        <w:rPr>
          <w:lang w:val="en-GB"/>
        </w:rPr>
        <w:t>-food waste byproducts can be valuable resources for energy and/or value-added compound production through thermochemical and fractionation processes. In recent times, numerous pretreatment and fractionation methods for lignocellulosic biomass have been investigated to improve the production of biofuels or chemicals</w:t>
      </w:r>
      <w:r w:rsidR="00FA5C12">
        <w:rPr>
          <w:lang w:val="en-GB"/>
        </w:rPr>
        <w:t xml:space="preserve"> (Prasad et al., 2023)</w:t>
      </w:r>
      <w:r w:rsidRPr="5E736752">
        <w:rPr>
          <w:lang w:val="en-GB"/>
        </w:rPr>
        <w:t xml:space="preserve">. Additionally, these techniques have been utilized to extract antioxidants, phenolic compounds, cellulose, and lignin from residues such as wheat straw and rice husk, thereby enhancing environmental sustainability. One example is the use of potentially eco-friendly autohydrolysis processes, which are being researched both as a promising pretreatment to improve the production of chemicals (e.g., butanol or ethanol) from woody materials </w:t>
      </w:r>
      <w:r w:rsidR="005A75DF" w:rsidRPr="5E736752">
        <w:rPr>
          <w:lang w:val="en-GB"/>
        </w:rPr>
        <w:t xml:space="preserve">(Amiri and Karimi, 2015) </w:t>
      </w:r>
      <w:r w:rsidRPr="5E736752">
        <w:rPr>
          <w:lang w:val="en-GB"/>
        </w:rPr>
        <w:t xml:space="preserve">and as an alternative to traditional mild acid hydrolysis for recovering antioxidants and/or lignin and cellulose for biofuel/energy production or as a polymer base. The latter is the focus of the </w:t>
      </w:r>
      <w:proofErr w:type="spellStart"/>
      <w:r w:rsidRPr="5E736752">
        <w:rPr>
          <w:lang w:val="en-GB"/>
        </w:rPr>
        <w:t>Cyclevit</w:t>
      </w:r>
      <w:proofErr w:type="spellEnd"/>
      <w:r w:rsidRPr="5E736752">
        <w:rPr>
          <w:lang w:val="en-GB"/>
        </w:rPr>
        <w:t xml:space="preserve"> project, which aims to explore the transformation of lignocellulosic agro-industrial residues into valuable materials, with a particular emphasis on producing </w:t>
      </w:r>
      <w:proofErr w:type="spellStart"/>
      <w:r w:rsidRPr="5E736752">
        <w:rPr>
          <w:lang w:val="en-GB"/>
        </w:rPr>
        <w:t>vitrimers</w:t>
      </w:r>
      <w:proofErr w:type="spellEnd"/>
      <w:r w:rsidRPr="5E736752">
        <w:rPr>
          <w:lang w:val="en-GB"/>
        </w:rPr>
        <w:t xml:space="preserve">, a class of recyclable and adaptable polymer networks </w:t>
      </w:r>
      <w:r w:rsidR="005A75DF" w:rsidRPr="5E736752">
        <w:rPr>
          <w:lang w:val="en-GB"/>
        </w:rPr>
        <w:t>(Cipriani et al., 2024)</w:t>
      </w:r>
      <w:r w:rsidRPr="5E736752">
        <w:rPr>
          <w:lang w:val="en-GB"/>
        </w:rPr>
        <w:t xml:space="preserve">. In brief, one of the project's steps is to develop and optimize combined autohydrolysis and </w:t>
      </w:r>
      <w:proofErr w:type="spellStart"/>
      <w:r w:rsidRPr="5E736752">
        <w:rPr>
          <w:lang w:val="en-GB"/>
        </w:rPr>
        <w:t>organosolv</w:t>
      </w:r>
      <w:proofErr w:type="spellEnd"/>
      <w:r w:rsidRPr="5E736752">
        <w:rPr>
          <w:lang w:val="en-GB"/>
        </w:rPr>
        <w:t xml:space="preserve"> treatments to recover cellulose and lignin (i.e., the basic compounds for </w:t>
      </w:r>
      <w:proofErr w:type="spellStart"/>
      <w:r w:rsidRPr="5E736752">
        <w:rPr>
          <w:lang w:val="en-GB"/>
        </w:rPr>
        <w:t>vitrimers</w:t>
      </w:r>
      <w:proofErr w:type="spellEnd"/>
      <w:r w:rsidRPr="5E736752">
        <w:rPr>
          <w:lang w:val="en-GB"/>
        </w:rPr>
        <w:t xml:space="preserve"> production) from different residues. </w:t>
      </w:r>
      <w:r w:rsidR="00AE0576" w:rsidRPr="5E736752">
        <w:rPr>
          <w:lang w:val="en-GB"/>
        </w:rPr>
        <w:t xml:space="preserve">In this context, creating kinetic and reactor models that can accurately represent and simulate autohydrolysis pretreatment is essential for fully utilizing the potential of biomasses or agricultural residues. Scientific literature has explored various mathematical models related to autohydrolysis, such as the severity factor model, response surface methodology, and kinetic model. However, </w:t>
      </w:r>
      <w:r w:rsidR="00E9513F" w:rsidRPr="5E736752">
        <w:rPr>
          <w:lang w:val="en-GB"/>
        </w:rPr>
        <w:t>the first two models</w:t>
      </w:r>
      <w:r w:rsidR="00AE0576" w:rsidRPr="5E736752">
        <w:rPr>
          <w:lang w:val="en-GB"/>
        </w:rPr>
        <w:t xml:space="preserve"> have several limitations, </w:t>
      </w:r>
      <w:r w:rsidR="00E96A21" w:rsidRPr="5E736752">
        <w:rPr>
          <w:lang w:val="en-GB"/>
        </w:rPr>
        <w:t xml:space="preserve">like </w:t>
      </w:r>
      <w:r w:rsidR="00AE0576" w:rsidRPr="5E736752">
        <w:rPr>
          <w:lang w:val="en-GB"/>
        </w:rPr>
        <w:t>inadequate consideration of heating and cooling phases</w:t>
      </w:r>
      <w:r w:rsidR="00BC6941" w:rsidRPr="5E736752">
        <w:rPr>
          <w:lang w:val="en-GB"/>
        </w:rPr>
        <w:t xml:space="preserve"> and</w:t>
      </w:r>
      <w:r w:rsidR="00393061" w:rsidRPr="5E736752">
        <w:rPr>
          <w:lang w:val="en-GB"/>
        </w:rPr>
        <w:t xml:space="preserve"> </w:t>
      </w:r>
      <w:r w:rsidR="007E1BDD" w:rsidRPr="5E736752">
        <w:rPr>
          <w:lang w:val="en-GB"/>
        </w:rPr>
        <w:t>the need for a large amount of experimental data</w:t>
      </w:r>
      <w:r w:rsidR="00BC6941" w:rsidRPr="5E736752">
        <w:rPr>
          <w:lang w:val="en-GB"/>
        </w:rPr>
        <w:t xml:space="preserve"> to calibrate the model, while the kinetic model</w:t>
      </w:r>
      <w:r w:rsidR="007B22D7" w:rsidRPr="5E736752">
        <w:rPr>
          <w:lang w:val="en-GB"/>
        </w:rPr>
        <w:t xml:space="preserve">s, despite </w:t>
      </w:r>
      <w:r w:rsidR="007B22D7" w:rsidRPr="5E736752">
        <w:rPr>
          <w:lang w:val="en-GB"/>
        </w:rPr>
        <w:lastRenderedPageBreak/>
        <w:t xml:space="preserve">overcome some of these issues, they have been little investigated </w:t>
      </w:r>
      <w:r w:rsidR="00F02A6F" w:rsidRPr="5E736752">
        <w:rPr>
          <w:lang w:val="en-GB"/>
        </w:rPr>
        <w:t xml:space="preserve">and therefore still present lack of flexibility for reuse model itself with different kind of biomass. </w:t>
      </w:r>
      <w:r w:rsidR="003A06EE" w:rsidRPr="5E736752">
        <w:rPr>
          <w:lang w:val="en-GB"/>
        </w:rPr>
        <w:t>Nevertheless, such models could be used to optimize the process, for example, by identifying the optimal temperature profile to reduce or separate a specific compound</w:t>
      </w:r>
      <w:r w:rsidR="00637D8F" w:rsidRPr="5E736752">
        <w:rPr>
          <w:lang w:val="en-GB"/>
        </w:rPr>
        <w:t xml:space="preserve">, reducing at the same time the energy </w:t>
      </w:r>
      <w:r w:rsidR="00C864D8" w:rsidRPr="5E736752">
        <w:rPr>
          <w:lang w:val="en-GB"/>
        </w:rPr>
        <w:t>consumption</w:t>
      </w:r>
      <w:r w:rsidR="003A06EE" w:rsidRPr="5E736752">
        <w:rPr>
          <w:lang w:val="en-GB"/>
        </w:rPr>
        <w:t>.</w:t>
      </w:r>
      <w:r w:rsidR="00637D8F" w:rsidRPr="5E736752">
        <w:rPr>
          <w:lang w:val="en-GB"/>
        </w:rPr>
        <w:t xml:space="preserve"> </w:t>
      </w:r>
      <w:r w:rsidR="2D13C239" w:rsidRPr="5E736752">
        <w:rPr>
          <w:lang w:val="en-GB"/>
        </w:rPr>
        <w:t>Therefore,</w:t>
      </w:r>
      <w:r w:rsidR="00637D8F" w:rsidRPr="5E736752">
        <w:rPr>
          <w:lang w:val="en-GB"/>
        </w:rPr>
        <w:t xml:space="preserve"> </w:t>
      </w:r>
      <w:r w:rsidR="006520E4" w:rsidRPr="5E736752">
        <w:rPr>
          <w:lang w:val="en-GB"/>
        </w:rPr>
        <w:t>t</w:t>
      </w:r>
      <w:r w:rsidR="00EE5803" w:rsidRPr="5E736752">
        <w:rPr>
          <w:lang w:val="en-GB"/>
        </w:rPr>
        <w:t>he</w:t>
      </w:r>
      <w:r w:rsidR="62FBD39B" w:rsidRPr="5E736752">
        <w:rPr>
          <w:lang w:val="en-GB"/>
        </w:rPr>
        <w:t xml:space="preserve"> main</w:t>
      </w:r>
      <w:r w:rsidR="00EE5803" w:rsidRPr="5E736752">
        <w:rPr>
          <w:lang w:val="en-GB"/>
        </w:rPr>
        <w:t xml:space="preserve"> objective of this work was to carry out an initial dynamic optimization of the autohydrolysis treatment using the kinetic model developed by Bassani et al. (2021), implemented through the Pomodoro software </w:t>
      </w:r>
      <w:r w:rsidR="00E969B5" w:rsidRPr="5E736752">
        <w:rPr>
          <w:lang w:val="en-GB"/>
        </w:rPr>
        <w:t>(</w:t>
      </w:r>
      <w:proofErr w:type="spellStart"/>
      <w:r w:rsidR="00E969B5" w:rsidRPr="5E736752">
        <w:rPr>
          <w:lang w:val="en-GB"/>
        </w:rPr>
        <w:t>Bhonsale</w:t>
      </w:r>
      <w:proofErr w:type="spellEnd"/>
      <w:r w:rsidR="00E969B5" w:rsidRPr="5E736752">
        <w:rPr>
          <w:lang w:val="en-GB"/>
        </w:rPr>
        <w:t xml:space="preserve"> et al., 2018)</w:t>
      </w:r>
      <w:r w:rsidR="27464509" w:rsidRPr="5E736752">
        <w:rPr>
          <w:lang w:val="en-GB"/>
        </w:rPr>
        <w:t>.</w:t>
      </w:r>
      <w:r w:rsidR="00EE5803" w:rsidRPr="5E736752">
        <w:rPr>
          <w:lang w:val="en-GB"/>
        </w:rPr>
        <w:t xml:space="preserve">Specifically, the autohydrolysis process is optimized to identify the operating conditions that maximize hemicellulose solubilization while minimizing cellulose dissolution, </w:t>
      </w:r>
      <w:r w:rsidR="0095624E" w:rsidRPr="5E736752">
        <w:rPr>
          <w:lang w:val="en-GB"/>
        </w:rPr>
        <w:t>to</w:t>
      </w:r>
      <w:r w:rsidR="00EE5803" w:rsidRPr="5E736752">
        <w:rPr>
          <w:lang w:val="en-GB"/>
        </w:rPr>
        <w:t xml:space="preserve"> preserve as much cellulose as possible in the solid residue</w:t>
      </w:r>
      <w:r w:rsidR="431E7AAA" w:rsidRPr="5E736752">
        <w:rPr>
          <w:lang w:val="en-GB"/>
        </w:rPr>
        <w:t xml:space="preserve"> at different temperature</w:t>
      </w:r>
      <w:r w:rsidR="00EE5803" w:rsidRPr="5E736752">
        <w:rPr>
          <w:lang w:val="en-GB"/>
        </w:rPr>
        <w:t xml:space="preserve">. Finally, using these optimal conditions, the potential recovery yield of cellulose and lignin will be estimated by combining the autohydrolysis and </w:t>
      </w:r>
      <w:proofErr w:type="spellStart"/>
      <w:r w:rsidR="00EE5803" w:rsidRPr="5E736752">
        <w:rPr>
          <w:lang w:val="en-GB"/>
        </w:rPr>
        <w:t>organosolv</w:t>
      </w:r>
      <w:proofErr w:type="spellEnd"/>
      <w:r w:rsidR="00EE5803" w:rsidRPr="5E736752">
        <w:rPr>
          <w:lang w:val="en-GB"/>
        </w:rPr>
        <w:t xml:space="preserve"> processes.</w:t>
      </w:r>
    </w:p>
    <w:p w14:paraId="5741900F" w14:textId="3BDC7BF5" w:rsidR="00453E24" w:rsidRDefault="001F3966" w:rsidP="00453E24">
      <w:pPr>
        <w:pStyle w:val="CETHeading1"/>
      </w:pPr>
      <w:r>
        <w:t>Material and Methods</w:t>
      </w:r>
    </w:p>
    <w:p w14:paraId="09406386" w14:textId="5FE0EA25" w:rsidR="00453E24" w:rsidRDefault="003B1A50" w:rsidP="00453E24">
      <w:pPr>
        <w:pStyle w:val="CETBodytext"/>
      </w:pPr>
      <w:r w:rsidRPr="003B1A50">
        <w:rPr>
          <w:lang w:val="en-GB"/>
        </w:rPr>
        <w:t xml:space="preserve">This section briefly describes both the kinetic model and the dynamic optimization framework used and presents the parameter estimation methodology developed </w:t>
      </w:r>
      <w:r>
        <w:rPr>
          <w:lang w:val="en-GB"/>
        </w:rPr>
        <w:t xml:space="preserve">and validated </w:t>
      </w:r>
      <w:r w:rsidRPr="003B1A50">
        <w:rPr>
          <w:lang w:val="en-GB"/>
        </w:rPr>
        <w:t xml:space="preserve">to enable the application of the kinetic model to different types of </w:t>
      </w:r>
      <w:proofErr w:type="gramStart"/>
      <w:r w:rsidRPr="003B1A50">
        <w:rPr>
          <w:lang w:val="en-GB"/>
        </w:rPr>
        <w:t>biomass</w:t>
      </w:r>
      <w:proofErr w:type="gramEnd"/>
      <w:r w:rsidR="00453E24">
        <w:t>.</w:t>
      </w:r>
    </w:p>
    <w:p w14:paraId="6D7D9B4D" w14:textId="277B47F2" w:rsidR="001F3966" w:rsidRDefault="00D61000" w:rsidP="001F3966">
      <w:pPr>
        <w:pStyle w:val="CETheadingx"/>
      </w:pPr>
      <w:r>
        <w:t>Kinetic model</w:t>
      </w:r>
    </w:p>
    <w:p w14:paraId="275B1D3E" w14:textId="6EF9EAB5" w:rsidR="001F3966" w:rsidRDefault="005D1DAE" w:rsidP="00453E24">
      <w:pPr>
        <w:pStyle w:val="CETBodytext"/>
      </w:pPr>
      <w:r>
        <w:t>As previously mentioned, the kinetic model used for the autohydrolysis treatment is the one developed by Bassani et al. (2021). This model is based on mass and energy balances, which allows the simulation to include both the heating and cooling phases. Moreover, it incorporates an initial approach to predict the degradation of cellulose and hemicellulose as a function of the amount of water used. The kinetic scheme adopted is relatively simple and essentially simulates the degradation of cellulose and hemicellulose through the formation of their respective oligosaccharides, followed by the production of the corresponding monosaccharides (glucose and xylose) and sugar degradation products. The kinetic laws are pH-dependent and follow the traditional Arrhenius equation.</w:t>
      </w:r>
    </w:p>
    <w:p w14:paraId="0636B784" w14:textId="262515C3" w:rsidR="00453E24" w:rsidRDefault="001F3966" w:rsidP="00453E24">
      <w:pPr>
        <w:pStyle w:val="CETheadingx"/>
      </w:pPr>
      <w:r w:rsidRPr="001F3966">
        <w:t>Optimal-control problem (OCP) formulation</w:t>
      </w:r>
      <w:r w:rsidR="00183C50">
        <w:t xml:space="preserve"> and solution</w:t>
      </w:r>
    </w:p>
    <w:p w14:paraId="7C2B0064" w14:textId="7D7BE192" w:rsidR="00453E24" w:rsidRDefault="001F3966" w:rsidP="00453E24">
      <w:pPr>
        <w:pStyle w:val="CETBodytext"/>
      </w:pPr>
      <w:r w:rsidRPr="001F3966">
        <w:t>The batch autohydrolysis simulation and optimization is posed as a parametric optimal-control problem</w:t>
      </w:r>
      <w:r w:rsidR="00A951F4">
        <w:t xml:space="preserve"> </w:t>
      </w:r>
      <w:r w:rsidR="00A951F4">
        <w:rPr>
          <w:lang w:val="en-GB"/>
        </w:rPr>
        <w:t>(</w:t>
      </w:r>
      <w:proofErr w:type="spellStart"/>
      <w:r w:rsidR="00A951F4" w:rsidRPr="00E969B5">
        <w:rPr>
          <w:lang w:val="en-GB"/>
        </w:rPr>
        <w:t>Bhonsale</w:t>
      </w:r>
      <w:proofErr w:type="spellEnd"/>
      <w:r w:rsidR="00A951F4">
        <w:rPr>
          <w:lang w:val="en-GB"/>
        </w:rPr>
        <w:t xml:space="preserve"> et al., 2018)</w:t>
      </w:r>
      <w:r w:rsidRPr="001F3966">
        <w:t>:</w:t>
      </w:r>
      <w:r>
        <w:t xml:space="preserve"> </w:t>
      </w:r>
    </w:p>
    <w:p w14:paraId="75963B49" w14:textId="77777777" w:rsidR="001F3966" w:rsidRDefault="001F3966" w:rsidP="00453E24">
      <w:pPr>
        <w:pStyle w:val="CETBodytext"/>
      </w:pPr>
    </w:p>
    <w:tbl>
      <w:tblPr>
        <w:tblW w:w="5000" w:type="pct"/>
        <w:tblLook w:val="04A0" w:firstRow="1" w:lastRow="0" w:firstColumn="1" w:lastColumn="0" w:noHBand="0" w:noVBand="1"/>
      </w:tblPr>
      <w:tblGrid>
        <w:gridCol w:w="7959"/>
        <w:gridCol w:w="828"/>
      </w:tblGrid>
      <w:tr w:rsidR="00A8204F" w:rsidRPr="00B57B36" w14:paraId="5524EEE5" w14:textId="77777777" w:rsidTr="0076108C">
        <w:tc>
          <w:tcPr>
            <w:tcW w:w="7959" w:type="dxa"/>
            <w:vAlign w:val="center"/>
          </w:tcPr>
          <w:p w14:paraId="21316627" w14:textId="3B848ABC" w:rsidR="00A8204F" w:rsidRPr="00B57B36" w:rsidRDefault="001A0C15" w:rsidP="008F0EDF">
            <w:pPr>
              <w:pStyle w:val="CETEquation"/>
            </w:pPr>
            <w:r w:rsidRPr="007D1EBD">
              <w:rPr>
                <w:noProof/>
              </w:rPr>
              <w:drawing>
                <wp:inline distT="0" distB="0" distL="0" distR="0" wp14:anchorId="66CB2BA8" wp14:editId="1B56B250">
                  <wp:extent cx="3238666" cy="1352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8666" cy="1352620"/>
                          </a:xfrm>
                          <a:prstGeom prst="rect">
                            <a:avLst/>
                          </a:prstGeom>
                        </pic:spPr>
                      </pic:pic>
                    </a:graphicData>
                  </a:graphic>
                </wp:inline>
              </w:drawing>
            </w:r>
          </w:p>
        </w:tc>
        <w:tc>
          <w:tcPr>
            <w:tcW w:w="828" w:type="dxa"/>
            <w:vAlign w:val="center"/>
          </w:tcPr>
          <w:p w14:paraId="7F28A3E8" w14:textId="77777777" w:rsidR="00A8204F" w:rsidRPr="00B57B36" w:rsidRDefault="00A8204F" w:rsidP="00525CE2">
            <w:pPr>
              <w:pStyle w:val="CETEquation"/>
              <w:jc w:val="right"/>
            </w:pPr>
            <w:r w:rsidRPr="00B57B36">
              <w:t>(1)</w:t>
            </w:r>
          </w:p>
        </w:tc>
      </w:tr>
    </w:tbl>
    <w:p w14:paraId="2E5357C9" w14:textId="31D921FE" w:rsidR="001F3966" w:rsidRDefault="001F3966" w:rsidP="00453E24">
      <w:pPr>
        <w:pStyle w:val="CETBodytext"/>
      </w:pPr>
      <w:r>
        <w:t xml:space="preserve">Where, </w:t>
      </w:r>
      <w:r w:rsidRPr="001A0C15">
        <w:rPr>
          <w:i/>
          <w:iCs/>
        </w:rPr>
        <w:t>x</w:t>
      </w:r>
      <w:r w:rsidRPr="001F3966">
        <w:t xml:space="preserve"> represents the state variables</w:t>
      </w:r>
      <w:r>
        <w:t xml:space="preserve">, </w:t>
      </w:r>
      <w:r w:rsidRPr="001A0C15">
        <w:rPr>
          <w:i/>
          <w:iCs/>
        </w:rPr>
        <w:t>u</w:t>
      </w:r>
      <w:r w:rsidRPr="001F3966">
        <w:t xml:space="preserve"> the control variable</w:t>
      </w:r>
      <w:r w:rsidR="001A0C15">
        <w:t>,</w:t>
      </w:r>
      <w:r w:rsidR="006D567A">
        <w:t xml:space="preserve"> </w:t>
      </w:r>
      <w:r w:rsidR="006D567A" w:rsidRPr="004F5DB6">
        <w:rPr>
          <w:i/>
          <w:iCs/>
        </w:rPr>
        <w:t>p</w:t>
      </w:r>
      <w:r w:rsidR="006D567A" w:rsidRPr="006D567A">
        <w:t xml:space="preserve"> the fixed parameters</w:t>
      </w:r>
      <w:r w:rsidR="004F5DB6">
        <w:t xml:space="preserve">, </w:t>
      </w:r>
      <w:r w:rsidR="00B432D8" w:rsidRPr="00B432D8">
        <w:tab/>
      </w:r>
      <w:r w:rsidR="00B432D8" w:rsidRPr="00B432D8">
        <w:rPr>
          <w:i/>
          <w:iCs/>
        </w:rPr>
        <w:t>f</w:t>
      </w:r>
      <w:r w:rsidR="00B432D8">
        <w:t xml:space="preserve"> </w:t>
      </w:r>
      <w:r w:rsidR="00B432D8" w:rsidRPr="00B432D8">
        <w:t xml:space="preserve">is the </w:t>
      </w:r>
      <w:r w:rsidR="00A951F4">
        <w:t>system</w:t>
      </w:r>
      <w:r w:rsidR="00A951F4" w:rsidRPr="00B432D8">
        <w:t xml:space="preserve"> </w:t>
      </w:r>
      <w:r w:rsidR="00B432D8" w:rsidRPr="00B432D8">
        <w:t>of ODEs or DAEs</w:t>
      </w:r>
      <w:r w:rsidR="00B432D8">
        <w:t xml:space="preserve">, </w:t>
      </w:r>
      <w:r w:rsidR="005163F3" w:rsidRPr="005163F3">
        <w:rPr>
          <w:i/>
          <w:iCs/>
        </w:rPr>
        <w:t>J</w:t>
      </w:r>
      <w:r w:rsidR="005163F3" w:rsidRPr="005163F3">
        <w:t xml:space="preserve"> is the objective function – both Lagrange and Mayer terms can be defined</w:t>
      </w:r>
      <w:r w:rsidR="005163F3">
        <w:t>.</w:t>
      </w:r>
      <w:r w:rsidR="00855B48">
        <w:t xml:space="preserve"> </w:t>
      </w:r>
      <w:r w:rsidR="00FB1863" w:rsidRPr="00FB1863">
        <w:t xml:space="preserve">All functions are assumed </w:t>
      </w:r>
      <w:proofErr w:type="gramStart"/>
      <w:r w:rsidR="00FB1863" w:rsidRPr="00FB1863">
        <w:t>twice</w:t>
      </w:r>
      <w:proofErr w:type="gramEnd"/>
      <w:r w:rsidR="00FB1863" w:rsidRPr="00FB1863">
        <w:t xml:space="preserve"> differentiable, fulfilling the regularity conditions required by the </w:t>
      </w:r>
      <w:proofErr w:type="spellStart"/>
      <w:r w:rsidR="00FB1863" w:rsidRPr="00FB1863">
        <w:t>optimisation</w:t>
      </w:r>
      <w:proofErr w:type="spellEnd"/>
      <w:r w:rsidR="00FB1863" w:rsidRPr="00FB1863">
        <w:t xml:space="preserve"> algorithms used in the backhand</w:t>
      </w:r>
      <w:r w:rsidR="00FB1863">
        <w:t xml:space="preserve">. </w:t>
      </w:r>
    </w:p>
    <w:p w14:paraId="7CD9328C" w14:textId="60EE855B" w:rsidR="009102A2" w:rsidRDefault="009102A2" w:rsidP="009102A2">
      <w:pPr>
        <w:pStyle w:val="CETBodytext"/>
      </w:pPr>
      <w:r>
        <w:t>Following the methodology outlined by</w:t>
      </w:r>
      <w:r w:rsidR="00027AF6">
        <w:t xml:space="preserve"> </w:t>
      </w:r>
      <w:r>
        <w:t>Biegler</w:t>
      </w:r>
      <w:r w:rsidR="00027AF6">
        <w:t xml:space="preserve"> (2</w:t>
      </w:r>
      <w:r>
        <w:t xml:space="preserve">007), the continuous optimal control problem (OCP) is reformulated as a sparse nonlinear programming (NLP) problem using orthogonal collocation on third-order </w:t>
      </w:r>
      <w:proofErr w:type="spellStart"/>
      <w:r>
        <w:t>Radau</w:t>
      </w:r>
      <w:proofErr w:type="spellEnd"/>
      <w:r>
        <w:t xml:space="preserve"> points. This process begins by dividing the integration interval into a finite number of elements</w:t>
      </w:r>
      <w:r w:rsidR="005A0CDA">
        <w:t xml:space="preserve"> (</w:t>
      </w:r>
      <w:r w:rsidR="3D4A887C">
        <w:t>5</w:t>
      </w:r>
      <w:r>
        <w:t>0</w:t>
      </w:r>
      <w:r w:rsidR="005A0CDA">
        <w:t xml:space="preserve"> in this work)</w:t>
      </w:r>
      <w:r>
        <w:t>. Within each of these elements, the state and control trajectories are approximated using high-order polynomials. The coefficients of these polynomials then serve as the decision variables in the NLP.</w:t>
      </w:r>
      <w:r w:rsidR="00C67D0C">
        <w:t xml:space="preserve"> </w:t>
      </w:r>
      <w:r>
        <w:t xml:space="preserve">To ensure that the system dynamics are accurately captured, collocation residuals are used to enforce the differential equations (specifically, Eq. 1b) at the </w:t>
      </w:r>
      <w:proofErr w:type="spellStart"/>
      <w:r>
        <w:t>Radau</w:t>
      </w:r>
      <w:proofErr w:type="spellEnd"/>
      <w:r>
        <w:t xml:space="preserve"> points. Meanwhile, the remaining equations (1c through 1e) are directly translated into algebraic constraints within the NLP formulation.</w:t>
      </w:r>
      <w:r w:rsidR="007B2F73">
        <w:t xml:space="preserve"> </w:t>
      </w:r>
      <w:r>
        <w:t>Unlike single</w:t>
      </w:r>
      <w:r w:rsidR="007B2F73">
        <w:t xml:space="preserve"> </w:t>
      </w:r>
      <w:r>
        <w:t>or multiple-shooting methods, this fully discrete collocation approach eliminates the need for an external ODE solver. All decision variables are handled internally by the optimizer, which is particularly beneficial when dealing with stiff reaction networks, such as those encountered in autohydrolysis.</w:t>
      </w:r>
      <w:r w:rsidR="00F37F34">
        <w:t xml:space="preserve"> </w:t>
      </w:r>
    </w:p>
    <w:p w14:paraId="3180411D" w14:textId="6EC77F35" w:rsidR="00F37F34" w:rsidRDefault="00F37F34" w:rsidP="009102A2">
      <w:pPr>
        <w:pStyle w:val="CETBodytext"/>
        <w:rPr>
          <w:lang w:val="en-GB"/>
        </w:rPr>
      </w:pPr>
      <w:r w:rsidRPr="5E736752">
        <w:rPr>
          <w:lang w:val="en-GB"/>
        </w:rPr>
        <w:t xml:space="preserve">The numerical solution of the resulting NLP is handled using a combination of </w:t>
      </w:r>
      <w:r w:rsidRPr="5E736752">
        <w:rPr>
          <w:i/>
          <w:iCs/>
          <w:lang w:val="en-GB"/>
        </w:rPr>
        <w:t>CasADi</w:t>
      </w:r>
      <w:r w:rsidRPr="5E736752">
        <w:rPr>
          <w:lang w:val="en-GB"/>
        </w:rPr>
        <w:t xml:space="preserve"> and </w:t>
      </w:r>
      <w:r w:rsidRPr="5E736752">
        <w:rPr>
          <w:i/>
          <w:iCs/>
          <w:lang w:val="en-GB"/>
        </w:rPr>
        <w:t>Pomodoro</w:t>
      </w:r>
      <w:r w:rsidRPr="5E736752">
        <w:rPr>
          <w:lang w:val="en-GB"/>
        </w:rPr>
        <w:t>. CasADi provides algorithmic differentiation in both forward and reverse modes, enabling the generation of exact sparse Jacobians and Hessians</w:t>
      </w:r>
      <w:r w:rsidR="00FC4FC2" w:rsidRPr="5E736752">
        <w:rPr>
          <w:lang w:val="en-GB"/>
        </w:rPr>
        <w:t xml:space="preserve"> </w:t>
      </w:r>
      <w:r w:rsidR="000D6450" w:rsidRPr="5E736752">
        <w:rPr>
          <w:lang w:val="en-GB"/>
        </w:rPr>
        <w:t>(Andersson et al., 2019)</w:t>
      </w:r>
      <w:r w:rsidRPr="5E736752">
        <w:rPr>
          <w:lang w:val="en-GB"/>
        </w:rPr>
        <w:t xml:space="preserve">, while Pomodoro offers a high-level interface that automates </w:t>
      </w:r>
      <w:r w:rsidRPr="5E736752">
        <w:rPr>
          <w:lang w:val="en-GB"/>
        </w:rPr>
        <w:lastRenderedPageBreak/>
        <w:t>the construction of collocation meshes, implements normal-boundary-intersection scalarization for multi-objective problems, and facilitates the transfer of the problem to an NLP solver</w:t>
      </w:r>
      <w:r w:rsidR="00FC4FC2" w:rsidRPr="5E736752">
        <w:rPr>
          <w:lang w:val="en-GB"/>
        </w:rPr>
        <w:t xml:space="preserve"> </w:t>
      </w:r>
      <w:r w:rsidR="000D6450" w:rsidRPr="5E736752">
        <w:rPr>
          <w:lang w:val="en-GB"/>
        </w:rPr>
        <w:t>(</w:t>
      </w:r>
      <w:r w:rsidR="00A12D40" w:rsidRPr="5E736752">
        <w:rPr>
          <w:lang w:val="en-GB"/>
        </w:rPr>
        <w:t>Hashem et al., 2017</w:t>
      </w:r>
      <w:r w:rsidR="000D6450" w:rsidRPr="5E736752">
        <w:rPr>
          <w:lang w:val="en-GB"/>
        </w:rPr>
        <w:t>)</w:t>
      </w:r>
      <w:r w:rsidRPr="5E736752">
        <w:rPr>
          <w:lang w:val="en-GB"/>
        </w:rPr>
        <w:t xml:space="preserve">. The solver used is IPOPT, </w:t>
      </w:r>
      <w:r w:rsidRPr="008663DD">
        <w:rPr>
          <w:lang w:val="en-GB"/>
        </w:rPr>
        <w:t xml:space="preserve">which operates within an interior-point framework and can be seamlessly replaced by BONMIN for mixed-integer problems without requiring code modifications. Thanks to the use of exact derivatives and the exploitation of </w:t>
      </w:r>
      <w:r w:rsidRPr="008663DD">
        <w:rPr>
          <w:color w:val="000000" w:themeColor="text1"/>
          <w:lang w:val="en-GB"/>
        </w:rPr>
        <w:t>sparsity,</w:t>
      </w:r>
      <w:r w:rsidR="008663DD" w:rsidRPr="008663DD">
        <w:rPr>
          <w:rFonts w:eastAsia="Arial" w:cs="Arial"/>
          <w:color w:val="000000" w:themeColor="text1"/>
          <w:szCs w:val="18"/>
          <w:lang w:val="en-GB"/>
        </w:rPr>
        <w:t xml:space="preserve"> </w:t>
      </w:r>
      <w:r w:rsidR="3468260B" w:rsidRPr="008663DD">
        <w:rPr>
          <w:rFonts w:eastAsia="Arial" w:cs="Arial"/>
          <w:color w:val="000000" w:themeColor="text1"/>
          <w:szCs w:val="18"/>
          <w:lang w:val="en-GB"/>
        </w:rPr>
        <w:t>large scale dynamic optimization problems can be solved with an efficient use of computational resources and time.</w:t>
      </w:r>
      <w:r w:rsidRPr="008663DD">
        <w:rPr>
          <w:color w:val="000000" w:themeColor="text1"/>
          <w:lang w:val="en-GB"/>
        </w:rPr>
        <w:t xml:space="preserve"> This direct</w:t>
      </w:r>
      <w:r w:rsidRPr="5E736752">
        <w:rPr>
          <w:lang w:val="en-GB"/>
        </w:rPr>
        <w:t xml:space="preserve">-collocation, derivative-rich strategy closely follows the dynamic optimization framework described by </w:t>
      </w:r>
      <w:proofErr w:type="spellStart"/>
      <w:r w:rsidR="006C489C" w:rsidRPr="5E736752">
        <w:rPr>
          <w:lang w:val="en-GB"/>
        </w:rPr>
        <w:t>Bhonsale</w:t>
      </w:r>
      <w:proofErr w:type="spellEnd"/>
      <w:r w:rsidRPr="5E736752">
        <w:rPr>
          <w:lang w:val="en-GB"/>
        </w:rPr>
        <w:t xml:space="preserve"> et al. (201</w:t>
      </w:r>
      <w:r w:rsidR="006C489C" w:rsidRPr="5E736752">
        <w:rPr>
          <w:lang w:val="en-GB"/>
        </w:rPr>
        <w:t>6</w:t>
      </w:r>
      <w:r w:rsidRPr="5E736752">
        <w:rPr>
          <w:lang w:val="en-GB"/>
        </w:rPr>
        <w:t xml:space="preserve">) and serves as the foundation for all simulations and optimizations presented in this </w:t>
      </w:r>
      <w:r w:rsidR="514F34A0" w:rsidRPr="5E736752">
        <w:rPr>
          <w:lang w:val="en-GB"/>
        </w:rPr>
        <w:t>article</w:t>
      </w:r>
      <w:r w:rsidRPr="5E736752">
        <w:rPr>
          <w:lang w:val="en-GB"/>
        </w:rPr>
        <w:t>.</w:t>
      </w:r>
    </w:p>
    <w:p w14:paraId="12243C81" w14:textId="1DF508E7" w:rsidR="009F7D2F" w:rsidRDefault="00582247" w:rsidP="009F7D2F">
      <w:pPr>
        <w:pStyle w:val="CETheadingx"/>
      </w:pPr>
      <w:r>
        <w:t>Preliminary Estimation of Energy Consumption in the Auto-Hydrolysis Process</w:t>
      </w:r>
    </w:p>
    <w:p w14:paraId="605F3229" w14:textId="081D5B47" w:rsidR="00C15489" w:rsidRDefault="00673C99" w:rsidP="00673C99">
      <w:pPr>
        <w:pStyle w:val="CETBodytext"/>
        <w:rPr>
          <w:lang w:val="en-GB"/>
        </w:rPr>
      </w:pPr>
      <w:r>
        <w:t xml:space="preserve">The assessment of energy consumption during the auto-hydrolysis process requires consideration of several factors, including the heating capacity of the jacketed fluid or electric resistance, the thermal </w:t>
      </w:r>
      <w:r w:rsidR="00E342F6">
        <w:t>isolation</w:t>
      </w:r>
      <w:r>
        <w:t xml:space="preserve"> of the system from the external environment (which is particularly critical during the isothermal phase), and the design of the equipment, especially the available heat exchange surface.</w:t>
      </w:r>
      <w:r w:rsidR="00582247">
        <w:t xml:space="preserve"> </w:t>
      </w:r>
      <w:r>
        <w:t>Although the current kinetic model includes an equation capable of estimating temperature variations during the heating and cooling phases, it does not account for all these potential variables. Nevertheless, even a rough estimate of energy consumption can be valuable for identifying optimal operating conditions.</w:t>
      </w:r>
      <w:r w:rsidR="00582247">
        <w:t xml:space="preserve"> </w:t>
      </w:r>
      <w:r>
        <w:t>Therefore, as a preliminary approximation, the empirical formula proposed by Zhang et al. (2020) was adopted, as reported below:</w:t>
      </w:r>
      <w:r w:rsidR="009F7D2F">
        <w:t xml:space="preserve"> </w:t>
      </w:r>
    </w:p>
    <w:tbl>
      <w:tblPr>
        <w:tblW w:w="5000" w:type="pct"/>
        <w:tblLook w:val="04A0" w:firstRow="1" w:lastRow="0" w:firstColumn="1" w:lastColumn="0" w:noHBand="0" w:noVBand="1"/>
      </w:tblPr>
      <w:tblGrid>
        <w:gridCol w:w="7990"/>
        <w:gridCol w:w="797"/>
      </w:tblGrid>
      <w:tr w:rsidR="00582247" w:rsidRPr="00B57B36" w14:paraId="00EE0F92" w14:textId="77777777" w:rsidTr="00257E16">
        <w:tc>
          <w:tcPr>
            <w:tcW w:w="7990" w:type="dxa"/>
            <w:vAlign w:val="center"/>
          </w:tcPr>
          <w:p w14:paraId="463CF8F4" w14:textId="470EC9F1" w:rsidR="00582247" w:rsidRPr="00A24D39" w:rsidRDefault="000231E4" w:rsidP="008840E1">
            <w:pPr>
              <w:pStyle w:val="CETEquation"/>
            </w:pPr>
            <m:oMathPara>
              <m:oMathParaPr>
                <m:jc m:val="left"/>
              </m:oMathParaPr>
              <m:oMath>
                <m:r>
                  <w:rPr>
                    <w:rFonts w:ascii="Cambria Math" w:hAnsi="Cambria Math"/>
                  </w:rPr>
                  <m:t>EC</m:t>
                </m:r>
                <m:d>
                  <m:dPr>
                    <m:ctrlPr>
                      <w:rPr>
                        <w:rFonts w:ascii="Cambria Math" w:hAnsi="Cambria Math"/>
                        <w:i/>
                      </w:rPr>
                    </m:ctrlPr>
                  </m:dPr>
                  <m:e>
                    <m:r>
                      <w:rPr>
                        <w:rFonts w:ascii="Cambria Math" w:hAnsi="Cambria Math"/>
                      </w:rPr>
                      <m:t>kWh</m:t>
                    </m:r>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f>
                          <m:fPr>
                            <m:ctrlPr>
                              <w:rPr>
                                <w:rFonts w:ascii="Cambria Math" w:hAnsi="Cambria Math"/>
                                <w:i/>
                              </w:rPr>
                            </m:ctrlPr>
                          </m:fPr>
                          <m:num>
                            <m:r>
                              <w:rPr>
                                <w:rFonts w:ascii="Cambria Math" w:hAnsi="Cambria Math"/>
                              </w:rPr>
                              <m:t>T-20</m:t>
                            </m:r>
                          </m:num>
                          <m:den>
                            <m:r>
                              <w:rPr>
                                <w:rFonts w:ascii="Cambria Math" w:hAnsi="Cambria Math"/>
                              </w:rPr>
                              <m:t>5</m:t>
                            </m:r>
                            <m:f>
                              <m:fPr>
                                <m:ctrlPr>
                                  <w:rPr>
                                    <w:rFonts w:ascii="Cambria Math" w:hAnsi="Cambria Math"/>
                                    <w:i/>
                                  </w:rPr>
                                </m:ctrlPr>
                              </m:fPr>
                              <m:num>
                                <m:r>
                                  <w:rPr>
                                    <w:rFonts w:ascii="Cambria Math" w:hAnsi="Cambria Math"/>
                                  </w:rPr>
                                  <m:t>°C</m:t>
                                </m:r>
                              </m:num>
                              <m:den>
                                <m:r>
                                  <w:rPr>
                                    <w:rFonts w:ascii="Cambria Math" w:hAnsi="Cambria Math"/>
                                  </w:rPr>
                                  <m:t>min</m:t>
                                </m:r>
                              </m:den>
                            </m:f>
                          </m:den>
                        </m:f>
                        <m:d>
                          <m:dPr>
                            <m:ctrlPr>
                              <w:rPr>
                                <w:rFonts w:ascii="Cambria Math" w:hAnsi="Cambria Math"/>
                                <w:i/>
                              </w:rPr>
                            </m:ctrlPr>
                          </m:dPr>
                          <m:e>
                            <m:r>
                              <w:rPr>
                                <w:rFonts w:ascii="Cambria Math" w:hAnsi="Cambria Math"/>
                              </w:rPr>
                              <m:t>590W+210W</m:t>
                            </m:r>
                          </m:e>
                        </m:d>
                        <m:r>
                          <w:rPr>
                            <w:rFonts w:ascii="Cambria Math" w:hAnsi="Cambria Math"/>
                          </w:rPr>
                          <m:t>+</m:t>
                        </m:r>
                        <m:d>
                          <m:dPr>
                            <m:ctrlPr>
                              <w:rPr>
                                <w:rFonts w:ascii="Cambria Math" w:hAnsi="Cambria Math"/>
                                <w:i/>
                              </w:rPr>
                            </m:ctrlPr>
                          </m:dPr>
                          <m:e>
                            <m:r>
                              <w:rPr>
                                <w:rFonts w:ascii="Cambria Math" w:hAnsi="Cambria Math"/>
                              </w:rPr>
                              <m:t>150W+210W</m:t>
                            </m:r>
                          </m:e>
                        </m:d>
                        <m:r>
                          <w:rPr>
                            <w:rFonts w:ascii="Cambria Math" w:hAnsi="Cambria Math"/>
                          </w:rPr>
                          <m:t>t</m:t>
                        </m:r>
                      </m:e>
                    </m:d>
                  </m:num>
                  <m:den>
                    <m:r>
                      <w:rPr>
                        <w:rFonts w:ascii="Cambria Math" w:hAnsi="Cambria Math"/>
                      </w:rPr>
                      <m:t>60000</m:t>
                    </m:r>
                  </m:den>
                </m:f>
              </m:oMath>
            </m:oMathPara>
          </w:p>
        </w:tc>
        <w:tc>
          <w:tcPr>
            <w:tcW w:w="797" w:type="dxa"/>
            <w:vAlign w:val="center"/>
          </w:tcPr>
          <w:p w14:paraId="2C277631" w14:textId="3F6C2ADD" w:rsidR="00582247" w:rsidRPr="00B57B36" w:rsidRDefault="00582247" w:rsidP="008840E1">
            <w:pPr>
              <w:pStyle w:val="CETEquation"/>
              <w:jc w:val="right"/>
            </w:pPr>
            <w:r w:rsidRPr="00B57B36">
              <w:t>(</w:t>
            </w:r>
            <w:r w:rsidR="00C23A0E">
              <w:t>2</w:t>
            </w:r>
            <w:r w:rsidRPr="00B57B36">
              <w:t>)</w:t>
            </w:r>
          </w:p>
        </w:tc>
      </w:tr>
    </w:tbl>
    <w:p w14:paraId="05D27D6A" w14:textId="40B24BE5" w:rsidR="00582247" w:rsidRDefault="00257E16" w:rsidP="009102A2">
      <w:pPr>
        <w:pStyle w:val="CETBodytext"/>
        <w:rPr>
          <w:lang w:val="en-GB"/>
        </w:rPr>
      </w:pPr>
      <w:r w:rsidRPr="5E736752">
        <w:rPr>
          <w:lang w:val="en-GB"/>
        </w:rPr>
        <w:t xml:space="preserve">where </w:t>
      </w:r>
      <w:proofErr w:type="spellStart"/>
      <w:r w:rsidRPr="5E736752">
        <w:rPr>
          <w:i/>
          <w:iCs/>
          <w:lang w:val="en-GB"/>
        </w:rPr>
        <w:t>t</w:t>
      </w:r>
      <w:proofErr w:type="spellEnd"/>
      <w:r w:rsidRPr="5E736752">
        <w:rPr>
          <w:lang w:val="en-GB"/>
        </w:rPr>
        <w:t xml:space="preserve"> is the time in min of the isothermal phase, the heating speed was 5 °C/min, 590 W and 150 W are the power of heating and temperature control phase (</w:t>
      </w:r>
      <w:proofErr w:type="spellStart"/>
      <w:r w:rsidRPr="5E736752">
        <w:rPr>
          <w:lang w:val="en-GB"/>
        </w:rPr>
        <w:t>i.e</w:t>
      </w:r>
      <w:proofErr w:type="spellEnd"/>
      <w:r w:rsidRPr="5E736752">
        <w:rPr>
          <w:lang w:val="en-GB"/>
        </w:rPr>
        <w:t xml:space="preserve"> isothermal phase) respectively and 210 W is the power consumed by the agitator.</w:t>
      </w:r>
      <w:r w:rsidR="00DB7C15" w:rsidRPr="5E736752">
        <w:rPr>
          <w:lang w:val="en-GB"/>
        </w:rPr>
        <w:t xml:space="preserve"> It is important to emphasize, as previously mentioned, that the energy consumption and heating rates derived from the empirical formula are specific to the reactor used by Zhang et al. (2020). Moreover, this formula does not account for the energy consumption associated with the cooling phase. However, this omission can be considered negligible, as cooling is often achieved using cold water, which can potentially be recycled within the system.</w:t>
      </w:r>
    </w:p>
    <w:p w14:paraId="677EBFF0" w14:textId="4AFA9998" w:rsidR="00600535" w:rsidRPr="00B57B36" w:rsidRDefault="00EC72BD" w:rsidP="00600535">
      <w:pPr>
        <w:pStyle w:val="CETHeading1"/>
        <w:tabs>
          <w:tab w:val="clear" w:pos="360"/>
          <w:tab w:val="right" w:pos="7100"/>
        </w:tabs>
        <w:jc w:val="both"/>
        <w:rPr>
          <w:lang w:val="en-GB"/>
        </w:rPr>
      </w:pPr>
      <w:r>
        <w:rPr>
          <w:lang w:val="en-GB"/>
        </w:rPr>
        <w:t>Results and Discussions</w:t>
      </w:r>
    </w:p>
    <w:p w14:paraId="1C08CCAD" w14:textId="2D1E2D04" w:rsidR="00B13576" w:rsidRPr="00B57B36" w:rsidRDefault="00B13576" w:rsidP="00B13576">
      <w:pPr>
        <w:pStyle w:val="CETheadingx"/>
      </w:pPr>
      <w:r>
        <w:t>A</w:t>
      </w:r>
      <w:r w:rsidRPr="00B13576">
        <w:t>utohydrolysis Simulation and Optimization</w:t>
      </w:r>
    </w:p>
    <w:p w14:paraId="7896E936" w14:textId="31D974C8" w:rsidR="008E6465" w:rsidRPr="008D3D37" w:rsidRDefault="00B13576" w:rsidP="5E736752">
      <w:pPr>
        <w:pStyle w:val="CETBodytext"/>
        <w:rPr>
          <w:lang w:val="en-GB"/>
        </w:rPr>
      </w:pPr>
      <w:r w:rsidRPr="5E736752">
        <w:rPr>
          <w:lang w:val="en-GB"/>
        </w:rPr>
        <w:t xml:space="preserve">Using the proposed kinetic model, implemented in the dynamic simulation and optimization software (CasADi and Pomodoro), it was first possible to simulate an autohydrolysis treatment on wheat straw under the operating conditions reported by </w:t>
      </w:r>
      <w:proofErr w:type="spellStart"/>
      <w:r w:rsidRPr="5E736752">
        <w:rPr>
          <w:lang w:val="en-GB"/>
        </w:rPr>
        <w:t>Sidiras</w:t>
      </w:r>
      <w:proofErr w:type="spellEnd"/>
      <w:r w:rsidRPr="5E736752">
        <w:rPr>
          <w:lang w:val="en-GB"/>
        </w:rPr>
        <w:t xml:space="preserve"> et al. (2011). These authors conducted autohydrolysis experiments with a solid-to-liquid ratio of 1:20 (g/mL), reaching four different final temperatures (160 °C, 180 °C, 200 °C, and 240 °C), each maintained for six different residence times (0, 10, 20, 30, 40, and 50 minutes). </w:t>
      </w:r>
      <w:r>
        <w:t xml:space="preserve">Additionally, both the heating and cooling ramps were replicated based on the experimental data provided by </w:t>
      </w:r>
      <w:proofErr w:type="spellStart"/>
      <w:r>
        <w:t>Sidiras</w:t>
      </w:r>
      <w:proofErr w:type="spellEnd"/>
      <w:r>
        <w:t xml:space="preserve"> et al. (2011). </w:t>
      </w:r>
      <w:r w:rsidR="00A472D4">
        <w:t xml:space="preserve">The </w:t>
      </w:r>
      <w:proofErr w:type="gramStart"/>
      <w:r w:rsidR="00A472D4">
        <w:t>software,</w:t>
      </w:r>
      <w:proofErr w:type="gramEnd"/>
      <w:r w:rsidR="00A472D4">
        <w:t xml:space="preserve"> integrating and coupling mass- and energy-balance ODEs and returns the time profile of each component, including the </w:t>
      </w:r>
      <w:r w:rsidR="006A76A4">
        <w:t>degradation of cellulose and hemicellulose, as reported in Figure 1</w:t>
      </w:r>
      <w:r w:rsidR="008D3D37">
        <w:t>, w</w:t>
      </w:r>
      <w:r w:rsidR="72765440" w:rsidRPr="008D3D37">
        <w:rPr>
          <w:lang w:val="en-GB"/>
        </w:rPr>
        <w:t>here x0 and x1 are the hard and easy to dissolve hemicellulose concentrations (w/w%), while x4 and x5 are the hard and easy to dissolve Cellulose concentrations.</w:t>
      </w:r>
    </w:p>
    <w:p w14:paraId="14AE2373" w14:textId="48AD485E" w:rsidR="008E6465" w:rsidRDefault="008E6465" w:rsidP="00227DFD">
      <w:pPr>
        <w:ind w:hanging="227"/>
        <w:rPr>
          <w:rFonts w:eastAsia="Arial" w:cs="Arial"/>
          <w:color w:val="000000" w:themeColor="text1"/>
          <w:szCs w:val="18"/>
          <w:lang w:val="en-US"/>
        </w:rPr>
      </w:pPr>
    </w:p>
    <w:p w14:paraId="24EFA038" w14:textId="7AFEC457" w:rsidR="008E6465" w:rsidRDefault="008E6465" w:rsidP="006A76A4">
      <w:pPr>
        <w:pStyle w:val="CETBodytext"/>
      </w:pPr>
    </w:p>
    <w:p w14:paraId="5FFC7CFF" w14:textId="77777777" w:rsidR="008E6465" w:rsidRDefault="008E6465" w:rsidP="008E6465">
      <w:pPr>
        <w:pStyle w:val="CETListbullets"/>
        <w:ind w:left="0" w:firstLine="0"/>
      </w:pPr>
    </w:p>
    <w:p w14:paraId="5E67315B" w14:textId="77777777" w:rsidR="008E6465" w:rsidRPr="00B57B36" w:rsidRDefault="008E6465" w:rsidP="008E6465">
      <w:pPr>
        <w:pStyle w:val="CETListbullets"/>
        <w:ind w:left="0" w:firstLine="0"/>
      </w:pPr>
    </w:p>
    <w:p w14:paraId="088A134E" w14:textId="7F758C57" w:rsidR="00600535" w:rsidRPr="00B57B36" w:rsidRDefault="00600535" w:rsidP="00BD077D">
      <w:pPr>
        <w:pStyle w:val="CETCaption"/>
      </w:pPr>
    </w:p>
    <w:p w14:paraId="579EF812" w14:textId="2A9FFFE8" w:rsidR="789E62EC" w:rsidRDefault="008D3D37">
      <w:r>
        <w:rPr>
          <w:noProof/>
        </w:rPr>
        <w:lastRenderedPageBreak/>
        <w:drawing>
          <wp:inline distT="0" distB="0" distL="0" distR="0" wp14:anchorId="7C7BFC07" wp14:editId="75A3DE9C">
            <wp:extent cx="5566410" cy="4633595"/>
            <wp:effectExtent l="0" t="0" r="0" b="0"/>
            <wp:docPr id="21062056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410" cy="4633595"/>
                    </a:xfrm>
                    <a:prstGeom prst="rect">
                      <a:avLst/>
                    </a:prstGeom>
                    <a:noFill/>
                  </pic:spPr>
                </pic:pic>
              </a:graphicData>
            </a:graphic>
          </wp:inline>
        </w:drawing>
      </w:r>
    </w:p>
    <w:p w14:paraId="25FFAC0B" w14:textId="19811DA6" w:rsidR="006A76A4" w:rsidRDefault="008D3D37" w:rsidP="00BD077D">
      <w:pPr>
        <w:pStyle w:val="CETCaption"/>
        <w:rPr>
          <w:rStyle w:val="CETCaptionCarattere"/>
          <w:i/>
        </w:rPr>
      </w:pPr>
      <w:r>
        <w:rPr>
          <w:rStyle w:val="CETCaptionCarattere"/>
          <w:i/>
        </w:rPr>
        <w:t>F</w:t>
      </w:r>
      <w:r w:rsidR="00600535" w:rsidRPr="00BD077D">
        <w:rPr>
          <w:rStyle w:val="CETCaptionCarattere"/>
          <w:i/>
        </w:rPr>
        <w:t xml:space="preserve">igure 1: </w:t>
      </w:r>
      <w:r w:rsidR="009A30FA" w:rsidRPr="009A30FA">
        <w:rPr>
          <w:rStyle w:val="CETCaptionCarattere"/>
          <w:i/>
        </w:rPr>
        <w:t>The figure plots the residual cellulose</w:t>
      </w:r>
      <w:r w:rsidR="009A30FA">
        <w:rPr>
          <w:rStyle w:val="CETCaptionCarattere"/>
          <w:i/>
        </w:rPr>
        <w:t xml:space="preserve"> and hemicellulose</w:t>
      </w:r>
      <w:r w:rsidR="009A30FA" w:rsidRPr="009A30FA">
        <w:rPr>
          <w:rStyle w:val="CETCaptionCarattere"/>
          <w:i/>
        </w:rPr>
        <w:t xml:space="preserve"> in the </w:t>
      </w:r>
      <w:r w:rsidR="009A30FA">
        <w:rPr>
          <w:rStyle w:val="CETCaptionCarattere"/>
          <w:i/>
        </w:rPr>
        <w:t xml:space="preserve">recovered </w:t>
      </w:r>
      <w:r w:rsidR="009A30FA" w:rsidRPr="009A30FA">
        <w:rPr>
          <w:rStyle w:val="CETCaptionCarattere"/>
          <w:i/>
        </w:rPr>
        <w:t>solid (%) versus residence time (τ).</w:t>
      </w:r>
      <w:r>
        <w:rPr>
          <w:rStyle w:val="CETCaptionCarattere"/>
          <w:i/>
        </w:rPr>
        <w:t xml:space="preserve"> </w:t>
      </w:r>
      <w:r w:rsidRPr="008D3D37">
        <w:rPr>
          <w:rStyle w:val="CETCaptionCarattere"/>
          <w:rFonts w:eastAsia="Arial"/>
        </w:rPr>
        <w:t>x0 and x1 are the hard and easy to dissolve hemicellulose concentrations (w/w%), x4 and x5 are the hard and easy to dissolve Cellulose concentrations</w:t>
      </w:r>
    </w:p>
    <w:p w14:paraId="3800A44A" w14:textId="02B25283" w:rsidR="529C9CC6" w:rsidRDefault="00057389" w:rsidP="529C9CC6">
      <w:pPr>
        <w:pStyle w:val="CETCaption"/>
        <w:rPr>
          <w:i w:val="0"/>
        </w:rPr>
      </w:pPr>
      <w:r w:rsidRPr="529C9CC6">
        <w:rPr>
          <w:i w:val="0"/>
        </w:rPr>
        <w:t xml:space="preserve">The results obtained exhibit a sigmoidal-like </w:t>
      </w:r>
      <w:proofErr w:type="spellStart"/>
      <w:r w:rsidRPr="529C9CC6">
        <w:rPr>
          <w:i w:val="0"/>
        </w:rPr>
        <w:t>behavior</w:t>
      </w:r>
      <w:proofErr w:type="spellEnd"/>
      <w:r w:rsidRPr="529C9CC6">
        <w:rPr>
          <w:i w:val="0"/>
        </w:rPr>
        <w:t xml:space="preserve"> for both hemicellulose and cellulose degradation. In fact, these trends show a specific residence time in the reactor beyond which a rapid degradation of the target compound occurs. The following table summarizes some residence times that may be relevant for this study.</w:t>
      </w:r>
    </w:p>
    <w:p w14:paraId="4D113D58" w14:textId="257AB48E" w:rsidR="00057389" w:rsidRPr="00B57B36" w:rsidRDefault="00F7534E" w:rsidP="00057389">
      <w:pPr>
        <w:pStyle w:val="CETTabletitle"/>
      </w:pPr>
      <w:r w:rsidRPr="006A76A4">
        <w:rPr>
          <w:i w:val="0"/>
        </w:rPr>
        <w:t xml:space="preserve"> </w:t>
      </w:r>
      <w:r w:rsidR="00057389" w:rsidRPr="00B57B36">
        <w:t xml:space="preserve">Table 1: </w:t>
      </w:r>
      <w:r w:rsidR="00405629">
        <w:t xml:space="preserve">Inflection time and time need for complete degradation of </w:t>
      </w:r>
      <w:r w:rsidR="002F54F7">
        <w:t>Hemicellulose and Cellulose at different temperatures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22"/>
        <w:gridCol w:w="722"/>
        <w:gridCol w:w="722"/>
        <w:gridCol w:w="721"/>
        <w:gridCol w:w="815"/>
        <w:gridCol w:w="814"/>
        <w:gridCol w:w="814"/>
        <w:gridCol w:w="814"/>
        <w:gridCol w:w="814"/>
        <w:gridCol w:w="814"/>
        <w:gridCol w:w="815"/>
      </w:tblGrid>
      <w:tr w:rsidR="008F0EDF" w:rsidRPr="00B57B36" w14:paraId="47B5D685" w14:textId="459BC829" w:rsidTr="529C9CC6">
        <w:tc>
          <w:tcPr>
            <w:tcW w:w="525" w:type="pct"/>
            <w:tcBorders>
              <w:top w:val="single" w:sz="12" w:space="0" w:color="008000"/>
              <w:bottom w:val="single" w:sz="4" w:space="0" w:color="FFFFFF" w:themeColor="background1"/>
            </w:tcBorders>
            <w:shd w:val="clear" w:color="auto" w:fill="FFFFFF" w:themeFill="background1"/>
          </w:tcPr>
          <w:p w14:paraId="296B4085" w14:textId="55EC19DD" w:rsidR="008F0EDF" w:rsidRPr="00B57B36" w:rsidRDefault="008F0EDF" w:rsidP="003D432F">
            <w:pPr>
              <w:pStyle w:val="CETBodytext"/>
              <w:rPr>
                <w:lang w:val="en-GB"/>
              </w:rPr>
            </w:pPr>
          </w:p>
        </w:tc>
        <w:tc>
          <w:tcPr>
            <w:tcW w:w="411" w:type="pct"/>
            <w:tcBorders>
              <w:top w:val="single" w:sz="12" w:space="0" w:color="008000"/>
              <w:bottom w:val="single" w:sz="4" w:space="0" w:color="FFFFFF" w:themeColor="background1"/>
            </w:tcBorders>
            <w:shd w:val="clear" w:color="auto" w:fill="FFFFFF" w:themeFill="background1"/>
          </w:tcPr>
          <w:p w14:paraId="054FA6AF" w14:textId="77777777" w:rsidR="008F0EDF" w:rsidRPr="00B57B36" w:rsidRDefault="008F0EDF" w:rsidP="003D432F">
            <w:pPr>
              <w:pStyle w:val="CETBodytext"/>
              <w:rPr>
                <w:lang w:val="en-GB"/>
              </w:rPr>
            </w:pPr>
          </w:p>
        </w:tc>
        <w:tc>
          <w:tcPr>
            <w:tcW w:w="411" w:type="pct"/>
            <w:tcBorders>
              <w:top w:val="single" w:sz="12" w:space="0" w:color="008000"/>
              <w:bottom w:val="single" w:sz="4" w:space="0" w:color="FFFFFF" w:themeColor="background1"/>
            </w:tcBorders>
            <w:shd w:val="clear" w:color="auto" w:fill="FFFFFF" w:themeFill="background1"/>
          </w:tcPr>
          <w:p w14:paraId="46D76FD2" w14:textId="5466C2E5" w:rsidR="008F0EDF" w:rsidRPr="00B57B36" w:rsidRDefault="008F0EDF" w:rsidP="003D432F">
            <w:pPr>
              <w:pStyle w:val="CETBodytext"/>
              <w:rPr>
                <w:lang w:val="en-GB"/>
              </w:rPr>
            </w:pPr>
          </w:p>
        </w:tc>
        <w:tc>
          <w:tcPr>
            <w:tcW w:w="1800" w:type="pct"/>
            <w:gridSpan w:val="4"/>
            <w:tcBorders>
              <w:top w:val="single" w:sz="12" w:space="0" w:color="008000"/>
              <w:bottom w:val="single" w:sz="4" w:space="0" w:color="FFFFFF" w:themeColor="background1"/>
            </w:tcBorders>
            <w:shd w:val="clear" w:color="auto" w:fill="FFFFFF" w:themeFill="background1"/>
          </w:tcPr>
          <w:p w14:paraId="78A40738" w14:textId="28603FC3" w:rsidR="008F0EDF" w:rsidRPr="008F0EDF" w:rsidRDefault="47267664" w:rsidP="529C9CC6">
            <w:pPr>
              <w:pStyle w:val="CETBodytext"/>
              <w:ind w:right="-1"/>
              <w:jc w:val="center"/>
              <w:rPr>
                <w:i/>
                <w:iCs/>
                <w:lang w:val="en-GB"/>
              </w:rPr>
            </w:pPr>
            <w:r w:rsidRPr="529C9CC6">
              <w:rPr>
                <w:i/>
                <w:iCs/>
                <w:lang w:val="en-GB"/>
              </w:rPr>
              <w:t>Hemicellulose</w:t>
            </w:r>
            <w:r w:rsidR="4E3D0B2B" w:rsidRPr="529C9CC6">
              <w:rPr>
                <w:i/>
                <w:iCs/>
                <w:lang w:val="en-GB"/>
              </w:rPr>
              <w:t xml:space="preserve"> x0</w:t>
            </w:r>
          </w:p>
        </w:tc>
        <w:tc>
          <w:tcPr>
            <w:tcW w:w="1853" w:type="pct"/>
            <w:gridSpan w:val="4"/>
            <w:tcBorders>
              <w:top w:val="single" w:sz="12" w:space="0" w:color="008000"/>
              <w:bottom w:val="single" w:sz="4" w:space="0" w:color="FFFFFF" w:themeColor="background1"/>
            </w:tcBorders>
            <w:shd w:val="clear" w:color="auto" w:fill="FFFFFF" w:themeFill="background1"/>
          </w:tcPr>
          <w:p w14:paraId="045A9701" w14:textId="79E1A396" w:rsidR="008F0EDF" w:rsidRPr="008F0EDF" w:rsidRDefault="47267664" w:rsidP="529C9CC6">
            <w:pPr>
              <w:pStyle w:val="CETBodytext"/>
              <w:ind w:right="-1"/>
              <w:jc w:val="center"/>
              <w:rPr>
                <w:rFonts w:cs="Arial"/>
                <w:i/>
                <w:iCs/>
                <w:lang w:val="en-GB"/>
              </w:rPr>
            </w:pPr>
            <w:r w:rsidRPr="529C9CC6">
              <w:rPr>
                <w:rFonts w:cs="Arial"/>
                <w:i/>
                <w:iCs/>
                <w:lang w:val="en-GB"/>
              </w:rPr>
              <w:t>Cellulose</w:t>
            </w:r>
            <w:r w:rsidR="7A390162" w:rsidRPr="529C9CC6">
              <w:rPr>
                <w:rFonts w:cs="Arial"/>
                <w:i/>
                <w:iCs/>
                <w:lang w:val="en-GB"/>
              </w:rPr>
              <w:t xml:space="preserve"> x4</w:t>
            </w:r>
          </w:p>
        </w:tc>
      </w:tr>
      <w:tr w:rsidR="008F0EDF" w:rsidRPr="00B57B36" w14:paraId="14554BAA" w14:textId="468F92B1" w:rsidTr="529C9CC6">
        <w:tc>
          <w:tcPr>
            <w:tcW w:w="525" w:type="pct"/>
            <w:tcBorders>
              <w:top w:val="single" w:sz="4" w:space="0" w:color="FFFFFF" w:themeColor="background1"/>
              <w:bottom w:val="single" w:sz="6" w:space="0" w:color="008000"/>
            </w:tcBorders>
            <w:shd w:val="clear" w:color="auto" w:fill="FFFFFF" w:themeFill="background1"/>
          </w:tcPr>
          <w:p w14:paraId="0086BB5D" w14:textId="77777777" w:rsidR="008F0EDF" w:rsidRPr="00B57B36" w:rsidRDefault="008F0EDF" w:rsidP="006B5157">
            <w:pPr>
              <w:pStyle w:val="CETBodytext"/>
              <w:rPr>
                <w:lang w:val="en-GB"/>
              </w:rPr>
            </w:pPr>
          </w:p>
        </w:tc>
        <w:tc>
          <w:tcPr>
            <w:tcW w:w="411" w:type="pct"/>
            <w:tcBorders>
              <w:top w:val="single" w:sz="4" w:space="0" w:color="FFFFFF" w:themeColor="background1"/>
              <w:bottom w:val="single" w:sz="6" w:space="0" w:color="008000"/>
            </w:tcBorders>
            <w:shd w:val="clear" w:color="auto" w:fill="FFFFFF" w:themeFill="background1"/>
          </w:tcPr>
          <w:p w14:paraId="7892C458" w14:textId="77777777" w:rsidR="008F0EDF" w:rsidRDefault="008F0EDF" w:rsidP="006B5157">
            <w:pPr>
              <w:pStyle w:val="CETBodytext"/>
              <w:jc w:val="center"/>
              <w:rPr>
                <w:lang w:val="en-GB"/>
              </w:rPr>
            </w:pPr>
          </w:p>
        </w:tc>
        <w:tc>
          <w:tcPr>
            <w:tcW w:w="411" w:type="pct"/>
            <w:tcBorders>
              <w:top w:val="single" w:sz="4" w:space="0" w:color="FFFFFF" w:themeColor="background1"/>
              <w:bottom w:val="single" w:sz="6" w:space="0" w:color="008000"/>
            </w:tcBorders>
            <w:shd w:val="clear" w:color="auto" w:fill="FFFFFF" w:themeFill="background1"/>
          </w:tcPr>
          <w:p w14:paraId="114BFD31" w14:textId="57D09937" w:rsidR="008F0EDF" w:rsidRDefault="008F0EDF" w:rsidP="006B5157">
            <w:pPr>
              <w:pStyle w:val="CETBodytext"/>
              <w:jc w:val="center"/>
              <w:rPr>
                <w:lang w:val="en-GB"/>
              </w:rPr>
            </w:pPr>
          </w:p>
        </w:tc>
        <w:tc>
          <w:tcPr>
            <w:tcW w:w="410" w:type="pct"/>
            <w:tcBorders>
              <w:top w:val="single" w:sz="4" w:space="0" w:color="FFFFFF" w:themeColor="background1"/>
              <w:bottom w:val="single" w:sz="6" w:space="0" w:color="008000"/>
            </w:tcBorders>
            <w:shd w:val="clear" w:color="auto" w:fill="FFFFFF" w:themeFill="background1"/>
          </w:tcPr>
          <w:p w14:paraId="4BCE9ED9" w14:textId="669F88B2" w:rsidR="008F0EDF" w:rsidRPr="00B57B36" w:rsidRDefault="008F0EDF" w:rsidP="006B5157">
            <w:pPr>
              <w:pStyle w:val="CETBodytext"/>
              <w:jc w:val="center"/>
              <w:rPr>
                <w:lang w:val="en-GB"/>
              </w:rPr>
            </w:pPr>
            <w:r>
              <w:rPr>
                <w:lang w:val="en-GB"/>
              </w:rPr>
              <w:t>160°C</w:t>
            </w:r>
          </w:p>
        </w:tc>
        <w:tc>
          <w:tcPr>
            <w:tcW w:w="464" w:type="pct"/>
            <w:tcBorders>
              <w:top w:val="single" w:sz="4" w:space="0" w:color="FFFFFF" w:themeColor="background1"/>
              <w:bottom w:val="single" w:sz="6" w:space="0" w:color="008000"/>
            </w:tcBorders>
            <w:shd w:val="clear" w:color="auto" w:fill="FFFFFF" w:themeFill="background1"/>
          </w:tcPr>
          <w:p w14:paraId="50B0D049" w14:textId="60CF7109" w:rsidR="008F0EDF" w:rsidRPr="00B57B36" w:rsidRDefault="008F0EDF" w:rsidP="006B5157">
            <w:pPr>
              <w:pStyle w:val="CETBodytext"/>
              <w:jc w:val="center"/>
              <w:rPr>
                <w:lang w:val="en-GB"/>
              </w:rPr>
            </w:pPr>
            <w:r>
              <w:rPr>
                <w:lang w:val="en-GB"/>
              </w:rPr>
              <w:t>180°C</w:t>
            </w:r>
          </w:p>
        </w:tc>
        <w:tc>
          <w:tcPr>
            <w:tcW w:w="463" w:type="pct"/>
            <w:tcBorders>
              <w:top w:val="single" w:sz="4" w:space="0" w:color="FFFFFF" w:themeColor="background1"/>
              <w:bottom w:val="single" w:sz="6" w:space="0" w:color="008000"/>
            </w:tcBorders>
            <w:shd w:val="clear" w:color="auto" w:fill="FFFFFF" w:themeFill="background1"/>
          </w:tcPr>
          <w:p w14:paraId="2A336394" w14:textId="1002BA82" w:rsidR="008F0EDF" w:rsidRPr="00B57B36" w:rsidRDefault="008F0EDF" w:rsidP="006B5157">
            <w:pPr>
              <w:pStyle w:val="CETBodytext"/>
              <w:ind w:right="-1"/>
              <w:jc w:val="center"/>
              <w:rPr>
                <w:rFonts w:cs="Arial"/>
                <w:szCs w:val="18"/>
                <w:lang w:val="en-GB"/>
              </w:rPr>
            </w:pPr>
            <w:r>
              <w:rPr>
                <w:rFonts w:cs="Arial"/>
                <w:szCs w:val="18"/>
                <w:lang w:val="en-GB"/>
              </w:rPr>
              <w:t>200°C</w:t>
            </w:r>
          </w:p>
        </w:tc>
        <w:tc>
          <w:tcPr>
            <w:tcW w:w="463" w:type="pct"/>
            <w:tcBorders>
              <w:top w:val="single" w:sz="4" w:space="0" w:color="FFFFFF" w:themeColor="background1"/>
              <w:bottom w:val="single" w:sz="6" w:space="0" w:color="008000"/>
            </w:tcBorders>
            <w:shd w:val="clear" w:color="auto" w:fill="FFFFFF" w:themeFill="background1"/>
          </w:tcPr>
          <w:p w14:paraId="107FDD31" w14:textId="51AC8FDF" w:rsidR="008F0EDF" w:rsidRPr="00B57B36" w:rsidRDefault="008F0EDF" w:rsidP="006B5157">
            <w:pPr>
              <w:pStyle w:val="CETBodytext"/>
              <w:ind w:right="-1"/>
              <w:jc w:val="center"/>
              <w:rPr>
                <w:rFonts w:cs="Arial"/>
                <w:szCs w:val="18"/>
                <w:lang w:val="en-GB"/>
              </w:rPr>
            </w:pPr>
            <w:r>
              <w:rPr>
                <w:rFonts w:cs="Arial"/>
                <w:szCs w:val="18"/>
                <w:lang w:val="en-GB"/>
              </w:rPr>
              <w:t>240°C</w:t>
            </w:r>
          </w:p>
        </w:tc>
        <w:tc>
          <w:tcPr>
            <w:tcW w:w="463" w:type="pct"/>
            <w:tcBorders>
              <w:top w:val="single" w:sz="4" w:space="0" w:color="FFFFFF" w:themeColor="background1"/>
              <w:bottom w:val="single" w:sz="6" w:space="0" w:color="008000"/>
            </w:tcBorders>
            <w:shd w:val="clear" w:color="auto" w:fill="FFFFFF" w:themeFill="background1"/>
          </w:tcPr>
          <w:p w14:paraId="68911515" w14:textId="49FA7BD4" w:rsidR="008F0EDF" w:rsidRPr="00B57B36" w:rsidRDefault="008F0EDF" w:rsidP="006B5157">
            <w:pPr>
              <w:pStyle w:val="CETBodytext"/>
              <w:ind w:right="-1"/>
              <w:jc w:val="center"/>
              <w:rPr>
                <w:rFonts w:cs="Arial"/>
                <w:szCs w:val="18"/>
                <w:lang w:val="en-GB"/>
              </w:rPr>
            </w:pPr>
            <w:r>
              <w:rPr>
                <w:lang w:val="en-GB"/>
              </w:rPr>
              <w:t>160°C</w:t>
            </w:r>
          </w:p>
        </w:tc>
        <w:tc>
          <w:tcPr>
            <w:tcW w:w="463" w:type="pct"/>
            <w:tcBorders>
              <w:top w:val="single" w:sz="4" w:space="0" w:color="FFFFFF" w:themeColor="background1"/>
              <w:bottom w:val="single" w:sz="6" w:space="0" w:color="008000"/>
            </w:tcBorders>
            <w:shd w:val="clear" w:color="auto" w:fill="FFFFFF" w:themeFill="background1"/>
          </w:tcPr>
          <w:p w14:paraId="0CF8A991" w14:textId="296D3F05" w:rsidR="008F0EDF" w:rsidRPr="00B57B36" w:rsidRDefault="008F0EDF" w:rsidP="006B5157">
            <w:pPr>
              <w:pStyle w:val="CETBodytext"/>
              <w:ind w:right="-1"/>
              <w:jc w:val="center"/>
              <w:rPr>
                <w:rFonts w:cs="Arial"/>
                <w:szCs w:val="18"/>
                <w:lang w:val="en-GB"/>
              </w:rPr>
            </w:pPr>
            <w:r>
              <w:rPr>
                <w:lang w:val="en-GB"/>
              </w:rPr>
              <w:t>180°C</w:t>
            </w:r>
          </w:p>
        </w:tc>
        <w:tc>
          <w:tcPr>
            <w:tcW w:w="463" w:type="pct"/>
            <w:tcBorders>
              <w:top w:val="single" w:sz="4" w:space="0" w:color="FFFFFF" w:themeColor="background1"/>
              <w:bottom w:val="single" w:sz="6" w:space="0" w:color="008000"/>
            </w:tcBorders>
            <w:shd w:val="clear" w:color="auto" w:fill="FFFFFF" w:themeFill="background1"/>
          </w:tcPr>
          <w:p w14:paraId="143F851C" w14:textId="5F1775D6" w:rsidR="008F0EDF" w:rsidRPr="00B57B36" w:rsidRDefault="008F0EDF" w:rsidP="006B5157">
            <w:pPr>
              <w:pStyle w:val="CETBodytext"/>
              <w:ind w:right="-1"/>
              <w:jc w:val="center"/>
              <w:rPr>
                <w:rFonts w:cs="Arial"/>
                <w:szCs w:val="18"/>
                <w:lang w:val="en-GB"/>
              </w:rPr>
            </w:pPr>
            <w:r>
              <w:rPr>
                <w:rFonts w:cs="Arial"/>
                <w:szCs w:val="18"/>
                <w:lang w:val="en-GB"/>
              </w:rPr>
              <w:t>200°C</w:t>
            </w:r>
          </w:p>
        </w:tc>
        <w:tc>
          <w:tcPr>
            <w:tcW w:w="464" w:type="pct"/>
            <w:tcBorders>
              <w:top w:val="single" w:sz="4" w:space="0" w:color="FFFFFF" w:themeColor="background1"/>
              <w:bottom w:val="single" w:sz="6" w:space="0" w:color="008000"/>
            </w:tcBorders>
            <w:shd w:val="clear" w:color="auto" w:fill="FFFFFF" w:themeFill="background1"/>
          </w:tcPr>
          <w:p w14:paraId="0CFB66B2" w14:textId="22107679" w:rsidR="008F0EDF" w:rsidRPr="00B57B36" w:rsidRDefault="008F0EDF" w:rsidP="006B5157">
            <w:pPr>
              <w:pStyle w:val="CETBodytext"/>
              <w:ind w:right="-1"/>
              <w:jc w:val="center"/>
              <w:rPr>
                <w:rFonts w:cs="Arial"/>
                <w:szCs w:val="18"/>
                <w:lang w:val="en-GB"/>
              </w:rPr>
            </w:pPr>
            <w:r>
              <w:rPr>
                <w:rFonts w:cs="Arial"/>
                <w:szCs w:val="18"/>
                <w:lang w:val="en-GB"/>
              </w:rPr>
              <w:t>240°C</w:t>
            </w:r>
          </w:p>
        </w:tc>
      </w:tr>
      <w:tr w:rsidR="008F0EDF" w:rsidRPr="00B57B36" w14:paraId="3648C7BD" w14:textId="15F804FB" w:rsidTr="529C9CC6">
        <w:tc>
          <w:tcPr>
            <w:tcW w:w="1346" w:type="pct"/>
            <w:gridSpan w:val="3"/>
            <w:shd w:val="clear" w:color="auto" w:fill="FFFFFF" w:themeFill="background1"/>
          </w:tcPr>
          <w:p w14:paraId="080CD157" w14:textId="34108E1A" w:rsidR="008F0EDF" w:rsidRPr="00B57B36" w:rsidRDefault="008F0EDF" w:rsidP="006B5157">
            <w:pPr>
              <w:pStyle w:val="CETBodytext"/>
              <w:rPr>
                <w:lang w:val="en-GB"/>
              </w:rPr>
            </w:pPr>
            <w:r>
              <w:rPr>
                <w:lang w:val="en-GB"/>
              </w:rPr>
              <w:t>Inflection time [min]</w:t>
            </w:r>
          </w:p>
        </w:tc>
        <w:tc>
          <w:tcPr>
            <w:tcW w:w="410" w:type="pct"/>
            <w:shd w:val="clear" w:color="auto" w:fill="FFFFFF" w:themeFill="background1"/>
          </w:tcPr>
          <w:p w14:paraId="0B20B630" w14:textId="51384AC6" w:rsidR="008F0EDF" w:rsidRPr="00B57B36" w:rsidRDefault="0E2A2F2B" w:rsidP="005C51E2">
            <w:pPr>
              <w:pStyle w:val="CETBodytext"/>
              <w:jc w:val="center"/>
              <w:rPr>
                <w:lang w:val="en-GB"/>
              </w:rPr>
            </w:pPr>
            <w:r w:rsidRPr="529C9CC6">
              <w:rPr>
                <w:lang w:val="en-GB"/>
              </w:rPr>
              <w:t>20.1</w:t>
            </w:r>
          </w:p>
        </w:tc>
        <w:tc>
          <w:tcPr>
            <w:tcW w:w="464" w:type="pct"/>
            <w:shd w:val="clear" w:color="auto" w:fill="FFFFFF" w:themeFill="background1"/>
          </w:tcPr>
          <w:p w14:paraId="00FA0F81" w14:textId="4B4BDBA8" w:rsidR="008F0EDF" w:rsidRPr="00B57B36" w:rsidRDefault="0E2A2F2B" w:rsidP="005C51E2">
            <w:pPr>
              <w:pStyle w:val="CETBodytext"/>
              <w:jc w:val="center"/>
              <w:rPr>
                <w:lang w:val="en-GB"/>
              </w:rPr>
            </w:pPr>
            <w:r w:rsidRPr="529C9CC6">
              <w:rPr>
                <w:lang w:val="en-GB"/>
              </w:rPr>
              <w:t>18.9</w:t>
            </w:r>
          </w:p>
        </w:tc>
        <w:tc>
          <w:tcPr>
            <w:tcW w:w="463" w:type="pct"/>
            <w:shd w:val="clear" w:color="auto" w:fill="FFFFFF" w:themeFill="background1"/>
          </w:tcPr>
          <w:p w14:paraId="143186F5" w14:textId="3CFFCC92" w:rsidR="008F0EDF" w:rsidRPr="00B57B36" w:rsidRDefault="0E2A2F2B" w:rsidP="529C9CC6">
            <w:pPr>
              <w:pStyle w:val="CETBodytext"/>
              <w:ind w:right="-1"/>
              <w:jc w:val="center"/>
              <w:rPr>
                <w:rFonts w:cs="Arial"/>
                <w:lang w:val="en-GB"/>
              </w:rPr>
            </w:pPr>
            <w:r w:rsidRPr="529C9CC6">
              <w:rPr>
                <w:rFonts w:cs="Arial"/>
                <w:lang w:val="en-GB"/>
              </w:rPr>
              <w:t>16.4</w:t>
            </w:r>
          </w:p>
        </w:tc>
        <w:tc>
          <w:tcPr>
            <w:tcW w:w="463" w:type="pct"/>
            <w:shd w:val="clear" w:color="auto" w:fill="FFFFFF" w:themeFill="background1"/>
          </w:tcPr>
          <w:p w14:paraId="4B13163C" w14:textId="5099E226" w:rsidR="008F0EDF" w:rsidRPr="00B57B36" w:rsidRDefault="0E2A2F2B" w:rsidP="529C9CC6">
            <w:pPr>
              <w:pStyle w:val="CETBodytext"/>
              <w:ind w:right="-1"/>
              <w:jc w:val="center"/>
              <w:rPr>
                <w:rFonts w:cs="Arial"/>
                <w:lang w:val="en-GB"/>
              </w:rPr>
            </w:pPr>
            <w:r w:rsidRPr="529C9CC6">
              <w:rPr>
                <w:rFonts w:cs="Arial"/>
                <w:lang w:val="en-GB"/>
              </w:rPr>
              <w:t>15.1</w:t>
            </w:r>
          </w:p>
        </w:tc>
        <w:tc>
          <w:tcPr>
            <w:tcW w:w="463" w:type="pct"/>
            <w:shd w:val="clear" w:color="auto" w:fill="FFFFFF" w:themeFill="background1"/>
          </w:tcPr>
          <w:p w14:paraId="70AD4DC7" w14:textId="7D47DF2A" w:rsidR="008F0EDF" w:rsidRPr="00B57B36" w:rsidRDefault="0E2A2F2B" w:rsidP="529C9CC6">
            <w:pPr>
              <w:pStyle w:val="CETBodytext"/>
              <w:ind w:right="-1"/>
              <w:jc w:val="center"/>
              <w:rPr>
                <w:rFonts w:cs="Arial"/>
                <w:lang w:val="en-GB"/>
              </w:rPr>
            </w:pPr>
            <w:r w:rsidRPr="529C9CC6">
              <w:rPr>
                <w:rFonts w:cs="Arial"/>
                <w:lang w:val="en-GB"/>
              </w:rPr>
              <w:t>29.2</w:t>
            </w:r>
          </w:p>
        </w:tc>
        <w:tc>
          <w:tcPr>
            <w:tcW w:w="463" w:type="pct"/>
            <w:shd w:val="clear" w:color="auto" w:fill="FFFFFF" w:themeFill="background1"/>
          </w:tcPr>
          <w:p w14:paraId="4CCCCE88" w14:textId="09191976" w:rsidR="008F0EDF" w:rsidRPr="00B57B36" w:rsidRDefault="431BC97F" w:rsidP="529C9CC6">
            <w:pPr>
              <w:pStyle w:val="CETBodytext"/>
              <w:ind w:right="-1"/>
              <w:jc w:val="center"/>
              <w:rPr>
                <w:rFonts w:cs="Arial"/>
                <w:lang w:val="en-GB"/>
              </w:rPr>
            </w:pPr>
            <w:r w:rsidRPr="529C9CC6">
              <w:rPr>
                <w:rFonts w:cs="Arial"/>
                <w:lang w:val="en-GB"/>
              </w:rPr>
              <w:t>28.1</w:t>
            </w:r>
          </w:p>
        </w:tc>
        <w:tc>
          <w:tcPr>
            <w:tcW w:w="463" w:type="pct"/>
            <w:shd w:val="clear" w:color="auto" w:fill="FFFFFF" w:themeFill="background1"/>
          </w:tcPr>
          <w:p w14:paraId="5C742D81" w14:textId="7ECD3583" w:rsidR="008F0EDF" w:rsidRPr="00B57B36" w:rsidRDefault="431BC97F" w:rsidP="529C9CC6">
            <w:pPr>
              <w:pStyle w:val="CETBodytext"/>
              <w:ind w:right="-1"/>
              <w:jc w:val="center"/>
              <w:rPr>
                <w:rFonts w:cs="Arial"/>
                <w:lang w:val="en-GB"/>
              </w:rPr>
            </w:pPr>
            <w:r w:rsidRPr="529C9CC6">
              <w:rPr>
                <w:rFonts w:cs="Arial"/>
                <w:lang w:val="en-GB"/>
              </w:rPr>
              <w:t>26.6</w:t>
            </w:r>
          </w:p>
        </w:tc>
        <w:tc>
          <w:tcPr>
            <w:tcW w:w="464" w:type="pct"/>
            <w:shd w:val="clear" w:color="auto" w:fill="FFFFFF" w:themeFill="background1"/>
          </w:tcPr>
          <w:p w14:paraId="66E3BF1D" w14:textId="3570EFAD" w:rsidR="008F0EDF" w:rsidRPr="00B57B36" w:rsidRDefault="431BC97F" w:rsidP="529C9CC6">
            <w:pPr>
              <w:pStyle w:val="CETBodytext"/>
              <w:ind w:right="-1"/>
              <w:jc w:val="center"/>
              <w:rPr>
                <w:rFonts w:cs="Arial"/>
                <w:lang w:val="en-GB"/>
              </w:rPr>
            </w:pPr>
            <w:r w:rsidRPr="529C9CC6">
              <w:rPr>
                <w:rFonts w:cs="Arial"/>
                <w:lang w:val="en-GB"/>
              </w:rPr>
              <w:t>24.2</w:t>
            </w:r>
          </w:p>
        </w:tc>
      </w:tr>
      <w:tr w:rsidR="008F0EDF" w:rsidRPr="00B57B36" w14:paraId="3476F736" w14:textId="597FEBE5" w:rsidTr="529C9CC6">
        <w:tc>
          <w:tcPr>
            <w:tcW w:w="1346" w:type="pct"/>
            <w:gridSpan w:val="3"/>
            <w:shd w:val="clear" w:color="auto" w:fill="FFFFFF" w:themeFill="background1"/>
            <w:vAlign w:val="center"/>
          </w:tcPr>
          <w:p w14:paraId="11046BE0" w14:textId="66518455" w:rsidR="008F0EDF" w:rsidRPr="00B57B36" w:rsidRDefault="008F0EDF" w:rsidP="008F0EDF">
            <w:pPr>
              <w:pStyle w:val="CETBodytext"/>
              <w:ind w:right="-1"/>
              <w:jc w:val="left"/>
              <w:rPr>
                <w:rFonts w:cs="Arial"/>
                <w:szCs w:val="18"/>
                <w:lang w:val="en-GB"/>
              </w:rPr>
            </w:pPr>
            <w:r w:rsidRPr="003468EB">
              <w:rPr>
                <w:lang w:val="en-GB"/>
              </w:rPr>
              <w:t xml:space="preserve">Time to have </w:t>
            </w:r>
            <w:r w:rsidRPr="003468EB">
              <w:rPr>
                <w:rFonts w:ascii="Cambria Math" w:hAnsi="Cambria Math" w:cs="Cambria Math"/>
                <w:lang w:val="en-GB"/>
              </w:rPr>
              <w:t>∼</w:t>
            </w:r>
            <w:r w:rsidRPr="003468EB">
              <w:rPr>
                <w:lang w:val="en-GB"/>
              </w:rPr>
              <w:t>0% of residual component</w:t>
            </w:r>
          </w:p>
        </w:tc>
        <w:tc>
          <w:tcPr>
            <w:tcW w:w="410" w:type="pct"/>
            <w:shd w:val="clear" w:color="auto" w:fill="FFFFFF" w:themeFill="background1"/>
            <w:vAlign w:val="center"/>
          </w:tcPr>
          <w:p w14:paraId="66537633" w14:textId="037D1279" w:rsidR="008F0EDF" w:rsidRPr="00B57B36" w:rsidRDefault="7A3F00BE" w:rsidP="529C9CC6">
            <w:pPr>
              <w:pStyle w:val="CETBodytext"/>
              <w:ind w:right="-1"/>
              <w:jc w:val="center"/>
              <w:rPr>
                <w:rFonts w:cs="Arial"/>
                <w:lang w:val="en-GB"/>
              </w:rPr>
            </w:pPr>
            <w:r w:rsidRPr="529C9CC6">
              <w:rPr>
                <w:rFonts w:cs="Arial"/>
                <w:lang w:val="en-GB"/>
              </w:rPr>
              <w:t>28.2</w:t>
            </w:r>
          </w:p>
        </w:tc>
        <w:tc>
          <w:tcPr>
            <w:tcW w:w="464" w:type="pct"/>
            <w:shd w:val="clear" w:color="auto" w:fill="FFFFFF" w:themeFill="background1"/>
            <w:vAlign w:val="center"/>
          </w:tcPr>
          <w:p w14:paraId="2AEA6D3A" w14:textId="440378DD" w:rsidR="008F0EDF" w:rsidRPr="00B57B36" w:rsidRDefault="7A3F00BE" w:rsidP="529C9CC6">
            <w:pPr>
              <w:pStyle w:val="CETBodytext"/>
              <w:ind w:right="-1"/>
              <w:jc w:val="center"/>
              <w:rPr>
                <w:rFonts w:cs="Arial"/>
                <w:lang w:val="en-GB"/>
              </w:rPr>
            </w:pPr>
            <w:r w:rsidRPr="529C9CC6">
              <w:rPr>
                <w:rFonts w:cs="Arial"/>
                <w:lang w:val="en-GB"/>
              </w:rPr>
              <w:t>26.6</w:t>
            </w:r>
          </w:p>
        </w:tc>
        <w:tc>
          <w:tcPr>
            <w:tcW w:w="463" w:type="pct"/>
            <w:shd w:val="clear" w:color="auto" w:fill="FFFFFF" w:themeFill="background1"/>
            <w:vAlign w:val="center"/>
          </w:tcPr>
          <w:p w14:paraId="7E6D16B8" w14:textId="22AA14F6" w:rsidR="008F0EDF" w:rsidRPr="00B57B36" w:rsidRDefault="7A3F00BE" w:rsidP="529C9CC6">
            <w:pPr>
              <w:pStyle w:val="CETBodytext"/>
              <w:ind w:right="-1"/>
              <w:jc w:val="center"/>
              <w:rPr>
                <w:rFonts w:cs="Arial"/>
                <w:lang w:val="en-GB"/>
              </w:rPr>
            </w:pPr>
            <w:r w:rsidRPr="529C9CC6">
              <w:rPr>
                <w:rFonts w:cs="Arial"/>
                <w:lang w:val="en-GB"/>
              </w:rPr>
              <w:t>23.5</w:t>
            </w:r>
          </w:p>
        </w:tc>
        <w:tc>
          <w:tcPr>
            <w:tcW w:w="463" w:type="pct"/>
            <w:shd w:val="clear" w:color="auto" w:fill="FFFFFF" w:themeFill="background1"/>
            <w:vAlign w:val="center"/>
          </w:tcPr>
          <w:p w14:paraId="3A0D8A14" w14:textId="074B8F25" w:rsidR="008F0EDF" w:rsidRPr="00B57B36" w:rsidRDefault="7A3F00BE" w:rsidP="529C9CC6">
            <w:pPr>
              <w:pStyle w:val="CETBodytext"/>
              <w:ind w:right="-1"/>
              <w:jc w:val="center"/>
              <w:rPr>
                <w:rFonts w:cs="Arial"/>
                <w:lang w:val="en-GB"/>
              </w:rPr>
            </w:pPr>
            <w:r w:rsidRPr="529C9CC6">
              <w:rPr>
                <w:rFonts w:cs="Arial"/>
                <w:lang w:val="en-GB"/>
              </w:rPr>
              <w:t>20.3</w:t>
            </w:r>
          </w:p>
        </w:tc>
        <w:tc>
          <w:tcPr>
            <w:tcW w:w="463" w:type="pct"/>
            <w:shd w:val="clear" w:color="auto" w:fill="FFFFFF" w:themeFill="background1"/>
            <w:vAlign w:val="center"/>
          </w:tcPr>
          <w:p w14:paraId="78A96C2C" w14:textId="5EA514E2" w:rsidR="008F0EDF" w:rsidRPr="00B57B36" w:rsidRDefault="02289709" w:rsidP="529C9CC6">
            <w:pPr>
              <w:pStyle w:val="CETBodytext"/>
              <w:ind w:right="-1"/>
              <w:jc w:val="center"/>
              <w:rPr>
                <w:rFonts w:cs="Arial"/>
                <w:lang w:val="en-GB"/>
              </w:rPr>
            </w:pPr>
            <w:r w:rsidRPr="529C9CC6">
              <w:rPr>
                <w:rFonts w:cs="Arial"/>
                <w:lang w:val="en-GB"/>
              </w:rPr>
              <w:t>3</w:t>
            </w:r>
            <w:r w:rsidR="2FC2BED8" w:rsidRPr="529C9CC6">
              <w:rPr>
                <w:rFonts w:cs="Arial"/>
                <w:lang w:val="en-GB"/>
              </w:rPr>
              <w:t>8</w:t>
            </w:r>
            <w:r w:rsidRPr="529C9CC6">
              <w:rPr>
                <w:rFonts w:cs="Arial"/>
                <w:lang w:val="en-GB"/>
              </w:rPr>
              <w:t>.2</w:t>
            </w:r>
          </w:p>
        </w:tc>
        <w:tc>
          <w:tcPr>
            <w:tcW w:w="463" w:type="pct"/>
            <w:shd w:val="clear" w:color="auto" w:fill="FFFFFF" w:themeFill="background1"/>
            <w:vAlign w:val="center"/>
          </w:tcPr>
          <w:p w14:paraId="6B03C02B" w14:textId="070D878E" w:rsidR="008F0EDF" w:rsidRPr="00B57B36" w:rsidRDefault="579CCBD1" w:rsidP="529C9CC6">
            <w:pPr>
              <w:pStyle w:val="CETBodytext"/>
              <w:ind w:right="-1"/>
              <w:jc w:val="center"/>
              <w:rPr>
                <w:rFonts w:cs="Arial"/>
                <w:lang w:val="en-GB"/>
              </w:rPr>
            </w:pPr>
            <w:r w:rsidRPr="529C9CC6">
              <w:rPr>
                <w:rFonts w:cs="Arial"/>
                <w:lang w:val="en-GB"/>
              </w:rPr>
              <w:t>35.7</w:t>
            </w:r>
          </w:p>
        </w:tc>
        <w:tc>
          <w:tcPr>
            <w:tcW w:w="463" w:type="pct"/>
            <w:shd w:val="clear" w:color="auto" w:fill="FFFFFF" w:themeFill="background1"/>
            <w:vAlign w:val="center"/>
          </w:tcPr>
          <w:p w14:paraId="0158441C" w14:textId="307ACF1F" w:rsidR="008F0EDF" w:rsidRPr="00B57B36" w:rsidRDefault="579CCBD1" w:rsidP="529C9CC6">
            <w:pPr>
              <w:pStyle w:val="CETBodytext"/>
              <w:ind w:right="-1"/>
              <w:jc w:val="center"/>
              <w:rPr>
                <w:rFonts w:cs="Arial"/>
                <w:lang w:val="en-GB"/>
              </w:rPr>
            </w:pPr>
            <w:r w:rsidRPr="529C9CC6">
              <w:rPr>
                <w:rFonts w:cs="Arial"/>
                <w:lang w:val="en-GB"/>
              </w:rPr>
              <w:t>33.1</w:t>
            </w:r>
          </w:p>
        </w:tc>
        <w:tc>
          <w:tcPr>
            <w:tcW w:w="464" w:type="pct"/>
            <w:shd w:val="clear" w:color="auto" w:fill="FFFFFF" w:themeFill="background1"/>
            <w:vAlign w:val="center"/>
          </w:tcPr>
          <w:p w14:paraId="1B899A84" w14:textId="60CB4617" w:rsidR="008F0EDF" w:rsidRPr="00B57B36" w:rsidRDefault="579CCBD1">
            <w:pPr>
              <w:pStyle w:val="CETBodytext"/>
              <w:ind w:right="-1"/>
              <w:jc w:val="center"/>
              <w:rPr>
                <w:rFonts w:cs="Arial"/>
                <w:lang w:val="en-GB"/>
              </w:rPr>
            </w:pPr>
            <w:r w:rsidRPr="529C9CC6">
              <w:rPr>
                <w:rFonts w:cs="Arial"/>
                <w:lang w:val="en-GB"/>
              </w:rPr>
              <w:t>30.3</w:t>
            </w:r>
          </w:p>
        </w:tc>
      </w:tr>
    </w:tbl>
    <w:p w14:paraId="617FCDD0" w14:textId="52CF741C" w:rsidR="001022DD" w:rsidRDefault="00FA6EFE" w:rsidP="5E736752">
      <w:pPr>
        <w:pStyle w:val="CETCaption"/>
        <w:rPr>
          <w:i w:val="0"/>
          <w:lang w:val="en-US"/>
        </w:rPr>
      </w:pPr>
      <w:r w:rsidRPr="5E736752">
        <w:rPr>
          <w:i w:val="0"/>
          <w:lang w:val="en-US"/>
        </w:rPr>
        <w:t xml:space="preserve">The objective of the autohydrolysis treatment, as defined within the </w:t>
      </w:r>
      <w:proofErr w:type="spellStart"/>
      <w:r w:rsidRPr="5E736752">
        <w:rPr>
          <w:i w:val="0"/>
          <w:lang w:val="en-US"/>
        </w:rPr>
        <w:t>Cyclevit</w:t>
      </w:r>
      <w:proofErr w:type="spellEnd"/>
      <w:r w:rsidRPr="5E736752">
        <w:rPr>
          <w:i w:val="0"/>
          <w:lang w:val="en-US"/>
        </w:rPr>
        <w:t xml:space="preserve"> project, is to remove as much hemicellulose as possible while minimizing cellulose degradation. The cellulose is intended to be subsequently separated from lignin through an </w:t>
      </w:r>
      <w:proofErr w:type="spellStart"/>
      <w:r w:rsidRPr="5E736752">
        <w:rPr>
          <w:i w:val="0"/>
          <w:lang w:val="en-US"/>
        </w:rPr>
        <w:t>organosolv</w:t>
      </w:r>
      <w:proofErr w:type="spellEnd"/>
      <w:r w:rsidRPr="5E736752">
        <w:rPr>
          <w:i w:val="0"/>
          <w:lang w:val="en-US"/>
        </w:rPr>
        <w:t xml:space="preserve"> process.</w:t>
      </w:r>
      <w:r w:rsidR="002339CA" w:rsidRPr="5E736752">
        <w:rPr>
          <w:i w:val="0"/>
          <w:lang w:val="en-US"/>
        </w:rPr>
        <w:t xml:space="preserve"> </w:t>
      </w:r>
      <w:r w:rsidRPr="5E736752">
        <w:rPr>
          <w:i w:val="0"/>
          <w:lang w:val="en-US"/>
        </w:rPr>
        <w:t xml:space="preserve">As shown in Table </w:t>
      </w:r>
      <w:r w:rsidR="1DB4E96E" w:rsidRPr="5E736752">
        <w:rPr>
          <w:i w:val="0"/>
          <w:lang w:val="en-US"/>
        </w:rPr>
        <w:t>1</w:t>
      </w:r>
      <w:r w:rsidRPr="5E736752">
        <w:rPr>
          <w:i w:val="0"/>
          <w:lang w:val="en-US"/>
        </w:rPr>
        <w:t xml:space="preserve">, the time required for complete </w:t>
      </w:r>
      <w:r w:rsidR="00D44FBB" w:rsidRPr="5E736752">
        <w:rPr>
          <w:i w:val="0"/>
          <w:lang w:val="en-US"/>
        </w:rPr>
        <w:t>hemi</w:t>
      </w:r>
      <w:r w:rsidRPr="5E736752">
        <w:rPr>
          <w:i w:val="0"/>
          <w:lang w:val="en-US"/>
        </w:rPr>
        <w:t xml:space="preserve">cellulose degradation increases as the temperature decreases. However, higher temperatures may lead to increased energy consumption and require tighter control over processing times, since even small variations in residence time could promote cellulose degradation. For </w:t>
      </w:r>
      <w:r w:rsidR="00391459" w:rsidRPr="5E736752">
        <w:rPr>
          <w:i w:val="0"/>
          <w:lang w:val="en-US"/>
        </w:rPr>
        <w:t>example</w:t>
      </w:r>
      <w:r w:rsidR="00F236DE" w:rsidRPr="5E736752">
        <w:rPr>
          <w:i w:val="0"/>
          <w:lang w:val="en-US"/>
        </w:rPr>
        <w:t>,</w:t>
      </w:r>
      <w:r w:rsidR="00D36EB9" w:rsidRPr="5E736752">
        <w:rPr>
          <w:i w:val="0"/>
          <w:lang w:val="en-US"/>
        </w:rPr>
        <w:t xml:space="preserve"> </w:t>
      </w:r>
      <w:r w:rsidR="00F236DE" w:rsidRPr="5E736752">
        <w:rPr>
          <w:i w:val="0"/>
          <w:lang w:val="en-US"/>
        </w:rPr>
        <w:t>residence time</w:t>
      </w:r>
      <w:r w:rsidR="00D36EB9" w:rsidRPr="5E736752">
        <w:rPr>
          <w:i w:val="0"/>
          <w:lang w:val="en-US"/>
        </w:rPr>
        <w:t xml:space="preserve"> in the 2</w:t>
      </w:r>
      <w:r w:rsidR="48AD948A" w:rsidRPr="5E736752">
        <w:rPr>
          <w:i w:val="0"/>
          <w:lang w:val="en-US"/>
        </w:rPr>
        <w:t>2</w:t>
      </w:r>
      <w:r w:rsidR="00D36EB9" w:rsidRPr="5E736752">
        <w:rPr>
          <w:i w:val="0"/>
          <w:lang w:val="en-US"/>
        </w:rPr>
        <w:t>–25 min window</w:t>
      </w:r>
      <w:r w:rsidR="00391459" w:rsidRPr="5E736752">
        <w:rPr>
          <w:i w:val="0"/>
          <w:lang w:val="en-US"/>
        </w:rPr>
        <w:t xml:space="preserve"> at 240°C (i.e. </w:t>
      </w:r>
      <w:r w:rsidR="5A2CB755" w:rsidRPr="5E736752">
        <w:rPr>
          <w:i w:val="0"/>
          <w:lang w:val="en-US"/>
        </w:rPr>
        <w:t xml:space="preserve">2 to </w:t>
      </w:r>
      <w:r w:rsidR="022F733B" w:rsidRPr="5E736752">
        <w:rPr>
          <w:i w:val="0"/>
          <w:lang w:val="en-US"/>
        </w:rPr>
        <w:t xml:space="preserve">5 </w:t>
      </w:r>
      <w:r w:rsidR="00391459" w:rsidRPr="5E736752">
        <w:rPr>
          <w:i w:val="0"/>
          <w:lang w:val="en-US"/>
        </w:rPr>
        <w:t xml:space="preserve">minutes </w:t>
      </w:r>
      <w:r w:rsidR="72359E6E" w:rsidRPr="5E736752">
        <w:rPr>
          <w:i w:val="0"/>
          <w:lang w:val="en-US"/>
        </w:rPr>
        <w:t xml:space="preserve">after </w:t>
      </w:r>
      <w:r w:rsidR="4E8F3E35" w:rsidRPr="5E736752">
        <w:rPr>
          <w:i w:val="0"/>
          <w:lang w:val="en-US"/>
        </w:rPr>
        <w:t>the inflection point</w:t>
      </w:r>
      <w:r w:rsidR="00955532" w:rsidRPr="5E736752">
        <w:rPr>
          <w:i w:val="0"/>
          <w:lang w:val="en-US"/>
        </w:rPr>
        <w:t xml:space="preserve"> to have 0% </w:t>
      </w:r>
      <w:r w:rsidR="263AC2F5" w:rsidRPr="5E736752">
        <w:rPr>
          <w:i w:val="0"/>
          <w:lang w:val="en-US"/>
        </w:rPr>
        <w:t>of Hemicellulose</w:t>
      </w:r>
      <w:r w:rsidR="00391459" w:rsidRPr="5E736752">
        <w:rPr>
          <w:i w:val="0"/>
          <w:lang w:val="en-US"/>
        </w:rPr>
        <w:t>)</w:t>
      </w:r>
      <w:r w:rsidR="00F236DE" w:rsidRPr="5E736752">
        <w:rPr>
          <w:i w:val="0"/>
          <w:lang w:val="en-US"/>
        </w:rPr>
        <w:t xml:space="preserve">, corresponds to a degradation of cellulose from </w:t>
      </w:r>
      <w:r w:rsidR="2F921101" w:rsidRPr="5E736752">
        <w:rPr>
          <w:i w:val="0"/>
          <w:lang w:val="en-US"/>
        </w:rPr>
        <w:t>78</w:t>
      </w:r>
      <w:r w:rsidR="00EE62B5" w:rsidRPr="5E736752">
        <w:rPr>
          <w:i w:val="0"/>
          <w:lang w:val="en-US"/>
        </w:rPr>
        <w:t xml:space="preserve">% to </w:t>
      </w:r>
      <w:r w:rsidR="29977862" w:rsidRPr="5E736752">
        <w:rPr>
          <w:i w:val="0"/>
          <w:lang w:val="en-US"/>
        </w:rPr>
        <w:t>26</w:t>
      </w:r>
      <w:r w:rsidR="00EE62B5" w:rsidRPr="5E736752">
        <w:rPr>
          <w:i w:val="0"/>
          <w:lang w:val="en-US"/>
        </w:rPr>
        <w:t>%</w:t>
      </w:r>
      <w:r w:rsidR="00530940" w:rsidRPr="5E736752">
        <w:rPr>
          <w:i w:val="0"/>
          <w:lang w:val="en-US"/>
        </w:rPr>
        <w:t xml:space="preserve">, </w:t>
      </w:r>
      <w:r w:rsidR="00BB3CDC" w:rsidRPr="5E736752">
        <w:rPr>
          <w:i w:val="0"/>
          <w:lang w:val="en-US"/>
        </w:rPr>
        <w:t xml:space="preserve">thus resulting in a </w:t>
      </w:r>
      <w:r w:rsidR="00955532" w:rsidRPr="5E736752">
        <w:rPr>
          <w:i w:val="0"/>
          <w:lang w:val="en-US"/>
        </w:rPr>
        <w:t>about 7</w:t>
      </w:r>
      <w:r w:rsidR="54C2847E" w:rsidRPr="5E736752">
        <w:rPr>
          <w:i w:val="0"/>
          <w:lang w:val="en-US"/>
        </w:rPr>
        <w:t>0</w:t>
      </w:r>
      <w:r w:rsidR="00BB3CDC" w:rsidRPr="5E736752">
        <w:rPr>
          <w:i w:val="0"/>
          <w:lang w:val="en-US"/>
        </w:rPr>
        <w:t xml:space="preserve">% loss of cellulose in only 5 minutes. </w:t>
      </w:r>
      <w:r w:rsidR="0056150F" w:rsidRPr="5E736752">
        <w:rPr>
          <w:i w:val="0"/>
          <w:lang w:val="en-US"/>
        </w:rPr>
        <w:t xml:space="preserve">Considering this </w:t>
      </w:r>
      <w:r w:rsidR="0056150F" w:rsidRPr="5E736752">
        <w:rPr>
          <w:i w:val="0"/>
          <w:lang w:val="en-US"/>
        </w:rPr>
        <w:lastRenderedPageBreak/>
        <w:t xml:space="preserve">aspect, Table </w:t>
      </w:r>
      <w:r w:rsidR="2852499C" w:rsidRPr="5E736752">
        <w:rPr>
          <w:i w:val="0"/>
          <w:lang w:val="en-US"/>
        </w:rPr>
        <w:t>2</w:t>
      </w:r>
      <w:r w:rsidR="0056150F" w:rsidRPr="5E736752">
        <w:rPr>
          <w:i w:val="0"/>
          <w:lang w:val="en-US"/>
        </w:rPr>
        <w:t xml:space="preserve"> reports the cellulose and hemicellulose conversion rates at the four temperatures under investigation, based on an optimal residence time </w:t>
      </w:r>
      <w:r w:rsidR="51A7D885" w:rsidRPr="5E736752">
        <w:rPr>
          <w:i w:val="0"/>
          <w:lang w:val="en-US"/>
        </w:rPr>
        <w:t>range</w:t>
      </w:r>
      <w:r w:rsidR="0056150F" w:rsidRPr="5E736752">
        <w:rPr>
          <w:i w:val="0"/>
          <w:lang w:val="en-US"/>
        </w:rPr>
        <w:t xml:space="preserve"> within the auto-hydrolysis reactor. This range was defined using </w:t>
      </w:r>
      <w:r w:rsidR="0D926756" w:rsidRPr="5E736752">
        <w:rPr>
          <w:i w:val="0"/>
          <w:lang w:val="en-US"/>
        </w:rPr>
        <w:t>an</w:t>
      </w:r>
      <w:r w:rsidR="70F6BE92" w:rsidRPr="5E736752">
        <w:rPr>
          <w:i w:val="0"/>
          <w:lang w:val="en-US"/>
        </w:rPr>
        <w:t xml:space="preserve"> optimal range for the </w:t>
      </w:r>
      <w:r w:rsidR="006B43DB">
        <w:rPr>
          <w:i w:val="0"/>
          <w:lang w:val="en-US"/>
        </w:rPr>
        <w:t>remaining</w:t>
      </w:r>
      <w:r w:rsidR="70F6BE92" w:rsidRPr="5E736752">
        <w:rPr>
          <w:i w:val="0"/>
          <w:lang w:val="en-US"/>
        </w:rPr>
        <w:t xml:space="preserve"> cellulose </w:t>
      </w:r>
      <w:r w:rsidR="5F7B8FE8" w:rsidRPr="5E736752">
        <w:rPr>
          <w:i w:val="0"/>
          <w:lang w:val="en-US"/>
        </w:rPr>
        <w:t>95% to 90%</w:t>
      </w:r>
      <w:r w:rsidR="0056150F" w:rsidRPr="5E736752">
        <w:rPr>
          <w:i w:val="0"/>
          <w:lang w:val="en-US"/>
        </w:rPr>
        <w:t xml:space="preserve"> as the </w:t>
      </w:r>
      <w:r w:rsidR="40341DB0" w:rsidRPr="5E736752">
        <w:rPr>
          <w:i w:val="0"/>
          <w:lang w:val="en-US"/>
        </w:rPr>
        <w:t xml:space="preserve">lower </w:t>
      </w:r>
      <w:r w:rsidR="00955532" w:rsidRPr="5E736752">
        <w:rPr>
          <w:i w:val="0"/>
          <w:lang w:val="en-US"/>
        </w:rPr>
        <w:t>and upper</w:t>
      </w:r>
      <w:r w:rsidR="0056150F" w:rsidRPr="5E736752">
        <w:rPr>
          <w:i w:val="0"/>
          <w:lang w:val="en-US"/>
        </w:rPr>
        <w:t xml:space="preserve"> limit of residence time, beyond which cellulose degradation becomes excessively rapid. </w:t>
      </w:r>
      <w:r w:rsidR="080D2C9F" w:rsidRPr="5E736752">
        <w:rPr>
          <w:i w:val="0"/>
          <w:lang w:val="en-US"/>
        </w:rPr>
        <w:t xml:space="preserve">It can be seen how </w:t>
      </w:r>
      <w:r w:rsidR="4C592706" w:rsidRPr="5E736752">
        <w:rPr>
          <w:i w:val="0"/>
          <w:lang w:val="en-US"/>
        </w:rPr>
        <w:t>optimal</w:t>
      </w:r>
      <w:r w:rsidR="080D2C9F" w:rsidRPr="5E736752">
        <w:rPr>
          <w:i w:val="0"/>
          <w:lang w:val="en-US"/>
        </w:rPr>
        <w:t xml:space="preserve"> control of temperature and residence time will be </w:t>
      </w:r>
      <w:r w:rsidR="00955532" w:rsidRPr="5E736752">
        <w:rPr>
          <w:i w:val="0"/>
          <w:lang w:val="en-US"/>
        </w:rPr>
        <w:t>critical</w:t>
      </w:r>
      <w:r w:rsidR="080D2C9F" w:rsidRPr="5E736752">
        <w:rPr>
          <w:i w:val="0"/>
          <w:lang w:val="en-US"/>
        </w:rPr>
        <w:t xml:space="preserve"> to achieve the </w:t>
      </w:r>
      <w:r w:rsidR="00955532" w:rsidRPr="5E736752">
        <w:rPr>
          <w:i w:val="0"/>
          <w:lang w:val="en-US"/>
        </w:rPr>
        <w:t>desired</w:t>
      </w:r>
      <w:r w:rsidR="080D2C9F" w:rsidRPr="5E736752">
        <w:rPr>
          <w:i w:val="0"/>
          <w:lang w:val="en-US"/>
        </w:rPr>
        <w:t xml:space="preserve"> performance in this first reactor.</w:t>
      </w:r>
    </w:p>
    <w:p w14:paraId="6EB84F9F" w14:textId="59203DE7" w:rsidR="00EC016A" w:rsidRPr="00B57B36" w:rsidRDefault="00EC016A" w:rsidP="00D8362C">
      <w:pPr>
        <w:pStyle w:val="CETTabletitle"/>
        <w:jc w:val="both"/>
      </w:pPr>
      <w:r>
        <w:t xml:space="preserve">Table </w:t>
      </w:r>
      <w:r w:rsidR="109E4B24">
        <w:t>2</w:t>
      </w:r>
      <w:r>
        <w:t xml:space="preserve">: </w:t>
      </w:r>
      <w:r w:rsidR="007C0BA6">
        <w:t xml:space="preserve">Comparison at different temperatures of the </w:t>
      </w:r>
      <w:r w:rsidR="00B06629">
        <w:t>residual hemicellulose in the solid after autohydrolysis</w:t>
      </w:r>
      <w:r w:rsidR="00E803A8">
        <w:t xml:space="preserve"> and</w:t>
      </w:r>
      <w:r w:rsidR="006B43DB">
        <w:t xml:space="preserve"> of</w:t>
      </w:r>
      <w:r w:rsidR="00E803A8">
        <w:t xml:space="preserve"> the relative energy consumption</w:t>
      </w:r>
      <w:r w:rsidR="00B06629">
        <w:t xml:space="preserve"> </w:t>
      </w:r>
      <w:r w:rsidR="006B43DB">
        <w:t xml:space="preserve">considering a </w:t>
      </w:r>
      <w:r w:rsidR="000A01D0">
        <w:t xml:space="preserve">range of residence time to </w:t>
      </w:r>
      <w:r w:rsidR="007A382D">
        <w:t xml:space="preserve">recover 95-90% of cellulose.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81"/>
        <w:gridCol w:w="683"/>
        <w:gridCol w:w="692"/>
        <w:gridCol w:w="1009"/>
        <w:gridCol w:w="803"/>
        <w:gridCol w:w="21"/>
        <w:gridCol w:w="708"/>
        <w:gridCol w:w="743"/>
        <w:gridCol w:w="773"/>
        <w:gridCol w:w="773"/>
        <w:gridCol w:w="773"/>
        <w:gridCol w:w="928"/>
      </w:tblGrid>
      <w:tr w:rsidR="00006354" w:rsidRPr="00B57B36" w14:paraId="73539607" w14:textId="77777777" w:rsidTr="00892D0F">
        <w:tc>
          <w:tcPr>
            <w:tcW w:w="501" w:type="pct"/>
            <w:tcBorders>
              <w:top w:val="single" w:sz="12" w:space="0" w:color="008000"/>
              <w:bottom w:val="single" w:sz="4" w:space="0" w:color="FFFFFF" w:themeColor="background1"/>
            </w:tcBorders>
            <w:shd w:val="clear" w:color="auto" w:fill="FFFFFF" w:themeFill="background1"/>
          </w:tcPr>
          <w:p w14:paraId="2522C125" w14:textId="77777777" w:rsidR="00006354" w:rsidRPr="00B57B36" w:rsidRDefault="00006354" w:rsidP="008840E1">
            <w:pPr>
              <w:pStyle w:val="CETBodytext"/>
              <w:rPr>
                <w:lang w:val="en-GB"/>
              </w:rPr>
            </w:pPr>
          </w:p>
        </w:tc>
        <w:tc>
          <w:tcPr>
            <w:tcW w:w="388" w:type="pct"/>
            <w:tcBorders>
              <w:top w:val="single" w:sz="12" w:space="0" w:color="008000"/>
              <w:bottom w:val="single" w:sz="4" w:space="0" w:color="FFFFFF" w:themeColor="background1"/>
            </w:tcBorders>
            <w:shd w:val="clear" w:color="auto" w:fill="FFFFFF" w:themeFill="background1"/>
          </w:tcPr>
          <w:p w14:paraId="41586A3B" w14:textId="77777777" w:rsidR="00006354" w:rsidRPr="00B57B36" w:rsidRDefault="00006354" w:rsidP="008840E1">
            <w:pPr>
              <w:pStyle w:val="CETBodytext"/>
              <w:rPr>
                <w:lang w:val="en-GB"/>
              </w:rPr>
            </w:pPr>
          </w:p>
        </w:tc>
        <w:tc>
          <w:tcPr>
            <w:tcW w:w="394" w:type="pct"/>
            <w:tcBorders>
              <w:top w:val="single" w:sz="12" w:space="0" w:color="008000"/>
              <w:bottom w:val="single" w:sz="4" w:space="0" w:color="FFFFFF" w:themeColor="background1"/>
            </w:tcBorders>
            <w:shd w:val="clear" w:color="auto" w:fill="FFFFFF" w:themeFill="background1"/>
          </w:tcPr>
          <w:p w14:paraId="77F01F57" w14:textId="77777777" w:rsidR="00006354" w:rsidRPr="00B57B36" w:rsidRDefault="00006354" w:rsidP="008840E1">
            <w:pPr>
              <w:pStyle w:val="CETBodytext"/>
              <w:rPr>
                <w:lang w:val="en-GB"/>
              </w:rPr>
            </w:pPr>
          </w:p>
        </w:tc>
        <w:tc>
          <w:tcPr>
            <w:tcW w:w="1043" w:type="pct"/>
            <w:gridSpan w:val="3"/>
            <w:tcBorders>
              <w:top w:val="single" w:sz="12" w:space="0" w:color="008000"/>
              <w:bottom w:val="single" w:sz="4" w:space="0" w:color="FFFFFF" w:themeColor="background1"/>
            </w:tcBorders>
            <w:shd w:val="clear" w:color="auto" w:fill="FFFFFF" w:themeFill="background1"/>
          </w:tcPr>
          <w:p w14:paraId="1D4CA1A3" w14:textId="027FBCFD" w:rsidR="00006354" w:rsidRPr="008F0EDF" w:rsidRDefault="00006354" w:rsidP="008840E1">
            <w:pPr>
              <w:pStyle w:val="CETBodytext"/>
              <w:ind w:right="-1"/>
              <w:jc w:val="center"/>
              <w:rPr>
                <w:rFonts w:cs="Arial"/>
                <w:i/>
                <w:iCs/>
                <w:szCs w:val="18"/>
                <w:lang w:val="en-GB"/>
              </w:rPr>
            </w:pPr>
            <w:r>
              <w:rPr>
                <w:i/>
                <w:iCs/>
                <w:lang w:val="en-GB"/>
              </w:rPr>
              <w:t>160°C</w:t>
            </w:r>
          </w:p>
        </w:tc>
        <w:tc>
          <w:tcPr>
            <w:tcW w:w="826" w:type="pct"/>
            <w:gridSpan w:val="2"/>
            <w:tcBorders>
              <w:top w:val="single" w:sz="12" w:space="0" w:color="008000"/>
              <w:bottom w:val="single" w:sz="4" w:space="0" w:color="FFFFFF" w:themeColor="background1"/>
            </w:tcBorders>
            <w:shd w:val="clear" w:color="auto" w:fill="FFFFFF" w:themeFill="background1"/>
          </w:tcPr>
          <w:p w14:paraId="51EF3880" w14:textId="719D1806" w:rsidR="00006354" w:rsidRPr="008F0EDF" w:rsidRDefault="00006354" w:rsidP="008840E1">
            <w:pPr>
              <w:pStyle w:val="CETBodytext"/>
              <w:ind w:right="-1"/>
              <w:jc w:val="center"/>
              <w:rPr>
                <w:rFonts w:cs="Arial"/>
                <w:i/>
                <w:iCs/>
                <w:szCs w:val="18"/>
                <w:lang w:val="en-GB"/>
              </w:rPr>
            </w:pPr>
            <w:r>
              <w:rPr>
                <w:rFonts w:cs="Arial"/>
                <w:i/>
                <w:iCs/>
                <w:szCs w:val="18"/>
                <w:lang w:val="en-GB"/>
              </w:rPr>
              <w:t>180°C</w:t>
            </w:r>
          </w:p>
        </w:tc>
        <w:tc>
          <w:tcPr>
            <w:tcW w:w="880" w:type="pct"/>
            <w:gridSpan w:val="2"/>
            <w:tcBorders>
              <w:top w:val="single" w:sz="12" w:space="0" w:color="008000"/>
              <w:bottom w:val="single" w:sz="4" w:space="0" w:color="FFFFFF" w:themeColor="background1"/>
            </w:tcBorders>
            <w:shd w:val="clear" w:color="auto" w:fill="FFFFFF" w:themeFill="background1"/>
          </w:tcPr>
          <w:p w14:paraId="3D2A515D" w14:textId="1086EDF1" w:rsidR="00006354" w:rsidRPr="008F0EDF" w:rsidRDefault="00006354" w:rsidP="008840E1">
            <w:pPr>
              <w:pStyle w:val="CETBodytext"/>
              <w:ind w:right="-1"/>
              <w:jc w:val="center"/>
              <w:rPr>
                <w:rFonts w:cs="Arial"/>
                <w:i/>
                <w:iCs/>
                <w:szCs w:val="18"/>
                <w:lang w:val="en-GB"/>
              </w:rPr>
            </w:pPr>
            <w:r>
              <w:rPr>
                <w:rFonts w:cs="Arial"/>
                <w:i/>
                <w:iCs/>
                <w:szCs w:val="18"/>
                <w:lang w:val="en-GB"/>
              </w:rPr>
              <w:t>200°C</w:t>
            </w:r>
          </w:p>
        </w:tc>
        <w:tc>
          <w:tcPr>
            <w:tcW w:w="969" w:type="pct"/>
            <w:gridSpan w:val="2"/>
            <w:tcBorders>
              <w:top w:val="single" w:sz="12" w:space="0" w:color="008000"/>
              <w:bottom w:val="single" w:sz="4" w:space="0" w:color="FFFFFF" w:themeColor="background1"/>
            </w:tcBorders>
            <w:shd w:val="clear" w:color="auto" w:fill="FFFFFF" w:themeFill="background1"/>
          </w:tcPr>
          <w:p w14:paraId="615775EB" w14:textId="21AA0689" w:rsidR="00006354" w:rsidRPr="008F0EDF" w:rsidRDefault="00006354" w:rsidP="008840E1">
            <w:pPr>
              <w:pStyle w:val="CETBodytext"/>
              <w:ind w:right="-1"/>
              <w:jc w:val="center"/>
              <w:rPr>
                <w:rFonts w:cs="Arial"/>
                <w:i/>
                <w:iCs/>
                <w:szCs w:val="18"/>
                <w:lang w:val="en-GB"/>
              </w:rPr>
            </w:pPr>
            <w:r>
              <w:rPr>
                <w:rFonts w:cs="Arial"/>
                <w:i/>
                <w:iCs/>
                <w:szCs w:val="18"/>
                <w:lang w:val="en-GB"/>
              </w:rPr>
              <w:t>240°C</w:t>
            </w:r>
          </w:p>
        </w:tc>
      </w:tr>
      <w:tr w:rsidR="00006354" w:rsidRPr="00B57B36" w14:paraId="57FC3936" w14:textId="77777777" w:rsidTr="00892D0F">
        <w:tc>
          <w:tcPr>
            <w:tcW w:w="501" w:type="pct"/>
            <w:tcBorders>
              <w:top w:val="single" w:sz="4" w:space="0" w:color="FFFFFF" w:themeColor="background1"/>
              <w:bottom w:val="single" w:sz="6" w:space="0" w:color="008000"/>
            </w:tcBorders>
            <w:shd w:val="clear" w:color="auto" w:fill="FFFFFF" w:themeFill="background1"/>
          </w:tcPr>
          <w:p w14:paraId="68AF8CB1" w14:textId="77777777" w:rsidR="00006354" w:rsidRPr="00B57B36" w:rsidRDefault="00006354" w:rsidP="00006354">
            <w:pPr>
              <w:pStyle w:val="CETBodytext"/>
              <w:rPr>
                <w:lang w:val="en-GB"/>
              </w:rPr>
            </w:pPr>
          </w:p>
        </w:tc>
        <w:tc>
          <w:tcPr>
            <w:tcW w:w="388" w:type="pct"/>
            <w:tcBorders>
              <w:top w:val="single" w:sz="4" w:space="0" w:color="FFFFFF" w:themeColor="background1"/>
              <w:bottom w:val="single" w:sz="6" w:space="0" w:color="008000"/>
            </w:tcBorders>
            <w:shd w:val="clear" w:color="auto" w:fill="FFFFFF" w:themeFill="background1"/>
          </w:tcPr>
          <w:p w14:paraId="31B54FC6" w14:textId="77777777" w:rsidR="00006354" w:rsidRDefault="00006354" w:rsidP="00006354">
            <w:pPr>
              <w:pStyle w:val="CETBodytext"/>
              <w:jc w:val="center"/>
              <w:rPr>
                <w:lang w:val="en-GB"/>
              </w:rPr>
            </w:pPr>
          </w:p>
        </w:tc>
        <w:tc>
          <w:tcPr>
            <w:tcW w:w="394" w:type="pct"/>
            <w:tcBorders>
              <w:top w:val="single" w:sz="4" w:space="0" w:color="FFFFFF" w:themeColor="background1"/>
              <w:bottom w:val="single" w:sz="6" w:space="0" w:color="008000"/>
            </w:tcBorders>
            <w:shd w:val="clear" w:color="auto" w:fill="FFFFFF" w:themeFill="background1"/>
          </w:tcPr>
          <w:p w14:paraId="13C220DF" w14:textId="77777777" w:rsidR="00006354" w:rsidRDefault="00006354" w:rsidP="00006354">
            <w:pPr>
              <w:pStyle w:val="CETBodytext"/>
              <w:jc w:val="center"/>
              <w:rPr>
                <w:lang w:val="en-GB"/>
              </w:rPr>
            </w:pPr>
          </w:p>
        </w:tc>
        <w:tc>
          <w:tcPr>
            <w:tcW w:w="574" w:type="pct"/>
            <w:tcBorders>
              <w:top w:val="single" w:sz="4" w:space="0" w:color="FFFFFF" w:themeColor="background1"/>
              <w:bottom w:val="single" w:sz="6" w:space="0" w:color="008000"/>
            </w:tcBorders>
            <w:shd w:val="clear" w:color="auto" w:fill="FFFFFF" w:themeFill="background1"/>
          </w:tcPr>
          <w:p w14:paraId="1973B87F" w14:textId="1CBB1B4B" w:rsidR="00006354" w:rsidRPr="00006354" w:rsidRDefault="00006354" w:rsidP="00006354">
            <w:pPr>
              <w:pStyle w:val="CETBodytext"/>
              <w:jc w:val="center"/>
              <w:rPr>
                <w:i/>
                <w:iCs/>
                <w:lang w:val="en-GB"/>
              </w:rPr>
            </w:pPr>
            <w:r w:rsidRPr="00006354">
              <w:rPr>
                <w:i/>
                <w:iCs/>
                <w:lang w:val="en-GB"/>
              </w:rPr>
              <w:t>min</w:t>
            </w:r>
          </w:p>
        </w:tc>
        <w:tc>
          <w:tcPr>
            <w:tcW w:w="457" w:type="pct"/>
            <w:tcBorders>
              <w:top w:val="single" w:sz="4" w:space="0" w:color="FFFFFF" w:themeColor="background1"/>
              <w:bottom w:val="single" w:sz="6" w:space="0" w:color="008000"/>
            </w:tcBorders>
            <w:shd w:val="clear" w:color="auto" w:fill="FFFFFF" w:themeFill="background1"/>
          </w:tcPr>
          <w:p w14:paraId="07799D6F" w14:textId="5AB1DCBF" w:rsidR="00006354" w:rsidRPr="00006354" w:rsidRDefault="00006354" w:rsidP="00006354">
            <w:pPr>
              <w:pStyle w:val="CETBodytext"/>
              <w:jc w:val="center"/>
              <w:rPr>
                <w:i/>
                <w:iCs/>
                <w:lang w:val="en-GB"/>
              </w:rPr>
            </w:pPr>
            <w:r w:rsidRPr="00006354">
              <w:rPr>
                <w:i/>
                <w:iCs/>
                <w:lang w:val="en-GB"/>
              </w:rPr>
              <w:t>max</w:t>
            </w:r>
          </w:p>
        </w:tc>
        <w:tc>
          <w:tcPr>
            <w:tcW w:w="415" w:type="pct"/>
            <w:gridSpan w:val="2"/>
            <w:tcBorders>
              <w:top w:val="single" w:sz="4" w:space="0" w:color="FFFFFF" w:themeColor="background1"/>
              <w:bottom w:val="single" w:sz="6" w:space="0" w:color="008000"/>
            </w:tcBorders>
            <w:shd w:val="clear" w:color="auto" w:fill="FFFFFF" w:themeFill="background1"/>
          </w:tcPr>
          <w:p w14:paraId="5F994EC4" w14:textId="46CC9749" w:rsidR="00006354" w:rsidRPr="00006354" w:rsidRDefault="00006354" w:rsidP="00006354">
            <w:pPr>
              <w:pStyle w:val="CETBodytext"/>
              <w:ind w:right="-1"/>
              <w:jc w:val="center"/>
              <w:rPr>
                <w:rFonts w:cs="Arial"/>
                <w:i/>
                <w:iCs/>
                <w:szCs w:val="18"/>
                <w:lang w:val="en-GB"/>
              </w:rPr>
            </w:pPr>
            <w:r w:rsidRPr="00006354">
              <w:rPr>
                <w:i/>
                <w:iCs/>
                <w:lang w:val="en-GB"/>
              </w:rPr>
              <w:t>min</w:t>
            </w:r>
          </w:p>
        </w:tc>
        <w:tc>
          <w:tcPr>
            <w:tcW w:w="423" w:type="pct"/>
            <w:tcBorders>
              <w:top w:val="single" w:sz="4" w:space="0" w:color="FFFFFF" w:themeColor="background1"/>
              <w:bottom w:val="single" w:sz="6" w:space="0" w:color="008000"/>
            </w:tcBorders>
            <w:shd w:val="clear" w:color="auto" w:fill="FFFFFF" w:themeFill="background1"/>
          </w:tcPr>
          <w:p w14:paraId="176F8BD3" w14:textId="485C6F20" w:rsidR="00006354" w:rsidRPr="00006354" w:rsidRDefault="00006354" w:rsidP="00006354">
            <w:pPr>
              <w:pStyle w:val="CETBodytext"/>
              <w:ind w:right="-1"/>
              <w:jc w:val="center"/>
              <w:rPr>
                <w:rFonts w:cs="Arial"/>
                <w:i/>
                <w:iCs/>
                <w:szCs w:val="18"/>
                <w:lang w:val="en-GB"/>
              </w:rPr>
            </w:pPr>
            <w:r w:rsidRPr="00006354">
              <w:rPr>
                <w:i/>
                <w:iCs/>
                <w:lang w:val="en-GB"/>
              </w:rPr>
              <w:t>max</w:t>
            </w:r>
          </w:p>
        </w:tc>
        <w:tc>
          <w:tcPr>
            <w:tcW w:w="440" w:type="pct"/>
            <w:tcBorders>
              <w:top w:val="single" w:sz="4" w:space="0" w:color="FFFFFF" w:themeColor="background1"/>
              <w:bottom w:val="single" w:sz="6" w:space="0" w:color="008000"/>
            </w:tcBorders>
            <w:shd w:val="clear" w:color="auto" w:fill="FFFFFF" w:themeFill="background1"/>
          </w:tcPr>
          <w:p w14:paraId="2D53D03B" w14:textId="7639E1B7" w:rsidR="00006354" w:rsidRPr="00006354" w:rsidRDefault="00006354" w:rsidP="00006354">
            <w:pPr>
              <w:pStyle w:val="CETBodytext"/>
              <w:ind w:right="-1"/>
              <w:jc w:val="center"/>
              <w:rPr>
                <w:rFonts w:cs="Arial"/>
                <w:i/>
                <w:iCs/>
                <w:szCs w:val="18"/>
                <w:lang w:val="en-GB"/>
              </w:rPr>
            </w:pPr>
            <w:r w:rsidRPr="00006354">
              <w:rPr>
                <w:i/>
                <w:iCs/>
                <w:lang w:val="en-GB"/>
              </w:rPr>
              <w:t>min</w:t>
            </w:r>
          </w:p>
        </w:tc>
        <w:tc>
          <w:tcPr>
            <w:tcW w:w="440" w:type="pct"/>
            <w:tcBorders>
              <w:top w:val="single" w:sz="4" w:space="0" w:color="FFFFFF" w:themeColor="background1"/>
              <w:bottom w:val="single" w:sz="6" w:space="0" w:color="008000"/>
            </w:tcBorders>
            <w:shd w:val="clear" w:color="auto" w:fill="FFFFFF" w:themeFill="background1"/>
          </w:tcPr>
          <w:p w14:paraId="03683237" w14:textId="67026998" w:rsidR="00006354" w:rsidRPr="00006354" w:rsidRDefault="00006354" w:rsidP="00006354">
            <w:pPr>
              <w:pStyle w:val="CETBodytext"/>
              <w:ind w:right="-1"/>
              <w:jc w:val="center"/>
              <w:rPr>
                <w:rFonts w:cs="Arial"/>
                <w:i/>
                <w:iCs/>
                <w:szCs w:val="18"/>
                <w:lang w:val="en-GB"/>
              </w:rPr>
            </w:pPr>
            <w:r w:rsidRPr="00006354">
              <w:rPr>
                <w:i/>
                <w:iCs/>
                <w:lang w:val="en-GB"/>
              </w:rPr>
              <w:t>max</w:t>
            </w:r>
          </w:p>
        </w:tc>
        <w:tc>
          <w:tcPr>
            <w:tcW w:w="440" w:type="pct"/>
            <w:tcBorders>
              <w:top w:val="single" w:sz="4" w:space="0" w:color="FFFFFF" w:themeColor="background1"/>
              <w:bottom w:val="single" w:sz="6" w:space="0" w:color="008000"/>
            </w:tcBorders>
            <w:shd w:val="clear" w:color="auto" w:fill="FFFFFF" w:themeFill="background1"/>
          </w:tcPr>
          <w:p w14:paraId="4F5B2618" w14:textId="222F3049" w:rsidR="00006354" w:rsidRPr="00006354" w:rsidRDefault="00006354" w:rsidP="00006354">
            <w:pPr>
              <w:pStyle w:val="CETBodytext"/>
              <w:ind w:right="-1"/>
              <w:jc w:val="center"/>
              <w:rPr>
                <w:rFonts w:cs="Arial"/>
                <w:i/>
                <w:iCs/>
                <w:szCs w:val="18"/>
                <w:lang w:val="en-GB"/>
              </w:rPr>
            </w:pPr>
            <w:r w:rsidRPr="00006354">
              <w:rPr>
                <w:i/>
                <w:iCs/>
                <w:lang w:val="en-GB"/>
              </w:rPr>
              <w:t>min</w:t>
            </w:r>
          </w:p>
        </w:tc>
        <w:tc>
          <w:tcPr>
            <w:tcW w:w="529" w:type="pct"/>
            <w:tcBorders>
              <w:top w:val="single" w:sz="4" w:space="0" w:color="FFFFFF" w:themeColor="background1"/>
              <w:bottom w:val="single" w:sz="6" w:space="0" w:color="008000"/>
            </w:tcBorders>
            <w:shd w:val="clear" w:color="auto" w:fill="FFFFFF" w:themeFill="background1"/>
          </w:tcPr>
          <w:p w14:paraId="76D156CF" w14:textId="777FB55E" w:rsidR="00006354" w:rsidRPr="00006354" w:rsidRDefault="00006354" w:rsidP="00006354">
            <w:pPr>
              <w:pStyle w:val="CETBodytext"/>
              <w:ind w:right="-1"/>
              <w:jc w:val="center"/>
              <w:rPr>
                <w:rFonts w:cs="Arial"/>
                <w:i/>
                <w:iCs/>
                <w:szCs w:val="18"/>
                <w:lang w:val="en-GB"/>
              </w:rPr>
            </w:pPr>
            <w:r w:rsidRPr="00006354">
              <w:rPr>
                <w:i/>
                <w:iCs/>
                <w:lang w:val="en-GB"/>
              </w:rPr>
              <w:t>max</w:t>
            </w:r>
          </w:p>
        </w:tc>
      </w:tr>
      <w:tr w:rsidR="00317A79" w:rsidRPr="00B57B36" w14:paraId="77B4A823" w14:textId="77777777" w:rsidTr="00892D0F">
        <w:tc>
          <w:tcPr>
            <w:tcW w:w="1283" w:type="pct"/>
            <w:gridSpan w:val="3"/>
            <w:shd w:val="clear" w:color="auto" w:fill="FFFFFF" w:themeFill="background1"/>
          </w:tcPr>
          <w:p w14:paraId="022BA9C2" w14:textId="05505E97" w:rsidR="00317A79" w:rsidRPr="00B57B36" w:rsidRDefault="32A7E082" w:rsidP="00317A79">
            <w:pPr>
              <w:pStyle w:val="CETBodytext"/>
              <w:rPr>
                <w:lang w:val="en-GB"/>
              </w:rPr>
            </w:pPr>
            <w:r w:rsidRPr="529C9CC6">
              <w:rPr>
                <w:lang w:val="en-GB"/>
              </w:rPr>
              <w:t xml:space="preserve">Range of Optimal Residence Time </w:t>
            </w:r>
            <w:r w:rsidR="7AE5F992" w:rsidRPr="529C9CC6">
              <w:rPr>
                <w:lang w:val="en-GB"/>
              </w:rPr>
              <w:t>for a range of 9</w:t>
            </w:r>
            <w:r w:rsidR="0097570B">
              <w:rPr>
                <w:lang w:val="en-GB"/>
              </w:rPr>
              <w:t>5</w:t>
            </w:r>
            <w:r w:rsidR="7AE5F992" w:rsidRPr="529C9CC6">
              <w:rPr>
                <w:lang w:val="en-GB"/>
              </w:rPr>
              <w:t>%-9</w:t>
            </w:r>
            <w:r w:rsidR="0097570B">
              <w:rPr>
                <w:lang w:val="en-GB"/>
              </w:rPr>
              <w:t>0</w:t>
            </w:r>
            <w:r w:rsidR="7AE5F992" w:rsidRPr="529C9CC6">
              <w:rPr>
                <w:lang w:val="en-GB"/>
              </w:rPr>
              <w:t>% residual cellulos</w:t>
            </w:r>
            <w:r w:rsidR="00C848FE">
              <w:rPr>
                <w:lang w:val="en-GB"/>
              </w:rPr>
              <w:t>e</w:t>
            </w:r>
            <w:r w:rsidR="00F012E7">
              <w:rPr>
                <w:lang w:val="en-GB"/>
              </w:rPr>
              <w:t xml:space="preserve"> </w:t>
            </w:r>
            <w:r w:rsidRPr="529C9CC6">
              <w:rPr>
                <w:lang w:val="en-GB"/>
              </w:rPr>
              <w:t>[min]</w:t>
            </w:r>
          </w:p>
        </w:tc>
        <w:tc>
          <w:tcPr>
            <w:tcW w:w="574" w:type="pct"/>
            <w:shd w:val="clear" w:color="auto" w:fill="FFFFFF" w:themeFill="background1"/>
            <w:vAlign w:val="center"/>
          </w:tcPr>
          <w:p w14:paraId="601C227C" w14:textId="53397F43" w:rsidR="00317A79" w:rsidRPr="00317A79" w:rsidRDefault="7DEA0D5B" w:rsidP="5E736752">
            <w:pPr>
              <w:pStyle w:val="CETBodytext"/>
              <w:jc w:val="center"/>
              <w:rPr>
                <w:rFonts w:cs="Arial"/>
                <w:color w:val="000000" w:themeColor="text1"/>
                <w:lang w:val="en-GB"/>
              </w:rPr>
            </w:pPr>
            <w:r w:rsidRPr="5E736752">
              <w:rPr>
                <w:rFonts w:cs="Arial"/>
                <w:color w:val="000000" w:themeColor="text1"/>
              </w:rPr>
              <w:t>2</w:t>
            </w:r>
            <w:r w:rsidR="115546FF" w:rsidRPr="5E736752">
              <w:rPr>
                <w:rFonts w:cs="Arial"/>
                <w:color w:val="000000" w:themeColor="text1"/>
              </w:rPr>
              <w:t>1</w:t>
            </w:r>
            <w:r w:rsidR="76FD4368" w:rsidRPr="5E736752">
              <w:rPr>
                <w:rFonts w:cs="Arial"/>
                <w:color w:val="000000" w:themeColor="text1"/>
              </w:rPr>
              <w:t>.</w:t>
            </w:r>
            <w:r w:rsidR="5B321CF7" w:rsidRPr="5E736752">
              <w:rPr>
                <w:rFonts w:cs="Arial"/>
                <w:color w:val="000000" w:themeColor="text1"/>
              </w:rPr>
              <w:t>34</w:t>
            </w:r>
          </w:p>
        </w:tc>
        <w:tc>
          <w:tcPr>
            <w:tcW w:w="457" w:type="pct"/>
            <w:shd w:val="clear" w:color="auto" w:fill="FFFFFF" w:themeFill="background1"/>
            <w:vAlign w:val="center"/>
          </w:tcPr>
          <w:p w14:paraId="3263D2EE" w14:textId="50AE66CE" w:rsidR="00317A79" w:rsidRPr="00317A79" w:rsidRDefault="48666444" w:rsidP="5E736752">
            <w:pPr>
              <w:pStyle w:val="CETBodytext"/>
              <w:jc w:val="center"/>
              <w:rPr>
                <w:rFonts w:cs="Arial"/>
                <w:color w:val="000000" w:themeColor="text1"/>
                <w:lang w:val="en-GB"/>
              </w:rPr>
            </w:pPr>
            <w:r w:rsidRPr="5E736752">
              <w:rPr>
                <w:rFonts w:cs="Arial"/>
                <w:color w:val="000000" w:themeColor="text1"/>
              </w:rPr>
              <w:t>24</w:t>
            </w:r>
            <w:r w:rsidR="1732E254" w:rsidRPr="5E736752">
              <w:rPr>
                <w:rFonts w:cs="Arial"/>
                <w:color w:val="000000" w:themeColor="text1"/>
              </w:rPr>
              <w:t>.</w:t>
            </w:r>
            <w:r w:rsidR="70C3CDE5" w:rsidRPr="5E736752">
              <w:rPr>
                <w:rFonts w:cs="Arial"/>
                <w:color w:val="000000" w:themeColor="text1"/>
              </w:rPr>
              <w:t>7</w:t>
            </w:r>
          </w:p>
        </w:tc>
        <w:tc>
          <w:tcPr>
            <w:tcW w:w="415" w:type="pct"/>
            <w:gridSpan w:val="2"/>
            <w:shd w:val="clear" w:color="auto" w:fill="FFFFFF" w:themeFill="background1"/>
            <w:vAlign w:val="center"/>
          </w:tcPr>
          <w:p w14:paraId="3A9FC3D0" w14:textId="279568EE" w:rsidR="00317A79" w:rsidRPr="00317A79" w:rsidRDefault="75A6D8E5" w:rsidP="5E736752">
            <w:pPr>
              <w:pStyle w:val="CETBodytext"/>
              <w:ind w:right="-1"/>
              <w:jc w:val="center"/>
              <w:rPr>
                <w:rFonts w:cs="Arial"/>
                <w:color w:val="000000" w:themeColor="text1"/>
                <w:lang w:val="en-GB"/>
              </w:rPr>
            </w:pPr>
            <w:r w:rsidRPr="5E736752">
              <w:rPr>
                <w:rFonts w:cs="Arial"/>
                <w:color w:val="000000" w:themeColor="text1"/>
              </w:rPr>
              <w:t>2</w:t>
            </w:r>
            <w:r w:rsidR="3704A19D" w:rsidRPr="5E736752">
              <w:rPr>
                <w:rFonts w:cs="Arial"/>
                <w:color w:val="000000" w:themeColor="text1"/>
              </w:rPr>
              <w:t>0</w:t>
            </w:r>
            <w:r w:rsidR="1732E254" w:rsidRPr="5E736752">
              <w:rPr>
                <w:rFonts w:cs="Arial"/>
                <w:color w:val="000000" w:themeColor="text1"/>
              </w:rPr>
              <w:t>.</w:t>
            </w:r>
            <w:r w:rsidR="2E1DED2B" w:rsidRPr="5E736752">
              <w:rPr>
                <w:rFonts w:cs="Arial"/>
                <w:color w:val="000000" w:themeColor="text1"/>
              </w:rPr>
              <w:t>23</w:t>
            </w:r>
          </w:p>
        </w:tc>
        <w:tc>
          <w:tcPr>
            <w:tcW w:w="423" w:type="pct"/>
            <w:shd w:val="clear" w:color="auto" w:fill="FFFFFF" w:themeFill="background1"/>
            <w:vAlign w:val="center"/>
          </w:tcPr>
          <w:p w14:paraId="1E27C3C1" w14:textId="2A99DD74" w:rsidR="00317A79" w:rsidRPr="00317A79" w:rsidRDefault="6BA6406D" w:rsidP="5E736752">
            <w:pPr>
              <w:pStyle w:val="CETBodytext"/>
              <w:ind w:right="-1"/>
              <w:jc w:val="center"/>
              <w:rPr>
                <w:rFonts w:cs="Arial"/>
                <w:color w:val="000000" w:themeColor="text1"/>
                <w:lang w:val="en-GB"/>
              </w:rPr>
            </w:pPr>
            <w:r w:rsidRPr="5E736752">
              <w:rPr>
                <w:rFonts w:cs="Arial"/>
                <w:color w:val="000000" w:themeColor="text1"/>
              </w:rPr>
              <w:t>23</w:t>
            </w:r>
            <w:r w:rsidR="1732E254" w:rsidRPr="5E736752">
              <w:rPr>
                <w:rFonts w:cs="Arial"/>
                <w:color w:val="000000" w:themeColor="text1"/>
              </w:rPr>
              <w:t>.</w:t>
            </w:r>
            <w:r w:rsidR="64C26697" w:rsidRPr="5E736752">
              <w:rPr>
                <w:rFonts w:cs="Arial"/>
                <w:color w:val="000000" w:themeColor="text1"/>
              </w:rPr>
              <w:t>45</w:t>
            </w:r>
          </w:p>
        </w:tc>
        <w:tc>
          <w:tcPr>
            <w:tcW w:w="440" w:type="pct"/>
            <w:shd w:val="clear" w:color="auto" w:fill="FFFFFF" w:themeFill="background1"/>
            <w:vAlign w:val="center"/>
          </w:tcPr>
          <w:p w14:paraId="768D77A3" w14:textId="71009B16" w:rsidR="00317A79" w:rsidRPr="00317A79" w:rsidRDefault="0D8ABEFC" w:rsidP="5E736752">
            <w:pPr>
              <w:pStyle w:val="CETBodytext"/>
              <w:ind w:right="-1"/>
              <w:jc w:val="center"/>
              <w:rPr>
                <w:rFonts w:cs="Arial"/>
                <w:color w:val="000000" w:themeColor="text1"/>
                <w:lang w:val="en-GB"/>
              </w:rPr>
            </w:pPr>
            <w:r w:rsidRPr="5E736752">
              <w:rPr>
                <w:rFonts w:cs="Arial"/>
                <w:color w:val="000000" w:themeColor="text1"/>
              </w:rPr>
              <w:t>19.8</w:t>
            </w:r>
          </w:p>
        </w:tc>
        <w:tc>
          <w:tcPr>
            <w:tcW w:w="440" w:type="pct"/>
            <w:shd w:val="clear" w:color="auto" w:fill="FFFFFF" w:themeFill="background1"/>
            <w:vAlign w:val="center"/>
          </w:tcPr>
          <w:p w14:paraId="2C338EB8" w14:textId="5A62D79D" w:rsidR="00317A79" w:rsidRPr="00317A79" w:rsidRDefault="3B623DDD" w:rsidP="5E736752">
            <w:pPr>
              <w:pStyle w:val="CETBodytext"/>
              <w:ind w:right="-1"/>
              <w:jc w:val="center"/>
              <w:rPr>
                <w:rFonts w:cs="Arial"/>
                <w:color w:val="000000" w:themeColor="text1"/>
                <w:lang w:val="en-GB"/>
              </w:rPr>
            </w:pPr>
            <w:r w:rsidRPr="5E736752">
              <w:rPr>
                <w:rFonts w:cs="Arial"/>
                <w:color w:val="000000" w:themeColor="text1"/>
              </w:rPr>
              <w:t>22</w:t>
            </w:r>
            <w:r w:rsidR="1732E254" w:rsidRPr="5E736752">
              <w:rPr>
                <w:rFonts w:cs="Arial"/>
                <w:color w:val="000000" w:themeColor="text1"/>
              </w:rPr>
              <w:t>.</w:t>
            </w:r>
            <w:r w:rsidR="359F4354" w:rsidRPr="5E736752">
              <w:rPr>
                <w:rFonts w:cs="Arial"/>
                <w:color w:val="000000" w:themeColor="text1"/>
              </w:rPr>
              <w:t>4</w:t>
            </w:r>
          </w:p>
        </w:tc>
        <w:tc>
          <w:tcPr>
            <w:tcW w:w="440" w:type="pct"/>
            <w:shd w:val="clear" w:color="auto" w:fill="FFFFFF" w:themeFill="background1"/>
            <w:vAlign w:val="center"/>
          </w:tcPr>
          <w:p w14:paraId="50F6EEE7" w14:textId="72CEE1AE" w:rsidR="00317A79" w:rsidRPr="00317A79" w:rsidRDefault="72512003" w:rsidP="529C9CC6">
            <w:pPr>
              <w:pStyle w:val="CETBodytext"/>
              <w:ind w:right="-1"/>
              <w:jc w:val="center"/>
              <w:rPr>
                <w:rFonts w:cs="Arial"/>
                <w:lang w:val="en-GB"/>
              </w:rPr>
            </w:pPr>
            <w:r w:rsidRPr="5E736752">
              <w:rPr>
                <w:rFonts w:cs="Arial"/>
                <w:color w:val="000000" w:themeColor="text1"/>
              </w:rPr>
              <w:t>19</w:t>
            </w:r>
            <w:r w:rsidR="1732E254" w:rsidRPr="5E736752">
              <w:rPr>
                <w:rFonts w:cs="Arial"/>
                <w:color w:val="000000" w:themeColor="text1"/>
              </w:rPr>
              <w:t>.</w:t>
            </w:r>
            <w:r w:rsidR="05E77361" w:rsidRPr="5E736752">
              <w:rPr>
                <w:rFonts w:cs="Arial"/>
                <w:color w:val="000000" w:themeColor="text1"/>
              </w:rPr>
              <w:t>1</w:t>
            </w:r>
            <w:r w:rsidR="1732E254" w:rsidRPr="5E736752">
              <w:rPr>
                <w:rFonts w:cs="Arial"/>
                <w:color w:val="000000" w:themeColor="text1"/>
              </w:rPr>
              <w:t>0</w:t>
            </w:r>
          </w:p>
        </w:tc>
        <w:tc>
          <w:tcPr>
            <w:tcW w:w="529" w:type="pct"/>
            <w:shd w:val="clear" w:color="auto" w:fill="FFFFFF" w:themeFill="background1"/>
            <w:vAlign w:val="center"/>
          </w:tcPr>
          <w:p w14:paraId="2C37E764" w14:textId="6EE7C22B" w:rsidR="00317A79" w:rsidRPr="00317A79" w:rsidRDefault="344279B4" w:rsidP="529C9CC6">
            <w:pPr>
              <w:pStyle w:val="CETBodytext"/>
              <w:ind w:right="-1"/>
              <w:jc w:val="center"/>
              <w:rPr>
                <w:rFonts w:cs="Arial"/>
                <w:lang w:val="en-GB"/>
              </w:rPr>
            </w:pPr>
            <w:r w:rsidRPr="5E736752">
              <w:rPr>
                <w:rFonts w:cs="Arial"/>
                <w:color w:val="000000" w:themeColor="text1"/>
              </w:rPr>
              <w:t>21</w:t>
            </w:r>
            <w:r w:rsidR="1732E254" w:rsidRPr="5E736752">
              <w:rPr>
                <w:rFonts w:cs="Arial"/>
                <w:color w:val="000000" w:themeColor="text1"/>
              </w:rPr>
              <w:t>.</w:t>
            </w:r>
            <w:r w:rsidR="0A534F35" w:rsidRPr="5E736752">
              <w:rPr>
                <w:rFonts w:cs="Arial"/>
                <w:color w:val="000000" w:themeColor="text1"/>
              </w:rPr>
              <w:t>2</w:t>
            </w:r>
            <w:r w:rsidR="1732E254" w:rsidRPr="5E736752">
              <w:rPr>
                <w:rFonts w:cs="Arial"/>
                <w:color w:val="000000" w:themeColor="text1"/>
              </w:rPr>
              <w:t>0</w:t>
            </w:r>
          </w:p>
        </w:tc>
      </w:tr>
      <w:tr w:rsidR="00317A79" w:rsidRPr="00B57B36" w14:paraId="4A0AA668" w14:textId="77777777" w:rsidTr="00892D0F">
        <w:tc>
          <w:tcPr>
            <w:tcW w:w="1283" w:type="pct"/>
            <w:gridSpan w:val="3"/>
            <w:shd w:val="clear" w:color="auto" w:fill="FFFFFF" w:themeFill="background1"/>
          </w:tcPr>
          <w:p w14:paraId="30175A7C" w14:textId="3B708706" w:rsidR="00317A79" w:rsidRDefault="00317A79" w:rsidP="00317A79">
            <w:pPr>
              <w:pStyle w:val="CETBodytext"/>
              <w:rPr>
                <w:lang w:val="en-GB"/>
              </w:rPr>
            </w:pPr>
          </w:p>
        </w:tc>
        <w:tc>
          <w:tcPr>
            <w:tcW w:w="574" w:type="pct"/>
            <w:shd w:val="clear" w:color="auto" w:fill="FFFFFF" w:themeFill="background1"/>
            <w:vAlign w:val="center"/>
          </w:tcPr>
          <w:p w14:paraId="0AF718A6" w14:textId="613E56C4" w:rsidR="00317A79" w:rsidRPr="00317A79" w:rsidRDefault="00317A79" w:rsidP="529C9CC6">
            <w:pPr>
              <w:pStyle w:val="CETBodytext"/>
              <w:jc w:val="center"/>
              <w:rPr>
                <w:rFonts w:cs="Arial"/>
                <w:color w:val="000000" w:themeColor="text1"/>
                <w:lang w:val="en-GB"/>
              </w:rPr>
            </w:pPr>
          </w:p>
        </w:tc>
        <w:tc>
          <w:tcPr>
            <w:tcW w:w="457" w:type="pct"/>
            <w:shd w:val="clear" w:color="auto" w:fill="FFFFFF" w:themeFill="background1"/>
            <w:vAlign w:val="center"/>
          </w:tcPr>
          <w:p w14:paraId="4479445D" w14:textId="51A60FE8" w:rsidR="00317A79" w:rsidRPr="00317A79" w:rsidRDefault="00317A79" w:rsidP="529C9CC6">
            <w:pPr>
              <w:pStyle w:val="CETBodytext"/>
              <w:jc w:val="center"/>
              <w:rPr>
                <w:rFonts w:cs="Arial"/>
                <w:color w:val="000000" w:themeColor="text1"/>
                <w:lang w:val="en-GB"/>
              </w:rPr>
            </w:pPr>
          </w:p>
        </w:tc>
        <w:tc>
          <w:tcPr>
            <w:tcW w:w="415" w:type="pct"/>
            <w:gridSpan w:val="2"/>
            <w:shd w:val="clear" w:color="auto" w:fill="FFFFFF" w:themeFill="background1"/>
            <w:vAlign w:val="center"/>
          </w:tcPr>
          <w:p w14:paraId="7B407621" w14:textId="387E8B24" w:rsidR="00317A79" w:rsidRPr="00317A79" w:rsidRDefault="00317A79" w:rsidP="529C9CC6">
            <w:pPr>
              <w:pStyle w:val="CETBodytext"/>
              <w:ind w:right="-1"/>
              <w:jc w:val="center"/>
              <w:rPr>
                <w:rFonts w:cs="Arial"/>
                <w:color w:val="000000" w:themeColor="text1"/>
                <w:lang w:val="en-GB"/>
              </w:rPr>
            </w:pPr>
          </w:p>
        </w:tc>
        <w:tc>
          <w:tcPr>
            <w:tcW w:w="423" w:type="pct"/>
            <w:shd w:val="clear" w:color="auto" w:fill="FFFFFF" w:themeFill="background1"/>
            <w:vAlign w:val="center"/>
          </w:tcPr>
          <w:p w14:paraId="7300C1BA" w14:textId="7F56771F" w:rsidR="00317A79" w:rsidRPr="00317A79" w:rsidRDefault="00317A79" w:rsidP="529C9CC6">
            <w:pPr>
              <w:pStyle w:val="CETBodytext"/>
              <w:ind w:right="-1"/>
              <w:jc w:val="center"/>
              <w:rPr>
                <w:rFonts w:cs="Arial"/>
                <w:color w:val="000000" w:themeColor="text1"/>
                <w:lang w:val="en-GB"/>
              </w:rPr>
            </w:pPr>
          </w:p>
        </w:tc>
        <w:tc>
          <w:tcPr>
            <w:tcW w:w="440" w:type="pct"/>
            <w:shd w:val="clear" w:color="auto" w:fill="FFFFFF" w:themeFill="background1"/>
            <w:vAlign w:val="center"/>
          </w:tcPr>
          <w:p w14:paraId="7F14F294" w14:textId="78C20FE9" w:rsidR="00317A79" w:rsidRPr="00317A79" w:rsidRDefault="00317A79" w:rsidP="529C9CC6">
            <w:pPr>
              <w:pStyle w:val="CETBodytext"/>
              <w:ind w:right="-1"/>
              <w:jc w:val="center"/>
              <w:rPr>
                <w:rFonts w:cs="Arial"/>
                <w:color w:val="000000" w:themeColor="text1"/>
                <w:lang w:val="en-GB"/>
              </w:rPr>
            </w:pPr>
          </w:p>
        </w:tc>
        <w:tc>
          <w:tcPr>
            <w:tcW w:w="440" w:type="pct"/>
            <w:shd w:val="clear" w:color="auto" w:fill="FFFFFF" w:themeFill="background1"/>
            <w:vAlign w:val="center"/>
          </w:tcPr>
          <w:p w14:paraId="61AB1B43" w14:textId="25428441" w:rsidR="00317A79" w:rsidRPr="00317A79" w:rsidRDefault="00317A79" w:rsidP="529C9CC6">
            <w:pPr>
              <w:pStyle w:val="CETBodytext"/>
              <w:ind w:right="-1"/>
              <w:jc w:val="center"/>
              <w:rPr>
                <w:rFonts w:cs="Arial"/>
                <w:color w:val="000000" w:themeColor="text1"/>
                <w:lang w:val="en-GB"/>
              </w:rPr>
            </w:pPr>
          </w:p>
        </w:tc>
        <w:tc>
          <w:tcPr>
            <w:tcW w:w="440" w:type="pct"/>
            <w:shd w:val="clear" w:color="auto" w:fill="FFFFFF" w:themeFill="background1"/>
            <w:vAlign w:val="center"/>
          </w:tcPr>
          <w:p w14:paraId="7C41D126" w14:textId="48B27FCF" w:rsidR="00317A79" w:rsidRPr="00317A79" w:rsidRDefault="00317A79" w:rsidP="529C9CC6">
            <w:pPr>
              <w:pStyle w:val="CETBodytext"/>
              <w:ind w:right="-1"/>
              <w:jc w:val="center"/>
              <w:rPr>
                <w:rFonts w:cs="Arial"/>
                <w:color w:val="000000" w:themeColor="text1"/>
                <w:lang w:val="en-GB"/>
              </w:rPr>
            </w:pPr>
          </w:p>
        </w:tc>
        <w:tc>
          <w:tcPr>
            <w:tcW w:w="529" w:type="pct"/>
            <w:shd w:val="clear" w:color="auto" w:fill="FFFFFF" w:themeFill="background1"/>
            <w:vAlign w:val="center"/>
          </w:tcPr>
          <w:p w14:paraId="040189A8" w14:textId="0463C0C2" w:rsidR="00317A79" w:rsidRPr="00317A79" w:rsidRDefault="00317A79" w:rsidP="529C9CC6">
            <w:pPr>
              <w:pStyle w:val="CETBodytext"/>
              <w:ind w:right="-1"/>
              <w:jc w:val="center"/>
              <w:rPr>
                <w:rFonts w:cs="Arial"/>
                <w:color w:val="000000" w:themeColor="text1"/>
                <w:lang w:val="en-GB"/>
              </w:rPr>
            </w:pPr>
          </w:p>
        </w:tc>
      </w:tr>
      <w:tr w:rsidR="00317A79" w:rsidRPr="00B57B36" w14:paraId="6BB85844" w14:textId="77777777" w:rsidTr="00892D0F">
        <w:tc>
          <w:tcPr>
            <w:tcW w:w="1283" w:type="pct"/>
            <w:gridSpan w:val="3"/>
            <w:shd w:val="clear" w:color="auto" w:fill="FFFFFF" w:themeFill="background1"/>
          </w:tcPr>
          <w:p w14:paraId="5E2B5512" w14:textId="4D9CB91E" w:rsidR="00317A79" w:rsidRDefault="00317A79" w:rsidP="00317A79">
            <w:pPr>
              <w:pStyle w:val="CETBodytext"/>
              <w:rPr>
                <w:lang w:val="en-GB"/>
              </w:rPr>
            </w:pPr>
            <w:r>
              <w:rPr>
                <w:lang w:val="en-GB"/>
              </w:rPr>
              <w:t>Range of</w:t>
            </w:r>
            <w:r w:rsidR="001B1177">
              <w:rPr>
                <w:lang w:val="en-GB"/>
              </w:rPr>
              <w:t xml:space="preserve"> residual</w:t>
            </w:r>
            <w:r>
              <w:rPr>
                <w:lang w:val="en-GB"/>
              </w:rPr>
              <w:t xml:space="preserve"> hemicellulose [%]</w:t>
            </w:r>
          </w:p>
        </w:tc>
        <w:tc>
          <w:tcPr>
            <w:tcW w:w="574" w:type="pct"/>
            <w:shd w:val="clear" w:color="auto" w:fill="FFFFFF" w:themeFill="background1"/>
            <w:vAlign w:val="center"/>
          </w:tcPr>
          <w:p w14:paraId="3F6B6BF4" w14:textId="136C894A" w:rsidR="00317A79" w:rsidRPr="00317A79" w:rsidRDefault="2F331AB3" w:rsidP="5E736752">
            <w:pPr>
              <w:pStyle w:val="CETBodytext"/>
              <w:jc w:val="center"/>
              <w:rPr>
                <w:rFonts w:cs="Arial"/>
                <w:color w:val="000000" w:themeColor="text1"/>
                <w:lang w:val="en-GB"/>
              </w:rPr>
            </w:pPr>
            <w:r w:rsidRPr="5E736752">
              <w:rPr>
                <w:rFonts w:cs="Arial"/>
                <w:color w:val="000000" w:themeColor="text1"/>
              </w:rPr>
              <w:t>22.3</w:t>
            </w:r>
          </w:p>
        </w:tc>
        <w:tc>
          <w:tcPr>
            <w:tcW w:w="457" w:type="pct"/>
            <w:shd w:val="clear" w:color="auto" w:fill="FFFFFF" w:themeFill="background1"/>
            <w:vAlign w:val="center"/>
          </w:tcPr>
          <w:p w14:paraId="1719565F" w14:textId="50CC1AF2" w:rsidR="00317A79" w:rsidRPr="00317A79" w:rsidRDefault="0C55C957" w:rsidP="5E736752">
            <w:pPr>
              <w:pStyle w:val="CETBodytext"/>
              <w:jc w:val="center"/>
              <w:rPr>
                <w:rFonts w:cs="Arial"/>
                <w:color w:val="000000" w:themeColor="text1"/>
                <w:lang w:val="en-GB"/>
              </w:rPr>
            </w:pPr>
            <w:r w:rsidRPr="5E736752">
              <w:rPr>
                <w:rFonts w:cs="Arial"/>
                <w:color w:val="000000" w:themeColor="text1"/>
              </w:rPr>
              <w:t>7.4</w:t>
            </w:r>
          </w:p>
        </w:tc>
        <w:tc>
          <w:tcPr>
            <w:tcW w:w="415" w:type="pct"/>
            <w:gridSpan w:val="2"/>
            <w:shd w:val="clear" w:color="auto" w:fill="FFFFFF" w:themeFill="background1"/>
            <w:vAlign w:val="center"/>
          </w:tcPr>
          <w:p w14:paraId="42132F1D" w14:textId="30CB2C00" w:rsidR="00317A79" w:rsidRPr="00317A79" w:rsidRDefault="32A7E082" w:rsidP="529C9CC6">
            <w:pPr>
              <w:pStyle w:val="CETBodytext"/>
              <w:ind w:right="-1"/>
              <w:jc w:val="center"/>
              <w:rPr>
                <w:rFonts w:cs="Arial"/>
                <w:lang w:val="en-GB"/>
              </w:rPr>
            </w:pPr>
            <w:r w:rsidRPr="529C9CC6">
              <w:rPr>
                <w:rFonts w:cs="Arial"/>
                <w:color w:val="000000" w:themeColor="text1"/>
              </w:rPr>
              <w:t>1</w:t>
            </w:r>
            <w:r w:rsidR="57935589" w:rsidRPr="529C9CC6">
              <w:rPr>
                <w:rFonts w:cs="Arial"/>
                <w:color w:val="000000" w:themeColor="text1"/>
              </w:rPr>
              <w:t>5</w:t>
            </w:r>
            <w:r w:rsidRPr="529C9CC6">
              <w:rPr>
                <w:rFonts w:cs="Arial"/>
                <w:color w:val="000000" w:themeColor="text1"/>
              </w:rPr>
              <w:t>.</w:t>
            </w:r>
            <w:r w:rsidR="69CCEF39" w:rsidRPr="529C9CC6">
              <w:rPr>
                <w:rFonts w:cs="Arial"/>
                <w:color w:val="000000" w:themeColor="text1"/>
              </w:rPr>
              <w:t>5</w:t>
            </w:r>
            <w:r w:rsidRPr="529C9CC6">
              <w:rPr>
                <w:rFonts w:cs="Arial"/>
                <w:color w:val="000000" w:themeColor="text1"/>
              </w:rPr>
              <w:t>0</w:t>
            </w:r>
          </w:p>
        </w:tc>
        <w:tc>
          <w:tcPr>
            <w:tcW w:w="423" w:type="pct"/>
            <w:shd w:val="clear" w:color="auto" w:fill="FFFFFF" w:themeFill="background1"/>
            <w:vAlign w:val="center"/>
          </w:tcPr>
          <w:p w14:paraId="750332A4" w14:textId="795D32CB" w:rsidR="00317A79" w:rsidRPr="00317A79" w:rsidRDefault="5E3A6C1A" w:rsidP="529C9CC6">
            <w:pPr>
              <w:pStyle w:val="CETBodytext"/>
              <w:ind w:right="-1"/>
              <w:jc w:val="center"/>
              <w:rPr>
                <w:rFonts w:cs="Arial"/>
                <w:lang w:val="en-GB"/>
              </w:rPr>
            </w:pPr>
            <w:r w:rsidRPr="529C9CC6">
              <w:rPr>
                <w:rFonts w:cs="Arial"/>
                <w:color w:val="000000" w:themeColor="text1"/>
              </w:rPr>
              <w:t>4</w:t>
            </w:r>
            <w:r w:rsidR="32A7E082" w:rsidRPr="529C9CC6">
              <w:rPr>
                <w:rFonts w:cs="Arial"/>
                <w:color w:val="000000" w:themeColor="text1"/>
              </w:rPr>
              <w:t>.</w:t>
            </w:r>
            <w:r w:rsidR="259F523D" w:rsidRPr="529C9CC6">
              <w:rPr>
                <w:rFonts w:cs="Arial"/>
                <w:color w:val="000000" w:themeColor="text1"/>
              </w:rPr>
              <w:t>3</w:t>
            </w:r>
            <w:r w:rsidR="32A7E082" w:rsidRPr="529C9CC6">
              <w:rPr>
                <w:rFonts w:cs="Arial"/>
                <w:color w:val="000000" w:themeColor="text1"/>
              </w:rPr>
              <w:t>0</w:t>
            </w:r>
          </w:p>
        </w:tc>
        <w:tc>
          <w:tcPr>
            <w:tcW w:w="440" w:type="pct"/>
            <w:shd w:val="clear" w:color="auto" w:fill="FFFFFF" w:themeFill="background1"/>
            <w:vAlign w:val="center"/>
          </w:tcPr>
          <w:p w14:paraId="16BAA5E2" w14:textId="4FE9F44D" w:rsidR="00317A79" w:rsidRPr="00317A79" w:rsidRDefault="45013417" w:rsidP="529C9CC6">
            <w:pPr>
              <w:pStyle w:val="CETBodytext"/>
              <w:ind w:right="-1"/>
              <w:jc w:val="center"/>
              <w:rPr>
                <w:rFonts w:cs="Arial"/>
                <w:lang w:val="en-GB"/>
              </w:rPr>
            </w:pPr>
            <w:r w:rsidRPr="529C9CC6">
              <w:rPr>
                <w:rFonts w:cs="Arial"/>
                <w:color w:val="000000" w:themeColor="text1"/>
              </w:rPr>
              <w:t>4</w:t>
            </w:r>
            <w:r w:rsidR="32A7E082" w:rsidRPr="529C9CC6">
              <w:rPr>
                <w:rFonts w:cs="Arial"/>
                <w:color w:val="000000" w:themeColor="text1"/>
              </w:rPr>
              <w:t>.</w:t>
            </w:r>
            <w:r w:rsidR="0B1BBD81" w:rsidRPr="529C9CC6">
              <w:rPr>
                <w:rFonts w:cs="Arial"/>
                <w:color w:val="000000" w:themeColor="text1"/>
              </w:rPr>
              <w:t>3</w:t>
            </w:r>
            <w:r w:rsidR="32A7E082" w:rsidRPr="529C9CC6">
              <w:rPr>
                <w:rFonts w:cs="Arial"/>
                <w:color w:val="000000" w:themeColor="text1"/>
              </w:rPr>
              <w:t>0</w:t>
            </w:r>
          </w:p>
        </w:tc>
        <w:tc>
          <w:tcPr>
            <w:tcW w:w="440" w:type="pct"/>
            <w:shd w:val="clear" w:color="auto" w:fill="FFFFFF" w:themeFill="background1"/>
            <w:vAlign w:val="center"/>
          </w:tcPr>
          <w:p w14:paraId="117A7C96" w14:textId="5D4E1B37" w:rsidR="00317A79" w:rsidRPr="00317A79" w:rsidRDefault="32A7E082" w:rsidP="529C9CC6">
            <w:pPr>
              <w:pStyle w:val="CETBodytext"/>
              <w:ind w:right="-1"/>
              <w:jc w:val="center"/>
              <w:rPr>
                <w:rFonts w:cs="Arial"/>
                <w:lang w:val="en-GB"/>
              </w:rPr>
            </w:pPr>
            <w:r w:rsidRPr="529C9CC6">
              <w:rPr>
                <w:rFonts w:cs="Arial"/>
                <w:color w:val="000000" w:themeColor="text1"/>
              </w:rPr>
              <w:t>0.</w:t>
            </w:r>
            <w:r w:rsidR="4DDBE4EC" w:rsidRPr="529C9CC6">
              <w:rPr>
                <w:rFonts w:cs="Arial"/>
                <w:color w:val="000000" w:themeColor="text1"/>
              </w:rPr>
              <w:t>4</w:t>
            </w:r>
            <w:r w:rsidRPr="529C9CC6">
              <w:rPr>
                <w:rFonts w:cs="Arial"/>
                <w:color w:val="000000" w:themeColor="text1"/>
              </w:rPr>
              <w:t>0</w:t>
            </w:r>
          </w:p>
        </w:tc>
        <w:tc>
          <w:tcPr>
            <w:tcW w:w="440" w:type="pct"/>
            <w:shd w:val="clear" w:color="auto" w:fill="FFFFFF" w:themeFill="background1"/>
            <w:vAlign w:val="center"/>
          </w:tcPr>
          <w:p w14:paraId="230A43C9" w14:textId="294A60DF" w:rsidR="00317A79" w:rsidRPr="00317A79" w:rsidRDefault="53F682DD" w:rsidP="529C9CC6">
            <w:pPr>
              <w:pStyle w:val="CETBodytext"/>
              <w:ind w:right="-1"/>
              <w:jc w:val="center"/>
              <w:rPr>
                <w:rFonts w:cs="Arial"/>
                <w:lang w:val="en-GB"/>
              </w:rPr>
            </w:pPr>
            <w:r w:rsidRPr="529C9CC6">
              <w:rPr>
                <w:rFonts w:cs="Arial"/>
                <w:color w:val="000000" w:themeColor="text1"/>
              </w:rPr>
              <w:t>0</w:t>
            </w:r>
            <w:r w:rsidR="32A7E082" w:rsidRPr="529C9CC6">
              <w:rPr>
                <w:rFonts w:cs="Arial"/>
                <w:color w:val="000000" w:themeColor="text1"/>
              </w:rPr>
              <w:t>.</w:t>
            </w:r>
            <w:r w:rsidR="40BEA7A3" w:rsidRPr="529C9CC6">
              <w:rPr>
                <w:rFonts w:cs="Arial"/>
                <w:color w:val="000000" w:themeColor="text1"/>
              </w:rPr>
              <w:t>1</w:t>
            </w:r>
            <w:r w:rsidR="32A7E082" w:rsidRPr="529C9CC6">
              <w:rPr>
                <w:rFonts w:cs="Arial"/>
                <w:color w:val="000000" w:themeColor="text1"/>
              </w:rPr>
              <w:t>0</w:t>
            </w:r>
          </w:p>
        </w:tc>
        <w:tc>
          <w:tcPr>
            <w:tcW w:w="529" w:type="pct"/>
            <w:shd w:val="clear" w:color="auto" w:fill="FFFFFF" w:themeFill="background1"/>
            <w:vAlign w:val="center"/>
          </w:tcPr>
          <w:p w14:paraId="5BD73FD3" w14:textId="2573072E" w:rsidR="00317A79" w:rsidRPr="00317A79" w:rsidRDefault="32A7E082" w:rsidP="529C9CC6">
            <w:pPr>
              <w:pStyle w:val="CETBodytext"/>
              <w:ind w:right="-1"/>
              <w:jc w:val="center"/>
              <w:rPr>
                <w:rFonts w:cs="Arial"/>
                <w:lang w:val="en-GB"/>
              </w:rPr>
            </w:pPr>
            <w:r w:rsidRPr="529C9CC6">
              <w:rPr>
                <w:rFonts w:cs="Arial"/>
                <w:color w:val="000000" w:themeColor="text1"/>
              </w:rPr>
              <w:t>0.0</w:t>
            </w:r>
          </w:p>
        </w:tc>
      </w:tr>
      <w:tr w:rsidR="00892D0F" w:rsidRPr="00B57B36" w14:paraId="52AF164B" w14:textId="77777777" w:rsidTr="00892D0F">
        <w:tc>
          <w:tcPr>
            <w:tcW w:w="1283" w:type="pct"/>
            <w:gridSpan w:val="3"/>
            <w:shd w:val="clear" w:color="auto" w:fill="FFFFFF" w:themeFill="background1"/>
            <w:vAlign w:val="center"/>
          </w:tcPr>
          <w:p w14:paraId="68A34B7C" w14:textId="660CBEC0" w:rsidR="00892D0F" w:rsidRPr="00B57B36" w:rsidRDefault="00892D0F" w:rsidP="00892D0F">
            <w:pPr>
              <w:pStyle w:val="CETBodytext"/>
              <w:ind w:right="-1"/>
              <w:jc w:val="left"/>
              <w:rPr>
                <w:lang w:val="en-GB"/>
              </w:rPr>
            </w:pPr>
            <w:r>
              <w:rPr>
                <w:lang w:val="en-GB"/>
              </w:rPr>
              <w:t>Energy Consumption [kW*h]</w:t>
            </w:r>
          </w:p>
        </w:tc>
        <w:tc>
          <w:tcPr>
            <w:tcW w:w="574" w:type="pct"/>
            <w:shd w:val="clear" w:color="auto" w:fill="FFFFFF" w:themeFill="background1"/>
            <w:vAlign w:val="center"/>
          </w:tcPr>
          <w:p w14:paraId="5B93CF27" w14:textId="09C5E19D" w:rsidR="00892D0F" w:rsidRPr="00317A79" w:rsidRDefault="00892D0F" w:rsidP="00892D0F">
            <w:pPr>
              <w:pStyle w:val="CETBodytext"/>
              <w:ind w:right="-1"/>
              <w:jc w:val="center"/>
              <w:rPr>
                <w:rFonts w:cs="Arial"/>
                <w:color w:val="000000" w:themeColor="text1"/>
                <w:lang w:val="en-GB"/>
              </w:rPr>
            </w:pPr>
            <w:r w:rsidRPr="003A50DB">
              <w:t>0.50</w:t>
            </w:r>
          </w:p>
        </w:tc>
        <w:tc>
          <w:tcPr>
            <w:tcW w:w="457" w:type="pct"/>
            <w:shd w:val="clear" w:color="auto" w:fill="FFFFFF" w:themeFill="background1"/>
            <w:vAlign w:val="center"/>
          </w:tcPr>
          <w:p w14:paraId="507EF5B7" w14:textId="7B2F24F2" w:rsidR="00892D0F" w:rsidRPr="00317A79" w:rsidRDefault="00892D0F" w:rsidP="00892D0F">
            <w:pPr>
              <w:pStyle w:val="CETBodytext"/>
              <w:ind w:right="-1"/>
              <w:jc w:val="center"/>
              <w:rPr>
                <w:rFonts w:cs="Arial"/>
                <w:color w:val="000000" w:themeColor="text1"/>
                <w:lang w:val="en-GB"/>
              </w:rPr>
            </w:pPr>
            <w:r w:rsidRPr="003A50DB">
              <w:t>0.52</w:t>
            </w:r>
          </w:p>
        </w:tc>
        <w:tc>
          <w:tcPr>
            <w:tcW w:w="415" w:type="pct"/>
            <w:gridSpan w:val="2"/>
            <w:shd w:val="clear" w:color="auto" w:fill="FFFFFF" w:themeFill="background1"/>
            <w:vAlign w:val="center"/>
          </w:tcPr>
          <w:p w14:paraId="31A5528F" w14:textId="2F1BF7D6" w:rsidR="00892D0F" w:rsidRPr="00317A79" w:rsidRDefault="00892D0F" w:rsidP="00892D0F">
            <w:pPr>
              <w:pStyle w:val="CETBodytext"/>
              <w:ind w:right="-1"/>
              <w:jc w:val="center"/>
              <w:rPr>
                <w:rFonts w:cs="Arial"/>
                <w:color w:val="000000" w:themeColor="text1"/>
                <w:lang w:val="en-GB"/>
              </w:rPr>
            </w:pPr>
            <w:r w:rsidRPr="003A50DB">
              <w:t>0.55</w:t>
            </w:r>
          </w:p>
        </w:tc>
        <w:tc>
          <w:tcPr>
            <w:tcW w:w="423" w:type="pct"/>
            <w:shd w:val="clear" w:color="auto" w:fill="FFFFFF" w:themeFill="background1"/>
            <w:vAlign w:val="center"/>
          </w:tcPr>
          <w:p w14:paraId="2E5D1310" w14:textId="0C148871" w:rsidR="00892D0F" w:rsidRPr="00317A79" w:rsidRDefault="00892D0F" w:rsidP="00892D0F">
            <w:pPr>
              <w:pStyle w:val="CETBodytext"/>
              <w:ind w:right="-1"/>
              <w:jc w:val="center"/>
              <w:rPr>
                <w:rFonts w:cs="Arial"/>
                <w:color w:val="000000" w:themeColor="text1"/>
                <w:lang w:val="en-GB"/>
              </w:rPr>
            </w:pPr>
            <w:r w:rsidRPr="003A50DB">
              <w:t>0.57</w:t>
            </w:r>
          </w:p>
        </w:tc>
        <w:tc>
          <w:tcPr>
            <w:tcW w:w="440" w:type="pct"/>
            <w:shd w:val="clear" w:color="auto" w:fill="FFFFFF" w:themeFill="background1"/>
            <w:vAlign w:val="center"/>
          </w:tcPr>
          <w:p w14:paraId="43B121DB" w14:textId="75CB61FB" w:rsidR="00892D0F" w:rsidRPr="00317A79" w:rsidRDefault="00892D0F" w:rsidP="00892D0F">
            <w:pPr>
              <w:pStyle w:val="CETBodytext"/>
              <w:ind w:right="-1"/>
              <w:jc w:val="center"/>
              <w:rPr>
                <w:rFonts w:cs="Arial"/>
                <w:color w:val="000000" w:themeColor="text1"/>
                <w:lang w:val="en-GB"/>
              </w:rPr>
            </w:pPr>
            <w:r w:rsidRPr="003A50DB">
              <w:t>0.60</w:t>
            </w:r>
          </w:p>
        </w:tc>
        <w:tc>
          <w:tcPr>
            <w:tcW w:w="440" w:type="pct"/>
            <w:shd w:val="clear" w:color="auto" w:fill="FFFFFF" w:themeFill="background1"/>
            <w:vAlign w:val="center"/>
          </w:tcPr>
          <w:p w14:paraId="7D6CAE9D" w14:textId="02103A07" w:rsidR="00892D0F" w:rsidRPr="00317A79" w:rsidRDefault="00892D0F" w:rsidP="00892D0F">
            <w:pPr>
              <w:pStyle w:val="CETBodytext"/>
              <w:ind w:right="-1"/>
              <w:jc w:val="center"/>
              <w:rPr>
                <w:rFonts w:cs="Arial"/>
                <w:color w:val="000000" w:themeColor="text1"/>
                <w:lang w:val="en-GB"/>
              </w:rPr>
            </w:pPr>
            <w:r w:rsidRPr="003A50DB">
              <w:t>0.61</w:t>
            </w:r>
          </w:p>
        </w:tc>
        <w:tc>
          <w:tcPr>
            <w:tcW w:w="440" w:type="pct"/>
            <w:shd w:val="clear" w:color="auto" w:fill="FFFFFF" w:themeFill="background1"/>
            <w:vAlign w:val="center"/>
          </w:tcPr>
          <w:p w14:paraId="4D73B7FE" w14:textId="5AE4E6ED" w:rsidR="00892D0F" w:rsidRPr="00317A79" w:rsidRDefault="00892D0F" w:rsidP="00892D0F">
            <w:pPr>
              <w:pStyle w:val="CETBodytext"/>
              <w:ind w:right="-1"/>
              <w:jc w:val="center"/>
              <w:rPr>
                <w:rFonts w:cs="Arial"/>
                <w:color w:val="000000" w:themeColor="text1"/>
                <w:lang w:val="en-GB"/>
              </w:rPr>
            </w:pPr>
            <w:r w:rsidRPr="003A50DB">
              <w:t>0.70</w:t>
            </w:r>
          </w:p>
        </w:tc>
        <w:tc>
          <w:tcPr>
            <w:tcW w:w="529" w:type="pct"/>
            <w:shd w:val="clear" w:color="auto" w:fill="FFFFFF" w:themeFill="background1"/>
            <w:vAlign w:val="center"/>
          </w:tcPr>
          <w:p w14:paraId="6B6667F5" w14:textId="2202863D" w:rsidR="00892D0F" w:rsidRPr="00317A79" w:rsidRDefault="00892D0F" w:rsidP="00892D0F">
            <w:pPr>
              <w:pStyle w:val="CETBodytext"/>
              <w:ind w:right="-1"/>
              <w:jc w:val="center"/>
              <w:rPr>
                <w:rFonts w:cs="Arial"/>
                <w:color w:val="000000" w:themeColor="text1"/>
                <w:lang w:val="en-GB"/>
              </w:rPr>
            </w:pPr>
            <w:r w:rsidRPr="003A50DB">
              <w:t>0.71</w:t>
            </w:r>
          </w:p>
        </w:tc>
      </w:tr>
    </w:tbl>
    <w:p w14:paraId="53C40523" w14:textId="6DF8771D" w:rsidR="00C61F01" w:rsidRDefault="00C57DD9" w:rsidP="00BD077D">
      <w:pPr>
        <w:pStyle w:val="CETCaption"/>
        <w:rPr>
          <w:i w:val="0"/>
          <w:lang w:val="en-US"/>
        </w:rPr>
      </w:pPr>
      <w:r w:rsidRPr="00C57DD9">
        <w:rPr>
          <w:i w:val="0"/>
          <w:lang w:val="en-US"/>
        </w:rPr>
        <w:t xml:space="preserve">As previously discussed, both hemicellulose and cellulose degradation remain more stable at lower temperatures within the optimal residence time range, thereby enabling better process control. In this context, the condition at </w:t>
      </w:r>
      <w:r w:rsidR="0097570B">
        <w:rPr>
          <w:i w:val="0"/>
          <w:lang w:val="en-US"/>
        </w:rPr>
        <w:t>200</w:t>
      </w:r>
      <w:r w:rsidR="0097570B" w:rsidRPr="00C57DD9">
        <w:rPr>
          <w:i w:val="0"/>
          <w:lang w:val="en-US"/>
        </w:rPr>
        <w:t> </w:t>
      </w:r>
      <w:r w:rsidRPr="00C57DD9">
        <w:rPr>
          <w:i w:val="0"/>
          <w:lang w:val="en-US"/>
        </w:rPr>
        <w:t>°C appears to be the most favorable, as it allows for greater cellulose preservation while achieving near-complete hemicellulose removal.</w:t>
      </w:r>
      <w:r w:rsidR="00C56D4D">
        <w:rPr>
          <w:i w:val="0"/>
          <w:lang w:val="en-US"/>
        </w:rPr>
        <w:t xml:space="preserve"> </w:t>
      </w:r>
      <w:r w:rsidRPr="00C57DD9">
        <w:rPr>
          <w:i w:val="0"/>
          <w:lang w:val="en-US"/>
        </w:rPr>
        <w:t xml:space="preserve">However, when energy consumption is also </w:t>
      </w:r>
      <w:proofErr w:type="gramStart"/>
      <w:r w:rsidRPr="00C57DD9">
        <w:rPr>
          <w:i w:val="0"/>
          <w:lang w:val="en-US"/>
        </w:rPr>
        <w:t>taken into account</w:t>
      </w:r>
      <w:proofErr w:type="gramEnd"/>
      <w:r w:rsidRPr="00C57DD9">
        <w:rPr>
          <w:i w:val="0"/>
          <w:lang w:val="en-US"/>
        </w:rPr>
        <w:t>, a</w:t>
      </w:r>
      <w:r w:rsidR="0097570B">
        <w:rPr>
          <w:i w:val="0"/>
          <w:lang w:val="en-US"/>
        </w:rPr>
        <w:t xml:space="preserve"> slightly</w:t>
      </w:r>
      <w:r w:rsidRPr="00C57DD9">
        <w:rPr>
          <w:i w:val="0"/>
          <w:lang w:val="en-US"/>
        </w:rPr>
        <w:t xml:space="preserve"> decreasing trend is observed up to 2</w:t>
      </w:r>
      <w:r w:rsidR="0097570B">
        <w:rPr>
          <w:i w:val="0"/>
          <w:lang w:val="en-US"/>
        </w:rPr>
        <w:t>4</w:t>
      </w:r>
      <w:r w:rsidRPr="00C57DD9">
        <w:rPr>
          <w:i w:val="0"/>
          <w:lang w:val="en-US"/>
        </w:rPr>
        <w:t xml:space="preserve">0 °C This </w:t>
      </w:r>
      <w:r w:rsidR="0097570B">
        <w:rPr>
          <w:i w:val="0"/>
          <w:lang w:val="en-US"/>
        </w:rPr>
        <w:t>“slightly</w:t>
      </w:r>
      <w:r w:rsidR="0097570B" w:rsidRPr="00C57DD9">
        <w:rPr>
          <w:i w:val="0"/>
          <w:lang w:val="en-US"/>
        </w:rPr>
        <w:t xml:space="preserve"> decreas</w:t>
      </w:r>
      <w:r w:rsidR="0097570B">
        <w:rPr>
          <w:i w:val="0"/>
          <w:lang w:val="en-US"/>
        </w:rPr>
        <w:t>e”</w:t>
      </w:r>
      <w:r w:rsidR="0097570B" w:rsidRPr="00C57DD9">
        <w:rPr>
          <w:i w:val="0"/>
          <w:lang w:val="en-US"/>
        </w:rPr>
        <w:t xml:space="preserve"> </w:t>
      </w:r>
      <w:r w:rsidRPr="00C57DD9">
        <w:rPr>
          <w:i w:val="0"/>
          <w:lang w:val="en-US"/>
        </w:rPr>
        <w:t>can be attributed to the</w:t>
      </w:r>
      <w:r w:rsidR="0097570B">
        <w:rPr>
          <w:i w:val="0"/>
          <w:lang w:val="en-US"/>
        </w:rPr>
        <w:t xml:space="preserve"> </w:t>
      </w:r>
      <w:r w:rsidR="0097570B" w:rsidRPr="00C57DD9">
        <w:rPr>
          <w:i w:val="0"/>
          <w:lang w:val="en-US"/>
        </w:rPr>
        <w:t>higher heating energy demands at elevated temperatures</w:t>
      </w:r>
      <w:r w:rsidR="0097570B">
        <w:rPr>
          <w:i w:val="0"/>
          <w:lang w:val="en-US"/>
        </w:rPr>
        <w:t xml:space="preserve">, </w:t>
      </w:r>
      <w:r w:rsidR="00495A4B">
        <w:rPr>
          <w:i w:val="0"/>
          <w:lang w:val="en-US"/>
        </w:rPr>
        <w:t>which</w:t>
      </w:r>
      <w:r w:rsidR="0097570B">
        <w:rPr>
          <w:i w:val="0"/>
          <w:lang w:val="en-US"/>
        </w:rPr>
        <w:t xml:space="preserve"> is mitigated by the </w:t>
      </w:r>
      <w:r w:rsidR="0097570B" w:rsidRPr="00C57DD9">
        <w:rPr>
          <w:i w:val="0"/>
          <w:lang w:val="en-US"/>
        </w:rPr>
        <w:t>longer treatment times required at lower temperatures</w:t>
      </w:r>
      <w:r w:rsidRPr="00C57DD9">
        <w:rPr>
          <w:i w:val="0"/>
          <w:lang w:val="en-US"/>
        </w:rPr>
        <w:t>. Consequently, the</w:t>
      </w:r>
      <w:r w:rsidR="0097570B">
        <w:rPr>
          <w:i w:val="0"/>
          <w:lang w:val="en-US"/>
        </w:rPr>
        <w:t xml:space="preserve"> consumption at 180°C and 200°C is quite similar, </w:t>
      </w:r>
      <w:r w:rsidR="00495A4B">
        <w:rPr>
          <w:i w:val="0"/>
          <w:lang w:val="en-US"/>
        </w:rPr>
        <w:t>validating</w:t>
      </w:r>
      <w:r w:rsidR="0097570B">
        <w:rPr>
          <w:i w:val="0"/>
          <w:lang w:val="en-US"/>
        </w:rPr>
        <w:t xml:space="preserve"> the choice of 200°C as the optimal conditions for this work. Indeed,</w:t>
      </w:r>
      <w:r w:rsidRPr="00C57DD9">
        <w:rPr>
          <w:i w:val="0"/>
          <w:lang w:val="en-US"/>
        </w:rPr>
        <w:t xml:space="preserve"> </w:t>
      </w:r>
      <w:r w:rsidR="0097570B">
        <w:rPr>
          <w:i w:val="0"/>
          <w:lang w:val="en-US"/>
        </w:rPr>
        <w:t>t</w:t>
      </w:r>
      <w:r w:rsidRPr="00C57DD9">
        <w:rPr>
          <w:i w:val="0"/>
          <w:lang w:val="en-US"/>
        </w:rPr>
        <w:t>his temperature offers a favorable balance between minimal cellulose degradation and reduced energy consumption.</w:t>
      </w:r>
      <w:r w:rsidR="00C56D4D">
        <w:rPr>
          <w:i w:val="0"/>
          <w:lang w:val="en-US"/>
        </w:rPr>
        <w:t xml:space="preserve"> </w:t>
      </w:r>
      <w:r w:rsidRPr="00C57DD9">
        <w:rPr>
          <w:i w:val="0"/>
          <w:lang w:val="en-US"/>
        </w:rPr>
        <w:t>It is important to note that the optimization was conducted by evaluating each of the four temperatures (i.e., 160 °C, 180 °C, 200 °C, and 240 °C) independently. A more comprehensive optimization would require identifying the optimal operating temperature itself. This aspect will be addressed in future studies, which will aim to introduce generalized equations adaptable to different reactor configurations and heating profiles, rather than relying on an empirical formula tailored to a specific reactor type, as done in the present work.</w:t>
      </w:r>
      <w:r w:rsidR="00234657">
        <w:rPr>
          <w:i w:val="0"/>
          <w:lang w:val="en-US"/>
        </w:rPr>
        <w:t xml:space="preserve"> </w:t>
      </w:r>
    </w:p>
    <w:p w14:paraId="764A467A" w14:textId="24B2E289" w:rsidR="0008348F" w:rsidRDefault="0008348F" w:rsidP="00BD077D">
      <w:pPr>
        <w:pStyle w:val="CETCaption"/>
        <w:rPr>
          <w:i w:val="0"/>
          <w:lang w:val="en-US"/>
        </w:rPr>
      </w:pPr>
      <w:r>
        <w:rPr>
          <w:i w:val="0"/>
          <w:noProof/>
          <w:lang w:val="en-US"/>
        </w:rPr>
        <w:drawing>
          <wp:inline distT="0" distB="0" distL="0" distR="0" wp14:anchorId="4AA1C5A0" wp14:editId="28DEDA51">
            <wp:extent cx="5589905" cy="2205860"/>
            <wp:effectExtent l="0" t="0" r="0" b="4445"/>
            <wp:docPr id="5577772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4164" cy="2219379"/>
                    </a:xfrm>
                    <a:prstGeom prst="rect">
                      <a:avLst/>
                    </a:prstGeom>
                    <a:noFill/>
                  </pic:spPr>
                </pic:pic>
              </a:graphicData>
            </a:graphic>
          </wp:inline>
        </w:drawing>
      </w:r>
    </w:p>
    <w:p w14:paraId="59E081D0" w14:textId="37D0E94C" w:rsidR="002D7C4F" w:rsidRDefault="002D7C4F" w:rsidP="002D7C4F">
      <w:pPr>
        <w:pStyle w:val="CETCaption"/>
        <w:rPr>
          <w:rStyle w:val="CETCaptionCarattere"/>
          <w:i/>
        </w:rPr>
      </w:pPr>
      <w:r>
        <w:rPr>
          <w:rStyle w:val="CETCaptionCarattere"/>
          <w:i/>
        </w:rPr>
        <w:t>F</w:t>
      </w:r>
      <w:r w:rsidRPr="00BD077D">
        <w:rPr>
          <w:rStyle w:val="CETCaptionCarattere"/>
          <w:i/>
        </w:rPr>
        <w:t xml:space="preserve">igure </w:t>
      </w:r>
      <w:r>
        <w:rPr>
          <w:rStyle w:val="CETCaptionCarattere"/>
          <w:i/>
        </w:rPr>
        <w:t>2</w:t>
      </w:r>
      <w:r w:rsidRPr="00BD077D">
        <w:rPr>
          <w:rStyle w:val="CETCaptionCarattere"/>
          <w:i/>
        </w:rPr>
        <w:t>:</w:t>
      </w:r>
      <w:r>
        <w:rPr>
          <w:rStyle w:val="CETCaptionCarattere"/>
          <w:i/>
        </w:rPr>
        <w:t xml:space="preserve"> Estimation of Lignin and Rich</w:t>
      </w:r>
      <w:r w:rsidR="007D5C0A">
        <w:rPr>
          <w:rStyle w:val="CETCaptionCarattere"/>
          <w:i/>
        </w:rPr>
        <w:t xml:space="preserve">-Cellulose solid fraction obtained with a combined treatment of autohydrolysis and </w:t>
      </w:r>
      <w:proofErr w:type="spellStart"/>
      <w:r w:rsidR="007D5C0A">
        <w:rPr>
          <w:rStyle w:val="CETCaptionCarattere"/>
          <w:i/>
        </w:rPr>
        <w:t>organosolv</w:t>
      </w:r>
      <w:proofErr w:type="spellEnd"/>
      <w:r w:rsidR="007D5C0A">
        <w:rPr>
          <w:rStyle w:val="CETCaptionCarattere"/>
          <w:i/>
        </w:rPr>
        <w:t xml:space="preserve"> from wheat straw</w:t>
      </w:r>
      <w:r w:rsidRPr="00BD077D">
        <w:rPr>
          <w:rStyle w:val="CETCaptionCarattere"/>
          <w:i/>
        </w:rPr>
        <w:t xml:space="preserve"> </w:t>
      </w:r>
    </w:p>
    <w:p w14:paraId="3B8D8FFE" w14:textId="77777777" w:rsidR="002D7C4F" w:rsidRDefault="002D7C4F" w:rsidP="002D7C4F">
      <w:pPr>
        <w:pStyle w:val="CETCaption"/>
        <w:rPr>
          <w:i w:val="0"/>
          <w:lang w:val="en-US"/>
        </w:rPr>
      </w:pPr>
      <w:r>
        <w:rPr>
          <w:i w:val="0"/>
          <w:lang w:val="en-US"/>
        </w:rPr>
        <w:t xml:space="preserve">Finally, </w:t>
      </w:r>
      <w:r w:rsidRPr="005A1512">
        <w:rPr>
          <w:i w:val="0"/>
          <w:lang w:val="en-US"/>
        </w:rPr>
        <w:t xml:space="preserve">Figure 2 presents an estimate of the production of lignin and a cellulose-rich solid fraction obtained from wheat straw through a combined autohydrolysis and </w:t>
      </w:r>
      <w:proofErr w:type="spellStart"/>
      <w:r w:rsidRPr="005A1512">
        <w:rPr>
          <w:i w:val="0"/>
          <w:lang w:val="en-US"/>
        </w:rPr>
        <w:t>organosolv</w:t>
      </w:r>
      <w:proofErr w:type="spellEnd"/>
      <w:r w:rsidRPr="005A1512">
        <w:rPr>
          <w:i w:val="0"/>
          <w:lang w:val="en-US"/>
        </w:rPr>
        <w:t xml:space="preserve"> process. The optimal conditions for the autohydrolysis step were taken from the present study, while those for the </w:t>
      </w:r>
      <w:proofErr w:type="spellStart"/>
      <w:r w:rsidRPr="005A1512">
        <w:rPr>
          <w:i w:val="0"/>
          <w:lang w:val="en-US"/>
        </w:rPr>
        <w:t>organosolv</w:t>
      </w:r>
      <w:proofErr w:type="spellEnd"/>
      <w:r w:rsidRPr="005A1512">
        <w:rPr>
          <w:i w:val="0"/>
          <w:lang w:val="en-US"/>
        </w:rPr>
        <w:t xml:space="preserve"> process were adopted </w:t>
      </w:r>
      <w:r w:rsidRPr="005A1512">
        <w:rPr>
          <w:i w:val="0"/>
          <w:lang w:val="en-US"/>
        </w:rPr>
        <w:lastRenderedPageBreak/>
        <w:t xml:space="preserve">from Cipriani et al. (2024), although they were not optimized. As shown, the final solid yields are not particularly high, especially in the case of lignin. However, it is expected that by applying the same optimization approach used in this study to the </w:t>
      </w:r>
      <w:proofErr w:type="spellStart"/>
      <w:r w:rsidRPr="005A1512">
        <w:rPr>
          <w:i w:val="0"/>
          <w:lang w:val="en-US"/>
        </w:rPr>
        <w:t>organosolv</w:t>
      </w:r>
      <w:proofErr w:type="spellEnd"/>
      <w:r w:rsidRPr="005A1512">
        <w:rPr>
          <w:i w:val="0"/>
          <w:lang w:val="en-US"/>
        </w:rPr>
        <w:t xml:space="preserve"> process, the overall yield could be further improved.</w:t>
      </w:r>
    </w:p>
    <w:p w14:paraId="68D26B83" w14:textId="77777777" w:rsidR="00600535" w:rsidRPr="00B57B36" w:rsidRDefault="00600535" w:rsidP="00600535">
      <w:pPr>
        <w:pStyle w:val="CETHeading1"/>
        <w:rPr>
          <w:lang w:val="en-GB"/>
        </w:rPr>
      </w:pPr>
      <w:r w:rsidRPr="00B57B36">
        <w:rPr>
          <w:lang w:val="en-GB"/>
        </w:rPr>
        <w:t>Conclusions</w:t>
      </w:r>
    </w:p>
    <w:p w14:paraId="11E8CE14" w14:textId="30F7D924" w:rsidR="005538BF" w:rsidRPr="00F96A01" w:rsidRDefault="7A489EBE" w:rsidP="5E736752">
      <w:pPr>
        <w:pStyle w:val="CETBodytext"/>
      </w:pPr>
      <w:r w:rsidRPr="00F96A01">
        <w:t xml:space="preserve">This work shows a preliminary study for the dynamic optimization of an </w:t>
      </w:r>
      <w:proofErr w:type="spellStart"/>
      <w:r w:rsidRPr="00F96A01">
        <w:t>autohydrolysys</w:t>
      </w:r>
      <w:proofErr w:type="spellEnd"/>
      <w:r w:rsidRPr="00F96A01">
        <w:t xml:space="preserve"> reactor for </w:t>
      </w:r>
      <w:proofErr w:type="spellStart"/>
      <w:r w:rsidRPr="00F96A01">
        <w:t>for</w:t>
      </w:r>
      <w:proofErr w:type="spellEnd"/>
      <w:r w:rsidRPr="00F96A01">
        <w:t xml:space="preserve"> the </w:t>
      </w:r>
      <w:r w:rsidR="00EA4A57" w:rsidRPr="00F96A01">
        <w:t>v</w:t>
      </w:r>
      <w:r w:rsidRPr="00F96A01">
        <w:t xml:space="preserve">alorization of </w:t>
      </w:r>
      <w:r w:rsidR="00EA4A57" w:rsidRPr="00F96A01">
        <w:t>l</w:t>
      </w:r>
      <w:r w:rsidRPr="00F96A01">
        <w:t xml:space="preserve">ignocellulosic Waste. The developed dynamic model was used to perform a dynamic optimization in which the residence time was optimized to achieve the optimal residual concentration of cellulose between 90% and 95% while completely dissolving the hemicellulose for different temperature profiles. This analysis is a first step towards complete dynamic </w:t>
      </w:r>
      <w:proofErr w:type="spellStart"/>
      <w:r w:rsidRPr="00F96A01">
        <w:t>optimiztion</w:t>
      </w:r>
      <w:proofErr w:type="spellEnd"/>
      <w:r w:rsidRPr="00F96A01">
        <w:t xml:space="preserve"> of the </w:t>
      </w:r>
      <w:proofErr w:type="spellStart"/>
      <w:r w:rsidRPr="00F96A01">
        <w:t>autohydrolysys</w:t>
      </w:r>
      <w:proofErr w:type="spellEnd"/>
      <w:r w:rsidRPr="00F96A01">
        <w:t xml:space="preserve"> reactor and the </w:t>
      </w:r>
      <w:proofErr w:type="spellStart"/>
      <w:r w:rsidRPr="00F96A01">
        <w:t>organosolv</w:t>
      </w:r>
      <w:proofErr w:type="spellEnd"/>
      <w:r w:rsidRPr="00F96A01">
        <w:t xml:space="preserve"> reactor. </w:t>
      </w:r>
      <w:r w:rsidR="00F96A01" w:rsidRPr="00F96A01">
        <w:t xml:space="preserve">This work is open to different interesting future </w:t>
      </w:r>
      <w:proofErr w:type="spellStart"/>
      <w:r w:rsidR="00F96A01" w:rsidRPr="00F96A01">
        <w:t>develpments</w:t>
      </w:r>
      <w:proofErr w:type="spellEnd"/>
      <w:r w:rsidR="00F96A01" w:rsidRPr="00F96A01">
        <w:t xml:space="preserve"> like: (</w:t>
      </w:r>
      <w:proofErr w:type="spellStart"/>
      <w:r w:rsidR="00F96A01" w:rsidRPr="00F96A01">
        <w:t>i</w:t>
      </w:r>
      <w:proofErr w:type="spellEnd"/>
      <w:r w:rsidR="00F96A01" w:rsidRPr="00F96A01">
        <w:t xml:space="preserve">) CSTR modeling </w:t>
      </w:r>
      <w:r w:rsidR="00F96A01">
        <w:t xml:space="preserve">of </w:t>
      </w:r>
      <w:r w:rsidR="00F96A01" w:rsidRPr="00F96A01">
        <w:t xml:space="preserve">autohydrolysis, where continuous liquor withdrawal is expected to enhance </w:t>
      </w:r>
      <w:proofErr w:type="spellStart"/>
      <w:r w:rsidR="00F96A01" w:rsidRPr="00F96A01">
        <w:t>xylan</w:t>
      </w:r>
      <w:proofErr w:type="spellEnd"/>
      <w:r w:rsidR="00F96A01" w:rsidRPr="00F96A01">
        <w:t xml:space="preserve"> removal at shorter residence times; (ii) developing a kinetic model for the </w:t>
      </w:r>
      <w:proofErr w:type="spellStart"/>
      <w:r w:rsidR="00F96A01" w:rsidRPr="00F96A01">
        <w:t>organosolv</w:t>
      </w:r>
      <w:proofErr w:type="spellEnd"/>
      <w:r w:rsidR="00F96A01" w:rsidRPr="00F96A01">
        <w:t xml:space="preserve"> delignification step, enabling optimization of dissolution time to maximize residual lignin in the solid phase; (iii) Training artificial neural networks (ANNs) on expanded datasets to improve predictive accuracy and deliver real-time uncertainty quantification; (iv) Linking the optimized process outputs to the CORO (Capex/</w:t>
      </w:r>
      <w:proofErr w:type="spellStart"/>
      <w:r w:rsidR="00F96A01" w:rsidRPr="00F96A01">
        <w:t>Opex</w:t>
      </w:r>
      <w:proofErr w:type="spellEnd"/>
      <w:r w:rsidR="00F96A01" w:rsidRPr="00F96A01">
        <w:t xml:space="preserve"> Robust Optimizer) </w:t>
      </w:r>
      <w:r w:rsidR="00C8403B">
        <w:t>(</w:t>
      </w:r>
      <w:r w:rsidR="006C5E47">
        <w:t>Bozzini et al., 2023</w:t>
      </w:r>
      <w:r w:rsidR="00C8403B">
        <w:t>)</w:t>
      </w:r>
      <w:r w:rsidR="006C5E47">
        <w:t xml:space="preserve"> </w:t>
      </w:r>
      <w:r w:rsidR="00F96A01" w:rsidRPr="00F96A01">
        <w:t xml:space="preserve">framework to provide a preliminary assessment of the economic feasibility of the proposed system. Overall, the developed framework marks a significant step toward the flexible and sustainable optimization of bio-based value chains, supporting the transformation of agro-industrial residues into high-value materials such as </w:t>
      </w:r>
      <w:proofErr w:type="spellStart"/>
      <w:r w:rsidR="00F96A01" w:rsidRPr="00F96A01">
        <w:t>vitrimers</w:t>
      </w:r>
      <w:proofErr w:type="spellEnd"/>
      <w:r w:rsidR="00F96A01" w:rsidRPr="00F96A01">
        <w:t>.</w:t>
      </w:r>
    </w:p>
    <w:p w14:paraId="459D05E6" w14:textId="64F9AE24" w:rsidR="00600535" w:rsidRPr="00B57B36" w:rsidRDefault="00600535" w:rsidP="00600535">
      <w:pPr>
        <w:pStyle w:val="CETAcknowledgementstitle"/>
      </w:pPr>
      <w:r w:rsidRPr="00B57B36">
        <w:t>Acknowledgments</w:t>
      </w:r>
    </w:p>
    <w:p w14:paraId="33F8138F" w14:textId="004F20A1" w:rsidR="00600535" w:rsidRPr="00B57B36" w:rsidRDefault="00D160A6" w:rsidP="00600535">
      <w:pPr>
        <w:pStyle w:val="CETBodytext"/>
        <w:rPr>
          <w:lang w:val="en-GB"/>
        </w:rPr>
      </w:pPr>
      <w:r w:rsidRPr="00D160A6">
        <w:rPr>
          <w:lang w:val="en-GB"/>
        </w:rPr>
        <w:t xml:space="preserve">This research was supported and funded by Fondazione Cariplo through the project “CYCLEVIT - Closing the loop: Green process for transforming highly heterogeneous biomasses into novel bio-based </w:t>
      </w:r>
      <w:proofErr w:type="spellStart"/>
      <w:r w:rsidRPr="00D160A6">
        <w:rPr>
          <w:lang w:val="en-GB"/>
        </w:rPr>
        <w:t>vitrimer</w:t>
      </w:r>
      <w:proofErr w:type="spellEnd"/>
      <w:r w:rsidRPr="00D160A6">
        <w:rPr>
          <w:lang w:val="en-GB"/>
        </w:rPr>
        <w:t xml:space="preserve"> composites” (2021-0757 grant)</w:t>
      </w:r>
      <w:r w:rsidR="000D3E69">
        <w:rPr>
          <w:lang w:val="en-GB"/>
        </w:rPr>
        <w:t xml:space="preserve"> </w:t>
      </w:r>
      <w:r w:rsidR="000D3E69" w:rsidRPr="000D3E69">
        <w:rPr>
          <w:lang w:val="en-GB"/>
        </w:rPr>
        <w:t>and by National Research Centre for Agricultural Technologies (</w:t>
      </w:r>
      <w:proofErr w:type="spellStart"/>
      <w:r w:rsidR="000D3E69" w:rsidRPr="000D3E69">
        <w:rPr>
          <w:lang w:val="en-GB"/>
        </w:rPr>
        <w:t>Agritech</w:t>
      </w:r>
      <w:proofErr w:type="spellEnd"/>
      <w:r w:rsidR="000D3E69" w:rsidRPr="000D3E69">
        <w:rPr>
          <w:lang w:val="en-GB"/>
        </w:rPr>
        <w:t xml:space="preserve">)” CN00000022. PNRR-M4C2, Investment 1.4 - Funded by the European Union - </w:t>
      </w:r>
      <w:proofErr w:type="spellStart"/>
      <w:r w:rsidR="000D3E69" w:rsidRPr="000D3E69">
        <w:rPr>
          <w:lang w:val="en-GB"/>
        </w:rPr>
        <w:t>NextGenerationEU</w:t>
      </w:r>
      <w:proofErr w:type="spellEnd"/>
      <w:r w:rsidR="000D3E69" w:rsidRPr="000D3E69">
        <w:rPr>
          <w:lang w:val="en-GB"/>
        </w:rPr>
        <w:t>” - CUP: J33C22001160007.</w:t>
      </w:r>
    </w:p>
    <w:p w14:paraId="4F1327F8" w14:textId="77777777" w:rsidR="00600535" w:rsidRPr="00B57B36" w:rsidRDefault="00600535" w:rsidP="00600535">
      <w:pPr>
        <w:pStyle w:val="CETReference"/>
      </w:pPr>
      <w:r w:rsidRPr="00B57B36">
        <w:t>References</w:t>
      </w:r>
    </w:p>
    <w:p w14:paraId="5756BE03" w14:textId="54B02B8D" w:rsidR="000D6450" w:rsidRDefault="000D6450" w:rsidP="005A75DF">
      <w:pPr>
        <w:pStyle w:val="CETReferencetext"/>
        <w:rPr>
          <w:lang w:val="en-US"/>
        </w:rPr>
      </w:pPr>
      <w:r w:rsidRPr="00D8362C">
        <w:rPr>
          <w:lang w:val="en-US"/>
        </w:rPr>
        <w:t>Andersson J. A., Gillis J., Horn G., Rawlings J. B., Diehl, M</w:t>
      </w:r>
      <w:r w:rsidR="001A5C7E">
        <w:rPr>
          <w:lang w:val="en-US"/>
        </w:rPr>
        <w:t>,</w:t>
      </w:r>
      <w:r w:rsidRPr="00D8362C">
        <w:rPr>
          <w:lang w:val="en-US"/>
        </w:rPr>
        <w:t xml:space="preserve"> </w:t>
      </w:r>
      <w:r w:rsidR="00FA4137">
        <w:rPr>
          <w:lang w:val="en-US"/>
        </w:rPr>
        <w:t>2</w:t>
      </w:r>
      <w:r w:rsidRPr="00D8362C">
        <w:rPr>
          <w:lang w:val="en-US"/>
        </w:rPr>
        <w:t>019</w:t>
      </w:r>
      <w:r w:rsidR="00FA4137">
        <w:rPr>
          <w:lang w:val="en-US"/>
        </w:rPr>
        <w:t>,</w:t>
      </w:r>
      <w:r w:rsidRPr="00D8362C">
        <w:rPr>
          <w:lang w:val="en-US"/>
        </w:rPr>
        <w:t xml:space="preserve"> CasADi: a software framework for nonlinear optimization and optimal control</w:t>
      </w:r>
      <w:r w:rsidR="00F174B4">
        <w:rPr>
          <w:lang w:val="en-US"/>
        </w:rPr>
        <w:t xml:space="preserve">, </w:t>
      </w:r>
      <w:r w:rsidRPr="00D8362C">
        <w:rPr>
          <w:lang w:val="en-US"/>
        </w:rPr>
        <w:t>Mathematical Programming Computation, 11, 1-36.</w:t>
      </w:r>
    </w:p>
    <w:p w14:paraId="4587272A" w14:textId="46D79407" w:rsidR="005A75DF" w:rsidRDefault="005A75DF" w:rsidP="005A75DF">
      <w:pPr>
        <w:pStyle w:val="CETReferencetext"/>
        <w:rPr>
          <w:lang w:val="en-US"/>
        </w:rPr>
      </w:pPr>
      <w:r w:rsidRPr="005A75DF">
        <w:rPr>
          <w:lang w:val="en-US"/>
        </w:rPr>
        <w:t>Amiri H., Karimi</w:t>
      </w:r>
      <w:r>
        <w:rPr>
          <w:lang w:val="en-US"/>
        </w:rPr>
        <w:t xml:space="preserve"> </w:t>
      </w:r>
      <w:r w:rsidRPr="005A75DF">
        <w:rPr>
          <w:lang w:val="en-US"/>
        </w:rPr>
        <w:t>K.</w:t>
      </w:r>
      <w:r>
        <w:rPr>
          <w:lang w:val="en-US"/>
        </w:rPr>
        <w:t xml:space="preserve">, </w:t>
      </w:r>
      <w:r w:rsidRPr="005A75DF">
        <w:rPr>
          <w:lang w:val="en-US"/>
        </w:rPr>
        <w:t>2015</w:t>
      </w:r>
      <w:r>
        <w:rPr>
          <w:lang w:val="en-US"/>
        </w:rPr>
        <w:t>,</w:t>
      </w:r>
      <w:r w:rsidRPr="005A75DF">
        <w:rPr>
          <w:lang w:val="en-US"/>
        </w:rPr>
        <w:t xml:space="preserve"> Autohydrolysis: A promising pretreatment for the improvement of acetone, butanol, and ethanol production from woody materials</w:t>
      </w:r>
      <w:r>
        <w:rPr>
          <w:lang w:val="en-US"/>
        </w:rPr>
        <w:t>,</w:t>
      </w:r>
      <w:r w:rsidRPr="005A75DF">
        <w:rPr>
          <w:lang w:val="en-US"/>
        </w:rPr>
        <w:t xml:space="preserve"> </w:t>
      </w:r>
      <w:r w:rsidRPr="00D8362C">
        <w:rPr>
          <w:lang w:val="en-US"/>
        </w:rPr>
        <w:t>Chemical Engineering Science, 137, 722-729.</w:t>
      </w:r>
    </w:p>
    <w:p w14:paraId="3830AAEB" w14:textId="323ECEEE" w:rsidR="00B009B0" w:rsidRDefault="00B009B0" w:rsidP="005A75DF">
      <w:pPr>
        <w:pStyle w:val="CETReferencetext"/>
      </w:pPr>
      <w:r w:rsidRPr="00D8362C">
        <w:rPr>
          <w:lang w:val="en-US"/>
        </w:rPr>
        <w:t xml:space="preserve">Bassani A., Fiorentini C., Garrido G. D., Carullo D., Spigno G., 2021, </w:t>
      </w:r>
      <w:r w:rsidRPr="00B009B0">
        <w:t>Kinetic model of wheat straw autohydrolysis considering heating and cooling phases</w:t>
      </w:r>
      <w:r>
        <w:t xml:space="preserve">, </w:t>
      </w:r>
      <w:r w:rsidRPr="00D8362C">
        <w:t>Chemical Engineering Transactions</w:t>
      </w:r>
      <w:r w:rsidRPr="00B009B0">
        <w:t>, </w:t>
      </w:r>
      <w:r w:rsidRPr="00D8362C">
        <w:t>87</w:t>
      </w:r>
      <w:r w:rsidRPr="00B009B0">
        <w:t>, 199-204.</w:t>
      </w:r>
    </w:p>
    <w:p w14:paraId="338625CB" w14:textId="6C2DAFB5" w:rsidR="00313000" w:rsidRDefault="00313000" w:rsidP="005A75DF">
      <w:pPr>
        <w:pStyle w:val="CETReferencetext"/>
      </w:pPr>
      <w:r w:rsidRPr="00313000">
        <w:t>Biegler</w:t>
      </w:r>
      <w:r>
        <w:t xml:space="preserve"> </w:t>
      </w:r>
      <w:r w:rsidRPr="00313000">
        <w:t>L. T.</w:t>
      </w:r>
      <w:r>
        <w:t>,</w:t>
      </w:r>
      <w:r w:rsidRPr="00313000">
        <w:t xml:space="preserve"> </w:t>
      </w:r>
      <w:r>
        <w:t>2</w:t>
      </w:r>
      <w:r w:rsidRPr="00313000">
        <w:t>007</w:t>
      </w:r>
      <w:r>
        <w:t>,</w:t>
      </w:r>
      <w:r w:rsidRPr="00313000">
        <w:t xml:space="preserve"> An overview of simultaneous strategies for dynamic optimization. </w:t>
      </w:r>
      <w:r w:rsidRPr="00D8362C">
        <w:t>Chemical Engineering and Processing: Process Intensification</w:t>
      </w:r>
      <w:r w:rsidRPr="00313000">
        <w:t>, </w:t>
      </w:r>
      <w:r w:rsidRPr="00D8362C">
        <w:t>46</w:t>
      </w:r>
      <w:r w:rsidRPr="00313000">
        <w:t>(11), 1043-1053.</w:t>
      </w:r>
    </w:p>
    <w:p w14:paraId="5EA2765D" w14:textId="684750A5" w:rsidR="006C489C" w:rsidRDefault="006C489C" w:rsidP="006C489C">
      <w:pPr>
        <w:pStyle w:val="CETReferencetext"/>
      </w:pPr>
      <w:bookmarkStart w:id="1" w:name="_Hlk198747875"/>
      <w:proofErr w:type="spellStart"/>
      <w:r w:rsidRPr="00D8362C">
        <w:rPr>
          <w:lang w:val="en-US"/>
        </w:rPr>
        <w:t>Bhonsale</w:t>
      </w:r>
      <w:bookmarkEnd w:id="1"/>
      <w:proofErr w:type="spellEnd"/>
      <w:r w:rsidRPr="00D8362C">
        <w:rPr>
          <w:lang w:val="en-US"/>
        </w:rPr>
        <w:t xml:space="preserve"> S. S., Vallerio M., Telen D., Vercammen D., </w:t>
      </w:r>
      <w:proofErr w:type="spellStart"/>
      <w:r w:rsidRPr="00D8362C">
        <w:rPr>
          <w:lang w:val="en-US"/>
        </w:rPr>
        <w:t>Logist</w:t>
      </w:r>
      <w:proofErr w:type="spellEnd"/>
      <w:r w:rsidRPr="00D8362C">
        <w:rPr>
          <w:lang w:val="en-US"/>
        </w:rPr>
        <w:t xml:space="preserve"> F., Van </w:t>
      </w:r>
      <w:proofErr w:type="spellStart"/>
      <w:r w:rsidRPr="00D8362C">
        <w:rPr>
          <w:lang w:val="en-US"/>
        </w:rPr>
        <w:t>Impe</w:t>
      </w:r>
      <w:proofErr w:type="spellEnd"/>
      <w:r w:rsidRPr="00D8362C">
        <w:rPr>
          <w:lang w:val="en-US"/>
        </w:rPr>
        <w:t xml:space="preserve"> J., 2016, </w:t>
      </w:r>
      <w:r w:rsidRPr="006C489C">
        <w:t xml:space="preserve">Solace: An </w:t>
      </w:r>
      <w:proofErr w:type="gramStart"/>
      <w:r w:rsidRPr="006C489C">
        <w:t>open source</w:t>
      </w:r>
      <w:proofErr w:type="gramEnd"/>
      <w:r w:rsidRPr="006C489C">
        <w:t xml:space="preserve"> package for </w:t>
      </w:r>
      <w:proofErr w:type="spellStart"/>
      <w:r w:rsidRPr="006C489C">
        <w:t>nolinear</w:t>
      </w:r>
      <w:proofErr w:type="spellEnd"/>
      <w:r w:rsidRPr="006C489C">
        <w:t xml:space="preserve"> model predictive control and state estimation for (bio) chemical processes. In </w:t>
      </w:r>
      <w:r w:rsidRPr="00D8362C">
        <w:t>Computer Aided Chemical Engineering</w:t>
      </w:r>
      <w:r w:rsidRPr="006C489C">
        <w:t> (Vol. 38, pp. 1971-1976). Elsevier.</w:t>
      </w:r>
    </w:p>
    <w:p w14:paraId="1E3BB0B6" w14:textId="5577591C" w:rsidR="00E969B5" w:rsidRDefault="00E969B5" w:rsidP="006C489C">
      <w:pPr>
        <w:pStyle w:val="CETReferencetext"/>
        <w:rPr>
          <w:lang w:val="en-US"/>
        </w:rPr>
      </w:pPr>
      <w:proofErr w:type="spellStart"/>
      <w:r w:rsidRPr="00E969B5">
        <w:t>Bhonsale</w:t>
      </w:r>
      <w:proofErr w:type="spellEnd"/>
      <w:r w:rsidRPr="00E969B5">
        <w:t xml:space="preserve"> S., Telen D., Vercammen D., Vallerio M., </w:t>
      </w:r>
      <w:proofErr w:type="spellStart"/>
      <w:r w:rsidRPr="00E969B5">
        <w:t>Hufkens</w:t>
      </w:r>
      <w:proofErr w:type="spellEnd"/>
      <w:r w:rsidRPr="00E969B5">
        <w:t xml:space="preserve"> J., </w:t>
      </w:r>
      <w:proofErr w:type="spellStart"/>
      <w:r w:rsidRPr="00E969B5">
        <w:t>Nimmegeers</w:t>
      </w:r>
      <w:proofErr w:type="spellEnd"/>
      <w:r w:rsidRPr="00E969B5">
        <w:t xml:space="preserve"> P., Van </w:t>
      </w:r>
      <w:proofErr w:type="spellStart"/>
      <w:r w:rsidRPr="00E969B5">
        <w:t>Impe</w:t>
      </w:r>
      <w:proofErr w:type="spellEnd"/>
      <w:r w:rsidRPr="00E969B5">
        <w:t>, J.</w:t>
      </w:r>
      <w:r>
        <w:t xml:space="preserve">, </w:t>
      </w:r>
      <w:r w:rsidRPr="00E969B5">
        <w:t>2018</w:t>
      </w:r>
      <w:r>
        <w:t>,</w:t>
      </w:r>
      <w:r w:rsidRPr="00E969B5">
        <w:t xml:space="preserve"> Pomodoro: A novel toolkit for dynamic (</w:t>
      </w:r>
      <w:proofErr w:type="spellStart"/>
      <w:r w:rsidRPr="00E969B5">
        <w:t>multiobjective</w:t>
      </w:r>
      <w:proofErr w:type="spellEnd"/>
      <w:r w:rsidRPr="00E969B5">
        <w:t xml:space="preserve">) optimization, and </w:t>
      </w:r>
      <w:proofErr w:type="gramStart"/>
      <w:r w:rsidRPr="00E969B5">
        <w:t>model based</w:t>
      </w:r>
      <w:proofErr w:type="gramEnd"/>
      <w:r w:rsidRPr="00E969B5">
        <w:t xml:space="preserve"> control and estimation</w:t>
      </w:r>
      <w:r>
        <w:t>,</w:t>
      </w:r>
      <w:r w:rsidRPr="00E969B5">
        <w:t> </w:t>
      </w:r>
      <w:r w:rsidRPr="00D8362C">
        <w:rPr>
          <w:lang w:val="en-US"/>
        </w:rPr>
        <w:t>IFAC-</w:t>
      </w:r>
      <w:proofErr w:type="spellStart"/>
      <w:r w:rsidRPr="00D8362C">
        <w:rPr>
          <w:lang w:val="en-US"/>
        </w:rPr>
        <w:t>PapersOnLine</w:t>
      </w:r>
      <w:proofErr w:type="spellEnd"/>
      <w:r w:rsidRPr="00D8362C">
        <w:rPr>
          <w:lang w:val="en-US"/>
        </w:rPr>
        <w:t>, 51(2), 719-724.</w:t>
      </w:r>
    </w:p>
    <w:p w14:paraId="39B0B396" w14:textId="70A03BD2" w:rsidR="006C5E47" w:rsidRDefault="006C5E47" w:rsidP="006C489C">
      <w:pPr>
        <w:pStyle w:val="CETReferencetext"/>
        <w:rPr>
          <w:lang w:val="en-US"/>
        </w:rPr>
      </w:pPr>
      <w:r w:rsidRPr="006C5E47">
        <w:rPr>
          <w:lang w:val="en-US"/>
        </w:rPr>
        <w:t>Bozzini M., Prifti K., Galeazzi A., Manenti F., 2024</w:t>
      </w:r>
      <w:r>
        <w:rPr>
          <w:lang w:val="en-US"/>
        </w:rPr>
        <w:t>,</w:t>
      </w:r>
      <w:r w:rsidRPr="006C5E47">
        <w:rPr>
          <w:lang w:val="en-US"/>
        </w:rPr>
        <w:t xml:space="preserve"> </w:t>
      </w:r>
      <w:r w:rsidRPr="006C5E47">
        <w:t xml:space="preserve">Capex </w:t>
      </w:r>
      <w:proofErr w:type="spellStart"/>
      <w:r w:rsidRPr="006C5E47">
        <w:t>Opex</w:t>
      </w:r>
      <w:proofErr w:type="spellEnd"/>
      <w:r w:rsidRPr="006C5E47">
        <w:t xml:space="preserve"> Robust Optimization: </w:t>
      </w:r>
      <w:proofErr w:type="gramStart"/>
      <w:r w:rsidRPr="006C5E47">
        <w:t>a</w:t>
      </w:r>
      <w:proofErr w:type="gramEnd"/>
      <w:r w:rsidRPr="006C5E47">
        <w:t xml:space="preserve"> Software for Well-founded Economic Estimations and Process Optimization</w:t>
      </w:r>
      <w:r>
        <w:t xml:space="preserve">, </w:t>
      </w:r>
      <w:r w:rsidRPr="006C5E47">
        <w:t>Chemical Engineering Transactions, </w:t>
      </w:r>
      <w:r w:rsidRPr="006C5E47">
        <w:rPr>
          <w:i/>
          <w:iCs/>
        </w:rPr>
        <w:t>99</w:t>
      </w:r>
      <w:r w:rsidRPr="006C5E47">
        <w:t>, 619-624.</w:t>
      </w:r>
    </w:p>
    <w:p w14:paraId="6A2D5E03" w14:textId="65EFB647" w:rsidR="00CB6673" w:rsidRDefault="00CB6673" w:rsidP="005A75DF">
      <w:pPr>
        <w:pStyle w:val="CETReferencetext"/>
        <w:rPr>
          <w:lang w:val="en-US"/>
        </w:rPr>
      </w:pPr>
      <w:r w:rsidRPr="00CB6673">
        <w:rPr>
          <w:lang w:val="en-US"/>
        </w:rPr>
        <w:t>Cipriani M., Nardi M., Athanassiou A., Spigno G., Bassani A</w:t>
      </w:r>
      <w:r w:rsidRPr="00D8362C">
        <w:rPr>
          <w:lang w:val="en-US"/>
        </w:rPr>
        <w:t>.,</w:t>
      </w:r>
      <w:r w:rsidRPr="00CB6673">
        <w:rPr>
          <w:lang w:val="en-US"/>
        </w:rPr>
        <w:t xml:space="preserve"> 2024</w:t>
      </w:r>
      <w:r w:rsidRPr="00D8362C">
        <w:rPr>
          <w:lang w:val="en-US"/>
        </w:rPr>
        <w:t>,</w:t>
      </w:r>
      <w:r w:rsidRPr="00CB6673">
        <w:rPr>
          <w:lang w:val="en-US"/>
        </w:rPr>
        <w:t xml:space="preserve"> Green Process for Transforming Lignocellulosic Residues </w:t>
      </w:r>
      <w:proofErr w:type="gramStart"/>
      <w:r w:rsidRPr="00CB6673">
        <w:rPr>
          <w:lang w:val="en-US"/>
        </w:rPr>
        <w:t>Into</w:t>
      </w:r>
      <w:proofErr w:type="gramEnd"/>
      <w:r w:rsidRPr="00CB6673">
        <w:rPr>
          <w:lang w:val="en-US"/>
        </w:rPr>
        <w:t xml:space="preserve"> Novel Bio-based </w:t>
      </w:r>
      <w:proofErr w:type="spellStart"/>
      <w:r w:rsidRPr="00CB6673">
        <w:rPr>
          <w:lang w:val="en-US"/>
        </w:rPr>
        <w:t>Vitrimer</w:t>
      </w:r>
      <w:proofErr w:type="spellEnd"/>
      <w:r w:rsidRPr="00CB6673">
        <w:rPr>
          <w:lang w:val="en-US"/>
        </w:rPr>
        <w:t xml:space="preserve"> Composites</w:t>
      </w:r>
      <w:r>
        <w:rPr>
          <w:lang w:val="en-US"/>
        </w:rPr>
        <w:t>,</w:t>
      </w:r>
      <w:r w:rsidRPr="00CB6673">
        <w:rPr>
          <w:lang w:val="en-US"/>
        </w:rPr>
        <w:t xml:space="preserve"> Chemical Engineering Transactions, 109, 403-408.</w:t>
      </w:r>
    </w:p>
    <w:p w14:paraId="00732F73" w14:textId="22672DA0" w:rsidR="001A5C7E" w:rsidRDefault="001A5C7E" w:rsidP="005A75DF">
      <w:pPr>
        <w:pStyle w:val="CETReferencetext"/>
      </w:pPr>
      <w:r w:rsidRPr="001A5C7E">
        <w:t xml:space="preserve">Hashem I., Telen D., </w:t>
      </w:r>
      <w:proofErr w:type="spellStart"/>
      <w:r w:rsidRPr="00D8362C">
        <w:rPr>
          <w:lang w:val="en-US"/>
        </w:rPr>
        <w:t>Nimmegeers</w:t>
      </w:r>
      <w:proofErr w:type="spellEnd"/>
      <w:r w:rsidRPr="00D8362C">
        <w:rPr>
          <w:lang w:val="en-US"/>
        </w:rPr>
        <w:t xml:space="preserve"> P., </w:t>
      </w:r>
      <w:proofErr w:type="spellStart"/>
      <w:r w:rsidRPr="00D8362C">
        <w:rPr>
          <w:lang w:val="en-US"/>
        </w:rPr>
        <w:t>Logist</w:t>
      </w:r>
      <w:proofErr w:type="spellEnd"/>
      <w:r w:rsidRPr="00D8362C">
        <w:rPr>
          <w:lang w:val="en-US"/>
        </w:rPr>
        <w:t xml:space="preserve"> F., Van </w:t>
      </w:r>
      <w:proofErr w:type="spellStart"/>
      <w:r w:rsidRPr="00D8362C">
        <w:rPr>
          <w:lang w:val="en-US"/>
        </w:rPr>
        <w:t>Imp</w:t>
      </w:r>
      <w:r w:rsidR="00F174B4">
        <w:rPr>
          <w:lang w:val="en-US"/>
        </w:rPr>
        <w:t>e</w:t>
      </w:r>
      <w:proofErr w:type="spellEnd"/>
      <w:r w:rsidRPr="00D8362C">
        <w:rPr>
          <w:lang w:val="en-US"/>
        </w:rPr>
        <w:t xml:space="preserve"> J.</w:t>
      </w:r>
      <w:r w:rsidR="00F174B4">
        <w:rPr>
          <w:lang w:val="en-US"/>
        </w:rPr>
        <w:t xml:space="preserve">, </w:t>
      </w:r>
      <w:r w:rsidRPr="00D8362C">
        <w:rPr>
          <w:lang w:val="en-US"/>
        </w:rPr>
        <w:t>2017</w:t>
      </w:r>
      <w:r w:rsidR="00F174B4">
        <w:rPr>
          <w:lang w:val="en-US"/>
        </w:rPr>
        <w:t>,</w:t>
      </w:r>
      <w:r w:rsidRPr="00D8362C">
        <w:rPr>
          <w:lang w:val="en-US"/>
        </w:rPr>
        <w:t xml:space="preserve"> A novel algorithm for fast representation of a Pareto front with adaptive resolution: Application to multi-objective optimization of a chemical reactor</w:t>
      </w:r>
      <w:r w:rsidR="00F174B4">
        <w:rPr>
          <w:lang w:val="en-US"/>
        </w:rPr>
        <w:t>,</w:t>
      </w:r>
      <w:r w:rsidRPr="00D8362C">
        <w:rPr>
          <w:lang w:val="en-US"/>
        </w:rPr>
        <w:t> Computers &amp; Chemical Engineering, 106, 544</w:t>
      </w:r>
      <w:r w:rsidRPr="001A5C7E">
        <w:t>-558.</w:t>
      </w:r>
    </w:p>
    <w:p w14:paraId="58A9746A" w14:textId="72DBE268" w:rsidR="00FA5C12" w:rsidRDefault="00FA5C12" w:rsidP="005A75DF">
      <w:pPr>
        <w:pStyle w:val="CETReferencetext"/>
      </w:pPr>
      <w:r w:rsidRPr="00FA5C12">
        <w:t>Prasad</w:t>
      </w:r>
      <w:r>
        <w:t xml:space="preserve"> </w:t>
      </w:r>
      <w:r w:rsidRPr="00FA5C12">
        <w:t>B. R., Padhi R. K., Ghosh G.</w:t>
      </w:r>
      <w:r>
        <w:t xml:space="preserve">, </w:t>
      </w:r>
      <w:r w:rsidRPr="00FA5C12">
        <w:t>2023</w:t>
      </w:r>
      <w:r>
        <w:t xml:space="preserve">, </w:t>
      </w:r>
      <w:r w:rsidRPr="00FA5C12">
        <w:t>A review on key pretreatment approaches for lignocellulosic biomass to produce biofuel and value-added products</w:t>
      </w:r>
      <w:r>
        <w:t xml:space="preserve">, </w:t>
      </w:r>
      <w:r w:rsidRPr="00FA5C12">
        <w:t>International Journal of Environmental Science and Technology, 20(6), 6929-6944.</w:t>
      </w:r>
    </w:p>
    <w:p w14:paraId="0AB84157" w14:textId="57F13067" w:rsidR="007803FB" w:rsidRDefault="007803FB" w:rsidP="005A75DF">
      <w:pPr>
        <w:pStyle w:val="CETReferencetext"/>
      </w:pPr>
      <w:proofErr w:type="spellStart"/>
      <w:r>
        <w:t>S</w:t>
      </w:r>
      <w:r w:rsidRPr="007803FB">
        <w:t>idiras</w:t>
      </w:r>
      <w:proofErr w:type="spellEnd"/>
      <w:r w:rsidRPr="007803FB">
        <w:t xml:space="preserve"> D., </w:t>
      </w:r>
      <w:proofErr w:type="spellStart"/>
      <w:r w:rsidRPr="007803FB">
        <w:t>Batzias</w:t>
      </w:r>
      <w:proofErr w:type="spellEnd"/>
      <w:r w:rsidRPr="007803FB">
        <w:t xml:space="preserve"> F., Ranjan R., </w:t>
      </w:r>
      <w:proofErr w:type="spellStart"/>
      <w:r w:rsidRPr="007803FB">
        <w:t>Tsapatsis</w:t>
      </w:r>
      <w:proofErr w:type="spellEnd"/>
      <w:r w:rsidRPr="007803FB">
        <w:t xml:space="preserve"> M.</w:t>
      </w:r>
      <w:r>
        <w:t>,</w:t>
      </w:r>
      <w:r w:rsidRPr="007803FB">
        <w:t xml:space="preserve"> 2011</w:t>
      </w:r>
      <w:r>
        <w:t>,</w:t>
      </w:r>
      <w:r w:rsidRPr="007803FB">
        <w:t xml:space="preserve"> Simulation and optimization of batch autohydrolysis of wheat straw to monosaccharides and oligosaccharides. </w:t>
      </w:r>
      <w:r w:rsidRPr="001D7214">
        <w:t>Bioresource Technology</w:t>
      </w:r>
      <w:r w:rsidRPr="007803FB">
        <w:t>, </w:t>
      </w:r>
      <w:r w:rsidRPr="001D7214">
        <w:t>102</w:t>
      </w:r>
      <w:r w:rsidRPr="007803FB">
        <w:t>(22), 10486-10492.</w:t>
      </w:r>
    </w:p>
    <w:p w14:paraId="22FA7EC1" w14:textId="785ED2AB" w:rsidR="00FA5C12" w:rsidRPr="00FA5C12" w:rsidRDefault="002D7F29" w:rsidP="005D7E1A">
      <w:pPr>
        <w:pStyle w:val="CETReferencetext"/>
      </w:pPr>
      <w:r w:rsidRPr="002D7F29">
        <w:t>Zhang W.</w:t>
      </w:r>
      <w:r>
        <w:t>,</w:t>
      </w:r>
      <w:r w:rsidRPr="002D7F29">
        <w:t xml:space="preserve"> Zhang X., Lei F., Jiang J.</w:t>
      </w:r>
      <w:r>
        <w:t xml:space="preserve">, </w:t>
      </w:r>
      <w:r w:rsidRPr="002D7F29">
        <w:t>2020</w:t>
      </w:r>
      <w:r>
        <w:t>,</w:t>
      </w:r>
      <w:r w:rsidRPr="002D7F29">
        <w:t xml:space="preserve"> Co-production bioethanol and </w:t>
      </w:r>
      <w:proofErr w:type="spellStart"/>
      <w:r w:rsidRPr="002D7F29">
        <w:t>xylooligosaccharides</w:t>
      </w:r>
      <w:proofErr w:type="spellEnd"/>
      <w:r w:rsidRPr="002D7F29">
        <w:t xml:space="preserve"> from sugarcane bagasse via autohydrolysis pretreatment</w:t>
      </w:r>
      <w:r>
        <w:t>,</w:t>
      </w:r>
      <w:r w:rsidRPr="002D7F29">
        <w:t> </w:t>
      </w:r>
      <w:r w:rsidRPr="00D8362C">
        <w:t>Renewable Energy</w:t>
      </w:r>
      <w:r w:rsidRPr="002D7F29">
        <w:t>, </w:t>
      </w:r>
      <w:r w:rsidRPr="00D8362C">
        <w:t>162</w:t>
      </w:r>
      <w:r w:rsidRPr="002D7F29">
        <w:t>, 2297-2305.</w:t>
      </w:r>
    </w:p>
    <w:sectPr w:rsidR="00FA5C12" w:rsidRPr="00FA5C1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C275" w14:textId="77777777" w:rsidR="00D3387B" w:rsidRDefault="00D3387B" w:rsidP="004F5E36">
      <w:r>
        <w:separator/>
      </w:r>
    </w:p>
  </w:endnote>
  <w:endnote w:type="continuationSeparator" w:id="0">
    <w:p w14:paraId="2AB36F15" w14:textId="77777777" w:rsidR="00D3387B" w:rsidRDefault="00D338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F5BB" w14:textId="77777777" w:rsidR="00D3387B" w:rsidRDefault="00D3387B" w:rsidP="004F5E36">
      <w:r>
        <w:separator/>
      </w:r>
    </w:p>
  </w:footnote>
  <w:footnote w:type="continuationSeparator" w:id="0">
    <w:p w14:paraId="58CDBA50" w14:textId="77777777" w:rsidR="00D3387B" w:rsidRDefault="00D3387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5D99"/>
    <w:rsid w:val="00006354"/>
    <w:rsid w:val="0000679E"/>
    <w:rsid w:val="000117CB"/>
    <w:rsid w:val="000172B4"/>
    <w:rsid w:val="000231E4"/>
    <w:rsid w:val="00027AF6"/>
    <w:rsid w:val="0003148D"/>
    <w:rsid w:val="00031EEC"/>
    <w:rsid w:val="00032630"/>
    <w:rsid w:val="0005066E"/>
    <w:rsid w:val="00051566"/>
    <w:rsid w:val="000562A9"/>
    <w:rsid w:val="00057389"/>
    <w:rsid w:val="00062A9A"/>
    <w:rsid w:val="00065058"/>
    <w:rsid w:val="0008348F"/>
    <w:rsid w:val="000844AE"/>
    <w:rsid w:val="00086C39"/>
    <w:rsid w:val="00091CDD"/>
    <w:rsid w:val="00093AA6"/>
    <w:rsid w:val="00093D26"/>
    <w:rsid w:val="000A01D0"/>
    <w:rsid w:val="000A03B2"/>
    <w:rsid w:val="000B71AD"/>
    <w:rsid w:val="000C7304"/>
    <w:rsid w:val="000D0268"/>
    <w:rsid w:val="000D34BE"/>
    <w:rsid w:val="000D3E69"/>
    <w:rsid w:val="000D6450"/>
    <w:rsid w:val="000E0B3C"/>
    <w:rsid w:val="000E102F"/>
    <w:rsid w:val="000E323F"/>
    <w:rsid w:val="000E36F1"/>
    <w:rsid w:val="000E3A73"/>
    <w:rsid w:val="000E414A"/>
    <w:rsid w:val="000E75FD"/>
    <w:rsid w:val="000F093C"/>
    <w:rsid w:val="000F787B"/>
    <w:rsid w:val="001022DD"/>
    <w:rsid w:val="0012091F"/>
    <w:rsid w:val="00123E1B"/>
    <w:rsid w:val="00126BC2"/>
    <w:rsid w:val="001308B6"/>
    <w:rsid w:val="0013121F"/>
    <w:rsid w:val="00131FE6"/>
    <w:rsid w:val="0013263F"/>
    <w:rsid w:val="001331DF"/>
    <w:rsid w:val="00134DE4"/>
    <w:rsid w:val="001371FC"/>
    <w:rsid w:val="001402FB"/>
    <w:rsid w:val="0014034D"/>
    <w:rsid w:val="00140FE3"/>
    <w:rsid w:val="001415F7"/>
    <w:rsid w:val="00144D16"/>
    <w:rsid w:val="00147CC7"/>
    <w:rsid w:val="00150E59"/>
    <w:rsid w:val="00152DE3"/>
    <w:rsid w:val="001545A3"/>
    <w:rsid w:val="00164CF9"/>
    <w:rsid w:val="001667A6"/>
    <w:rsid w:val="0018171E"/>
    <w:rsid w:val="00183C50"/>
    <w:rsid w:val="00184AD6"/>
    <w:rsid w:val="001A0C15"/>
    <w:rsid w:val="001A2712"/>
    <w:rsid w:val="001A4AF7"/>
    <w:rsid w:val="001A5C7E"/>
    <w:rsid w:val="001B0349"/>
    <w:rsid w:val="001B1177"/>
    <w:rsid w:val="001B1554"/>
    <w:rsid w:val="001B1E93"/>
    <w:rsid w:val="001B65C1"/>
    <w:rsid w:val="001C260F"/>
    <w:rsid w:val="001C5C3A"/>
    <w:rsid w:val="001C684B"/>
    <w:rsid w:val="001C734F"/>
    <w:rsid w:val="001C7C4E"/>
    <w:rsid w:val="001D0CFB"/>
    <w:rsid w:val="001D21AF"/>
    <w:rsid w:val="001D53FC"/>
    <w:rsid w:val="001D7214"/>
    <w:rsid w:val="001F3966"/>
    <w:rsid w:val="001F42A5"/>
    <w:rsid w:val="001F7B9D"/>
    <w:rsid w:val="00201C93"/>
    <w:rsid w:val="002224B4"/>
    <w:rsid w:val="002271AF"/>
    <w:rsid w:val="00227DFD"/>
    <w:rsid w:val="002339CA"/>
    <w:rsid w:val="00234657"/>
    <w:rsid w:val="00240B10"/>
    <w:rsid w:val="002447EF"/>
    <w:rsid w:val="0024517F"/>
    <w:rsid w:val="00251550"/>
    <w:rsid w:val="00257E16"/>
    <w:rsid w:val="00263B05"/>
    <w:rsid w:val="0027221A"/>
    <w:rsid w:val="00272BCE"/>
    <w:rsid w:val="00275B61"/>
    <w:rsid w:val="002802DA"/>
    <w:rsid w:val="00280FAF"/>
    <w:rsid w:val="00282656"/>
    <w:rsid w:val="00296B83"/>
    <w:rsid w:val="002B1F3C"/>
    <w:rsid w:val="002B4015"/>
    <w:rsid w:val="002B78CE"/>
    <w:rsid w:val="002C273C"/>
    <w:rsid w:val="002C2FB6"/>
    <w:rsid w:val="002C571D"/>
    <w:rsid w:val="002C644A"/>
    <w:rsid w:val="002D57AC"/>
    <w:rsid w:val="002D7C4F"/>
    <w:rsid w:val="002D7F29"/>
    <w:rsid w:val="002E00C3"/>
    <w:rsid w:val="002E59E3"/>
    <w:rsid w:val="002E5FA7"/>
    <w:rsid w:val="002F3309"/>
    <w:rsid w:val="002F54F7"/>
    <w:rsid w:val="003008CE"/>
    <w:rsid w:val="003009B7"/>
    <w:rsid w:val="00300E56"/>
    <w:rsid w:val="0030152C"/>
    <w:rsid w:val="00303EE1"/>
    <w:rsid w:val="0030469C"/>
    <w:rsid w:val="003048EF"/>
    <w:rsid w:val="00305E66"/>
    <w:rsid w:val="00310F20"/>
    <w:rsid w:val="00313000"/>
    <w:rsid w:val="00317A79"/>
    <w:rsid w:val="00321CA6"/>
    <w:rsid w:val="00323763"/>
    <w:rsid w:val="00323C5F"/>
    <w:rsid w:val="003312A0"/>
    <w:rsid w:val="003346FE"/>
    <w:rsid w:val="00334C09"/>
    <w:rsid w:val="003468EB"/>
    <w:rsid w:val="003723D4"/>
    <w:rsid w:val="00381905"/>
    <w:rsid w:val="00384CC8"/>
    <w:rsid w:val="003871FD"/>
    <w:rsid w:val="003904D3"/>
    <w:rsid w:val="00391459"/>
    <w:rsid w:val="00393061"/>
    <w:rsid w:val="00394A9C"/>
    <w:rsid w:val="003A06EE"/>
    <w:rsid w:val="003A1E30"/>
    <w:rsid w:val="003A2829"/>
    <w:rsid w:val="003A7D1C"/>
    <w:rsid w:val="003B1A50"/>
    <w:rsid w:val="003B304B"/>
    <w:rsid w:val="003B3146"/>
    <w:rsid w:val="003B49CD"/>
    <w:rsid w:val="003C7281"/>
    <w:rsid w:val="003D1E02"/>
    <w:rsid w:val="003F015E"/>
    <w:rsid w:val="003F200B"/>
    <w:rsid w:val="00400414"/>
    <w:rsid w:val="00405629"/>
    <w:rsid w:val="00405E72"/>
    <w:rsid w:val="0041362F"/>
    <w:rsid w:val="00414019"/>
    <w:rsid w:val="0041446B"/>
    <w:rsid w:val="00415A1C"/>
    <w:rsid w:val="0043279E"/>
    <w:rsid w:val="0044071E"/>
    <w:rsid w:val="0044329C"/>
    <w:rsid w:val="00452F71"/>
    <w:rsid w:val="00453E24"/>
    <w:rsid w:val="0045665C"/>
    <w:rsid w:val="00457456"/>
    <w:rsid w:val="004577FE"/>
    <w:rsid w:val="00457B9C"/>
    <w:rsid w:val="0046164A"/>
    <w:rsid w:val="004621FC"/>
    <w:rsid w:val="004628D2"/>
    <w:rsid w:val="00462DCD"/>
    <w:rsid w:val="004648AD"/>
    <w:rsid w:val="004650A3"/>
    <w:rsid w:val="004703A9"/>
    <w:rsid w:val="004760DE"/>
    <w:rsid w:val="004763D7"/>
    <w:rsid w:val="00477021"/>
    <w:rsid w:val="00490EB3"/>
    <w:rsid w:val="00495A4B"/>
    <w:rsid w:val="004A004E"/>
    <w:rsid w:val="004A0055"/>
    <w:rsid w:val="004A24CF"/>
    <w:rsid w:val="004C208C"/>
    <w:rsid w:val="004C3D1D"/>
    <w:rsid w:val="004C3D84"/>
    <w:rsid w:val="004C7913"/>
    <w:rsid w:val="004D7197"/>
    <w:rsid w:val="004E2B84"/>
    <w:rsid w:val="004E4DD6"/>
    <w:rsid w:val="004F3FEC"/>
    <w:rsid w:val="004F5DB6"/>
    <w:rsid w:val="004F5E36"/>
    <w:rsid w:val="00503F68"/>
    <w:rsid w:val="005059EB"/>
    <w:rsid w:val="00507B47"/>
    <w:rsid w:val="00507BEF"/>
    <w:rsid w:val="00507CC9"/>
    <w:rsid w:val="005119A5"/>
    <w:rsid w:val="005163F3"/>
    <w:rsid w:val="00520C73"/>
    <w:rsid w:val="005278B7"/>
    <w:rsid w:val="00530940"/>
    <w:rsid w:val="00532016"/>
    <w:rsid w:val="005346C8"/>
    <w:rsid w:val="00535F4E"/>
    <w:rsid w:val="00540B23"/>
    <w:rsid w:val="00543E7D"/>
    <w:rsid w:val="00547A68"/>
    <w:rsid w:val="005531C9"/>
    <w:rsid w:val="005538BF"/>
    <w:rsid w:val="00554879"/>
    <w:rsid w:val="0056150F"/>
    <w:rsid w:val="00570C43"/>
    <w:rsid w:val="00582247"/>
    <w:rsid w:val="005849C0"/>
    <w:rsid w:val="00592274"/>
    <w:rsid w:val="00595477"/>
    <w:rsid w:val="005A0CDA"/>
    <w:rsid w:val="005A1512"/>
    <w:rsid w:val="005A75DF"/>
    <w:rsid w:val="005A7ADD"/>
    <w:rsid w:val="005B2110"/>
    <w:rsid w:val="005B350B"/>
    <w:rsid w:val="005B61E6"/>
    <w:rsid w:val="005C51E2"/>
    <w:rsid w:val="005C77E1"/>
    <w:rsid w:val="005D1DAE"/>
    <w:rsid w:val="005D668A"/>
    <w:rsid w:val="005D6A2F"/>
    <w:rsid w:val="005D7E1A"/>
    <w:rsid w:val="005E0592"/>
    <w:rsid w:val="005E1A82"/>
    <w:rsid w:val="005E794C"/>
    <w:rsid w:val="005F0A28"/>
    <w:rsid w:val="005F0E5E"/>
    <w:rsid w:val="005F1CFB"/>
    <w:rsid w:val="00600527"/>
    <w:rsid w:val="00600535"/>
    <w:rsid w:val="00610CD6"/>
    <w:rsid w:val="006179E9"/>
    <w:rsid w:val="00620DEE"/>
    <w:rsid w:val="00621F92"/>
    <w:rsid w:val="0062280A"/>
    <w:rsid w:val="006231E1"/>
    <w:rsid w:val="00625639"/>
    <w:rsid w:val="00627092"/>
    <w:rsid w:val="00631B33"/>
    <w:rsid w:val="00637D8F"/>
    <w:rsid w:val="006405D5"/>
    <w:rsid w:val="0064184D"/>
    <w:rsid w:val="006422CC"/>
    <w:rsid w:val="00643065"/>
    <w:rsid w:val="006467B2"/>
    <w:rsid w:val="00651D18"/>
    <w:rsid w:val="00651E72"/>
    <w:rsid w:val="006520E4"/>
    <w:rsid w:val="006534B4"/>
    <w:rsid w:val="00660E3E"/>
    <w:rsid w:val="00662E74"/>
    <w:rsid w:val="0066745A"/>
    <w:rsid w:val="00673C99"/>
    <w:rsid w:val="00680C23"/>
    <w:rsid w:val="00683E23"/>
    <w:rsid w:val="00684294"/>
    <w:rsid w:val="00693766"/>
    <w:rsid w:val="006A3281"/>
    <w:rsid w:val="006A6DE5"/>
    <w:rsid w:val="006A76A4"/>
    <w:rsid w:val="006B43DB"/>
    <w:rsid w:val="006B4888"/>
    <w:rsid w:val="006B5157"/>
    <w:rsid w:val="006C2E45"/>
    <w:rsid w:val="006C359C"/>
    <w:rsid w:val="006C489C"/>
    <w:rsid w:val="006C4F80"/>
    <w:rsid w:val="006C5579"/>
    <w:rsid w:val="006C5E47"/>
    <w:rsid w:val="006C6F85"/>
    <w:rsid w:val="006D567A"/>
    <w:rsid w:val="006D6E8B"/>
    <w:rsid w:val="006D7209"/>
    <w:rsid w:val="006E408A"/>
    <w:rsid w:val="006E737D"/>
    <w:rsid w:val="006F1D37"/>
    <w:rsid w:val="00703BEF"/>
    <w:rsid w:val="007078BD"/>
    <w:rsid w:val="00707DD1"/>
    <w:rsid w:val="00713973"/>
    <w:rsid w:val="00717FE5"/>
    <w:rsid w:val="00720A24"/>
    <w:rsid w:val="00723E3E"/>
    <w:rsid w:val="00732386"/>
    <w:rsid w:val="0073514D"/>
    <w:rsid w:val="007374E8"/>
    <w:rsid w:val="007447F3"/>
    <w:rsid w:val="00751812"/>
    <w:rsid w:val="0075499F"/>
    <w:rsid w:val="0076108C"/>
    <w:rsid w:val="007620BD"/>
    <w:rsid w:val="007661C8"/>
    <w:rsid w:val="0077098D"/>
    <w:rsid w:val="007803FB"/>
    <w:rsid w:val="00785BF9"/>
    <w:rsid w:val="007931FA"/>
    <w:rsid w:val="007A382D"/>
    <w:rsid w:val="007A4861"/>
    <w:rsid w:val="007A7BBA"/>
    <w:rsid w:val="007B0C50"/>
    <w:rsid w:val="007B22D7"/>
    <w:rsid w:val="007B2F73"/>
    <w:rsid w:val="007B48F9"/>
    <w:rsid w:val="007C0BA6"/>
    <w:rsid w:val="007C1A43"/>
    <w:rsid w:val="007C33F1"/>
    <w:rsid w:val="007C4CD5"/>
    <w:rsid w:val="007C65FB"/>
    <w:rsid w:val="007D0951"/>
    <w:rsid w:val="007D5C0A"/>
    <w:rsid w:val="007D610D"/>
    <w:rsid w:val="007E1BDD"/>
    <w:rsid w:val="007E2DDC"/>
    <w:rsid w:val="0080013E"/>
    <w:rsid w:val="00801759"/>
    <w:rsid w:val="00806341"/>
    <w:rsid w:val="00813288"/>
    <w:rsid w:val="008168FC"/>
    <w:rsid w:val="00816AA0"/>
    <w:rsid w:val="00821757"/>
    <w:rsid w:val="00822DDF"/>
    <w:rsid w:val="00827F54"/>
    <w:rsid w:val="00830996"/>
    <w:rsid w:val="008345F1"/>
    <w:rsid w:val="0083784D"/>
    <w:rsid w:val="00855B48"/>
    <w:rsid w:val="00865B07"/>
    <w:rsid w:val="008663DD"/>
    <w:rsid w:val="008667EA"/>
    <w:rsid w:val="0087637F"/>
    <w:rsid w:val="008832AA"/>
    <w:rsid w:val="00891273"/>
    <w:rsid w:val="00892AD5"/>
    <w:rsid w:val="00892D0F"/>
    <w:rsid w:val="008975A6"/>
    <w:rsid w:val="00897A14"/>
    <w:rsid w:val="008A1512"/>
    <w:rsid w:val="008C542C"/>
    <w:rsid w:val="008D32B9"/>
    <w:rsid w:val="008D3D37"/>
    <w:rsid w:val="008D433B"/>
    <w:rsid w:val="008D4A16"/>
    <w:rsid w:val="008E20D2"/>
    <w:rsid w:val="008E5401"/>
    <w:rsid w:val="008E566E"/>
    <w:rsid w:val="008E6465"/>
    <w:rsid w:val="008F0EDF"/>
    <w:rsid w:val="008F282D"/>
    <w:rsid w:val="00900A6E"/>
    <w:rsid w:val="0090161A"/>
    <w:rsid w:val="00901EB6"/>
    <w:rsid w:val="009041F8"/>
    <w:rsid w:val="009048BA"/>
    <w:rsid w:val="00904C62"/>
    <w:rsid w:val="009102A2"/>
    <w:rsid w:val="00910723"/>
    <w:rsid w:val="00922BA8"/>
    <w:rsid w:val="00924DAC"/>
    <w:rsid w:val="00926BE1"/>
    <w:rsid w:val="00927058"/>
    <w:rsid w:val="0093036D"/>
    <w:rsid w:val="00942750"/>
    <w:rsid w:val="009450CE"/>
    <w:rsid w:val="009459BB"/>
    <w:rsid w:val="00947179"/>
    <w:rsid w:val="0095164B"/>
    <w:rsid w:val="00954090"/>
    <w:rsid w:val="00955532"/>
    <w:rsid w:val="0095624E"/>
    <w:rsid w:val="0095629D"/>
    <w:rsid w:val="009573E7"/>
    <w:rsid w:val="00963E05"/>
    <w:rsid w:val="00964A45"/>
    <w:rsid w:val="00967843"/>
    <w:rsid w:val="00967D54"/>
    <w:rsid w:val="00971028"/>
    <w:rsid w:val="00974DD2"/>
    <w:rsid w:val="0097570B"/>
    <w:rsid w:val="00993B84"/>
    <w:rsid w:val="00994C6A"/>
    <w:rsid w:val="00996483"/>
    <w:rsid w:val="00996F5A"/>
    <w:rsid w:val="009A04AB"/>
    <w:rsid w:val="009A30FA"/>
    <w:rsid w:val="009A6847"/>
    <w:rsid w:val="009B041A"/>
    <w:rsid w:val="009C37C3"/>
    <w:rsid w:val="009C7C86"/>
    <w:rsid w:val="009D2FF7"/>
    <w:rsid w:val="009E1822"/>
    <w:rsid w:val="009E200C"/>
    <w:rsid w:val="009E7884"/>
    <w:rsid w:val="009E788A"/>
    <w:rsid w:val="009F0E08"/>
    <w:rsid w:val="009F406C"/>
    <w:rsid w:val="009F7D2F"/>
    <w:rsid w:val="00A05188"/>
    <w:rsid w:val="00A079AE"/>
    <w:rsid w:val="00A12D40"/>
    <w:rsid w:val="00A1763D"/>
    <w:rsid w:val="00A17CEC"/>
    <w:rsid w:val="00A24D39"/>
    <w:rsid w:val="00A27EF0"/>
    <w:rsid w:val="00A3669E"/>
    <w:rsid w:val="00A42361"/>
    <w:rsid w:val="00A4252E"/>
    <w:rsid w:val="00A472D4"/>
    <w:rsid w:val="00A50B20"/>
    <w:rsid w:val="00A51390"/>
    <w:rsid w:val="00A54469"/>
    <w:rsid w:val="00A60D13"/>
    <w:rsid w:val="00A64BE6"/>
    <w:rsid w:val="00A70DB4"/>
    <w:rsid w:val="00A7223D"/>
    <w:rsid w:val="00A72745"/>
    <w:rsid w:val="00A76EFC"/>
    <w:rsid w:val="00A81B6F"/>
    <w:rsid w:val="00A8204F"/>
    <w:rsid w:val="00A83788"/>
    <w:rsid w:val="00A870FD"/>
    <w:rsid w:val="00A87D50"/>
    <w:rsid w:val="00A90572"/>
    <w:rsid w:val="00A91010"/>
    <w:rsid w:val="00A951F4"/>
    <w:rsid w:val="00A97F29"/>
    <w:rsid w:val="00AA4CDB"/>
    <w:rsid w:val="00AA702E"/>
    <w:rsid w:val="00AA7D26"/>
    <w:rsid w:val="00AB0964"/>
    <w:rsid w:val="00AB5011"/>
    <w:rsid w:val="00AC0E42"/>
    <w:rsid w:val="00AC228F"/>
    <w:rsid w:val="00AC7368"/>
    <w:rsid w:val="00AD16B9"/>
    <w:rsid w:val="00AE0576"/>
    <w:rsid w:val="00AE377D"/>
    <w:rsid w:val="00AE698C"/>
    <w:rsid w:val="00AF0EBA"/>
    <w:rsid w:val="00AF2463"/>
    <w:rsid w:val="00B009B0"/>
    <w:rsid w:val="00B02C8A"/>
    <w:rsid w:val="00B06629"/>
    <w:rsid w:val="00B13576"/>
    <w:rsid w:val="00B17FBD"/>
    <w:rsid w:val="00B22F31"/>
    <w:rsid w:val="00B315A6"/>
    <w:rsid w:val="00B31813"/>
    <w:rsid w:val="00B33365"/>
    <w:rsid w:val="00B432D8"/>
    <w:rsid w:val="00B5260F"/>
    <w:rsid w:val="00B57B36"/>
    <w:rsid w:val="00B57E6F"/>
    <w:rsid w:val="00B64126"/>
    <w:rsid w:val="00B71FF6"/>
    <w:rsid w:val="00B75F64"/>
    <w:rsid w:val="00B8686D"/>
    <w:rsid w:val="00B93F69"/>
    <w:rsid w:val="00BA2342"/>
    <w:rsid w:val="00BB1DDC"/>
    <w:rsid w:val="00BB3CDC"/>
    <w:rsid w:val="00BB62D2"/>
    <w:rsid w:val="00BC30C9"/>
    <w:rsid w:val="00BC6941"/>
    <w:rsid w:val="00BD077D"/>
    <w:rsid w:val="00BD1A76"/>
    <w:rsid w:val="00BD50DF"/>
    <w:rsid w:val="00BE3E58"/>
    <w:rsid w:val="00BE44E0"/>
    <w:rsid w:val="00BE62DB"/>
    <w:rsid w:val="00BF13CE"/>
    <w:rsid w:val="00C01616"/>
    <w:rsid w:val="00C0162B"/>
    <w:rsid w:val="00C068ED"/>
    <w:rsid w:val="00C15489"/>
    <w:rsid w:val="00C1586B"/>
    <w:rsid w:val="00C2168A"/>
    <w:rsid w:val="00C22E0C"/>
    <w:rsid w:val="00C23A0E"/>
    <w:rsid w:val="00C32C7D"/>
    <w:rsid w:val="00C345B1"/>
    <w:rsid w:val="00C40142"/>
    <w:rsid w:val="00C4337A"/>
    <w:rsid w:val="00C4374B"/>
    <w:rsid w:val="00C52C3C"/>
    <w:rsid w:val="00C53C56"/>
    <w:rsid w:val="00C56D4D"/>
    <w:rsid w:val="00C57182"/>
    <w:rsid w:val="00C57863"/>
    <w:rsid w:val="00C57DD9"/>
    <w:rsid w:val="00C61F01"/>
    <w:rsid w:val="00C640AF"/>
    <w:rsid w:val="00C655FD"/>
    <w:rsid w:val="00C67D0C"/>
    <w:rsid w:val="00C75407"/>
    <w:rsid w:val="00C81E7D"/>
    <w:rsid w:val="00C82C0D"/>
    <w:rsid w:val="00C8403B"/>
    <w:rsid w:val="00C841C6"/>
    <w:rsid w:val="00C848FE"/>
    <w:rsid w:val="00C864D8"/>
    <w:rsid w:val="00C86CA3"/>
    <w:rsid w:val="00C870A8"/>
    <w:rsid w:val="00C94434"/>
    <w:rsid w:val="00CA0D75"/>
    <w:rsid w:val="00CA0E22"/>
    <w:rsid w:val="00CA1C95"/>
    <w:rsid w:val="00CA49C8"/>
    <w:rsid w:val="00CA5A9C"/>
    <w:rsid w:val="00CB5CDA"/>
    <w:rsid w:val="00CB6673"/>
    <w:rsid w:val="00CC2F50"/>
    <w:rsid w:val="00CC4C20"/>
    <w:rsid w:val="00CD3517"/>
    <w:rsid w:val="00CD5FE2"/>
    <w:rsid w:val="00CE7C68"/>
    <w:rsid w:val="00D02B4C"/>
    <w:rsid w:val="00D02F18"/>
    <w:rsid w:val="00D040C4"/>
    <w:rsid w:val="00D0692E"/>
    <w:rsid w:val="00D15737"/>
    <w:rsid w:val="00D160A6"/>
    <w:rsid w:val="00D20AD1"/>
    <w:rsid w:val="00D2582C"/>
    <w:rsid w:val="00D32B5E"/>
    <w:rsid w:val="00D3387B"/>
    <w:rsid w:val="00D36EB9"/>
    <w:rsid w:val="00D44FBB"/>
    <w:rsid w:val="00D46B7E"/>
    <w:rsid w:val="00D47A0C"/>
    <w:rsid w:val="00D55897"/>
    <w:rsid w:val="00D57C84"/>
    <w:rsid w:val="00D6057D"/>
    <w:rsid w:val="00D61000"/>
    <w:rsid w:val="00D71640"/>
    <w:rsid w:val="00D73FD9"/>
    <w:rsid w:val="00D743B1"/>
    <w:rsid w:val="00D777B6"/>
    <w:rsid w:val="00D82CEA"/>
    <w:rsid w:val="00D8362C"/>
    <w:rsid w:val="00D836C5"/>
    <w:rsid w:val="00D84576"/>
    <w:rsid w:val="00D90280"/>
    <w:rsid w:val="00D910E1"/>
    <w:rsid w:val="00DA1399"/>
    <w:rsid w:val="00DA1CF8"/>
    <w:rsid w:val="00DA24C6"/>
    <w:rsid w:val="00DA4D7B"/>
    <w:rsid w:val="00DB1A1C"/>
    <w:rsid w:val="00DB7C15"/>
    <w:rsid w:val="00DC1B3B"/>
    <w:rsid w:val="00DC2840"/>
    <w:rsid w:val="00DC73EE"/>
    <w:rsid w:val="00DD271C"/>
    <w:rsid w:val="00DD37A5"/>
    <w:rsid w:val="00DE264A"/>
    <w:rsid w:val="00DF266E"/>
    <w:rsid w:val="00DF3335"/>
    <w:rsid w:val="00DF5072"/>
    <w:rsid w:val="00E02D18"/>
    <w:rsid w:val="00E041E7"/>
    <w:rsid w:val="00E1417E"/>
    <w:rsid w:val="00E23CA1"/>
    <w:rsid w:val="00E23EDB"/>
    <w:rsid w:val="00E342F6"/>
    <w:rsid w:val="00E409A8"/>
    <w:rsid w:val="00E50C12"/>
    <w:rsid w:val="00E5587D"/>
    <w:rsid w:val="00E65B91"/>
    <w:rsid w:val="00E7209D"/>
    <w:rsid w:val="00E72EAD"/>
    <w:rsid w:val="00E77223"/>
    <w:rsid w:val="00E803A8"/>
    <w:rsid w:val="00E8528B"/>
    <w:rsid w:val="00E85B94"/>
    <w:rsid w:val="00E87FAD"/>
    <w:rsid w:val="00E9513F"/>
    <w:rsid w:val="00E969B5"/>
    <w:rsid w:val="00E96A21"/>
    <w:rsid w:val="00E978D0"/>
    <w:rsid w:val="00EA4613"/>
    <w:rsid w:val="00EA4A57"/>
    <w:rsid w:val="00EA7F91"/>
    <w:rsid w:val="00EB1523"/>
    <w:rsid w:val="00EC016A"/>
    <w:rsid w:val="00EC0E49"/>
    <w:rsid w:val="00EC101F"/>
    <w:rsid w:val="00EC1D9F"/>
    <w:rsid w:val="00EC1FB2"/>
    <w:rsid w:val="00EC72BD"/>
    <w:rsid w:val="00ED49C0"/>
    <w:rsid w:val="00EE0131"/>
    <w:rsid w:val="00EE17B0"/>
    <w:rsid w:val="00EE5803"/>
    <w:rsid w:val="00EE62B5"/>
    <w:rsid w:val="00EF06D9"/>
    <w:rsid w:val="00F012E7"/>
    <w:rsid w:val="00F02A6F"/>
    <w:rsid w:val="00F0310C"/>
    <w:rsid w:val="00F06868"/>
    <w:rsid w:val="00F174B4"/>
    <w:rsid w:val="00F236DE"/>
    <w:rsid w:val="00F25396"/>
    <w:rsid w:val="00F3049E"/>
    <w:rsid w:val="00F30C64"/>
    <w:rsid w:val="00F32BA2"/>
    <w:rsid w:val="00F32CDB"/>
    <w:rsid w:val="00F37F34"/>
    <w:rsid w:val="00F41EE4"/>
    <w:rsid w:val="00F565FE"/>
    <w:rsid w:val="00F63A70"/>
    <w:rsid w:val="00F63D8C"/>
    <w:rsid w:val="00F6570F"/>
    <w:rsid w:val="00F7178B"/>
    <w:rsid w:val="00F7534E"/>
    <w:rsid w:val="00F86028"/>
    <w:rsid w:val="00F93EDF"/>
    <w:rsid w:val="00F9613B"/>
    <w:rsid w:val="00F96A01"/>
    <w:rsid w:val="00FA1802"/>
    <w:rsid w:val="00FA21D0"/>
    <w:rsid w:val="00FA4137"/>
    <w:rsid w:val="00FA4D90"/>
    <w:rsid w:val="00FA5C12"/>
    <w:rsid w:val="00FA5F5F"/>
    <w:rsid w:val="00FA6EFE"/>
    <w:rsid w:val="00FB1863"/>
    <w:rsid w:val="00FB730C"/>
    <w:rsid w:val="00FC2695"/>
    <w:rsid w:val="00FC3E03"/>
    <w:rsid w:val="00FC3FC1"/>
    <w:rsid w:val="00FC4FC2"/>
    <w:rsid w:val="00FE347E"/>
    <w:rsid w:val="00FE51FE"/>
    <w:rsid w:val="00FE5D46"/>
    <w:rsid w:val="02289709"/>
    <w:rsid w:val="022F733B"/>
    <w:rsid w:val="033B3418"/>
    <w:rsid w:val="045A1ACD"/>
    <w:rsid w:val="049991CE"/>
    <w:rsid w:val="057D6A36"/>
    <w:rsid w:val="05E77361"/>
    <w:rsid w:val="07906C00"/>
    <w:rsid w:val="080D2C9F"/>
    <w:rsid w:val="088F69AD"/>
    <w:rsid w:val="0A534F35"/>
    <w:rsid w:val="0AB4B732"/>
    <w:rsid w:val="0B11E4BF"/>
    <w:rsid w:val="0B1BBD81"/>
    <w:rsid w:val="0C55C957"/>
    <w:rsid w:val="0D4175FC"/>
    <w:rsid w:val="0D865E73"/>
    <w:rsid w:val="0D8ABEFC"/>
    <w:rsid w:val="0D926756"/>
    <w:rsid w:val="0E2A2F2B"/>
    <w:rsid w:val="103E734E"/>
    <w:rsid w:val="109E4B24"/>
    <w:rsid w:val="115546FF"/>
    <w:rsid w:val="13BFA253"/>
    <w:rsid w:val="140C4B10"/>
    <w:rsid w:val="141C918B"/>
    <w:rsid w:val="16FC29CA"/>
    <w:rsid w:val="1732E254"/>
    <w:rsid w:val="178FDFED"/>
    <w:rsid w:val="1893A044"/>
    <w:rsid w:val="19059443"/>
    <w:rsid w:val="1940C98B"/>
    <w:rsid w:val="1C15EA2F"/>
    <w:rsid w:val="1D7DE780"/>
    <w:rsid w:val="1DB4E96E"/>
    <w:rsid w:val="21F37738"/>
    <w:rsid w:val="2218A5A6"/>
    <w:rsid w:val="23774D7F"/>
    <w:rsid w:val="24AE7EFA"/>
    <w:rsid w:val="259F523D"/>
    <w:rsid w:val="25D04E07"/>
    <w:rsid w:val="263AC2F5"/>
    <w:rsid w:val="26B8CE29"/>
    <w:rsid w:val="26D59D7C"/>
    <w:rsid w:val="27464509"/>
    <w:rsid w:val="2852499C"/>
    <w:rsid w:val="29152431"/>
    <w:rsid w:val="29505F6F"/>
    <w:rsid w:val="29977862"/>
    <w:rsid w:val="2AAF8C98"/>
    <w:rsid w:val="2B78313F"/>
    <w:rsid w:val="2C146EBF"/>
    <w:rsid w:val="2CE70EED"/>
    <w:rsid w:val="2D13C239"/>
    <w:rsid w:val="2D239220"/>
    <w:rsid w:val="2D4D63E7"/>
    <w:rsid w:val="2E027E85"/>
    <w:rsid w:val="2E15A16C"/>
    <w:rsid w:val="2E1DED2B"/>
    <w:rsid w:val="2F331AB3"/>
    <w:rsid w:val="2F65CCD8"/>
    <w:rsid w:val="2F921101"/>
    <w:rsid w:val="2FC2BED8"/>
    <w:rsid w:val="3076340E"/>
    <w:rsid w:val="30E6F0A5"/>
    <w:rsid w:val="328C5D94"/>
    <w:rsid w:val="32A7E082"/>
    <w:rsid w:val="32D42079"/>
    <w:rsid w:val="330FE8FF"/>
    <w:rsid w:val="33A5E401"/>
    <w:rsid w:val="3422E0DD"/>
    <w:rsid w:val="344279B4"/>
    <w:rsid w:val="3468260B"/>
    <w:rsid w:val="34D0E6FD"/>
    <w:rsid w:val="359F4354"/>
    <w:rsid w:val="3704A19D"/>
    <w:rsid w:val="3729A91B"/>
    <w:rsid w:val="386FD6CC"/>
    <w:rsid w:val="3876014D"/>
    <w:rsid w:val="39554872"/>
    <w:rsid w:val="3B623DDD"/>
    <w:rsid w:val="3B923AF1"/>
    <w:rsid w:val="3C5C8528"/>
    <w:rsid w:val="3D4A887C"/>
    <w:rsid w:val="3DE19B6D"/>
    <w:rsid w:val="3FE1D7BA"/>
    <w:rsid w:val="40228493"/>
    <w:rsid w:val="40341DB0"/>
    <w:rsid w:val="40BEA7A3"/>
    <w:rsid w:val="424804CE"/>
    <w:rsid w:val="431BC97F"/>
    <w:rsid w:val="431E7AAA"/>
    <w:rsid w:val="45013417"/>
    <w:rsid w:val="47267664"/>
    <w:rsid w:val="47498444"/>
    <w:rsid w:val="47F0B005"/>
    <w:rsid w:val="48666444"/>
    <w:rsid w:val="48AD948A"/>
    <w:rsid w:val="4A5D8837"/>
    <w:rsid w:val="4B3A0368"/>
    <w:rsid w:val="4B83586F"/>
    <w:rsid w:val="4C2C7CA4"/>
    <w:rsid w:val="4C592706"/>
    <w:rsid w:val="4DDBE4EC"/>
    <w:rsid w:val="4E3D0B2B"/>
    <w:rsid w:val="4E607687"/>
    <w:rsid w:val="4E8F3E35"/>
    <w:rsid w:val="4F894E0E"/>
    <w:rsid w:val="504832ED"/>
    <w:rsid w:val="514F34A0"/>
    <w:rsid w:val="51527D7C"/>
    <w:rsid w:val="51A7D885"/>
    <w:rsid w:val="522676DF"/>
    <w:rsid w:val="529C9CC6"/>
    <w:rsid w:val="52CD9AB0"/>
    <w:rsid w:val="539C8A8B"/>
    <w:rsid w:val="53ECED80"/>
    <w:rsid w:val="53F682DD"/>
    <w:rsid w:val="54C2847E"/>
    <w:rsid w:val="57935589"/>
    <w:rsid w:val="579CCBD1"/>
    <w:rsid w:val="588BD734"/>
    <w:rsid w:val="59F14580"/>
    <w:rsid w:val="5A2CB755"/>
    <w:rsid w:val="5B321CF7"/>
    <w:rsid w:val="5D77BB32"/>
    <w:rsid w:val="5DD0BF3B"/>
    <w:rsid w:val="5E3A6C1A"/>
    <w:rsid w:val="5E6404D1"/>
    <w:rsid w:val="5E736752"/>
    <w:rsid w:val="5F7B8FE8"/>
    <w:rsid w:val="60717719"/>
    <w:rsid w:val="60A08B9C"/>
    <w:rsid w:val="610ED02B"/>
    <w:rsid w:val="611266ED"/>
    <w:rsid w:val="6290BE0F"/>
    <w:rsid w:val="62FBD39B"/>
    <w:rsid w:val="643D7604"/>
    <w:rsid w:val="64C26697"/>
    <w:rsid w:val="6529BB1D"/>
    <w:rsid w:val="65A13E90"/>
    <w:rsid w:val="6706F1ED"/>
    <w:rsid w:val="67BBE46F"/>
    <w:rsid w:val="6847FD46"/>
    <w:rsid w:val="69CCEF39"/>
    <w:rsid w:val="69DBB5D5"/>
    <w:rsid w:val="6A122D77"/>
    <w:rsid w:val="6BA6406D"/>
    <w:rsid w:val="6D9812FD"/>
    <w:rsid w:val="6E8BCEAE"/>
    <w:rsid w:val="6EFB080C"/>
    <w:rsid w:val="70261FF9"/>
    <w:rsid w:val="70C3CDE5"/>
    <w:rsid w:val="70F6BE92"/>
    <w:rsid w:val="711C5719"/>
    <w:rsid w:val="72359E6E"/>
    <w:rsid w:val="72512003"/>
    <w:rsid w:val="72765440"/>
    <w:rsid w:val="73769485"/>
    <w:rsid w:val="75A6D8E5"/>
    <w:rsid w:val="76EDEDD9"/>
    <w:rsid w:val="76FD4368"/>
    <w:rsid w:val="77418F22"/>
    <w:rsid w:val="77D3FE06"/>
    <w:rsid w:val="77E21F91"/>
    <w:rsid w:val="789E62EC"/>
    <w:rsid w:val="791A8772"/>
    <w:rsid w:val="79BBBA1F"/>
    <w:rsid w:val="7A390162"/>
    <w:rsid w:val="7A3F00BE"/>
    <w:rsid w:val="7A489EBE"/>
    <w:rsid w:val="7AE5F992"/>
    <w:rsid w:val="7C1329E6"/>
    <w:rsid w:val="7DEA0D5B"/>
    <w:rsid w:val="7E5C34B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534B4"/>
    <w:rPr>
      <w:color w:val="605E5C"/>
      <w:shd w:val="clear" w:color="auto" w:fill="E1DFDD"/>
    </w:rPr>
  </w:style>
  <w:style w:type="character" w:styleId="Testosegnaposto">
    <w:name w:val="Placeholder Text"/>
    <w:basedOn w:val="Carpredefinitoparagrafo"/>
    <w:uiPriority w:val="99"/>
    <w:semiHidden/>
    <w:rsid w:val="00A8204F"/>
    <w:rPr>
      <w:color w:val="666666"/>
    </w:rPr>
  </w:style>
  <w:style w:type="paragraph" w:styleId="Revisione">
    <w:name w:val="Revision"/>
    <w:hidden/>
    <w:uiPriority w:val="99"/>
    <w:semiHidden/>
    <w:rsid w:val="001022D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0486">
      <w:bodyDiv w:val="1"/>
      <w:marLeft w:val="0"/>
      <w:marRight w:val="0"/>
      <w:marTop w:val="0"/>
      <w:marBottom w:val="0"/>
      <w:divBdr>
        <w:top w:val="none" w:sz="0" w:space="0" w:color="auto"/>
        <w:left w:val="none" w:sz="0" w:space="0" w:color="auto"/>
        <w:bottom w:val="none" w:sz="0" w:space="0" w:color="auto"/>
        <w:right w:val="none" w:sz="0" w:space="0" w:color="auto"/>
      </w:divBdr>
    </w:div>
    <w:div w:id="298338242">
      <w:bodyDiv w:val="1"/>
      <w:marLeft w:val="0"/>
      <w:marRight w:val="0"/>
      <w:marTop w:val="0"/>
      <w:marBottom w:val="0"/>
      <w:divBdr>
        <w:top w:val="none" w:sz="0" w:space="0" w:color="auto"/>
        <w:left w:val="none" w:sz="0" w:space="0" w:color="auto"/>
        <w:bottom w:val="none" w:sz="0" w:space="0" w:color="auto"/>
        <w:right w:val="none" w:sz="0" w:space="0" w:color="auto"/>
      </w:divBdr>
      <w:divsChild>
        <w:div w:id="1120032668">
          <w:marLeft w:val="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611591158">
      <w:bodyDiv w:val="1"/>
      <w:marLeft w:val="0"/>
      <w:marRight w:val="0"/>
      <w:marTop w:val="0"/>
      <w:marBottom w:val="0"/>
      <w:divBdr>
        <w:top w:val="none" w:sz="0" w:space="0" w:color="auto"/>
        <w:left w:val="none" w:sz="0" w:space="0" w:color="auto"/>
        <w:bottom w:val="none" w:sz="0" w:space="0" w:color="auto"/>
        <w:right w:val="none" w:sz="0" w:space="0" w:color="auto"/>
      </w:divBdr>
    </w:div>
    <w:div w:id="648480712">
      <w:bodyDiv w:val="1"/>
      <w:marLeft w:val="0"/>
      <w:marRight w:val="0"/>
      <w:marTop w:val="0"/>
      <w:marBottom w:val="0"/>
      <w:divBdr>
        <w:top w:val="none" w:sz="0" w:space="0" w:color="auto"/>
        <w:left w:val="none" w:sz="0" w:space="0" w:color="auto"/>
        <w:bottom w:val="none" w:sz="0" w:space="0" w:color="auto"/>
        <w:right w:val="none" w:sz="0" w:space="0" w:color="auto"/>
      </w:divBdr>
    </w:div>
    <w:div w:id="656883030">
      <w:bodyDiv w:val="1"/>
      <w:marLeft w:val="0"/>
      <w:marRight w:val="0"/>
      <w:marTop w:val="0"/>
      <w:marBottom w:val="0"/>
      <w:divBdr>
        <w:top w:val="none" w:sz="0" w:space="0" w:color="auto"/>
        <w:left w:val="none" w:sz="0" w:space="0" w:color="auto"/>
        <w:bottom w:val="none" w:sz="0" w:space="0" w:color="auto"/>
        <w:right w:val="none" w:sz="0" w:space="0" w:color="auto"/>
      </w:divBdr>
      <w:divsChild>
        <w:div w:id="267471725">
          <w:marLeft w:val="0"/>
          <w:marRight w:val="0"/>
          <w:marTop w:val="0"/>
          <w:marBottom w:val="0"/>
          <w:divBdr>
            <w:top w:val="none" w:sz="0" w:space="0" w:color="auto"/>
            <w:left w:val="none" w:sz="0" w:space="0" w:color="auto"/>
            <w:bottom w:val="none" w:sz="0" w:space="0" w:color="auto"/>
            <w:right w:val="none" w:sz="0" w:space="0" w:color="auto"/>
          </w:divBdr>
        </w:div>
      </w:divsChild>
    </w:div>
    <w:div w:id="746154396">
      <w:bodyDiv w:val="1"/>
      <w:marLeft w:val="0"/>
      <w:marRight w:val="0"/>
      <w:marTop w:val="0"/>
      <w:marBottom w:val="0"/>
      <w:divBdr>
        <w:top w:val="none" w:sz="0" w:space="0" w:color="auto"/>
        <w:left w:val="none" w:sz="0" w:space="0" w:color="auto"/>
        <w:bottom w:val="none" w:sz="0" w:space="0" w:color="auto"/>
        <w:right w:val="none" w:sz="0" w:space="0" w:color="auto"/>
      </w:divBdr>
    </w:div>
    <w:div w:id="7698563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136046">
      <w:bodyDiv w:val="1"/>
      <w:marLeft w:val="0"/>
      <w:marRight w:val="0"/>
      <w:marTop w:val="0"/>
      <w:marBottom w:val="0"/>
      <w:divBdr>
        <w:top w:val="none" w:sz="0" w:space="0" w:color="auto"/>
        <w:left w:val="none" w:sz="0" w:space="0" w:color="auto"/>
        <w:bottom w:val="none" w:sz="0" w:space="0" w:color="auto"/>
        <w:right w:val="none" w:sz="0" w:space="0" w:color="auto"/>
      </w:divBdr>
      <w:divsChild>
        <w:div w:id="2052000999">
          <w:marLeft w:val="0"/>
          <w:marRight w:val="0"/>
          <w:marTop w:val="0"/>
          <w:marBottom w:val="0"/>
          <w:divBdr>
            <w:top w:val="none" w:sz="0" w:space="0" w:color="auto"/>
            <w:left w:val="none" w:sz="0" w:space="0" w:color="auto"/>
            <w:bottom w:val="none" w:sz="0" w:space="0" w:color="auto"/>
            <w:right w:val="none" w:sz="0" w:space="0" w:color="auto"/>
          </w:divBdr>
        </w:div>
        <w:div w:id="255485620">
          <w:marLeft w:val="0"/>
          <w:marRight w:val="0"/>
          <w:marTop w:val="0"/>
          <w:marBottom w:val="0"/>
          <w:divBdr>
            <w:top w:val="none" w:sz="0" w:space="0" w:color="auto"/>
            <w:left w:val="none" w:sz="0" w:space="0" w:color="auto"/>
            <w:bottom w:val="none" w:sz="0" w:space="0" w:color="auto"/>
            <w:right w:val="none" w:sz="0" w:space="0" w:color="auto"/>
          </w:divBdr>
        </w:div>
        <w:div w:id="606887922">
          <w:marLeft w:val="0"/>
          <w:marRight w:val="0"/>
          <w:marTop w:val="0"/>
          <w:marBottom w:val="0"/>
          <w:divBdr>
            <w:top w:val="none" w:sz="0" w:space="0" w:color="auto"/>
            <w:left w:val="none" w:sz="0" w:space="0" w:color="auto"/>
            <w:bottom w:val="none" w:sz="0" w:space="0" w:color="auto"/>
            <w:right w:val="none" w:sz="0" w:space="0" w:color="auto"/>
          </w:divBdr>
        </w:div>
        <w:div w:id="2046516381">
          <w:marLeft w:val="0"/>
          <w:marRight w:val="0"/>
          <w:marTop w:val="0"/>
          <w:marBottom w:val="0"/>
          <w:divBdr>
            <w:top w:val="none" w:sz="0" w:space="0" w:color="auto"/>
            <w:left w:val="none" w:sz="0" w:space="0" w:color="auto"/>
            <w:bottom w:val="none" w:sz="0" w:space="0" w:color="auto"/>
            <w:right w:val="none" w:sz="0" w:space="0" w:color="auto"/>
          </w:divBdr>
        </w:div>
        <w:div w:id="597955217">
          <w:marLeft w:val="0"/>
          <w:marRight w:val="0"/>
          <w:marTop w:val="0"/>
          <w:marBottom w:val="0"/>
          <w:divBdr>
            <w:top w:val="none" w:sz="0" w:space="0" w:color="auto"/>
            <w:left w:val="none" w:sz="0" w:space="0" w:color="auto"/>
            <w:bottom w:val="none" w:sz="0" w:space="0" w:color="auto"/>
            <w:right w:val="none" w:sz="0" w:space="0" w:color="auto"/>
          </w:divBdr>
        </w:div>
        <w:div w:id="1315720453">
          <w:marLeft w:val="0"/>
          <w:marRight w:val="0"/>
          <w:marTop w:val="0"/>
          <w:marBottom w:val="0"/>
          <w:divBdr>
            <w:top w:val="none" w:sz="0" w:space="0" w:color="auto"/>
            <w:left w:val="none" w:sz="0" w:space="0" w:color="auto"/>
            <w:bottom w:val="none" w:sz="0" w:space="0" w:color="auto"/>
            <w:right w:val="none" w:sz="0" w:space="0" w:color="auto"/>
          </w:divBdr>
        </w:div>
        <w:div w:id="173488603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01282275">
      <w:bodyDiv w:val="1"/>
      <w:marLeft w:val="0"/>
      <w:marRight w:val="0"/>
      <w:marTop w:val="0"/>
      <w:marBottom w:val="0"/>
      <w:divBdr>
        <w:top w:val="none" w:sz="0" w:space="0" w:color="auto"/>
        <w:left w:val="none" w:sz="0" w:space="0" w:color="auto"/>
        <w:bottom w:val="none" w:sz="0" w:space="0" w:color="auto"/>
        <w:right w:val="none" w:sz="0" w:space="0" w:color="auto"/>
      </w:divBdr>
      <w:divsChild>
        <w:div w:id="447970778">
          <w:marLeft w:val="0"/>
          <w:marRight w:val="0"/>
          <w:marTop w:val="0"/>
          <w:marBottom w:val="0"/>
          <w:divBdr>
            <w:top w:val="none" w:sz="0" w:space="0" w:color="auto"/>
            <w:left w:val="none" w:sz="0" w:space="0" w:color="auto"/>
            <w:bottom w:val="none" w:sz="0" w:space="0" w:color="auto"/>
            <w:right w:val="none" w:sz="0" w:space="0" w:color="auto"/>
          </w:divBdr>
        </w:div>
        <w:div w:id="1372993368">
          <w:marLeft w:val="0"/>
          <w:marRight w:val="0"/>
          <w:marTop w:val="0"/>
          <w:marBottom w:val="0"/>
          <w:divBdr>
            <w:top w:val="none" w:sz="0" w:space="0" w:color="auto"/>
            <w:left w:val="none" w:sz="0" w:space="0" w:color="auto"/>
            <w:bottom w:val="none" w:sz="0" w:space="0" w:color="auto"/>
            <w:right w:val="none" w:sz="0" w:space="0" w:color="auto"/>
          </w:divBdr>
        </w:div>
        <w:div w:id="833499121">
          <w:marLeft w:val="0"/>
          <w:marRight w:val="0"/>
          <w:marTop w:val="0"/>
          <w:marBottom w:val="0"/>
          <w:divBdr>
            <w:top w:val="none" w:sz="0" w:space="0" w:color="auto"/>
            <w:left w:val="none" w:sz="0" w:space="0" w:color="auto"/>
            <w:bottom w:val="none" w:sz="0" w:space="0" w:color="auto"/>
            <w:right w:val="none" w:sz="0" w:space="0" w:color="auto"/>
          </w:divBdr>
        </w:div>
        <w:div w:id="1349023111">
          <w:marLeft w:val="0"/>
          <w:marRight w:val="0"/>
          <w:marTop w:val="0"/>
          <w:marBottom w:val="0"/>
          <w:divBdr>
            <w:top w:val="none" w:sz="0" w:space="0" w:color="auto"/>
            <w:left w:val="none" w:sz="0" w:space="0" w:color="auto"/>
            <w:bottom w:val="none" w:sz="0" w:space="0" w:color="auto"/>
            <w:right w:val="none" w:sz="0" w:space="0" w:color="auto"/>
          </w:divBdr>
        </w:div>
        <w:div w:id="1874804822">
          <w:marLeft w:val="0"/>
          <w:marRight w:val="0"/>
          <w:marTop w:val="0"/>
          <w:marBottom w:val="0"/>
          <w:divBdr>
            <w:top w:val="none" w:sz="0" w:space="0" w:color="auto"/>
            <w:left w:val="none" w:sz="0" w:space="0" w:color="auto"/>
            <w:bottom w:val="none" w:sz="0" w:space="0" w:color="auto"/>
            <w:right w:val="none" w:sz="0" w:space="0" w:color="auto"/>
          </w:divBdr>
        </w:div>
        <w:div w:id="846939152">
          <w:marLeft w:val="0"/>
          <w:marRight w:val="0"/>
          <w:marTop w:val="0"/>
          <w:marBottom w:val="0"/>
          <w:divBdr>
            <w:top w:val="none" w:sz="0" w:space="0" w:color="auto"/>
            <w:left w:val="none" w:sz="0" w:space="0" w:color="auto"/>
            <w:bottom w:val="none" w:sz="0" w:space="0" w:color="auto"/>
            <w:right w:val="none" w:sz="0" w:space="0" w:color="auto"/>
          </w:divBdr>
        </w:div>
        <w:div w:id="750539865">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bassani@unicat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b94f7d74-81ff-44a9-b588-6682acc85779}" enabled="0" method="" siteId="{b94f7d74-81ff-44a9-b588-6682acc85779}"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3068</Words>
  <Characters>18613</Characters>
  <Application>Microsoft Office Word</Application>
  <DocSecurity>0</DocSecurity>
  <Lines>338</Lines>
  <Paragraphs>147</Paragraphs>
  <ScaleCrop>false</ScaleCrop>
  <Company>Dipartimento CMIC - Politecnico di Milano</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Bassani Andrea (andrea.bassani)</cp:lastModifiedBy>
  <cp:revision>5</cp:revision>
  <cp:lastPrinted>2015-05-12T18:31:00Z</cp:lastPrinted>
  <dcterms:created xsi:type="dcterms:W3CDTF">2025-05-21T22:04:00Z</dcterms:created>
  <dcterms:modified xsi:type="dcterms:W3CDTF">2025-08-29T12:05:00Z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1685130e-13ac-48cd-8355-29ceb45db83f</vt:lpwstr>
  </property>
</Properties>
</file>