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807552" w:rsidRPr="00B57B36" w14:paraId="678DCF84" w14:textId="77777777" w:rsidTr="00F6176E">
        <w:trPr>
          <w:trHeight w:val="852"/>
          <w:jc w:val="center"/>
        </w:trPr>
        <w:tc>
          <w:tcPr>
            <w:tcW w:w="6946" w:type="dxa"/>
            <w:vMerge w:val="restart"/>
            <w:tcBorders>
              <w:right w:val="single" w:sz="4" w:space="0" w:color="auto"/>
            </w:tcBorders>
          </w:tcPr>
          <w:p w14:paraId="6A11AB73" w14:textId="77777777" w:rsidR="00807552" w:rsidRPr="00B57B36" w:rsidRDefault="00807552" w:rsidP="00F6176E">
            <w:pPr>
              <w:tabs>
                <w:tab w:val="left" w:pos="-108"/>
              </w:tabs>
              <w:ind w:left="-108"/>
              <w:rPr>
                <w:rFonts w:cs="Arial"/>
                <w:b/>
                <w:bCs/>
                <w:i/>
                <w:iCs/>
                <w:color w:val="000066"/>
                <w:sz w:val="12"/>
                <w:szCs w:val="12"/>
                <w:lang w:eastAsia="it-IT"/>
              </w:rPr>
            </w:pPr>
            <w:bookmarkStart w:id="0" w:name="_Hlk145068772"/>
            <w:bookmarkStart w:id="1" w:name="_Hlk197687607"/>
            <w:r w:rsidRPr="00B57B36">
              <w:rPr>
                <w:rFonts w:ascii="AdvP6960" w:hAnsi="AdvP6960" w:cs="AdvP6960"/>
                <w:noProof/>
                <w:color w:val="241F20"/>
                <w:szCs w:val="18"/>
                <w:lang w:val="it-IT" w:eastAsia="it-IT"/>
              </w:rPr>
              <w:drawing>
                <wp:inline distT="0" distB="0" distL="0" distR="0" wp14:anchorId="10D6D7B3" wp14:editId="1D1D97B1">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lang w:eastAsia="it-IT"/>
              </w:rPr>
              <w:t>CHEMICAL ENGINEERING</w:t>
            </w:r>
            <w:r w:rsidRPr="00B57B36">
              <w:rPr>
                <w:rFonts w:cs="Arial"/>
                <w:b/>
                <w:bCs/>
                <w:i/>
                <w:iCs/>
                <w:color w:val="0033FF"/>
                <w:lang w:eastAsia="it-IT"/>
              </w:rPr>
              <w:t xml:space="preserve"> </w:t>
            </w:r>
            <w:r w:rsidRPr="00B57B36">
              <w:rPr>
                <w:rFonts w:cs="Arial"/>
                <w:b/>
                <w:bCs/>
                <w:i/>
                <w:iCs/>
                <w:color w:val="666666"/>
                <w:lang w:eastAsia="it-IT"/>
              </w:rPr>
              <w:t>TRANSACTIONS</w:t>
            </w:r>
            <w:r w:rsidRPr="00B57B36">
              <w:rPr>
                <w:color w:val="333333"/>
                <w:lang w:eastAsia="it-IT"/>
              </w:rPr>
              <w:t xml:space="preserve"> </w:t>
            </w:r>
          </w:p>
          <w:p w14:paraId="42EB5968" w14:textId="77777777" w:rsidR="00807552" w:rsidRPr="00B57B36" w:rsidRDefault="00807552" w:rsidP="00F6176E">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Pr>
                <w:rFonts w:cs="Arial"/>
                <w:b/>
                <w:bCs/>
                <w:i/>
                <w:iCs/>
                <w:color w:val="000066"/>
                <w:sz w:val="22"/>
                <w:szCs w:val="22"/>
                <w:lang w:eastAsia="it-IT"/>
              </w:rPr>
              <w:t xml:space="preserve"> xxx, 2025</w:t>
            </w:r>
          </w:p>
        </w:tc>
        <w:tc>
          <w:tcPr>
            <w:tcW w:w="1843" w:type="dxa"/>
            <w:tcBorders>
              <w:left w:val="single" w:sz="4" w:space="0" w:color="auto"/>
              <w:bottom w:val="nil"/>
              <w:right w:val="single" w:sz="4" w:space="0" w:color="auto"/>
            </w:tcBorders>
          </w:tcPr>
          <w:p w14:paraId="59D1CF09" w14:textId="77777777" w:rsidR="00807552" w:rsidRPr="006B1B4D" w:rsidRDefault="00807552" w:rsidP="00F6176E">
            <w:pPr>
              <w:tabs>
                <w:tab w:val="right" w:pos="7100"/>
              </w:tabs>
              <w:spacing w:after="0" w:line="140" w:lineRule="atLeast"/>
              <w:jc w:val="right"/>
              <w:rPr>
                <w:rFonts w:ascii="Arial" w:eastAsia="Times New Roman" w:hAnsi="Arial" w:cs="Arial"/>
                <w:kern w:val="0"/>
                <w:sz w:val="14"/>
                <w:szCs w:val="14"/>
                <w14:ligatures w14:val="none"/>
              </w:rPr>
            </w:pPr>
            <w:r w:rsidRPr="006B1B4D">
              <w:rPr>
                <w:rFonts w:ascii="Arial" w:eastAsia="Times New Roman" w:hAnsi="Arial" w:cs="Arial"/>
                <w:kern w:val="0"/>
                <w:sz w:val="14"/>
                <w:szCs w:val="14"/>
                <w14:ligatures w14:val="none"/>
              </w:rPr>
              <w:t>A publication of</w:t>
            </w:r>
          </w:p>
          <w:p w14:paraId="61006775" w14:textId="77777777" w:rsidR="00807552" w:rsidRPr="006B1B4D" w:rsidRDefault="00807552" w:rsidP="00F6176E">
            <w:pPr>
              <w:tabs>
                <w:tab w:val="right" w:pos="7100"/>
              </w:tabs>
              <w:spacing w:after="0"/>
              <w:jc w:val="right"/>
              <w:rPr>
                <w:rFonts w:ascii="Arial" w:eastAsia="Times New Roman" w:hAnsi="Arial" w:cs="Arial"/>
                <w:kern w:val="0"/>
                <w:sz w:val="14"/>
                <w:szCs w:val="14"/>
                <w14:ligatures w14:val="none"/>
              </w:rPr>
            </w:pPr>
            <w:r w:rsidRPr="006B1B4D">
              <w:rPr>
                <w:rFonts w:ascii="Arial" w:eastAsia="Times New Roman" w:hAnsi="Arial" w:cs="Arial"/>
                <w:noProof/>
                <w:kern w:val="0"/>
                <w:sz w:val="14"/>
                <w:szCs w:val="14"/>
                <w14:ligatures w14:val="none"/>
              </w:rPr>
              <w:drawing>
                <wp:inline distT="0" distB="0" distL="0" distR="0" wp14:anchorId="1351147B" wp14:editId="288B687C">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807552" w:rsidRPr="00B57B36" w14:paraId="7BD543C2" w14:textId="77777777" w:rsidTr="00F6176E">
        <w:trPr>
          <w:trHeight w:val="567"/>
          <w:jc w:val="center"/>
        </w:trPr>
        <w:tc>
          <w:tcPr>
            <w:tcW w:w="6946" w:type="dxa"/>
            <w:vMerge/>
            <w:tcBorders>
              <w:right w:val="single" w:sz="4" w:space="0" w:color="auto"/>
            </w:tcBorders>
          </w:tcPr>
          <w:p w14:paraId="465ED6E4" w14:textId="77777777" w:rsidR="00807552" w:rsidRPr="00B57B36" w:rsidRDefault="00807552" w:rsidP="00F6176E">
            <w:pPr>
              <w:tabs>
                <w:tab w:val="left" w:pos="-108"/>
              </w:tabs>
            </w:pPr>
          </w:p>
        </w:tc>
        <w:tc>
          <w:tcPr>
            <w:tcW w:w="1843" w:type="dxa"/>
            <w:tcBorders>
              <w:left w:val="single" w:sz="4" w:space="0" w:color="auto"/>
              <w:bottom w:val="nil"/>
              <w:right w:val="single" w:sz="4" w:space="0" w:color="auto"/>
            </w:tcBorders>
          </w:tcPr>
          <w:p w14:paraId="3F66BDCC" w14:textId="77777777" w:rsidR="00807552" w:rsidRPr="006B1B4D" w:rsidRDefault="00807552" w:rsidP="00F6176E">
            <w:pPr>
              <w:tabs>
                <w:tab w:val="right" w:pos="7100"/>
              </w:tabs>
              <w:spacing w:after="0" w:line="140" w:lineRule="atLeast"/>
              <w:jc w:val="right"/>
              <w:rPr>
                <w:rFonts w:ascii="Arial" w:eastAsia="Times New Roman" w:hAnsi="Arial" w:cs="Arial"/>
                <w:kern w:val="0"/>
                <w:sz w:val="14"/>
                <w:szCs w:val="14"/>
                <w14:ligatures w14:val="none"/>
              </w:rPr>
            </w:pPr>
            <w:r w:rsidRPr="006B1B4D">
              <w:rPr>
                <w:rFonts w:ascii="Arial" w:eastAsia="Times New Roman" w:hAnsi="Arial" w:cs="Arial"/>
                <w:kern w:val="0"/>
                <w:sz w:val="14"/>
                <w:szCs w:val="14"/>
                <w14:ligatures w14:val="none"/>
              </w:rPr>
              <w:t>The Italian Association</w:t>
            </w:r>
          </w:p>
          <w:p w14:paraId="638C1433" w14:textId="77777777" w:rsidR="00807552" w:rsidRPr="006B1B4D" w:rsidRDefault="00807552" w:rsidP="00F6176E">
            <w:pPr>
              <w:tabs>
                <w:tab w:val="right" w:pos="7100"/>
              </w:tabs>
              <w:spacing w:after="0" w:line="140" w:lineRule="atLeast"/>
              <w:jc w:val="right"/>
              <w:rPr>
                <w:rFonts w:ascii="Arial" w:eastAsia="Times New Roman" w:hAnsi="Arial" w:cs="Arial"/>
                <w:kern w:val="0"/>
                <w:sz w:val="14"/>
                <w:szCs w:val="14"/>
                <w14:ligatures w14:val="none"/>
              </w:rPr>
            </w:pPr>
            <w:r w:rsidRPr="006B1B4D">
              <w:rPr>
                <w:rFonts w:ascii="Arial" w:eastAsia="Times New Roman" w:hAnsi="Arial" w:cs="Arial"/>
                <w:kern w:val="0"/>
                <w:sz w:val="14"/>
                <w:szCs w:val="14"/>
                <w14:ligatures w14:val="none"/>
              </w:rPr>
              <w:t>of Chemical Engineering</w:t>
            </w:r>
          </w:p>
          <w:p w14:paraId="0FEFC13F" w14:textId="77777777" w:rsidR="00807552" w:rsidRPr="006B1B4D" w:rsidRDefault="00807552" w:rsidP="00F6176E">
            <w:pPr>
              <w:tabs>
                <w:tab w:val="right" w:pos="7100"/>
              </w:tabs>
              <w:spacing w:after="0" w:line="140" w:lineRule="atLeast"/>
              <w:jc w:val="right"/>
              <w:rPr>
                <w:rFonts w:ascii="Arial" w:eastAsia="Times New Roman" w:hAnsi="Arial" w:cs="Arial"/>
                <w:kern w:val="0"/>
                <w:sz w:val="14"/>
                <w:szCs w:val="14"/>
                <w14:ligatures w14:val="none"/>
              </w:rPr>
            </w:pPr>
            <w:r w:rsidRPr="006B1B4D">
              <w:rPr>
                <w:rFonts w:ascii="Arial" w:eastAsia="Times New Roman" w:hAnsi="Arial" w:cs="Arial"/>
                <w:kern w:val="0"/>
                <w:sz w:val="14"/>
                <w:szCs w:val="14"/>
                <w14:ligatures w14:val="none"/>
              </w:rPr>
              <w:t>Online atwww.cetjournal.it</w:t>
            </w:r>
          </w:p>
        </w:tc>
      </w:tr>
      <w:tr w:rsidR="00807552" w:rsidRPr="00B57B36" w14:paraId="019EF0A7" w14:textId="77777777" w:rsidTr="00F6176E">
        <w:trPr>
          <w:trHeight w:val="68"/>
          <w:jc w:val="center"/>
        </w:trPr>
        <w:tc>
          <w:tcPr>
            <w:tcW w:w="8789" w:type="dxa"/>
            <w:gridSpan w:val="2"/>
          </w:tcPr>
          <w:p w14:paraId="3F955A52" w14:textId="77777777" w:rsidR="00807552" w:rsidRPr="008832AA" w:rsidRDefault="00807552" w:rsidP="00F6176E">
            <w:pPr>
              <w:spacing w:after="0"/>
              <w:ind w:left="-107"/>
              <w:outlineLvl w:val="2"/>
              <w:rPr>
                <w:rFonts w:ascii="Aptos" w:hAnsi="Aptos" w:cs="Aptos"/>
                <w:sz w:val="22"/>
                <w:szCs w:val="22"/>
                <w:lang w:val="it-IT"/>
              </w:rPr>
            </w:pPr>
            <w:r w:rsidRPr="007D610D">
              <w:rPr>
                <w:rFonts w:ascii="Tahoma" w:hAnsi="Tahoma" w:cs="Tahoma"/>
                <w:iCs/>
                <w:color w:val="333333"/>
                <w:sz w:val="14"/>
                <w:szCs w:val="14"/>
                <w:lang w:val="it-IT" w:eastAsia="it-IT"/>
              </w:rPr>
              <w:t>Guest Editors:</w:t>
            </w:r>
            <w:r w:rsidRPr="008832AA">
              <w:rPr>
                <w:rFonts w:ascii="Aptos" w:hAnsi="Aptos" w:cs="Aptos"/>
                <w:sz w:val="22"/>
                <w:szCs w:val="22"/>
                <w:lang w:val="it-IT"/>
              </w:rPr>
              <w:t xml:space="preserve"> </w:t>
            </w:r>
            <w:r w:rsidRPr="008832AA">
              <w:rPr>
                <w:rFonts w:ascii="Tahoma" w:hAnsi="Tahoma" w:cs="Tahoma"/>
                <w:sz w:val="14"/>
                <w:szCs w:val="14"/>
                <w:lang w:val="it-IT"/>
              </w:rPr>
              <w:t>David Bogle, Flavio Manenti, Piero Salatino</w:t>
            </w:r>
          </w:p>
          <w:p w14:paraId="5FB6C48B" w14:textId="77777777" w:rsidR="00807552" w:rsidRPr="00B57B36" w:rsidRDefault="00807552" w:rsidP="00F6176E">
            <w:pPr>
              <w:tabs>
                <w:tab w:val="right" w:pos="7100"/>
              </w:tabs>
              <w:spacing w:after="0" w:line="264" w:lineRule="auto"/>
              <w:ind w:left="-107"/>
              <w:outlineLvl w:val="2"/>
            </w:pPr>
            <w:r>
              <w:rPr>
                <w:rFonts w:ascii="Tahoma" w:hAnsi="Tahoma" w:cs="Tahoma"/>
                <w:iCs/>
                <w:color w:val="333333"/>
                <w:sz w:val="14"/>
                <w:szCs w:val="14"/>
                <w:lang w:eastAsia="it-IT"/>
              </w:rPr>
              <w:t>Copyright © 2025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9</w:t>
            </w:r>
            <w:r w:rsidRPr="000562A9">
              <w:rPr>
                <w:rFonts w:ascii="Tahoma" w:hAnsi="Tahoma" w:cs="Tahoma"/>
                <w:sz w:val="14"/>
                <w:szCs w:val="14"/>
              </w:rPr>
              <w:t>-</w:t>
            </w:r>
            <w:r>
              <w:rPr>
                <w:rFonts w:ascii="Tahoma" w:hAnsi="Tahoma" w:cs="Tahoma"/>
                <w:sz w:val="14"/>
                <w:szCs w:val="14"/>
              </w:rPr>
              <w:t>12</w:t>
            </w:r>
            <w:r w:rsidRPr="000562A9">
              <w:rPr>
                <w:rFonts w:ascii="Tahoma" w:hAnsi="Tahoma" w:cs="Tahoma"/>
                <w:sz w:val="14"/>
                <w:szCs w:val="14"/>
              </w:rPr>
              <w:t>-</w:t>
            </w:r>
            <w:r>
              <w:rPr>
                <w:rFonts w:ascii="Tahoma" w:hAnsi="Tahoma" w:cs="Tahoma"/>
                <w:sz w:val="14"/>
                <w:szCs w:val="14"/>
              </w:rPr>
              <w:t>81206-21</w:t>
            </w:r>
            <w:r w:rsidRPr="003904D3">
              <w:rPr>
                <w:rFonts w:ascii="Tahoma" w:hAnsi="Tahoma" w:cs="Tahoma"/>
                <w:sz w:val="14"/>
                <w:szCs w:val="14"/>
              </w:rPr>
              <w:t>-</w:t>
            </w:r>
            <w:r>
              <w:rPr>
                <w:rFonts w:ascii="Tahoma" w:hAnsi="Tahoma" w:cs="Tahoma"/>
                <w:sz w:val="14"/>
                <w:szCs w:val="14"/>
              </w:rPr>
              <w:t>2</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4982D636" w14:textId="77777777" w:rsidR="00807552" w:rsidRDefault="00807552" w:rsidP="00807552">
      <w:pPr>
        <w:pStyle w:val="CETAuthors"/>
        <w:spacing w:before="120" w:line="240" w:lineRule="auto"/>
        <w:rPr>
          <w:sz w:val="32"/>
          <w:szCs w:val="32"/>
        </w:rPr>
      </w:pPr>
      <w:r w:rsidRPr="009A509D">
        <w:rPr>
          <w:sz w:val="32"/>
          <w:szCs w:val="32"/>
        </w:rPr>
        <w:t>Optimization of Catalytic Methane Oxidation Using Hybrid Gaussian Process and Fisher Information-Based Experimental Design Strategies</w:t>
      </w:r>
    </w:p>
    <w:p w14:paraId="3B60C184" w14:textId="77777777" w:rsidR="00807552" w:rsidRPr="00B57B36" w:rsidRDefault="00807552" w:rsidP="00807552">
      <w:pPr>
        <w:pStyle w:val="CETAuthors"/>
        <w:spacing w:after="0" w:line="240" w:lineRule="auto"/>
      </w:pPr>
      <w:r>
        <w:t>Michael Aku, Solomon Gajere Bawa, Ye Seol Lee, Federico Galvanin</w:t>
      </w:r>
      <w:r w:rsidRPr="00B57B36">
        <w:t>*</w:t>
      </w:r>
    </w:p>
    <w:p w14:paraId="09ECB97A" w14:textId="77777777" w:rsidR="00807552" w:rsidRPr="00B57B36" w:rsidRDefault="00807552" w:rsidP="00807552">
      <w:pPr>
        <w:pStyle w:val="CETAddress"/>
      </w:pPr>
      <w:r>
        <w:t>Department of Chemical Engineering, University College London.</w:t>
      </w:r>
    </w:p>
    <w:p w14:paraId="59942C99" w14:textId="77777777" w:rsidR="00807552" w:rsidRPr="00B236FF" w:rsidRDefault="00807552" w:rsidP="00807552">
      <w:pPr>
        <w:pStyle w:val="CETemail"/>
        <w:spacing w:after="0"/>
      </w:pPr>
      <w:hyperlink r:id="rId7" w:history="1">
        <w:r w:rsidRPr="00A13438">
          <w:rPr>
            <w:rStyle w:val="Hyperlink"/>
          </w:rPr>
          <w:t>f.galvanin@ucl.ac.uk</w:t>
        </w:r>
      </w:hyperlink>
    </w:p>
    <w:p w14:paraId="247FDB07" w14:textId="77777777" w:rsidR="00807552" w:rsidRDefault="00807552" w:rsidP="00807552">
      <w:pPr>
        <w:pStyle w:val="CETBodytext"/>
        <w:rPr>
          <w:b/>
        </w:rPr>
      </w:pPr>
      <w:r w:rsidRPr="00A542E4">
        <w:t xml:space="preserve">Gaussian Process (GP) modelling has gained momentum as a powerful </w:t>
      </w:r>
      <w:r>
        <w:t xml:space="preserve">data-driven </w:t>
      </w:r>
      <w:r w:rsidRPr="00A542E4">
        <w:t>technique for effectively modelling and optimizing complex reactor systems due to its ability to predict nonlinear behaviours and quantify predicti</w:t>
      </w:r>
      <w:r>
        <w:t>on</w:t>
      </w:r>
      <w:r w:rsidRPr="00A542E4">
        <w:t xml:space="preserve"> uncertainty. </w:t>
      </w:r>
      <w:r>
        <w:t>In</w:t>
      </w:r>
      <w:r w:rsidRPr="00A542E4">
        <w:t xml:space="preserve"> </w:t>
      </w:r>
      <w:r>
        <w:t xml:space="preserve">the context of optimal experimental design, </w:t>
      </w:r>
      <w:r w:rsidRPr="00A542E4">
        <w:t xml:space="preserve">Fisher Information Matrix (FIM) is a common metric used to quantify how sensitive the response of a </w:t>
      </w:r>
      <w:r>
        <w:t xml:space="preserve">reaction </w:t>
      </w:r>
      <w:r w:rsidRPr="00A542E4">
        <w:t xml:space="preserve">system is with respect to its kinetic model </w:t>
      </w:r>
      <w:r>
        <w:t xml:space="preserve">parameters </w:t>
      </w:r>
      <w:r w:rsidRPr="00A542E4">
        <w:t xml:space="preserve">and to quantify the prediction uncertainty in mechanistic models. </w:t>
      </w:r>
      <w:r>
        <w:t>The</w:t>
      </w:r>
      <w:r w:rsidRPr="00A542E4">
        <w:t xml:space="preserve"> focus of this research is to understand how key performance indicators (KPIs) of </w:t>
      </w:r>
      <w:r>
        <w:t>a reaction</w:t>
      </w:r>
      <w:r w:rsidRPr="00A542E4">
        <w:t xml:space="preserve"> system are influenced by the information content of the experimental design space as quantified by</w:t>
      </w:r>
      <w:r>
        <w:t xml:space="preserve"> </w:t>
      </w:r>
      <w:r w:rsidRPr="00A542E4">
        <w:t>FIM</w:t>
      </w:r>
      <w:r>
        <w:t xml:space="preserve"> metrics</w:t>
      </w:r>
      <w:r w:rsidRPr="00A542E4">
        <w:t xml:space="preserve">. To achieve this, a </w:t>
      </w:r>
      <w:r>
        <w:t xml:space="preserve">hybrid </w:t>
      </w:r>
      <w:r w:rsidRPr="00A542E4">
        <w:t>technique</w:t>
      </w:r>
      <w:r>
        <w:t xml:space="preserve"> that combines </w:t>
      </w:r>
      <w:r w:rsidRPr="00A542E4">
        <w:t>mechanistic</w:t>
      </w:r>
      <w:r>
        <w:t xml:space="preserve"> modelling with</w:t>
      </w:r>
      <w:r w:rsidRPr="00A542E4">
        <w:t xml:space="preserve"> data-driven</w:t>
      </w:r>
      <w:r>
        <w:t xml:space="preserve"> GP modelling was developed, where a first GP (GP1) is used to map the </w:t>
      </w:r>
      <w:r w:rsidRPr="00A542E4">
        <w:t>relationship between the FIM and KPIs</w:t>
      </w:r>
      <w:r>
        <w:t xml:space="preserve"> and a second GP (GP2) is used to model the relationship between operating conditions and FIM using actual lab data.  The approach was tested on a case study of complete methane oxidation, showing a clear positive correlation between high values of FIM metric and high conversion of reactant – the main KPI considered in this study.</w:t>
      </w:r>
    </w:p>
    <w:p w14:paraId="58024F2B" w14:textId="77777777" w:rsidR="00807552" w:rsidRPr="009542CE" w:rsidRDefault="00807552" w:rsidP="00807552">
      <w:pPr>
        <w:pStyle w:val="CETHeading1"/>
        <w:spacing w:before="0"/>
        <w:rPr>
          <w:lang w:val="en-GB"/>
        </w:rPr>
      </w:pPr>
      <w:r w:rsidRPr="009542CE">
        <w:rPr>
          <w:b w:val="0"/>
          <w:lang w:val="en-GB"/>
        </w:rPr>
        <w:t>1.</w:t>
      </w:r>
      <w:r>
        <w:rPr>
          <w:lang w:val="en-GB"/>
        </w:rPr>
        <w:t xml:space="preserve"> </w:t>
      </w:r>
      <w:r w:rsidRPr="00B57B36">
        <w:rPr>
          <w:lang w:val="en-GB"/>
        </w:rPr>
        <w:t>Introduction</w:t>
      </w:r>
    </w:p>
    <w:p w14:paraId="6BA4043A" w14:textId="77777777" w:rsidR="00807552" w:rsidRDefault="00807552" w:rsidP="00807552">
      <w:pPr>
        <w:pStyle w:val="CETBodytext"/>
      </w:pPr>
      <w:r w:rsidRPr="00E449D0">
        <w:t xml:space="preserve">Methane oxidation plays </w:t>
      </w:r>
      <w:r>
        <w:t>an important</w:t>
      </w:r>
      <w:r w:rsidRPr="00E449D0">
        <w:t xml:space="preserve"> role in the process industry and has been pivotal in helping to reduce greenhouse emissions, pollution control, and natural gas combustion</w:t>
      </w:r>
      <w:r>
        <w:t xml:space="preserve"> (Karakurt et al., 2012).</w:t>
      </w:r>
      <w:r w:rsidRPr="00E449D0">
        <w:t xml:space="preserve"> Despite its importance, optimizing methane reaction has been a difficult one owing to the nonlinearity of its kinetic dynamics, uncertainties in its kinetic models, and high cost of running the experiments</w:t>
      </w:r>
      <w:r>
        <w:t xml:space="preserve"> (Tao et al., 2018). </w:t>
      </w:r>
      <w:r w:rsidRPr="00E449D0">
        <w:t>Data-driven methods such as Gaussian Process</w:t>
      </w:r>
      <w:r>
        <w:t>es</w:t>
      </w:r>
      <w:r w:rsidRPr="00E449D0">
        <w:t xml:space="preserve"> (GP</w:t>
      </w:r>
      <w:r>
        <w:t>s</w:t>
      </w:r>
      <w:r w:rsidRPr="00E449D0">
        <w:t xml:space="preserve">) have emerged as a </w:t>
      </w:r>
      <w:r>
        <w:t>useful</w:t>
      </w:r>
      <w:r w:rsidRPr="00E449D0">
        <w:t xml:space="preserve"> tool for modelling complex reactor system</w:t>
      </w:r>
      <w:r>
        <w:t>s</w:t>
      </w:r>
      <w:r w:rsidRPr="00E449D0">
        <w:t xml:space="preserve"> by predicting</w:t>
      </w:r>
      <w:r>
        <w:t xml:space="preserve"> their</w:t>
      </w:r>
      <w:r w:rsidRPr="00E449D0">
        <w:t xml:space="preserve"> nonlinear behaviour and quantifying </w:t>
      </w:r>
      <w:r>
        <w:t xml:space="preserve">prediction </w:t>
      </w:r>
      <w:r w:rsidRPr="00E449D0">
        <w:t>uncertainty (Abdar et al., 2011).</w:t>
      </w:r>
      <w:r w:rsidRPr="00192F07">
        <w:t xml:space="preserve"> </w:t>
      </w:r>
      <w:r>
        <w:t>Similarly, M</w:t>
      </w:r>
      <w:r w:rsidRPr="00E449D0">
        <w:t xml:space="preserve">odel-based </w:t>
      </w:r>
      <w:r>
        <w:t>Design of E</w:t>
      </w:r>
      <w:r w:rsidRPr="00E449D0">
        <w:t>xperiment</w:t>
      </w:r>
      <w:r>
        <w:t>s (MBDoE)</w:t>
      </w:r>
      <w:r w:rsidRPr="00E449D0">
        <w:t xml:space="preserve"> approaches leverage Fisher Information Matrix (FIM) </w:t>
      </w:r>
      <w:r>
        <w:t>metrics</w:t>
      </w:r>
      <w:r w:rsidRPr="00E449D0">
        <w:t xml:space="preserve"> by quantifying parameters sensitivities to aid optimal experimental design </w:t>
      </w:r>
      <w:r>
        <w:t xml:space="preserve">and minimise prediction uncertainty </w:t>
      </w:r>
      <w:r w:rsidRPr="00E449D0">
        <w:t xml:space="preserve">(Cenci et al., 2023). </w:t>
      </w:r>
      <w:r>
        <w:t xml:space="preserve">MBDoE </w:t>
      </w:r>
      <w:r w:rsidRPr="00D935BF">
        <w:t>methods identif</w:t>
      </w:r>
      <w:r>
        <w:t>y</w:t>
      </w:r>
      <w:r w:rsidRPr="00D935BF">
        <w:t xml:space="preserve"> the most informative regions of the experimental design space for parameter estimatio</w:t>
      </w:r>
      <w:r>
        <w:t xml:space="preserve">n </w:t>
      </w:r>
      <w:r w:rsidRPr="00E449D0">
        <w:t xml:space="preserve">(Friso </w:t>
      </w:r>
      <w:r>
        <w:t>and</w:t>
      </w:r>
      <w:r w:rsidRPr="00E449D0">
        <w:t xml:space="preserve"> Galvanin 2024)</w:t>
      </w:r>
      <w:r>
        <w:t>, thereby improving model identifiability and reliability.</w:t>
      </w:r>
      <w:r w:rsidRPr="00D935BF">
        <w:t xml:space="preserve"> </w:t>
      </w:r>
      <w:r w:rsidRPr="00E449D0">
        <w:t xml:space="preserve"> Both </w:t>
      </w:r>
      <w:r>
        <w:t xml:space="preserve">GP-based and MBDoE </w:t>
      </w:r>
      <w:r w:rsidRPr="00E449D0">
        <w:t xml:space="preserve">approaches have </w:t>
      </w:r>
      <w:r>
        <w:t>been successfully applied in the</w:t>
      </w:r>
      <w:r w:rsidRPr="00E449D0">
        <w:t xml:space="preserve"> design of experiment paradigms</w:t>
      </w:r>
      <w:r>
        <w:t>. However</w:t>
      </w:r>
      <w:r w:rsidRPr="00E449D0">
        <w:t>, their combined potential to link information content (</w:t>
      </w:r>
      <w:r>
        <w:t>measured by</w:t>
      </w:r>
      <w:r w:rsidRPr="00E449D0">
        <w:t xml:space="preserve"> FIM) </w:t>
      </w:r>
      <w:r>
        <w:t>with key performance indicators (</w:t>
      </w:r>
      <w:r w:rsidRPr="00E449D0">
        <w:t>KPI</w:t>
      </w:r>
      <w:r>
        <w:t>s)</w:t>
      </w:r>
      <w:r w:rsidRPr="00E449D0">
        <w:t xml:space="preserve"> </w:t>
      </w:r>
      <w:r>
        <w:t xml:space="preserve">in reaction systems, </w:t>
      </w:r>
      <w:r w:rsidRPr="00E449D0">
        <w:t>such as conversion</w:t>
      </w:r>
      <w:r>
        <w:t>, selectivity, and yield,</w:t>
      </w:r>
      <w:r w:rsidRPr="00E449D0">
        <w:t xml:space="preserve"> remains </w:t>
      </w:r>
      <w:r>
        <w:t xml:space="preserve">largely </w:t>
      </w:r>
      <w:r w:rsidRPr="00E449D0">
        <w:t>unexplore</w:t>
      </w:r>
      <w:r>
        <w:t>d</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Pr="00CC5DF3">
        <w:t>—</w:t>
      </w:r>
      <w:r>
        <w:softHyphen/>
      </w:r>
      <w:r>
        <w:softHyphen/>
      </w:r>
      <w:r>
        <w:softHyphen/>
      </w:r>
      <w:r>
        <w:softHyphen/>
      </w:r>
      <w:r>
        <w:softHyphen/>
      </w:r>
      <w:r>
        <w:softHyphen/>
        <w:t>t</w:t>
      </w:r>
      <w:r w:rsidRPr="00E449D0">
        <w:t xml:space="preserve">his is </w:t>
      </w:r>
      <w:r>
        <w:t>the</w:t>
      </w:r>
      <w:r w:rsidRPr="00E449D0">
        <w:t xml:space="preserve"> </w:t>
      </w:r>
      <w:r>
        <w:t>main</w:t>
      </w:r>
      <w:r w:rsidRPr="00E449D0">
        <w:t xml:space="preserve"> gap </w:t>
      </w:r>
      <w:r>
        <w:t>addressed in this work</w:t>
      </w:r>
      <w:r w:rsidRPr="00E449D0">
        <w:t>.</w:t>
      </w:r>
      <w:r>
        <w:t xml:space="preserve"> </w:t>
      </w:r>
      <w:r w:rsidRPr="00E449D0">
        <w:t>GPs are well regarded for their ability to predict nonlinear system behaviours with high accuracy, they typically do not incorporate the mechanistic understanding embedded in traditional kinetic models</w:t>
      </w:r>
      <w:r w:rsidRPr="00ED6B39">
        <w:t xml:space="preserve"> (Samuel et al., 2024). </w:t>
      </w:r>
      <w:r w:rsidRPr="00E449D0">
        <w:t xml:space="preserve">In contrast, </w:t>
      </w:r>
      <w:r w:rsidRPr="00ED6B39">
        <w:t>FIM</w:t>
      </w:r>
      <w:r>
        <w:t>-based methods</w:t>
      </w:r>
      <w:r w:rsidRPr="00E449D0">
        <w:t xml:space="preserve"> </w:t>
      </w:r>
      <w:r>
        <w:t>focus</w:t>
      </w:r>
      <w:r w:rsidRPr="00E449D0">
        <w:t xml:space="preserve"> on </w:t>
      </w:r>
      <w:r w:rsidRPr="00ED6B39">
        <w:t xml:space="preserve">parameter identifiability </w:t>
      </w:r>
      <w:r w:rsidRPr="00E449D0">
        <w:t xml:space="preserve">but often overlook direct </w:t>
      </w:r>
      <w:r>
        <w:t>influences</w:t>
      </w:r>
      <w:r w:rsidRPr="00E449D0">
        <w:t xml:space="preserve"> </w:t>
      </w:r>
      <w:r>
        <w:t>of the experimental design variables on</w:t>
      </w:r>
      <w:r w:rsidRPr="00E449D0">
        <w:t xml:space="preserve"> system-level KPIs</w:t>
      </w:r>
      <w:r>
        <w:t>,</w:t>
      </w:r>
      <w:r w:rsidRPr="00E449D0">
        <w:t xml:space="preserve"> which are </w:t>
      </w:r>
      <w:r>
        <w:t>essential</w:t>
      </w:r>
      <w:r w:rsidRPr="00E449D0">
        <w:t xml:space="preserve"> for operational and strategic decisions in industry </w:t>
      </w:r>
      <w:r w:rsidRPr="00ED6B39">
        <w:t xml:space="preserve">(Yang et al., 2022).  Designing experiments that simultaneously improve operational results and model reliability has proven challenging due to </w:t>
      </w:r>
      <w:r w:rsidRPr="00E449D0">
        <w:t>different</w:t>
      </w:r>
      <w:r w:rsidRPr="00ED6B39">
        <w:t xml:space="preserve"> limitation</w:t>
      </w:r>
      <w:r w:rsidRPr="00E449D0">
        <w:t>s</w:t>
      </w:r>
      <w:r w:rsidRPr="00ED6B39">
        <w:t xml:space="preserve"> in both approaches</w:t>
      </w:r>
      <w:r w:rsidRPr="00E449D0">
        <w:t xml:space="preserve"> (Barad, 2014)</w:t>
      </w:r>
      <w:r w:rsidRPr="00ED6B39">
        <w:t>. For example,</w:t>
      </w:r>
      <w:r>
        <w:t xml:space="preserve"> when applying these techniques to the reaction of catalytic methane oxidation in flow (Bawa et al., 2023) </w:t>
      </w:r>
      <w:r w:rsidRPr="00ED6B39">
        <w:t>FIM</w:t>
      </w:r>
      <w:r>
        <w:t>-driven methods</w:t>
      </w:r>
      <w:r w:rsidRPr="00ED6B39">
        <w:t xml:space="preserve"> </w:t>
      </w:r>
      <w:r>
        <w:t xml:space="preserve">might </w:t>
      </w:r>
      <w:r w:rsidRPr="00ED6B39">
        <w:t xml:space="preserve">find </w:t>
      </w:r>
      <w:r>
        <w:t xml:space="preserve">optimal </w:t>
      </w:r>
      <w:r w:rsidRPr="00ED6B39">
        <w:t xml:space="preserve">experimental conditions that minimize the uncertainties </w:t>
      </w:r>
      <w:r>
        <w:t xml:space="preserve">in </w:t>
      </w:r>
      <w:r w:rsidRPr="00ED6B39">
        <w:t>kinetic parameter</w:t>
      </w:r>
      <w:r>
        <w:t>s</w:t>
      </w:r>
      <w:r w:rsidRPr="00ED6B39">
        <w:t xml:space="preserve">, but </w:t>
      </w:r>
      <w:r>
        <w:t xml:space="preserve">without </w:t>
      </w:r>
      <w:r w:rsidRPr="00ED6B39">
        <w:t>giv</w:t>
      </w:r>
      <w:r>
        <w:t>ing</w:t>
      </w:r>
      <w:r w:rsidRPr="00ED6B39">
        <w:t xml:space="preserve"> priority to conditions that maximize methane conversion.</w:t>
      </w:r>
      <w:r>
        <w:t xml:space="preserve"> </w:t>
      </w:r>
    </w:p>
    <w:p w14:paraId="0E431C96" w14:textId="0FCEA586" w:rsidR="00807552" w:rsidRPr="00E449D0" w:rsidRDefault="00807552" w:rsidP="00807552">
      <w:pPr>
        <w:pStyle w:val="CETBodytext"/>
      </w:pPr>
      <w:r w:rsidRPr="00E449D0">
        <w:t xml:space="preserve">The </w:t>
      </w:r>
      <w:r>
        <w:t>aim</w:t>
      </w:r>
      <w:r w:rsidRPr="00E449D0">
        <w:t xml:space="preserve"> of this study is to account for this limitation in both approaches by developing a hybrid experimental design framework that integrates GP modelling and FIM analysis to optimize </w:t>
      </w:r>
      <w:r>
        <w:t xml:space="preserve">the design of experiments in </w:t>
      </w:r>
      <w:r w:rsidRPr="00E449D0">
        <w:t>catalytic methane oxidation. Th</w:t>
      </w:r>
      <w:r>
        <w:t>e proposed</w:t>
      </w:r>
      <w:r w:rsidRPr="00E449D0">
        <w:t xml:space="preserve"> framework correlates the system information (FIM) gain with </w:t>
      </w:r>
      <w:r>
        <w:t xml:space="preserve">the </w:t>
      </w:r>
      <w:r w:rsidRPr="00E449D0">
        <w:t xml:space="preserve">operational KPI (methane conversion) to identify </w:t>
      </w:r>
      <w:r>
        <w:t xml:space="preserve">trade-off </w:t>
      </w:r>
      <w:r w:rsidRPr="00E449D0">
        <w:t>experimental conditions where high information content aligns with system optimal performance.</w:t>
      </w:r>
      <w:r>
        <w:t xml:space="preserve"> </w:t>
      </w:r>
      <w:r w:rsidRPr="00E449D0">
        <w:t xml:space="preserve">The hybrid framework makes use of two synergistic </w:t>
      </w:r>
      <w:r>
        <w:t>GP</w:t>
      </w:r>
      <w:r w:rsidRPr="00E449D0">
        <w:t xml:space="preserve"> models: </w:t>
      </w:r>
      <w:proofErr w:type="spellStart"/>
      <w:r>
        <w:t>i</w:t>
      </w:r>
      <w:proofErr w:type="spellEnd"/>
      <w:r>
        <w:t>) a</w:t>
      </w:r>
      <w:r w:rsidRPr="00E449D0">
        <w:t xml:space="preserve"> first GP</w:t>
      </w:r>
      <w:r>
        <w:t xml:space="preserve"> (GP1)</w:t>
      </w:r>
      <w:r w:rsidRPr="00E449D0">
        <w:t xml:space="preserve"> to map FIM scores to methane conversion prioritizing informative experiments</w:t>
      </w:r>
      <w:r>
        <w:t>; ii)</w:t>
      </w:r>
      <w:r w:rsidRPr="00E449D0">
        <w:t xml:space="preserve"> </w:t>
      </w:r>
      <w:r>
        <w:t>a</w:t>
      </w:r>
      <w:r w:rsidRPr="00E449D0">
        <w:t xml:space="preserve"> second GP</w:t>
      </w:r>
      <w:r>
        <w:t xml:space="preserve"> (GP2)</w:t>
      </w:r>
      <w:r w:rsidRPr="00E449D0">
        <w:t xml:space="preserve"> inversely links reactor conditions to FIM scores, enabling an inverse design strategy to translate optimal FIM targets into actionable operating</w:t>
      </w:r>
      <w:r>
        <w:t xml:space="preserve"> conditions</w:t>
      </w:r>
      <w:r w:rsidRPr="00E449D0">
        <w:t xml:space="preserve">. Validation through sequential </w:t>
      </w:r>
      <w:r>
        <w:t xml:space="preserve">in </w:t>
      </w:r>
      <w:r w:rsidRPr="00E449D0">
        <w:t>silico experiments and real experiments demonstrates how this dual-GP approach reduces experimental costs while improving KPI predicti</w:t>
      </w:r>
      <w:r>
        <w:t>ons</w:t>
      </w:r>
      <w:r w:rsidRPr="00E449D0">
        <w:t>.</w:t>
      </w:r>
    </w:p>
    <w:p w14:paraId="3FAC4F2E" w14:textId="77777777" w:rsidR="00807552" w:rsidRDefault="00807552" w:rsidP="00807552">
      <w:pPr>
        <w:pStyle w:val="CETHeading1"/>
        <w:tabs>
          <w:tab w:val="num" w:pos="360"/>
        </w:tabs>
        <w:spacing w:before="0"/>
        <w:rPr>
          <w:lang w:val="en-GB"/>
        </w:rPr>
      </w:pPr>
      <w:r>
        <w:rPr>
          <w:lang w:val="en-GB"/>
        </w:rPr>
        <w:t>2. Methodology</w:t>
      </w:r>
    </w:p>
    <w:p w14:paraId="50666363" w14:textId="77777777" w:rsidR="00807552" w:rsidRPr="003E11AF" w:rsidRDefault="00807552" w:rsidP="00FE5AD6">
      <w:pPr>
        <w:pStyle w:val="CETheadingx"/>
      </w:pPr>
      <w:r w:rsidRPr="003E11AF">
        <w:t>2.1 Pr</w:t>
      </w:r>
      <w:r>
        <w:t xml:space="preserve">oposed </w:t>
      </w:r>
      <w:r w:rsidRPr="003E11AF">
        <w:t>Hybrid Workflow</w:t>
      </w:r>
    </w:p>
    <w:p w14:paraId="02FFB857" w14:textId="20522F12" w:rsidR="00807552" w:rsidRDefault="00807552" w:rsidP="00807552">
      <w:pPr>
        <w:pStyle w:val="CETBodytext"/>
      </w:pPr>
      <w:r>
        <w:t>A schematic for the proposed hybrid workflow combining two</w:t>
      </w:r>
      <w:r w:rsidRPr="008018EE">
        <w:t xml:space="preserve"> Gaussian Processes (GP1 and GP2)</w:t>
      </w:r>
      <w:r>
        <w:t xml:space="preserve"> and FIM analysis is shown in Figure 1.</w:t>
      </w:r>
      <w:r w:rsidRPr="008018EE">
        <w:t xml:space="preserve"> </w:t>
      </w:r>
      <w:r>
        <w:t xml:space="preserve">In the workflow </w:t>
      </w:r>
      <w:r w:rsidRPr="00087979">
        <w:t>GP1</w:t>
      </w:r>
      <w:r>
        <w:t xml:space="preserve"> is</w:t>
      </w:r>
      <w:r w:rsidRPr="00087979">
        <w:t xml:space="preserve"> a forward </w:t>
      </w:r>
      <w:r>
        <w:t xml:space="preserve">GP </w:t>
      </w:r>
      <w:r w:rsidRPr="00087979">
        <w:t xml:space="preserve">model that maps the FIM </w:t>
      </w:r>
      <w:r>
        <w:t xml:space="preserve">score, a metric of information on mechanistic model parameters, </w:t>
      </w:r>
      <w:r w:rsidRPr="00087979">
        <w:t xml:space="preserve">to methane conversion values. This model predicts conversion </w:t>
      </w:r>
      <w:r w:rsidRPr="00087979">
        <w:lastRenderedPageBreak/>
        <w:t>outcomes and their associated uncertainties, enabling direct validation against</w:t>
      </w:r>
      <w:r>
        <w:t xml:space="preserve"> </w:t>
      </w:r>
      <w:r w:rsidRPr="00087979">
        <w:t xml:space="preserve">experimental or </w:t>
      </w:r>
      <w:r w:rsidRPr="00071987">
        <w:rPr>
          <w:i/>
          <w:iCs/>
        </w:rPr>
        <w:t>in</w:t>
      </w:r>
      <w:r w:rsidRPr="00087979">
        <w:t xml:space="preserve"> silico data. GP2</w:t>
      </w:r>
      <w:r>
        <w:t xml:space="preserve"> is</w:t>
      </w:r>
      <w:r w:rsidRPr="00087979">
        <w:t xml:space="preserve"> a second forward </w:t>
      </w:r>
      <w:r>
        <w:t xml:space="preserve">GP </w:t>
      </w:r>
      <w:r w:rsidRPr="00087979">
        <w:t xml:space="preserve">model that links reactor </w:t>
      </w:r>
      <w:r>
        <w:t xml:space="preserve">operating </w:t>
      </w:r>
      <w:r w:rsidRPr="00087979">
        <w:t>conditions (</w:t>
      </w:r>
      <w:r w:rsidRPr="00471126">
        <w:rPr>
          <w:b/>
          <w:bCs/>
        </w:rPr>
        <w:t>u</w:t>
      </w:r>
      <w:r w:rsidRPr="00087979">
        <w:t xml:space="preserve">) to FIM </w:t>
      </w:r>
      <w:r>
        <w:t>score</w:t>
      </w:r>
      <w:r w:rsidRPr="00087979">
        <w:t>s. Critically, GP2 does not estimate reactor conditions directly; instead, its invers</w:t>
      </w:r>
      <w:r>
        <w:t>ion</w:t>
      </w:r>
      <w:r w:rsidRPr="00087979">
        <w:t xml:space="preserve"> is used to optimize</w:t>
      </w:r>
      <w:r w:rsidRPr="00471126">
        <w:rPr>
          <w:b/>
          <w:bCs/>
        </w:rPr>
        <w:t xml:space="preserve"> u</w:t>
      </w:r>
      <w:r w:rsidRPr="00087979">
        <w:t xml:space="preserve"> for target FIM </w:t>
      </w:r>
      <w:r>
        <w:t xml:space="preserve">score. Experimental data from 30 actual experimental runs by Bawa et al. (2023) served as the starting point for GP1 and GP2. The six topmost informative experiments based on their FIM scores were used for GP1 while data from the full set of 30 experiments was used for GP2. </w:t>
      </w:r>
      <w:r w:rsidRPr="00FD420B">
        <w:t xml:space="preserve">Both models were </w:t>
      </w:r>
      <w:r>
        <w:t xml:space="preserve">trained and </w:t>
      </w:r>
      <w:r w:rsidRPr="00FD420B">
        <w:t>validated</w:t>
      </w:r>
      <w:r>
        <w:t xml:space="preserve"> from the existing data (</w:t>
      </w:r>
      <w:r w:rsidRPr="00FD420B">
        <w:t>GP1 with 5-fold cross-validation, and GP2 with a 20% test set</w:t>
      </w:r>
      <w:r>
        <w:t>) and a</w:t>
      </w:r>
      <w:r w:rsidRPr="00FD420B">
        <w:t xml:space="preserve">n R² value above 0.8 was used as the stopping criterion </w:t>
      </w:r>
      <w:r>
        <w:t xml:space="preserve">in training </w:t>
      </w:r>
      <w:r w:rsidRPr="00FD420B">
        <w:t>for both models.</w:t>
      </w:r>
      <w:r w:rsidR="0047196E">
        <w:t xml:space="preserve"> </w:t>
      </w:r>
      <w:r w:rsidR="0047196E" w:rsidRPr="00C94049">
        <w:rPr>
          <w:lang w:val="en-GB"/>
        </w:rPr>
        <w:t>An R² threshold above 0.8 was selected as it reflects strong model performance, especially in small, noisy experimental datasets where values above 0.9 are often unrealistic (Li et al., 2019).</w:t>
      </w:r>
      <w:r>
        <w:t xml:space="preserve"> Once trained,</w:t>
      </w:r>
      <w:r>
        <w:rPr>
          <w:iCs/>
          <w:szCs w:val="18"/>
        </w:rPr>
        <w:t xml:space="preserve"> GP1 was employed to design the next sequence of experiments and predict conversion and corresponding uncertainties.  GP1 is then combined with GP2 in the workflow to determine the reactor conditions for the designed experiments.</w:t>
      </w:r>
    </w:p>
    <w:p w14:paraId="274FA03F" w14:textId="77777777" w:rsidR="00807552" w:rsidRDefault="00807552" w:rsidP="00807552">
      <w:pPr>
        <w:pStyle w:val="CETBodytext"/>
      </w:pPr>
      <w:r w:rsidRPr="00087979">
        <w:t>Figure 1 describes the integrated workflow where</w:t>
      </w:r>
      <w:r>
        <w:t xml:space="preserve"> optimized</w:t>
      </w:r>
      <w:r w:rsidRPr="00087979">
        <w:t xml:space="preserve"> GP1</w:t>
      </w:r>
      <w:r>
        <w:t xml:space="preserve"> is inverted to estimate the corresponding FIM score based on its predicted methane conversion. This estimated</w:t>
      </w:r>
      <w:r w:rsidRPr="00087979">
        <w:t xml:space="preserve"> FIM </w:t>
      </w:r>
      <w:r>
        <w:t>score then</w:t>
      </w:r>
      <w:r w:rsidRPr="00087979">
        <w:t xml:space="preserve"> serve</w:t>
      </w:r>
      <w:r>
        <w:t>s</w:t>
      </w:r>
      <w:r w:rsidRPr="00087979">
        <w:t xml:space="preserve"> as </w:t>
      </w:r>
      <w:r>
        <w:t xml:space="preserve">an </w:t>
      </w:r>
      <w:r w:rsidRPr="00087979">
        <w:t>input to GP2. Using an inverse design strategy, GP2 estimates the corresponding optimal reactor conditions (</w:t>
      </w:r>
      <w:r w:rsidRPr="00471126">
        <w:rPr>
          <w:b/>
          <w:bCs/>
        </w:rPr>
        <w:t>u</w:t>
      </w:r>
      <w:r w:rsidRPr="00087979">
        <w:t xml:space="preserve">), </w:t>
      </w:r>
      <w:r>
        <w:t xml:space="preserve">and the procedure continues until GP1 </w:t>
      </w:r>
      <w:r w:rsidRPr="00087979">
        <w:t xml:space="preserve">prediction </w:t>
      </w:r>
      <w:r>
        <w:t xml:space="preserve">of conversion </w:t>
      </w:r>
      <w:r w:rsidRPr="00087979">
        <w:t xml:space="preserve">uncertainty falls below </w:t>
      </w:r>
      <w:r>
        <w:t>a</w:t>
      </w:r>
      <w:r w:rsidRPr="00087979">
        <w:t xml:space="preserve"> threshold</w:t>
      </w:r>
      <w:r>
        <w:t xml:space="preserve"> set by the user (here 1%)</w:t>
      </w:r>
      <w:r w:rsidRPr="00087979">
        <w:t>.</w:t>
      </w:r>
      <w:r>
        <w:t xml:space="preserve"> An additional validation of GP1 conversion is done by conducting </w:t>
      </w:r>
      <w:r w:rsidRPr="00087979">
        <w:t>in silico experiments</w:t>
      </w:r>
      <w:r>
        <w:t xml:space="preserve"> to estimate the conversion at the predicted optimal reactor conditions (</w:t>
      </w:r>
      <w:r w:rsidRPr="00D01B73">
        <w:rPr>
          <w:b/>
          <w:bCs/>
        </w:rPr>
        <w:t>u</w:t>
      </w:r>
      <w:r>
        <w:t>)</w:t>
      </w:r>
      <w:r w:rsidRPr="00087979">
        <w:t xml:space="preserve">. </w:t>
      </w:r>
    </w:p>
    <w:p w14:paraId="34C36509" w14:textId="33B9BAF6" w:rsidR="00807552" w:rsidRDefault="00DB40F1" w:rsidP="00807552">
      <w:pPr>
        <w:spacing w:after="0"/>
        <w:jc w:val="both"/>
        <w:rPr>
          <w:rFonts w:ascii="Arial" w:eastAsia="Times New Roman" w:hAnsi="Arial" w:cs="Times New Roman"/>
          <w:kern w:val="0"/>
          <w:sz w:val="18"/>
          <w:szCs w:val="20"/>
          <w14:ligatures w14:val="none"/>
        </w:rPr>
      </w:pPr>
      <w:r>
        <w:rPr>
          <w:noProof/>
        </w:rPr>
        <w:drawing>
          <wp:anchor distT="0" distB="0" distL="114300" distR="114300" simplePos="0" relativeHeight="251660288" behindDoc="0" locked="0" layoutInCell="1" allowOverlap="1" wp14:anchorId="07342090" wp14:editId="66731C39">
            <wp:simplePos x="0" y="0"/>
            <wp:positionH relativeFrom="margin">
              <wp:align>left</wp:align>
            </wp:positionH>
            <wp:positionV relativeFrom="paragraph">
              <wp:posOffset>12716</wp:posOffset>
            </wp:positionV>
            <wp:extent cx="5335929" cy="2764270"/>
            <wp:effectExtent l="0" t="0" r="0" b="0"/>
            <wp:wrapNone/>
            <wp:docPr id="1232135904" name="Picture 57" descr="A diagram of a flow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135904" name="Picture 57" descr="A diagram of a flowchart&#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5929" cy="27642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07D413" w14:textId="40B325B0" w:rsidR="00807552" w:rsidRDefault="00807552" w:rsidP="00807552">
      <w:pPr>
        <w:spacing w:after="0"/>
        <w:jc w:val="both"/>
        <w:rPr>
          <w:rFonts w:ascii="Arial" w:eastAsia="Times New Roman" w:hAnsi="Arial" w:cs="Times New Roman"/>
          <w:kern w:val="0"/>
          <w:sz w:val="18"/>
          <w:szCs w:val="20"/>
          <w14:ligatures w14:val="none"/>
        </w:rPr>
      </w:pPr>
    </w:p>
    <w:p w14:paraId="125FB386" w14:textId="77777777" w:rsidR="00807552" w:rsidRDefault="00807552" w:rsidP="00807552">
      <w:pPr>
        <w:spacing w:after="0"/>
        <w:jc w:val="both"/>
        <w:rPr>
          <w:rFonts w:ascii="Arial" w:eastAsia="Times New Roman" w:hAnsi="Arial" w:cs="Times New Roman"/>
          <w:kern w:val="0"/>
          <w:sz w:val="18"/>
          <w:szCs w:val="20"/>
          <w14:ligatures w14:val="none"/>
        </w:rPr>
      </w:pPr>
    </w:p>
    <w:p w14:paraId="7C76CE41" w14:textId="77777777" w:rsidR="00807552" w:rsidRDefault="00807552" w:rsidP="00807552">
      <w:pPr>
        <w:spacing w:after="0"/>
        <w:jc w:val="both"/>
        <w:rPr>
          <w:rFonts w:ascii="Arial" w:eastAsia="Times New Roman" w:hAnsi="Arial" w:cs="Times New Roman"/>
          <w:kern w:val="0"/>
          <w:sz w:val="18"/>
          <w:szCs w:val="20"/>
          <w14:ligatures w14:val="none"/>
        </w:rPr>
      </w:pPr>
    </w:p>
    <w:p w14:paraId="74D384C1" w14:textId="77777777" w:rsidR="00807552" w:rsidRDefault="00807552" w:rsidP="00807552">
      <w:pPr>
        <w:spacing w:after="0"/>
        <w:jc w:val="both"/>
        <w:rPr>
          <w:rFonts w:ascii="Arial" w:eastAsia="Times New Roman" w:hAnsi="Arial" w:cs="Times New Roman"/>
          <w:kern w:val="0"/>
          <w:sz w:val="18"/>
          <w:szCs w:val="20"/>
          <w14:ligatures w14:val="none"/>
        </w:rPr>
      </w:pPr>
    </w:p>
    <w:p w14:paraId="7198C4BD" w14:textId="77777777" w:rsidR="00807552" w:rsidRDefault="00807552" w:rsidP="00807552">
      <w:pPr>
        <w:spacing w:after="0"/>
        <w:jc w:val="both"/>
        <w:rPr>
          <w:rFonts w:ascii="Arial" w:eastAsia="Times New Roman" w:hAnsi="Arial" w:cs="Times New Roman"/>
          <w:kern w:val="0"/>
          <w:sz w:val="18"/>
          <w:szCs w:val="20"/>
          <w14:ligatures w14:val="none"/>
        </w:rPr>
      </w:pPr>
    </w:p>
    <w:p w14:paraId="0CC084C5" w14:textId="77777777" w:rsidR="00807552" w:rsidRDefault="00807552" w:rsidP="00807552">
      <w:pPr>
        <w:spacing w:after="0"/>
        <w:jc w:val="both"/>
        <w:rPr>
          <w:rFonts w:ascii="Arial" w:eastAsia="Times New Roman" w:hAnsi="Arial" w:cs="Times New Roman"/>
          <w:kern w:val="0"/>
          <w:sz w:val="18"/>
          <w:szCs w:val="20"/>
          <w14:ligatures w14:val="none"/>
        </w:rPr>
      </w:pPr>
    </w:p>
    <w:p w14:paraId="50B221A7" w14:textId="77777777" w:rsidR="00807552" w:rsidRDefault="00807552" w:rsidP="00807552">
      <w:pPr>
        <w:spacing w:after="0"/>
        <w:jc w:val="both"/>
        <w:rPr>
          <w:rFonts w:ascii="Arial" w:eastAsia="Times New Roman" w:hAnsi="Arial" w:cs="Times New Roman"/>
          <w:kern w:val="0"/>
          <w:sz w:val="18"/>
          <w:szCs w:val="20"/>
          <w14:ligatures w14:val="none"/>
        </w:rPr>
      </w:pPr>
    </w:p>
    <w:p w14:paraId="5CC1E453" w14:textId="77777777" w:rsidR="00807552" w:rsidRDefault="00807552" w:rsidP="00807552">
      <w:pPr>
        <w:spacing w:after="0"/>
        <w:jc w:val="both"/>
        <w:rPr>
          <w:rFonts w:ascii="Arial" w:eastAsia="Times New Roman" w:hAnsi="Arial" w:cs="Times New Roman"/>
          <w:kern w:val="0"/>
          <w:sz w:val="18"/>
          <w:szCs w:val="20"/>
          <w14:ligatures w14:val="none"/>
        </w:rPr>
      </w:pPr>
    </w:p>
    <w:p w14:paraId="15612A22" w14:textId="77777777" w:rsidR="00807552" w:rsidRDefault="00807552" w:rsidP="00807552">
      <w:pPr>
        <w:spacing w:after="0"/>
        <w:jc w:val="both"/>
        <w:rPr>
          <w:rFonts w:ascii="Arial" w:eastAsia="Times New Roman" w:hAnsi="Arial" w:cs="Times New Roman"/>
          <w:kern w:val="0"/>
          <w:sz w:val="18"/>
          <w:szCs w:val="20"/>
          <w14:ligatures w14:val="none"/>
        </w:rPr>
      </w:pPr>
    </w:p>
    <w:p w14:paraId="4B9A15FE" w14:textId="77777777" w:rsidR="00807552" w:rsidRPr="00BC5A5C" w:rsidRDefault="00807552" w:rsidP="00807552">
      <w:pPr>
        <w:spacing w:after="0"/>
        <w:jc w:val="both"/>
        <w:rPr>
          <w:rFonts w:ascii="Arial" w:eastAsia="Times New Roman" w:hAnsi="Arial" w:cs="Times New Roman"/>
          <w:kern w:val="0"/>
          <w:sz w:val="18"/>
          <w:szCs w:val="20"/>
          <w14:ligatures w14:val="none"/>
        </w:rPr>
      </w:pPr>
    </w:p>
    <w:p w14:paraId="714AA197" w14:textId="77777777" w:rsidR="00807552" w:rsidRDefault="00807552" w:rsidP="00807552">
      <w:pPr>
        <w:pStyle w:val="CETCaption"/>
        <w:spacing w:before="0" w:after="0" w:line="240" w:lineRule="auto"/>
        <w:rPr>
          <w:b/>
          <w:bCs/>
        </w:rPr>
      </w:pPr>
    </w:p>
    <w:p w14:paraId="57260268" w14:textId="77777777" w:rsidR="00807552" w:rsidRDefault="00807552" w:rsidP="00807552">
      <w:pPr>
        <w:pStyle w:val="CETCaption"/>
        <w:spacing w:before="0" w:after="0" w:line="240" w:lineRule="auto"/>
        <w:rPr>
          <w:b/>
          <w:bCs/>
        </w:rPr>
      </w:pPr>
    </w:p>
    <w:p w14:paraId="683746FD" w14:textId="77777777" w:rsidR="00807552" w:rsidRDefault="00807552" w:rsidP="00807552">
      <w:pPr>
        <w:pStyle w:val="CETCaption"/>
        <w:spacing w:before="0" w:after="0" w:line="240" w:lineRule="auto"/>
        <w:rPr>
          <w:b/>
          <w:bCs/>
        </w:rPr>
      </w:pPr>
    </w:p>
    <w:p w14:paraId="2BAB57BD" w14:textId="77777777" w:rsidR="00807552" w:rsidRDefault="00807552" w:rsidP="00807552">
      <w:pPr>
        <w:pStyle w:val="CETCaption"/>
        <w:spacing w:before="0" w:after="0" w:line="240" w:lineRule="auto"/>
        <w:rPr>
          <w:b/>
          <w:bCs/>
        </w:rPr>
      </w:pPr>
    </w:p>
    <w:p w14:paraId="6751C2DA" w14:textId="77777777" w:rsidR="00807552" w:rsidRDefault="00807552" w:rsidP="00807552">
      <w:pPr>
        <w:pStyle w:val="CETCaption"/>
        <w:spacing w:before="0" w:after="0" w:line="240" w:lineRule="auto"/>
        <w:rPr>
          <w:b/>
          <w:bCs/>
        </w:rPr>
      </w:pPr>
    </w:p>
    <w:p w14:paraId="46AD1331" w14:textId="77777777" w:rsidR="00807552" w:rsidRDefault="00807552" w:rsidP="00807552">
      <w:pPr>
        <w:pStyle w:val="CETCaption"/>
        <w:spacing w:before="0" w:after="0" w:line="240" w:lineRule="auto"/>
        <w:rPr>
          <w:b/>
          <w:bCs/>
        </w:rPr>
      </w:pPr>
    </w:p>
    <w:p w14:paraId="78C60B26" w14:textId="77777777" w:rsidR="00807552" w:rsidRDefault="00807552" w:rsidP="00807552">
      <w:pPr>
        <w:pStyle w:val="CETCaption"/>
        <w:spacing w:before="0" w:after="0" w:line="240" w:lineRule="auto"/>
        <w:rPr>
          <w:b/>
          <w:bCs/>
        </w:rPr>
      </w:pPr>
    </w:p>
    <w:p w14:paraId="60A6B487" w14:textId="77777777" w:rsidR="00807552" w:rsidRDefault="00807552" w:rsidP="00807552">
      <w:pPr>
        <w:pStyle w:val="CETCaption"/>
        <w:spacing w:before="0" w:after="0" w:line="240" w:lineRule="auto"/>
        <w:rPr>
          <w:b/>
          <w:bCs/>
        </w:rPr>
      </w:pPr>
    </w:p>
    <w:p w14:paraId="76688578" w14:textId="77777777" w:rsidR="00807552" w:rsidRDefault="00807552" w:rsidP="00807552">
      <w:pPr>
        <w:pStyle w:val="CETCaption"/>
        <w:spacing w:before="0" w:after="0" w:line="240" w:lineRule="auto"/>
        <w:rPr>
          <w:b/>
          <w:bCs/>
        </w:rPr>
      </w:pPr>
    </w:p>
    <w:p w14:paraId="67EDCE19" w14:textId="77777777" w:rsidR="00807552" w:rsidRDefault="00807552" w:rsidP="00807552">
      <w:pPr>
        <w:pStyle w:val="CETCaption"/>
        <w:spacing w:before="0" w:after="0" w:line="240" w:lineRule="auto"/>
      </w:pPr>
      <w:r w:rsidRPr="003E11AF">
        <w:rPr>
          <w:b/>
          <w:bCs/>
        </w:rPr>
        <w:t>Figure 1</w:t>
      </w:r>
      <w:r w:rsidRPr="003E11AF">
        <w:t xml:space="preserve">: </w:t>
      </w:r>
      <w:r w:rsidRPr="00700236">
        <w:t>Schematic workflow illustrating the sequential use of GP1</w:t>
      </w:r>
      <w:r>
        <w:t xml:space="preserve"> (green box)</w:t>
      </w:r>
      <w:r w:rsidRPr="00700236">
        <w:t xml:space="preserve"> and GP2 </w:t>
      </w:r>
      <w:r>
        <w:t xml:space="preserve">(blue box) </w:t>
      </w:r>
      <w:r w:rsidRPr="00700236">
        <w:t xml:space="preserve">models. </w:t>
      </w:r>
    </w:p>
    <w:p w14:paraId="290889D2" w14:textId="77777777" w:rsidR="00807552" w:rsidRDefault="00807552" w:rsidP="00807552">
      <w:pPr>
        <w:pStyle w:val="CETBodytext"/>
      </w:pPr>
      <w:r>
        <w:t>The procedure for GP1-GP2 workflow shown in Figure 1 is articulated in the key steps below:</w:t>
      </w:r>
    </w:p>
    <w:p w14:paraId="479C16FA" w14:textId="77777777" w:rsidR="00807552" w:rsidRPr="00E443CE" w:rsidRDefault="00807552" w:rsidP="00807552">
      <w:pPr>
        <w:pStyle w:val="ListParagraph"/>
        <w:numPr>
          <w:ilvl w:val="0"/>
          <w:numId w:val="12"/>
        </w:numPr>
        <w:spacing w:after="0"/>
        <w:ind w:left="426" w:hanging="284"/>
        <w:jc w:val="both"/>
        <w:rPr>
          <w:rFonts w:ascii="Arial" w:eastAsia="Times New Roman" w:hAnsi="Arial" w:cs="Times New Roman"/>
          <w:iCs/>
          <w:sz w:val="18"/>
          <w:szCs w:val="18"/>
        </w:rPr>
      </w:pPr>
      <w:r>
        <w:rPr>
          <w:rFonts w:ascii="Arial" w:eastAsia="Times New Roman" w:hAnsi="Arial" w:cs="Times New Roman"/>
          <w:iCs/>
          <w:sz w:val="18"/>
          <w:szCs w:val="18"/>
        </w:rPr>
        <w:t xml:space="preserve">Start: an optimization of GP1’s acquisition function, whose objective is to optimize methane conversion, is carried out. After the optimization, GP1 is then used to predict and design one experiments at a time until the stopping criterion is met. </w:t>
      </w:r>
    </w:p>
    <w:p w14:paraId="4A2A5EEB" w14:textId="77777777" w:rsidR="00807552" w:rsidRDefault="00807552" w:rsidP="00807552">
      <w:pPr>
        <w:pStyle w:val="ListParagraph"/>
        <w:numPr>
          <w:ilvl w:val="0"/>
          <w:numId w:val="12"/>
        </w:numPr>
        <w:spacing w:after="0"/>
        <w:ind w:left="426" w:hanging="284"/>
        <w:jc w:val="both"/>
        <w:rPr>
          <w:rFonts w:ascii="Arial" w:eastAsia="Times New Roman" w:hAnsi="Arial" w:cs="Times New Roman"/>
          <w:iCs/>
          <w:sz w:val="18"/>
          <w:szCs w:val="18"/>
        </w:rPr>
      </w:pPr>
      <w:r>
        <w:rPr>
          <w:rFonts w:ascii="Arial" w:eastAsia="Times New Roman" w:hAnsi="Arial" w:cs="Times New Roman"/>
          <w:iCs/>
          <w:sz w:val="18"/>
          <w:szCs w:val="18"/>
        </w:rPr>
        <w:t>GP1 Predictions: the optimized GP1 predicts conversion of methane and corresponding uncertainty.</w:t>
      </w:r>
    </w:p>
    <w:p w14:paraId="56883F00" w14:textId="77777777" w:rsidR="00807552" w:rsidRDefault="00807552" w:rsidP="00807552">
      <w:pPr>
        <w:pStyle w:val="ListParagraph"/>
        <w:numPr>
          <w:ilvl w:val="0"/>
          <w:numId w:val="12"/>
        </w:numPr>
        <w:spacing w:after="0"/>
        <w:ind w:left="426" w:hanging="284"/>
        <w:jc w:val="both"/>
        <w:rPr>
          <w:rFonts w:ascii="Arial" w:eastAsia="Times New Roman" w:hAnsi="Arial" w:cs="Times New Roman"/>
          <w:iCs/>
          <w:sz w:val="18"/>
          <w:szCs w:val="18"/>
        </w:rPr>
      </w:pPr>
      <w:r>
        <w:rPr>
          <w:rFonts w:ascii="Arial" w:eastAsia="Times New Roman" w:hAnsi="Arial" w:cs="Times New Roman"/>
          <w:iCs/>
          <w:sz w:val="18"/>
          <w:szCs w:val="18"/>
        </w:rPr>
        <w:t xml:space="preserve">GP1 Inversion: GP1 is inverted to estimate the corresponding FIM at the predicted conversion. </w:t>
      </w:r>
    </w:p>
    <w:p w14:paraId="43E5D6D7" w14:textId="77777777" w:rsidR="00807552" w:rsidRDefault="00807552" w:rsidP="00807552">
      <w:pPr>
        <w:pStyle w:val="ListParagraph"/>
        <w:numPr>
          <w:ilvl w:val="0"/>
          <w:numId w:val="12"/>
        </w:numPr>
        <w:spacing w:after="0"/>
        <w:ind w:left="426" w:hanging="284"/>
        <w:jc w:val="both"/>
        <w:rPr>
          <w:rFonts w:ascii="Arial" w:eastAsia="Times New Roman" w:hAnsi="Arial" w:cs="Times New Roman"/>
          <w:iCs/>
          <w:sz w:val="18"/>
          <w:szCs w:val="18"/>
        </w:rPr>
      </w:pPr>
      <w:r>
        <w:rPr>
          <w:rFonts w:ascii="Arial" w:eastAsia="Times New Roman" w:hAnsi="Arial" w:cs="Times New Roman"/>
          <w:iCs/>
          <w:sz w:val="18"/>
          <w:szCs w:val="18"/>
        </w:rPr>
        <w:t>GP2 Inputs: the estimated FIM score from the inverted GP1 is then used as inputs into the GP2</w:t>
      </w:r>
    </w:p>
    <w:p w14:paraId="636FC8E6" w14:textId="77777777" w:rsidR="00807552" w:rsidRDefault="00807552" w:rsidP="00807552">
      <w:pPr>
        <w:pStyle w:val="ListParagraph"/>
        <w:numPr>
          <w:ilvl w:val="0"/>
          <w:numId w:val="12"/>
        </w:numPr>
        <w:spacing w:after="0"/>
        <w:ind w:left="426" w:hanging="284"/>
        <w:jc w:val="both"/>
        <w:rPr>
          <w:rFonts w:ascii="Arial" w:eastAsia="Times New Roman" w:hAnsi="Arial" w:cs="Times New Roman"/>
          <w:iCs/>
          <w:sz w:val="18"/>
          <w:szCs w:val="18"/>
        </w:rPr>
      </w:pPr>
      <w:r>
        <w:rPr>
          <w:rFonts w:ascii="Arial" w:eastAsia="Times New Roman" w:hAnsi="Arial" w:cs="Times New Roman"/>
          <w:iCs/>
          <w:sz w:val="18"/>
          <w:szCs w:val="18"/>
        </w:rPr>
        <w:t xml:space="preserve">GP2 Inversion: GP2 is inverted to estimate the corresponding reactor condition </w:t>
      </w:r>
      <w:r w:rsidRPr="005A760D">
        <w:rPr>
          <w:rFonts w:ascii="Arial" w:eastAsia="Times New Roman" w:hAnsi="Arial" w:cs="Times New Roman"/>
          <w:b/>
          <w:bCs/>
          <w:iCs/>
          <w:sz w:val="18"/>
          <w:szCs w:val="18"/>
        </w:rPr>
        <w:t>u</w:t>
      </w:r>
      <w:r>
        <w:rPr>
          <w:rFonts w:ascii="Arial" w:eastAsia="Times New Roman" w:hAnsi="Arial" w:cs="Times New Roman"/>
          <w:iCs/>
          <w:sz w:val="18"/>
          <w:szCs w:val="18"/>
        </w:rPr>
        <w:t>, based on the inputted FIM score estimated by GP1 inversion.</w:t>
      </w:r>
    </w:p>
    <w:p w14:paraId="527B14BE" w14:textId="77777777" w:rsidR="00807552" w:rsidRDefault="00807552" w:rsidP="00807552">
      <w:pPr>
        <w:pStyle w:val="ListParagraph"/>
        <w:numPr>
          <w:ilvl w:val="0"/>
          <w:numId w:val="12"/>
        </w:numPr>
        <w:spacing w:after="0"/>
        <w:ind w:left="426" w:hanging="284"/>
        <w:jc w:val="both"/>
        <w:rPr>
          <w:rFonts w:ascii="Arial" w:eastAsia="Times New Roman" w:hAnsi="Arial" w:cs="Times New Roman"/>
          <w:iCs/>
          <w:sz w:val="18"/>
          <w:szCs w:val="18"/>
        </w:rPr>
      </w:pPr>
      <w:r w:rsidRPr="00CD03B9">
        <w:rPr>
          <w:rFonts w:ascii="Arial" w:eastAsia="Times New Roman" w:hAnsi="Arial" w:cs="Times New Roman"/>
          <w:i/>
          <w:sz w:val="18"/>
          <w:szCs w:val="18"/>
        </w:rPr>
        <w:t>In</w:t>
      </w:r>
      <w:r>
        <w:rPr>
          <w:rFonts w:ascii="Arial" w:eastAsia="Times New Roman" w:hAnsi="Arial" w:cs="Times New Roman"/>
          <w:iCs/>
          <w:sz w:val="18"/>
          <w:szCs w:val="18"/>
        </w:rPr>
        <w:t xml:space="preserve"> silico Experiment: estimated reactor conditions from GP2 inversion are then used to run computer simulated experiments.</w:t>
      </w:r>
    </w:p>
    <w:p w14:paraId="56D79A29" w14:textId="77777777" w:rsidR="00807552" w:rsidRDefault="00807552" w:rsidP="00807552">
      <w:pPr>
        <w:pStyle w:val="ListParagraph"/>
        <w:numPr>
          <w:ilvl w:val="0"/>
          <w:numId w:val="12"/>
        </w:numPr>
        <w:spacing w:after="0"/>
        <w:ind w:left="426" w:hanging="284"/>
        <w:jc w:val="both"/>
        <w:rPr>
          <w:rFonts w:ascii="Arial" w:eastAsia="Times New Roman" w:hAnsi="Arial" w:cs="Times New Roman"/>
          <w:iCs/>
          <w:sz w:val="18"/>
          <w:szCs w:val="18"/>
        </w:rPr>
      </w:pPr>
      <w:r>
        <w:rPr>
          <w:rFonts w:ascii="Arial" w:eastAsia="Times New Roman" w:hAnsi="Arial" w:cs="Times New Roman"/>
          <w:iCs/>
          <w:sz w:val="18"/>
          <w:szCs w:val="18"/>
        </w:rPr>
        <w:t>Stopping Criterion: the workflow continues and only stops when the GP1 predicted uncertainty on the KPI falls below 1%.</w:t>
      </w:r>
    </w:p>
    <w:p w14:paraId="2841E845" w14:textId="40B77B77" w:rsidR="00807552" w:rsidRPr="004F3E72" w:rsidRDefault="00807552" w:rsidP="00807552">
      <w:pPr>
        <w:pStyle w:val="CETBodytext"/>
      </w:pPr>
      <w:r>
        <w:t>The procedure detailed above has been applied to a gas phase flow reactor model where a reaction of catalytic methane oxidation occurs (Bawa et al., 2023; Pankajakshan et al., 202</w:t>
      </w:r>
      <w:r w:rsidR="008E3991">
        <w:t>3</w:t>
      </w:r>
      <w:r>
        <w:t xml:space="preserve">). Models used in the mechanistic part of the framework (FIM evaluation) and the data-driven part (GPs) are detailed in the following sections. </w:t>
      </w:r>
    </w:p>
    <w:p w14:paraId="03785C96" w14:textId="77777777" w:rsidR="00807552" w:rsidRPr="004F3E72" w:rsidRDefault="00807552" w:rsidP="00FE5AD6">
      <w:pPr>
        <w:pStyle w:val="CETheadingx"/>
        <w:rPr>
          <w:iCs/>
          <w:szCs w:val="18"/>
        </w:rPr>
      </w:pPr>
      <w:r w:rsidRPr="004F3E72">
        <w:t>2.2 Reactor Model for Methane Oxidation</w:t>
      </w:r>
    </w:p>
    <w:p w14:paraId="3B849ED7" w14:textId="77777777" w:rsidR="00807552" w:rsidRPr="00E449D0" w:rsidRDefault="00807552" w:rsidP="00807552">
      <w:pPr>
        <w:spacing w:after="0" w:line="240" w:lineRule="auto"/>
        <w:jc w:val="both"/>
        <w:rPr>
          <w:rFonts w:ascii="Arial" w:eastAsia="Times New Roman" w:hAnsi="Arial" w:cs="Times New Roman"/>
          <w:kern w:val="0"/>
          <w:sz w:val="18"/>
          <w:szCs w:val="20"/>
          <w14:ligatures w14:val="none"/>
        </w:rPr>
      </w:pPr>
      <w:r w:rsidRPr="00E449D0">
        <w:rPr>
          <w:rFonts w:ascii="Arial" w:eastAsia="Times New Roman" w:hAnsi="Arial" w:cs="Times New Roman"/>
          <w:kern w:val="0"/>
          <w:sz w:val="18"/>
          <w:szCs w:val="20"/>
          <w14:ligatures w14:val="none"/>
        </w:rPr>
        <w:t xml:space="preserve">The methane oxidation system is governed by </w:t>
      </w:r>
      <w:r>
        <w:rPr>
          <w:rFonts w:ascii="Arial" w:eastAsia="Times New Roman" w:hAnsi="Arial" w:cs="Times New Roman"/>
          <w:kern w:val="0"/>
          <w:sz w:val="18"/>
          <w:szCs w:val="20"/>
          <w14:ligatures w14:val="none"/>
        </w:rPr>
        <w:t xml:space="preserve">a set of </w:t>
      </w:r>
      <w:r w:rsidRPr="00E449D0">
        <w:rPr>
          <w:rFonts w:ascii="Arial" w:eastAsia="Times New Roman" w:hAnsi="Arial" w:cs="Times New Roman"/>
          <w:kern w:val="0"/>
          <w:sz w:val="18"/>
          <w:szCs w:val="20"/>
          <w14:ligatures w14:val="none"/>
        </w:rPr>
        <w:t>differential-algebraic equations (DAEs) describing state variables, inputs, and measured outputs: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9"/>
        <w:gridCol w:w="817"/>
      </w:tblGrid>
      <w:tr w:rsidR="00807552" w:rsidRPr="00B57B36" w14:paraId="75D65A9F" w14:textId="77777777" w:rsidTr="00F6176E">
        <w:tc>
          <w:tcPr>
            <w:tcW w:w="8209" w:type="dxa"/>
          </w:tcPr>
          <w:p w14:paraId="69CE685B" w14:textId="77777777" w:rsidR="00807552" w:rsidRPr="005B5A23" w:rsidRDefault="00807552" w:rsidP="00F6176E">
            <w:pPr>
              <w:pStyle w:val="CETEquation"/>
              <w:rPr>
                <w:noProof/>
                <w:lang w:val="it-IT" w:eastAsia="it-IT"/>
              </w:rPr>
            </w:pPr>
            <m:oMath>
              <m:r>
                <w:rPr>
                  <w:rFonts w:ascii="Cambria Math" w:hAnsi="Cambria Math"/>
                  <w:noProof/>
                  <w:lang w:val="it-IT" w:eastAsia="it-IT"/>
                </w:rPr>
                <m:t>f</m:t>
              </m:r>
              <m:r>
                <m:rPr>
                  <m:sty m:val="p"/>
                </m:rPr>
                <w:rPr>
                  <w:rFonts w:ascii="Cambria Math" w:hAnsi="Cambria Math"/>
                  <w:noProof/>
                  <w:lang w:val="it-IT" w:eastAsia="it-IT"/>
                </w:rPr>
                <m:t xml:space="preserve"> (</m:t>
              </m:r>
              <m:acc>
                <m:accPr>
                  <m:chr m:val="̇"/>
                  <m:ctrlPr>
                    <w:rPr>
                      <w:rFonts w:ascii="Cambria Math" w:hAnsi="Cambria Math"/>
                      <w:noProof/>
                      <w:lang w:val="it-IT" w:eastAsia="it-IT"/>
                    </w:rPr>
                  </m:ctrlPr>
                </m:accPr>
                <m:e>
                  <m:r>
                    <m:rPr>
                      <m:sty m:val="b"/>
                    </m:rPr>
                    <w:rPr>
                      <w:rFonts w:ascii="Cambria Math" w:hAnsi="Cambria Math"/>
                      <w:noProof/>
                      <w:lang w:val="it-IT" w:eastAsia="it-IT"/>
                    </w:rPr>
                    <m:t>x</m:t>
                  </m:r>
                </m:e>
              </m:acc>
            </m:oMath>
            <w:r w:rsidRPr="005B5A23">
              <w:rPr>
                <w:noProof/>
                <w:lang w:val="it-IT" w:eastAsia="it-IT"/>
              </w:rPr>
              <w:t xml:space="preserve">, </w:t>
            </w:r>
            <m:oMath>
              <m:r>
                <m:rPr>
                  <m:sty m:val="b"/>
                </m:rPr>
                <w:rPr>
                  <w:rFonts w:ascii="Cambria Math" w:hAnsi="Cambria Math"/>
                  <w:noProof/>
                  <w:lang w:val="it-IT" w:eastAsia="it-IT"/>
                </w:rPr>
                <m:t>x</m:t>
              </m:r>
            </m:oMath>
            <w:r w:rsidRPr="005B5A23">
              <w:rPr>
                <w:noProof/>
                <w:lang w:val="it-IT" w:eastAsia="it-IT"/>
              </w:rPr>
              <w:t xml:space="preserve"> , </w:t>
            </w:r>
            <m:oMath>
              <m:r>
                <m:rPr>
                  <m:sty m:val="b"/>
                </m:rPr>
                <w:rPr>
                  <w:rFonts w:ascii="Cambria Math" w:hAnsi="Cambria Math"/>
                  <w:noProof/>
                  <w:lang w:val="it-IT" w:eastAsia="it-IT"/>
                </w:rPr>
                <m:t>u</m:t>
              </m:r>
              <m:r>
                <m:rPr>
                  <m:sty m:val="p"/>
                </m:rPr>
                <w:rPr>
                  <w:rFonts w:ascii="Cambria Math" w:hAnsi="Cambria Math"/>
                  <w:noProof/>
                  <w:lang w:val="it-IT" w:eastAsia="it-IT"/>
                </w:rPr>
                <m:t xml:space="preserve">, </m:t>
              </m:r>
              <m:r>
                <m:rPr>
                  <m:sty m:val="b"/>
                </m:rPr>
                <w:rPr>
                  <w:rFonts w:ascii="Cambria Math" w:hAnsi="Cambria Math"/>
                  <w:noProof/>
                  <w:lang w:val="it-IT" w:eastAsia="it-IT"/>
                </w:rPr>
                <m:t>θ</m:t>
              </m:r>
              <m:r>
                <m:rPr>
                  <m:sty m:val="p"/>
                </m:rPr>
                <w:rPr>
                  <w:rFonts w:ascii="Cambria Math" w:hAnsi="Cambria Math"/>
                  <w:noProof/>
                  <w:lang w:val="it-IT" w:eastAsia="it-IT"/>
                </w:rPr>
                <m:t xml:space="preserve">, </m:t>
              </m:r>
              <m:r>
                <w:rPr>
                  <w:rFonts w:ascii="Cambria Math" w:hAnsi="Cambria Math"/>
                  <w:noProof/>
                  <w:lang w:val="it-IT" w:eastAsia="it-IT"/>
                </w:rPr>
                <m:t>t</m:t>
              </m:r>
              <m:r>
                <m:rPr>
                  <m:sty m:val="p"/>
                </m:rPr>
                <w:rPr>
                  <w:rFonts w:ascii="Cambria Math" w:hAnsi="Cambria Math"/>
                  <w:noProof/>
                  <w:lang w:val="it-IT" w:eastAsia="it-IT"/>
                </w:rPr>
                <m:t xml:space="preserve"> )</m:t>
              </m:r>
            </m:oMath>
            <w:r w:rsidRPr="005B5A23">
              <w:rPr>
                <w:noProof/>
                <w:lang w:val="it-IT" w:eastAsia="it-IT"/>
              </w:rPr>
              <w:t xml:space="preserve"> = 0   </w:t>
            </w:r>
          </w:p>
        </w:tc>
        <w:tc>
          <w:tcPr>
            <w:tcW w:w="817" w:type="dxa"/>
          </w:tcPr>
          <w:p w14:paraId="2E866B7D" w14:textId="77777777" w:rsidR="00807552" w:rsidRPr="00B57B36" w:rsidRDefault="00807552" w:rsidP="00F6176E">
            <w:pPr>
              <w:pStyle w:val="CETEquation"/>
              <w:spacing w:before="0" w:after="0"/>
            </w:pPr>
            <w:r w:rsidRPr="00B57B36">
              <w:t>(1)</w:t>
            </w:r>
          </w:p>
        </w:tc>
      </w:tr>
      <w:tr w:rsidR="00807552" w:rsidRPr="00B57B36" w14:paraId="16FC5B82" w14:textId="77777777" w:rsidTr="00F6176E">
        <w:tc>
          <w:tcPr>
            <w:tcW w:w="8209" w:type="dxa"/>
          </w:tcPr>
          <w:p w14:paraId="3B5F7927" w14:textId="77777777" w:rsidR="00807552" w:rsidRPr="005B5A23" w:rsidRDefault="00807552" w:rsidP="00F6176E">
            <w:pPr>
              <w:pStyle w:val="CETEquation"/>
              <w:rPr>
                <w:rFonts w:ascii="Calibri Light" w:eastAsia="Aptos" w:hAnsi="Calibri Light" w:cs="Calibri Light"/>
                <w:iCs/>
                <w:noProof/>
                <w:lang w:val="it-IT" w:eastAsia="it-IT"/>
              </w:rPr>
            </w:pPr>
            <m:oMath>
              <m:r>
                <m:rPr>
                  <m:sty m:val="b"/>
                </m:rPr>
                <w:rPr>
                  <w:rFonts w:ascii="Cambria Math" w:hAnsi="Cambria Math"/>
                  <w:noProof/>
                  <w:lang w:val="it-IT" w:eastAsia="it-IT"/>
                </w:rPr>
                <m:t>y</m:t>
              </m:r>
              <m:r>
                <m:rPr>
                  <m:sty m:val="p"/>
                </m:rPr>
                <w:rPr>
                  <w:rFonts w:ascii="Cambria Math" w:hAnsi="Cambria Math"/>
                  <w:noProof/>
                  <w:lang w:val="it-IT" w:eastAsia="it-IT"/>
                </w:rPr>
                <m:t xml:space="preserve"> =</m:t>
              </m:r>
              <m:r>
                <w:rPr>
                  <w:rFonts w:ascii="Cambria Math" w:hAnsi="Cambria Math"/>
                  <w:noProof/>
                  <w:lang w:val="it-IT" w:eastAsia="it-IT"/>
                </w:rPr>
                <m:t>h</m:t>
              </m:r>
              <m:r>
                <m:rPr>
                  <m:sty m:val="p"/>
                </m:rPr>
                <w:rPr>
                  <w:rFonts w:ascii="Cambria Math" w:hAnsi="Cambria Math"/>
                  <w:noProof/>
                  <w:lang w:val="it-IT" w:eastAsia="it-IT"/>
                </w:rPr>
                <m:t>(</m:t>
              </m:r>
              <m:r>
                <m:rPr>
                  <m:sty m:val="b"/>
                </m:rPr>
                <w:rPr>
                  <w:rFonts w:ascii="Cambria Math" w:hAnsi="Cambria Math"/>
                  <w:noProof/>
                  <w:lang w:val="it-IT" w:eastAsia="it-IT"/>
                </w:rPr>
                <m:t>x</m:t>
              </m:r>
              <m:r>
                <m:rPr>
                  <m:sty m:val="p"/>
                </m:rPr>
                <w:rPr>
                  <w:rFonts w:ascii="Cambria Math" w:hAnsi="Cambria Math"/>
                  <w:noProof/>
                  <w:lang w:val="it-IT" w:eastAsia="it-IT"/>
                </w:rPr>
                <m:t>,</m:t>
              </m:r>
              <m:r>
                <m:rPr>
                  <m:sty m:val="b"/>
                </m:rPr>
                <w:rPr>
                  <w:rFonts w:ascii="Cambria Math" w:hAnsi="Cambria Math"/>
                  <w:noProof/>
                  <w:lang w:val="it-IT" w:eastAsia="it-IT"/>
                </w:rPr>
                <m:t>u</m:t>
              </m:r>
              <m:r>
                <m:rPr>
                  <m:sty m:val="p"/>
                </m:rPr>
                <w:rPr>
                  <w:rFonts w:ascii="Cambria Math" w:hAnsi="Cambria Math"/>
                  <w:noProof/>
                  <w:lang w:val="it-IT" w:eastAsia="it-IT"/>
                </w:rPr>
                <m:t>,</m:t>
              </m:r>
              <m:r>
                <m:rPr>
                  <m:sty m:val="b"/>
                </m:rPr>
                <w:rPr>
                  <w:rFonts w:ascii="Cambria Math" w:hAnsi="Cambria Math"/>
                  <w:noProof/>
                  <w:lang w:val="it-IT" w:eastAsia="it-IT"/>
                </w:rPr>
                <m:t>v</m:t>
              </m:r>
              <m:r>
                <m:rPr>
                  <m:sty m:val="p"/>
                </m:rPr>
                <w:rPr>
                  <w:rFonts w:ascii="Cambria Math" w:hAnsi="Cambria Math"/>
                  <w:noProof/>
                  <w:lang w:val="it-IT" w:eastAsia="it-IT"/>
                </w:rPr>
                <m:t>)</m:t>
              </m:r>
            </m:oMath>
            <w:r w:rsidRPr="005B5A23">
              <w:rPr>
                <w:noProof/>
                <w:lang w:val="it-IT" w:eastAsia="it-IT"/>
              </w:rPr>
              <w:t xml:space="preserve">                           </w:t>
            </w:r>
          </w:p>
        </w:tc>
        <w:tc>
          <w:tcPr>
            <w:tcW w:w="817" w:type="dxa"/>
          </w:tcPr>
          <w:p w14:paraId="58B79C84" w14:textId="77777777" w:rsidR="00807552" w:rsidRPr="00B57B36" w:rsidRDefault="00807552" w:rsidP="00F6176E">
            <w:pPr>
              <w:pStyle w:val="CETEquation"/>
            </w:pPr>
            <w:r>
              <w:t>(2)</w:t>
            </w:r>
          </w:p>
        </w:tc>
      </w:tr>
    </w:tbl>
    <w:p w14:paraId="6A4F3EC0" w14:textId="77777777" w:rsidR="00807552" w:rsidRPr="00E449D0" w:rsidRDefault="00807552" w:rsidP="00807552">
      <w:pPr>
        <w:pStyle w:val="CETBodytext"/>
      </w:pPr>
      <w:r>
        <w:t>where</w:t>
      </w:r>
      <w:r w:rsidRPr="00E449D0">
        <w:t xml:space="preserve">  </w:t>
      </w:r>
      <m:oMath>
        <m:r>
          <m:rPr>
            <m:sty m:val="b"/>
          </m:rPr>
          <w:rPr>
            <w:rFonts w:ascii="Cambria Math" w:hAnsi="Cambria Math"/>
          </w:rPr>
          <m:t>x</m:t>
        </m:r>
        <m:r>
          <m:rPr>
            <m:sty m:val="p"/>
          </m:rPr>
          <w:rPr>
            <w:rFonts w:ascii="Cambria Math" w:hAnsi="Cambria Math"/>
          </w:rPr>
          <m:t xml:space="preserve"> </m:t>
        </m:r>
        <m:r>
          <w:rPr>
            <w:rFonts w:ascii="Cambria Math" w:hAnsi="Cambria Math"/>
          </w:rPr>
          <m:t>ϵ</m:t>
        </m:r>
        <m:r>
          <m:rPr>
            <m:sty m:val="p"/>
          </m:rPr>
          <w:rPr>
            <w:rFonts w:ascii="Cambria Math" w:hAnsi="Cambria Math"/>
          </w:rPr>
          <m:t xml:space="preserve"> </m:t>
        </m:r>
        <m:sSup>
          <m:sSupPr>
            <m:ctrlPr>
              <w:rPr>
                <w:rFonts w:ascii="Cambria Math" w:hAnsi="Cambria Math"/>
              </w:rPr>
            </m:ctrlPr>
          </m:sSupPr>
          <m:e>
            <m:r>
              <w:rPr>
                <w:rFonts w:ascii="Cambria Math" w:hAnsi="Cambria Math"/>
              </w:rPr>
              <m:t>R</m:t>
            </m:r>
          </m:e>
          <m:sup>
            <m:sSub>
              <m:sSubPr>
                <m:ctrlPr>
                  <w:rPr>
                    <w:rFonts w:ascii="Cambria Math" w:hAnsi="Cambria Math"/>
                  </w:rPr>
                </m:ctrlPr>
              </m:sSubPr>
              <m:e>
                <m:r>
                  <w:rPr>
                    <w:rFonts w:ascii="Cambria Math" w:hAnsi="Cambria Math"/>
                  </w:rPr>
                  <m:t>n</m:t>
                </m:r>
              </m:e>
              <m:sub>
                <m:r>
                  <w:rPr>
                    <w:rFonts w:ascii="Cambria Math" w:hAnsi="Cambria Math"/>
                  </w:rPr>
                  <m:t>x</m:t>
                </m:r>
              </m:sub>
            </m:sSub>
          </m:sup>
        </m:sSup>
        <m:r>
          <m:rPr>
            <m:sty m:val="p"/>
          </m:rPr>
          <w:rPr>
            <w:rFonts w:ascii="Cambria Math" w:hAnsi="Cambria Math"/>
          </w:rPr>
          <m:t xml:space="preserve"> </m:t>
        </m:r>
      </m:oMath>
      <w:r w:rsidRPr="00E449D0">
        <w:t xml:space="preserve"> </w:t>
      </w:r>
      <w:r>
        <w:t>is the vector of state variables</w:t>
      </w:r>
      <w:r w:rsidRPr="00E449D0">
        <w:t xml:space="preserve">, </w:t>
      </w:r>
      <m:oMath>
        <m:acc>
          <m:accPr>
            <m:chr m:val="̇"/>
            <m:ctrlPr>
              <w:rPr>
                <w:rFonts w:ascii="Cambria Math" w:hAnsi="Cambria Math"/>
                <w:szCs w:val="18"/>
              </w:rPr>
            </m:ctrlPr>
          </m:accPr>
          <m:e>
            <m:acc>
              <m:accPr>
                <m:chr m:val="̇"/>
                <m:ctrlPr>
                  <w:rPr>
                    <w:rFonts w:ascii="Cambria Math" w:hAnsi="Cambria Math"/>
                    <w:b/>
                    <w:szCs w:val="18"/>
                  </w:rPr>
                </m:ctrlPr>
              </m:accPr>
              <m:e>
                <m:r>
                  <m:rPr>
                    <m:sty m:val="b"/>
                  </m:rPr>
                  <w:rPr>
                    <w:rFonts w:ascii="Cambria Math" w:hAnsi="Cambria Math"/>
                    <w:noProof/>
                    <w:szCs w:val="18"/>
                    <w:lang w:val="it-IT" w:eastAsia="it-IT"/>
                  </w:rPr>
                  <m:t>x</m:t>
                </m:r>
              </m:e>
            </m:acc>
          </m:e>
        </m:acc>
      </m:oMath>
      <w:r>
        <w:t xml:space="preserve"> is their derivative with respect to time </w:t>
      </w:r>
      <m:oMath>
        <m:r>
          <w:rPr>
            <w:rFonts w:ascii="Cambria Math" w:hAnsi="Cambria Math"/>
            <w:noProof/>
            <w:szCs w:val="18"/>
            <w:lang w:val="it-IT" w:eastAsia="it-IT"/>
          </w:rPr>
          <m:t>t</m:t>
        </m:r>
      </m:oMath>
      <w:r w:rsidRPr="004F3E72">
        <w:rPr>
          <w:szCs w:val="18"/>
          <w:lang w:eastAsia="it-IT"/>
        </w:rPr>
        <w:t>,</w:t>
      </w:r>
      <w:r w:rsidRPr="00E449D0">
        <w:t xml:space="preserve"> </w:t>
      </w:r>
      <m:oMath>
        <m:r>
          <m:rPr>
            <m:sty m:val="b"/>
          </m:rPr>
          <w:rPr>
            <w:rFonts w:ascii="Cambria Math" w:hAnsi="Cambria Math"/>
          </w:rPr>
          <m:t>u</m:t>
        </m:r>
        <m:r>
          <m:rPr>
            <m:sty m:val="p"/>
          </m:rPr>
          <w:rPr>
            <w:rFonts w:ascii="Cambria Math" w:hAnsi="Cambria Math"/>
          </w:rPr>
          <m:t xml:space="preserve"> </m:t>
        </m:r>
        <m:r>
          <w:rPr>
            <w:rFonts w:ascii="Cambria Math" w:hAnsi="Cambria Math"/>
          </w:rPr>
          <m:t>ϵ</m:t>
        </m:r>
        <m:r>
          <m:rPr>
            <m:sty m:val="p"/>
          </m:rPr>
          <w:rPr>
            <w:rFonts w:ascii="Cambria Math" w:hAnsi="Cambria Math"/>
          </w:rPr>
          <m:t xml:space="preserve"> </m:t>
        </m:r>
        <m:sSup>
          <m:sSupPr>
            <m:ctrlPr>
              <w:rPr>
                <w:rFonts w:ascii="Cambria Math" w:hAnsi="Cambria Math"/>
              </w:rPr>
            </m:ctrlPr>
          </m:sSupPr>
          <m:e>
            <m:r>
              <w:rPr>
                <w:rFonts w:ascii="Cambria Math" w:hAnsi="Cambria Math"/>
              </w:rPr>
              <m:t>R</m:t>
            </m:r>
          </m:e>
          <m:sup>
            <m:sSub>
              <m:sSubPr>
                <m:ctrlPr>
                  <w:rPr>
                    <w:rFonts w:ascii="Cambria Math" w:hAnsi="Cambria Math"/>
                  </w:rPr>
                </m:ctrlPr>
              </m:sSubPr>
              <m:e>
                <m:r>
                  <w:rPr>
                    <w:rFonts w:ascii="Cambria Math" w:hAnsi="Cambria Math"/>
                  </w:rPr>
                  <m:t>n</m:t>
                </m:r>
              </m:e>
              <m:sub>
                <m:r>
                  <w:rPr>
                    <w:rFonts w:ascii="Cambria Math" w:hAnsi="Cambria Math"/>
                  </w:rPr>
                  <m:t>u</m:t>
                </m:r>
              </m:sub>
            </m:sSub>
          </m:sup>
        </m:sSup>
        <m:r>
          <m:rPr>
            <m:sty m:val="p"/>
          </m:rPr>
          <w:rPr>
            <w:rFonts w:ascii="Cambria Math" w:hAnsi="Cambria Math"/>
          </w:rPr>
          <m:t xml:space="preserve"> </m:t>
        </m:r>
      </m:oMath>
      <w:r>
        <w:t>the vector of manipulated input variables, assumed to be time-invariant in this study,</w:t>
      </w:r>
      <w:r w:rsidRPr="00E449D0">
        <w:t xml:space="preserve"> </w:t>
      </w:r>
      <w:r>
        <w:t xml:space="preserve">and </w:t>
      </w:r>
      <m:oMath>
        <m:r>
          <m:rPr>
            <m:sty m:val="b"/>
          </m:rPr>
          <w:rPr>
            <w:rFonts w:ascii="Cambria Math" w:hAnsi="Cambria Math"/>
          </w:rPr>
          <m:t>θ</m:t>
        </m:r>
        <m:r>
          <m:rPr>
            <m:sty m:val="p"/>
          </m:rPr>
          <w:rPr>
            <w:rFonts w:ascii="Cambria Math" w:hAnsi="Cambria Math"/>
          </w:rPr>
          <m:t xml:space="preserve"> </m:t>
        </m:r>
        <m:r>
          <w:rPr>
            <w:rFonts w:ascii="Cambria Math" w:hAnsi="Cambria Math"/>
          </w:rPr>
          <m:t>ϵ</m:t>
        </m:r>
        <m:r>
          <m:rPr>
            <m:sty m:val="p"/>
          </m:rPr>
          <w:rPr>
            <w:rFonts w:ascii="Cambria Math" w:hAnsi="Cambria Math"/>
          </w:rPr>
          <m:t xml:space="preserve"> </m:t>
        </m:r>
        <m:sSup>
          <m:sSupPr>
            <m:ctrlPr>
              <w:rPr>
                <w:rFonts w:ascii="Cambria Math" w:hAnsi="Cambria Math"/>
              </w:rPr>
            </m:ctrlPr>
          </m:sSupPr>
          <m:e>
            <m:r>
              <w:rPr>
                <w:rFonts w:ascii="Cambria Math" w:hAnsi="Cambria Math"/>
              </w:rPr>
              <m:t>R</m:t>
            </m:r>
          </m:e>
          <m:sup>
            <m:sSub>
              <m:sSubPr>
                <m:ctrlPr>
                  <w:rPr>
                    <w:rFonts w:ascii="Cambria Math" w:hAnsi="Cambria Math"/>
                  </w:rPr>
                </m:ctrlPr>
              </m:sSubPr>
              <m:e>
                <m:r>
                  <w:rPr>
                    <w:rFonts w:ascii="Cambria Math" w:hAnsi="Cambria Math"/>
                  </w:rPr>
                  <m:t>n</m:t>
                </m:r>
              </m:e>
              <m:sub>
                <m:r>
                  <w:rPr>
                    <w:rFonts w:ascii="Cambria Math" w:hAnsi="Cambria Math"/>
                  </w:rPr>
                  <m:t>θ</m:t>
                </m:r>
              </m:sub>
            </m:sSub>
          </m:sup>
        </m:sSup>
      </m:oMath>
      <w:r>
        <w:t xml:space="preserve"> the vector of model parameters. The output vector </w:t>
      </w:r>
      <m:oMath>
        <m:r>
          <m:rPr>
            <m:sty m:val="b"/>
          </m:rPr>
          <w:rPr>
            <w:rFonts w:ascii="Cambria Math" w:hAnsi="Cambria Math"/>
          </w:rPr>
          <m:t>y</m:t>
        </m:r>
        <m:r>
          <m:rPr>
            <m:sty m:val="p"/>
          </m:rPr>
          <w:rPr>
            <w:rFonts w:ascii="Cambria Math" w:hAnsi="Cambria Math"/>
          </w:rPr>
          <m:t xml:space="preserve"> </m:t>
        </m:r>
        <m:r>
          <w:rPr>
            <w:rFonts w:ascii="Cambria Math" w:hAnsi="Cambria Math"/>
          </w:rPr>
          <m:t>ϵ</m:t>
        </m:r>
        <m:r>
          <m:rPr>
            <m:sty m:val="p"/>
          </m:rPr>
          <w:rPr>
            <w:rFonts w:ascii="Cambria Math" w:hAnsi="Cambria Math"/>
          </w:rPr>
          <m:t xml:space="preserve"> </m:t>
        </m:r>
        <m:sSup>
          <m:sSupPr>
            <m:ctrlPr>
              <w:rPr>
                <w:rFonts w:ascii="Cambria Math" w:hAnsi="Cambria Math"/>
              </w:rPr>
            </m:ctrlPr>
          </m:sSupPr>
          <m:e>
            <m:r>
              <w:rPr>
                <w:rFonts w:ascii="Cambria Math" w:hAnsi="Cambria Math"/>
              </w:rPr>
              <m:t>R</m:t>
            </m:r>
          </m:e>
          <m:sup>
            <m:sSub>
              <m:sSubPr>
                <m:ctrlPr>
                  <w:rPr>
                    <w:rFonts w:ascii="Cambria Math" w:hAnsi="Cambria Math"/>
                  </w:rPr>
                </m:ctrlPr>
              </m:sSubPr>
              <m:e>
                <m:r>
                  <w:rPr>
                    <w:rFonts w:ascii="Cambria Math" w:hAnsi="Cambria Math"/>
                  </w:rPr>
                  <m:t>n</m:t>
                </m:r>
              </m:e>
              <m:sub>
                <m:r>
                  <w:rPr>
                    <w:rFonts w:ascii="Cambria Math" w:hAnsi="Cambria Math"/>
                  </w:rPr>
                  <m:t>y</m:t>
                </m:r>
              </m:sub>
            </m:sSub>
          </m:sup>
        </m:sSup>
      </m:oMath>
      <w:r>
        <w:t xml:space="preserve"> </w:t>
      </w:r>
      <w:r w:rsidRPr="00E449D0">
        <w:t xml:space="preserve">denote the </w:t>
      </w:r>
      <w:r>
        <w:t xml:space="preserve">vectors of </w:t>
      </w:r>
      <w:r w:rsidRPr="00E449D0">
        <w:t>response variables that are measurable</w:t>
      </w:r>
      <w:r>
        <w:t xml:space="preserve"> (Asprey and </w:t>
      </w:r>
      <w:proofErr w:type="spellStart"/>
      <w:r>
        <w:t>Macchietto</w:t>
      </w:r>
      <w:proofErr w:type="spellEnd"/>
      <w:r>
        <w:t xml:space="preserve">, 2000) and </w:t>
      </w:r>
      <m:oMath>
        <m:r>
          <m:rPr>
            <m:sty m:val="b"/>
          </m:rPr>
          <w:rPr>
            <w:rFonts w:ascii="Cambria Math" w:hAnsi="Cambria Math"/>
            <w:color w:val="000000" w:themeColor="text1"/>
          </w:rPr>
          <m:t>v</m:t>
        </m:r>
        <m:r>
          <m:rPr>
            <m:sty m:val="p"/>
          </m:rPr>
          <w:rPr>
            <w:rFonts w:ascii="Cambria Math" w:hAnsi="Cambria Math"/>
            <w:color w:val="000000" w:themeColor="text1"/>
          </w:rPr>
          <m:t xml:space="preserve"> </m:t>
        </m:r>
        <m:r>
          <w:rPr>
            <w:rFonts w:ascii="Cambria Math" w:hAnsi="Cambria Math"/>
            <w:color w:val="000000" w:themeColor="text1"/>
          </w:rPr>
          <m:t>ϵ</m:t>
        </m:r>
        <m:r>
          <m:rPr>
            <m:sty m:val="p"/>
          </m:rPr>
          <w:rPr>
            <w:rFonts w:ascii="Cambria Math" w:hAnsi="Cambria Math"/>
            <w:color w:val="000000" w:themeColor="text1"/>
          </w:rPr>
          <m:t xml:space="preserve"> </m:t>
        </m:r>
        <m:sSup>
          <m:sSupPr>
            <m:ctrlPr>
              <w:rPr>
                <w:rFonts w:ascii="Cambria Math" w:hAnsi="Cambria Math"/>
                <w:color w:val="000000" w:themeColor="text1"/>
              </w:rPr>
            </m:ctrlPr>
          </m:sSupPr>
          <m:e>
            <m:r>
              <w:rPr>
                <w:rFonts w:ascii="Cambria Math" w:hAnsi="Cambria Math"/>
                <w:color w:val="000000" w:themeColor="text1"/>
              </w:rPr>
              <m:t>R</m:t>
            </m:r>
          </m:e>
          <m:sup>
            <m:sSub>
              <m:sSubPr>
                <m:ctrlPr>
                  <w:rPr>
                    <w:rFonts w:ascii="Cambria Math" w:hAnsi="Cambria Math"/>
                    <w:color w:val="000000" w:themeColor="text1"/>
                  </w:rPr>
                </m:ctrlPr>
              </m:sSubPr>
              <m:e>
                <m:r>
                  <w:rPr>
                    <w:rFonts w:ascii="Cambria Math" w:hAnsi="Cambria Math"/>
                    <w:color w:val="000000" w:themeColor="text1"/>
                  </w:rPr>
                  <m:t>n</m:t>
                </m:r>
              </m:e>
              <m:sub>
                <m:r>
                  <w:rPr>
                    <w:rFonts w:ascii="Cambria Math" w:hAnsi="Cambria Math"/>
                    <w:color w:val="000000" w:themeColor="text1"/>
                  </w:rPr>
                  <m:t>v</m:t>
                </m:r>
              </m:sub>
            </m:sSub>
          </m:sup>
        </m:sSup>
      </m:oMath>
      <w:r>
        <w:t xml:space="preserve"> denoted the process or measurement noise.</w:t>
      </w:r>
      <w:r w:rsidRPr="00E449D0">
        <w:t xml:space="preserve"> </w:t>
      </w:r>
      <w:r w:rsidRPr="00F0343D">
        <w:t xml:space="preserve">Although the general system formulation in </w:t>
      </w:r>
      <w:r w:rsidRPr="00C94049">
        <w:t>Equations (1) and (2) are expressed with respect to time</w:t>
      </w:r>
      <w:r w:rsidRPr="00C94049">
        <w:rPr>
          <w:szCs w:val="18"/>
        </w:rPr>
        <w:t xml:space="preserve"> </w:t>
      </w:r>
      <m:oMath>
        <m:r>
          <w:rPr>
            <w:rFonts w:ascii="Cambria Math" w:hAnsi="Cambria Math"/>
            <w:noProof/>
            <w:szCs w:val="18"/>
            <w:lang w:val="it-IT" w:eastAsia="it-IT"/>
          </w:rPr>
          <m:t>t</m:t>
        </m:r>
      </m:oMath>
      <w:r w:rsidRPr="00C94049" w:rsidDel="00D9544E">
        <w:t xml:space="preserve"> </w:t>
      </w:r>
      <w:r w:rsidRPr="00C94049">
        <w:t xml:space="preserve">, the reactor model employed in this study is defined </w:t>
      </w:r>
      <w:r w:rsidRPr="00C94049">
        <w:lastRenderedPageBreak/>
        <w:t xml:space="preserve">with respect to catalyst mass </w:t>
      </w:r>
      <m:oMath>
        <m:r>
          <w:rPr>
            <w:rFonts w:ascii="Cambria Math" w:hAnsi="Cambria Math"/>
            <w:szCs w:val="18"/>
          </w:rPr>
          <m:t>w</m:t>
        </m:r>
      </m:oMath>
      <w:r w:rsidRPr="00C94049">
        <w:t xml:space="preserve"> as the independent variable, which is common in plug flow catalytic reactor modelling</w:t>
      </w:r>
      <w:r>
        <w:t xml:space="preserve">. </w:t>
      </w:r>
      <w:r w:rsidRPr="00E449D0">
        <w:t xml:space="preserve">The </w:t>
      </w:r>
      <w:r>
        <w:t xml:space="preserve">detailed </w:t>
      </w:r>
      <w:r w:rsidRPr="00E449D0">
        <w:t>reactor model for catalytic methane oxidation</w:t>
      </w:r>
      <w:r>
        <w:t xml:space="preserve">, adapted from </w:t>
      </w:r>
      <w:r w:rsidRPr="00E449D0">
        <w:t xml:space="preserve">Bawa et al. </w:t>
      </w:r>
      <w:r>
        <w:t>(2023)</w:t>
      </w:r>
      <w:r w:rsidRPr="00E449D0">
        <w:t xml:space="preserve">, </w:t>
      </w:r>
      <w:r>
        <w:t>is expressed through the following system of</w:t>
      </w:r>
      <w:r w:rsidRPr="00E449D0">
        <w:t xml:space="preserve"> ordinary differential equations (ODEs)</w:t>
      </w:r>
      <w:r>
        <w:t xml:space="preserve"> </w:t>
      </w:r>
      <w:r w:rsidRPr="00E449D0">
        <w:t xml:space="preserve">with respect to </w:t>
      </w:r>
      <w:r>
        <w:t xml:space="preserve">the </w:t>
      </w:r>
      <w:r w:rsidRPr="00E449D0">
        <w:t>catalyst mass </w:t>
      </w:r>
      <w:r w:rsidRPr="004F3E72">
        <w:rPr>
          <w:i/>
          <w:iCs/>
        </w:rPr>
        <w:t xml:space="preserve">w </w:t>
      </w:r>
      <w:r>
        <w:t>(g)</w:t>
      </w:r>
      <w:r w:rsidRPr="00E449D0">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9"/>
        <w:gridCol w:w="817"/>
      </w:tblGrid>
      <w:tr w:rsidR="00807552" w:rsidRPr="00B57B36" w14:paraId="4B767307" w14:textId="77777777" w:rsidTr="00F6176E">
        <w:tc>
          <w:tcPr>
            <w:tcW w:w="8209" w:type="dxa"/>
          </w:tcPr>
          <w:p w14:paraId="7D273240" w14:textId="6969CE7E" w:rsidR="00807552" w:rsidRPr="005B5A23" w:rsidRDefault="00000000" w:rsidP="00F6176E">
            <w:pPr>
              <w:pStyle w:val="CETEquation"/>
              <w:rPr>
                <w:rFonts w:eastAsiaTheme="minorEastAsia"/>
                <w:lang w:val="en-CA"/>
              </w:rPr>
            </w:pPr>
            <m:oMath>
              <m:f>
                <m:fPr>
                  <m:ctrlPr>
                    <w:rPr>
                      <w:rFonts w:ascii="Cambria Math" w:hAnsi="Cambria Math"/>
                    </w:rPr>
                  </m:ctrlPr>
                </m:fPr>
                <m:num>
                  <m:r>
                    <w:rPr>
                      <w:rFonts w:ascii="Cambria Math" w:hAnsi="Cambria Math"/>
                    </w:rPr>
                    <m:t>d</m:t>
                  </m:r>
                  <m:sSub>
                    <m:sSubPr>
                      <m:ctrlPr>
                        <w:rPr>
                          <w:rFonts w:ascii="Cambria Math" w:hAnsi="Cambria Math"/>
                        </w:rPr>
                      </m:ctrlPr>
                    </m:sSubPr>
                    <m:e>
                      <m:r>
                        <w:rPr>
                          <w:rFonts w:ascii="Cambria Math" w:hAnsi="Cambria Math"/>
                        </w:rPr>
                        <m:t>x</m:t>
                      </m:r>
                    </m:e>
                    <m:sub>
                      <m:r>
                        <m:rPr>
                          <m:sty m:val="p"/>
                        </m:rPr>
                        <w:rPr>
                          <w:rFonts w:ascii="Cambria Math" w:hAnsi="Cambria Math"/>
                        </w:rPr>
                        <m:t>1</m:t>
                      </m:r>
                    </m:sub>
                  </m:sSub>
                </m:num>
                <m:den>
                  <m:r>
                    <w:rPr>
                      <w:rFonts w:ascii="Cambria Math" w:hAnsi="Cambria Math"/>
                    </w:rPr>
                    <m:t>dw</m:t>
                  </m:r>
                </m:den>
              </m:f>
            </m:oMath>
            <w:r w:rsidR="00807552" w:rsidRPr="00DA62A3">
              <w:t xml:space="preserve">  = </w:t>
            </w:r>
            <m:oMath>
              <m:f>
                <m:fPr>
                  <m:ctrlPr>
                    <w:rPr>
                      <w:rFonts w:ascii="Cambria Math" w:hAnsi="Cambria Math"/>
                    </w:rPr>
                  </m:ctrlPr>
                </m:fPr>
                <m:num>
                  <m:r>
                    <w:rPr>
                      <w:rFonts w:ascii="Cambria Math" w:hAnsi="Cambria Math"/>
                    </w:rPr>
                    <m:t>R</m:t>
                  </m:r>
                  <m:r>
                    <m:rPr>
                      <m:sty m:val="p"/>
                    </m:rPr>
                    <w:rPr>
                      <w:rFonts w:ascii="Cambria Math" w:hAnsi="Cambria Math"/>
                    </w:rPr>
                    <m:t>.</m:t>
                  </m:r>
                  <m:sSub>
                    <m:sSubPr>
                      <m:ctrlPr>
                        <w:rPr>
                          <w:rFonts w:ascii="Cambria Math" w:hAnsi="Cambria Math"/>
                        </w:rPr>
                      </m:ctrlPr>
                    </m:sSubPr>
                    <m:e>
                      <m:r>
                        <w:rPr>
                          <w:rFonts w:ascii="Cambria Math" w:hAnsi="Cambria Math"/>
                        </w:rPr>
                        <m:t>u</m:t>
                      </m:r>
                    </m:e>
                    <m:sub>
                      <m:r>
                        <m:rPr>
                          <m:sty m:val="p"/>
                        </m:rPr>
                        <w:rPr>
                          <w:rFonts w:ascii="Cambria Math" w:hAnsi="Cambria Math"/>
                        </w:rPr>
                        <m:t>1</m:t>
                      </m:r>
                    </m:sub>
                  </m:sSub>
                </m:num>
                <m:den>
                  <m:sSub>
                    <m:sSubPr>
                      <m:ctrlPr>
                        <w:rPr>
                          <w:rFonts w:ascii="Cambria Math" w:hAnsi="Cambria Math"/>
                        </w:rPr>
                      </m:ctrlPr>
                    </m:sSubPr>
                    <m:e>
                      <m:r>
                        <w:rPr>
                          <w:rFonts w:ascii="Cambria Math" w:hAnsi="Cambria Math"/>
                        </w:rPr>
                        <m:t>u</m:t>
                      </m:r>
                    </m:e>
                    <m:sub>
                      <m:r>
                        <m:rPr>
                          <m:sty m:val="p"/>
                        </m:rPr>
                        <w:rPr>
                          <w:rFonts w:ascii="Cambria Math" w:hAnsi="Cambria Math"/>
                        </w:rPr>
                        <m:t>2</m:t>
                      </m:r>
                    </m:sub>
                  </m:sSub>
                  <m:sSub>
                    <m:sSubPr>
                      <m:ctrlPr>
                        <w:rPr>
                          <w:rFonts w:ascii="Cambria Math" w:hAnsi="Cambria Math"/>
                        </w:rPr>
                      </m:ctrlPr>
                    </m:sSubPr>
                    <m:e>
                      <m:r>
                        <w:rPr>
                          <w:rFonts w:ascii="Cambria Math" w:hAnsi="Cambria Math"/>
                        </w:rPr>
                        <m:t>P</m:t>
                      </m:r>
                    </m:e>
                    <m:sub>
                      <m:r>
                        <w:rPr>
                          <w:rFonts w:ascii="Cambria Math" w:hAnsi="Cambria Math"/>
                        </w:rPr>
                        <m:t>avg</m:t>
                      </m:r>
                    </m:sub>
                  </m:sSub>
                </m:den>
              </m:f>
            </m:oMath>
            <w:r w:rsidR="00807552" w:rsidRPr="00DA62A3">
              <w:rPr>
                <w:rFonts w:eastAsiaTheme="minorEastAsia"/>
              </w:rPr>
              <w:t xml:space="preserve"> </w:t>
            </w:r>
            <m:oMath>
              <m:r>
                <m:rPr>
                  <m:sty m:val="p"/>
                </m:rPr>
                <w:rPr>
                  <w:rFonts w:ascii="Cambria Math" w:eastAsiaTheme="minorEastAsia" w:hAnsi="Cambria Math"/>
                </w:rPr>
                <m:t xml:space="preserve"> -</m:t>
              </m:r>
              <m:r>
                <w:rPr>
                  <w:rFonts w:ascii="Cambria Math" w:eastAsiaTheme="minorEastAsia" w:hAnsi="Cambria Math"/>
                </w:rPr>
                <m:t>r</m:t>
              </m:r>
            </m:oMath>
            <w:r w:rsidR="00807552" w:rsidRPr="00DA62A3">
              <w:rPr>
                <w:rFonts w:eastAsiaTheme="minorEastAsia"/>
              </w:rPr>
              <w:t xml:space="preserve">  </w:t>
            </w:r>
            <m:oMath>
              <m:sSub>
                <m:sSubPr>
                  <m:ctrlPr>
                    <w:rPr>
                      <w:rFonts w:ascii="Cambria Math" w:eastAsiaTheme="minorEastAsia" w:hAnsi="Cambria Math"/>
                    </w:rPr>
                  </m:ctrlPr>
                </m:sSubPr>
                <m:e>
                  <m:r>
                    <w:rPr>
                      <w:rFonts w:ascii="Cambria Math" w:eastAsiaTheme="minorEastAsia" w:hAnsi="Cambria Math"/>
                    </w:rPr>
                    <m:t>x</m:t>
                  </m:r>
                </m:e>
                <m:sub>
                  <m:r>
                    <m:rPr>
                      <m:sty m:val="p"/>
                    </m:rPr>
                    <w:rPr>
                      <w:rFonts w:ascii="Cambria Math" w:eastAsiaTheme="minorEastAsia" w:hAnsi="Cambria Math"/>
                    </w:rPr>
                    <m:t>1</m:t>
                  </m:r>
                </m:sub>
              </m:sSub>
              <m:d>
                <m:dPr>
                  <m:ctrlPr>
                    <w:rPr>
                      <w:rFonts w:ascii="Cambria Math" w:eastAsiaTheme="minorEastAsia" w:hAnsi="Cambria Math"/>
                    </w:rPr>
                  </m:ctrlPr>
                </m:dPr>
                <m:e>
                  <m:r>
                    <m:rPr>
                      <m:sty m:val="p"/>
                    </m:rPr>
                    <w:rPr>
                      <w:rFonts w:ascii="Cambria Math" w:eastAsiaTheme="minorEastAsia" w:hAnsi="Cambria Math"/>
                    </w:rPr>
                    <m:t>0</m:t>
                  </m:r>
                </m:e>
              </m:d>
              <m:r>
                <m:rPr>
                  <m:sty m:val="p"/>
                </m:rPr>
                <w:rPr>
                  <w:rFonts w:ascii="Cambria Math" w:eastAsiaTheme="minorEastAsia" w:hAnsi="Cambria Math"/>
                </w:rPr>
                <m:t xml:space="preserve">= </m:t>
              </m:r>
              <m:sSub>
                <m:sSubPr>
                  <m:ctrlPr>
                    <w:rPr>
                      <w:rFonts w:ascii="Cambria Math" w:eastAsiaTheme="minorEastAsia" w:hAnsi="Cambria Math"/>
                    </w:rPr>
                  </m:ctrlPr>
                </m:sSubPr>
                <m:e>
                  <m:r>
                    <w:rPr>
                      <w:rFonts w:ascii="Cambria Math" w:eastAsiaTheme="minorEastAsia" w:hAnsi="Cambria Math"/>
                    </w:rPr>
                    <m:t>u</m:t>
                  </m:r>
                </m:e>
                <m:sub>
                  <m:r>
                    <m:rPr>
                      <m:sty m:val="p"/>
                    </m:rPr>
                    <w:rPr>
                      <w:rFonts w:ascii="Cambria Math" w:eastAsiaTheme="minorEastAsia" w:hAnsi="Cambria Math"/>
                    </w:rPr>
                    <m:t>4</m:t>
                  </m:r>
                </m:sub>
              </m:sSub>
            </m:oMath>
          </w:p>
        </w:tc>
        <w:tc>
          <w:tcPr>
            <w:tcW w:w="817" w:type="dxa"/>
          </w:tcPr>
          <w:p w14:paraId="63BFADAB" w14:textId="77777777" w:rsidR="00807552" w:rsidRPr="00B57B36" w:rsidRDefault="00807552" w:rsidP="00F6176E">
            <w:pPr>
              <w:pStyle w:val="CETEquation"/>
            </w:pPr>
            <w:r>
              <w:t>(3)</w:t>
            </w:r>
          </w:p>
        </w:tc>
      </w:tr>
      <w:tr w:rsidR="00807552" w:rsidRPr="00B57B36" w14:paraId="2CA52131" w14:textId="77777777" w:rsidTr="00F6176E">
        <w:tc>
          <w:tcPr>
            <w:tcW w:w="8209" w:type="dxa"/>
          </w:tcPr>
          <w:p w14:paraId="1A27C1B1" w14:textId="21E50126" w:rsidR="00807552" w:rsidRPr="0033707E" w:rsidRDefault="00000000" w:rsidP="00F6176E">
            <w:pPr>
              <w:pStyle w:val="CETEquation"/>
              <w:rPr>
                <w:rFonts w:eastAsia="Aptos"/>
              </w:rPr>
            </w:pPr>
            <m:oMath>
              <m:f>
                <m:fPr>
                  <m:ctrlPr>
                    <w:rPr>
                      <w:rFonts w:ascii="Cambria Math" w:hAnsi="Cambria Math"/>
                    </w:rPr>
                  </m:ctrlPr>
                </m:fPr>
                <m:num>
                  <m:r>
                    <w:rPr>
                      <w:rFonts w:ascii="Cambria Math" w:hAnsi="Cambria Math"/>
                    </w:rPr>
                    <m:t>d</m:t>
                  </m:r>
                  <m:sSub>
                    <m:sSubPr>
                      <m:ctrlPr>
                        <w:rPr>
                          <w:rFonts w:ascii="Cambria Math" w:hAnsi="Cambria Math"/>
                        </w:rPr>
                      </m:ctrlPr>
                    </m:sSubPr>
                    <m:e>
                      <m:r>
                        <w:rPr>
                          <w:rFonts w:ascii="Cambria Math" w:hAnsi="Cambria Math"/>
                        </w:rPr>
                        <m:t>x</m:t>
                      </m:r>
                    </m:e>
                    <m:sub>
                      <m:r>
                        <m:rPr>
                          <m:sty m:val="p"/>
                        </m:rPr>
                        <w:rPr>
                          <w:rFonts w:ascii="Cambria Math" w:hAnsi="Cambria Math"/>
                        </w:rPr>
                        <m:t>2</m:t>
                      </m:r>
                    </m:sub>
                  </m:sSub>
                </m:num>
                <m:den>
                  <m:r>
                    <w:rPr>
                      <w:rFonts w:ascii="Cambria Math" w:hAnsi="Cambria Math"/>
                    </w:rPr>
                    <m:t>dw</m:t>
                  </m:r>
                </m:den>
              </m:f>
            </m:oMath>
            <w:r w:rsidR="00807552" w:rsidRPr="0033707E">
              <w:rPr>
                <w:rFonts w:ascii="Cambria Math" w:hAnsi="Cambria Math"/>
              </w:rPr>
              <w:t xml:space="preserve">  = </w:t>
            </w:r>
            <m:oMath>
              <m:f>
                <m:fPr>
                  <m:ctrlPr>
                    <w:rPr>
                      <w:rFonts w:ascii="Cambria Math" w:hAnsi="Cambria Math"/>
                    </w:rPr>
                  </m:ctrlPr>
                </m:fPr>
                <m:num>
                  <m:r>
                    <w:rPr>
                      <w:rFonts w:ascii="Cambria Math" w:hAnsi="Cambria Math"/>
                    </w:rPr>
                    <m:t>R</m:t>
                  </m:r>
                  <m:r>
                    <m:rPr>
                      <m:sty m:val="p"/>
                    </m:rPr>
                    <w:rPr>
                      <w:rFonts w:ascii="Cambria Math" w:hAnsi="Cambria Math"/>
                    </w:rPr>
                    <m:t>.</m:t>
                  </m:r>
                  <m:sSub>
                    <m:sSubPr>
                      <m:ctrlPr>
                        <w:rPr>
                          <w:rFonts w:ascii="Cambria Math" w:hAnsi="Cambria Math"/>
                        </w:rPr>
                      </m:ctrlPr>
                    </m:sSubPr>
                    <m:e>
                      <m:r>
                        <w:rPr>
                          <w:rFonts w:ascii="Cambria Math" w:hAnsi="Cambria Math"/>
                        </w:rPr>
                        <m:t>u</m:t>
                      </m:r>
                    </m:e>
                    <m:sub>
                      <m:r>
                        <m:rPr>
                          <m:sty m:val="p"/>
                        </m:rPr>
                        <w:rPr>
                          <w:rFonts w:ascii="Cambria Math" w:hAnsi="Cambria Math"/>
                        </w:rPr>
                        <m:t>1</m:t>
                      </m:r>
                    </m:sub>
                  </m:sSub>
                </m:num>
                <m:den>
                  <m:sSub>
                    <m:sSubPr>
                      <m:ctrlPr>
                        <w:rPr>
                          <w:rFonts w:ascii="Cambria Math" w:hAnsi="Cambria Math"/>
                        </w:rPr>
                      </m:ctrlPr>
                    </m:sSubPr>
                    <m:e>
                      <m:r>
                        <w:rPr>
                          <w:rFonts w:ascii="Cambria Math" w:hAnsi="Cambria Math"/>
                        </w:rPr>
                        <m:t>u</m:t>
                      </m:r>
                    </m:e>
                    <m:sub>
                      <m:r>
                        <m:rPr>
                          <m:sty m:val="p"/>
                        </m:rPr>
                        <w:rPr>
                          <w:rFonts w:ascii="Cambria Math" w:hAnsi="Cambria Math"/>
                        </w:rPr>
                        <m:t>2</m:t>
                      </m:r>
                    </m:sub>
                  </m:sSub>
                  <m:sSub>
                    <m:sSubPr>
                      <m:ctrlPr>
                        <w:rPr>
                          <w:rFonts w:ascii="Cambria Math" w:hAnsi="Cambria Math"/>
                        </w:rPr>
                      </m:ctrlPr>
                    </m:sSubPr>
                    <m:e>
                      <m:r>
                        <w:rPr>
                          <w:rFonts w:ascii="Cambria Math" w:hAnsi="Cambria Math"/>
                        </w:rPr>
                        <m:t>P</m:t>
                      </m:r>
                    </m:e>
                    <m:sub>
                      <m:r>
                        <w:rPr>
                          <w:rFonts w:ascii="Cambria Math" w:hAnsi="Cambria Math"/>
                        </w:rPr>
                        <m:t>avg</m:t>
                      </m:r>
                    </m:sub>
                  </m:sSub>
                </m:den>
              </m:f>
            </m:oMath>
            <w:r w:rsidR="00807552" w:rsidRPr="0033707E">
              <w:rPr>
                <w:rFonts w:ascii="Cambria Math" w:hAnsi="Cambria Math"/>
              </w:rPr>
              <w:t xml:space="preserve"> </w:t>
            </w:r>
            <m:oMath>
              <m:r>
                <m:rPr>
                  <m:sty m:val="p"/>
                </m:rPr>
                <w:rPr>
                  <w:rFonts w:ascii="Cambria Math" w:hAnsi="Cambria Math"/>
                </w:rPr>
                <m:t xml:space="preserve"> -2</m:t>
              </m:r>
              <m:r>
                <w:rPr>
                  <w:rFonts w:ascii="Cambria Math" w:hAnsi="Cambria Math"/>
                </w:rPr>
                <m:t>r</m:t>
              </m:r>
            </m:oMath>
            <w:r w:rsidR="00807552" w:rsidRPr="0033707E">
              <w:rPr>
                <w:rFonts w:ascii="Cambria Math" w:hAnsi="Cambria Math"/>
              </w:rPr>
              <w:t xml:space="preserve">  </w:t>
            </w:r>
            <m:oMath>
              <m:sSub>
                <m:sSubPr>
                  <m:ctrlPr>
                    <w:rPr>
                      <w:rFonts w:ascii="Cambria Math" w:hAnsi="Cambria Math"/>
                    </w:rPr>
                  </m:ctrlPr>
                </m:sSubPr>
                <m:e>
                  <m:r>
                    <w:rPr>
                      <w:rFonts w:ascii="Cambria Math" w:hAnsi="Cambria Math"/>
                    </w:rPr>
                    <m:t>x</m:t>
                  </m:r>
                </m:e>
                <m:sub>
                  <m:r>
                    <m:rPr>
                      <m:sty m:val="p"/>
                    </m:rPr>
                    <w:rPr>
                      <w:rFonts w:ascii="Cambria Math" w:hAnsi="Cambria Math"/>
                    </w:rPr>
                    <m:t>2</m:t>
                  </m:r>
                </m:sub>
              </m:sSub>
              <m:d>
                <m:dPr>
                  <m:ctrlPr>
                    <w:rPr>
                      <w:rFonts w:ascii="Cambria Math" w:hAnsi="Cambria Math"/>
                    </w:rPr>
                  </m:ctrlPr>
                </m:dPr>
                <m:e>
                  <m:r>
                    <m:rPr>
                      <m:sty m:val="p"/>
                    </m:rPr>
                    <w:rPr>
                      <w:rFonts w:ascii="Cambria Math" w:hAnsi="Cambria Math"/>
                    </w:rPr>
                    <m:t>0</m:t>
                  </m:r>
                </m:e>
              </m:d>
              <m:r>
                <m:rPr>
                  <m:sty m:val="p"/>
                </m:rPr>
                <w:rPr>
                  <w:rFonts w:ascii="Cambria Math" w:hAnsi="Cambria Math"/>
                </w:rPr>
                <m:t xml:space="preserve">= </m:t>
              </m:r>
              <m:sSub>
                <m:sSubPr>
                  <m:ctrlPr>
                    <w:rPr>
                      <w:rFonts w:ascii="Cambria Math" w:hAnsi="Cambria Math"/>
                    </w:rPr>
                  </m:ctrlPr>
                </m:sSubPr>
                <m:e>
                  <m:r>
                    <w:rPr>
                      <w:rFonts w:ascii="Cambria Math" w:hAnsi="Cambria Math"/>
                    </w:rPr>
                    <m:t>u</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w:rPr>
                      <w:rFonts w:ascii="Cambria Math" w:hAnsi="Cambria Math"/>
                    </w:rPr>
                    <m:t>u</m:t>
                  </m:r>
                </m:e>
                <m:sub>
                  <m:r>
                    <m:rPr>
                      <m:sty m:val="p"/>
                    </m:rPr>
                    <w:rPr>
                      <w:rFonts w:ascii="Cambria Math" w:hAnsi="Cambria Math"/>
                    </w:rPr>
                    <m:t>4</m:t>
                  </m:r>
                </m:sub>
              </m:sSub>
            </m:oMath>
            <w:r w:rsidR="00807552" w:rsidRPr="0033707E">
              <w:rPr>
                <w:rFonts w:eastAsiaTheme="minorEastAsia"/>
              </w:rPr>
              <w:t xml:space="preserve">             </w:t>
            </w:r>
          </w:p>
        </w:tc>
        <w:tc>
          <w:tcPr>
            <w:tcW w:w="817" w:type="dxa"/>
          </w:tcPr>
          <w:p w14:paraId="023E573B" w14:textId="77777777" w:rsidR="00807552" w:rsidRPr="0033707E" w:rsidRDefault="00807552" w:rsidP="00F6176E">
            <w:pPr>
              <w:pStyle w:val="CETEquation"/>
              <w:jc w:val="right"/>
            </w:pPr>
          </w:p>
        </w:tc>
      </w:tr>
      <w:tr w:rsidR="00807552" w:rsidRPr="00B57B36" w14:paraId="19BABCAD" w14:textId="77777777" w:rsidTr="00F6176E">
        <w:tc>
          <w:tcPr>
            <w:tcW w:w="8209" w:type="dxa"/>
          </w:tcPr>
          <w:p w14:paraId="55F71577" w14:textId="224004A1" w:rsidR="00807552" w:rsidRPr="0033707E" w:rsidRDefault="00000000" w:rsidP="00F6176E">
            <w:pPr>
              <w:pStyle w:val="CETEquation"/>
              <w:rPr>
                <w:rFonts w:ascii="Inter" w:eastAsiaTheme="minorEastAsia" w:hAnsi="Inter"/>
              </w:rPr>
            </w:pPr>
            <m:oMath>
              <m:f>
                <m:fPr>
                  <m:ctrlPr>
                    <w:rPr>
                      <w:rFonts w:ascii="Cambria Math" w:hAnsi="Cambria Math"/>
                    </w:rPr>
                  </m:ctrlPr>
                </m:fPr>
                <m:num>
                  <m:r>
                    <w:rPr>
                      <w:rFonts w:ascii="Cambria Math" w:hAnsi="Cambria Math"/>
                    </w:rPr>
                    <m:t>d</m:t>
                  </m:r>
                  <m:sSub>
                    <m:sSubPr>
                      <m:ctrlPr>
                        <w:rPr>
                          <w:rFonts w:ascii="Cambria Math" w:hAnsi="Cambria Math"/>
                        </w:rPr>
                      </m:ctrlPr>
                    </m:sSubPr>
                    <m:e>
                      <m:r>
                        <w:rPr>
                          <w:rFonts w:ascii="Cambria Math" w:hAnsi="Cambria Math"/>
                        </w:rPr>
                        <m:t>x</m:t>
                      </m:r>
                    </m:e>
                    <m:sub>
                      <m:r>
                        <m:rPr>
                          <m:sty m:val="p"/>
                        </m:rPr>
                        <w:rPr>
                          <w:rFonts w:ascii="Cambria Math" w:hAnsi="Cambria Math"/>
                        </w:rPr>
                        <m:t>3</m:t>
                      </m:r>
                    </m:sub>
                  </m:sSub>
                </m:num>
                <m:den>
                  <m:r>
                    <w:rPr>
                      <w:rFonts w:ascii="Cambria Math" w:hAnsi="Cambria Math"/>
                    </w:rPr>
                    <m:t>dw</m:t>
                  </m:r>
                </m:den>
              </m:f>
            </m:oMath>
            <w:r w:rsidR="00807552" w:rsidRPr="0033707E">
              <w:t xml:space="preserve">  = </w:t>
            </w:r>
            <m:oMath>
              <m:f>
                <m:fPr>
                  <m:ctrlPr>
                    <w:rPr>
                      <w:rFonts w:ascii="Cambria Math" w:hAnsi="Cambria Math"/>
                    </w:rPr>
                  </m:ctrlPr>
                </m:fPr>
                <m:num>
                  <m:r>
                    <w:rPr>
                      <w:rFonts w:ascii="Cambria Math" w:hAnsi="Cambria Math"/>
                    </w:rPr>
                    <m:t>R</m:t>
                  </m:r>
                  <m:r>
                    <m:rPr>
                      <m:sty m:val="p"/>
                    </m:rPr>
                    <w:rPr>
                      <w:rFonts w:ascii="Cambria Math" w:hAnsi="Cambria Math"/>
                    </w:rPr>
                    <m:t>.</m:t>
                  </m:r>
                  <m:sSub>
                    <m:sSubPr>
                      <m:ctrlPr>
                        <w:rPr>
                          <w:rFonts w:ascii="Cambria Math" w:hAnsi="Cambria Math"/>
                        </w:rPr>
                      </m:ctrlPr>
                    </m:sSubPr>
                    <m:e>
                      <m:r>
                        <w:rPr>
                          <w:rFonts w:ascii="Cambria Math" w:hAnsi="Cambria Math"/>
                        </w:rPr>
                        <m:t>u</m:t>
                      </m:r>
                    </m:e>
                    <m:sub>
                      <m:r>
                        <m:rPr>
                          <m:sty m:val="p"/>
                        </m:rPr>
                        <w:rPr>
                          <w:rFonts w:ascii="Cambria Math" w:hAnsi="Cambria Math"/>
                        </w:rPr>
                        <m:t>1</m:t>
                      </m:r>
                    </m:sub>
                  </m:sSub>
                </m:num>
                <m:den>
                  <m:sSub>
                    <m:sSubPr>
                      <m:ctrlPr>
                        <w:rPr>
                          <w:rFonts w:ascii="Cambria Math" w:hAnsi="Cambria Math"/>
                        </w:rPr>
                      </m:ctrlPr>
                    </m:sSubPr>
                    <m:e>
                      <m:r>
                        <w:rPr>
                          <w:rFonts w:ascii="Cambria Math" w:hAnsi="Cambria Math"/>
                        </w:rPr>
                        <m:t>u</m:t>
                      </m:r>
                    </m:e>
                    <m:sub>
                      <m:r>
                        <m:rPr>
                          <m:sty m:val="p"/>
                        </m:rPr>
                        <w:rPr>
                          <w:rFonts w:ascii="Cambria Math" w:hAnsi="Cambria Math"/>
                        </w:rPr>
                        <m:t>2</m:t>
                      </m:r>
                    </m:sub>
                  </m:sSub>
                  <m:sSub>
                    <m:sSubPr>
                      <m:ctrlPr>
                        <w:rPr>
                          <w:rFonts w:ascii="Cambria Math" w:hAnsi="Cambria Math"/>
                        </w:rPr>
                      </m:ctrlPr>
                    </m:sSubPr>
                    <m:e>
                      <m:r>
                        <w:rPr>
                          <w:rFonts w:ascii="Cambria Math" w:hAnsi="Cambria Math"/>
                        </w:rPr>
                        <m:t>P</m:t>
                      </m:r>
                    </m:e>
                    <m:sub>
                      <m:r>
                        <w:rPr>
                          <w:rFonts w:ascii="Cambria Math" w:hAnsi="Cambria Math"/>
                        </w:rPr>
                        <m:t>avg</m:t>
                      </m:r>
                    </m:sub>
                  </m:sSub>
                </m:den>
              </m:f>
            </m:oMath>
            <w:r w:rsidR="00807552" w:rsidRPr="0033707E">
              <w:rPr>
                <w:rFonts w:eastAsiaTheme="minorEastAsia"/>
              </w:rPr>
              <w:t xml:space="preserve"> </w:t>
            </w:r>
            <m:oMath>
              <m:r>
                <w:rPr>
                  <w:rFonts w:ascii="Cambria Math" w:eastAsiaTheme="minorEastAsia" w:hAnsi="Cambria Math"/>
                </w:rPr>
                <m:t>r</m:t>
              </m:r>
            </m:oMath>
          </w:p>
        </w:tc>
        <w:tc>
          <w:tcPr>
            <w:tcW w:w="817" w:type="dxa"/>
          </w:tcPr>
          <w:p w14:paraId="02FF5DB6" w14:textId="77777777" w:rsidR="00807552" w:rsidRPr="0033707E" w:rsidRDefault="00807552" w:rsidP="00F6176E">
            <w:pPr>
              <w:pStyle w:val="CETEquation"/>
              <w:jc w:val="right"/>
            </w:pPr>
          </w:p>
        </w:tc>
      </w:tr>
      <w:tr w:rsidR="00807552" w:rsidRPr="00B57B36" w14:paraId="410780D9" w14:textId="77777777" w:rsidTr="00F6176E">
        <w:tc>
          <w:tcPr>
            <w:tcW w:w="8209" w:type="dxa"/>
          </w:tcPr>
          <w:p w14:paraId="2BE4FD1C" w14:textId="44DFFE5E" w:rsidR="00807552" w:rsidRPr="0033707E" w:rsidRDefault="00000000" w:rsidP="00F6176E">
            <w:pPr>
              <w:pStyle w:val="CETEquation"/>
              <w:rPr>
                <w:rFonts w:ascii="Inter" w:eastAsiaTheme="minorEastAsia" w:hAnsi="Inter" w:cs="Cormorant Medium"/>
                <w:color w:val="000000"/>
                <w14:numForm w14:val="lining"/>
              </w:rPr>
            </w:pPr>
            <m:oMath>
              <m:f>
                <m:fPr>
                  <m:ctrlPr>
                    <w:rPr>
                      <w:rFonts w:ascii="Cambria Math" w:hAnsi="Cambria Math"/>
                    </w:rPr>
                  </m:ctrlPr>
                </m:fPr>
                <m:num>
                  <m:r>
                    <w:rPr>
                      <w:rFonts w:ascii="Cambria Math" w:hAnsi="Cambria Math"/>
                    </w:rPr>
                    <m:t>d</m:t>
                  </m:r>
                  <m:sSub>
                    <m:sSubPr>
                      <m:ctrlPr>
                        <w:rPr>
                          <w:rFonts w:ascii="Cambria Math" w:hAnsi="Cambria Math"/>
                        </w:rPr>
                      </m:ctrlPr>
                    </m:sSubPr>
                    <m:e>
                      <m:r>
                        <w:rPr>
                          <w:rFonts w:ascii="Cambria Math" w:hAnsi="Cambria Math"/>
                        </w:rPr>
                        <m:t>x</m:t>
                      </m:r>
                    </m:e>
                    <m:sub>
                      <m:r>
                        <m:rPr>
                          <m:sty m:val="p"/>
                        </m:rPr>
                        <w:rPr>
                          <w:rFonts w:ascii="Cambria Math" w:hAnsi="Cambria Math"/>
                        </w:rPr>
                        <m:t>4</m:t>
                      </m:r>
                    </m:sub>
                  </m:sSub>
                </m:num>
                <m:den>
                  <m:r>
                    <w:rPr>
                      <w:rFonts w:ascii="Cambria Math" w:hAnsi="Cambria Math"/>
                    </w:rPr>
                    <m:t>dw</m:t>
                  </m:r>
                </m:den>
              </m:f>
            </m:oMath>
            <w:r w:rsidR="00807552" w:rsidRPr="0033707E">
              <w:t xml:space="preserve">  = </w:t>
            </w:r>
            <m:oMath>
              <m:f>
                <m:fPr>
                  <m:ctrlPr>
                    <w:rPr>
                      <w:rFonts w:ascii="Cambria Math" w:hAnsi="Cambria Math"/>
                    </w:rPr>
                  </m:ctrlPr>
                </m:fPr>
                <m:num>
                  <m:r>
                    <w:rPr>
                      <w:rFonts w:ascii="Cambria Math" w:hAnsi="Cambria Math"/>
                    </w:rPr>
                    <m:t>R</m:t>
                  </m:r>
                  <m:r>
                    <m:rPr>
                      <m:sty m:val="p"/>
                    </m:rPr>
                    <w:rPr>
                      <w:rFonts w:ascii="Cambria Math" w:hAnsi="Cambria Math"/>
                    </w:rPr>
                    <m:t>.</m:t>
                  </m:r>
                  <m:sSub>
                    <m:sSubPr>
                      <m:ctrlPr>
                        <w:rPr>
                          <w:rFonts w:ascii="Cambria Math" w:hAnsi="Cambria Math"/>
                        </w:rPr>
                      </m:ctrlPr>
                    </m:sSubPr>
                    <m:e>
                      <m:r>
                        <w:rPr>
                          <w:rFonts w:ascii="Cambria Math" w:hAnsi="Cambria Math"/>
                        </w:rPr>
                        <m:t>u</m:t>
                      </m:r>
                    </m:e>
                    <m:sub>
                      <m:r>
                        <m:rPr>
                          <m:sty m:val="p"/>
                        </m:rPr>
                        <w:rPr>
                          <w:rFonts w:ascii="Cambria Math" w:hAnsi="Cambria Math"/>
                        </w:rPr>
                        <m:t>1</m:t>
                      </m:r>
                    </m:sub>
                  </m:sSub>
                </m:num>
                <m:den>
                  <m:sSub>
                    <m:sSubPr>
                      <m:ctrlPr>
                        <w:rPr>
                          <w:rFonts w:ascii="Cambria Math" w:hAnsi="Cambria Math"/>
                        </w:rPr>
                      </m:ctrlPr>
                    </m:sSubPr>
                    <m:e>
                      <m:r>
                        <w:rPr>
                          <w:rFonts w:ascii="Cambria Math" w:hAnsi="Cambria Math"/>
                        </w:rPr>
                        <m:t>u</m:t>
                      </m:r>
                    </m:e>
                    <m:sub>
                      <m:r>
                        <m:rPr>
                          <m:sty m:val="p"/>
                        </m:rPr>
                        <w:rPr>
                          <w:rFonts w:ascii="Cambria Math" w:hAnsi="Cambria Math"/>
                        </w:rPr>
                        <m:t>2</m:t>
                      </m:r>
                    </m:sub>
                  </m:sSub>
                  <m:sSub>
                    <m:sSubPr>
                      <m:ctrlPr>
                        <w:rPr>
                          <w:rFonts w:ascii="Cambria Math" w:hAnsi="Cambria Math"/>
                        </w:rPr>
                      </m:ctrlPr>
                    </m:sSubPr>
                    <m:e>
                      <m:r>
                        <w:rPr>
                          <w:rFonts w:ascii="Cambria Math" w:hAnsi="Cambria Math"/>
                        </w:rPr>
                        <m:t>P</m:t>
                      </m:r>
                    </m:e>
                    <m:sub>
                      <m:r>
                        <w:rPr>
                          <w:rFonts w:ascii="Cambria Math" w:hAnsi="Cambria Math"/>
                        </w:rPr>
                        <m:t>avg</m:t>
                      </m:r>
                    </m:sub>
                  </m:sSub>
                </m:den>
              </m:f>
            </m:oMath>
            <w:r w:rsidR="00807552" w:rsidRPr="0033707E">
              <w:rPr>
                <w:rFonts w:eastAsiaTheme="minorEastAsia"/>
              </w:rPr>
              <w:t xml:space="preserve"> </w:t>
            </w:r>
            <m:oMath>
              <m:r>
                <m:rPr>
                  <m:sty m:val="p"/>
                </m:rPr>
                <w:rPr>
                  <w:rFonts w:ascii="Cambria Math" w:eastAsiaTheme="minorEastAsia" w:hAnsi="Cambria Math"/>
                </w:rPr>
                <m:t>2</m:t>
              </m:r>
              <m:r>
                <w:rPr>
                  <w:rFonts w:ascii="Cambria Math" w:eastAsiaTheme="minorEastAsia" w:hAnsi="Cambria Math"/>
                </w:rPr>
                <m:t>r</m:t>
              </m:r>
            </m:oMath>
          </w:p>
        </w:tc>
        <w:tc>
          <w:tcPr>
            <w:tcW w:w="817" w:type="dxa"/>
          </w:tcPr>
          <w:p w14:paraId="0ACEF7DD" w14:textId="77777777" w:rsidR="00807552" w:rsidRPr="0033707E" w:rsidRDefault="00807552" w:rsidP="00F6176E">
            <w:pPr>
              <w:pStyle w:val="CETEquation"/>
              <w:jc w:val="right"/>
            </w:pPr>
          </w:p>
        </w:tc>
      </w:tr>
    </w:tbl>
    <w:p w14:paraId="57E6DB13" w14:textId="77777777" w:rsidR="00807552" w:rsidRDefault="00807552" w:rsidP="00807552">
      <w:pPr>
        <w:pStyle w:val="CETBodytext"/>
      </w:pPr>
      <w:r w:rsidRPr="00E449D0">
        <w:t>In Eq</w:t>
      </w:r>
      <w:r>
        <w:t>uation</w:t>
      </w:r>
      <w:r w:rsidRPr="00E449D0">
        <w:t xml:space="preserve"> </w:t>
      </w:r>
      <w:r>
        <w:t>(</w:t>
      </w:r>
      <w:r w:rsidRPr="00E449D0">
        <w:t>3</w:t>
      </w:r>
      <w:r>
        <w:t xml:space="preserve">), the vector of state variables is given by </w:t>
      </w:r>
      <m:oMath>
        <m:r>
          <m:rPr>
            <m:sty m:val="b"/>
          </m:rPr>
          <w:rPr>
            <w:rFonts w:ascii="Cambria Math" w:hAnsi="Cambria Math"/>
            <w:noProof/>
            <w:szCs w:val="18"/>
            <w:lang w:val="it-IT" w:eastAsia="it-IT"/>
          </w:rPr>
          <m:t>x</m:t>
        </m:r>
        <m:r>
          <m:rPr>
            <m:sty m:val="b"/>
          </m:rPr>
          <w:rPr>
            <w:rFonts w:ascii="Cambria Math" w:hAnsi="Cambria Math"/>
            <w:noProof/>
            <w:szCs w:val="18"/>
            <w:lang w:eastAsia="it-IT"/>
          </w:rPr>
          <m:t>=[</m:t>
        </m:r>
        <m:sSub>
          <m:sSubPr>
            <m:ctrlPr>
              <w:rPr>
                <w:rFonts w:ascii="Cambria Math" w:hAnsi="Cambria Math"/>
                <w:szCs w:val="18"/>
              </w:rPr>
            </m:ctrlPr>
          </m:sSubPr>
          <m:e>
            <m:r>
              <w:rPr>
                <w:rFonts w:ascii="Cambria Math" w:hAnsi="Cambria Math"/>
                <w:szCs w:val="18"/>
              </w:rPr>
              <m:t>x</m:t>
            </m:r>
          </m:e>
          <m:sub>
            <m:r>
              <m:rPr>
                <m:sty m:val="p"/>
              </m:rPr>
              <w:rPr>
                <w:rFonts w:ascii="Cambria Math" w:hAnsi="Cambria Math"/>
                <w:szCs w:val="18"/>
              </w:rPr>
              <m:t>1</m:t>
            </m:r>
          </m:sub>
        </m:sSub>
      </m:oMath>
      <w:r w:rsidRPr="00E449D0">
        <w:t xml:space="preserve"> </w:t>
      </w:r>
      <m:oMath>
        <m: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2</m:t>
            </m:r>
          </m:sub>
        </m:sSub>
      </m:oMath>
      <w:r w:rsidRPr="00E449D0">
        <w:t xml:space="preserve"> </w:t>
      </w:r>
      <m:oMath>
        <m:sSub>
          <m:sSubPr>
            <m:ctrlPr>
              <w:rPr>
                <w:rFonts w:ascii="Cambria Math" w:hAnsi="Cambria Math"/>
              </w:rPr>
            </m:ctrlPr>
          </m:sSubPr>
          <m:e>
            <m:r>
              <w:rPr>
                <w:rFonts w:ascii="Cambria Math" w:hAnsi="Cambria Math"/>
              </w:rPr>
              <m:t>,x</m:t>
            </m:r>
          </m:e>
          <m:sub>
            <m:r>
              <m:rPr>
                <m:sty m:val="p"/>
              </m:rPr>
              <w:rPr>
                <w:rFonts w:ascii="Cambria Math" w:hAnsi="Cambria Math"/>
              </w:rPr>
              <m:t>3</m:t>
            </m:r>
          </m:sub>
        </m:sSub>
      </m:oMath>
      <w:r>
        <w:t>,</w:t>
      </w:r>
      <w:r w:rsidRPr="00E449D0">
        <w:t xml:space="preserve"> </w:t>
      </w:r>
      <m:oMath>
        <m:sSub>
          <m:sSubPr>
            <m:ctrlPr>
              <w:rPr>
                <w:rFonts w:ascii="Cambria Math" w:hAnsi="Cambria Math"/>
              </w:rPr>
            </m:ctrlPr>
          </m:sSubPr>
          <m:e>
            <m:r>
              <w:rPr>
                <w:rFonts w:ascii="Cambria Math" w:hAnsi="Cambria Math"/>
              </w:rPr>
              <m:t>x</m:t>
            </m:r>
          </m:e>
          <m:sub>
            <m:r>
              <m:rPr>
                <m:sty m:val="p"/>
              </m:rPr>
              <w:rPr>
                <w:rFonts w:ascii="Cambria Math" w:hAnsi="Cambria Math"/>
              </w:rPr>
              <m:t>4</m:t>
            </m:r>
          </m:sub>
        </m:sSub>
        <m:r>
          <w:rPr>
            <w:rFonts w:ascii="Cambria Math" w:hAnsi="Cambria Math"/>
          </w:rPr>
          <m:t>]</m:t>
        </m:r>
      </m:oMath>
      <w:r w:rsidRPr="00CC5DF3">
        <w:rPr>
          <w:vertAlign w:val="superscript"/>
        </w:rPr>
        <w:t>T</w:t>
      </w:r>
      <w:r>
        <w:t xml:space="preserve">, where </w:t>
      </w:r>
      <m:oMath>
        <m:sSub>
          <m:sSubPr>
            <m:ctrlPr>
              <w:rPr>
                <w:rFonts w:ascii="Cambria Math" w:hAnsi="Cambria Math"/>
                <w:szCs w:val="18"/>
              </w:rPr>
            </m:ctrlPr>
          </m:sSubPr>
          <m:e>
            <m:r>
              <w:rPr>
                <w:rFonts w:ascii="Cambria Math" w:hAnsi="Cambria Math"/>
                <w:szCs w:val="18"/>
              </w:rPr>
              <m:t>x</m:t>
            </m:r>
          </m:e>
          <m:sub>
            <m:r>
              <m:rPr>
                <m:sty m:val="p"/>
              </m:rPr>
              <w:rPr>
                <w:rFonts w:ascii="Cambria Math" w:hAnsi="Cambria Math"/>
                <w:szCs w:val="18"/>
              </w:rPr>
              <m:t>1</m:t>
            </m:r>
          </m:sub>
        </m:sSub>
      </m:oMath>
      <w:r w:rsidRPr="00E449D0">
        <w:t xml:space="preserve"> </w:t>
      </w:r>
      <m:oMath>
        <m: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2</m:t>
            </m:r>
          </m:sub>
        </m:sSub>
      </m:oMath>
      <w:r w:rsidRPr="00E449D0">
        <w:t xml:space="preserve"> </w:t>
      </w:r>
      <m:oMath>
        <m:sSub>
          <m:sSubPr>
            <m:ctrlPr>
              <w:rPr>
                <w:rFonts w:ascii="Cambria Math" w:hAnsi="Cambria Math"/>
              </w:rPr>
            </m:ctrlPr>
          </m:sSubPr>
          <m:e>
            <m:r>
              <w:rPr>
                <w:rFonts w:ascii="Cambria Math" w:hAnsi="Cambria Math"/>
              </w:rPr>
              <m:t>,x</m:t>
            </m:r>
          </m:e>
          <m:sub>
            <m:r>
              <m:rPr>
                <m:sty m:val="p"/>
              </m:rPr>
              <w:rPr>
                <w:rFonts w:ascii="Cambria Math" w:hAnsi="Cambria Math"/>
              </w:rPr>
              <m:t>3</m:t>
            </m:r>
          </m:sub>
        </m:sSub>
      </m:oMath>
      <w:r>
        <w:t>, and</w:t>
      </w:r>
      <w:r w:rsidRPr="00E449D0">
        <w:t xml:space="preserve"> </w:t>
      </w:r>
      <m:oMath>
        <m:sSub>
          <m:sSubPr>
            <m:ctrlPr>
              <w:rPr>
                <w:rFonts w:ascii="Cambria Math" w:hAnsi="Cambria Math"/>
              </w:rPr>
            </m:ctrlPr>
          </m:sSubPr>
          <m:e>
            <m:r>
              <w:rPr>
                <w:rFonts w:ascii="Cambria Math" w:hAnsi="Cambria Math"/>
              </w:rPr>
              <m:t>x</m:t>
            </m:r>
          </m:e>
          <m:sub>
            <m:r>
              <m:rPr>
                <m:sty m:val="p"/>
              </m:rPr>
              <w:rPr>
                <w:rFonts w:ascii="Cambria Math" w:hAnsi="Cambria Math"/>
              </w:rPr>
              <m:t>4</m:t>
            </m:r>
          </m:sub>
        </m:sSub>
      </m:oMath>
      <w:r w:rsidRPr="00E449D0">
        <w:t>represent the mole fractions of methane</w:t>
      </w:r>
      <w:r>
        <w:t xml:space="preserve"> (</w:t>
      </w:r>
      <w:r w:rsidRPr="00CC5DF3">
        <w:rPr>
          <w:rFonts w:ascii="Cambria Math" w:hAnsi="Cambria Math"/>
          <w:i/>
          <w:iCs/>
        </w:rPr>
        <w:t>CH</w:t>
      </w:r>
      <w:r w:rsidRPr="00CC5DF3">
        <w:rPr>
          <w:rFonts w:ascii="Cambria Math" w:hAnsi="Cambria Math"/>
          <w:i/>
          <w:iCs/>
          <w:vertAlign w:val="subscript"/>
        </w:rPr>
        <w:t>4</w:t>
      </w:r>
      <w:r>
        <w:t>)</w:t>
      </w:r>
      <w:r w:rsidRPr="00E449D0">
        <w:t>, oxygen</w:t>
      </w:r>
      <w:r>
        <w:t xml:space="preserve"> (</w:t>
      </w:r>
      <w:r w:rsidRPr="00CC5DF3">
        <w:rPr>
          <w:rFonts w:ascii="Cambria Math" w:hAnsi="Cambria Math"/>
          <w:i/>
          <w:iCs/>
        </w:rPr>
        <w:t>O</w:t>
      </w:r>
      <w:r w:rsidRPr="00CC5DF3">
        <w:rPr>
          <w:rFonts w:ascii="Cambria Math" w:hAnsi="Cambria Math"/>
          <w:i/>
          <w:iCs/>
          <w:vertAlign w:val="subscript"/>
        </w:rPr>
        <w:t>2</w:t>
      </w:r>
      <w:r>
        <w:t>)</w:t>
      </w:r>
      <w:r w:rsidRPr="00E449D0">
        <w:t>, carbon dioxide</w:t>
      </w:r>
      <w:r>
        <w:t xml:space="preserve"> (</w:t>
      </w:r>
      <w:r w:rsidRPr="00CC5DF3">
        <w:rPr>
          <w:i/>
          <w:iCs/>
        </w:rPr>
        <w:t>CO</w:t>
      </w:r>
      <w:r w:rsidRPr="00CC5DF3">
        <w:rPr>
          <w:i/>
          <w:iCs/>
          <w:vertAlign w:val="subscript"/>
        </w:rPr>
        <w:t>2</w:t>
      </w:r>
      <w:r>
        <w:t>),</w:t>
      </w:r>
      <w:r w:rsidRPr="00E449D0">
        <w:t xml:space="preserve"> and water</w:t>
      </w:r>
      <w:r>
        <w:t xml:space="preserve"> (</w:t>
      </w:r>
      <w:r w:rsidRPr="00CC5DF3">
        <w:rPr>
          <w:i/>
          <w:iCs/>
        </w:rPr>
        <w:t>H</w:t>
      </w:r>
      <w:r w:rsidRPr="00CC5DF3">
        <w:rPr>
          <w:i/>
          <w:iCs/>
          <w:vertAlign w:val="subscript"/>
        </w:rPr>
        <w:t>2</w:t>
      </w:r>
      <w:r w:rsidRPr="00CC5DF3">
        <w:rPr>
          <w:i/>
          <w:iCs/>
        </w:rPr>
        <w:t>O</w:t>
      </w:r>
      <w:r>
        <w:t>),</w:t>
      </w:r>
      <w:r w:rsidRPr="00E449D0">
        <w:t xml:space="preserve"> respectively.</w:t>
      </w:r>
      <w:r w:rsidRPr="00643A62">
        <w:rPr>
          <w:szCs w:val="18"/>
        </w:rPr>
        <w:t xml:space="preserve"> </w:t>
      </w:r>
      <m:oMath>
        <m:r>
          <w:rPr>
            <w:rFonts w:ascii="Cambria Math" w:eastAsiaTheme="minorEastAsia" w:hAnsi="Cambria Math"/>
            <w:szCs w:val="18"/>
          </w:rPr>
          <m:t>r</m:t>
        </m:r>
      </m:oMath>
      <w:r w:rsidRPr="00643A62">
        <w:t xml:space="preserve"> represents the rate of reaction</w:t>
      </w:r>
      <w:r>
        <w:t xml:space="preserve"> [mol g</w:t>
      </w:r>
      <w:r w:rsidRPr="00FB4F26">
        <w:rPr>
          <w:vertAlign w:val="superscript"/>
        </w:rPr>
        <w:t>-1</w:t>
      </w:r>
      <w:r>
        <w:t xml:space="preserve"> s</w:t>
      </w:r>
      <w:r w:rsidRPr="00FB4F26">
        <w:rPr>
          <w:vertAlign w:val="superscript"/>
        </w:rPr>
        <w:t>-1</w:t>
      </w:r>
      <w:r>
        <w:t>]</w:t>
      </w:r>
      <w:r w:rsidRPr="00643A62">
        <w:t>, R is the universal gas constant</w:t>
      </w:r>
      <w:r>
        <w:t xml:space="preserve"> [J mol</w:t>
      </w:r>
      <w:r w:rsidRPr="00CC5DF3">
        <w:rPr>
          <w:vertAlign w:val="superscript"/>
        </w:rPr>
        <w:t>-1</w:t>
      </w:r>
      <w:r>
        <w:t xml:space="preserve"> K</w:t>
      </w:r>
      <w:r w:rsidRPr="00CC5DF3">
        <w:rPr>
          <w:vertAlign w:val="superscript"/>
        </w:rPr>
        <w:t>-1</w:t>
      </w:r>
      <w:r>
        <w:t>]</w:t>
      </w:r>
      <w:r w:rsidRPr="00643A62">
        <w:t>, an</w:t>
      </w:r>
      <w:r w:rsidRPr="00643A62">
        <w:rPr>
          <w:szCs w:val="18"/>
        </w:rPr>
        <w:t>d</w:t>
      </w:r>
      <w:r>
        <w:rPr>
          <w:szCs w:val="18"/>
        </w:rPr>
        <w:t xml:space="preserve"> </w:t>
      </w:r>
      <m:oMath>
        <m:sSub>
          <m:sSubPr>
            <m:ctrlPr>
              <w:rPr>
                <w:rFonts w:ascii="Cambria Math" w:hAnsi="Cambria Math"/>
                <w:szCs w:val="18"/>
              </w:rPr>
            </m:ctrlPr>
          </m:sSubPr>
          <m:e>
            <m:r>
              <w:rPr>
                <w:rFonts w:ascii="Cambria Math" w:hAnsi="Cambria Math"/>
                <w:szCs w:val="18"/>
              </w:rPr>
              <m:t>P</m:t>
            </m:r>
          </m:e>
          <m:sub>
            <m:r>
              <w:rPr>
                <w:rFonts w:ascii="Cambria Math" w:hAnsi="Cambria Math"/>
                <w:szCs w:val="18"/>
              </w:rPr>
              <m:t>avg</m:t>
            </m:r>
          </m:sub>
        </m:sSub>
      </m:oMath>
      <w:r>
        <w:rPr>
          <w:szCs w:val="18"/>
        </w:rPr>
        <w:t xml:space="preserve"> </w:t>
      </w:r>
      <w:r w:rsidRPr="00643A62">
        <w:t>is the average pressure inside the reactor</w:t>
      </w:r>
      <w:r>
        <w:t xml:space="preserve"> [atm]</w:t>
      </w:r>
      <w:r w:rsidRPr="00643A62">
        <w:t xml:space="preserve">. </w:t>
      </w:r>
      <w:r w:rsidRPr="00E449D0">
        <w:t xml:space="preserve">The </w:t>
      </w:r>
      <w:r>
        <w:t xml:space="preserve">vector of </w:t>
      </w:r>
      <w:r w:rsidRPr="00E449D0">
        <w:t xml:space="preserve">control variables </w:t>
      </w:r>
      <m:oMath>
        <m:r>
          <m:rPr>
            <m:sty m:val="b"/>
          </m:rPr>
          <w:rPr>
            <w:rFonts w:ascii="Cambria Math" w:hAnsi="Cambria Math"/>
            <w:noProof/>
            <w:szCs w:val="18"/>
            <w:lang w:val="it-IT" w:eastAsia="it-IT"/>
          </w:rPr>
          <m:t>u</m:t>
        </m:r>
      </m:oMath>
      <w:r w:rsidRPr="00F901E3">
        <w:rPr>
          <w:b/>
          <w:bCs/>
          <w:szCs w:val="18"/>
        </w:rPr>
        <w:t xml:space="preserve"> </w:t>
      </w:r>
      <m:oMath>
        <m:r>
          <m:rPr>
            <m:sty m:val="b"/>
          </m:rPr>
          <w:rPr>
            <w:rFonts w:ascii="Cambria Math" w:hAnsi="Cambria Math"/>
            <w:noProof/>
            <w:szCs w:val="18"/>
            <w:lang w:eastAsia="it-IT"/>
          </w:rPr>
          <m:t>=[</m:t>
        </m:r>
        <m:sSub>
          <m:sSubPr>
            <m:ctrlPr>
              <w:rPr>
                <w:rFonts w:ascii="Cambria Math" w:hAnsi="Cambria Math"/>
                <w:szCs w:val="18"/>
              </w:rPr>
            </m:ctrlPr>
          </m:sSubPr>
          <m:e>
            <m:r>
              <w:rPr>
                <w:rFonts w:ascii="Cambria Math" w:hAnsi="Cambria Math"/>
                <w:szCs w:val="18"/>
              </w:rPr>
              <m:t>u</m:t>
            </m:r>
          </m:e>
          <m:sub>
            <m:r>
              <m:rPr>
                <m:sty m:val="p"/>
              </m:rPr>
              <w:rPr>
                <w:rFonts w:ascii="Cambria Math" w:hAnsi="Cambria Math"/>
                <w:szCs w:val="18"/>
              </w:rPr>
              <m:t>1</m:t>
            </m:r>
          </m:sub>
        </m:sSub>
      </m:oMath>
      <w:r w:rsidRPr="00E449D0">
        <w:t xml:space="preserve"> </w:t>
      </w:r>
      <m:oMath>
        <m:r>
          <w:rPr>
            <w:rFonts w:ascii="Cambria Math" w:hAnsi="Cambria Math"/>
          </w:rPr>
          <m:t>,</m:t>
        </m:r>
        <m:sSub>
          <m:sSubPr>
            <m:ctrlPr>
              <w:rPr>
                <w:rFonts w:ascii="Cambria Math" w:hAnsi="Cambria Math"/>
              </w:rPr>
            </m:ctrlPr>
          </m:sSubPr>
          <m:e>
            <m:r>
              <w:rPr>
                <w:rFonts w:ascii="Cambria Math" w:hAnsi="Cambria Math"/>
              </w:rPr>
              <m:t>u</m:t>
            </m:r>
          </m:e>
          <m:sub>
            <m:r>
              <m:rPr>
                <m:sty m:val="p"/>
              </m:rPr>
              <w:rPr>
                <w:rFonts w:ascii="Cambria Math" w:hAnsi="Cambria Math"/>
              </w:rPr>
              <m:t>2</m:t>
            </m:r>
          </m:sub>
        </m:sSub>
      </m:oMath>
      <w:r w:rsidRPr="00E449D0">
        <w:t xml:space="preserve"> </w:t>
      </w:r>
      <m:oMath>
        <m:sSub>
          <m:sSubPr>
            <m:ctrlPr>
              <w:rPr>
                <w:rFonts w:ascii="Cambria Math" w:hAnsi="Cambria Math"/>
              </w:rPr>
            </m:ctrlPr>
          </m:sSubPr>
          <m:e>
            <m:r>
              <w:rPr>
                <w:rFonts w:ascii="Cambria Math" w:hAnsi="Cambria Math"/>
              </w:rPr>
              <m:t>,u</m:t>
            </m:r>
          </m:e>
          <m:sub>
            <m:r>
              <m:rPr>
                <m:sty m:val="p"/>
              </m:rPr>
              <w:rPr>
                <w:rFonts w:ascii="Cambria Math" w:hAnsi="Cambria Math"/>
              </w:rPr>
              <m:t>3</m:t>
            </m:r>
          </m:sub>
        </m:sSub>
      </m:oMath>
      <w:r>
        <w:t xml:space="preserve">, </w:t>
      </w:r>
      <m:oMath>
        <m:sSub>
          <m:sSubPr>
            <m:ctrlPr>
              <w:rPr>
                <w:rFonts w:ascii="Cambria Math" w:hAnsi="Cambria Math"/>
              </w:rPr>
            </m:ctrlPr>
          </m:sSubPr>
          <m:e>
            <m:r>
              <w:rPr>
                <w:rFonts w:ascii="Cambria Math" w:hAnsi="Cambria Math"/>
              </w:rPr>
              <m:t>u</m:t>
            </m:r>
          </m:e>
          <m:sub>
            <m:r>
              <m:rPr>
                <m:sty m:val="p"/>
              </m:rPr>
              <w:rPr>
                <w:rFonts w:ascii="Cambria Math" w:hAnsi="Cambria Math"/>
              </w:rPr>
              <m:t>4</m:t>
            </m:r>
          </m:sub>
        </m:sSub>
        <m:r>
          <w:rPr>
            <w:rFonts w:ascii="Cambria Math" w:hAnsi="Cambria Math"/>
          </w:rPr>
          <m:t>]</m:t>
        </m:r>
      </m:oMath>
      <w:r w:rsidRPr="00BA3572">
        <w:rPr>
          <w:vertAlign w:val="superscript"/>
        </w:rPr>
        <w:t>T</w:t>
      </w:r>
      <w:r w:rsidRPr="003468DC">
        <w:rPr>
          <w:b/>
          <w:bCs/>
        </w:rPr>
        <w:t xml:space="preserve"> </w:t>
      </w:r>
      <w:r w:rsidRPr="00CC5DF3">
        <w:t>defin</w:t>
      </w:r>
      <w:r>
        <w:t xml:space="preserve">es the experimental operating conditions, where, </w:t>
      </w:r>
      <m:oMath>
        <m:sSub>
          <m:sSubPr>
            <m:ctrlPr>
              <w:rPr>
                <w:rFonts w:ascii="Cambria Math" w:hAnsi="Cambria Math"/>
              </w:rPr>
            </m:ctrlPr>
          </m:sSubPr>
          <m:e>
            <m:r>
              <w:rPr>
                <w:rFonts w:ascii="Cambria Math" w:hAnsi="Cambria Math"/>
              </w:rPr>
              <m:t>u</m:t>
            </m:r>
          </m:e>
          <m:sub>
            <m:r>
              <m:rPr>
                <m:sty m:val="p"/>
              </m:rPr>
              <w:rPr>
                <w:rFonts w:ascii="Cambria Math" w:hAnsi="Cambria Math"/>
              </w:rPr>
              <m:t>1</m:t>
            </m:r>
          </m:sub>
        </m:sSub>
      </m:oMath>
      <w:r>
        <w:t xml:space="preserve"> is the </w:t>
      </w:r>
      <w:r w:rsidRPr="00E449D0">
        <w:t xml:space="preserve">reaction temperature </w:t>
      </w:r>
      <w:r w:rsidRPr="00CC5DF3">
        <w:rPr>
          <w:rFonts w:ascii="Cambria Math" w:hAnsi="Cambria Math"/>
          <w:i/>
          <w:iCs/>
        </w:rPr>
        <w:t>T</w:t>
      </w:r>
      <w:r w:rsidRPr="00E449D0">
        <w:t xml:space="preserve"> [</w:t>
      </w:r>
      <m:oMath>
        <m:r>
          <m:rPr>
            <m:sty m:val="p"/>
          </m:rPr>
          <w:rPr>
            <w:rFonts w:ascii="Cambria Math" w:hAnsi="Cambria Math"/>
          </w:rPr>
          <m:t>℃]</m:t>
        </m:r>
      </m:oMath>
      <w:r w:rsidRPr="00E449D0">
        <w:t xml:space="preserve">, </w:t>
      </w:r>
      <m:oMath>
        <m:sSub>
          <m:sSubPr>
            <m:ctrlPr>
              <w:rPr>
                <w:rFonts w:ascii="Cambria Math" w:hAnsi="Cambria Math"/>
              </w:rPr>
            </m:ctrlPr>
          </m:sSubPr>
          <m:e>
            <m:r>
              <w:rPr>
                <w:rFonts w:ascii="Cambria Math" w:hAnsi="Cambria Math"/>
              </w:rPr>
              <m:t>u</m:t>
            </m:r>
          </m:e>
          <m:sub>
            <m:r>
              <m:rPr>
                <m:sty m:val="p"/>
              </m:rPr>
              <w:rPr>
                <w:rFonts w:ascii="Cambria Math" w:hAnsi="Cambria Math"/>
              </w:rPr>
              <m:t>2</m:t>
            </m:r>
          </m:sub>
        </m:sSub>
      </m:oMath>
      <w:r>
        <w:t xml:space="preserve"> the feed </w:t>
      </w:r>
      <w:r w:rsidRPr="00E449D0">
        <w:t xml:space="preserve">flow rate </w:t>
      </w:r>
      <w:r w:rsidRPr="00CC5DF3">
        <w:rPr>
          <w:rFonts w:ascii="Cambria Math" w:hAnsi="Cambria Math"/>
          <w:i/>
          <w:iCs/>
        </w:rPr>
        <w:t>m</w:t>
      </w:r>
      <w:r w:rsidRPr="00E449D0">
        <w:t xml:space="preserve"> </w:t>
      </w:r>
      <w:r>
        <w:t>[Nml min</w:t>
      </w:r>
      <w:r w:rsidRPr="00CC5DF3">
        <w:rPr>
          <w:vertAlign w:val="superscript"/>
        </w:rPr>
        <w:t>-1</w:t>
      </w:r>
      <w:r>
        <w:t>]</w:t>
      </w:r>
      <w:r w:rsidRPr="00E449D0">
        <w:t xml:space="preserve">, </w:t>
      </w:r>
      <m:oMath>
        <m:sSub>
          <m:sSubPr>
            <m:ctrlPr>
              <w:rPr>
                <w:rFonts w:ascii="Cambria Math" w:hAnsi="Cambria Math"/>
              </w:rPr>
            </m:ctrlPr>
          </m:sSubPr>
          <m:e>
            <m:r>
              <w:rPr>
                <w:rFonts w:ascii="Cambria Math" w:hAnsi="Cambria Math"/>
              </w:rPr>
              <m:t>u</m:t>
            </m:r>
          </m:e>
          <m:sub>
            <m:r>
              <m:rPr>
                <m:sty m:val="p"/>
              </m:rPr>
              <w:rPr>
                <w:rFonts w:ascii="Cambria Math" w:hAnsi="Cambria Math"/>
              </w:rPr>
              <m:t>3</m:t>
            </m:r>
          </m:sub>
        </m:sSub>
      </m:oMath>
      <w:r>
        <w:t xml:space="preserve"> the o</w:t>
      </w:r>
      <w:r w:rsidRPr="00E449D0">
        <w:t>xygen to methane mol</w:t>
      </w:r>
      <w:r>
        <w:t>ar ratio</w:t>
      </w:r>
      <w:r w:rsidRPr="00E449D0">
        <w:t xml:space="preserve">  </w:t>
      </w:r>
      <m:oMath>
        <m:sSub>
          <m:sSubPr>
            <m:ctrlPr>
              <w:rPr>
                <w:rFonts w:ascii="Cambria Math" w:hAnsi="Cambria Math"/>
              </w:rPr>
            </m:ctrlPr>
          </m:sSubPr>
          <m:e>
            <m:r>
              <w:rPr>
                <w:rFonts w:ascii="Cambria Math" w:hAnsi="Cambria Math"/>
              </w:rPr>
              <m:t>R</m:t>
            </m:r>
          </m:e>
          <m:sub>
            <m:sSub>
              <m:sSubPr>
                <m:ctrlPr>
                  <w:rPr>
                    <w:rFonts w:ascii="Cambria Math" w:hAnsi="Cambria Math"/>
                  </w:rPr>
                </m:ctrlPr>
              </m:sSubPr>
              <m:e>
                <m:r>
                  <w:rPr>
                    <w:rFonts w:ascii="Cambria Math" w:hAnsi="Cambria Math"/>
                  </w:rPr>
                  <m:t>O</m:t>
                </m:r>
              </m:e>
              <m:sub>
                <m:r>
                  <m:rPr>
                    <m:sty m:val="p"/>
                  </m:rPr>
                  <w:rPr>
                    <w:rFonts w:ascii="Cambria Math" w:hAnsi="Cambria Math"/>
                  </w:rPr>
                  <m:t>2/</m:t>
                </m:r>
                <m:sSub>
                  <m:sSubPr>
                    <m:ctrlPr>
                      <w:rPr>
                        <w:rFonts w:ascii="Cambria Math" w:hAnsi="Cambria Math"/>
                      </w:rPr>
                    </m:ctrlPr>
                  </m:sSubPr>
                  <m:e>
                    <m:r>
                      <w:rPr>
                        <w:rFonts w:ascii="Cambria Math" w:hAnsi="Cambria Math"/>
                      </w:rPr>
                      <m:t>CH</m:t>
                    </m:r>
                  </m:e>
                  <m:sub>
                    <m:r>
                      <m:rPr>
                        <m:sty m:val="p"/>
                      </m:rPr>
                      <w:rPr>
                        <w:rFonts w:ascii="Cambria Math" w:hAnsi="Cambria Math"/>
                      </w:rPr>
                      <m:t>4</m:t>
                    </m:r>
                  </m:sub>
                </m:sSub>
              </m:sub>
            </m:sSub>
          </m:sub>
        </m:sSub>
      </m:oMath>
      <w:r w:rsidRPr="00E449D0">
        <w:t xml:space="preserve"> </w:t>
      </w:r>
      <w:r>
        <w:t>[mol mol</w:t>
      </w:r>
      <w:r w:rsidRPr="00CC5DF3">
        <w:rPr>
          <w:vertAlign w:val="superscript"/>
        </w:rPr>
        <w:t>-1</w:t>
      </w:r>
      <w:r>
        <w:t>]</w:t>
      </w:r>
      <w:r w:rsidRPr="00E449D0">
        <w:t>, and</w:t>
      </w:r>
      <w:r>
        <w:t xml:space="preserve"> </w:t>
      </w:r>
      <m:oMath>
        <m:sSub>
          <m:sSubPr>
            <m:ctrlPr>
              <w:rPr>
                <w:rFonts w:ascii="Cambria Math" w:hAnsi="Cambria Math"/>
              </w:rPr>
            </m:ctrlPr>
          </m:sSubPr>
          <m:e>
            <m:r>
              <w:rPr>
                <w:rFonts w:ascii="Cambria Math" w:hAnsi="Cambria Math"/>
              </w:rPr>
              <m:t>u</m:t>
            </m:r>
          </m:e>
          <m:sub>
            <m:r>
              <m:rPr>
                <m:sty m:val="p"/>
              </m:rPr>
              <w:rPr>
                <w:rFonts w:ascii="Cambria Math" w:hAnsi="Cambria Math"/>
              </w:rPr>
              <m:t>4</m:t>
            </m:r>
          </m:sub>
        </m:sSub>
      </m:oMath>
      <w:r w:rsidRPr="00E449D0">
        <w:t xml:space="preserve"> inlet methane mole fraction </w:t>
      </w:r>
      <m:oMath>
        <m:sSub>
          <m:sSubPr>
            <m:ctrlPr>
              <w:rPr>
                <w:rFonts w:ascii="Cambria Math" w:hAnsi="Cambria Math"/>
              </w:rPr>
            </m:ctrlPr>
          </m:sSubPr>
          <m:e>
            <m:r>
              <w:rPr>
                <w:rFonts w:ascii="Cambria Math" w:hAnsi="Cambria Math"/>
              </w:rPr>
              <m:t>Y</m:t>
            </m:r>
          </m:e>
          <m:sub>
            <m:sSub>
              <m:sSubPr>
                <m:ctrlPr>
                  <w:rPr>
                    <w:rFonts w:ascii="Cambria Math" w:hAnsi="Cambria Math"/>
                  </w:rPr>
                </m:ctrlPr>
              </m:sSubPr>
              <m:e>
                <m:r>
                  <w:rPr>
                    <w:rFonts w:ascii="Cambria Math" w:hAnsi="Cambria Math"/>
                  </w:rPr>
                  <m:t>CH</m:t>
                </m:r>
              </m:e>
              <m:sub>
                <m:r>
                  <m:rPr>
                    <m:sty m:val="p"/>
                  </m:rPr>
                  <w:rPr>
                    <w:rFonts w:ascii="Cambria Math" w:hAnsi="Cambria Math"/>
                  </w:rPr>
                  <m:t xml:space="preserve">4 </m:t>
                </m:r>
              </m:sub>
            </m:sSub>
          </m:sub>
        </m:sSub>
        <m:r>
          <m:rPr>
            <m:sty m:val="p"/>
          </m:rPr>
          <w:rPr>
            <w:rFonts w:ascii="Cambria Math" w:hAnsi="Cambria Math"/>
          </w:rPr>
          <m:t> </m:t>
        </m:r>
      </m:oMath>
      <w:r w:rsidRPr="00E449D0">
        <w:t xml:space="preserve">​​ </w:t>
      </w:r>
      <w:r>
        <w:t>[mol mol</w:t>
      </w:r>
      <w:r w:rsidRPr="00CC5DF3">
        <w:rPr>
          <w:vertAlign w:val="superscript"/>
        </w:rPr>
        <w:t>-1</w:t>
      </w:r>
      <w:r>
        <w:t>]</w:t>
      </w:r>
      <w:r w:rsidRPr="00E449D0">
        <w:t xml:space="preserve">. These controls form the design vector </w:t>
      </w:r>
      <m:oMath>
        <m:r>
          <m:rPr>
            <m:sty m:val="bi"/>
          </m:rPr>
          <w:rPr>
            <w:rFonts w:ascii="Cambria Math" w:hAnsi="Cambria Math"/>
          </w:rPr>
          <m:t>φ</m:t>
        </m:r>
      </m:oMath>
      <w:r w:rsidRPr="00E449D0">
        <w:t xml:space="preserve"> which is bounded within the experimental design domain as shown in Table </w:t>
      </w:r>
      <w:r>
        <w:t>1</w:t>
      </w:r>
      <w:r w:rsidRPr="00E449D0">
        <w:t>.</w:t>
      </w:r>
      <w:r>
        <w:t xml:space="preserve"> </w:t>
      </w:r>
    </w:p>
    <w:p w14:paraId="4E6F445D" w14:textId="77777777" w:rsidR="00807552" w:rsidRDefault="00807552" w:rsidP="00807552">
      <w:pPr>
        <w:spacing w:after="0" w:line="276" w:lineRule="auto"/>
        <w:jc w:val="both"/>
        <w:rPr>
          <w:rFonts w:ascii="Arial" w:eastAsia="Times New Roman" w:hAnsi="Arial" w:cs="Times New Roman"/>
          <w:kern w:val="0"/>
          <w:sz w:val="18"/>
          <w:szCs w:val="20"/>
          <w14:ligatures w14:val="none"/>
        </w:rPr>
      </w:pPr>
      <w:r>
        <w:rPr>
          <w:rFonts w:ascii="Arial" w:eastAsia="Times New Roman" w:hAnsi="Arial" w:cs="Times New Roman"/>
          <w:kern w:val="0"/>
          <w:sz w:val="18"/>
          <w:szCs w:val="20"/>
          <w14:ligatures w14:val="none"/>
        </w:rPr>
        <w:t xml:space="preserve">The conversion of methane </w:t>
      </w:r>
      <m:oMath>
        <m:r>
          <w:rPr>
            <w:rFonts w:ascii="Cambria Math" w:hAnsi="Cambria Math" w:cs="Segoe UI"/>
            <w:sz w:val="18"/>
            <w:szCs w:val="18"/>
          </w:rPr>
          <m:t>α</m:t>
        </m:r>
      </m:oMath>
      <w:r>
        <w:rPr>
          <w:rFonts w:ascii="Arial" w:eastAsia="Times New Roman" w:hAnsi="Arial" w:cs="Times New Roman"/>
          <w:kern w:val="0"/>
          <w:sz w:val="18"/>
          <w:szCs w:val="20"/>
          <w14:ligatures w14:val="none"/>
        </w:rPr>
        <w:t xml:space="preserve"> is defined as the fraction of methane consumed during the catalytic oxidation process over palladium-based catalyst: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9"/>
        <w:gridCol w:w="817"/>
      </w:tblGrid>
      <w:tr w:rsidR="00807552" w:rsidRPr="00B57B36" w14:paraId="54BEEB68" w14:textId="77777777" w:rsidTr="00F6176E">
        <w:tc>
          <w:tcPr>
            <w:tcW w:w="8209" w:type="dxa"/>
          </w:tcPr>
          <w:p w14:paraId="1D9E832C" w14:textId="77777777" w:rsidR="00807552" w:rsidRPr="00516242" w:rsidRDefault="00807552" w:rsidP="00F6176E">
            <w:pPr>
              <w:pStyle w:val="CETEquation"/>
              <w:rPr>
                <w:iCs/>
              </w:rPr>
            </w:pPr>
            <m:oMath>
              <m:r>
                <w:rPr>
                  <w:rFonts w:ascii="Cambria Math" w:hAnsi="Cambria Math" w:cs="Segoe UI"/>
                  <w:szCs w:val="18"/>
                </w:rPr>
                <m:t>α</m:t>
              </m:r>
              <m:r>
                <m:rPr>
                  <m:sty m:val="p"/>
                </m:rPr>
                <w:rPr>
                  <w:rFonts w:ascii="Cambria Math" w:hAnsi="Cambria Math" w:cs="Segoe UI"/>
                  <w:szCs w:val="18"/>
                </w:rPr>
                <m:t xml:space="preserve">= </m:t>
              </m:r>
              <m:f>
                <m:fPr>
                  <m:ctrlPr>
                    <w:rPr>
                      <w:rFonts w:ascii="Cambria Math" w:hAnsi="Cambria Math" w:cs="Segoe UI"/>
                      <w:kern w:val="2"/>
                      <w:szCs w:val="18"/>
                      <w14:ligatures w14:val="standardContextual"/>
                    </w:rPr>
                  </m:ctrlPr>
                </m:fPr>
                <m:num>
                  <m:sSub>
                    <m:sSubPr>
                      <m:ctrlPr>
                        <w:rPr>
                          <w:rFonts w:ascii="Cambria Math" w:hAnsi="Cambria Math" w:cs="Segoe UI"/>
                          <w:szCs w:val="18"/>
                        </w:rPr>
                      </m:ctrlPr>
                    </m:sSubPr>
                    <m:e>
                      <m:r>
                        <w:rPr>
                          <w:rFonts w:ascii="Cambria Math" w:hAnsi="Cambria Math" w:cs="Segoe UI"/>
                          <w:szCs w:val="18"/>
                        </w:rPr>
                        <m:t>Y</m:t>
                      </m:r>
                    </m:e>
                    <m:sub>
                      <m:sSub>
                        <m:sSubPr>
                          <m:ctrlPr>
                            <w:rPr>
                              <w:rFonts w:ascii="Cambria Math" w:hAnsi="Cambria Math" w:cs="Segoe UI"/>
                              <w:szCs w:val="18"/>
                            </w:rPr>
                          </m:ctrlPr>
                        </m:sSubPr>
                        <m:e>
                          <m:r>
                            <w:rPr>
                              <w:rFonts w:ascii="Cambria Math" w:hAnsi="Cambria Math" w:cs="Segoe UI"/>
                              <w:szCs w:val="18"/>
                            </w:rPr>
                            <m:t>CH</m:t>
                          </m:r>
                        </m:e>
                        <m:sub>
                          <m:r>
                            <m:rPr>
                              <m:sty m:val="p"/>
                            </m:rPr>
                            <w:rPr>
                              <w:rFonts w:ascii="Cambria Math" w:hAnsi="Cambria Math" w:cs="Segoe UI"/>
                              <w:szCs w:val="18"/>
                            </w:rPr>
                            <m:t>4</m:t>
                          </m:r>
                        </m:sub>
                      </m:sSub>
                    </m:sub>
                  </m:sSub>
                  <m:r>
                    <m:rPr>
                      <m:sty m:val="p"/>
                    </m:rPr>
                    <w:rPr>
                      <w:rFonts w:ascii="Cambria Math" w:hAnsi="Cambria Math" w:cs="Segoe UI"/>
                      <w:szCs w:val="18"/>
                    </w:rPr>
                    <m:t>- y</m:t>
                  </m:r>
                </m:num>
                <m:den>
                  <m:sSub>
                    <m:sSubPr>
                      <m:ctrlPr>
                        <w:rPr>
                          <w:rFonts w:ascii="Cambria Math" w:hAnsi="Cambria Math" w:cs="Segoe UI"/>
                          <w:szCs w:val="18"/>
                        </w:rPr>
                      </m:ctrlPr>
                    </m:sSubPr>
                    <m:e>
                      <m:r>
                        <w:rPr>
                          <w:rFonts w:ascii="Cambria Math" w:hAnsi="Cambria Math" w:cs="Segoe UI"/>
                          <w:szCs w:val="18"/>
                        </w:rPr>
                        <m:t>Y</m:t>
                      </m:r>
                    </m:e>
                    <m:sub>
                      <m:sSub>
                        <m:sSubPr>
                          <m:ctrlPr>
                            <w:rPr>
                              <w:rFonts w:ascii="Cambria Math" w:hAnsi="Cambria Math" w:cs="Segoe UI"/>
                              <w:szCs w:val="18"/>
                            </w:rPr>
                          </m:ctrlPr>
                        </m:sSubPr>
                        <m:e>
                          <m:r>
                            <w:rPr>
                              <w:rFonts w:ascii="Cambria Math" w:hAnsi="Cambria Math" w:cs="Segoe UI"/>
                              <w:szCs w:val="18"/>
                            </w:rPr>
                            <m:t>CH</m:t>
                          </m:r>
                        </m:e>
                        <m:sub>
                          <m:r>
                            <m:rPr>
                              <m:sty m:val="p"/>
                            </m:rPr>
                            <w:rPr>
                              <w:rFonts w:ascii="Cambria Math" w:hAnsi="Cambria Math" w:cs="Segoe UI"/>
                              <w:szCs w:val="18"/>
                            </w:rPr>
                            <m:t>4</m:t>
                          </m:r>
                        </m:sub>
                      </m:sSub>
                    </m:sub>
                  </m:sSub>
                </m:den>
              </m:f>
            </m:oMath>
            <w:r w:rsidRPr="0009372A">
              <w:rPr>
                <w:rFonts w:cs="Segoe UI"/>
                <w:szCs w:val="18"/>
              </w:rPr>
              <w:t xml:space="preserve"> </w:t>
            </w:r>
            <w:r>
              <w:rPr>
                <w:rFonts w:cs="Segoe UI"/>
                <w:szCs w:val="18"/>
              </w:rPr>
              <w:tab/>
            </w:r>
          </w:p>
        </w:tc>
        <w:tc>
          <w:tcPr>
            <w:tcW w:w="817" w:type="dxa"/>
          </w:tcPr>
          <w:p w14:paraId="651AEB3A" w14:textId="77777777" w:rsidR="00807552" w:rsidRDefault="00807552" w:rsidP="00F6176E">
            <w:pPr>
              <w:pStyle w:val="CETEquation"/>
            </w:pPr>
            <w:r>
              <w:t>(4)</w:t>
            </w:r>
          </w:p>
        </w:tc>
      </w:tr>
    </w:tbl>
    <w:p w14:paraId="3B59DEBB" w14:textId="77777777" w:rsidR="00807552" w:rsidRPr="00CC5DF3" w:rsidRDefault="00807552" w:rsidP="00807552">
      <w:pPr>
        <w:pStyle w:val="CETBodytext"/>
        <w:rPr>
          <w:i/>
        </w:rPr>
      </w:pPr>
      <w:r>
        <w:t>w</w:t>
      </w:r>
      <w:r w:rsidRPr="00CC5DF3">
        <w:t xml:space="preserve">here </w:t>
      </w:r>
      <m:oMath>
        <m:r>
          <w:rPr>
            <w:rFonts w:ascii="Cambria Math" w:hAnsi="Cambria Math"/>
          </w:rPr>
          <m:t>y</m:t>
        </m:r>
      </m:oMath>
      <w:r w:rsidRPr="00CC5DF3">
        <w:t xml:space="preserve"> is the measured methane concentration in the reactor </w:t>
      </w:r>
      <w:r w:rsidRPr="00CC5DF3">
        <w:rPr>
          <w:i/>
        </w:rPr>
        <w:t>effluent (</w:t>
      </w:r>
      <w:r>
        <w:t xml:space="preserve">measured </w:t>
      </w:r>
      <w:r w:rsidRPr="00CC5DF3">
        <w:t>response)</w:t>
      </w:r>
      <w:r>
        <w:t>.</w:t>
      </w:r>
    </w:p>
    <w:p w14:paraId="01C27FA2" w14:textId="77777777" w:rsidR="00807552" w:rsidRPr="002E0BF7" w:rsidRDefault="00807552" w:rsidP="00807552">
      <w:pPr>
        <w:pStyle w:val="CETTabletitle"/>
        <w:numPr>
          <w:ilvl w:val="2"/>
          <w:numId w:val="0"/>
        </w:numPr>
        <w:spacing w:before="0" w:after="0" w:line="240" w:lineRule="auto"/>
      </w:pPr>
      <w:r w:rsidRPr="0081680A">
        <w:rPr>
          <w:b/>
          <w:bCs/>
        </w:rPr>
        <w:t>Table 1</w:t>
      </w:r>
      <w:r w:rsidRPr="002E0BF7">
        <w:t xml:space="preserve">: </w:t>
      </w:r>
      <w:r>
        <w:t xml:space="preserve">Upper and lower bounds on control variables defining the experimental design space. </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3688"/>
        <w:gridCol w:w="3859"/>
        <w:gridCol w:w="1356"/>
      </w:tblGrid>
      <w:tr w:rsidR="00807552" w:rsidRPr="00B57B36" w14:paraId="63A3AB62" w14:textId="77777777" w:rsidTr="00F6176E">
        <w:trPr>
          <w:trHeight w:val="448"/>
        </w:trPr>
        <w:tc>
          <w:tcPr>
            <w:tcW w:w="3688" w:type="dxa"/>
            <w:tcBorders>
              <w:top w:val="single" w:sz="12" w:space="0" w:color="008000"/>
              <w:bottom w:val="single" w:sz="6" w:space="0" w:color="008000"/>
            </w:tcBorders>
            <w:shd w:val="clear" w:color="auto" w:fill="FFFFFF"/>
          </w:tcPr>
          <w:p w14:paraId="1DA71935" w14:textId="77777777" w:rsidR="00807552" w:rsidRPr="00B57B36" w:rsidRDefault="00807552" w:rsidP="00F6176E">
            <w:pPr>
              <w:pStyle w:val="CETBodytext"/>
              <w:rPr>
                <w:lang w:val="en-GB"/>
              </w:rPr>
            </w:pPr>
            <w:r>
              <w:rPr>
                <w:lang w:val="en-GB"/>
              </w:rPr>
              <w:t>Control Variables</w:t>
            </w:r>
            <w:r w:rsidRPr="00B57B36">
              <w:rPr>
                <w:lang w:val="en-GB"/>
              </w:rPr>
              <w:t xml:space="preserve"> </w:t>
            </w:r>
          </w:p>
        </w:tc>
        <w:tc>
          <w:tcPr>
            <w:tcW w:w="3859" w:type="dxa"/>
            <w:tcBorders>
              <w:top w:val="single" w:sz="12" w:space="0" w:color="008000"/>
              <w:bottom w:val="single" w:sz="6" w:space="0" w:color="008000"/>
            </w:tcBorders>
            <w:shd w:val="clear" w:color="auto" w:fill="FFFFFF"/>
          </w:tcPr>
          <w:p w14:paraId="2E7ED84E" w14:textId="77777777" w:rsidR="00807552" w:rsidRPr="00B57B36" w:rsidRDefault="00807552" w:rsidP="00F6176E">
            <w:pPr>
              <w:pStyle w:val="CETBodytext"/>
              <w:rPr>
                <w:lang w:val="en-GB"/>
              </w:rPr>
            </w:pPr>
            <w:r>
              <w:rPr>
                <w:lang w:val="en-GB"/>
              </w:rPr>
              <w:t>Range</w:t>
            </w:r>
          </w:p>
        </w:tc>
        <w:tc>
          <w:tcPr>
            <w:tcW w:w="1356" w:type="dxa"/>
            <w:tcBorders>
              <w:top w:val="single" w:sz="12" w:space="0" w:color="008000"/>
              <w:bottom w:val="single" w:sz="6" w:space="0" w:color="008000"/>
            </w:tcBorders>
            <w:shd w:val="clear" w:color="auto" w:fill="FFFFFF"/>
          </w:tcPr>
          <w:p w14:paraId="533CEED8" w14:textId="77777777" w:rsidR="00807552" w:rsidRPr="00B57B36" w:rsidRDefault="00807552" w:rsidP="00F6176E">
            <w:pPr>
              <w:pStyle w:val="CETBodytext"/>
              <w:rPr>
                <w:lang w:val="en-GB"/>
              </w:rPr>
            </w:pPr>
            <w:r>
              <w:rPr>
                <w:lang w:val="en-GB"/>
              </w:rPr>
              <w:t>Unit</w:t>
            </w:r>
          </w:p>
        </w:tc>
      </w:tr>
      <w:tr w:rsidR="00807552" w:rsidRPr="00B57B36" w14:paraId="2AF696CE" w14:textId="77777777" w:rsidTr="00F6176E">
        <w:trPr>
          <w:trHeight w:val="224"/>
        </w:trPr>
        <w:tc>
          <w:tcPr>
            <w:tcW w:w="3688" w:type="dxa"/>
            <w:shd w:val="clear" w:color="auto" w:fill="FFFFFF"/>
          </w:tcPr>
          <w:p w14:paraId="18F2C36B" w14:textId="77777777" w:rsidR="00807552" w:rsidRPr="00B57B36" w:rsidRDefault="00807552" w:rsidP="00F6176E">
            <w:pPr>
              <w:pStyle w:val="CETBodytext"/>
              <w:rPr>
                <w:lang w:val="en-GB"/>
              </w:rPr>
            </w:pPr>
            <w:r>
              <w:rPr>
                <w:lang w:val="en-GB"/>
              </w:rPr>
              <w:t>Temperatures</w:t>
            </w:r>
          </w:p>
        </w:tc>
        <w:tc>
          <w:tcPr>
            <w:tcW w:w="3859" w:type="dxa"/>
            <w:shd w:val="clear" w:color="auto" w:fill="FFFFFF"/>
          </w:tcPr>
          <w:p w14:paraId="343F9A2B" w14:textId="77777777" w:rsidR="00807552" w:rsidRPr="00B57B36" w:rsidRDefault="00807552" w:rsidP="00F6176E">
            <w:pPr>
              <w:pStyle w:val="CETBodytext"/>
              <w:rPr>
                <w:lang w:val="en-GB"/>
              </w:rPr>
            </w:pPr>
            <w:r>
              <w:rPr>
                <w:lang w:val="en-GB"/>
              </w:rPr>
              <w:t>250-350</w:t>
            </w:r>
          </w:p>
        </w:tc>
        <w:tc>
          <w:tcPr>
            <w:tcW w:w="1356" w:type="dxa"/>
            <w:shd w:val="clear" w:color="auto" w:fill="FFFFFF"/>
          </w:tcPr>
          <w:p w14:paraId="070A233D" w14:textId="77777777" w:rsidR="00807552" w:rsidRPr="00B57B36" w:rsidRDefault="00807552" w:rsidP="00F6176E">
            <w:pPr>
              <w:pStyle w:val="CETBodytext"/>
              <w:rPr>
                <w:lang w:val="en-GB"/>
              </w:rPr>
            </w:pPr>
            <m:oMathPara>
              <m:oMath>
                <m:r>
                  <w:rPr>
                    <w:rFonts w:ascii="Cambria Math" w:eastAsia="Calibri" w:hAnsi="Cambria Math" w:cs="Cormorant Medium"/>
                    <w:color w:val="000000"/>
                    <w:szCs w:val="18"/>
                  </w:rPr>
                  <m:t>℃</m:t>
                </m:r>
              </m:oMath>
            </m:oMathPara>
          </w:p>
        </w:tc>
      </w:tr>
      <w:tr w:rsidR="00807552" w:rsidRPr="00B57B36" w14:paraId="275E09FF" w14:textId="77777777" w:rsidTr="00F6176E">
        <w:trPr>
          <w:trHeight w:val="224"/>
        </w:trPr>
        <w:tc>
          <w:tcPr>
            <w:tcW w:w="3688" w:type="dxa"/>
            <w:shd w:val="clear" w:color="auto" w:fill="FFFFFF"/>
          </w:tcPr>
          <w:p w14:paraId="510426CA" w14:textId="77777777" w:rsidR="00807552" w:rsidRPr="00B57B36" w:rsidRDefault="00807552" w:rsidP="00F6176E">
            <w:pPr>
              <w:pStyle w:val="CETBodytext"/>
              <w:ind w:right="-1"/>
              <w:rPr>
                <w:rFonts w:cs="Arial"/>
                <w:szCs w:val="18"/>
                <w:lang w:val="en-GB"/>
              </w:rPr>
            </w:pPr>
            <w:r>
              <w:rPr>
                <w:rFonts w:cs="Arial"/>
                <w:szCs w:val="18"/>
                <w:lang w:val="en-GB"/>
              </w:rPr>
              <w:t>Mass flow rate</w:t>
            </w:r>
          </w:p>
        </w:tc>
        <w:tc>
          <w:tcPr>
            <w:tcW w:w="3859" w:type="dxa"/>
            <w:shd w:val="clear" w:color="auto" w:fill="FFFFFF"/>
          </w:tcPr>
          <w:p w14:paraId="2750F7F0" w14:textId="77777777" w:rsidR="00807552" w:rsidRPr="00B57B36" w:rsidRDefault="00807552" w:rsidP="00F6176E">
            <w:pPr>
              <w:pStyle w:val="CETBodytext"/>
              <w:ind w:right="-1"/>
              <w:rPr>
                <w:rFonts w:cs="Arial"/>
                <w:szCs w:val="18"/>
                <w:lang w:val="en-GB"/>
              </w:rPr>
            </w:pPr>
            <w:r>
              <w:rPr>
                <w:rFonts w:cs="Arial"/>
                <w:szCs w:val="18"/>
                <w:lang w:val="en-GB"/>
              </w:rPr>
              <w:t>20-30</w:t>
            </w:r>
          </w:p>
        </w:tc>
        <w:tc>
          <w:tcPr>
            <w:tcW w:w="1356" w:type="dxa"/>
            <w:shd w:val="clear" w:color="auto" w:fill="FFFFFF"/>
          </w:tcPr>
          <w:p w14:paraId="684482E2" w14:textId="77777777" w:rsidR="00807552" w:rsidRPr="00B57B36" w:rsidRDefault="00807552" w:rsidP="00F6176E">
            <w:pPr>
              <w:pStyle w:val="CETBodytext"/>
              <w:ind w:right="-1"/>
              <w:rPr>
                <w:rFonts w:cs="Arial"/>
                <w:szCs w:val="18"/>
                <w:lang w:val="en-GB"/>
              </w:rPr>
            </w:pPr>
            <m:oMathPara>
              <m:oMath>
                <m:r>
                  <w:rPr>
                    <w:rFonts w:ascii="Cambria Math" w:eastAsia="Calibri" w:hAnsi="Cambria Math" w:cs="Cormorant Medium"/>
                    <w:color w:val="000000"/>
                    <w:szCs w:val="18"/>
                  </w:rPr>
                  <m:t xml:space="preserve">Nml </m:t>
                </m:r>
                <m:sSup>
                  <m:sSupPr>
                    <m:ctrlPr>
                      <w:rPr>
                        <w:rFonts w:ascii="Cambria Math" w:eastAsia="Calibri" w:hAnsi="Cambria Math" w:cs="Cormorant Medium"/>
                        <w:i/>
                        <w:color w:val="000000"/>
                        <w:szCs w:val="18"/>
                      </w:rPr>
                    </m:ctrlPr>
                  </m:sSupPr>
                  <m:e>
                    <m:r>
                      <w:rPr>
                        <w:rFonts w:ascii="Cambria Math" w:eastAsia="Calibri" w:hAnsi="Cambria Math" w:cs="Cormorant Medium"/>
                        <w:color w:val="000000"/>
                        <w:szCs w:val="18"/>
                      </w:rPr>
                      <m:t>min</m:t>
                    </m:r>
                  </m:e>
                  <m:sup>
                    <m:r>
                      <w:rPr>
                        <w:rFonts w:ascii="Cambria Math" w:eastAsia="Calibri" w:hAnsi="Cambria Math" w:cs="Cormorant Medium"/>
                        <w:color w:val="000000"/>
                        <w:szCs w:val="18"/>
                      </w:rPr>
                      <m:t>-1</m:t>
                    </m:r>
                  </m:sup>
                </m:sSup>
              </m:oMath>
            </m:oMathPara>
          </w:p>
        </w:tc>
      </w:tr>
      <w:tr w:rsidR="00807552" w:rsidRPr="00B57B36" w14:paraId="2EACD8E7" w14:textId="77777777" w:rsidTr="00F6176E">
        <w:trPr>
          <w:trHeight w:val="224"/>
        </w:trPr>
        <w:tc>
          <w:tcPr>
            <w:tcW w:w="3688" w:type="dxa"/>
            <w:shd w:val="clear" w:color="auto" w:fill="FFFFFF"/>
          </w:tcPr>
          <w:p w14:paraId="5DB232B5" w14:textId="77777777" w:rsidR="00807552" w:rsidRPr="00B57B36" w:rsidRDefault="00807552" w:rsidP="00F6176E">
            <w:pPr>
              <w:pStyle w:val="CETBodytext"/>
              <w:ind w:right="-1"/>
              <w:rPr>
                <w:rFonts w:cs="Arial"/>
                <w:szCs w:val="18"/>
                <w:lang w:val="en-GB"/>
              </w:rPr>
            </w:pPr>
            <w:r>
              <w:rPr>
                <w:rFonts w:cs="Arial"/>
                <w:szCs w:val="18"/>
                <w:lang w:val="en-GB"/>
              </w:rPr>
              <w:t>Oxygen to methane mole ratio</w:t>
            </w:r>
          </w:p>
        </w:tc>
        <w:tc>
          <w:tcPr>
            <w:tcW w:w="3859" w:type="dxa"/>
            <w:shd w:val="clear" w:color="auto" w:fill="FFFFFF"/>
          </w:tcPr>
          <w:p w14:paraId="18503701" w14:textId="77777777" w:rsidR="00807552" w:rsidRPr="00B57B36" w:rsidRDefault="00807552" w:rsidP="00F6176E">
            <w:pPr>
              <w:pStyle w:val="CETBodytext"/>
              <w:ind w:right="-1"/>
              <w:rPr>
                <w:rFonts w:cs="Arial"/>
                <w:szCs w:val="18"/>
                <w:lang w:val="en-GB"/>
              </w:rPr>
            </w:pPr>
            <w:r>
              <w:rPr>
                <w:rFonts w:cs="Arial"/>
                <w:szCs w:val="18"/>
                <w:lang w:val="en-GB"/>
              </w:rPr>
              <w:t>2-4</w:t>
            </w:r>
          </w:p>
        </w:tc>
        <w:tc>
          <w:tcPr>
            <w:tcW w:w="1356" w:type="dxa"/>
            <w:shd w:val="clear" w:color="auto" w:fill="FFFFFF"/>
          </w:tcPr>
          <w:p w14:paraId="585ACE65" w14:textId="77777777" w:rsidR="00807552" w:rsidRPr="00B57B36" w:rsidRDefault="00807552" w:rsidP="00F6176E">
            <w:pPr>
              <w:pStyle w:val="CETBodytext"/>
              <w:ind w:right="-1"/>
              <w:rPr>
                <w:rFonts w:cs="Arial"/>
                <w:szCs w:val="18"/>
                <w:lang w:val="en-GB"/>
              </w:rPr>
            </w:pPr>
            <m:oMathPara>
              <m:oMath>
                <m:r>
                  <w:rPr>
                    <w:rFonts w:ascii="Cambria Math" w:eastAsia="Calibri" w:hAnsi="Cambria Math" w:cs="Cormorant Medium"/>
                    <w:color w:val="000000"/>
                    <w:szCs w:val="18"/>
                  </w:rPr>
                  <m:t xml:space="preserve">mol </m:t>
                </m:r>
                <m:sSup>
                  <m:sSupPr>
                    <m:ctrlPr>
                      <w:rPr>
                        <w:rFonts w:ascii="Cambria Math" w:eastAsia="Calibri" w:hAnsi="Cambria Math" w:cs="Cormorant Medium"/>
                        <w:i/>
                        <w:color w:val="000000"/>
                        <w:szCs w:val="18"/>
                      </w:rPr>
                    </m:ctrlPr>
                  </m:sSupPr>
                  <m:e>
                    <m:r>
                      <w:rPr>
                        <w:rFonts w:ascii="Cambria Math" w:eastAsia="Calibri" w:hAnsi="Cambria Math" w:cs="Cormorant Medium"/>
                        <w:color w:val="000000"/>
                        <w:szCs w:val="18"/>
                      </w:rPr>
                      <m:t>mol</m:t>
                    </m:r>
                  </m:e>
                  <m:sup>
                    <m:r>
                      <w:rPr>
                        <w:rFonts w:ascii="Cambria Math" w:eastAsia="Calibri" w:hAnsi="Cambria Math" w:cs="Cormorant Medium"/>
                        <w:color w:val="000000"/>
                        <w:szCs w:val="18"/>
                      </w:rPr>
                      <m:t>-1</m:t>
                    </m:r>
                  </m:sup>
                </m:sSup>
              </m:oMath>
            </m:oMathPara>
          </w:p>
        </w:tc>
      </w:tr>
      <w:tr w:rsidR="00807552" w:rsidRPr="00B57B36" w14:paraId="4C886A2B" w14:textId="77777777" w:rsidTr="00F6176E">
        <w:trPr>
          <w:trHeight w:val="224"/>
        </w:trPr>
        <w:tc>
          <w:tcPr>
            <w:tcW w:w="3688" w:type="dxa"/>
            <w:shd w:val="clear" w:color="auto" w:fill="FFFFFF"/>
          </w:tcPr>
          <w:p w14:paraId="3809D216" w14:textId="77777777" w:rsidR="00807552" w:rsidRPr="00B57B36" w:rsidRDefault="00807552" w:rsidP="00F6176E">
            <w:pPr>
              <w:pStyle w:val="CETBodytext"/>
              <w:ind w:right="-1"/>
              <w:rPr>
                <w:rFonts w:cs="Arial"/>
                <w:szCs w:val="18"/>
                <w:lang w:val="en-GB"/>
              </w:rPr>
            </w:pPr>
            <w:r>
              <w:rPr>
                <w:rFonts w:cs="Arial"/>
                <w:szCs w:val="18"/>
                <w:lang w:val="en-GB"/>
              </w:rPr>
              <w:t>Methane mole fraction</w:t>
            </w:r>
          </w:p>
        </w:tc>
        <w:tc>
          <w:tcPr>
            <w:tcW w:w="3859" w:type="dxa"/>
            <w:shd w:val="clear" w:color="auto" w:fill="FFFFFF"/>
          </w:tcPr>
          <w:p w14:paraId="6BCD6A5C" w14:textId="77777777" w:rsidR="00807552" w:rsidRPr="00B57B36" w:rsidRDefault="00807552" w:rsidP="00F6176E">
            <w:pPr>
              <w:pStyle w:val="CETBodytext"/>
              <w:ind w:right="-1"/>
              <w:rPr>
                <w:rFonts w:cs="Arial"/>
                <w:szCs w:val="18"/>
                <w:lang w:val="en-GB"/>
              </w:rPr>
            </w:pPr>
            <w:r>
              <w:rPr>
                <w:rFonts w:cs="Arial"/>
                <w:szCs w:val="18"/>
                <w:lang w:val="en-GB"/>
              </w:rPr>
              <w:t>0.005-0.025</w:t>
            </w:r>
          </w:p>
        </w:tc>
        <w:tc>
          <w:tcPr>
            <w:tcW w:w="1356" w:type="dxa"/>
            <w:shd w:val="clear" w:color="auto" w:fill="FFFFFF"/>
          </w:tcPr>
          <w:p w14:paraId="4276397E" w14:textId="77777777" w:rsidR="00807552" w:rsidRPr="00B57B36" w:rsidRDefault="00807552" w:rsidP="00F6176E">
            <w:pPr>
              <w:pStyle w:val="CETBodytext"/>
              <w:ind w:right="-1"/>
              <w:rPr>
                <w:rFonts w:cs="Arial"/>
                <w:szCs w:val="18"/>
                <w:lang w:val="en-GB"/>
              </w:rPr>
            </w:pPr>
            <m:oMathPara>
              <m:oMath>
                <m:r>
                  <w:rPr>
                    <w:rFonts w:ascii="Cambria Math" w:eastAsia="Calibri" w:hAnsi="Cambria Math" w:cs="Cormorant Medium"/>
                    <w:color w:val="000000"/>
                    <w:szCs w:val="18"/>
                  </w:rPr>
                  <m:t xml:space="preserve">mol </m:t>
                </m:r>
                <m:sSup>
                  <m:sSupPr>
                    <m:ctrlPr>
                      <w:rPr>
                        <w:rFonts w:ascii="Cambria Math" w:eastAsia="Calibri" w:hAnsi="Cambria Math" w:cs="Cormorant Medium"/>
                        <w:i/>
                        <w:color w:val="000000"/>
                        <w:szCs w:val="18"/>
                      </w:rPr>
                    </m:ctrlPr>
                  </m:sSupPr>
                  <m:e>
                    <m:r>
                      <w:rPr>
                        <w:rFonts w:ascii="Cambria Math" w:eastAsia="Calibri" w:hAnsi="Cambria Math" w:cs="Cormorant Medium"/>
                        <w:color w:val="000000"/>
                        <w:szCs w:val="18"/>
                      </w:rPr>
                      <m:t>mol</m:t>
                    </m:r>
                  </m:e>
                  <m:sup>
                    <m:r>
                      <w:rPr>
                        <w:rFonts w:ascii="Cambria Math" w:eastAsia="Calibri" w:hAnsi="Cambria Math" w:cs="Cormorant Medium"/>
                        <w:color w:val="000000"/>
                        <w:szCs w:val="18"/>
                      </w:rPr>
                      <m:t>-1</m:t>
                    </m:r>
                  </m:sup>
                </m:sSup>
              </m:oMath>
            </m:oMathPara>
          </w:p>
        </w:tc>
      </w:tr>
    </w:tbl>
    <w:p w14:paraId="59023E89" w14:textId="02BE4122" w:rsidR="00FE5AD6" w:rsidRPr="00FE5AD6" w:rsidRDefault="00FE5AD6" w:rsidP="00FE5AD6">
      <w:pPr>
        <w:pStyle w:val="CETheadingx"/>
        <w:rPr>
          <w:b w:val="0"/>
          <w:bCs/>
        </w:rPr>
      </w:pPr>
      <w:r w:rsidRPr="00C94049">
        <w:rPr>
          <w:b w:val="0"/>
          <w:bCs/>
        </w:rPr>
        <w:t>The experimental data used in this study was obtained from catalytic methane oxidation tests conducted by Bawa et al. (2023), which involved a packed bed plug flow reactor operating under atmospheric pressure with a P</w:t>
      </w:r>
      <w:r w:rsidR="0047196E" w:rsidRPr="00C94049">
        <w:rPr>
          <w:b w:val="0"/>
          <w:bCs/>
        </w:rPr>
        <w:t>d</w:t>
      </w:r>
      <w:r w:rsidRPr="00C94049">
        <w:rPr>
          <w:b w:val="0"/>
          <w:bCs/>
        </w:rPr>
        <w:t>/</w:t>
      </w:r>
      <w:proofErr w:type="spellStart"/>
      <w:r w:rsidRPr="00C94049">
        <w:rPr>
          <w:b w:val="0"/>
          <w:bCs/>
        </w:rPr>
        <w:t>Al</w:t>
      </w:r>
      <w:r w:rsidRPr="00C94049">
        <w:rPr>
          <w:rFonts w:ascii="Cambria Math" w:hAnsi="Cambria Math" w:cs="Cambria Math"/>
          <w:b w:val="0"/>
          <w:bCs/>
        </w:rPr>
        <w:t>₂</w:t>
      </w:r>
      <w:r w:rsidRPr="00C94049">
        <w:rPr>
          <w:b w:val="0"/>
          <w:bCs/>
        </w:rPr>
        <w:t>O</w:t>
      </w:r>
      <w:proofErr w:type="spellEnd"/>
      <w:r w:rsidRPr="00C94049">
        <w:rPr>
          <w:rFonts w:ascii="Cambria Math" w:hAnsi="Cambria Math" w:cs="Cambria Math"/>
          <w:b w:val="0"/>
          <w:bCs/>
        </w:rPr>
        <w:t>₃</w:t>
      </w:r>
      <w:r w:rsidRPr="00C94049">
        <w:rPr>
          <w:b w:val="0"/>
          <w:bCs/>
        </w:rPr>
        <w:t xml:space="preserve"> catalyst. The experiments were carried out at varying inlet compositions, flow rates,</w:t>
      </w:r>
      <w:r w:rsidR="005051DA" w:rsidRPr="00C94049">
        <w:rPr>
          <w:b w:val="0"/>
          <w:bCs/>
        </w:rPr>
        <w:t xml:space="preserve"> oxygen to methane mole ratio</w:t>
      </w:r>
      <w:r w:rsidRPr="00C94049">
        <w:rPr>
          <w:b w:val="0"/>
          <w:bCs/>
        </w:rPr>
        <w:t xml:space="preserve"> and temperatures rang</w:t>
      </w:r>
      <w:r w:rsidR="005051DA" w:rsidRPr="00C94049">
        <w:rPr>
          <w:b w:val="0"/>
          <w:bCs/>
        </w:rPr>
        <w:t>es as shown in Table 1.</w:t>
      </w:r>
      <w:commentRangeStart w:id="2"/>
      <w:commentRangeStart w:id="3"/>
      <w:commentRangeEnd w:id="2"/>
      <w:r w:rsidR="003A6EC9" w:rsidRPr="00C94049">
        <w:rPr>
          <w:rStyle w:val="CommentReference"/>
          <w:rFonts w:asciiTheme="minorHAnsi" w:eastAsiaTheme="minorHAnsi" w:hAnsiTheme="minorHAnsi" w:cstheme="minorBidi"/>
          <w:b w:val="0"/>
          <w:kern w:val="2"/>
          <w:lang w:val="en-GB"/>
          <w14:ligatures w14:val="standardContextual"/>
        </w:rPr>
        <w:commentReference w:id="2"/>
      </w:r>
      <w:commentRangeEnd w:id="3"/>
      <w:r w:rsidR="005051DA" w:rsidRPr="00C94049">
        <w:rPr>
          <w:rStyle w:val="CommentReference"/>
          <w:rFonts w:asciiTheme="minorHAnsi" w:eastAsiaTheme="minorHAnsi" w:hAnsiTheme="minorHAnsi" w:cstheme="minorBidi"/>
          <w:b w:val="0"/>
          <w:kern w:val="2"/>
          <w:lang w:val="en-GB"/>
          <w14:ligatures w14:val="standardContextual"/>
        </w:rPr>
        <w:commentReference w:id="3"/>
      </w:r>
      <w:r w:rsidRPr="00C94049">
        <w:rPr>
          <w:b w:val="0"/>
          <w:bCs/>
        </w:rPr>
        <w:t xml:space="preserve">. </w:t>
      </w:r>
    </w:p>
    <w:p w14:paraId="285DD3D5" w14:textId="78F48E41" w:rsidR="00807552" w:rsidRPr="005815B7" w:rsidRDefault="00807552" w:rsidP="00FE5AD6">
      <w:pPr>
        <w:pStyle w:val="CETheadingx"/>
      </w:pPr>
      <w:r w:rsidRPr="005815B7">
        <w:t>2.3 FIM-Based Experiment Ranking</w:t>
      </w:r>
    </w:p>
    <w:p w14:paraId="32944E8C" w14:textId="77777777" w:rsidR="00807552" w:rsidRDefault="00807552" w:rsidP="00807552">
      <w:pPr>
        <w:pStyle w:val="CETBodytext"/>
        <w:rPr>
          <w:iCs/>
          <w:szCs w:val="18"/>
        </w:rPr>
      </w:pPr>
      <w:r>
        <w:t xml:space="preserve">The information content of each candidate experiment is quantified using the Fisher Information Matrix (FIM). For the Mars-van Krevelen (MVK) kinetic model (Pankajakshan et al., 2023), the FIM computed for each set of reactor conditions </w:t>
      </w:r>
      <w:r w:rsidRPr="003468DC">
        <w:rPr>
          <w:i/>
          <w:iCs/>
        </w:rPr>
        <w:t>I</w:t>
      </w:r>
      <w:r>
        <w:t>(</w:t>
      </w:r>
      <m:oMath>
        <m:r>
          <m:rPr>
            <m:sty m:val="bi"/>
          </m:rPr>
          <w:rPr>
            <w:rStyle w:val="CETBodytextCarattere"/>
            <w:rFonts w:ascii="Cambria Math" w:eastAsiaTheme="minorHAnsi" w:hAnsi="Cambria Math"/>
          </w:rPr>
          <m:t>u</m:t>
        </m:r>
      </m:oMath>
      <w:r>
        <w:rPr>
          <w:iCs/>
          <w:szCs w:val="18"/>
        </w:rPr>
        <w:t xml:space="preserve">) and the corresponding FIM score </w:t>
      </w:r>
      <w:proofErr w:type="spellStart"/>
      <w:r w:rsidRPr="003468DC">
        <w:rPr>
          <w:i/>
          <w:szCs w:val="18"/>
        </w:rPr>
        <w:t>I</w:t>
      </w:r>
      <w:r w:rsidRPr="003468DC">
        <w:rPr>
          <w:i/>
          <w:szCs w:val="18"/>
          <w:vertAlign w:val="subscript"/>
        </w:rPr>
        <w:t>Abs</w:t>
      </w:r>
      <w:proofErr w:type="spellEnd"/>
      <w:r>
        <w:rPr>
          <w:iCs/>
          <w:szCs w:val="18"/>
        </w:rPr>
        <w:t>(</w:t>
      </w:r>
      <w:r w:rsidRPr="003468DC">
        <w:rPr>
          <w:i/>
          <w:szCs w:val="18"/>
        </w:rPr>
        <w:t>u</w:t>
      </w:r>
      <w:r>
        <w:rPr>
          <w:iCs/>
          <w:szCs w:val="18"/>
        </w:rPr>
        <w:t xml:space="preserve">) for each experiment are defined by Equation 5 and 6,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9"/>
        <w:gridCol w:w="817"/>
      </w:tblGrid>
      <w:tr w:rsidR="00807552" w:rsidRPr="00B57B36" w14:paraId="7FBB0878" w14:textId="77777777" w:rsidTr="00F6176E">
        <w:tc>
          <w:tcPr>
            <w:tcW w:w="8209" w:type="dxa"/>
          </w:tcPr>
          <w:p w14:paraId="7E96253A" w14:textId="77777777" w:rsidR="00807552" w:rsidRPr="003468DC" w:rsidRDefault="00807552" w:rsidP="00F6176E">
            <w:pPr>
              <w:pStyle w:val="CETEquation"/>
              <w:rPr>
                <w:iCs/>
                <w:lang w:val="it-IT"/>
              </w:rPr>
            </w:pPr>
            <w:r w:rsidRPr="00C96356">
              <w:rPr>
                <w:i/>
                <w:lang w:val="it-IT"/>
              </w:rPr>
              <w:t>I</w:t>
            </w:r>
            <w:r w:rsidRPr="00C96356">
              <w:rPr>
                <w:lang w:val="it-IT"/>
              </w:rPr>
              <w:t xml:space="preserve"> (</w:t>
            </w:r>
            <m:oMath>
              <m:r>
                <m:rPr>
                  <m:sty m:val="bi"/>
                </m:rPr>
                <w:rPr>
                  <w:rFonts w:ascii="Cambria Math" w:hAnsi="Cambria Math"/>
                </w:rPr>
                <m:t>u</m:t>
              </m:r>
            </m:oMath>
            <w:r w:rsidRPr="00C96356">
              <w:rPr>
                <w:lang w:val="it-IT"/>
              </w:rPr>
              <w:t>)=</w:t>
            </w:r>
            <m:oMath>
              <m:sSup>
                <m:sSupPr>
                  <m:ctrlPr>
                    <w:rPr>
                      <w:rFonts w:ascii="Cambria Math" w:hAnsi="Cambria Math"/>
                      <w:i/>
                    </w:rPr>
                  </m:ctrlPr>
                </m:sSupPr>
                <m:e>
                  <m:d>
                    <m:dPr>
                      <m:ctrlPr>
                        <w:rPr>
                          <w:rFonts w:ascii="Cambria Math" w:hAnsi="Cambria Math"/>
                        </w:rPr>
                      </m:ctrlPr>
                    </m:dPr>
                    <m:e>
                      <m:f>
                        <m:fPr>
                          <m:ctrlPr>
                            <w:rPr>
                              <w:rFonts w:ascii="Cambria Math" w:eastAsiaTheme="minorEastAsia" w:hAnsi="Cambria Math" w:cstheme="minorBidi"/>
                              <w:sz w:val="22"/>
                              <w:lang w:val="en-US"/>
                            </w:rPr>
                          </m:ctrlPr>
                        </m:fPr>
                        <m:num>
                          <m:r>
                            <w:rPr>
                              <w:rFonts w:ascii="Cambria Math" w:hAnsi="Cambria Math"/>
                            </w:rPr>
                            <m:t>dy</m:t>
                          </m:r>
                          <m:r>
                            <w:rPr>
                              <w:rFonts w:ascii="Cambria Math" w:hAnsi="Cambria Math"/>
                              <w:lang w:val="it-IT"/>
                            </w:rPr>
                            <m:t>(</m:t>
                          </m:r>
                          <m:r>
                            <m:rPr>
                              <m:sty m:val="bi"/>
                            </m:rPr>
                            <w:rPr>
                              <w:rFonts w:ascii="Cambria Math" w:hAnsi="Cambria Math"/>
                            </w:rPr>
                            <m:t>u</m:t>
                          </m:r>
                          <m:r>
                            <w:rPr>
                              <w:rFonts w:ascii="Cambria Math" w:hAnsi="Cambria Math"/>
                              <w:lang w:val="it-IT"/>
                            </w:rPr>
                            <m:t>)</m:t>
                          </m:r>
                        </m:num>
                        <m:den>
                          <m:r>
                            <w:rPr>
                              <w:rFonts w:ascii="Cambria Math" w:hAnsi="Cambria Math"/>
                            </w:rPr>
                            <m:t>dθ</m:t>
                          </m:r>
                        </m:den>
                      </m:f>
                    </m:e>
                  </m:d>
                </m:e>
                <m:sup>
                  <m:r>
                    <w:rPr>
                      <w:rFonts w:ascii="Cambria Math" w:hAnsi="Cambria Math"/>
                    </w:rPr>
                    <m:t>T</m:t>
                  </m:r>
                </m:sup>
              </m:sSup>
              <m:sSup>
                <m:sSupPr>
                  <m:ctrlPr>
                    <w:rPr>
                      <w:rFonts w:ascii="Cambria Math" w:eastAsiaTheme="minorEastAsia" w:hAnsi="Cambria Math" w:cstheme="minorBidi"/>
                      <w:sz w:val="22"/>
                      <w:lang w:val="en-US"/>
                    </w:rPr>
                  </m:ctrlPr>
                </m:sSupPr>
                <m:e>
                  <m:r>
                    <w:rPr>
                      <w:rFonts w:ascii="Cambria Math" w:hAnsi="Cambria Math"/>
                    </w:rPr>
                    <m:t>Σ</m:t>
                  </m:r>
                </m:e>
                <m:sup>
                  <m:r>
                    <m:rPr>
                      <m:sty m:val="p"/>
                    </m:rPr>
                    <w:rPr>
                      <w:rFonts w:ascii="Cambria Math" w:hAnsi="Cambria Math"/>
                      <w:lang w:val="it-IT"/>
                    </w:rPr>
                    <m:t>-1</m:t>
                  </m:r>
                </m:sup>
              </m:sSup>
              <m:r>
                <m:rPr>
                  <m:sty m:val="p"/>
                </m:rPr>
                <w:rPr>
                  <w:rFonts w:ascii="Cambria Math" w:hAnsi="Cambria Math"/>
                  <w:lang w:val="it-IT"/>
                </w:rPr>
                <m:t>(</m:t>
              </m:r>
            </m:oMath>
            <w:r w:rsidRPr="00C96356">
              <w:rPr>
                <w:lang w:val="it-IT"/>
              </w:rPr>
              <w:t xml:space="preserve"> </w:t>
            </w:r>
            <m:oMath>
              <m:f>
                <m:fPr>
                  <m:ctrlPr>
                    <w:rPr>
                      <w:rFonts w:ascii="Cambria Math" w:eastAsiaTheme="minorEastAsia" w:hAnsi="Cambria Math" w:cstheme="minorBidi"/>
                      <w:sz w:val="22"/>
                      <w:lang w:val="en-US"/>
                    </w:rPr>
                  </m:ctrlPr>
                </m:fPr>
                <m:num>
                  <m:r>
                    <w:rPr>
                      <w:rFonts w:ascii="Cambria Math" w:hAnsi="Cambria Math"/>
                    </w:rPr>
                    <m:t>dy</m:t>
                  </m:r>
                  <m:r>
                    <w:rPr>
                      <w:rFonts w:ascii="Cambria Math" w:hAnsi="Cambria Math"/>
                      <w:lang w:val="it-IT"/>
                    </w:rPr>
                    <m:t>(</m:t>
                  </m:r>
                  <m:r>
                    <m:rPr>
                      <m:sty m:val="bi"/>
                    </m:rPr>
                    <w:rPr>
                      <w:rFonts w:ascii="Cambria Math" w:hAnsi="Cambria Math"/>
                    </w:rPr>
                    <m:t>u</m:t>
                  </m:r>
                  <m:r>
                    <w:rPr>
                      <w:rFonts w:ascii="Cambria Math" w:hAnsi="Cambria Math"/>
                      <w:lang w:val="it-IT"/>
                    </w:rPr>
                    <m:t>)</m:t>
                  </m:r>
                </m:num>
                <m:den>
                  <m:r>
                    <w:rPr>
                      <w:rFonts w:ascii="Cambria Math" w:hAnsi="Cambria Math"/>
                    </w:rPr>
                    <m:t>dθ</m:t>
                  </m:r>
                </m:den>
              </m:f>
            </m:oMath>
            <w:r w:rsidRPr="00C96356">
              <w:rPr>
                <w:lang w:val="it-IT"/>
              </w:rPr>
              <w:t>)</w:t>
            </w:r>
          </w:p>
        </w:tc>
        <w:tc>
          <w:tcPr>
            <w:tcW w:w="817" w:type="dxa"/>
          </w:tcPr>
          <w:p w14:paraId="611F1023" w14:textId="77777777" w:rsidR="00807552" w:rsidRDefault="00807552" w:rsidP="00F6176E">
            <w:pPr>
              <w:pStyle w:val="CETEquation"/>
            </w:pPr>
            <w:r>
              <w:t>(5)</w:t>
            </w:r>
          </w:p>
        </w:tc>
      </w:tr>
      <w:tr w:rsidR="00807552" w:rsidRPr="00B57B36" w14:paraId="2C8A2CC1" w14:textId="77777777" w:rsidTr="00F6176E">
        <w:tc>
          <w:tcPr>
            <w:tcW w:w="8209" w:type="dxa"/>
          </w:tcPr>
          <w:p w14:paraId="4540EA2A" w14:textId="77777777" w:rsidR="00807552" w:rsidRPr="003468DC" w:rsidRDefault="00807552" w:rsidP="00F6176E">
            <w:pPr>
              <w:pStyle w:val="CETEquation"/>
              <w:rPr>
                <w:i/>
              </w:rPr>
            </w:pPr>
            <w:r w:rsidRPr="0033707E">
              <w:rPr>
                <w:iCs/>
              </w:rPr>
              <w:t xml:space="preserve"> </w:t>
            </w:r>
            <m:oMath>
              <m:sSub>
                <m:sSubPr>
                  <m:ctrlPr>
                    <w:rPr>
                      <w:rFonts w:ascii="Cambria Math" w:hAnsi="Cambria Math"/>
                      <w:i/>
                      <w:iCs/>
                    </w:rPr>
                  </m:ctrlPr>
                </m:sSubPr>
                <m:e>
                  <m:r>
                    <w:rPr>
                      <w:rFonts w:ascii="Cambria Math" w:hAnsi="Cambria Math"/>
                    </w:rPr>
                    <m:t>I</m:t>
                  </m:r>
                </m:e>
                <m:sub>
                  <m:r>
                    <w:rPr>
                      <w:rFonts w:ascii="Cambria Math" w:hAnsi="Cambria Math"/>
                    </w:rPr>
                    <m:t>Abs</m:t>
                  </m:r>
                </m:sub>
              </m:sSub>
              <m:d>
                <m:dPr>
                  <m:ctrlPr>
                    <w:rPr>
                      <w:rFonts w:ascii="Cambria Math" w:hAnsi="Cambria Math"/>
                    </w:rPr>
                  </m:ctrlPr>
                </m:dPr>
                <m:e>
                  <m:r>
                    <m:rPr>
                      <m:sty m:val="bi"/>
                    </m:rPr>
                    <w:rPr>
                      <w:rFonts w:ascii="Cambria Math" w:hAnsi="Cambria Math"/>
                    </w:rPr>
                    <m:t>u</m:t>
                  </m:r>
                </m:e>
              </m:d>
              <m:r>
                <m:rPr>
                  <m:sty m:val="p"/>
                </m:rPr>
                <w:rPr>
                  <w:rFonts w:ascii="Cambria Math" w:hAnsi="Cambria Math"/>
                </w:rPr>
                <m:t xml:space="preserve"> </m:t>
              </m:r>
            </m:oMath>
            <w:r>
              <w:rPr>
                <w:iCs/>
              </w:rPr>
              <w:t xml:space="preserve"> = </w:t>
            </w:r>
            <w:r w:rsidRPr="00062776">
              <w:rPr>
                <w:iCs/>
                <w:sz w:val="12"/>
                <w:szCs w:val="14"/>
              </w:rPr>
              <w:t>tr</w:t>
            </w:r>
            <w:r>
              <w:rPr>
                <w:iCs/>
                <w:sz w:val="12"/>
                <w:szCs w:val="14"/>
              </w:rPr>
              <w:t>ace</w:t>
            </w:r>
            <w:r>
              <w:rPr>
                <w:iCs/>
              </w:rPr>
              <w:t xml:space="preserve"> (</w:t>
            </w:r>
            <w:r w:rsidRPr="0011433F">
              <w:rPr>
                <w:i/>
              </w:rPr>
              <w:t>I</w:t>
            </w:r>
            <w:r>
              <w:t xml:space="preserve"> (</w:t>
            </w:r>
            <m:oMath>
              <m:r>
                <m:rPr>
                  <m:sty m:val="bi"/>
                </m:rPr>
                <w:rPr>
                  <w:rFonts w:ascii="Cambria Math" w:hAnsi="Cambria Math"/>
                </w:rPr>
                <m:t>u</m:t>
              </m:r>
            </m:oMath>
            <w:r>
              <w:t>))</w:t>
            </w:r>
          </w:p>
        </w:tc>
        <w:tc>
          <w:tcPr>
            <w:tcW w:w="817" w:type="dxa"/>
          </w:tcPr>
          <w:p w14:paraId="66642FC9" w14:textId="77777777" w:rsidR="00807552" w:rsidRDefault="00807552" w:rsidP="00F6176E">
            <w:pPr>
              <w:pStyle w:val="CETEquation"/>
            </w:pPr>
            <w:r>
              <w:t>(6)</w:t>
            </w:r>
          </w:p>
        </w:tc>
      </w:tr>
    </w:tbl>
    <w:p w14:paraId="4BE3AFD2" w14:textId="77777777" w:rsidR="00807552" w:rsidRPr="00EA61CA" w:rsidRDefault="00807552" w:rsidP="00807552">
      <w:pPr>
        <w:spacing w:after="0"/>
      </w:pPr>
      <w:r w:rsidRPr="003E11AF">
        <w:rPr>
          <w:rFonts w:ascii="Arial" w:eastAsia="Times New Roman" w:hAnsi="Arial" w:cs="Times New Roman"/>
          <w:kern w:val="0"/>
          <w:sz w:val="18"/>
          <w:szCs w:val="20"/>
          <w14:ligatures w14:val="none"/>
        </w:rPr>
        <w:t xml:space="preserve">where </w:t>
      </w:r>
      <m:oMath>
        <m:f>
          <m:fPr>
            <m:ctrlPr>
              <w:rPr>
                <w:rFonts w:ascii="Cambria Math" w:eastAsia="Times New Roman" w:hAnsi="Cambria Math" w:cs="Times New Roman"/>
                <w:kern w:val="0"/>
                <w:sz w:val="18"/>
                <w:szCs w:val="20"/>
                <w14:ligatures w14:val="none"/>
              </w:rPr>
            </m:ctrlPr>
          </m:fPr>
          <m:num>
            <m:r>
              <w:rPr>
                <w:rFonts w:ascii="Cambria Math" w:eastAsia="Times New Roman" w:hAnsi="Cambria Math" w:cs="Times New Roman"/>
                <w:kern w:val="0"/>
                <w:sz w:val="18"/>
                <w:szCs w:val="20"/>
                <w14:ligatures w14:val="none"/>
              </w:rPr>
              <m:t>dy</m:t>
            </m:r>
            <m:r>
              <m:rPr>
                <m:sty m:val="p"/>
              </m:rPr>
              <w:rPr>
                <w:rFonts w:ascii="Cambria Math" w:eastAsia="Times New Roman" w:hAnsi="Cambria Math" w:cs="Times New Roman"/>
                <w:kern w:val="0"/>
                <w:sz w:val="18"/>
                <w:szCs w:val="20"/>
                <w14:ligatures w14:val="none"/>
              </w:rPr>
              <m:t>(</m:t>
            </m:r>
            <m:r>
              <m:rPr>
                <m:sty m:val="bi"/>
              </m:rPr>
              <w:rPr>
                <w:rFonts w:ascii="Cambria Math" w:eastAsia="Times New Roman" w:hAnsi="Cambria Math" w:cs="Times New Roman"/>
                <w:kern w:val="0"/>
                <w:sz w:val="18"/>
                <w:szCs w:val="20"/>
                <w14:ligatures w14:val="none"/>
              </w:rPr>
              <m:t>u</m:t>
            </m:r>
            <m:r>
              <m:rPr>
                <m:sty m:val="p"/>
              </m:rPr>
              <w:rPr>
                <w:rFonts w:ascii="Cambria Math" w:eastAsia="Times New Roman" w:hAnsi="Cambria Math" w:cs="Times New Roman"/>
                <w:kern w:val="0"/>
                <w:sz w:val="18"/>
                <w:szCs w:val="20"/>
                <w14:ligatures w14:val="none"/>
              </w:rPr>
              <m:t>)</m:t>
            </m:r>
          </m:num>
          <m:den>
            <m:r>
              <w:rPr>
                <w:rFonts w:ascii="Cambria Math" w:eastAsia="Times New Roman" w:hAnsi="Cambria Math" w:cs="Times New Roman"/>
                <w:kern w:val="0"/>
                <w:sz w:val="18"/>
                <w:szCs w:val="20"/>
                <w14:ligatures w14:val="none"/>
              </w:rPr>
              <m:t>dθ</m:t>
            </m:r>
          </m:den>
        </m:f>
      </m:oMath>
      <w:r w:rsidRPr="003E11AF">
        <w:rPr>
          <w:rFonts w:ascii="Arial" w:eastAsia="Times New Roman" w:hAnsi="Arial" w:cs="Times New Roman"/>
          <w:kern w:val="0"/>
          <w:sz w:val="18"/>
          <w:szCs w:val="20"/>
          <w14:ligatures w14:val="none"/>
        </w:rPr>
        <w:t xml:space="preserve"> is the sensitivity matrix of output </w:t>
      </w:r>
      <w:r w:rsidRPr="003468DC">
        <w:rPr>
          <w:rFonts w:ascii="Arial" w:eastAsia="Times New Roman" w:hAnsi="Arial" w:cs="Times New Roman"/>
          <w:i/>
          <w:iCs/>
          <w:kern w:val="0"/>
          <w:sz w:val="18"/>
          <w:szCs w:val="20"/>
          <w14:ligatures w14:val="none"/>
        </w:rPr>
        <w:t>y</w:t>
      </w:r>
      <w:r w:rsidRPr="003E11AF">
        <w:rPr>
          <w:rFonts w:ascii="Arial" w:eastAsia="Times New Roman" w:hAnsi="Arial" w:cs="Times New Roman"/>
          <w:kern w:val="0"/>
          <w:sz w:val="18"/>
          <w:szCs w:val="20"/>
          <w14:ligatures w14:val="none"/>
        </w:rPr>
        <w:t xml:space="preserve"> with respect to parameters </w:t>
      </w:r>
      <m:oMath>
        <m:r>
          <w:rPr>
            <w:rFonts w:ascii="Cambria Math" w:eastAsia="Times New Roman" w:hAnsi="Cambria Math" w:cs="Times New Roman"/>
            <w:kern w:val="0"/>
            <w:sz w:val="18"/>
            <w:szCs w:val="20"/>
            <w14:ligatures w14:val="none"/>
          </w:rPr>
          <m:t>θ</m:t>
        </m:r>
      </m:oMath>
      <w:r w:rsidRPr="003E11AF">
        <w:rPr>
          <w:rFonts w:ascii="Arial" w:eastAsia="Times New Roman" w:hAnsi="Arial" w:cs="Times New Roman"/>
          <w:kern w:val="0"/>
          <w:sz w:val="18"/>
          <w:szCs w:val="20"/>
          <w14:ligatures w14:val="none"/>
        </w:rPr>
        <w:t xml:space="preserve">, and </w:t>
      </w:r>
      <m:oMath>
        <m:sSup>
          <m:sSupPr>
            <m:ctrlPr>
              <w:rPr>
                <w:rFonts w:ascii="Cambria Math" w:eastAsia="Times New Roman" w:hAnsi="Cambria Math" w:cs="Times New Roman"/>
                <w:kern w:val="0"/>
                <w:sz w:val="18"/>
                <w:szCs w:val="20"/>
                <w14:ligatures w14:val="none"/>
              </w:rPr>
            </m:ctrlPr>
          </m:sSupPr>
          <m:e>
            <m:r>
              <w:rPr>
                <w:rFonts w:ascii="Cambria Math" w:eastAsia="Times New Roman" w:hAnsi="Cambria Math" w:cs="Times New Roman"/>
                <w:kern w:val="0"/>
                <w:sz w:val="18"/>
                <w:szCs w:val="20"/>
                <w14:ligatures w14:val="none"/>
              </w:rPr>
              <m:t>Σ</m:t>
            </m:r>
          </m:e>
          <m:sup>
            <m:r>
              <m:rPr>
                <m:sty m:val="p"/>
              </m:rPr>
              <w:rPr>
                <w:rFonts w:ascii="Cambria Math" w:eastAsia="Times New Roman" w:hAnsi="Cambria Math" w:cs="Times New Roman"/>
                <w:kern w:val="0"/>
                <w:sz w:val="18"/>
                <w:szCs w:val="20"/>
                <w14:ligatures w14:val="none"/>
              </w:rPr>
              <m:t>-1</m:t>
            </m:r>
          </m:sup>
        </m:sSup>
      </m:oMath>
      <w:r w:rsidRPr="003E11AF">
        <w:rPr>
          <w:rFonts w:ascii="Arial" w:eastAsia="Times New Roman" w:hAnsi="Arial" w:cs="Times New Roman"/>
          <w:kern w:val="0"/>
          <w:sz w:val="18"/>
          <w:szCs w:val="20"/>
          <w14:ligatures w14:val="none"/>
        </w:rPr>
        <w:t xml:space="preserve"> is the inverse of the covariance matrix, </w:t>
      </w:r>
      <w:r w:rsidRPr="003468DC">
        <w:rPr>
          <w:rFonts w:ascii="Arial" w:eastAsia="Times New Roman" w:hAnsi="Arial" w:cs="Times New Roman"/>
          <w:i/>
          <w:iCs/>
          <w:kern w:val="0"/>
          <w:sz w:val="18"/>
          <w:szCs w:val="20"/>
          <w14:ligatures w14:val="none"/>
        </w:rPr>
        <w:t>I</w:t>
      </w:r>
      <w:r w:rsidRPr="003E11AF">
        <w:rPr>
          <w:rFonts w:ascii="Arial" w:eastAsia="Times New Roman" w:hAnsi="Arial" w:cs="Times New Roman"/>
          <w:kern w:val="0"/>
          <w:sz w:val="18"/>
          <w:szCs w:val="20"/>
          <w14:ligatures w14:val="none"/>
        </w:rPr>
        <w:t xml:space="preserve"> (</w:t>
      </w:r>
      <m:oMath>
        <m:r>
          <m:rPr>
            <m:sty m:val="bi"/>
          </m:rPr>
          <w:rPr>
            <w:rFonts w:ascii="Cambria Math" w:eastAsia="Times New Roman" w:hAnsi="Cambria Math" w:cs="Times New Roman"/>
            <w:kern w:val="0"/>
            <w:sz w:val="18"/>
            <w:szCs w:val="20"/>
            <w14:ligatures w14:val="none"/>
          </w:rPr>
          <m:t>u</m:t>
        </m:r>
      </m:oMath>
      <w:r w:rsidRPr="003E11AF">
        <w:rPr>
          <w:rFonts w:ascii="Arial" w:eastAsia="Times New Roman" w:hAnsi="Arial" w:cs="Times New Roman"/>
          <w:kern w:val="0"/>
          <w:sz w:val="18"/>
          <w:szCs w:val="20"/>
          <w14:ligatures w14:val="none"/>
        </w:rPr>
        <w:t xml:space="preserve">) is the Fisher Information Matrix (FIM) for condition </w:t>
      </w:r>
      <m:oMath>
        <m:r>
          <m:rPr>
            <m:sty m:val="bi"/>
          </m:rPr>
          <w:rPr>
            <w:rFonts w:ascii="Cambria Math" w:eastAsia="Times New Roman" w:hAnsi="Cambria Math" w:cs="Times New Roman"/>
            <w:kern w:val="0"/>
            <w:sz w:val="18"/>
            <w:szCs w:val="20"/>
            <w14:ligatures w14:val="none"/>
          </w:rPr>
          <m:t>u</m:t>
        </m:r>
      </m:oMath>
      <w:r w:rsidRPr="003E11AF">
        <w:rPr>
          <w:rFonts w:ascii="Arial" w:eastAsia="Times New Roman" w:hAnsi="Arial" w:cs="Times New Roman"/>
          <w:kern w:val="0"/>
          <w:sz w:val="18"/>
          <w:szCs w:val="20"/>
          <w14:ligatures w14:val="none"/>
        </w:rPr>
        <w:t xml:space="preserve"> , </w:t>
      </w:r>
      <m:oMath>
        <m:d>
          <m:dPr>
            <m:begChr m:val="|"/>
            <m:endChr m:val="|"/>
            <m:ctrlPr>
              <w:rPr>
                <w:rFonts w:ascii="Cambria Math" w:eastAsia="Times New Roman" w:hAnsi="Cambria Math" w:cs="Times New Roman"/>
                <w:kern w:val="0"/>
                <w:sz w:val="18"/>
                <w:szCs w:val="20"/>
                <w14:ligatures w14:val="none"/>
              </w:rPr>
            </m:ctrlPr>
          </m:dPr>
          <m:e>
            <m:sSub>
              <m:sSubPr>
                <m:ctrlPr>
                  <w:rPr>
                    <w:rFonts w:ascii="Cambria Math" w:eastAsia="Times New Roman" w:hAnsi="Cambria Math" w:cs="Times New Roman"/>
                    <w:kern w:val="0"/>
                    <w:sz w:val="18"/>
                    <w:szCs w:val="20"/>
                    <w14:ligatures w14:val="none"/>
                  </w:rPr>
                </m:ctrlPr>
              </m:sSubPr>
              <m:e>
                <m:r>
                  <w:rPr>
                    <w:rFonts w:ascii="Cambria Math" w:eastAsia="Times New Roman" w:hAnsi="Cambria Math" w:cs="Times New Roman"/>
                    <w:kern w:val="0"/>
                    <w:sz w:val="18"/>
                    <w:szCs w:val="20"/>
                    <w14:ligatures w14:val="none"/>
                  </w:rPr>
                  <m:t>I</m:t>
                </m:r>
                <m:r>
                  <m:rPr>
                    <m:sty m:val="p"/>
                  </m:rPr>
                  <w:rPr>
                    <w:rFonts w:ascii="Cambria Math" w:eastAsia="Times New Roman" w:hAnsi="Cambria Math" w:cs="Times New Roman"/>
                    <w:kern w:val="0"/>
                    <w:sz w:val="18"/>
                    <w:szCs w:val="20"/>
                    <w14:ligatures w14:val="none"/>
                  </w:rPr>
                  <m:t xml:space="preserve"> (</m:t>
                </m:r>
                <m:r>
                  <m:rPr>
                    <m:sty m:val="bi"/>
                  </m:rPr>
                  <w:rPr>
                    <w:rFonts w:ascii="Cambria Math" w:eastAsia="Times New Roman" w:hAnsi="Cambria Math" w:cs="Times New Roman"/>
                    <w:kern w:val="0"/>
                    <w:sz w:val="18"/>
                    <w:szCs w:val="20"/>
                    <w14:ligatures w14:val="none"/>
                  </w:rPr>
                  <m:t>u</m:t>
                </m:r>
                <m:r>
                  <m:rPr>
                    <m:sty m:val="p"/>
                  </m:rPr>
                  <w:rPr>
                    <w:rFonts w:ascii="Cambria Math" w:eastAsia="Times New Roman" w:hAnsi="Cambria Math" w:cs="Times New Roman"/>
                    <w:kern w:val="0"/>
                    <w:sz w:val="18"/>
                    <w:szCs w:val="20"/>
                    <w14:ligatures w14:val="none"/>
                  </w:rPr>
                  <m:t>)</m:t>
                </m:r>
              </m:e>
              <m:sub>
                <m:r>
                  <w:rPr>
                    <w:rFonts w:ascii="Cambria Math" w:eastAsia="Times New Roman" w:hAnsi="Cambria Math" w:cs="Times New Roman"/>
                    <w:kern w:val="0"/>
                    <w:sz w:val="18"/>
                    <w:szCs w:val="20"/>
                    <w14:ligatures w14:val="none"/>
                  </w:rPr>
                  <m:t>i</m:t>
                </m:r>
                <m:r>
                  <m:rPr>
                    <m:sty m:val="p"/>
                  </m:rPr>
                  <w:rPr>
                    <w:rFonts w:ascii="Cambria Math" w:eastAsia="Times New Roman" w:hAnsi="Cambria Math" w:cs="Times New Roman"/>
                    <w:kern w:val="0"/>
                    <w:sz w:val="18"/>
                    <w:szCs w:val="20"/>
                    <w14:ligatures w14:val="none"/>
                  </w:rPr>
                  <m:t>,</m:t>
                </m:r>
                <m:r>
                  <w:rPr>
                    <w:rFonts w:ascii="Cambria Math" w:eastAsia="Times New Roman" w:hAnsi="Cambria Math" w:cs="Times New Roman"/>
                    <w:kern w:val="0"/>
                    <w:sz w:val="18"/>
                    <w:szCs w:val="20"/>
                    <w14:ligatures w14:val="none"/>
                  </w:rPr>
                  <m:t>j</m:t>
                </m:r>
              </m:sub>
            </m:sSub>
          </m:e>
        </m:d>
      </m:oMath>
      <w:r w:rsidRPr="003E11AF">
        <w:rPr>
          <w:rFonts w:ascii="Arial" w:eastAsia="Times New Roman" w:hAnsi="Arial" w:cs="Times New Roman"/>
          <w:kern w:val="0"/>
          <w:sz w:val="18"/>
          <w:szCs w:val="20"/>
          <w14:ligatures w14:val="none"/>
        </w:rPr>
        <w:t xml:space="preserve"> denotes the absolute value of matrix elements respectively. The experiments are then ranked based on their </w:t>
      </w:r>
      <w:r>
        <w:rPr>
          <w:rFonts w:ascii="Arial" w:eastAsia="Times New Roman" w:hAnsi="Arial" w:cs="Times New Roman"/>
          <w:kern w:val="0"/>
          <w:sz w:val="18"/>
          <w:szCs w:val="20"/>
          <w14:ligatures w14:val="none"/>
        </w:rPr>
        <w:t>FIM score</w:t>
      </w:r>
      <w:r w:rsidRPr="003E11AF">
        <w:rPr>
          <w:rFonts w:ascii="Arial" w:eastAsia="Times New Roman" w:hAnsi="Arial" w:cs="Times New Roman"/>
          <w:kern w:val="0"/>
          <w:sz w:val="18"/>
          <w:szCs w:val="20"/>
          <w14:ligatures w14:val="none"/>
        </w:rPr>
        <w:t>.</w:t>
      </w:r>
    </w:p>
    <w:p w14:paraId="78DCDE9B" w14:textId="77777777" w:rsidR="00807552" w:rsidRPr="003E11AF" w:rsidRDefault="00807552" w:rsidP="00FE5AD6">
      <w:pPr>
        <w:pStyle w:val="CETheadingx"/>
      </w:pPr>
      <w:r w:rsidRPr="003E11AF">
        <w:t>2.</w:t>
      </w:r>
      <w:r>
        <w:t>4</w:t>
      </w:r>
      <w:r w:rsidRPr="003E11AF">
        <w:t xml:space="preserve"> Gaussian Process Modelling</w:t>
      </w:r>
    </w:p>
    <w:p w14:paraId="4C54DFE9" w14:textId="77777777" w:rsidR="00807552" w:rsidRDefault="00807552" w:rsidP="00807552">
      <w:pPr>
        <w:spacing w:after="0"/>
        <w:jc w:val="both"/>
        <w:rPr>
          <w:rFonts w:ascii="Arial" w:eastAsia="Times New Roman" w:hAnsi="Arial" w:cs="Times New Roman"/>
          <w:kern w:val="0"/>
          <w:sz w:val="18"/>
          <w:szCs w:val="20"/>
          <w14:ligatures w14:val="none"/>
        </w:rPr>
      </w:pPr>
      <w:r w:rsidRPr="003D7094">
        <w:rPr>
          <w:rFonts w:ascii="Arial" w:eastAsia="Times New Roman" w:hAnsi="Arial" w:cs="Times New Roman"/>
          <w:kern w:val="0"/>
          <w:sz w:val="18"/>
          <w:szCs w:val="20"/>
          <w14:ligatures w14:val="none"/>
        </w:rPr>
        <w:t>Gaussian Process (GP) regression applies a non-parametric Bayesian method to model complex relationships between inputs and outputs while quantifying predictive uncertaint</w:t>
      </w:r>
      <w:r>
        <w:rPr>
          <w:rFonts w:ascii="Arial" w:eastAsia="Times New Roman" w:hAnsi="Arial" w:cs="Times New Roman"/>
          <w:kern w:val="0"/>
          <w:sz w:val="18"/>
          <w:szCs w:val="20"/>
          <w14:ligatures w14:val="none"/>
        </w:rPr>
        <w:t xml:space="preserve">y. </w:t>
      </w:r>
      <w:r w:rsidRPr="003D7094">
        <w:rPr>
          <w:rFonts w:ascii="Arial" w:eastAsia="Times New Roman" w:hAnsi="Arial" w:cs="Times New Roman"/>
          <w:kern w:val="0"/>
          <w:sz w:val="18"/>
          <w:szCs w:val="20"/>
          <w14:ligatures w14:val="none"/>
        </w:rPr>
        <w:t>This work employs two distinct GP models</w:t>
      </w:r>
      <w:r>
        <w:rPr>
          <w:rFonts w:ascii="Arial" w:eastAsia="Times New Roman" w:hAnsi="Arial" w:cs="Times New Roman"/>
          <w:kern w:val="0"/>
          <w:sz w:val="18"/>
          <w:szCs w:val="20"/>
          <w14:ligatures w14:val="none"/>
        </w:rPr>
        <w:t xml:space="preserve">: </w:t>
      </w:r>
    </w:p>
    <w:p w14:paraId="6F1ED45E" w14:textId="77777777" w:rsidR="00807552" w:rsidRDefault="00807552" w:rsidP="00807552">
      <w:pPr>
        <w:pStyle w:val="ListParagraph"/>
        <w:numPr>
          <w:ilvl w:val="0"/>
          <w:numId w:val="3"/>
        </w:numPr>
        <w:spacing w:before="120" w:after="0"/>
        <w:ind w:left="284" w:hanging="284"/>
        <w:jc w:val="both"/>
        <w:rPr>
          <w:rFonts w:ascii="Arial" w:eastAsia="Times New Roman" w:hAnsi="Arial" w:cs="Times New Roman"/>
          <w:kern w:val="0"/>
          <w:sz w:val="18"/>
          <w:szCs w:val="20"/>
          <w14:ligatures w14:val="none"/>
        </w:rPr>
      </w:pPr>
      <w:r w:rsidRPr="003468DC">
        <w:rPr>
          <w:rFonts w:ascii="Arial" w:eastAsia="Times New Roman" w:hAnsi="Arial" w:cs="Times New Roman"/>
          <w:b/>
          <w:bCs/>
          <w:kern w:val="0"/>
          <w:sz w:val="18"/>
          <w:szCs w:val="20"/>
          <w14:ligatures w14:val="none"/>
        </w:rPr>
        <w:t>GP1</w:t>
      </w:r>
      <w:r>
        <w:rPr>
          <w:rFonts w:ascii="Arial" w:eastAsia="Times New Roman" w:hAnsi="Arial" w:cs="Times New Roman"/>
          <w:kern w:val="0"/>
          <w:sz w:val="18"/>
          <w:szCs w:val="20"/>
          <w14:ligatures w14:val="none"/>
        </w:rPr>
        <w:t>. It maps FIM scores to methane conversion. T</w:t>
      </w:r>
      <w:r w:rsidRPr="00810E9D">
        <w:rPr>
          <w:rFonts w:ascii="Arial" w:eastAsia="Times New Roman" w:hAnsi="Arial" w:cs="Times New Roman"/>
          <w:kern w:val="0"/>
          <w:sz w:val="18"/>
          <w:szCs w:val="20"/>
          <w14:ligatures w14:val="none"/>
        </w:rPr>
        <w:t xml:space="preserve">he FIM score for each experiment is calculated from </w:t>
      </w:r>
      <w:r>
        <w:rPr>
          <w:rFonts w:ascii="Arial" w:eastAsia="Times New Roman" w:hAnsi="Arial" w:cs="Times New Roman"/>
          <w:kern w:val="0"/>
          <w:sz w:val="18"/>
          <w:szCs w:val="20"/>
          <w14:ligatures w14:val="none"/>
        </w:rPr>
        <w:t xml:space="preserve">Equation 5, and the methane conversion is obtained from Equation 4. The model incorporates a logit transformation to bound predictions between 0 and 100%. The logit transformation is computed from Equation 7, where </w:t>
      </w:r>
      <m:oMath>
        <m:r>
          <w:rPr>
            <w:rFonts w:ascii="Cambria Math" w:eastAsia="Times New Roman" w:hAnsi="Cambria Math" w:cs="Times New Roman"/>
            <w:kern w:val="0"/>
            <w:sz w:val="18"/>
            <w:szCs w:val="20"/>
            <w14:ligatures w14:val="none"/>
          </w:rPr>
          <m:t>α</m:t>
        </m:r>
      </m:oMath>
      <w:r>
        <w:rPr>
          <w:rFonts w:ascii="Arial" w:eastAsia="Times New Roman" w:hAnsi="Arial" w:cs="Times New Roman"/>
          <w:kern w:val="0"/>
          <w:sz w:val="18"/>
          <w:szCs w:val="20"/>
          <w14:ligatures w14:val="none"/>
        </w:rPr>
        <w:t xml:space="preserve"> is the conversion of methane. The GP1 function is defined in Equation 8.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9"/>
        <w:gridCol w:w="817"/>
      </w:tblGrid>
      <w:tr w:rsidR="00807552" w14:paraId="001FA3A5" w14:textId="77777777" w:rsidTr="00F6176E">
        <w:tc>
          <w:tcPr>
            <w:tcW w:w="8209" w:type="dxa"/>
          </w:tcPr>
          <w:p w14:paraId="0CC61B7A" w14:textId="77777777" w:rsidR="00807552" w:rsidRPr="0054327C" w:rsidRDefault="00000000" w:rsidP="00F6176E">
            <w:pPr>
              <w:pStyle w:val="CETEquation"/>
              <w:spacing w:line="278" w:lineRule="auto"/>
              <w:ind w:left="284" w:hanging="284"/>
            </w:pPr>
            <m:oMathPara>
              <m:oMathParaPr>
                <m:jc m:val="left"/>
              </m:oMathParaPr>
              <m:oMath>
                <m:sSub>
                  <m:sSubPr>
                    <m:ctrlPr>
                      <w:rPr>
                        <w:rFonts w:ascii="Cambria Math" w:hAnsi="Cambria Math"/>
                      </w:rPr>
                    </m:ctrlPr>
                  </m:sSubPr>
                  <m:e>
                    <m:r>
                      <w:rPr>
                        <w:rFonts w:ascii="Cambria Math" w:hAnsi="Cambria Math"/>
                      </w:rPr>
                      <m:t>y</m:t>
                    </m:r>
                  </m:e>
                  <m:sub>
                    <m:r>
                      <w:rPr>
                        <w:rFonts w:ascii="Cambria Math" w:hAnsi="Cambria Math"/>
                      </w:rPr>
                      <m:t>logit</m:t>
                    </m:r>
                  </m:sub>
                </m:sSub>
                <m:r>
                  <m:rPr>
                    <m:sty m:val="p"/>
                  </m:rPr>
                  <w:rPr>
                    <w:rFonts w:ascii="Cambria Math" w:hAnsi="Cambria Math"/>
                  </w:rPr>
                  <m:t xml:space="preserve">= </m:t>
                </m:r>
                <m:func>
                  <m:funcPr>
                    <m:ctrlPr>
                      <w:rPr>
                        <w:rFonts w:ascii="Cambria Math" w:hAnsi="Cambria Math"/>
                      </w:rPr>
                    </m:ctrlPr>
                  </m:funcPr>
                  <m:fName>
                    <m:r>
                      <m:rPr>
                        <m:sty m:val="p"/>
                      </m:rPr>
                      <w:rPr>
                        <w:rFonts w:ascii="Cambria Math" w:hAnsi="Cambria Math"/>
                      </w:rPr>
                      <m:t>ln</m:t>
                    </m:r>
                  </m:fName>
                  <m:e>
                    <m:f>
                      <m:fPr>
                        <m:ctrlPr>
                          <w:rPr>
                            <w:rFonts w:ascii="Cambria Math" w:hAnsi="Cambria Math"/>
                          </w:rPr>
                        </m:ctrlPr>
                      </m:fPr>
                      <m:num>
                        <m:r>
                          <w:rPr>
                            <w:rFonts w:ascii="Cambria Math" w:hAnsi="Cambria Math"/>
                          </w:rPr>
                          <m:t>α</m:t>
                        </m:r>
                      </m:num>
                      <m:den>
                        <m:r>
                          <m:rPr>
                            <m:sty m:val="p"/>
                          </m:rPr>
                          <w:rPr>
                            <w:rFonts w:ascii="Cambria Math" w:hAnsi="Cambria Math"/>
                          </w:rPr>
                          <m:t>1-</m:t>
                        </m:r>
                        <m:r>
                          <w:rPr>
                            <w:rFonts w:ascii="Cambria Math" w:hAnsi="Cambria Math"/>
                          </w:rPr>
                          <m:t>α</m:t>
                        </m:r>
                      </m:den>
                    </m:f>
                  </m:e>
                </m:func>
                <m:r>
                  <m:rPr>
                    <m:sty m:val="p"/>
                  </m:rPr>
                  <w:rPr>
                    <w:rFonts w:ascii="Cambria Math" w:hAnsi="Cambria Math"/>
                  </w:rPr>
                  <m:t xml:space="preserve"> </m:t>
                </m:r>
              </m:oMath>
            </m:oMathPara>
          </w:p>
        </w:tc>
        <w:tc>
          <w:tcPr>
            <w:tcW w:w="817" w:type="dxa"/>
          </w:tcPr>
          <w:p w14:paraId="2718DE94" w14:textId="77777777" w:rsidR="00807552" w:rsidRDefault="00807552" w:rsidP="00F6176E">
            <w:pPr>
              <w:pStyle w:val="CETEquation"/>
              <w:spacing w:line="278" w:lineRule="auto"/>
              <w:ind w:left="284" w:hanging="284"/>
            </w:pPr>
            <w:r>
              <w:t>(7)</w:t>
            </w:r>
          </w:p>
        </w:tc>
      </w:tr>
      <w:tr w:rsidR="00807552" w14:paraId="3A881B0C" w14:textId="77777777" w:rsidTr="00F6176E">
        <w:tc>
          <w:tcPr>
            <w:tcW w:w="8209" w:type="dxa"/>
          </w:tcPr>
          <w:p w14:paraId="58D5962E" w14:textId="77777777" w:rsidR="00807552" w:rsidRPr="001A1BCE" w:rsidRDefault="00000000" w:rsidP="00F6176E">
            <w:pPr>
              <w:pStyle w:val="CETEquation"/>
              <w:spacing w:line="278" w:lineRule="auto"/>
              <w:ind w:left="284" w:hanging="284"/>
            </w:pPr>
            <m:oMathPara>
              <m:oMathParaPr>
                <m:jc m:val="left"/>
              </m:oMathParaPr>
              <m:oMath>
                <m:sSub>
                  <m:sSubPr>
                    <m:ctrlPr>
                      <w:rPr>
                        <w:rFonts w:ascii="Cambria Math" w:eastAsiaTheme="minorEastAsia" w:hAnsi="Cambria Math" w:cstheme="minorBidi"/>
                        <w:i/>
                        <w:sz w:val="22"/>
                        <w:szCs w:val="22"/>
                        <w:lang w:val="en-US"/>
                      </w:rPr>
                    </m:ctrlPr>
                  </m:sSubPr>
                  <m:e>
                    <m:r>
                      <w:rPr>
                        <w:rFonts w:ascii="Cambria Math" w:hAnsi="Cambria Math"/>
                      </w:rPr>
                      <m:t>y</m:t>
                    </m:r>
                  </m:e>
                  <m:sub>
                    <m:r>
                      <w:rPr>
                        <w:rFonts w:ascii="Cambria Math" w:hAnsi="Cambria Math"/>
                      </w:rPr>
                      <m:t>logit</m:t>
                    </m:r>
                  </m:sub>
                </m:sSub>
                <m:r>
                  <w:rPr>
                    <w:rFonts w:ascii="Cambria Math" w:hAnsi="Cambria Math"/>
                  </w:rPr>
                  <m:t>= GP1(μ</m:t>
                </m:r>
                <m:d>
                  <m:dPr>
                    <m:ctrlPr>
                      <w:rPr>
                        <w:rFonts w:ascii="Cambria Math" w:hAnsi="Cambria Math"/>
                        <w:i/>
                      </w:rPr>
                    </m:ctrlPr>
                  </m:dPr>
                  <m:e>
                    <m:sSub>
                      <m:sSubPr>
                        <m:ctrlPr>
                          <w:rPr>
                            <w:rFonts w:ascii="Cambria Math" w:hAnsi="Cambria Math"/>
                            <w:i/>
                            <w:iCs/>
                          </w:rPr>
                        </m:ctrlPr>
                      </m:sSubPr>
                      <m:e>
                        <m:r>
                          <w:rPr>
                            <w:rFonts w:ascii="Cambria Math" w:hAnsi="Cambria Math"/>
                          </w:rPr>
                          <m:t>I</m:t>
                        </m:r>
                      </m:e>
                      <m:sub>
                        <m:r>
                          <w:rPr>
                            <w:rFonts w:ascii="Cambria Math" w:hAnsi="Cambria Math"/>
                          </w:rPr>
                          <m:t>Abs</m:t>
                        </m:r>
                      </m:sub>
                    </m:sSub>
                  </m:e>
                </m:d>
                <m:r>
                  <w:rPr>
                    <w:rFonts w:ascii="Cambria Math" w:hAnsi="Cambria Math"/>
                  </w:rPr>
                  <m:t>, k</m:t>
                </m:r>
                <m:d>
                  <m:dPr>
                    <m:ctrlPr>
                      <w:rPr>
                        <w:rFonts w:ascii="Cambria Math" w:hAnsi="Cambria Math"/>
                        <w:i/>
                      </w:rPr>
                    </m:ctrlPr>
                  </m:dPr>
                  <m:e>
                    <m:sSub>
                      <m:sSubPr>
                        <m:ctrlPr>
                          <w:rPr>
                            <w:rFonts w:ascii="Cambria Math" w:hAnsi="Cambria Math"/>
                            <w:i/>
                            <w:iCs/>
                          </w:rPr>
                        </m:ctrlPr>
                      </m:sSubPr>
                      <m:e>
                        <m:r>
                          <w:rPr>
                            <w:rFonts w:ascii="Cambria Math" w:hAnsi="Cambria Math"/>
                          </w:rPr>
                          <m:t>I</m:t>
                        </m:r>
                      </m:e>
                      <m:sub>
                        <m:r>
                          <w:rPr>
                            <w:rFonts w:ascii="Cambria Math" w:hAnsi="Cambria Math"/>
                          </w:rPr>
                          <m:t>Abs</m:t>
                        </m:r>
                      </m:sub>
                    </m:sSub>
                    <m:r>
                      <w:rPr>
                        <w:rFonts w:ascii="Cambria Math" w:hAnsi="Cambria Math"/>
                      </w:rPr>
                      <m:t>,</m:t>
                    </m:r>
                    <m:sSup>
                      <m:sSupPr>
                        <m:ctrlPr>
                          <w:rPr>
                            <w:rFonts w:ascii="Cambria Math" w:eastAsiaTheme="minorEastAsia" w:hAnsi="Cambria Math" w:cstheme="minorBidi"/>
                            <w:i/>
                            <w:sz w:val="22"/>
                            <w:szCs w:val="22"/>
                            <w:lang w:val="en-US"/>
                          </w:rPr>
                        </m:ctrlPr>
                      </m:sSupPr>
                      <m:e>
                        <m:sSub>
                          <m:sSubPr>
                            <m:ctrlPr>
                              <w:rPr>
                                <w:rFonts w:ascii="Cambria Math" w:hAnsi="Cambria Math"/>
                                <w:i/>
                                <w:iCs/>
                              </w:rPr>
                            </m:ctrlPr>
                          </m:sSubPr>
                          <m:e>
                            <m:r>
                              <w:rPr>
                                <w:rFonts w:ascii="Cambria Math" w:hAnsi="Cambria Math"/>
                              </w:rPr>
                              <m:t>I</m:t>
                            </m:r>
                          </m:e>
                          <m:sub>
                            <m:r>
                              <w:rPr>
                                <w:rFonts w:ascii="Cambria Math" w:hAnsi="Cambria Math"/>
                              </w:rPr>
                              <m:t>Abs</m:t>
                            </m:r>
                          </m:sub>
                        </m:sSub>
                      </m:e>
                      <m:sup>
                        <m:r>
                          <w:rPr>
                            <w:rFonts w:ascii="Cambria Math" w:hAnsi="Cambria Math"/>
                          </w:rPr>
                          <m:t>'</m:t>
                        </m:r>
                      </m:sup>
                    </m:sSup>
                  </m:e>
                </m:d>
                <m:r>
                  <w:rPr>
                    <w:rFonts w:ascii="Cambria Math" w:hAnsi="Cambria Math"/>
                  </w:rPr>
                  <m:t>)</m:t>
                </m:r>
              </m:oMath>
            </m:oMathPara>
          </w:p>
        </w:tc>
        <w:tc>
          <w:tcPr>
            <w:tcW w:w="817" w:type="dxa"/>
          </w:tcPr>
          <w:p w14:paraId="14EF471F" w14:textId="77777777" w:rsidR="00807552" w:rsidRDefault="00807552" w:rsidP="00F6176E">
            <w:pPr>
              <w:pStyle w:val="CETEquation"/>
              <w:spacing w:line="278" w:lineRule="auto"/>
              <w:ind w:left="284" w:hanging="284"/>
            </w:pPr>
            <w:r>
              <w:t>(8)</w:t>
            </w:r>
          </w:p>
        </w:tc>
      </w:tr>
    </w:tbl>
    <w:p w14:paraId="12826A56" w14:textId="77777777" w:rsidR="00807552" w:rsidRPr="003E11AF" w:rsidRDefault="00807552" w:rsidP="00807552">
      <w:pPr>
        <w:spacing w:after="0"/>
        <w:ind w:left="284"/>
        <w:jc w:val="both"/>
        <w:rPr>
          <w:rFonts w:ascii="Arial" w:eastAsia="Times New Roman" w:hAnsi="Arial" w:cs="Times New Roman"/>
          <w:kern w:val="0"/>
          <w:sz w:val="18"/>
          <w:szCs w:val="20"/>
          <w14:ligatures w14:val="none"/>
        </w:rPr>
      </w:pPr>
      <w:r>
        <w:rPr>
          <w:rFonts w:ascii="Arial" w:eastAsia="Times New Roman" w:hAnsi="Arial" w:cs="Times New Roman"/>
          <w:kern w:val="0"/>
          <w:sz w:val="18"/>
          <w:szCs w:val="20"/>
          <w14:ligatures w14:val="none"/>
        </w:rPr>
        <w:lastRenderedPageBreak/>
        <w:t xml:space="preserve">where  </w:t>
      </w:r>
      <m:oMath>
        <m:sSub>
          <m:sSubPr>
            <m:ctrlPr>
              <w:rPr>
                <w:rFonts w:ascii="Cambria Math" w:eastAsia="Times New Roman" w:hAnsi="Cambria Math" w:cs="Times New Roman"/>
                <w:kern w:val="0"/>
                <w:sz w:val="18"/>
                <w:szCs w:val="20"/>
                <w14:ligatures w14:val="none"/>
              </w:rPr>
            </m:ctrlPr>
          </m:sSubPr>
          <m:e>
            <m:r>
              <w:rPr>
                <w:rFonts w:ascii="Cambria Math" w:eastAsia="Times New Roman" w:hAnsi="Cambria Math" w:cs="Times New Roman"/>
                <w:kern w:val="0"/>
                <w:sz w:val="18"/>
                <w:szCs w:val="20"/>
                <w14:ligatures w14:val="none"/>
              </w:rPr>
              <m:t>y</m:t>
            </m:r>
          </m:e>
          <m:sub>
            <m:r>
              <w:rPr>
                <w:rFonts w:ascii="Cambria Math" w:eastAsia="Times New Roman" w:hAnsi="Cambria Math" w:cs="Times New Roman"/>
                <w:kern w:val="0"/>
                <w:sz w:val="18"/>
                <w:szCs w:val="20"/>
                <w14:ligatures w14:val="none"/>
              </w:rPr>
              <m:t>logit</m:t>
            </m:r>
          </m:sub>
        </m:sSub>
      </m:oMath>
      <w:r>
        <w:rPr>
          <w:rFonts w:ascii="Arial" w:eastAsia="Times New Roman" w:hAnsi="Arial" w:cs="Times New Roman"/>
          <w:kern w:val="0"/>
          <w:sz w:val="18"/>
          <w:szCs w:val="20"/>
          <w14:ligatures w14:val="none"/>
        </w:rPr>
        <w:t xml:space="preserve">    is </w:t>
      </w:r>
      <w:r w:rsidRPr="001F3C58">
        <w:rPr>
          <w:rFonts w:ascii="Arial" w:eastAsia="Times New Roman" w:hAnsi="Arial" w:cs="Times New Roman"/>
          <w:kern w:val="0"/>
          <w:sz w:val="18"/>
          <w:szCs w:val="20"/>
          <w14:ligatures w14:val="none"/>
        </w:rPr>
        <w:t>the logit-transformed methane conversion</w:t>
      </w:r>
      <w:r>
        <w:rPr>
          <w:rFonts w:ascii="Arial" w:eastAsia="Times New Roman" w:hAnsi="Arial" w:cs="Times New Roman"/>
          <w:kern w:val="0"/>
          <w:sz w:val="18"/>
          <w:szCs w:val="20"/>
          <w14:ligatures w14:val="none"/>
        </w:rPr>
        <w:t xml:space="preserve">, </w:t>
      </w:r>
      <m:oMath>
        <m:r>
          <w:rPr>
            <w:rFonts w:ascii="Cambria Math" w:eastAsia="Times New Roman" w:hAnsi="Cambria Math" w:cs="Times New Roman"/>
            <w:kern w:val="0"/>
            <w:sz w:val="18"/>
            <w:szCs w:val="20"/>
            <w14:ligatures w14:val="none"/>
          </w:rPr>
          <m:t>μ</m:t>
        </m:r>
        <m:d>
          <m:dPr>
            <m:ctrlPr>
              <w:rPr>
                <w:rFonts w:ascii="Cambria Math" w:eastAsia="Times New Roman" w:hAnsi="Cambria Math" w:cs="Times New Roman"/>
                <w:kern w:val="0"/>
                <w:sz w:val="18"/>
                <w:szCs w:val="20"/>
                <w14:ligatures w14:val="none"/>
              </w:rPr>
            </m:ctrlPr>
          </m:dPr>
          <m:e>
            <m:sSub>
              <m:sSubPr>
                <m:ctrlPr>
                  <w:rPr>
                    <w:rFonts w:ascii="Cambria Math" w:eastAsia="Times New Roman" w:hAnsi="Cambria Math" w:cs="Times New Roman"/>
                    <w:kern w:val="0"/>
                    <w:sz w:val="18"/>
                    <w:szCs w:val="20"/>
                    <w14:ligatures w14:val="none"/>
                  </w:rPr>
                </m:ctrlPr>
              </m:sSubPr>
              <m:e>
                <m:r>
                  <w:rPr>
                    <w:rFonts w:ascii="Cambria Math" w:eastAsia="Times New Roman" w:hAnsi="Cambria Math" w:cs="Times New Roman"/>
                    <w:kern w:val="0"/>
                    <w:sz w:val="18"/>
                    <w:szCs w:val="20"/>
                    <w14:ligatures w14:val="none"/>
                  </w:rPr>
                  <m:t>I</m:t>
                </m:r>
              </m:e>
              <m:sub>
                <m:r>
                  <w:rPr>
                    <w:rFonts w:ascii="Cambria Math" w:eastAsia="Times New Roman" w:hAnsi="Cambria Math" w:cs="Times New Roman"/>
                    <w:kern w:val="0"/>
                    <w:sz w:val="18"/>
                    <w:szCs w:val="20"/>
                    <w14:ligatures w14:val="none"/>
                  </w:rPr>
                  <m:t>Abs</m:t>
                </m:r>
              </m:sub>
            </m:sSub>
          </m:e>
        </m:d>
      </m:oMath>
      <w:r>
        <w:rPr>
          <w:rFonts w:ascii="Arial" w:eastAsia="Times New Roman" w:hAnsi="Arial" w:cs="Times New Roman"/>
          <w:kern w:val="0"/>
          <w:sz w:val="18"/>
          <w:szCs w:val="20"/>
          <w14:ligatures w14:val="none"/>
        </w:rPr>
        <w:t xml:space="preserve"> is the mean function of the GP dependent on the FIM score, and </w:t>
      </w:r>
      <m:oMath>
        <m:r>
          <w:rPr>
            <w:rFonts w:ascii="Cambria Math" w:eastAsia="Times New Roman" w:hAnsi="Cambria Math" w:cs="Times New Roman"/>
            <w:kern w:val="0"/>
            <w:sz w:val="18"/>
            <w:szCs w:val="20"/>
            <w14:ligatures w14:val="none"/>
          </w:rPr>
          <m:t>k</m:t>
        </m:r>
        <m:d>
          <m:dPr>
            <m:ctrlPr>
              <w:rPr>
                <w:rFonts w:ascii="Cambria Math" w:eastAsia="Times New Roman" w:hAnsi="Cambria Math" w:cs="Times New Roman"/>
                <w:kern w:val="0"/>
                <w:sz w:val="18"/>
                <w:szCs w:val="20"/>
                <w14:ligatures w14:val="none"/>
              </w:rPr>
            </m:ctrlPr>
          </m:dPr>
          <m:e>
            <m:sSub>
              <m:sSubPr>
                <m:ctrlPr>
                  <w:rPr>
                    <w:rFonts w:ascii="Cambria Math" w:eastAsia="Times New Roman" w:hAnsi="Cambria Math" w:cs="Times New Roman"/>
                    <w:kern w:val="0"/>
                    <w:sz w:val="18"/>
                    <w:szCs w:val="20"/>
                    <w14:ligatures w14:val="none"/>
                  </w:rPr>
                </m:ctrlPr>
              </m:sSubPr>
              <m:e>
                <m:r>
                  <w:rPr>
                    <w:rFonts w:ascii="Cambria Math" w:eastAsia="Times New Roman" w:hAnsi="Cambria Math" w:cs="Times New Roman"/>
                    <w:kern w:val="0"/>
                    <w:sz w:val="18"/>
                    <w:szCs w:val="20"/>
                    <w14:ligatures w14:val="none"/>
                  </w:rPr>
                  <m:t>I</m:t>
                </m:r>
              </m:e>
              <m:sub>
                <m:r>
                  <w:rPr>
                    <w:rFonts w:ascii="Cambria Math" w:eastAsia="Times New Roman" w:hAnsi="Cambria Math" w:cs="Times New Roman"/>
                    <w:kern w:val="0"/>
                    <w:sz w:val="18"/>
                    <w:szCs w:val="20"/>
                    <w14:ligatures w14:val="none"/>
                  </w:rPr>
                  <m:t>Abs</m:t>
                </m:r>
              </m:sub>
            </m:sSub>
            <m:r>
              <m:rPr>
                <m:sty m:val="p"/>
              </m:rPr>
              <w:rPr>
                <w:rFonts w:ascii="Cambria Math" w:eastAsia="Times New Roman" w:hAnsi="Cambria Math" w:cs="Times New Roman"/>
                <w:kern w:val="0"/>
                <w:sz w:val="18"/>
                <w:szCs w:val="20"/>
                <w14:ligatures w14:val="none"/>
              </w:rPr>
              <m:t>,</m:t>
            </m:r>
            <m:sSup>
              <m:sSupPr>
                <m:ctrlPr>
                  <w:rPr>
                    <w:rFonts w:ascii="Cambria Math" w:eastAsia="Times New Roman" w:hAnsi="Cambria Math" w:cs="Times New Roman"/>
                    <w:kern w:val="0"/>
                    <w:sz w:val="18"/>
                    <w:szCs w:val="20"/>
                    <w14:ligatures w14:val="none"/>
                  </w:rPr>
                </m:ctrlPr>
              </m:sSupPr>
              <m:e>
                <m:sSub>
                  <m:sSubPr>
                    <m:ctrlPr>
                      <w:rPr>
                        <w:rFonts w:ascii="Cambria Math" w:eastAsia="Times New Roman" w:hAnsi="Cambria Math" w:cs="Times New Roman"/>
                        <w:kern w:val="0"/>
                        <w:sz w:val="18"/>
                        <w:szCs w:val="20"/>
                        <w14:ligatures w14:val="none"/>
                      </w:rPr>
                    </m:ctrlPr>
                  </m:sSubPr>
                  <m:e>
                    <m:r>
                      <w:rPr>
                        <w:rFonts w:ascii="Cambria Math" w:eastAsia="Times New Roman" w:hAnsi="Cambria Math" w:cs="Times New Roman"/>
                        <w:kern w:val="0"/>
                        <w:sz w:val="18"/>
                        <w:szCs w:val="20"/>
                        <w14:ligatures w14:val="none"/>
                      </w:rPr>
                      <m:t>I</m:t>
                    </m:r>
                  </m:e>
                  <m:sub>
                    <m:r>
                      <w:rPr>
                        <w:rFonts w:ascii="Cambria Math" w:eastAsia="Times New Roman" w:hAnsi="Cambria Math" w:cs="Times New Roman"/>
                        <w:kern w:val="0"/>
                        <w:sz w:val="18"/>
                        <w:szCs w:val="20"/>
                        <w14:ligatures w14:val="none"/>
                      </w:rPr>
                      <m:t>Abs</m:t>
                    </m:r>
                  </m:sub>
                </m:sSub>
              </m:e>
              <m:sup>
                <m:r>
                  <m:rPr>
                    <m:sty m:val="p"/>
                  </m:rPr>
                  <w:rPr>
                    <w:rFonts w:ascii="Cambria Math" w:eastAsia="Times New Roman" w:hAnsi="Cambria Math" w:cs="Times New Roman"/>
                    <w:kern w:val="0"/>
                    <w:sz w:val="18"/>
                    <w:szCs w:val="20"/>
                    <w14:ligatures w14:val="none"/>
                  </w:rPr>
                  <m:t>'</m:t>
                </m:r>
              </m:sup>
            </m:sSup>
          </m:e>
        </m:d>
      </m:oMath>
      <w:r>
        <w:rPr>
          <w:rFonts w:ascii="Arial" w:eastAsia="Times New Roman" w:hAnsi="Arial" w:cs="Times New Roman"/>
          <w:kern w:val="0"/>
          <w:sz w:val="18"/>
          <w:szCs w:val="20"/>
          <w14:ligatures w14:val="none"/>
        </w:rPr>
        <w:t xml:space="preserve"> is the kernel (covariance) function evaluating the similarity between two FIM scores </w:t>
      </w:r>
      <m:oMath>
        <m:d>
          <m:dPr>
            <m:ctrlPr>
              <w:rPr>
                <w:rFonts w:ascii="Cambria Math" w:eastAsia="Times New Roman" w:hAnsi="Cambria Math" w:cs="Times New Roman"/>
                <w:kern w:val="0"/>
                <w:sz w:val="18"/>
                <w:szCs w:val="20"/>
                <w14:ligatures w14:val="none"/>
              </w:rPr>
            </m:ctrlPr>
          </m:dPr>
          <m:e>
            <m:sSub>
              <m:sSubPr>
                <m:ctrlPr>
                  <w:rPr>
                    <w:rFonts w:ascii="Cambria Math" w:eastAsia="Times New Roman" w:hAnsi="Cambria Math" w:cs="Times New Roman"/>
                    <w:kern w:val="0"/>
                    <w:sz w:val="18"/>
                    <w:szCs w:val="20"/>
                    <w14:ligatures w14:val="none"/>
                  </w:rPr>
                </m:ctrlPr>
              </m:sSubPr>
              <m:e>
                <m:r>
                  <w:rPr>
                    <w:rFonts w:ascii="Cambria Math" w:eastAsia="Times New Roman" w:hAnsi="Cambria Math" w:cs="Times New Roman"/>
                    <w:kern w:val="0"/>
                    <w:sz w:val="18"/>
                    <w:szCs w:val="20"/>
                    <w14:ligatures w14:val="none"/>
                  </w:rPr>
                  <m:t>I</m:t>
                </m:r>
              </m:e>
              <m:sub>
                <m:r>
                  <w:rPr>
                    <w:rFonts w:ascii="Cambria Math" w:eastAsia="Times New Roman" w:hAnsi="Cambria Math" w:cs="Times New Roman"/>
                    <w:kern w:val="0"/>
                    <w:sz w:val="18"/>
                    <w:szCs w:val="20"/>
                    <w14:ligatures w14:val="none"/>
                  </w:rPr>
                  <m:t>Abs</m:t>
                </m:r>
              </m:sub>
            </m:sSub>
            <m:r>
              <m:rPr>
                <m:sty m:val="p"/>
              </m:rPr>
              <w:rPr>
                <w:rFonts w:ascii="Cambria Math" w:eastAsia="Times New Roman" w:hAnsi="Cambria Math" w:cs="Times New Roman"/>
                <w:kern w:val="0"/>
                <w:sz w:val="18"/>
                <w:szCs w:val="20"/>
                <w14:ligatures w14:val="none"/>
              </w:rPr>
              <m:t>,</m:t>
            </m:r>
            <m:sSup>
              <m:sSupPr>
                <m:ctrlPr>
                  <w:rPr>
                    <w:rFonts w:ascii="Cambria Math" w:eastAsia="Times New Roman" w:hAnsi="Cambria Math" w:cs="Times New Roman"/>
                    <w:kern w:val="0"/>
                    <w:sz w:val="18"/>
                    <w:szCs w:val="20"/>
                    <w14:ligatures w14:val="none"/>
                  </w:rPr>
                </m:ctrlPr>
              </m:sSupPr>
              <m:e>
                <m:sSub>
                  <m:sSubPr>
                    <m:ctrlPr>
                      <w:rPr>
                        <w:rFonts w:ascii="Cambria Math" w:eastAsia="Times New Roman" w:hAnsi="Cambria Math" w:cs="Times New Roman"/>
                        <w:kern w:val="0"/>
                        <w:sz w:val="18"/>
                        <w:szCs w:val="20"/>
                        <w14:ligatures w14:val="none"/>
                      </w:rPr>
                    </m:ctrlPr>
                  </m:sSubPr>
                  <m:e>
                    <m:r>
                      <w:rPr>
                        <w:rFonts w:ascii="Cambria Math" w:eastAsia="Times New Roman" w:hAnsi="Cambria Math" w:cs="Times New Roman"/>
                        <w:kern w:val="0"/>
                        <w:sz w:val="18"/>
                        <w:szCs w:val="20"/>
                        <w14:ligatures w14:val="none"/>
                      </w:rPr>
                      <m:t>I</m:t>
                    </m:r>
                  </m:e>
                  <m:sub>
                    <m:r>
                      <w:rPr>
                        <w:rFonts w:ascii="Cambria Math" w:eastAsia="Times New Roman" w:hAnsi="Cambria Math" w:cs="Times New Roman"/>
                        <w:kern w:val="0"/>
                        <w:sz w:val="18"/>
                        <w:szCs w:val="20"/>
                        <w14:ligatures w14:val="none"/>
                      </w:rPr>
                      <m:t>Abs</m:t>
                    </m:r>
                  </m:sub>
                </m:sSub>
              </m:e>
              <m:sup>
                <m:r>
                  <m:rPr>
                    <m:sty m:val="p"/>
                  </m:rPr>
                  <w:rPr>
                    <w:rFonts w:ascii="Cambria Math" w:eastAsia="Times New Roman" w:hAnsi="Cambria Math" w:cs="Times New Roman"/>
                    <w:kern w:val="0"/>
                    <w:sz w:val="18"/>
                    <w:szCs w:val="20"/>
                    <w14:ligatures w14:val="none"/>
                  </w:rPr>
                  <m:t>'</m:t>
                </m:r>
              </m:sup>
            </m:sSup>
          </m:e>
        </m:d>
      </m:oMath>
      <w:r>
        <w:rPr>
          <w:rFonts w:ascii="Arial" w:eastAsia="Times New Roman" w:hAnsi="Arial" w:cs="Times New Roman"/>
          <w:kern w:val="0"/>
          <w:sz w:val="18"/>
          <w:szCs w:val="20"/>
          <w14:ligatures w14:val="none"/>
        </w:rPr>
        <w:t xml:space="preserve">. </w:t>
      </w:r>
    </w:p>
    <w:p w14:paraId="303629F4" w14:textId="77777777" w:rsidR="00807552" w:rsidRPr="003E11AF" w:rsidRDefault="00807552" w:rsidP="00807552">
      <w:pPr>
        <w:spacing w:after="0"/>
        <w:jc w:val="both"/>
        <w:rPr>
          <w:rFonts w:ascii="Arial" w:eastAsia="Times New Roman" w:hAnsi="Arial" w:cs="Times New Roman"/>
          <w:kern w:val="0"/>
          <w:sz w:val="18"/>
          <w:szCs w:val="20"/>
          <w14:ligatures w14:val="none"/>
        </w:rPr>
      </w:pPr>
    </w:p>
    <w:p w14:paraId="28F43EC6" w14:textId="77777777" w:rsidR="00807552" w:rsidRPr="00516242" w:rsidRDefault="00807552" w:rsidP="00807552">
      <w:pPr>
        <w:pStyle w:val="ListParagraph"/>
        <w:numPr>
          <w:ilvl w:val="0"/>
          <w:numId w:val="3"/>
        </w:numPr>
        <w:spacing w:after="0"/>
        <w:ind w:left="284" w:hanging="284"/>
        <w:jc w:val="both"/>
        <w:rPr>
          <w:rFonts w:ascii="Arial" w:eastAsia="Times New Roman" w:hAnsi="Arial" w:cs="Times New Roman"/>
          <w:kern w:val="0"/>
          <w:sz w:val="18"/>
          <w:szCs w:val="20"/>
          <w14:ligatures w14:val="none"/>
        </w:rPr>
      </w:pPr>
      <w:r w:rsidRPr="00807552">
        <w:rPr>
          <w:rStyle w:val="CETBodytextCarattere"/>
          <w:rFonts w:eastAsiaTheme="minorHAnsi"/>
          <w:b/>
          <w:bCs/>
        </w:rPr>
        <w:t>GP2</w:t>
      </w:r>
      <w:r w:rsidRPr="00807552">
        <w:rPr>
          <w:rStyle w:val="CETBodytextCarattere"/>
          <w:rFonts w:eastAsiaTheme="minorHAnsi"/>
        </w:rPr>
        <w:t xml:space="preserve">. It maps reactor operating conditions </w:t>
      </w:r>
      <m:oMath>
        <m:r>
          <m:rPr>
            <m:sty m:val="b"/>
          </m:rPr>
          <w:rPr>
            <w:rStyle w:val="CETBodytextCarattere"/>
            <w:rFonts w:ascii="Cambria Math" w:eastAsiaTheme="minorHAnsi" w:hAnsi="Cambria Math"/>
          </w:rPr>
          <m:t>u</m:t>
        </m:r>
      </m:oMath>
      <w:r w:rsidRPr="00807552">
        <w:rPr>
          <w:rStyle w:val="CETBodytextCarattere"/>
          <w:rFonts w:eastAsiaTheme="minorHAnsi"/>
        </w:rPr>
        <w:t xml:space="preserve">  to Absolute FIM (</w:t>
      </w:r>
      <m:oMath>
        <m:r>
          <w:rPr>
            <w:rStyle w:val="CETBodytextCarattere"/>
            <w:rFonts w:ascii="Cambria Math" w:eastAsiaTheme="minorHAnsi" w:hAnsi="Cambria Math"/>
          </w:rPr>
          <m:t>I</m:t>
        </m:r>
      </m:oMath>
      <w:r w:rsidRPr="00807552">
        <w:rPr>
          <w:rStyle w:val="CETBodytextCarattere"/>
          <w:rFonts w:eastAsiaTheme="minorHAnsi"/>
        </w:rPr>
        <w:t>) scores for inverse design. The goal of inverse design process is to find the design variables for a given output target (Maritz et al., 2018). In this scenario, the GP2 model and the inverse design problem is formulated in Equation 9, and 10 respectively</w:t>
      </w:r>
      <w:r>
        <w:rPr>
          <w:rFonts w:ascii="Arial" w:eastAsia="Times New Roman" w:hAnsi="Arial" w:cs="Times New Roman"/>
          <w:kern w:val="0"/>
          <w:sz w:val="18"/>
          <w:szCs w:val="20"/>
          <w14:ligatures w14:val="none"/>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9"/>
        <w:gridCol w:w="817"/>
      </w:tblGrid>
      <w:tr w:rsidR="00807552" w:rsidRPr="00B57B36" w14:paraId="67F203C9" w14:textId="77777777" w:rsidTr="00F6176E">
        <w:tc>
          <w:tcPr>
            <w:tcW w:w="8209" w:type="dxa"/>
          </w:tcPr>
          <w:p w14:paraId="3D18F032" w14:textId="77777777" w:rsidR="00807552" w:rsidRPr="00516242" w:rsidRDefault="00000000" w:rsidP="00F6176E">
            <w:pPr>
              <w:pStyle w:val="CETEquation"/>
              <w:spacing w:line="278" w:lineRule="auto"/>
              <w:ind w:left="314" w:hanging="314"/>
              <w:rPr>
                <w:iCs/>
              </w:rPr>
            </w:pPr>
            <m:oMathPara>
              <m:oMathParaPr>
                <m:jc m:val="left"/>
              </m:oMathParaPr>
              <m:oMath>
                <m:sSub>
                  <m:sSubPr>
                    <m:ctrlPr>
                      <w:rPr>
                        <w:rFonts w:ascii="Cambria Math" w:hAnsi="Cambria Math"/>
                        <w:i/>
                        <w:iCs/>
                      </w:rPr>
                    </m:ctrlPr>
                  </m:sSubPr>
                  <m:e>
                    <m:r>
                      <w:rPr>
                        <w:rFonts w:ascii="Cambria Math" w:hAnsi="Cambria Math"/>
                      </w:rPr>
                      <m:t>I</m:t>
                    </m:r>
                  </m:e>
                  <m:sub>
                    <m:r>
                      <w:rPr>
                        <w:rFonts w:ascii="Cambria Math" w:hAnsi="Cambria Math"/>
                      </w:rPr>
                      <m:t>Abs</m:t>
                    </m:r>
                  </m:sub>
                </m:sSub>
                <m:d>
                  <m:dPr>
                    <m:ctrlPr>
                      <w:rPr>
                        <w:rFonts w:ascii="Cambria Math" w:hAnsi="Cambria Math"/>
                      </w:rPr>
                    </m:ctrlPr>
                  </m:dPr>
                  <m:e>
                    <m:r>
                      <m:rPr>
                        <m:sty m:val="bi"/>
                      </m:rPr>
                      <w:rPr>
                        <w:rFonts w:ascii="Cambria Math" w:hAnsi="Cambria Math"/>
                      </w:rPr>
                      <m:t>u</m:t>
                    </m:r>
                  </m:e>
                </m:d>
                <m:r>
                  <m:rPr>
                    <m:sty m:val="p"/>
                  </m:rPr>
                  <w:rPr>
                    <w:rFonts w:ascii="Cambria Math" w:hAnsi="Cambria Math"/>
                  </w:rPr>
                  <m:t xml:space="preserve">= </m:t>
                </m:r>
                <m:r>
                  <w:rPr>
                    <w:rFonts w:ascii="Cambria Math" w:hAnsi="Cambria Math"/>
                  </w:rPr>
                  <m:t>GP2</m:t>
                </m:r>
                <m:r>
                  <m:rPr>
                    <m:sty m:val="p"/>
                  </m:rPr>
                  <w:rPr>
                    <w:rFonts w:ascii="Cambria Math" w:hAnsi="Cambria Math"/>
                  </w:rPr>
                  <m:t>(</m:t>
                </m:r>
                <m:r>
                  <w:rPr>
                    <w:rFonts w:ascii="Cambria Math" w:hAnsi="Cambria Math"/>
                  </w:rPr>
                  <m:t>μ</m:t>
                </m:r>
                <m:d>
                  <m:dPr>
                    <m:ctrlPr>
                      <w:rPr>
                        <w:rFonts w:ascii="Cambria Math" w:hAnsi="Cambria Math"/>
                      </w:rPr>
                    </m:ctrlPr>
                  </m:dPr>
                  <m:e>
                    <m:r>
                      <m:rPr>
                        <m:sty m:val="bi"/>
                      </m:rPr>
                      <w:rPr>
                        <w:rFonts w:ascii="Cambria Math" w:hAnsi="Cambria Math"/>
                      </w:rPr>
                      <m:t>u</m:t>
                    </m:r>
                  </m:e>
                </m:d>
                <m:r>
                  <m:rPr>
                    <m:sty m:val="p"/>
                  </m:rPr>
                  <w:rPr>
                    <w:rFonts w:ascii="Cambria Math" w:hAnsi="Cambria Math"/>
                  </w:rPr>
                  <m:t xml:space="preserve">, </m:t>
                </m:r>
                <m:r>
                  <w:rPr>
                    <w:rFonts w:ascii="Cambria Math" w:hAnsi="Cambria Math"/>
                  </w:rPr>
                  <m:t>k</m:t>
                </m:r>
                <m:d>
                  <m:dPr>
                    <m:ctrlPr>
                      <w:rPr>
                        <w:rFonts w:ascii="Cambria Math" w:hAnsi="Cambria Math"/>
                      </w:rPr>
                    </m:ctrlPr>
                  </m:dPr>
                  <m:e>
                    <m:r>
                      <m:rPr>
                        <m:sty m:val="bi"/>
                      </m:rPr>
                      <w:rPr>
                        <w:rFonts w:ascii="Cambria Math" w:hAnsi="Cambria Math"/>
                      </w:rPr>
                      <m:t>u</m:t>
                    </m:r>
                    <m:r>
                      <m:rPr>
                        <m:sty m:val="p"/>
                      </m:rPr>
                      <w:rPr>
                        <w:rFonts w:ascii="Cambria Math" w:hAnsi="Cambria Math"/>
                      </w:rPr>
                      <m:t>,</m:t>
                    </m:r>
                    <m:sSup>
                      <m:sSupPr>
                        <m:ctrlPr>
                          <w:rPr>
                            <w:rFonts w:ascii="Cambria Math" w:hAnsi="Cambria Math"/>
                          </w:rPr>
                        </m:ctrlPr>
                      </m:sSupPr>
                      <m:e>
                        <m:r>
                          <m:rPr>
                            <m:sty m:val="bi"/>
                          </m:rPr>
                          <w:rPr>
                            <w:rFonts w:ascii="Cambria Math" w:hAnsi="Cambria Math"/>
                          </w:rPr>
                          <m:t>u</m:t>
                        </m:r>
                      </m:e>
                      <m:sup>
                        <m:r>
                          <m:rPr>
                            <m:sty m:val="p"/>
                          </m:rPr>
                          <w:rPr>
                            <w:rFonts w:ascii="Cambria Math" w:hAnsi="Cambria Math"/>
                          </w:rPr>
                          <m:t>'</m:t>
                        </m:r>
                      </m:sup>
                    </m:sSup>
                  </m:e>
                </m:d>
                <m:r>
                  <m:rPr>
                    <m:sty m:val="p"/>
                  </m:rPr>
                  <w:rPr>
                    <w:rFonts w:ascii="Cambria Math" w:hAnsi="Cambria Math"/>
                  </w:rPr>
                  <m:t>)</m:t>
                </m:r>
              </m:oMath>
            </m:oMathPara>
          </w:p>
        </w:tc>
        <w:tc>
          <w:tcPr>
            <w:tcW w:w="817" w:type="dxa"/>
          </w:tcPr>
          <w:p w14:paraId="00C385D6" w14:textId="77777777" w:rsidR="00807552" w:rsidRDefault="00807552" w:rsidP="00F6176E">
            <w:pPr>
              <w:pStyle w:val="CETEquation"/>
              <w:spacing w:line="278" w:lineRule="auto"/>
            </w:pPr>
            <w:r>
              <w:t>(9)</w:t>
            </w:r>
          </w:p>
        </w:tc>
      </w:tr>
      <w:tr w:rsidR="00807552" w:rsidRPr="00B57B36" w14:paraId="45CE2507" w14:textId="77777777" w:rsidTr="00F6176E">
        <w:tc>
          <w:tcPr>
            <w:tcW w:w="8209" w:type="dxa"/>
          </w:tcPr>
          <w:p w14:paraId="4A8813D5" w14:textId="77777777" w:rsidR="00807552" w:rsidRPr="00094544" w:rsidRDefault="00000000" w:rsidP="00F6176E">
            <w:pPr>
              <w:pStyle w:val="CETEquation"/>
              <w:spacing w:line="278" w:lineRule="auto"/>
              <w:ind w:left="314" w:hanging="314"/>
              <w:rPr>
                <w:rFonts w:ascii="Aptos" w:eastAsia="Aptos" w:hAnsi="Aptos"/>
                <w:iCs/>
              </w:rPr>
            </w:pPr>
            <m:oMathPara>
              <m:oMathParaPr>
                <m:jc m:val="left"/>
              </m:oMathParaPr>
              <m:oMath>
                <m:sSup>
                  <m:sSupPr>
                    <m:ctrlPr>
                      <w:rPr>
                        <w:rFonts w:ascii="Cambria Math" w:hAnsi="Cambria Math"/>
                        <w:i/>
                        <w:iCs/>
                      </w:rPr>
                    </m:ctrlPr>
                  </m:sSupPr>
                  <m:e>
                    <m:r>
                      <m:rPr>
                        <m:sty m:val="bi"/>
                      </m:rPr>
                      <w:rPr>
                        <w:rFonts w:ascii="Cambria Math" w:hAnsi="Cambria Math"/>
                      </w:rPr>
                      <m:t>u</m:t>
                    </m:r>
                  </m:e>
                  <m:sup>
                    <m:r>
                      <w:rPr>
                        <w:rFonts w:ascii="Cambria Math" w:hAnsi="Cambria Math"/>
                      </w:rPr>
                      <m:t>*</m:t>
                    </m:r>
                  </m:sup>
                </m:sSup>
                <m:r>
                  <w:rPr>
                    <w:rFonts w:ascii="Cambria Math" w:hAnsi="Cambria Math"/>
                  </w:rPr>
                  <m:t>=</m:t>
                </m:r>
                <m:func>
                  <m:funcPr>
                    <m:ctrlPr>
                      <w:rPr>
                        <w:rFonts w:ascii="Cambria Math" w:hAnsi="Cambria Math"/>
                        <w:i/>
                        <w:iCs/>
                      </w:rPr>
                    </m:ctrlPr>
                  </m:funcPr>
                  <m:fName>
                    <m:r>
                      <m:rPr>
                        <m:sty m:val="p"/>
                      </m:rPr>
                      <w:rPr>
                        <w:rFonts w:ascii="Cambria Math" w:hAnsi="Cambria Math"/>
                      </w:rPr>
                      <m:t>arg</m:t>
                    </m:r>
                  </m:fName>
                  <m:e>
                    <m:func>
                      <m:funcPr>
                        <m:ctrlPr>
                          <w:rPr>
                            <w:rFonts w:ascii="Cambria Math" w:hAnsi="Cambria Math"/>
                            <w:i/>
                            <w:iCs/>
                          </w:rPr>
                        </m:ctrlPr>
                      </m:funcPr>
                      <m:fName>
                        <m:r>
                          <m:rPr>
                            <m:sty m:val="p"/>
                          </m:rPr>
                          <w:rPr>
                            <w:rFonts w:ascii="Cambria Math" w:hAnsi="Cambria Math"/>
                          </w:rPr>
                          <m:t>min</m:t>
                        </m:r>
                      </m:fName>
                      <m:e>
                        <m:d>
                          <m:dPr>
                            <m:begChr m:val="|"/>
                            <m:endChr m:val="|"/>
                            <m:ctrlPr>
                              <w:rPr>
                                <w:rFonts w:ascii="Cambria Math" w:hAnsi="Cambria Math"/>
                                <w:i/>
                                <w:iCs/>
                              </w:rPr>
                            </m:ctrlPr>
                          </m:dPr>
                          <m:e>
                            <m:r>
                              <w:rPr>
                                <w:rFonts w:ascii="Cambria Math" w:hAnsi="Cambria Math"/>
                              </w:rPr>
                              <m:t>GP2</m:t>
                            </m:r>
                            <m:d>
                              <m:dPr>
                                <m:ctrlPr>
                                  <w:rPr>
                                    <w:rFonts w:ascii="Cambria Math" w:hAnsi="Cambria Math"/>
                                    <w:i/>
                                    <w:iCs/>
                                  </w:rPr>
                                </m:ctrlPr>
                              </m:dPr>
                              <m:e>
                                <m:r>
                                  <m:rPr>
                                    <m:sty m:val="bi"/>
                                  </m:rPr>
                                  <w:rPr>
                                    <w:rFonts w:ascii="Cambria Math" w:hAnsi="Cambria Math"/>
                                  </w:rPr>
                                  <m:t>u</m:t>
                                </m:r>
                              </m:e>
                            </m:d>
                            <m:r>
                              <w:rPr>
                                <w:rFonts w:ascii="Cambria Math" w:hAnsi="Cambria Math"/>
                              </w:rPr>
                              <m:t>-</m:t>
                            </m:r>
                            <m:sSup>
                              <m:sSupPr>
                                <m:ctrlPr>
                                  <w:rPr>
                                    <w:rFonts w:ascii="Cambria Math" w:hAnsi="Cambria Math"/>
                                    <w:i/>
                                    <w:iCs/>
                                  </w:rPr>
                                </m:ctrlPr>
                              </m:sSupPr>
                              <m:e>
                                <m:sSub>
                                  <m:sSubPr>
                                    <m:ctrlPr>
                                      <w:rPr>
                                        <w:rFonts w:ascii="Cambria Math" w:hAnsi="Cambria Math"/>
                                        <w:i/>
                                        <w:iCs/>
                                      </w:rPr>
                                    </m:ctrlPr>
                                  </m:sSubPr>
                                  <m:e>
                                    <m:r>
                                      <w:rPr>
                                        <w:rFonts w:ascii="Cambria Math" w:hAnsi="Cambria Math"/>
                                      </w:rPr>
                                      <m:t>I</m:t>
                                    </m:r>
                                  </m:e>
                                  <m:sub>
                                    <m:r>
                                      <w:rPr>
                                        <w:rFonts w:ascii="Cambria Math" w:hAnsi="Cambria Math"/>
                                      </w:rPr>
                                      <m:t>Abs</m:t>
                                    </m:r>
                                  </m:sub>
                                </m:sSub>
                              </m:e>
                              <m:sup>
                                <m:r>
                                  <w:rPr>
                                    <w:rFonts w:ascii="Cambria Math" w:hAnsi="Cambria Math"/>
                                  </w:rPr>
                                  <m:t>*</m:t>
                                </m:r>
                              </m:sup>
                            </m:sSup>
                          </m:e>
                        </m:d>
                      </m:e>
                    </m:func>
                  </m:e>
                </m:func>
              </m:oMath>
            </m:oMathPara>
          </w:p>
        </w:tc>
        <w:tc>
          <w:tcPr>
            <w:tcW w:w="817" w:type="dxa"/>
          </w:tcPr>
          <w:p w14:paraId="616DA134" w14:textId="77777777" w:rsidR="00807552" w:rsidRDefault="00807552" w:rsidP="00F6176E">
            <w:pPr>
              <w:pStyle w:val="CETEquation"/>
              <w:spacing w:line="278" w:lineRule="auto"/>
            </w:pPr>
            <w:r>
              <w:t>(10)</w:t>
            </w:r>
          </w:p>
        </w:tc>
      </w:tr>
    </w:tbl>
    <w:p w14:paraId="106F4EEB" w14:textId="77777777" w:rsidR="00807552" w:rsidRDefault="00807552" w:rsidP="00807552">
      <w:pPr>
        <w:spacing w:after="0"/>
        <w:ind w:left="284"/>
        <w:jc w:val="both"/>
        <w:rPr>
          <w:rFonts w:ascii="Arial" w:eastAsia="Times New Roman" w:hAnsi="Arial" w:cs="Times New Roman"/>
          <w:kern w:val="0"/>
          <w:sz w:val="18"/>
          <w:szCs w:val="20"/>
          <w14:ligatures w14:val="none"/>
        </w:rPr>
      </w:pPr>
      <w:r>
        <w:rPr>
          <w:rFonts w:ascii="Arial" w:eastAsia="Times New Roman" w:hAnsi="Arial" w:cs="Times New Roman"/>
          <w:kern w:val="0"/>
          <w:sz w:val="18"/>
          <w:szCs w:val="20"/>
          <w14:ligatures w14:val="none"/>
        </w:rPr>
        <w:t xml:space="preserve"> where </w:t>
      </w:r>
      <m:oMath>
        <m:r>
          <w:rPr>
            <w:rFonts w:ascii="Cambria Math" w:eastAsia="Times New Roman" w:hAnsi="Cambria Math" w:cs="Times New Roman"/>
            <w:kern w:val="0"/>
            <w:sz w:val="18"/>
            <w:szCs w:val="20"/>
            <w14:ligatures w14:val="none"/>
          </w:rPr>
          <m:t>μ</m:t>
        </m:r>
        <m:d>
          <m:dPr>
            <m:ctrlPr>
              <w:rPr>
                <w:rFonts w:ascii="Cambria Math" w:eastAsia="Times New Roman" w:hAnsi="Cambria Math" w:cs="Times New Roman"/>
                <w:kern w:val="0"/>
                <w:sz w:val="18"/>
                <w:szCs w:val="20"/>
                <w14:ligatures w14:val="none"/>
              </w:rPr>
            </m:ctrlPr>
          </m:dPr>
          <m:e>
            <m:r>
              <m:rPr>
                <m:sty m:val="bi"/>
              </m:rPr>
              <w:rPr>
                <w:rFonts w:ascii="Cambria Math" w:eastAsia="Times New Roman" w:hAnsi="Cambria Math" w:cs="Times New Roman"/>
                <w:kern w:val="0"/>
                <w:sz w:val="18"/>
                <w:szCs w:val="20"/>
                <w14:ligatures w14:val="none"/>
              </w:rPr>
              <m:t>u</m:t>
            </m:r>
          </m:e>
        </m:d>
      </m:oMath>
      <w:r w:rsidRPr="003E11AF">
        <w:rPr>
          <w:rFonts w:ascii="Arial" w:eastAsia="Times New Roman" w:hAnsi="Arial" w:cs="Times New Roman"/>
          <w:kern w:val="0"/>
          <w:sz w:val="18"/>
          <w:szCs w:val="20"/>
          <w14:ligatures w14:val="none"/>
        </w:rPr>
        <w:t xml:space="preserve"> is mean function of GP2, dependent on reactor conditions (</w:t>
      </w:r>
      <m:oMath>
        <m:r>
          <m:rPr>
            <m:sty m:val="bi"/>
          </m:rPr>
          <w:rPr>
            <w:rFonts w:ascii="Cambria Math" w:eastAsia="Times New Roman" w:hAnsi="Cambria Math" w:cs="Times New Roman"/>
            <w:kern w:val="0"/>
            <w:sz w:val="18"/>
            <w:szCs w:val="20"/>
            <w14:ligatures w14:val="none"/>
          </w:rPr>
          <m:t>u</m:t>
        </m:r>
      </m:oMath>
      <w:r w:rsidRPr="003E11AF">
        <w:rPr>
          <w:rFonts w:ascii="Arial" w:eastAsia="Times New Roman" w:hAnsi="Arial" w:cs="Times New Roman"/>
          <w:kern w:val="0"/>
          <w:sz w:val="18"/>
          <w:szCs w:val="20"/>
          <w14:ligatures w14:val="none"/>
        </w:rPr>
        <w:t>)</w:t>
      </w:r>
      <w:r>
        <w:rPr>
          <w:rFonts w:ascii="Arial" w:eastAsia="Times New Roman" w:hAnsi="Arial" w:cs="Times New Roman"/>
          <w:kern w:val="0"/>
          <w:sz w:val="18"/>
          <w:szCs w:val="20"/>
          <w14:ligatures w14:val="none"/>
        </w:rPr>
        <w:t xml:space="preserve">, and </w:t>
      </w:r>
      <m:oMath>
        <m:r>
          <w:rPr>
            <w:rFonts w:ascii="Cambria Math" w:eastAsia="Times New Roman" w:hAnsi="Cambria Math" w:cs="Times New Roman"/>
            <w:kern w:val="0"/>
            <w:sz w:val="18"/>
            <w:szCs w:val="20"/>
            <w14:ligatures w14:val="none"/>
          </w:rPr>
          <m:t>k</m:t>
        </m:r>
        <m:d>
          <m:dPr>
            <m:ctrlPr>
              <w:rPr>
                <w:rFonts w:ascii="Cambria Math" w:eastAsia="Times New Roman" w:hAnsi="Cambria Math" w:cs="Times New Roman"/>
                <w:kern w:val="0"/>
                <w:sz w:val="18"/>
                <w:szCs w:val="20"/>
                <w14:ligatures w14:val="none"/>
              </w:rPr>
            </m:ctrlPr>
          </m:dPr>
          <m:e>
            <m:r>
              <m:rPr>
                <m:sty m:val="bi"/>
              </m:rPr>
              <w:rPr>
                <w:rFonts w:ascii="Cambria Math" w:eastAsia="Times New Roman" w:hAnsi="Cambria Math" w:cs="Times New Roman"/>
                <w:kern w:val="0"/>
                <w:sz w:val="18"/>
                <w:szCs w:val="20"/>
                <w14:ligatures w14:val="none"/>
              </w:rPr>
              <m:t>u</m:t>
            </m:r>
            <m:r>
              <m:rPr>
                <m:sty m:val="p"/>
              </m:rPr>
              <w:rPr>
                <w:rFonts w:ascii="Cambria Math" w:eastAsia="Times New Roman" w:hAnsi="Cambria Math" w:cs="Times New Roman"/>
                <w:kern w:val="0"/>
                <w:sz w:val="18"/>
                <w:szCs w:val="20"/>
                <w14:ligatures w14:val="none"/>
              </w:rPr>
              <m:t>,</m:t>
            </m:r>
            <m:sSup>
              <m:sSupPr>
                <m:ctrlPr>
                  <w:rPr>
                    <w:rFonts w:ascii="Cambria Math" w:eastAsia="Times New Roman" w:hAnsi="Cambria Math" w:cs="Times New Roman"/>
                    <w:kern w:val="0"/>
                    <w:sz w:val="18"/>
                    <w:szCs w:val="20"/>
                    <w14:ligatures w14:val="none"/>
                  </w:rPr>
                </m:ctrlPr>
              </m:sSupPr>
              <m:e>
                <m:r>
                  <m:rPr>
                    <m:sty m:val="bi"/>
                  </m:rPr>
                  <w:rPr>
                    <w:rFonts w:ascii="Cambria Math" w:eastAsia="Times New Roman" w:hAnsi="Cambria Math" w:cs="Times New Roman"/>
                    <w:kern w:val="0"/>
                    <w:sz w:val="18"/>
                    <w:szCs w:val="20"/>
                    <w14:ligatures w14:val="none"/>
                  </w:rPr>
                  <m:t>u</m:t>
                </m:r>
              </m:e>
              <m:sup>
                <m:r>
                  <m:rPr>
                    <m:sty m:val="p"/>
                  </m:rPr>
                  <w:rPr>
                    <w:rFonts w:ascii="Cambria Math" w:eastAsia="Times New Roman" w:hAnsi="Cambria Math" w:cs="Times New Roman"/>
                    <w:kern w:val="0"/>
                    <w:sz w:val="18"/>
                    <w:szCs w:val="20"/>
                    <w14:ligatures w14:val="none"/>
                  </w:rPr>
                  <m:t>'</m:t>
                </m:r>
              </m:sup>
            </m:sSup>
          </m:e>
        </m:d>
      </m:oMath>
      <w:r w:rsidRPr="003E11AF">
        <w:rPr>
          <w:rFonts w:ascii="Arial" w:eastAsia="Times New Roman" w:hAnsi="Arial" w:cs="Times New Roman"/>
          <w:kern w:val="0"/>
          <w:sz w:val="18"/>
          <w:szCs w:val="20"/>
          <w14:ligatures w14:val="none"/>
        </w:rPr>
        <w:t xml:space="preserve"> is the kernel function evaluating similarity between two reactor conditions sets (</w:t>
      </w:r>
      <m:oMath>
        <m:r>
          <m:rPr>
            <m:sty m:val="bi"/>
          </m:rPr>
          <w:rPr>
            <w:rFonts w:ascii="Cambria Math" w:eastAsia="Times New Roman" w:hAnsi="Cambria Math" w:cs="Times New Roman"/>
            <w:kern w:val="0"/>
            <w:sz w:val="18"/>
            <w:szCs w:val="20"/>
            <w14:ligatures w14:val="none"/>
          </w:rPr>
          <m:t>u</m:t>
        </m:r>
        <m:r>
          <m:rPr>
            <m:sty m:val="p"/>
          </m:rPr>
          <w:rPr>
            <w:rFonts w:ascii="Cambria Math" w:eastAsia="Times New Roman" w:hAnsi="Cambria Math" w:cs="Times New Roman"/>
            <w:kern w:val="0"/>
            <w:sz w:val="18"/>
            <w:szCs w:val="20"/>
            <w14:ligatures w14:val="none"/>
          </w:rPr>
          <m:t>,</m:t>
        </m:r>
        <m:sSup>
          <m:sSupPr>
            <m:ctrlPr>
              <w:rPr>
                <w:rFonts w:ascii="Cambria Math" w:eastAsia="Times New Roman" w:hAnsi="Cambria Math" w:cs="Times New Roman"/>
                <w:kern w:val="0"/>
                <w:sz w:val="18"/>
                <w:szCs w:val="20"/>
                <w14:ligatures w14:val="none"/>
              </w:rPr>
            </m:ctrlPr>
          </m:sSupPr>
          <m:e>
            <m:r>
              <m:rPr>
                <m:sty m:val="bi"/>
              </m:rPr>
              <w:rPr>
                <w:rFonts w:ascii="Cambria Math" w:eastAsia="Times New Roman" w:hAnsi="Cambria Math" w:cs="Times New Roman"/>
                <w:kern w:val="0"/>
                <w:sz w:val="18"/>
                <w:szCs w:val="20"/>
                <w14:ligatures w14:val="none"/>
              </w:rPr>
              <m:t>u</m:t>
            </m:r>
          </m:e>
          <m:sup>
            <m:r>
              <m:rPr>
                <m:sty m:val="p"/>
              </m:rPr>
              <w:rPr>
                <w:rFonts w:ascii="Cambria Math" w:eastAsia="Times New Roman" w:hAnsi="Cambria Math" w:cs="Times New Roman"/>
                <w:kern w:val="0"/>
                <w:sz w:val="18"/>
                <w:szCs w:val="20"/>
                <w14:ligatures w14:val="none"/>
              </w:rPr>
              <m:t>'</m:t>
            </m:r>
          </m:sup>
        </m:sSup>
        <m:r>
          <m:rPr>
            <m:sty m:val="p"/>
          </m:rPr>
          <w:rPr>
            <w:rFonts w:ascii="Cambria Math" w:eastAsia="Times New Roman" w:hAnsi="Cambria Math" w:cs="Times New Roman"/>
            <w:kern w:val="0"/>
            <w:sz w:val="18"/>
            <w:szCs w:val="20"/>
            <w14:ligatures w14:val="none"/>
          </w:rPr>
          <m:t>)</m:t>
        </m:r>
      </m:oMath>
      <w:r>
        <w:rPr>
          <w:rFonts w:ascii="Arial" w:eastAsia="Times New Roman" w:hAnsi="Arial" w:cs="Times New Roman"/>
          <w:kern w:val="0"/>
          <w:sz w:val="18"/>
          <w:szCs w:val="20"/>
          <w14:ligatures w14:val="none"/>
        </w:rPr>
        <w:t>.</w:t>
      </w:r>
    </w:p>
    <w:p w14:paraId="19334AE4" w14:textId="77777777" w:rsidR="00807552" w:rsidRPr="003E11AF" w:rsidRDefault="00807552" w:rsidP="00FE5AD6">
      <w:pPr>
        <w:pStyle w:val="CETheadingx"/>
        <w:rPr>
          <w:color w:val="000000" w:themeColor="text1"/>
        </w:rPr>
      </w:pPr>
      <w:r w:rsidRPr="003E11AF">
        <w:t>2.</w:t>
      </w:r>
      <w:r>
        <w:t>5</w:t>
      </w:r>
      <w:r w:rsidRPr="003E11AF">
        <w:t xml:space="preserve"> Data</w:t>
      </w:r>
      <w:r>
        <w:t xml:space="preserve"> Preparation and Partitioning </w:t>
      </w:r>
      <w:r w:rsidRPr="003E11AF">
        <w:t>for GP1 and GP2 Modelling</w:t>
      </w:r>
    </w:p>
    <w:p w14:paraId="5FCCC52C" w14:textId="77777777" w:rsidR="00807552" w:rsidRDefault="00807552" w:rsidP="00807552">
      <w:pPr>
        <w:pStyle w:val="CETBodytext"/>
      </w:pPr>
      <w:r>
        <w:t>For GP1 only the six topmost informative experiments were used; after fine tuning GP1, the acquisition function (Expected Improvement) was optimized to favour high conversion of methane. For GP2, the 30 experimental datasets were split into training (70%), testing (20%), training and validation (10%) as shown in Table 3.</w:t>
      </w:r>
    </w:p>
    <w:p w14:paraId="4DB5199A" w14:textId="77777777" w:rsidR="00807552" w:rsidRPr="002E0BF7" w:rsidRDefault="00807552" w:rsidP="00807552">
      <w:pPr>
        <w:pStyle w:val="CETTabletitle"/>
        <w:numPr>
          <w:ilvl w:val="2"/>
          <w:numId w:val="0"/>
        </w:numPr>
        <w:spacing w:before="120" w:after="120"/>
      </w:pPr>
      <w:r w:rsidRPr="0081680A">
        <w:rPr>
          <w:b/>
          <w:bCs/>
        </w:rPr>
        <w:t>Table 2</w:t>
      </w:r>
      <w:r w:rsidRPr="002E0BF7">
        <w:t xml:space="preserve">: </w:t>
      </w:r>
      <w:r>
        <w:rPr>
          <w:iCs/>
        </w:rPr>
        <w:t>Experimental Dataset Distribution for GP1 and GP2 Modelling</w:t>
      </w:r>
    </w:p>
    <w:tbl>
      <w:tblPr>
        <w:tblW w:w="9023"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396"/>
        <w:gridCol w:w="4708"/>
        <w:gridCol w:w="2919"/>
      </w:tblGrid>
      <w:tr w:rsidR="00807552" w:rsidRPr="00B57B36" w14:paraId="501E4222" w14:textId="77777777" w:rsidTr="00F6176E">
        <w:trPr>
          <w:trHeight w:val="419"/>
        </w:trPr>
        <w:tc>
          <w:tcPr>
            <w:tcW w:w="1396" w:type="dxa"/>
            <w:tcBorders>
              <w:top w:val="single" w:sz="12" w:space="0" w:color="008000"/>
              <w:bottom w:val="single" w:sz="6" w:space="0" w:color="008000"/>
            </w:tcBorders>
            <w:shd w:val="clear" w:color="auto" w:fill="FFFFFF"/>
          </w:tcPr>
          <w:p w14:paraId="37A40303" w14:textId="77777777" w:rsidR="00807552" w:rsidRPr="00B57B36" w:rsidRDefault="00807552" w:rsidP="00F6176E">
            <w:pPr>
              <w:pStyle w:val="CETBodytext"/>
              <w:rPr>
                <w:lang w:val="en-GB"/>
              </w:rPr>
            </w:pPr>
            <w:r>
              <w:rPr>
                <w:lang w:val="en-GB"/>
              </w:rPr>
              <w:t>Model</w:t>
            </w:r>
          </w:p>
        </w:tc>
        <w:tc>
          <w:tcPr>
            <w:tcW w:w="4708" w:type="dxa"/>
            <w:tcBorders>
              <w:top w:val="single" w:sz="12" w:space="0" w:color="008000"/>
              <w:bottom w:val="single" w:sz="6" w:space="0" w:color="008000"/>
            </w:tcBorders>
            <w:shd w:val="clear" w:color="auto" w:fill="FFFFFF"/>
          </w:tcPr>
          <w:p w14:paraId="2A144A4E" w14:textId="77777777" w:rsidR="00807552" w:rsidRPr="00B57B36" w:rsidRDefault="00807552" w:rsidP="00F6176E">
            <w:pPr>
              <w:pStyle w:val="CETBodytext"/>
              <w:rPr>
                <w:lang w:val="en-GB"/>
              </w:rPr>
            </w:pPr>
            <w:r>
              <w:rPr>
                <w:lang w:val="en-GB"/>
              </w:rPr>
              <w:t>Dataset Used</w:t>
            </w:r>
          </w:p>
        </w:tc>
        <w:tc>
          <w:tcPr>
            <w:tcW w:w="2919" w:type="dxa"/>
            <w:tcBorders>
              <w:top w:val="single" w:sz="12" w:space="0" w:color="008000"/>
              <w:bottom w:val="single" w:sz="6" w:space="0" w:color="008000"/>
            </w:tcBorders>
            <w:shd w:val="clear" w:color="auto" w:fill="FFFFFF"/>
          </w:tcPr>
          <w:p w14:paraId="67735F5C" w14:textId="77777777" w:rsidR="00807552" w:rsidRDefault="00807552" w:rsidP="00F6176E">
            <w:pPr>
              <w:pStyle w:val="CETBodytext"/>
              <w:rPr>
                <w:lang w:val="en-GB"/>
              </w:rPr>
            </w:pPr>
            <w:r>
              <w:rPr>
                <w:lang w:val="en-GB"/>
              </w:rPr>
              <w:t>GP Tuning &amp; Strategy</w:t>
            </w:r>
          </w:p>
        </w:tc>
      </w:tr>
      <w:tr w:rsidR="00807552" w:rsidRPr="00B57B36" w14:paraId="7DEF75A9" w14:textId="77777777" w:rsidTr="00F6176E">
        <w:trPr>
          <w:trHeight w:val="207"/>
        </w:trPr>
        <w:tc>
          <w:tcPr>
            <w:tcW w:w="1396" w:type="dxa"/>
            <w:shd w:val="clear" w:color="auto" w:fill="FFFFFF"/>
          </w:tcPr>
          <w:p w14:paraId="33DBF9E7" w14:textId="77777777" w:rsidR="00807552" w:rsidRPr="00B57B36" w:rsidRDefault="00807552" w:rsidP="00F6176E">
            <w:pPr>
              <w:pStyle w:val="CETBodytext"/>
              <w:rPr>
                <w:lang w:val="en-GB"/>
              </w:rPr>
            </w:pPr>
            <w:r>
              <w:rPr>
                <w:lang w:val="en-GB"/>
              </w:rPr>
              <w:t>GP1</w:t>
            </w:r>
          </w:p>
        </w:tc>
        <w:tc>
          <w:tcPr>
            <w:tcW w:w="4708" w:type="dxa"/>
            <w:shd w:val="clear" w:color="auto" w:fill="FFFFFF"/>
          </w:tcPr>
          <w:p w14:paraId="190EEDCF" w14:textId="77777777" w:rsidR="00807552" w:rsidRPr="00B57B36" w:rsidRDefault="00807552" w:rsidP="00F6176E">
            <w:pPr>
              <w:pStyle w:val="CETBodytext"/>
              <w:rPr>
                <w:lang w:val="en-GB"/>
              </w:rPr>
            </w:pPr>
            <w:r>
              <w:rPr>
                <w:lang w:val="en-GB"/>
              </w:rPr>
              <w:t>Top 6 most informative experiments</w:t>
            </w:r>
          </w:p>
        </w:tc>
        <w:tc>
          <w:tcPr>
            <w:tcW w:w="2919" w:type="dxa"/>
            <w:shd w:val="clear" w:color="auto" w:fill="FFFFFF"/>
          </w:tcPr>
          <w:p w14:paraId="6CC5DE56" w14:textId="77777777" w:rsidR="00807552" w:rsidRDefault="00807552" w:rsidP="00F6176E">
            <w:pPr>
              <w:pStyle w:val="CETBodytext"/>
              <w:jc w:val="center"/>
              <w:rPr>
                <w:rFonts w:cs="Arial"/>
                <w:lang w:val="en-GB"/>
              </w:rPr>
            </w:pPr>
            <w:r>
              <w:rPr>
                <w:rFonts w:cs="Arial"/>
                <w:lang w:val="en-GB"/>
              </w:rPr>
              <w:t xml:space="preserve"> Fine-tuned to favour high conversion of methane</w:t>
            </w:r>
          </w:p>
        </w:tc>
      </w:tr>
      <w:tr w:rsidR="00807552" w:rsidRPr="00B57B36" w14:paraId="1B0213D1" w14:textId="77777777" w:rsidTr="00F6176E">
        <w:trPr>
          <w:trHeight w:val="207"/>
        </w:trPr>
        <w:tc>
          <w:tcPr>
            <w:tcW w:w="1396" w:type="dxa"/>
            <w:shd w:val="clear" w:color="auto" w:fill="FFFFFF"/>
          </w:tcPr>
          <w:p w14:paraId="6681CE4D" w14:textId="77777777" w:rsidR="00807552" w:rsidRPr="00B57B36" w:rsidRDefault="00807552" w:rsidP="00F6176E">
            <w:pPr>
              <w:pStyle w:val="CETBodytext"/>
              <w:ind w:right="-1"/>
              <w:rPr>
                <w:rFonts w:cs="Arial"/>
                <w:szCs w:val="18"/>
                <w:lang w:val="en-GB"/>
              </w:rPr>
            </w:pPr>
            <w:r>
              <w:rPr>
                <w:rFonts w:cs="Arial"/>
                <w:szCs w:val="18"/>
                <w:lang w:val="en-GB"/>
              </w:rPr>
              <w:t>GP2</w:t>
            </w:r>
          </w:p>
        </w:tc>
        <w:tc>
          <w:tcPr>
            <w:tcW w:w="4708" w:type="dxa"/>
            <w:shd w:val="clear" w:color="auto" w:fill="FFFFFF"/>
          </w:tcPr>
          <w:p w14:paraId="1CD44E32" w14:textId="77777777" w:rsidR="00807552" w:rsidRDefault="00807552" w:rsidP="00F6176E">
            <w:pPr>
              <w:pStyle w:val="CETBodytext"/>
              <w:ind w:right="-1"/>
              <w:rPr>
                <w:rFonts w:cs="Arial"/>
                <w:szCs w:val="18"/>
                <w:lang w:val="en-GB"/>
              </w:rPr>
            </w:pPr>
            <w:r>
              <w:rPr>
                <w:rFonts w:cs="Arial"/>
                <w:szCs w:val="18"/>
                <w:lang w:val="en-GB"/>
              </w:rPr>
              <w:t xml:space="preserve">Full 30 experimental datasets split: </w:t>
            </w:r>
          </w:p>
          <w:p w14:paraId="17C88F0F" w14:textId="77777777" w:rsidR="00807552" w:rsidRPr="00B57B36" w:rsidRDefault="00807552" w:rsidP="00F6176E">
            <w:pPr>
              <w:pStyle w:val="CETBodytext"/>
              <w:ind w:right="-1"/>
              <w:rPr>
                <w:rFonts w:cs="Arial"/>
                <w:szCs w:val="18"/>
                <w:lang w:val="en-GB"/>
              </w:rPr>
            </w:pPr>
            <w:r>
              <w:rPr>
                <w:rFonts w:cs="Arial"/>
                <w:szCs w:val="18"/>
                <w:lang w:val="en-GB"/>
              </w:rPr>
              <w:t>70% training, 20% testing, 10% validation</w:t>
            </w:r>
          </w:p>
        </w:tc>
        <w:tc>
          <w:tcPr>
            <w:tcW w:w="2919" w:type="dxa"/>
            <w:shd w:val="clear" w:color="auto" w:fill="FFFFFF"/>
          </w:tcPr>
          <w:p w14:paraId="04250373" w14:textId="77777777" w:rsidR="00807552" w:rsidRDefault="00807552" w:rsidP="00F6176E">
            <w:pPr>
              <w:pStyle w:val="CETBodytext"/>
              <w:ind w:right="-1"/>
              <w:jc w:val="center"/>
              <w:rPr>
                <w:rFonts w:ascii="Tahoma" w:eastAsia="Aptos" w:hAnsi="Tahoma" w:cs="Tahoma"/>
                <w:szCs w:val="18"/>
                <w:lang w:val="en-GB"/>
              </w:rPr>
            </w:pPr>
            <w:r>
              <w:rPr>
                <w:rFonts w:ascii="Tahoma" w:eastAsia="Aptos" w:hAnsi="Tahoma" w:cs="Tahoma"/>
                <w:szCs w:val="18"/>
                <w:lang w:val="en-GB"/>
              </w:rPr>
              <w:t>Standard training with full dataset</w:t>
            </w:r>
          </w:p>
        </w:tc>
      </w:tr>
    </w:tbl>
    <w:p w14:paraId="39BF05E1" w14:textId="77777777" w:rsidR="00807552" w:rsidRDefault="00807552" w:rsidP="00807552">
      <w:pPr>
        <w:pStyle w:val="CETBodytext"/>
      </w:pPr>
      <w:r w:rsidRPr="007C342D">
        <w:t>Both GP1 and GP2 use the same combination of three kernels to model methane oxidation: (1) a </w:t>
      </w:r>
      <w:r w:rsidRPr="007C342D">
        <w:rPr>
          <w:i/>
          <w:iCs/>
        </w:rPr>
        <w:t>constant kernel</w:t>
      </w:r>
      <w:r w:rsidRPr="007C342D">
        <w:t> (fixed signal strength = 1.0), (2) an </w:t>
      </w:r>
      <w:r w:rsidRPr="007C342D">
        <w:rPr>
          <w:i/>
          <w:iCs/>
        </w:rPr>
        <w:t>RBF kernel</w:t>
      </w:r>
      <w:r w:rsidRPr="007C342D">
        <w:t> (smoothness scale = 1.0) to capture nonlinear trends, and (3) a </w:t>
      </w:r>
      <w:r w:rsidRPr="007C342D">
        <w:rPr>
          <w:i/>
          <w:iCs/>
        </w:rPr>
        <w:t>noise kernel</w:t>
      </w:r>
      <w:r w:rsidRPr="007C342D">
        <w:t> (tiny noise level = 10</w:t>
      </w:r>
      <w:r w:rsidRPr="007C342D">
        <w:rPr>
          <w:rFonts w:ascii="Cambria Math" w:hAnsi="Cambria Math" w:cs="Cambria Math"/>
        </w:rPr>
        <w:t>⁻</w:t>
      </w:r>
      <w:r w:rsidRPr="007C342D">
        <w:rPr>
          <w:rFonts w:cs="Arial"/>
        </w:rPr>
        <w:t>⁶</w:t>
      </w:r>
      <w:r w:rsidRPr="007C342D">
        <w:t>) for measurement errors. These components were</w:t>
      </w:r>
      <w:r>
        <w:t xml:space="preserve"> </w:t>
      </w:r>
      <w:r w:rsidRPr="007C342D">
        <w:t xml:space="preserve">tuned within strict physical limits (Table </w:t>
      </w:r>
      <w:r>
        <w:t>3</w:t>
      </w:r>
      <w:r w:rsidRPr="007C342D">
        <w:t>) to ensure accurate predictions without overfitting the data</w:t>
      </w:r>
      <w:r>
        <w:t>. An additional noise term (for methane response) from the measured experiments by Bawa et al., 2023 was also introduced to the GPs.</w:t>
      </w:r>
    </w:p>
    <w:p w14:paraId="7051511E" w14:textId="77777777" w:rsidR="00807552" w:rsidRPr="002E0BF7" w:rsidRDefault="00807552" w:rsidP="00807552">
      <w:pPr>
        <w:pStyle w:val="CETTabletitle"/>
        <w:numPr>
          <w:ilvl w:val="2"/>
          <w:numId w:val="0"/>
        </w:numPr>
        <w:spacing w:before="0" w:after="0"/>
      </w:pPr>
      <w:r w:rsidRPr="0081680A">
        <w:rPr>
          <w:b/>
          <w:bCs/>
        </w:rPr>
        <w:t>Table 3</w:t>
      </w:r>
      <w:r>
        <w:t>:</w:t>
      </w:r>
      <w:r w:rsidRPr="002E0BF7">
        <w:t xml:space="preserve"> </w:t>
      </w:r>
      <w:r w:rsidRPr="007C342D">
        <w:rPr>
          <w:iCs/>
        </w:rPr>
        <w:t>Optimized Hyperparameters for GP1 and GP2 Composite Kernels</w:t>
      </w:r>
    </w:p>
    <w:tbl>
      <w:tblPr>
        <w:tblW w:w="9079"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3964"/>
        <w:gridCol w:w="3171"/>
        <w:gridCol w:w="1944"/>
      </w:tblGrid>
      <w:tr w:rsidR="00807552" w:rsidRPr="00B57B36" w14:paraId="73D49A4F" w14:textId="77777777" w:rsidTr="00F6176E">
        <w:trPr>
          <w:trHeight w:val="440"/>
        </w:trPr>
        <w:tc>
          <w:tcPr>
            <w:tcW w:w="3964" w:type="dxa"/>
            <w:tcBorders>
              <w:top w:val="single" w:sz="12" w:space="0" w:color="008000"/>
              <w:bottom w:val="single" w:sz="6" w:space="0" w:color="008000"/>
            </w:tcBorders>
            <w:shd w:val="clear" w:color="auto" w:fill="FFFFFF"/>
          </w:tcPr>
          <w:p w14:paraId="7AA1D791" w14:textId="77777777" w:rsidR="00807552" w:rsidRPr="00B57B36" w:rsidRDefault="00807552" w:rsidP="00F6176E">
            <w:pPr>
              <w:pStyle w:val="CETBodytext"/>
              <w:rPr>
                <w:lang w:val="en-GB"/>
              </w:rPr>
            </w:pPr>
            <w:r>
              <w:rPr>
                <w:lang w:val="en-GB"/>
              </w:rPr>
              <w:t>Hyperparameters</w:t>
            </w:r>
            <w:r w:rsidRPr="00B57B36">
              <w:rPr>
                <w:lang w:val="en-GB"/>
              </w:rPr>
              <w:t xml:space="preserve"> </w:t>
            </w:r>
          </w:p>
        </w:tc>
        <w:tc>
          <w:tcPr>
            <w:tcW w:w="3171" w:type="dxa"/>
            <w:tcBorders>
              <w:top w:val="single" w:sz="12" w:space="0" w:color="008000"/>
              <w:bottom w:val="single" w:sz="6" w:space="0" w:color="008000"/>
            </w:tcBorders>
            <w:shd w:val="clear" w:color="auto" w:fill="FFFFFF"/>
          </w:tcPr>
          <w:p w14:paraId="2DD7D6A1" w14:textId="77777777" w:rsidR="00807552" w:rsidRPr="00B57B36" w:rsidRDefault="00807552" w:rsidP="00F6176E">
            <w:pPr>
              <w:pStyle w:val="CETBodytext"/>
              <w:rPr>
                <w:lang w:val="en-GB"/>
              </w:rPr>
            </w:pPr>
            <w:r>
              <w:rPr>
                <w:lang w:val="en-GB"/>
              </w:rPr>
              <w:t>Value/Range</w:t>
            </w:r>
          </w:p>
        </w:tc>
        <w:tc>
          <w:tcPr>
            <w:tcW w:w="1944" w:type="dxa"/>
            <w:tcBorders>
              <w:top w:val="single" w:sz="12" w:space="0" w:color="008000"/>
              <w:bottom w:val="single" w:sz="6" w:space="0" w:color="008000"/>
            </w:tcBorders>
            <w:shd w:val="clear" w:color="auto" w:fill="FFFFFF"/>
          </w:tcPr>
          <w:p w14:paraId="4C51A931" w14:textId="77777777" w:rsidR="00807552" w:rsidRPr="00B57B36" w:rsidRDefault="00807552" w:rsidP="00F6176E">
            <w:pPr>
              <w:pStyle w:val="CETBodytext"/>
              <w:rPr>
                <w:lang w:val="en-GB"/>
              </w:rPr>
            </w:pPr>
            <w:r>
              <w:rPr>
                <w:lang w:val="en-GB"/>
              </w:rPr>
              <w:t>Kernel Component</w:t>
            </w:r>
          </w:p>
        </w:tc>
      </w:tr>
      <w:tr w:rsidR="00807552" w:rsidRPr="00B57B36" w14:paraId="730EE9B5" w14:textId="77777777" w:rsidTr="00F6176E">
        <w:trPr>
          <w:trHeight w:val="218"/>
        </w:trPr>
        <w:tc>
          <w:tcPr>
            <w:tcW w:w="3964" w:type="dxa"/>
            <w:shd w:val="clear" w:color="auto" w:fill="FFFFFF"/>
          </w:tcPr>
          <w:p w14:paraId="3E30BCEA" w14:textId="77777777" w:rsidR="00807552" w:rsidRPr="00B57B36" w:rsidRDefault="00807552" w:rsidP="00F6176E">
            <w:pPr>
              <w:pStyle w:val="CETBodytext"/>
              <w:rPr>
                <w:lang w:val="en-GB"/>
              </w:rPr>
            </w:pPr>
            <w:r>
              <w:rPr>
                <w:lang w:val="en-GB"/>
              </w:rPr>
              <w:t>Signal variance (</w:t>
            </w:r>
            <m:oMath>
              <m:sSup>
                <m:sSupPr>
                  <m:ctrlPr>
                    <w:rPr>
                      <w:rFonts w:ascii="Cambria Math" w:hAnsi="Cambria Math"/>
                      <w:i/>
                      <w:lang w:val="en-GB"/>
                    </w:rPr>
                  </m:ctrlPr>
                </m:sSupPr>
                <m:e>
                  <m:sSub>
                    <m:sSubPr>
                      <m:ctrlPr>
                        <w:rPr>
                          <w:rFonts w:ascii="Cambria Math" w:hAnsi="Cambria Math"/>
                          <w:i/>
                          <w:lang w:val="en-GB"/>
                        </w:rPr>
                      </m:ctrlPr>
                    </m:sSubPr>
                    <m:e>
                      <m:r>
                        <w:rPr>
                          <w:rFonts w:ascii="Cambria Math" w:hAnsi="Cambria Math"/>
                          <w:lang w:val="en-GB"/>
                        </w:rPr>
                        <m:t>σ</m:t>
                      </m:r>
                    </m:e>
                    <m:sub>
                      <m:r>
                        <w:rPr>
                          <w:rFonts w:ascii="Cambria Math" w:hAnsi="Cambria Math"/>
                          <w:lang w:val="en-GB"/>
                        </w:rPr>
                        <m:t>f</m:t>
                      </m:r>
                    </m:sub>
                  </m:sSub>
                </m:e>
                <m:sup>
                  <m:r>
                    <w:rPr>
                      <w:rFonts w:ascii="Cambria Math" w:hAnsi="Cambria Math"/>
                      <w:lang w:val="en-GB"/>
                    </w:rPr>
                    <m:t>2</m:t>
                  </m:r>
                </m:sup>
              </m:sSup>
              <m:r>
                <w:rPr>
                  <w:rFonts w:ascii="Cambria Math" w:hAnsi="Cambria Math"/>
                  <w:lang w:val="en-GB"/>
                </w:rPr>
                <m:t>)</m:t>
              </m:r>
            </m:oMath>
          </w:p>
        </w:tc>
        <w:tc>
          <w:tcPr>
            <w:tcW w:w="3171" w:type="dxa"/>
            <w:shd w:val="clear" w:color="auto" w:fill="FFFFFF"/>
          </w:tcPr>
          <w:p w14:paraId="6ECC2C5B" w14:textId="77777777" w:rsidR="00807552" w:rsidRPr="00B57B36" w:rsidRDefault="00807552" w:rsidP="00F6176E">
            <w:pPr>
              <w:pStyle w:val="CETBodytext"/>
              <w:rPr>
                <w:lang w:val="en-GB"/>
              </w:rPr>
            </w:pPr>
            <w:r>
              <w:rPr>
                <w:lang w:val="en-GB"/>
              </w:rPr>
              <w:t>1.0 (</w:t>
            </w:r>
            <m:oMath>
              <m:sSup>
                <m:sSupPr>
                  <m:ctrlPr>
                    <w:rPr>
                      <w:rFonts w:ascii="Cambria Math" w:hAnsi="Cambria Math"/>
                      <w:i/>
                      <w:lang w:val="en-GB"/>
                    </w:rPr>
                  </m:ctrlPr>
                </m:sSupPr>
                <m:e>
                  <m:r>
                    <w:rPr>
                      <w:rFonts w:ascii="Cambria Math" w:hAnsi="Cambria Math"/>
                      <w:lang w:val="en-GB"/>
                    </w:rPr>
                    <m:t>10</m:t>
                  </m:r>
                </m:e>
                <m:sup>
                  <m:r>
                    <w:rPr>
                      <w:rFonts w:ascii="Cambria Math" w:hAnsi="Cambria Math"/>
                      <w:lang w:val="en-GB"/>
                    </w:rPr>
                    <m:t>-3</m:t>
                  </m:r>
                </m:sup>
              </m:sSup>
              <m:r>
                <w:rPr>
                  <w:rFonts w:ascii="Cambria Math" w:hAnsi="Cambria Math"/>
                  <w:lang w:val="en-GB"/>
                </w:rPr>
                <m:t>≤</m:t>
              </m:r>
            </m:oMath>
            <w:r>
              <w:rPr>
                <w:lang w:val="en-GB"/>
              </w:rPr>
              <w:t xml:space="preserve"> </w:t>
            </w:r>
            <m:oMath>
              <m:sSup>
                <m:sSupPr>
                  <m:ctrlPr>
                    <w:rPr>
                      <w:rFonts w:ascii="Cambria Math" w:hAnsi="Cambria Math"/>
                      <w:i/>
                      <w:lang w:val="en-GB"/>
                    </w:rPr>
                  </m:ctrlPr>
                </m:sSupPr>
                <m:e>
                  <m:sSub>
                    <m:sSubPr>
                      <m:ctrlPr>
                        <w:rPr>
                          <w:rFonts w:ascii="Cambria Math" w:hAnsi="Cambria Math"/>
                          <w:i/>
                          <w:lang w:val="en-GB"/>
                        </w:rPr>
                      </m:ctrlPr>
                    </m:sSubPr>
                    <m:e>
                      <m:r>
                        <w:rPr>
                          <w:rFonts w:ascii="Cambria Math" w:hAnsi="Cambria Math"/>
                          <w:lang w:val="en-GB"/>
                        </w:rPr>
                        <m:t>σ</m:t>
                      </m:r>
                    </m:e>
                    <m:sub>
                      <m:r>
                        <w:rPr>
                          <w:rFonts w:ascii="Cambria Math" w:hAnsi="Cambria Math"/>
                          <w:lang w:val="en-GB"/>
                        </w:rPr>
                        <m:t>f</m:t>
                      </m:r>
                    </m:sub>
                  </m:sSub>
                </m:e>
                <m:sup>
                  <m:r>
                    <w:rPr>
                      <w:rFonts w:ascii="Cambria Math" w:hAnsi="Cambria Math"/>
                      <w:lang w:val="en-GB"/>
                    </w:rPr>
                    <m:t>2</m:t>
                  </m:r>
                </m:sup>
              </m:sSup>
              <m:r>
                <w:rPr>
                  <w:rFonts w:ascii="Cambria Math" w:hAnsi="Cambria Math"/>
                  <w:lang w:val="en-GB"/>
                </w:rPr>
                <m:t xml:space="preserve">≤ </m:t>
              </m:r>
              <m:sSup>
                <m:sSupPr>
                  <m:ctrlPr>
                    <w:rPr>
                      <w:rFonts w:ascii="Cambria Math" w:hAnsi="Cambria Math"/>
                      <w:i/>
                      <w:lang w:val="en-GB"/>
                    </w:rPr>
                  </m:ctrlPr>
                </m:sSupPr>
                <m:e>
                  <m:r>
                    <w:rPr>
                      <w:rFonts w:ascii="Cambria Math" w:hAnsi="Cambria Math"/>
                      <w:lang w:val="en-GB"/>
                    </w:rPr>
                    <m:t>10</m:t>
                  </m:r>
                </m:e>
                <m:sup>
                  <m:r>
                    <w:rPr>
                      <w:rFonts w:ascii="Cambria Math" w:hAnsi="Cambria Math"/>
                      <w:lang w:val="en-GB"/>
                    </w:rPr>
                    <m:t>3</m:t>
                  </m:r>
                </m:sup>
              </m:sSup>
            </m:oMath>
            <w:r>
              <w:rPr>
                <w:lang w:val="en-GB"/>
              </w:rPr>
              <w:t>)</w:t>
            </w:r>
          </w:p>
        </w:tc>
        <w:tc>
          <w:tcPr>
            <w:tcW w:w="1944" w:type="dxa"/>
            <w:shd w:val="clear" w:color="auto" w:fill="FFFFFF"/>
          </w:tcPr>
          <w:p w14:paraId="29CE869C" w14:textId="77777777" w:rsidR="00807552" w:rsidRPr="00B57B36" w:rsidRDefault="00807552" w:rsidP="00F6176E">
            <w:pPr>
              <w:pStyle w:val="CETBodytext"/>
              <w:rPr>
                <w:lang w:val="en-GB"/>
              </w:rPr>
            </w:pPr>
            <m:oMathPara>
              <m:oMath>
                <m:r>
                  <w:rPr>
                    <w:rFonts w:ascii="Cambria Math" w:hAnsi="Cambria Math"/>
                    <w:lang w:val="en-GB"/>
                  </w:rPr>
                  <m:t>Constant Kernel</m:t>
                </m:r>
              </m:oMath>
            </m:oMathPara>
          </w:p>
        </w:tc>
      </w:tr>
      <w:tr w:rsidR="00807552" w:rsidRPr="00B57B36" w14:paraId="6F872054" w14:textId="77777777" w:rsidTr="00F6176E">
        <w:trPr>
          <w:trHeight w:val="218"/>
        </w:trPr>
        <w:tc>
          <w:tcPr>
            <w:tcW w:w="3964" w:type="dxa"/>
            <w:shd w:val="clear" w:color="auto" w:fill="FFFFFF"/>
          </w:tcPr>
          <w:p w14:paraId="1E28B932" w14:textId="77777777" w:rsidR="00807552" w:rsidRPr="00B57B36" w:rsidRDefault="00807552" w:rsidP="00F6176E">
            <w:pPr>
              <w:pStyle w:val="CETBodytext"/>
              <w:ind w:right="-1"/>
              <w:rPr>
                <w:rFonts w:cs="Arial"/>
                <w:szCs w:val="18"/>
                <w:lang w:val="en-GB"/>
              </w:rPr>
            </w:pPr>
            <w:r>
              <w:rPr>
                <w:rFonts w:cs="Arial"/>
                <w:szCs w:val="18"/>
                <w:lang w:val="en-GB"/>
              </w:rPr>
              <w:t>Length scale (</w:t>
            </w:r>
            <m:oMath>
              <m:r>
                <w:rPr>
                  <w:rFonts w:ascii="Cambria Math" w:hAnsi="Cambria Math" w:cs="Arial"/>
                  <w:szCs w:val="18"/>
                  <w:lang w:val="en-GB"/>
                </w:rPr>
                <m:t>l)</m:t>
              </m:r>
            </m:oMath>
          </w:p>
        </w:tc>
        <w:tc>
          <w:tcPr>
            <w:tcW w:w="3171" w:type="dxa"/>
            <w:shd w:val="clear" w:color="auto" w:fill="FFFFFF"/>
          </w:tcPr>
          <w:p w14:paraId="1B557122" w14:textId="77777777" w:rsidR="00807552" w:rsidRPr="00B57B36" w:rsidRDefault="00807552" w:rsidP="00F6176E">
            <w:pPr>
              <w:pStyle w:val="CETBodytext"/>
              <w:ind w:right="-1"/>
              <w:rPr>
                <w:rFonts w:cs="Arial"/>
                <w:szCs w:val="18"/>
                <w:lang w:val="en-GB"/>
              </w:rPr>
            </w:pPr>
            <w:r>
              <w:rPr>
                <w:rFonts w:cs="Arial"/>
                <w:szCs w:val="18"/>
                <w:lang w:val="en-GB"/>
              </w:rPr>
              <w:t xml:space="preserve">1.0 (0.4 </w:t>
            </w:r>
            <m:oMath>
              <m:r>
                <w:rPr>
                  <w:rFonts w:ascii="Cambria Math" w:hAnsi="Cambria Math" w:cs="Arial"/>
                  <w:szCs w:val="18"/>
                  <w:lang w:val="en-GB"/>
                </w:rPr>
                <m:t>≤l</m:t>
              </m:r>
            </m:oMath>
            <w:r>
              <w:rPr>
                <w:rFonts w:cs="Arial"/>
                <w:szCs w:val="18"/>
                <w:lang w:val="en-GB"/>
              </w:rPr>
              <w:t xml:space="preserve"> </w:t>
            </w:r>
            <m:oMath>
              <m:r>
                <w:rPr>
                  <w:rFonts w:ascii="Cambria Math" w:hAnsi="Cambria Math" w:cs="Arial"/>
                  <w:szCs w:val="18"/>
                  <w:lang w:val="en-GB"/>
                </w:rPr>
                <m:t>≤70)</m:t>
              </m:r>
            </m:oMath>
          </w:p>
        </w:tc>
        <w:tc>
          <w:tcPr>
            <w:tcW w:w="1944" w:type="dxa"/>
            <w:shd w:val="clear" w:color="auto" w:fill="FFFFFF"/>
          </w:tcPr>
          <w:p w14:paraId="37E1E125" w14:textId="77777777" w:rsidR="00807552" w:rsidRPr="00B57B36" w:rsidRDefault="00807552" w:rsidP="00F6176E">
            <w:pPr>
              <w:pStyle w:val="CETBodytext"/>
              <w:ind w:right="-1"/>
              <w:rPr>
                <w:rFonts w:cs="Arial"/>
                <w:szCs w:val="18"/>
                <w:lang w:val="en-GB"/>
              </w:rPr>
            </w:pPr>
            <m:oMathPara>
              <m:oMath>
                <m:r>
                  <w:rPr>
                    <w:rFonts w:ascii="Cambria Math" w:hAnsi="Cambria Math" w:cs="Arial"/>
                    <w:szCs w:val="18"/>
                    <w:lang w:val="en-GB"/>
                  </w:rPr>
                  <m:t>RBF</m:t>
                </m:r>
              </m:oMath>
            </m:oMathPara>
          </w:p>
        </w:tc>
      </w:tr>
      <w:tr w:rsidR="00807552" w:rsidRPr="00B57B36" w14:paraId="0D1C640A" w14:textId="77777777" w:rsidTr="00F6176E">
        <w:trPr>
          <w:trHeight w:val="218"/>
        </w:trPr>
        <w:tc>
          <w:tcPr>
            <w:tcW w:w="3964" w:type="dxa"/>
            <w:shd w:val="clear" w:color="auto" w:fill="FFFFFF"/>
          </w:tcPr>
          <w:p w14:paraId="2DF03931" w14:textId="77777777" w:rsidR="00807552" w:rsidRPr="00B57B36" w:rsidRDefault="00807552" w:rsidP="00F6176E">
            <w:pPr>
              <w:pStyle w:val="CETBodytext"/>
              <w:ind w:right="-1"/>
              <w:rPr>
                <w:rFonts w:cs="Arial"/>
                <w:szCs w:val="18"/>
                <w:lang w:val="en-GB"/>
              </w:rPr>
            </w:pPr>
            <w:r>
              <w:rPr>
                <w:rFonts w:cs="Arial"/>
                <w:szCs w:val="18"/>
                <w:lang w:val="en-GB"/>
              </w:rPr>
              <w:t>Noise variance (</w:t>
            </w:r>
            <m:oMath>
              <m:sSup>
                <m:sSupPr>
                  <m:ctrlPr>
                    <w:rPr>
                      <w:rFonts w:ascii="Cambria Math" w:hAnsi="Cambria Math"/>
                      <w:i/>
                      <w:lang w:val="en-GB"/>
                    </w:rPr>
                  </m:ctrlPr>
                </m:sSupPr>
                <m:e>
                  <m:sSub>
                    <m:sSubPr>
                      <m:ctrlPr>
                        <w:rPr>
                          <w:rFonts w:ascii="Cambria Math" w:hAnsi="Cambria Math"/>
                          <w:i/>
                          <w:lang w:val="en-GB"/>
                        </w:rPr>
                      </m:ctrlPr>
                    </m:sSubPr>
                    <m:e>
                      <m:r>
                        <w:rPr>
                          <w:rFonts w:ascii="Cambria Math" w:hAnsi="Cambria Math"/>
                          <w:lang w:val="en-GB"/>
                        </w:rPr>
                        <m:t>σ</m:t>
                      </m:r>
                    </m:e>
                    <m:sub>
                      <m:r>
                        <w:rPr>
                          <w:rFonts w:ascii="Cambria Math" w:hAnsi="Cambria Math"/>
                          <w:lang w:val="en-GB"/>
                        </w:rPr>
                        <m:t>noise</m:t>
                      </m:r>
                    </m:sub>
                  </m:sSub>
                </m:e>
                <m:sup>
                  <m:r>
                    <w:rPr>
                      <w:rFonts w:ascii="Cambria Math" w:hAnsi="Cambria Math"/>
                      <w:lang w:val="en-GB"/>
                    </w:rPr>
                    <m:t>2</m:t>
                  </m:r>
                </m:sup>
              </m:sSup>
              <m:r>
                <w:rPr>
                  <w:rFonts w:ascii="Cambria Math" w:hAnsi="Cambria Math"/>
                  <w:lang w:val="en-GB"/>
                </w:rPr>
                <m:t>)</m:t>
              </m:r>
            </m:oMath>
          </w:p>
        </w:tc>
        <w:tc>
          <w:tcPr>
            <w:tcW w:w="3171" w:type="dxa"/>
            <w:shd w:val="clear" w:color="auto" w:fill="FFFFFF"/>
          </w:tcPr>
          <w:p w14:paraId="73CEDE3F" w14:textId="77777777" w:rsidR="00807552" w:rsidRPr="00944200" w:rsidRDefault="00000000" w:rsidP="00F6176E">
            <w:pPr>
              <w:pStyle w:val="CETBodytext"/>
              <w:ind w:right="-1"/>
              <w:rPr>
                <w:rFonts w:cs="Arial"/>
                <w:szCs w:val="18"/>
                <w:lang w:val="en-GB"/>
              </w:rPr>
            </w:pPr>
            <m:oMathPara>
              <m:oMathParaPr>
                <m:jc m:val="left"/>
              </m:oMathParaPr>
              <m:oMath>
                <m:sSup>
                  <m:sSupPr>
                    <m:ctrlPr>
                      <w:rPr>
                        <w:rFonts w:ascii="Cambria Math" w:hAnsi="Cambria Math"/>
                        <w:i/>
                        <w:lang w:val="en-GB"/>
                      </w:rPr>
                    </m:ctrlPr>
                  </m:sSupPr>
                  <m:e>
                    <m:r>
                      <w:rPr>
                        <w:rFonts w:ascii="Cambria Math" w:hAnsi="Cambria Math"/>
                        <w:lang w:val="en-GB"/>
                      </w:rPr>
                      <m:t>10</m:t>
                    </m:r>
                  </m:e>
                  <m:sup>
                    <m:r>
                      <w:rPr>
                        <w:rFonts w:ascii="Cambria Math" w:hAnsi="Cambria Math"/>
                        <w:lang w:val="en-GB"/>
                      </w:rPr>
                      <m:t>-6</m:t>
                    </m:r>
                  </m:sup>
                </m:sSup>
                <m:r>
                  <w:rPr>
                    <w:rFonts w:ascii="Cambria Math" w:hAnsi="Cambria Math"/>
                    <w:lang w:val="en-GB"/>
                  </w:rPr>
                  <m:t>(</m:t>
                </m:r>
                <m:sSup>
                  <m:sSupPr>
                    <m:ctrlPr>
                      <w:rPr>
                        <w:rFonts w:ascii="Cambria Math" w:hAnsi="Cambria Math"/>
                        <w:i/>
                        <w:lang w:val="en-GB"/>
                      </w:rPr>
                    </m:ctrlPr>
                  </m:sSupPr>
                  <m:e>
                    <m:r>
                      <w:rPr>
                        <w:rFonts w:ascii="Cambria Math" w:hAnsi="Cambria Math"/>
                        <w:lang w:val="en-GB"/>
                      </w:rPr>
                      <m:t>10</m:t>
                    </m:r>
                  </m:e>
                  <m:sup>
                    <m:r>
                      <w:rPr>
                        <w:rFonts w:ascii="Cambria Math" w:hAnsi="Cambria Math"/>
                        <w:lang w:val="en-GB"/>
                      </w:rPr>
                      <m:t>-8</m:t>
                    </m:r>
                  </m:sup>
                </m:sSup>
                <m:sSup>
                  <m:sSupPr>
                    <m:ctrlPr>
                      <w:rPr>
                        <w:rFonts w:ascii="Cambria Math" w:hAnsi="Cambria Math"/>
                        <w:i/>
                        <w:lang w:val="en-GB"/>
                      </w:rPr>
                    </m:ctrlPr>
                  </m:sSupPr>
                  <m:e>
                    <m:sSub>
                      <m:sSubPr>
                        <m:ctrlPr>
                          <w:rPr>
                            <w:rFonts w:ascii="Cambria Math" w:hAnsi="Cambria Math"/>
                            <w:i/>
                            <w:lang w:val="en-GB"/>
                          </w:rPr>
                        </m:ctrlPr>
                      </m:sSubPr>
                      <m:e>
                        <m:r>
                          <w:rPr>
                            <w:rFonts w:ascii="Cambria Math" w:hAnsi="Cambria Math"/>
                            <w:lang w:val="en-GB"/>
                          </w:rPr>
                          <m:t>≤σ</m:t>
                        </m:r>
                      </m:e>
                      <m:sub>
                        <m:r>
                          <w:rPr>
                            <w:rFonts w:ascii="Cambria Math" w:hAnsi="Cambria Math"/>
                            <w:lang w:val="en-GB"/>
                          </w:rPr>
                          <m:t>noise</m:t>
                        </m:r>
                      </m:sub>
                    </m:sSub>
                  </m:e>
                  <m:sup>
                    <m:r>
                      <w:rPr>
                        <w:rFonts w:ascii="Cambria Math" w:hAnsi="Cambria Math"/>
                        <w:lang w:val="en-GB"/>
                      </w:rPr>
                      <m:t>2</m:t>
                    </m:r>
                  </m:sup>
                </m:sSup>
                <m:r>
                  <w:rPr>
                    <w:rFonts w:ascii="Cambria Math" w:hAnsi="Cambria Math"/>
                    <w:lang w:val="en-GB"/>
                  </w:rPr>
                  <m:t>≤</m:t>
                </m:r>
                <m:sSup>
                  <m:sSupPr>
                    <m:ctrlPr>
                      <w:rPr>
                        <w:rFonts w:ascii="Cambria Math" w:hAnsi="Cambria Math"/>
                        <w:i/>
                        <w:lang w:val="en-GB"/>
                      </w:rPr>
                    </m:ctrlPr>
                  </m:sSupPr>
                  <m:e>
                    <m:r>
                      <w:rPr>
                        <w:rFonts w:ascii="Cambria Math" w:hAnsi="Cambria Math"/>
                        <w:lang w:val="en-GB"/>
                      </w:rPr>
                      <m:t>10</m:t>
                    </m:r>
                  </m:e>
                  <m:sup>
                    <m:r>
                      <w:rPr>
                        <w:rFonts w:ascii="Cambria Math" w:hAnsi="Cambria Math"/>
                        <w:lang w:val="en-GB"/>
                      </w:rPr>
                      <m:t>-3</m:t>
                    </m:r>
                  </m:sup>
                </m:sSup>
                <m:r>
                  <w:rPr>
                    <w:rFonts w:ascii="Cambria Math" w:hAnsi="Cambria Math"/>
                    <w:lang w:val="en-GB"/>
                  </w:rPr>
                  <m:t>)</m:t>
                </m:r>
              </m:oMath>
            </m:oMathPara>
          </w:p>
        </w:tc>
        <w:tc>
          <w:tcPr>
            <w:tcW w:w="1944" w:type="dxa"/>
            <w:shd w:val="clear" w:color="auto" w:fill="FFFFFF"/>
          </w:tcPr>
          <w:p w14:paraId="623101BC" w14:textId="77777777" w:rsidR="00807552" w:rsidRPr="00B57B36" w:rsidRDefault="00807552" w:rsidP="00F6176E">
            <w:pPr>
              <w:pStyle w:val="CETBodytext"/>
              <w:ind w:right="-1"/>
              <w:rPr>
                <w:rFonts w:cs="Arial"/>
                <w:szCs w:val="18"/>
                <w:lang w:val="en-GB"/>
              </w:rPr>
            </w:pPr>
            <m:oMathPara>
              <m:oMath>
                <m:r>
                  <w:rPr>
                    <w:rFonts w:ascii="Cambria Math" w:hAnsi="Cambria Math" w:cs="Arial"/>
                    <w:szCs w:val="18"/>
                    <w:lang w:val="en-GB"/>
                  </w:rPr>
                  <m:t>WhiteKernel</m:t>
                </m:r>
              </m:oMath>
            </m:oMathPara>
          </w:p>
        </w:tc>
      </w:tr>
      <w:tr w:rsidR="00807552" w:rsidRPr="00B57B36" w14:paraId="4DCE6BB3" w14:textId="77777777" w:rsidTr="00F6176E">
        <w:trPr>
          <w:trHeight w:val="218"/>
        </w:trPr>
        <w:tc>
          <w:tcPr>
            <w:tcW w:w="3964" w:type="dxa"/>
            <w:shd w:val="clear" w:color="auto" w:fill="FFFFFF"/>
          </w:tcPr>
          <w:p w14:paraId="153685D6" w14:textId="77777777" w:rsidR="00807552" w:rsidRDefault="00807552" w:rsidP="00F6176E">
            <w:pPr>
              <w:pStyle w:val="CETBodytext"/>
              <w:ind w:right="-1"/>
              <w:rPr>
                <w:rFonts w:cs="Arial"/>
                <w:szCs w:val="18"/>
                <w:lang w:val="en-GB"/>
              </w:rPr>
            </w:pPr>
            <w:r>
              <w:rPr>
                <w:rFonts w:cs="Arial"/>
                <w:szCs w:val="18"/>
                <w:lang w:val="en-GB"/>
              </w:rPr>
              <w:t>Additional noise term</w:t>
            </w:r>
          </w:p>
        </w:tc>
        <w:tc>
          <w:tcPr>
            <w:tcW w:w="3171" w:type="dxa"/>
            <w:shd w:val="clear" w:color="auto" w:fill="FFFFFF"/>
          </w:tcPr>
          <w:p w14:paraId="67B9310A" w14:textId="77777777" w:rsidR="00807552" w:rsidRPr="00D656FB" w:rsidRDefault="00000000" w:rsidP="00F6176E">
            <w:pPr>
              <w:pStyle w:val="CETBodytext"/>
              <w:ind w:right="-1"/>
              <w:rPr>
                <w:rFonts w:cs="Arial"/>
                <w:lang w:val="en-GB"/>
              </w:rPr>
            </w:pPr>
            <m:oMathPara>
              <m:oMathParaPr>
                <m:jc m:val="left"/>
              </m:oMathParaPr>
              <m:oMath>
                <m:sSup>
                  <m:sSupPr>
                    <m:ctrlPr>
                      <w:rPr>
                        <w:rFonts w:ascii="Cambria Math" w:hAnsi="Cambria Math" w:cs="Arial"/>
                        <w:i/>
                        <w:lang w:val="en-GB"/>
                      </w:rPr>
                    </m:ctrlPr>
                  </m:sSupPr>
                  <m:e>
                    <m:r>
                      <w:rPr>
                        <w:rFonts w:ascii="Cambria Math" w:hAnsi="Cambria Math" w:cs="Arial"/>
                        <w:lang w:val="en-GB"/>
                      </w:rPr>
                      <m:t>1.85 x 10</m:t>
                    </m:r>
                  </m:e>
                  <m:sup>
                    <m:r>
                      <w:rPr>
                        <w:rFonts w:ascii="Cambria Math" w:hAnsi="Cambria Math" w:cs="Arial"/>
                        <w:lang w:val="en-GB"/>
                      </w:rPr>
                      <m:t>-7</m:t>
                    </m:r>
                  </m:sup>
                </m:sSup>
              </m:oMath>
            </m:oMathPara>
          </w:p>
        </w:tc>
        <w:tc>
          <w:tcPr>
            <w:tcW w:w="1944" w:type="dxa"/>
            <w:shd w:val="clear" w:color="auto" w:fill="FFFFFF"/>
          </w:tcPr>
          <w:p w14:paraId="469B45B8" w14:textId="77777777" w:rsidR="00807552" w:rsidRDefault="00807552" w:rsidP="00F6176E">
            <w:pPr>
              <w:pStyle w:val="CETBodytext"/>
              <w:ind w:right="-1"/>
              <w:rPr>
                <w:rFonts w:cs="Arial"/>
                <w:szCs w:val="18"/>
                <w:lang w:val="en-GB"/>
              </w:rPr>
            </w:pPr>
          </w:p>
        </w:tc>
      </w:tr>
    </w:tbl>
    <w:p w14:paraId="0306934A" w14:textId="77777777" w:rsidR="00807552" w:rsidRPr="00CB4968" w:rsidRDefault="00807552" w:rsidP="00807552">
      <w:pPr>
        <w:pStyle w:val="CETHeading1"/>
        <w:spacing w:before="0" w:after="0"/>
        <w:rPr>
          <w:b w:val="0"/>
          <w:lang w:val="en-GB"/>
        </w:rPr>
      </w:pPr>
    </w:p>
    <w:p w14:paraId="2E4D2885" w14:textId="77777777" w:rsidR="00807552" w:rsidRPr="009F4BAC" w:rsidRDefault="00807552" w:rsidP="00807552">
      <w:pPr>
        <w:pStyle w:val="CETHeading1"/>
        <w:spacing w:before="0" w:after="0"/>
        <w:rPr>
          <w:b w:val="0"/>
          <w:lang w:val="en-GB"/>
        </w:rPr>
      </w:pPr>
      <w:r w:rsidRPr="00CB4968">
        <w:rPr>
          <w:b w:val="0"/>
          <w:lang w:val="en-GB"/>
        </w:rPr>
        <w:t>3.</w:t>
      </w:r>
      <w:r>
        <w:rPr>
          <w:lang w:val="en-GB"/>
        </w:rPr>
        <w:t xml:space="preserve"> </w:t>
      </w:r>
      <w:r w:rsidRPr="003A0351">
        <w:rPr>
          <w:lang w:val="en-GB"/>
        </w:rPr>
        <w:t>R</w:t>
      </w:r>
      <w:r>
        <w:rPr>
          <w:lang w:val="en-GB"/>
        </w:rPr>
        <w:t>esults</w:t>
      </w:r>
      <w:r>
        <w:rPr>
          <w:rStyle w:val="CommentReference"/>
          <w:rFonts w:asciiTheme="minorHAnsi" w:eastAsiaTheme="minorHAnsi" w:hAnsiTheme="minorHAnsi" w:cstheme="minorBidi"/>
          <w:b w:val="0"/>
          <w:kern w:val="2"/>
          <w:lang w:val="en-GB"/>
          <w14:ligatures w14:val="standardContextual"/>
        </w:rPr>
        <w:t xml:space="preserve"> </w:t>
      </w:r>
      <w:r>
        <w:rPr>
          <w:lang w:val="en-GB"/>
        </w:rPr>
        <w:t>and Discussion</w:t>
      </w:r>
    </w:p>
    <w:p w14:paraId="6118375B" w14:textId="77777777" w:rsidR="00807552" w:rsidRPr="00FB4F26" w:rsidRDefault="00807552" w:rsidP="00807552">
      <w:pPr>
        <w:pStyle w:val="CETBodytext"/>
        <w:rPr>
          <w:b/>
        </w:rPr>
      </w:pPr>
      <w:r w:rsidRPr="00FB4F26">
        <w:t>This section discusses the performance and validation of GP1 and GP2. The simulation scenario involves training GP1 on six real experiments to design future experiments by exploring regions of high methane conversion, while evaluating uncertainty and FIM scores. It also covers methane conversion and FIM values based on GP1’s predictions, alongside the performance of both models.</w:t>
      </w:r>
    </w:p>
    <w:p w14:paraId="79108203" w14:textId="77777777" w:rsidR="00807552" w:rsidRPr="003E11AF" w:rsidRDefault="00807552" w:rsidP="00FE5AD6">
      <w:pPr>
        <w:pStyle w:val="CETheadingx"/>
      </w:pPr>
      <w:r w:rsidRPr="003E11AF">
        <w:t>3.1 Performance of GP1</w:t>
      </w:r>
    </w:p>
    <w:p w14:paraId="59AE7573" w14:textId="77777777" w:rsidR="009444C8" w:rsidRDefault="00807552" w:rsidP="009444C8">
      <w:pPr>
        <w:pStyle w:val="CETBodytext"/>
        <w:spacing w:line="278" w:lineRule="auto"/>
      </w:pPr>
      <w:r w:rsidRPr="004D6184">
        <w:rPr>
          <w:lang w:val="en-GB"/>
        </w:rPr>
        <w:t xml:space="preserve">Using the GP1–GP2 workflow, GP1 </w:t>
      </w:r>
      <w:r>
        <w:rPr>
          <w:lang w:val="en-GB"/>
        </w:rPr>
        <w:t>was used to</w:t>
      </w:r>
      <w:r w:rsidRPr="004D6184">
        <w:rPr>
          <w:lang w:val="en-GB"/>
        </w:rPr>
        <w:t xml:space="preserve"> design three </w:t>
      </w:r>
      <w:r>
        <w:rPr>
          <w:lang w:val="en-GB"/>
        </w:rPr>
        <w:t xml:space="preserve">optimal </w:t>
      </w:r>
      <w:r w:rsidRPr="004D6184">
        <w:rPr>
          <w:lang w:val="en-GB"/>
        </w:rPr>
        <w:t>experiments</w:t>
      </w:r>
      <w:r>
        <w:rPr>
          <w:lang w:val="en-GB"/>
        </w:rPr>
        <w:t xml:space="preserve"> in sequence</w:t>
      </w:r>
      <w:r w:rsidRPr="004D6184">
        <w:rPr>
          <w:lang w:val="en-GB"/>
        </w:rPr>
        <w:t>. For Experiments 1–3, the predicted conversions were 86.0%, 88.3%, and 88.3%</w:t>
      </w:r>
      <w:r>
        <w:rPr>
          <w:lang w:val="en-GB"/>
        </w:rPr>
        <w:t>. The</w:t>
      </w:r>
      <w:r w:rsidRPr="004D6184">
        <w:rPr>
          <w:lang w:val="en-GB"/>
        </w:rPr>
        <w:t xml:space="preserve"> </w:t>
      </w:r>
      <w:r>
        <w:rPr>
          <w:lang w:val="en-GB"/>
        </w:rPr>
        <w:t>inversion of GP1 provided estimated</w:t>
      </w:r>
      <w:r w:rsidRPr="004D6184">
        <w:rPr>
          <w:lang w:val="en-GB"/>
        </w:rPr>
        <w:t xml:space="preserve"> FIM scores of 1070, 1157, and 1148, respectively</w:t>
      </w:r>
      <w:r w:rsidR="00D6059C">
        <w:rPr>
          <w:lang w:val="en-GB"/>
        </w:rPr>
        <w:t xml:space="preserve"> </w:t>
      </w:r>
      <w:r w:rsidR="00D6059C" w:rsidRPr="00D6059C">
        <w:rPr>
          <w:lang w:val="en-GB"/>
        </w:rPr>
        <w:t>showing that each experiment was not only high in conversion but also valuable for improving the model by providing more information</w:t>
      </w:r>
      <w:r w:rsidRPr="004D6184">
        <w:rPr>
          <w:lang w:val="en-GB"/>
        </w:rPr>
        <w:t>. While Experiments 1 and 2 exceeded the 1% uncertainty threshold (±18.40% and ±2.27%), Experiment 3 met the stopping criterion (±0.03%)</w:t>
      </w:r>
      <w:r>
        <w:rPr>
          <w:lang w:val="en-GB"/>
        </w:rPr>
        <w:t xml:space="preserve"> – which was well below the 1% threshold.</w:t>
      </w:r>
      <w:r w:rsidRPr="004D6184">
        <w:rPr>
          <w:lang w:val="en-GB"/>
        </w:rPr>
        <w:t xml:space="preserve"> </w:t>
      </w:r>
      <w:r w:rsidRPr="008C095B">
        <w:rPr>
          <w:lang w:val="en-GB"/>
        </w:rPr>
        <w:t xml:space="preserve">The reactor conditions estimated from GP2 inversion, presented in Table </w:t>
      </w:r>
      <w:r>
        <w:rPr>
          <w:lang w:val="en-GB"/>
        </w:rPr>
        <w:t>4</w:t>
      </w:r>
      <w:r w:rsidRPr="008C095B">
        <w:rPr>
          <w:lang w:val="en-GB"/>
        </w:rPr>
        <w:t>, show</w:t>
      </w:r>
      <w:r>
        <w:rPr>
          <w:lang w:val="en-GB"/>
        </w:rPr>
        <w:t>ed</w:t>
      </w:r>
      <w:r w:rsidRPr="008C095B">
        <w:rPr>
          <w:lang w:val="en-GB"/>
        </w:rPr>
        <w:t xml:space="preserve"> consistent convergence within the design space</w:t>
      </w:r>
      <w:r>
        <w:rPr>
          <w:lang w:val="en-GB"/>
        </w:rPr>
        <w:t>, this suggests that the model consistently identified region with optimal and informative condition</w:t>
      </w:r>
      <w:r w:rsidRPr="008C095B">
        <w:rPr>
          <w:lang w:val="en-GB"/>
        </w:rPr>
        <w:t>.</w:t>
      </w:r>
      <w:r w:rsidRPr="00A5683D">
        <w:t xml:space="preserve"> Figure </w:t>
      </w:r>
      <w:r>
        <w:t>2</w:t>
      </w:r>
      <w:r w:rsidRPr="00A5683D">
        <w:t xml:space="preserve">a shows how GP1 captures a clear trend between FIM </w:t>
      </w:r>
      <w:r>
        <w:t>score</w:t>
      </w:r>
      <w:r w:rsidRPr="00A5683D">
        <w:t>s and predicted methane conversion,</w:t>
      </w:r>
      <w:r>
        <w:t xml:space="preserve"> as FIM score increases, so also conversion,</w:t>
      </w:r>
      <w:r w:rsidRPr="00A5683D">
        <w:t xml:space="preserve"> particularly in the 1000-1200 FIM range where conversions exceed 86%. Corresponding predictive uncertainties show a sharp decline with increasing FIM values from ±18.40% to ±0.03% as seen in 86.0 ± 18.40, 88.3 ± 2.27, and 88.3 ± 0.03. </w:t>
      </w:r>
      <w:r w:rsidRPr="005C277E">
        <w:rPr>
          <w:rFonts w:ascii="Inter" w:eastAsiaTheme="minorHAnsi" w:hAnsi="Inter" w:cstheme="minorBidi"/>
          <w:color w:val="404040"/>
          <w:kern w:val="2"/>
          <w:sz w:val="24"/>
          <w:szCs w:val="24"/>
          <w:shd w:val="clear" w:color="auto" w:fill="FFFFFF"/>
          <w:lang w:val="en-GB"/>
          <w14:ligatures w14:val="standardContextual"/>
        </w:rPr>
        <w:t xml:space="preserve"> </w:t>
      </w:r>
      <w:r w:rsidRPr="005C277E">
        <w:rPr>
          <w:lang w:val="en-GB"/>
        </w:rPr>
        <w:t xml:space="preserve">The sharp uncertainty reduction (from ±18.40% to ±0.03%) occurs because the optimized GP1 preferentially sampled high-conversion regions where the Fisher information content was </w:t>
      </w:r>
      <w:r>
        <w:rPr>
          <w:lang w:val="en-GB"/>
        </w:rPr>
        <w:t>the highest</w:t>
      </w:r>
      <w:r w:rsidRPr="005C277E">
        <w:rPr>
          <w:lang w:val="en-GB"/>
        </w:rPr>
        <w:t xml:space="preserve">, leading to progressively more confident predictions </w:t>
      </w:r>
      <w:r>
        <w:rPr>
          <w:lang w:val="en-GB"/>
        </w:rPr>
        <w:t>after</w:t>
      </w:r>
      <w:r w:rsidRPr="005C277E">
        <w:rPr>
          <w:lang w:val="en-GB"/>
        </w:rPr>
        <w:t xml:space="preserve"> each iteration</w:t>
      </w:r>
      <w:r>
        <w:rPr>
          <w:lang w:val="en-GB"/>
        </w:rPr>
        <w:t xml:space="preserve">.  </w:t>
      </w:r>
      <w:r w:rsidRPr="00A5683D">
        <w:t xml:space="preserve">Figure </w:t>
      </w:r>
      <w:r>
        <w:t>2</w:t>
      </w:r>
      <w:r w:rsidRPr="00A5683D">
        <w:t xml:space="preserve">b </w:t>
      </w:r>
      <w:r>
        <w:t xml:space="preserve">further </w:t>
      </w:r>
      <w:r w:rsidRPr="00A5683D">
        <w:t>describes the GP model's tendency to yield lower uncertainty near informative, well-sampled regions. While promising, this correlation should be further validated in more complex reaction systems to confirm its general applicability</w:t>
      </w:r>
      <w:r w:rsidRPr="00EA0D0D">
        <w:t xml:space="preserve">. </w:t>
      </w:r>
    </w:p>
    <w:p w14:paraId="260355C7" w14:textId="3AEE0E7C" w:rsidR="00807552" w:rsidRPr="009444C8" w:rsidRDefault="00807552" w:rsidP="009444C8">
      <w:pPr>
        <w:pStyle w:val="CETBodytext"/>
        <w:spacing w:line="278" w:lineRule="auto"/>
        <w:rPr>
          <w:b/>
          <w:bCs/>
        </w:rPr>
      </w:pPr>
      <w:r w:rsidRPr="009444C8">
        <w:rPr>
          <w:b/>
          <w:bCs/>
        </w:rPr>
        <w:t>3.2 GP1 Validation with In-silico Experiments</w:t>
      </w:r>
    </w:p>
    <w:p w14:paraId="68FE6E56" w14:textId="77777777" w:rsidR="00807552" w:rsidRDefault="00807552" w:rsidP="00807552">
      <w:pPr>
        <w:pStyle w:val="CETBodytext"/>
      </w:pPr>
      <w:r w:rsidRPr="00807552">
        <w:t xml:space="preserve">The predictions from GP1 were validated using in silico experiments, confirming alignment between model outputs and simulated results. Figure 3 illustrates how the predicted methane conversions and FIM scores from GP1 closely </w:t>
      </w:r>
      <w:r w:rsidRPr="00807552">
        <w:lastRenderedPageBreak/>
        <w:t>matched the corresponding in silico values. For Experiments 1, 2, and 3, GP1 estimated FIM scores of 1070, 1157, and 1149, while the in-silico values were 1339, 1595, and 1572, respectively. A similar trend was observed in conversion outcomes, supporting the reliability of the model, the predicted conversions were 86.0%, 88.3%, and 88.3%, compared to in silico conversions of 93.3%, 89.5%, and 89.9%. This consistency supports the reliability of the integrated GP1–GP2 modelling framework in guiding experimental optimization, even across different prediction and validation stages</w:t>
      </w:r>
      <w:r>
        <w:t>.</w:t>
      </w:r>
    </w:p>
    <w:p w14:paraId="03DBB82E" w14:textId="777A7850" w:rsidR="00807552" w:rsidRPr="00A45F7A" w:rsidRDefault="00807552" w:rsidP="00807552">
      <w:pPr>
        <w:pStyle w:val="CETCaption"/>
        <w:spacing w:before="0" w:after="0" w:line="278" w:lineRule="auto"/>
        <w:rPr>
          <w:i w:val="0"/>
        </w:rPr>
      </w:pPr>
      <w:r w:rsidRPr="00E16067">
        <w:rPr>
          <w:iCs/>
          <w:szCs w:val="18"/>
        </w:rPr>
        <w:object w:dxaOrig="15437" w:dyaOrig="11815" w14:anchorId="3841ED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2pt;height:174.3pt" o:ole="">
            <v:imagedata r:id="rId13" o:title=""/>
          </v:shape>
          <o:OLEObject Type="Embed" ProgID="Origin95.Graph" ShapeID="_x0000_i1025" DrawAspect="Content" ObjectID="_1813783700" r:id="rId14"/>
        </w:object>
      </w:r>
      <w:r w:rsidR="0080503E">
        <w:rPr>
          <w:noProof/>
        </w:rPr>
        <w:object w:dxaOrig="15437" w:dyaOrig="11815" w14:anchorId="5437EFD7">
          <v:shape id="_x0000_i1026" type="#_x0000_t75" style="width:219.2pt;height:173.25pt" o:ole="">
            <v:imagedata r:id="rId15" o:title=""/>
          </v:shape>
          <o:OLEObject Type="Embed" ProgID="Origin95.Graph" ShapeID="_x0000_i1026" DrawAspect="Content" ObjectID="_1813783701" r:id="rId16"/>
        </w:object>
      </w:r>
    </w:p>
    <w:p w14:paraId="1F357582" w14:textId="77777777" w:rsidR="00807552" w:rsidRDefault="00807552" w:rsidP="00807552">
      <w:pPr>
        <w:pStyle w:val="CETCaption"/>
        <w:spacing w:before="0" w:after="0"/>
        <w:jc w:val="center"/>
      </w:pPr>
      <w:r w:rsidRPr="003E11AF">
        <w:rPr>
          <w:b/>
          <w:bCs/>
        </w:rPr>
        <w:t xml:space="preserve">Figure </w:t>
      </w:r>
      <w:r>
        <w:rPr>
          <w:b/>
          <w:bCs/>
        </w:rPr>
        <w:t>2</w:t>
      </w:r>
      <w:r>
        <w:t>:</w:t>
      </w:r>
      <w:r w:rsidRPr="00F0513F">
        <w:t xml:space="preserve"> (a) </w:t>
      </w:r>
      <w:r w:rsidRPr="00947FF5">
        <w:t xml:space="preserve">GP-predicted conversions for Experiments 1-3 (colour bar: absolute FIM </w:t>
      </w:r>
      <w:r>
        <w:t>score</w:t>
      </w:r>
      <w:r w:rsidRPr="00947FF5">
        <w:t xml:space="preserve">s). (b) Corresponding predicted uncertainties, showing inverse relationship with FIM </w:t>
      </w:r>
      <w:r>
        <w:t>score</w:t>
      </w:r>
      <w:r w:rsidRPr="00947FF5">
        <w:t>s (a</w:t>
      </w:r>
      <w:r>
        <w:t>s repor</w:t>
      </w:r>
      <w:r w:rsidRPr="00947FF5">
        <w:t>ted)</w:t>
      </w:r>
      <w:r>
        <w:t>.</w:t>
      </w:r>
      <w:r>
        <w:rPr>
          <w:noProof/>
        </w:rPr>
        <w:object w:dxaOrig="15437" w:dyaOrig="11815" w14:anchorId="00F8F668">
          <v:shape id="_x0000_i1027" type="#_x0000_t75" style="width:239.15pt;height:169.65pt" o:ole="">
            <v:imagedata r:id="rId17" o:title=""/>
          </v:shape>
          <o:OLEObject Type="Embed" ProgID="Origin95.Graph" ShapeID="_x0000_i1027" DrawAspect="Content" ObjectID="_1813783702" r:id="rId18"/>
        </w:object>
      </w:r>
    </w:p>
    <w:p w14:paraId="60E9C9ED" w14:textId="77777777" w:rsidR="00807552" w:rsidRDefault="00807552" w:rsidP="00807552">
      <w:pPr>
        <w:pStyle w:val="CETCaption"/>
        <w:spacing w:before="0" w:after="0" w:line="240" w:lineRule="auto"/>
      </w:pPr>
      <w:r w:rsidRPr="00D05265">
        <w:rPr>
          <w:b/>
          <w:bCs/>
        </w:rPr>
        <w:t xml:space="preserve">Figure </w:t>
      </w:r>
      <w:r>
        <w:rPr>
          <w:b/>
          <w:bCs/>
        </w:rPr>
        <w:t>3</w:t>
      </w:r>
      <w:r>
        <w:t>:</w:t>
      </w:r>
      <w:r w:rsidRPr="00D05265">
        <w:t xml:space="preserve"> </w:t>
      </w:r>
      <w:r w:rsidRPr="0020230A">
        <w:t xml:space="preserve">Comparison of </w:t>
      </w:r>
      <w:r>
        <w:t>FIM score</w:t>
      </w:r>
      <w:r w:rsidRPr="0020230A">
        <w:t>s predicted by GP</w:t>
      </w:r>
      <w:r>
        <w:t>1</w:t>
      </w:r>
      <w:r w:rsidRPr="0020230A">
        <w:t xml:space="preserve"> and validated through in silico experiments for </w:t>
      </w:r>
      <w:r>
        <w:t>e</w:t>
      </w:r>
      <w:r w:rsidRPr="0020230A">
        <w:t xml:space="preserve">xperiments </w:t>
      </w:r>
      <w:r>
        <w:t>1</w:t>
      </w:r>
      <w:r w:rsidRPr="0020230A">
        <w:t>–</w:t>
      </w:r>
      <w:r>
        <w:t>3</w:t>
      </w:r>
      <w:r w:rsidRPr="0020230A">
        <w:t>. The bar chart shows GP</w:t>
      </w:r>
      <w:r>
        <w:t>1</w:t>
      </w:r>
      <w:r w:rsidRPr="0020230A">
        <w:t xml:space="preserve">-predicted FIM scores (orange) alongside their corresponding in silico values (green). Methane conversion percentages are </w:t>
      </w:r>
      <w:r>
        <w:t>report</w:t>
      </w:r>
      <w:r w:rsidRPr="0020230A">
        <w:t>ed above each bar</w:t>
      </w:r>
      <w:r>
        <w:t>.</w:t>
      </w:r>
    </w:p>
    <w:p w14:paraId="03F470CD" w14:textId="77777777" w:rsidR="00807552" w:rsidRDefault="00807552" w:rsidP="00807552">
      <w:pPr>
        <w:pStyle w:val="CETCaption"/>
        <w:spacing w:before="0" w:after="0" w:line="240" w:lineRule="auto"/>
      </w:pPr>
    </w:p>
    <w:p w14:paraId="53982AEF" w14:textId="77777777" w:rsidR="00807552" w:rsidRDefault="00807552" w:rsidP="00807552">
      <w:pPr>
        <w:pStyle w:val="CETCaption"/>
        <w:spacing w:before="0" w:after="0" w:line="240" w:lineRule="auto"/>
      </w:pPr>
      <w:r w:rsidRPr="0081680A">
        <w:rPr>
          <w:b/>
          <w:bCs/>
        </w:rPr>
        <w:t>Table 4</w:t>
      </w:r>
      <w:r>
        <w:t>:</w:t>
      </w:r>
      <w:r w:rsidRPr="002E0BF7">
        <w:t xml:space="preserve"> </w:t>
      </w:r>
      <w:r>
        <w:t>Predicted Reactor Conditions using Integrated Workflow of GP1 and GP2. Conversion in percentage (%)</w:t>
      </w:r>
    </w:p>
    <w:tbl>
      <w:tblPr>
        <w:tblW w:w="9494"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419"/>
        <w:gridCol w:w="837"/>
        <w:gridCol w:w="838"/>
        <w:gridCol w:w="977"/>
        <w:gridCol w:w="1536"/>
        <w:gridCol w:w="1397"/>
        <w:gridCol w:w="1256"/>
        <w:gridCol w:w="1117"/>
        <w:gridCol w:w="1117"/>
      </w:tblGrid>
      <w:tr w:rsidR="00807552" w:rsidRPr="00B57B36" w14:paraId="5E38B1AD" w14:textId="77777777" w:rsidTr="00F6176E">
        <w:trPr>
          <w:trHeight w:val="461"/>
        </w:trPr>
        <w:tc>
          <w:tcPr>
            <w:tcW w:w="419" w:type="dxa"/>
            <w:tcBorders>
              <w:top w:val="single" w:sz="12" w:space="0" w:color="008000"/>
              <w:bottom w:val="single" w:sz="6" w:space="0" w:color="008000"/>
            </w:tcBorders>
            <w:shd w:val="clear" w:color="auto" w:fill="FFFFFF"/>
          </w:tcPr>
          <w:p w14:paraId="0FB3F116" w14:textId="77777777" w:rsidR="00807552" w:rsidRPr="00B57B36" w:rsidRDefault="00807552" w:rsidP="00F6176E">
            <w:pPr>
              <w:pStyle w:val="CETBodytext"/>
              <w:jc w:val="center"/>
              <w:rPr>
                <w:lang w:val="en-GB"/>
              </w:rPr>
            </w:pPr>
            <w:proofErr w:type="spellStart"/>
            <w:r>
              <w:rPr>
                <w:lang w:val="en-GB"/>
              </w:rPr>
              <w:t>PredExp</w:t>
            </w:r>
            <w:proofErr w:type="spellEnd"/>
          </w:p>
        </w:tc>
        <w:tc>
          <w:tcPr>
            <w:tcW w:w="837" w:type="dxa"/>
            <w:tcBorders>
              <w:top w:val="single" w:sz="12" w:space="0" w:color="008000"/>
              <w:bottom w:val="single" w:sz="6" w:space="0" w:color="008000"/>
            </w:tcBorders>
            <w:shd w:val="clear" w:color="auto" w:fill="FFFFFF"/>
          </w:tcPr>
          <w:p w14:paraId="05349FCE" w14:textId="77777777" w:rsidR="00807552" w:rsidRDefault="00807552" w:rsidP="00F6176E">
            <w:pPr>
              <w:pStyle w:val="CETBodytext"/>
              <w:jc w:val="center"/>
              <w:rPr>
                <w:lang w:val="en-GB"/>
              </w:rPr>
            </w:pPr>
            <w:r>
              <w:rPr>
                <w:lang w:val="en-GB"/>
              </w:rPr>
              <w:t>Temp</w:t>
            </w:r>
          </w:p>
          <w:p w14:paraId="4EE347E6" w14:textId="77777777" w:rsidR="00807552" w:rsidRPr="00B57B36" w:rsidRDefault="00807552" w:rsidP="00F6176E">
            <w:pPr>
              <w:pStyle w:val="CETBodytext"/>
              <w:jc w:val="center"/>
              <w:rPr>
                <w:lang w:val="en-GB"/>
              </w:rPr>
            </w:pPr>
            <m:oMathPara>
              <m:oMath>
                <m:r>
                  <m:rPr>
                    <m:sty m:val="p"/>
                  </m:rPr>
                  <w:rPr>
                    <w:rFonts w:ascii="Cambria Math" w:hAnsi="Cambria Math"/>
                  </w:rPr>
                  <m:t>℃</m:t>
                </m:r>
              </m:oMath>
            </m:oMathPara>
          </w:p>
        </w:tc>
        <w:tc>
          <w:tcPr>
            <w:tcW w:w="838" w:type="dxa"/>
            <w:tcBorders>
              <w:top w:val="single" w:sz="12" w:space="0" w:color="008000"/>
              <w:bottom w:val="single" w:sz="6" w:space="0" w:color="008000"/>
            </w:tcBorders>
            <w:shd w:val="clear" w:color="auto" w:fill="FFFFFF"/>
          </w:tcPr>
          <w:p w14:paraId="004A26E3" w14:textId="77777777" w:rsidR="00807552" w:rsidRPr="00B57B36" w:rsidRDefault="00807552" w:rsidP="00F6176E">
            <w:pPr>
              <w:pStyle w:val="CETBodytext"/>
              <w:rPr>
                <w:lang w:val="en-GB"/>
              </w:rPr>
            </w:pPr>
            <w:r>
              <w:rPr>
                <w:lang w:val="en-GB"/>
              </w:rPr>
              <w:t>Mass flow</w:t>
            </w:r>
            <w:r>
              <w:rPr>
                <w:lang w:val="en-GB"/>
              </w:rPr>
              <w:br/>
              <w:t>(mL/min)</w:t>
            </w:r>
          </w:p>
        </w:tc>
        <w:tc>
          <w:tcPr>
            <w:tcW w:w="977" w:type="dxa"/>
            <w:tcBorders>
              <w:top w:val="single" w:sz="12" w:space="0" w:color="008000"/>
              <w:bottom w:val="single" w:sz="6" w:space="0" w:color="008000"/>
            </w:tcBorders>
            <w:shd w:val="clear" w:color="auto" w:fill="FFFFFF"/>
          </w:tcPr>
          <w:p w14:paraId="37C28E42" w14:textId="77777777" w:rsidR="00807552" w:rsidRPr="00C96356" w:rsidRDefault="00000000" w:rsidP="00F6176E">
            <w:pPr>
              <w:pStyle w:val="CETBodytext"/>
              <w:jc w:val="center"/>
              <w:rPr>
                <w:lang w:val="it-IT"/>
              </w:rPr>
            </w:pPr>
            <m:oMath>
              <m:sSub>
                <m:sSubPr>
                  <m:ctrlPr>
                    <w:rPr>
                      <w:rFonts w:ascii="Cambria Math" w:hAnsi="Cambria Math"/>
                      <w:lang w:val="en-GB"/>
                    </w:rPr>
                  </m:ctrlPr>
                </m:sSubPr>
                <m:e>
                  <m:r>
                    <w:rPr>
                      <w:rFonts w:ascii="Cambria Math" w:hAnsi="Cambria Math"/>
                      <w:lang w:val="en-GB"/>
                    </w:rPr>
                    <m:t>O</m:t>
                  </m:r>
                </m:e>
                <m:sub>
                  <m:r>
                    <m:rPr>
                      <m:sty m:val="p"/>
                    </m:rPr>
                    <w:rPr>
                      <w:rFonts w:ascii="Cambria Math" w:hAnsi="Cambria Math"/>
                      <w:lang w:val="it-IT"/>
                    </w:rPr>
                    <m:t>2</m:t>
                  </m:r>
                </m:sub>
              </m:sSub>
            </m:oMath>
            <w:r w:rsidR="00807552" w:rsidRPr="00C96356">
              <w:rPr>
                <w:lang w:val="it-IT"/>
              </w:rPr>
              <w:t>/</w:t>
            </w:r>
            <m:oMath>
              <m:sSub>
                <m:sSubPr>
                  <m:ctrlPr>
                    <w:rPr>
                      <w:rFonts w:ascii="Cambria Math" w:hAnsi="Cambria Math"/>
                      <w:lang w:val="en-GB"/>
                    </w:rPr>
                  </m:ctrlPr>
                </m:sSubPr>
                <m:e>
                  <m:r>
                    <w:rPr>
                      <w:rFonts w:ascii="Cambria Math" w:hAnsi="Cambria Math"/>
                      <w:lang w:val="en-GB"/>
                    </w:rPr>
                    <m:t>CH</m:t>
                  </m:r>
                </m:e>
                <m:sub>
                  <m:r>
                    <m:rPr>
                      <m:sty m:val="p"/>
                    </m:rPr>
                    <w:rPr>
                      <w:rFonts w:ascii="Cambria Math" w:hAnsi="Cambria Math"/>
                      <w:lang w:val="it-IT"/>
                    </w:rPr>
                    <m:t>4</m:t>
                  </m:r>
                </m:sub>
              </m:sSub>
            </m:oMath>
            <w:r w:rsidR="00807552" w:rsidRPr="00C96356">
              <w:rPr>
                <w:lang w:val="it-IT"/>
              </w:rPr>
              <w:t xml:space="preserve"> Ratio</w:t>
            </w:r>
            <w:r w:rsidR="00807552" w:rsidRPr="00C96356">
              <w:rPr>
                <w:lang w:val="it-IT"/>
              </w:rPr>
              <w:br/>
              <w:t>(mol/mol)</w:t>
            </w:r>
          </w:p>
        </w:tc>
        <w:tc>
          <w:tcPr>
            <w:tcW w:w="1536" w:type="dxa"/>
            <w:tcBorders>
              <w:top w:val="single" w:sz="12" w:space="0" w:color="008000"/>
              <w:bottom w:val="single" w:sz="6" w:space="0" w:color="008000"/>
            </w:tcBorders>
            <w:shd w:val="clear" w:color="auto" w:fill="FFFFFF"/>
          </w:tcPr>
          <w:p w14:paraId="3DD851DF" w14:textId="77777777" w:rsidR="00807552" w:rsidRDefault="00807552" w:rsidP="00F6176E">
            <w:pPr>
              <w:pStyle w:val="CETBodytext"/>
              <w:jc w:val="center"/>
              <w:rPr>
                <w:lang w:val="en-GB"/>
              </w:rPr>
            </w:pPr>
            <w:r>
              <w:rPr>
                <w:lang w:val="en-GB"/>
              </w:rPr>
              <w:t xml:space="preserve">Inlet </w:t>
            </w:r>
            <m:oMath>
              <m:sSub>
                <m:sSubPr>
                  <m:ctrlPr>
                    <w:rPr>
                      <w:rFonts w:ascii="Cambria Math" w:hAnsi="Cambria Math"/>
                      <w:lang w:val="en-GB"/>
                    </w:rPr>
                  </m:ctrlPr>
                </m:sSubPr>
                <m:e>
                  <m:r>
                    <w:rPr>
                      <w:rFonts w:ascii="Cambria Math" w:hAnsi="Cambria Math"/>
                      <w:lang w:val="en-GB"/>
                    </w:rPr>
                    <m:t>CH</m:t>
                  </m:r>
                </m:e>
                <m:sub>
                  <m:r>
                    <m:rPr>
                      <m:sty m:val="p"/>
                    </m:rPr>
                    <w:rPr>
                      <w:rFonts w:ascii="Cambria Math" w:hAnsi="Cambria Math"/>
                      <w:lang w:val="it-IT"/>
                    </w:rPr>
                    <m:t>4</m:t>
                  </m:r>
                </m:sub>
              </m:sSub>
            </m:oMath>
          </w:p>
          <w:p w14:paraId="2EC99C59" w14:textId="77777777" w:rsidR="00807552" w:rsidRDefault="00807552" w:rsidP="00F6176E">
            <w:pPr>
              <w:pStyle w:val="CETBodytext"/>
              <w:jc w:val="center"/>
              <w:rPr>
                <w:lang w:val="en-GB"/>
              </w:rPr>
            </w:pPr>
            <w:r>
              <w:rPr>
                <w:lang w:val="en-GB"/>
              </w:rPr>
              <w:t>Concentration</w:t>
            </w:r>
            <w:r>
              <w:rPr>
                <w:lang w:val="en-GB"/>
              </w:rPr>
              <w:br/>
              <w:t>(mol/mol)</w:t>
            </w:r>
          </w:p>
        </w:tc>
        <w:tc>
          <w:tcPr>
            <w:tcW w:w="1397" w:type="dxa"/>
            <w:tcBorders>
              <w:top w:val="single" w:sz="12" w:space="0" w:color="008000"/>
              <w:bottom w:val="single" w:sz="6" w:space="0" w:color="008000"/>
            </w:tcBorders>
            <w:shd w:val="clear" w:color="auto" w:fill="FFFFFF"/>
          </w:tcPr>
          <w:p w14:paraId="077FCEFD" w14:textId="77777777" w:rsidR="00807552" w:rsidRDefault="00807552" w:rsidP="00F6176E">
            <w:pPr>
              <w:pStyle w:val="CETBodytext"/>
              <w:jc w:val="center"/>
              <w:rPr>
                <w:lang w:val="en-GB"/>
              </w:rPr>
            </w:pPr>
            <w:r>
              <w:rPr>
                <w:lang w:val="en-GB"/>
              </w:rPr>
              <w:t xml:space="preserve">FIM scores </w:t>
            </w:r>
            <w:r>
              <w:rPr>
                <w:lang w:val="en-GB"/>
              </w:rPr>
              <w:br/>
              <w:t>(GP)</w:t>
            </w:r>
          </w:p>
        </w:tc>
        <w:tc>
          <w:tcPr>
            <w:tcW w:w="1256" w:type="dxa"/>
            <w:tcBorders>
              <w:top w:val="single" w:sz="12" w:space="0" w:color="008000"/>
              <w:bottom w:val="single" w:sz="6" w:space="0" w:color="008000"/>
            </w:tcBorders>
            <w:shd w:val="clear" w:color="auto" w:fill="FFFFFF"/>
          </w:tcPr>
          <w:p w14:paraId="4D346C6B" w14:textId="77777777" w:rsidR="00807552" w:rsidRDefault="00807552" w:rsidP="00F6176E">
            <w:pPr>
              <w:pStyle w:val="CETBodytext"/>
              <w:jc w:val="center"/>
              <w:rPr>
                <w:lang w:val="en-GB"/>
              </w:rPr>
            </w:pPr>
            <w:r>
              <w:rPr>
                <w:lang w:val="en-GB"/>
              </w:rPr>
              <w:t xml:space="preserve">FIM scores </w:t>
            </w:r>
            <w:r>
              <w:rPr>
                <w:lang w:val="en-GB"/>
              </w:rPr>
              <w:br/>
              <w:t>(</w:t>
            </w:r>
            <w:r w:rsidRPr="004F027D">
              <w:rPr>
                <w:lang w:val="en-GB"/>
              </w:rPr>
              <w:t>in</w:t>
            </w:r>
            <w:r>
              <w:rPr>
                <w:lang w:val="en-GB"/>
              </w:rPr>
              <w:t xml:space="preserve"> silico)</w:t>
            </w:r>
          </w:p>
        </w:tc>
        <w:tc>
          <w:tcPr>
            <w:tcW w:w="1117" w:type="dxa"/>
            <w:tcBorders>
              <w:top w:val="single" w:sz="12" w:space="0" w:color="008000"/>
              <w:bottom w:val="single" w:sz="6" w:space="0" w:color="008000"/>
            </w:tcBorders>
            <w:shd w:val="clear" w:color="auto" w:fill="FFFFFF"/>
          </w:tcPr>
          <w:p w14:paraId="6F301AA9" w14:textId="77777777" w:rsidR="00807552" w:rsidRDefault="00807552" w:rsidP="00F6176E">
            <w:pPr>
              <w:pStyle w:val="CETBodytext"/>
              <w:jc w:val="center"/>
              <w:rPr>
                <w:lang w:val="en-GB"/>
              </w:rPr>
            </w:pPr>
            <w:r>
              <w:rPr>
                <w:lang w:val="en-GB"/>
              </w:rPr>
              <w:t>GP predicted Methane Conversion</w:t>
            </w:r>
            <w:r>
              <w:rPr>
                <w:lang w:val="en-GB"/>
              </w:rPr>
              <w:br/>
            </w:r>
          </w:p>
        </w:tc>
        <w:tc>
          <w:tcPr>
            <w:tcW w:w="1117" w:type="dxa"/>
            <w:tcBorders>
              <w:top w:val="single" w:sz="12" w:space="0" w:color="008000"/>
              <w:bottom w:val="single" w:sz="6" w:space="0" w:color="008000"/>
            </w:tcBorders>
            <w:shd w:val="clear" w:color="auto" w:fill="FFFFFF"/>
          </w:tcPr>
          <w:p w14:paraId="237BC4C6" w14:textId="77777777" w:rsidR="00807552" w:rsidRDefault="00807552" w:rsidP="00F6176E">
            <w:pPr>
              <w:pStyle w:val="CETBodytext"/>
              <w:jc w:val="center"/>
              <w:rPr>
                <w:lang w:val="en-GB"/>
              </w:rPr>
            </w:pPr>
            <w:r>
              <w:rPr>
                <w:lang w:val="en-GB"/>
              </w:rPr>
              <w:t>In-silico Methane Conversion</w:t>
            </w:r>
            <w:r>
              <w:rPr>
                <w:lang w:val="en-GB"/>
              </w:rPr>
              <w:br/>
            </w:r>
          </w:p>
        </w:tc>
      </w:tr>
      <w:tr w:rsidR="00807552" w:rsidRPr="00B57B36" w14:paraId="3F8AD249" w14:textId="77777777" w:rsidTr="00F6176E">
        <w:trPr>
          <w:trHeight w:val="229"/>
        </w:trPr>
        <w:tc>
          <w:tcPr>
            <w:tcW w:w="419" w:type="dxa"/>
            <w:shd w:val="clear" w:color="auto" w:fill="FFFFFF"/>
          </w:tcPr>
          <w:p w14:paraId="40051A35" w14:textId="77777777" w:rsidR="00807552" w:rsidRPr="00B57B36" w:rsidRDefault="00807552" w:rsidP="00F6176E">
            <w:pPr>
              <w:pStyle w:val="CETBodytext"/>
              <w:jc w:val="center"/>
              <w:rPr>
                <w:lang w:val="en-GB"/>
              </w:rPr>
            </w:pPr>
            <w:r>
              <w:rPr>
                <w:lang w:val="en-GB"/>
              </w:rPr>
              <w:t>1</w:t>
            </w:r>
          </w:p>
        </w:tc>
        <w:tc>
          <w:tcPr>
            <w:tcW w:w="837" w:type="dxa"/>
            <w:shd w:val="clear" w:color="auto" w:fill="FFFFFF"/>
          </w:tcPr>
          <w:p w14:paraId="1ECB2D5C" w14:textId="77777777" w:rsidR="00807552" w:rsidRPr="00B57B36" w:rsidRDefault="00807552" w:rsidP="00F6176E">
            <w:pPr>
              <w:pStyle w:val="CETBodytext"/>
              <w:jc w:val="center"/>
              <w:rPr>
                <w:lang w:val="en-GB"/>
              </w:rPr>
            </w:pPr>
            <w:r>
              <w:rPr>
                <w:lang w:val="en-GB"/>
              </w:rPr>
              <w:t>347.9</w:t>
            </w:r>
          </w:p>
        </w:tc>
        <w:tc>
          <w:tcPr>
            <w:tcW w:w="838" w:type="dxa"/>
            <w:shd w:val="clear" w:color="auto" w:fill="FFFFFF"/>
          </w:tcPr>
          <w:p w14:paraId="7397EE8C" w14:textId="77777777" w:rsidR="00807552" w:rsidRPr="00B57B36" w:rsidRDefault="00807552" w:rsidP="00F6176E">
            <w:pPr>
              <w:pStyle w:val="CETBodytext"/>
              <w:jc w:val="center"/>
              <w:rPr>
                <w:lang w:val="en-GB"/>
              </w:rPr>
            </w:pPr>
            <w:r>
              <w:rPr>
                <w:lang w:val="en-GB"/>
              </w:rPr>
              <w:t>20.6</w:t>
            </w:r>
          </w:p>
        </w:tc>
        <w:tc>
          <w:tcPr>
            <w:tcW w:w="977" w:type="dxa"/>
            <w:shd w:val="clear" w:color="auto" w:fill="FFFFFF"/>
          </w:tcPr>
          <w:p w14:paraId="26A75FAE" w14:textId="77777777" w:rsidR="00807552" w:rsidRDefault="00807552" w:rsidP="00F6176E">
            <w:pPr>
              <w:pStyle w:val="CETBodytext"/>
              <w:jc w:val="center"/>
              <w:rPr>
                <w:rFonts w:cs="Arial"/>
                <w:lang w:val="en-GB"/>
              </w:rPr>
            </w:pPr>
            <w:r w:rsidRPr="004F027D">
              <w:rPr>
                <w:lang w:val="en-GB"/>
              </w:rPr>
              <w:t>2.19</w:t>
            </w:r>
          </w:p>
        </w:tc>
        <w:tc>
          <w:tcPr>
            <w:tcW w:w="1536" w:type="dxa"/>
            <w:shd w:val="clear" w:color="auto" w:fill="FFFFFF"/>
          </w:tcPr>
          <w:p w14:paraId="7E0E628F" w14:textId="77777777" w:rsidR="00807552" w:rsidRDefault="00807552" w:rsidP="00F6176E">
            <w:pPr>
              <w:pStyle w:val="CETBodytext"/>
              <w:jc w:val="center"/>
              <w:rPr>
                <w:rFonts w:cs="Arial"/>
                <w:lang w:val="en-GB"/>
              </w:rPr>
            </w:pPr>
            <w:r w:rsidRPr="004F027D">
              <w:rPr>
                <w:lang w:val="en-GB"/>
              </w:rPr>
              <w:t>0.023</w:t>
            </w:r>
          </w:p>
        </w:tc>
        <w:tc>
          <w:tcPr>
            <w:tcW w:w="1397" w:type="dxa"/>
            <w:shd w:val="clear" w:color="auto" w:fill="FFFFFF"/>
          </w:tcPr>
          <w:p w14:paraId="08E80BAD" w14:textId="77777777" w:rsidR="00807552" w:rsidRDefault="00807552" w:rsidP="00F6176E">
            <w:pPr>
              <w:pStyle w:val="CETBodytext"/>
              <w:jc w:val="center"/>
              <w:rPr>
                <w:rFonts w:cs="Arial"/>
                <w:lang w:val="en-GB"/>
              </w:rPr>
            </w:pPr>
            <w:r>
              <w:rPr>
                <w:rFonts w:cs="Arial"/>
                <w:lang w:val="en-GB"/>
              </w:rPr>
              <w:t>1070</w:t>
            </w:r>
          </w:p>
        </w:tc>
        <w:tc>
          <w:tcPr>
            <w:tcW w:w="1256" w:type="dxa"/>
            <w:shd w:val="clear" w:color="auto" w:fill="FFFFFF"/>
          </w:tcPr>
          <w:p w14:paraId="4914ABE9" w14:textId="77777777" w:rsidR="00807552" w:rsidRDefault="00807552" w:rsidP="00F6176E">
            <w:pPr>
              <w:pStyle w:val="CETBodytext"/>
              <w:jc w:val="center"/>
              <w:rPr>
                <w:rFonts w:cs="Arial"/>
                <w:lang w:val="en-GB"/>
              </w:rPr>
            </w:pPr>
            <w:r>
              <w:rPr>
                <w:rFonts w:cs="Arial"/>
                <w:lang w:val="en-GB"/>
              </w:rPr>
              <w:t>1339</w:t>
            </w:r>
          </w:p>
        </w:tc>
        <w:tc>
          <w:tcPr>
            <w:tcW w:w="1117" w:type="dxa"/>
            <w:shd w:val="clear" w:color="auto" w:fill="FFFFFF"/>
          </w:tcPr>
          <w:p w14:paraId="3913EF19" w14:textId="77777777" w:rsidR="00807552" w:rsidRDefault="00807552" w:rsidP="00F6176E">
            <w:pPr>
              <w:pStyle w:val="CETBodytext"/>
              <w:jc w:val="center"/>
              <w:rPr>
                <w:rFonts w:cs="Arial"/>
                <w:lang w:val="en-GB"/>
              </w:rPr>
            </w:pPr>
            <w:r>
              <w:rPr>
                <w:rFonts w:cs="Arial"/>
                <w:lang w:val="en-GB"/>
              </w:rPr>
              <w:t>86.0</w:t>
            </w:r>
            <w:r w:rsidRPr="00FE1D91">
              <w:t>±</w:t>
            </w:r>
            <w:r>
              <w:t>18.40</w:t>
            </w:r>
          </w:p>
        </w:tc>
        <w:tc>
          <w:tcPr>
            <w:tcW w:w="1117" w:type="dxa"/>
            <w:shd w:val="clear" w:color="auto" w:fill="FFFFFF"/>
          </w:tcPr>
          <w:p w14:paraId="4CC869AC" w14:textId="77777777" w:rsidR="00807552" w:rsidRDefault="00807552" w:rsidP="00F6176E">
            <w:pPr>
              <w:pStyle w:val="CETBodytext"/>
              <w:jc w:val="center"/>
              <w:rPr>
                <w:rFonts w:cs="Arial"/>
                <w:lang w:val="en-GB"/>
              </w:rPr>
            </w:pPr>
            <w:r>
              <w:rPr>
                <w:rFonts w:cs="Arial"/>
                <w:lang w:val="en-GB"/>
              </w:rPr>
              <w:t>93.3</w:t>
            </w:r>
          </w:p>
        </w:tc>
      </w:tr>
      <w:tr w:rsidR="00807552" w:rsidRPr="00B57B36" w14:paraId="0504D419" w14:textId="77777777" w:rsidTr="00F6176E">
        <w:trPr>
          <w:trHeight w:val="229"/>
        </w:trPr>
        <w:tc>
          <w:tcPr>
            <w:tcW w:w="419" w:type="dxa"/>
            <w:shd w:val="clear" w:color="auto" w:fill="FFFFFF"/>
          </w:tcPr>
          <w:p w14:paraId="4BB21C73" w14:textId="77777777" w:rsidR="00807552" w:rsidRPr="00B57B36" w:rsidRDefault="00807552" w:rsidP="00F6176E">
            <w:pPr>
              <w:pStyle w:val="CETBodytext"/>
              <w:ind w:right="-1"/>
              <w:jc w:val="center"/>
              <w:rPr>
                <w:rFonts w:cs="Arial"/>
                <w:szCs w:val="18"/>
                <w:lang w:val="en-GB"/>
              </w:rPr>
            </w:pPr>
            <w:r>
              <w:rPr>
                <w:rFonts w:cs="Arial"/>
                <w:szCs w:val="18"/>
                <w:lang w:val="en-GB"/>
              </w:rPr>
              <w:t>2</w:t>
            </w:r>
          </w:p>
        </w:tc>
        <w:tc>
          <w:tcPr>
            <w:tcW w:w="837" w:type="dxa"/>
            <w:shd w:val="clear" w:color="auto" w:fill="FFFFFF"/>
          </w:tcPr>
          <w:p w14:paraId="0AFA5121" w14:textId="77777777" w:rsidR="00807552" w:rsidRPr="00B57B36" w:rsidRDefault="00807552" w:rsidP="00F6176E">
            <w:pPr>
              <w:pStyle w:val="CETBodytext"/>
              <w:ind w:right="-1"/>
              <w:jc w:val="center"/>
              <w:rPr>
                <w:rFonts w:cs="Arial"/>
                <w:szCs w:val="18"/>
                <w:lang w:val="en-GB"/>
              </w:rPr>
            </w:pPr>
            <w:r w:rsidRPr="004F027D">
              <w:rPr>
                <w:lang w:val="en-GB"/>
              </w:rPr>
              <w:t>345.0</w:t>
            </w:r>
          </w:p>
        </w:tc>
        <w:tc>
          <w:tcPr>
            <w:tcW w:w="838" w:type="dxa"/>
            <w:shd w:val="clear" w:color="auto" w:fill="FFFFFF"/>
          </w:tcPr>
          <w:p w14:paraId="4007214D" w14:textId="77777777" w:rsidR="00807552" w:rsidRPr="00B57B36" w:rsidRDefault="00807552" w:rsidP="00F6176E">
            <w:pPr>
              <w:pStyle w:val="CETBodytext"/>
              <w:ind w:right="-1"/>
              <w:jc w:val="center"/>
              <w:rPr>
                <w:rFonts w:cs="Arial"/>
                <w:szCs w:val="18"/>
                <w:lang w:val="en-GB"/>
              </w:rPr>
            </w:pPr>
            <w:r w:rsidRPr="004F027D">
              <w:rPr>
                <w:lang w:val="en-GB"/>
              </w:rPr>
              <w:t>20.73</w:t>
            </w:r>
          </w:p>
        </w:tc>
        <w:tc>
          <w:tcPr>
            <w:tcW w:w="977" w:type="dxa"/>
            <w:shd w:val="clear" w:color="auto" w:fill="FFFFFF"/>
          </w:tcPr>
          <w:p w14:paraId="6C95574B" w14:textId="77777777" w:rsidR="00807552" w:rsidRDefault="00807552" w:rsidP="00F6176E">
            <w:pPr>
              <w:pStyle w:val="CETBodytext"/>
              <w:ind w:right="-1"/>
              <w:jc w:val="center"/>
              <w:rPr>
                <w:rFonts w:ascii="Tahoma" w:eastAsia="Aptos" w:hAnsi="Tahoma" w:cs="Tahoma"/>
                <w:szCs w:val="18"/>
                <w:lang w:val="en-GB"/>
              </w:rPr>
            </w:pPr>
            <w:r w:rsidRPr="004F027D">
              <w:rPr>
                <w:lang w:val="en-GB"/>
              </w:rPr>
              <w:t>2.18</w:t>
            </w:r>
          </w:p>
        </w:tc>
        <w:tc>
          <w:tcPr>
            <w:tcW w:w="1536" w:type="dxa"/>
            <w:shd w:val="clear" w:color="auto" w:fill="FFFFFF"/>
          </w:tcPr>
          <w:p w14:paraId="3842CDA9" w14:textId="77777777" w:rsidR="00807552" w:rsidRDefault="00807552" w:rsidP="00F6176E">
            <w:pPr>
              <w:pStyle w:val="CETBodytext"/>
              <w:ind w:right="-1"/>
              <w:jc w:val="center"/>
              <w:rPr>
                <w:rFonts w:ascii="Tahoma" w:eastAsia="Aptos" w:hAnsi="Tahoma" w:cs="Tahoma"/>
                <w:szCs w:val="18"/>
                <w:lang w:val="en-GB"/>
              </w:rPr>
            </w:pPr>
            <w:r w:rsidRPr="004F027D">
              <w:rPr>
                <w:lang w:val="en-GB"/>
              </w:rPr>
              <w:t>0.023</w:t>
            </w:r>
          </w:p>
        </w:tc>
        <w:tc>
          <w:tcPr>
            <w:tcW w:w="1397" w:type="dxa"/>
            <w:shd w:val="clear" w:color="auto" w:fill="FFFFFF"/>
          </w:tcPr>
          <w:p w14:paraId="75D89825" w14:textId="77777777" w:rsidR="00807552" w:rsidRDefault="00807552" w:rsidP="00F6176E">
            <w:pPr>
              <w:pStyle w:val="CETBodytext"/>
              <w:ind w:right="-1"/>
              <w:jc w:val="center"/>
              <w:rPr>
                <w:rFonts w:ascii="Tahoma" w:eastAsia="Aptos" w:hAnsi="Tahoma" w:cs="Tahoma"/>
                <w:szCs w:val="18"/>
                <w:lang w:val="en-GB"/>
              </w:rPr>
            </w:pPr>
            <w:r>
              <w:rPr>
                <w:rFonts w:ascii="Tahoma" w:eastAsia="Aptos" w:hAnsi="Tahoma" w:cs="Tahoma"/>
                <w:szCs w:val="18"/>
                <w:lang w:val="en-GB"/>
              </w:rPr>
              <w:t>1157</w:t>
            </w:r>
          </w:p>
        </w:tc>
        <w:tc>
          <w:tcPr>
            <w:tcW w:w="1256" w:type="dxa"/>
            <w:shd w:val="clear" w:color="auto" w:fill="FFFFFF"/>
          </w:tcPr>
          <w:p w14:paraId="1151B5C9" w14:textId="77777777" w:rsidR="00807552" w:rsidRDefault="00807552" w:rsidP="00F6176E">
            <w:pPr>
              <w:pStyle w:val="CETBodytext"/>
              <w:ind w:right="-1"/>
              <w:jc w:val="center"/>
              <w:rPr>
                <w:rFonts w:ascii="Tahoma" w:eastAsia="Aptos" w:hAnsi="Tahoma" w:cs="Tahoma"/>
                <w:szCs w:val="18"/>
                <w:lang w:val="en-GB"/>
              </w:rPr>
            </w:pPr>
            <w:r>
              <w:rPr>
                <w:rFonts w:ascii="Tahoma" w:eastAsia="Aptos" w:hAnsi="Tahoma" w:cs="Tahoma"/>
                <w:szCs w:val="18"/>
                <w:lang w:val="en-GB"/>
              </w:rPr>
              <w:t>1595</w:t>
            </w:r>
          </w:p>
        </w:tc>
        <w:tc>
          <w:tcPr>
            <w:tcW w:w="1117" w:type="dxa"/>
            <w:shd w:val="clear" w:color="auto" w:fill="FFFFFF"/>
          </w:tcPr>
          <w:p w14:paraId="06B79AB1" w14:textId="77777777" w:rsidR="00807552" w:rsidRDefault="00807552" w:rsidP="00F6176E">
            <w:pPr>
              <w:pStyle w:val="CETBodytext"/>
              <w:ind w:right="-1"/>
              <w:jc w:val="center"/>
              <w:rPr>
                <w:rFonts w:ascii="Tahoma" w:eastAsia="Aptos" w:hAnsi="Tahoma" w:cs="Tahoma"/>
                <w:szCs w:val="18"/>
                <w:lang w:val="en-GB"/>
              </w:rPr>
            </w:pPr>
            <w:r>
              <w:rPr>
                <w:rFonts w:ascii="Tahoma" w:eastAsia="Aptos" w:hAnsi="Tahoma" w:cs="Tahoma"/>
                <w:szCs w:val="18"/>
                <w:lang w:val="en-GB"/>
              </w:rPr>
              <w:t>88.3</w:t>
            </w:r>
            <w:r w:rsidRPr="00FE1D91">
              <w:t xml:space="preserve">± </w:t>
            </w:r>
            <w:r>
              <w:t>2</w:t>
            </w:r>
            <w:r w:rsidRPr="00FE1D91">
              <w:t>.</w:t>
            </w:r>
            <w:r>
              <w:t>27</w:t>
            </w:r>
          </w:p>
        </w:tc>
        <w:tc>
          <w:tcPr>
            <w:tcW w:w="1117" w:type="dxa"/>
            <w:shd w:val="clear" w:color="auto" w:fill="FFFFFF"/>
          </w:tcPr>
          <w:p w14:paraId="4CB63465" w14:textId="77777777" w:rsidR="00807552" w:rsidRDefault="00807552" w:rsidP="00F6176E">
            <w:pPr>
              <w:pStyle w:val="CETBodytext"/>
              <w:ind w:right="-1"/>
              <w:jc w:val="center"/>
              <w:rPr>
                <w:rFonts w:ascii="Tahoma" w:eastAsia="Aptos" w:hAnsi="Tahoma" w:cs="Tahoma"/>
                <w:szCs w:val="18"/>
                <w:lang w:val="en-GB"/>
              </w:rPr>
            </w:pPr>
            <w:r>
              <w:rPr>
                <w:rFonts w:ascii="Tahoma" w:eastAsia="Aptos" w:hAnsi="Tahoma" w:cs="Tahoma"/>
                <w:szCs w:val="18"/>
                <w:lang w:val="en-GB"/>
              </w:rPr>
              <w:t>89.5</w:t>
            </w:r>
          </w:p>
        </w:tc>
      </w:tr>
      <w:tr w:rsidR="00807552" w:rsidRPr="00B57B36" w14:paraId="2A38C39A" w14:textId="77777777" w:rsidTr="00F6176E">
        <w:trPr>
          <w:trHeight w:val="229"/>
        </w:trPr>
        <w:tc>
          <w:tcPr>
            <w:tcW w:w="419" w:type="dxa"/>
            <w:shd w:val="clear" w:color="auto" w:fill="FFFFFF"/>
          </w:tcPr>
          <w:p w14:paraId="2549688C" w14:textId="77777777" w:rsidR="00807552" w:rsidRPr="00B57B36" w:rsidRDefault="00807552" w:rsidP="00F6176E">
            <w:pPr>
              <w:pStyle w:val="CETBodytext"/>
              <w:ind w:right="-1"/>
              <w:jc w:val="center"/>
              <w:rPr>
                <w:rFonts w:cs="Arial"/>
                <w:szCs w:val="18"/>
                <w:lang w:val="en-GB"/>
              </w:rPr>
            </w:pPr>
            <w:r>
              <w:rPr>
                <w:rFonts w:cs="Arial"/>
                <w:szCs w:val="18"/>
                <w:lang w:val="en-GB"/>
              </w:rPr>
              <w:t>3</w:t>
            </w:r>
          </w:p>
        </w:tc>
        <w:tc>
          <w:tcPr>
            <w:tcW w:w="837" w:type="dxa"/>
            <w:shd w:val="clear" w:color="auto" w:fill="FFFFFF"/>
          </w:tcPr>
          <w:p w14:paraId="0C3C95CF" w14:textId="77777777" w:rsidR="00807552" w:rsidRPr="00944200" w:rsidRDefault="00807552" w:rsidP="00F6176E">
            <w:pPr>
              <w:pStyle w:val="CETBodytext"/>
              <w:ind w:right="-1"/>
              <w:jc w:val="center"/>
              <w:rPr>
                <w:rFonts w:cs="Arial"/>
                <w:szCs w:val="18"/>
                <w:lang w:val="en-GB"/>
              </w:rPr>
            </w:pPr>
            <w:r w:rsidRPr="004F027D">
              <w:rPr>
                <w:lang w:val="en-GB"/>
              </w:rPr>
              <w:t>345.3</w:t>
            </w:r>
          </w:p>
        </w:tc>
        <w:tc>
          <w:tcPr>
            <w:tcW w:w="838" w:type="dxa"/>
            <w:shd w:val="clear" w:color="auto" w:fill="FFFFFF"/>
          </w:tcPr>
          <w:p w14:paraId="0B4BDC9A" w14:textId="77777777" w:rsidR="00807552" w:rsidRPr="00B57B36" w:rsidRDefault="00807552" w:rsidP="00F6176E">
            <w:pPr>
              <w:pStyle w:val="CETBodytext"/>
              <w:ind w:right="-1"/>
              <w:jc w:val="center"/>
              <w:rPr>
                <w:rFonts w:cs="Arial"/>
                <w:szCs w:val="18"/>
                <w:lang w:val="en-GB"/>
              </w:rPr>
            </w:pPr>
            <w:r w:rsidRPr="004F027D">
              <w:rPr>
                <w:lang w:val="en-GB"/>
              </w:rPr>
              <w:t>20.72</w:t>
            </w:r>
          </w:p>
        </w:tc>
        <w:tc>
          <w:tcPr>
            <w:tcW w:w="977" w:type="dxa"/>
            <w:shd w:val="clear" w:color="auto" w:fill="FFFFFF"/>
          </w:tcPr>
          <w:p w14:paraId="785AAE79" w14:textId="77777777" w:rsidR="00807552" w:rsidRDefault="00807552" w:rsidP="00F6176E">
            <w:pPr>
              <w:pStyle w:val="CETBodytext"/>
              <w:ind w:right="-1"/>
              <w:jc w:val="center"/>
              <w:rPr>
                <w:rFonts w:ascii="Tahoma" w:eastAsia="Aptos" w:hAnsi="Tahoma" w:cs="Tahoma"/>
                <w:szCs w:val="18"/>
                <w:lang w:val="en-GB"/>
              </w:rPr>
            </w:pPr>
            <w:r w:rsidRPr="004F027D">
              <w:rPr>
                <w:lang w:val="en-GB"/>
              </w:rPr>
              <w:t>2.18</w:t>
            </w:r>
          </w:p>
        </w:tc>
        <w:tc>
          <w:tcPr>
            <w:tcW w:w="1536" w:type="dxa"/>
            <w:shd w:val="clear" w:color="auto" w:fill="FFFFFF"/>
          </w:tcPr>
          <w:p w14:paraId="49E45071" w14:textId="77777777" w:rsidR="00807552" w:rsidRDefault="00807552" w:rsidP="00F6176E">
            <w:pPr>
              <w:pStyle w:val="CETBodytext"/>
              <w:ind w:right="-1"/>
              <w:jc w:val="center"/>
              <w:rPr>
                <w:rFonts w:ascii="Tahoma" w:eastAsia="Aptos" w:hAnsi="Tahoma" w:cs="Tahoma"/>
                <w:szCs w:val="18"/>
                <w:lang w:val="en-GB"/>
              </w:rPr>
            </w:pPr>
            <w:r w:rsidRPr="004F027D">
              <w:rPr>
                <w:lang w:val="en-GB"/>
              </w:rPr>
              <w:t>0.023</w:t>
            </w:r>
          </w:p>
        </w:tc>
        <w:tc>
          <w:tcPr>
            <w:tcW w:w="1397" w:type="dxa"/>
            <w:shd w:val="clear" w:color="auto" w:fill="FFFFFF"/>
          </w:tcPr>
          <w:p w14:paraId="56EEDBE3" w14:textId="77777777" w:rsidR="00807552" w:rsidRDefault="00807552" w:rsidP="00F6176E">
            <w:pPr>
              <w:pStyle w:val="CETBodytext"/>
              <w:ind w:right="-1"/>
              <w:jc w:val="center"/>
              <w:rPr>
                <w:rFonts w:ascii="Tahoma" w:eastAsia="Aptos" w:hAnsi="Tahoma" w:cs="Tahoma"/>
                <w:szCs w:val="18"/>
                <w:lang w:val="en-GB"/>
              </w:rPr>
            </w:pPr>
            <w:r>
              <w:rPr>
                <w:rFonts w:ascii="Tahoma" w:eastAsia="Aptos" w:hAnsi="Tahoma" w:cs="Tahoma"/>
                <w:szCs w:val="18"/>
                <w:lang w:val="en-GB"/>
              </w:rPr>
              <w:t>1148</w:t>
            </w:r>
          </w:p>
        </w:tc>
        <w:tc>
          <w:tcPr>
            <w:tcW w:w="1256" w:type="dxa"/>
            <w:shd w:val="clear" w:color="auto" w:fill="FFFFFF"/>
          </w:tcPr>
          <w:p w14:paraId="24766F54" w14:textId="77777777" w:rsidR="00807552" w:rsidRDefault="00807552" w:rsidP="00F6176E">
            <w:pPr>
              <w:pStyle w:val="CETBodytext"/>
              <w:ind w:right="-1"/>
              <w:jc w:val="center"/>
              <w:rPr>
                <w:rFonts w:ascii="Tahoma" w:eastAsia="Aptos" w:hAnsi="Tahoma" w:cs="Tahoma"/>
                <w:szCs w:val="18"/>
                <w:lang w:val="en-GB"/>
              </w:rPr>
            </w:pPr>
            <w:r>
              <w:rPr>
                <w:rFonts w:ascii="Tahoma" w:eastAsia="Aptos" w:hAnsi="Tahoma" w:cs="Tahoma"/>
                <w:szCs w:val="18"/>
                <w:lang w:val="en-GB"/>
              </w:rPr>
              <w:t>1572</w:t>
            </w:r>
          </w:p>
        </w:tc>
        <w:tc>
          <w:tcPr>
            <w:tcW w:w="1117" w:type="dxa"/>
            <w:shd w:val="clear" w:color="auto" w:fill="FFFFFF"/>
          </w:tcPr>
          <w:p w14:paraId="6E99B783" w14:textId="77777777" w:rsidR="00807552" w:rsidRDefault="00807552" w:rsidP="00F6176E">
            <w:pPr>
              <w:pStyle w:val="CETBodytext"/>
              <w:ind w:right="-1"/>
              <w:jc w:val="center"/>
              <w:rPr>
                <w:rFonts w:ascii="Tahoma" w:eastAsia="Aptos" w:hAnsi="Tahoma" w:cs="Tahoma"/>
                <w:szCs w:val="18"/>
                <w:lang w:val="en-GB"/>
              </w:rPr>
            </w:pPr>
            <w:r>
              <w:rPr>
                <w:rFonts w:ascii="Tahoma" w:eastAsia="Aptos" w:hAnsi="Tahoma" w:cs="Tahoma"/>
                <w:szCs w:val="18"/>
                <w:lang w:val="en-GB"/>
              </w:rPr>
              <w:t>88.3</w:t>
            </w:r>
            <w:r w:rsidRPr="00FE1D91">
              <w:t xml:space="preserve">± </w:t>
            </w:r>
            <w:r>
              <w:t>0</w:t>
            </w:r>
            <w:r w:rsidRPr="00FE1D91">
              <w:t>.</w:t>
            </w:r>
            <w:r>
              <w:t>03</w:t>
            </w:r>
          </w:p>
        </w:tc>
        <w:tc>
          <w:tcPr>
            <w:tcW w:w="1117" w:type="dxa"/>
            <w:shd w:val="clear" w:color="auto" w:fill="FFFFFF"/>
          </w:tcPr>
          <w:p w14:paraId="1A22202B" w14:textId="77777777" w:rsidR="00807552" w:rsidRDefault="00807552" w:rsidP="00F6176E">
            <w:pPr>
              <w:pStyle w:val="CETBodytext"/>
              <w:ind w:right="-1"/>
              <w:jc w:val="center"/>
              <w:rPr>
                <w:rFonts w:ascii="Tahoma" w:eastAsia="Aptos" w:hAnsi="Tahoma" w:cs="Tahoma"/>
                <w:szCs w:val="18"/>
                <w:lang w:val="en-GB"/>
              </w:rPr>
            </w:pPr>
            <w:r>
              <w:rPr>
                <w:rFonts w:ascii="Tahoma" w:eastAsia="Aptos" w:hAnsi="Tahoma" w:cs="Tahoma"/>
                <w:szCs w:val="18"/>
                <w:lang w:val="en-GB"/>
              </w:rPr>
              <w:t>89.9</w:t>
            </w:r>
          </w:p>
        </w:tc>
      </w:tr>
    </w:tbl>
    <w:p w14:paraId="5EB4A457" w14:textId="77777777" w:rsidR="00807552" w:rsidRDefault="00807552" w:rsidP="00807552">
      <w:pPr>
        <w:pStyle w:val="CETTabletitle"/>
        <w:numPr>
          <w:ilvl w:val="2"/>
          <w:numId w:val="0"/>
        </w:numPr>
        <w:spacing w:before="0" w:after="0"/>
      </w:pPr>
    </w:p>
    <w:p w14:paraId="53117CB0" w14:textId="77777777" w:rsidR="00807552" w:rsidRDefault="00807552" w:rsidP="00807552">
      <w:pPr>
        <w:spacing w:after="0" w:line="240" w:lineRule="auto"/>
        <w:rPr>
          <w:rFonts w:ascii="Arial" w:eastAsia="Times New Roman" w:hAnsi="Arial" w:cs="Times New Roman"/>
          <w:b/>
          <w:kern w:val="0"/>
          <w:sz w:val="18"/>
          <w:szCs w:val="20"/>
          <w:lang w:val="en-US"/>
          <w14:ligatures w14:val="none"/>
        </w:rPr>
      </w:pPr>
      <w:r w:rsidRPr="009D7F6E">
        <w:rPr>
          <w:rFonts w:ascii="Arial" w:eastAsia="Times New Roman" w:hAnsi="Arial" w:cs="Times New Roman"/>
          <w:b/>
          <w:kern w:val="0"/>
          <w:sz w:val="18"/>
          <w:szCs w:val="20"/>
          <w:lang w:val="en-US"/>
          <w14:ligatures w14:val="none"/>
        </w:rPr>
        <w:t>3.</w:t>
      </w:r>
      <w:r>
        <w:rPr>
          <w:rFonts w:ascii="Arial" w:eastAsia="Times New Roman" w:hAnsi="Arial" w:cs="Times New Roman"/>
          <w:b/>
          <w:kern w:val="0"/>
          <w:sz w:val="18"/>
          <w:szCs w:val="20"/>
          <w:lang w:val="en-US"/>
          <w14:ligatures w14:val="none"/>
        </w:rPr>
        <w:t xml:space="preserve">3 </w:t>
      </w:r>
      <w:r w:rsidRPr="009D7F6E">
        <w:rPr>
          <w:rFonts w:ascii="Arial" w:eastAsia="Times New Roman" w:hAnsi="Arial" w:cs="Times New Roman"/>
          <w:b/>
          <w:kern w:val="0"/>
          <w:sz w:val="18"/>
          <w:szCs w:val="20"/>
          <w:lang w:val="en-US"/>
          <w14:ligatures w14:val="none"/>
        </w:rPr>
        <w:t>GP1</w:t>
      </w:r>
      <w:r>
        <w:rPr>
          <w:rFonts w:ascii="Arial" w:eastAsia="Times New Roman" w:hAnsi="Arial" w:cs="Times New Roman"/>
          <w:b/>
          <w:kern w:val="0"/>
          <w:sz w:val="18"/>
          <w:szCs w:val="20"/>
          <w:lang w:val="en-US"/>
          <w14:ligatures w14:val="none"/>
        </w:rPr>
        <w:t xml:space="preserve"> Optimal Experiment Design &amp; Procedure Termination</w:t>
      </w:r>
    </w:p>
    <w:p w14:paraId="60E95908" w14:textId="616F587C" w:rsidR="00807552" w:rsidRDefault="00807552" w:rsidP="00807552">
      <w:pPr>
        <w:pStyle w:val="CETBodytext"/>
        <w:spacing w:line="278" w:lineRule="auto"/>
        <w:rPr>
          <w:lang w:val="en-GB"/>
        </w:rPr>
      </w:pPr>
      <w:r w:rsidRPr="006976DD">
        <w:rPr>
          <w:lang w:val="en-GB"/>
        </w:rPr>
        <w:t>The third iteration</w:t>
      </w:r>
      <w:r>
        <w:rPr>
          <w:lang w:val="en-GB"/>
        </w:rPr>
        <w:t xml:space="preserve"> (Experiment 3)</w:t>
      </w:r>
      <w:r w:rsidRPr="006976DD">
        <w:rPr>
          <w:lang w:val="en-GB"/>
        </w:rPr>
        <w:t xml:space="preserve"> </w:t>
      </w:r>
      <w:r>
        <w:rPr>
          <w:lang w:val="en-GB"/>
        </w:rPr>
        <w:t xml:space="preserve">of the optimized GP1 </w:t>
      </w:r>
      <w:r w:rsidRPr="006976DD">
        <w:rPr>
          <w:lang w:val="en-GB"/>
        </w:rPr>
        <w:t xml:space="preserve">yielded a predicted methane conversion of 88.3%, paired with a high FIM score of 1148.8 and a very low uncertainty of 0.03%. This met the stopping criterion, as the uncertainty fell below the 1% threshold, prompting termination of the optimization process. Additionally, Figure 4 illustrates that the confidence interval was significantly reduced, closely aligning with the GP mean line, </w:t>
      </w:r>
      <w:r>
        <w:rPr>
          <w:lang w:val="en-GB"/>
        </w:rPr>
        <w:t xml:space="preserve">which </w:t>
      </w:r>
      <w:r w:rsidRPr="006976DD">
        <w:rPr>
          <w:lang w:val="en-GB"/>
        </w:rPr>
        <w:t>further confirm</w:t>
      </w:r>
      <w:r>
        <w:rPr>
          <w:lang w:val="en-GB"/>
        </w:rPr>
        <w:t>s</w:t>
      </w:r>
      <w:r w:rsidRPr="006976DD">
        <w:rPr>
          <w:lang w:val="en-GB"/>
        </w:rPr>
        <w:t xml:space="preserve"> the reliability of the prediction.</w:t>
      </w:r>
    </w:p>
    <w:p w14:paraId="7692705F" w14:textId="77777777" w:rsidR="005051DA" w:rsidRDefault="005051DA" w:rsidP="00807552">
      <w:pPr>
        <w:pStyle w:val="CETBodytext"/>
        <w:spacing w:line="278" w:lineRule="auto"/>
        <w:rPr>
          <w:lang w:val="en-GB"/>
        </w:rPr>
      </w:pPr>
    </w:p>
    <w:p w14:paraId="31A5F871" w14:textId="77777777" w:rsidR="005051DA" w:rsidRDefault="005051DA" w:rsidP="005051DA">
      <w:pPr>
        <w:spacing w:after="0" w:line="240" w:lineRule="auto"/>
        <w:rPr>
          <w:rFonts w:ascii="Arial" w:eastAsia="Times New Roman" w:hAnsi="Arial" w:cs="Times New Roman"/>
          <w:b/>
          <w:kern w:val="0"/>
          <w:sz w:val="18"/>
          <w:szCs w:val="20"/>
          <w:lang w:val="en-US"/>
          <w14:ligatures w14:val="none"/>
        </w:rPr>
      </w:pPr>
      <w:r>
        <w:rPr>
          <w:rFonts w:ascii="Arial" w:eastAsia="Times New Roman" w:hAnsi="Arial" w:cs="Times New Roman"/>
          <w:b/>
          <w:kern w:val="0"/>
          <w:sz w:val="18"/>
          <w:szCs w:val="20"/>
          <w:lang w:val="en-US"/>
          <w14:ligatures w14:val="none"/>
        </w:rPr>
        <w:t>3.4 Performance of GP2</w:t>
      </w:r>
    </w:p>
    <w:p w14:paraId="4738E29D" w14:textId="77777777" w:rsidR="005051DA" w:rsidRDefault="005051DA" w:rsidP="005051DA">
      <w:pPr>
        <w:pStyle w:val="CETBodytext"/>
        <w:spacing w:line="278" w:lineRule="auto"/>
      </w:pPr>
      <w:r w:rsidRPr="001B1FF5">
        <w:rPr>
          <w:lang w:val="en-GB"/>
        </w:rPr>
        <w:t>Prior to establishing the GP1–GP2 workflow, GP2 was validated by estimating the FIM for a new reactor condition: 277°C, 24.4 mL/min, a 3.4 mole ratio, and a 0.024 inlet CH</w:t>
      </w:r>
      <w:r w:rsidRPr="001B1FF5">
        <w:rPr>
          <w:rFonts w:ascii="Cambria Math" w:hAnsi="Cambria Math" w:cs="Cambria Math"/>
          <w:lang w:val="en-GB"/>
        </w:rPr>
        <w:t>₄</w:t>
      </w:r>
      <w:r w:rsidRPr="001B1FF5">
        <w:rPr>
          <w:lang w:val="en-GB"/>
        </w:rPr>
        <w:t xml:space="preserve"> concentration</w:t>
      </w:r>
      <w:r>
        <w:rPr>
          <w:lang w:val="en-GB"/>
        </w:rPr>
        <w:t>.</w:t>
      </w:r>
      <w:r w:rsidRPr="001B1FF5">
        <w:rPr>
          <w:lang w:val="en-GB"/>
        </w:rPr>
        <w:t xml:space="preserve"> The true FIM, obtained from in silico experiments, was 307, compared to GP2’s prediction of 294 ± 9.0. This close agreement supports GP2’s reliability in guiding experimental design</w:t>
      </w:r>
      <w:r>
        <w:rPr>
          <w:lang w:val="en-GB"/>
        </w:rPr>
        <w:t>.</w:t>
      </w:r>
    </w:p>
    <w:p w14:paraId="44EF769B" w14:textId="77777777" w:rsidR="005051DA" w:rsidRDefault="005051DA" w:rsidP="00807552">
      <w:pPr>
        <w:pStyle w:val="CETBodytext"/>
        <w:spacing w:line="278" w:lineRule="auto"/>
        <w:rPr>
          <w:lang w:val="en-GB"/>
        </w:rPr>
      </w:pPr>
    </w:p>
    <w:p w14:paraId="26B7A584" w14:textId="77777777" w:rsidR="005051DA" w:rsidRDefault="005051DA" w:rsidP="00807552">
      <w:pPr>
        <w:pStyle w:val="CETBodytext"/>
        <w:spacing w:line="278" w:lineRule="auto"/>
        <w:rPr>
          <w:lang w:val="en-GB"/>
        </w:rPr>
      </w:pPr>
    </w:p>
    <w:p w14:paraId="6174E3DE" w14:textId="77777777" w:rsidR="005051DA" w:rsidRDefault="005051DA" w:rsidP="00807552">
      <w:pPr>
        <w:pStyle w:val="CETBodytext"/>
        <w:spacing w:line="278" w:lineRule="auto"/>
        <w:rPr>
          <w:lang w:val="en-GB"/>
        </w:rPr>
      </w:pPr>
    </w:p>
    <w:p w14:paraId="044984B4" w14:textId="77777777" w:rsidR="005051DA" w:rsidRDefault="005051DA" w:rsidP="00807552">
      <w:pPr>
        <w:pStyle w:val="CETBodytext"/>
        <w:spacing w:line="278" w:lineRule="auto"/>
        <w:rPr>
          <w:lang w:val="en-GB"/>
        </w:rPr>
      </w:pPr>
    </w:p>
    <w:p w14:paraId="7A130FEC" w14:textId="2E0F420D" w:rsidR="005051DA" w:rsidRDefault="005051DA" w:rsidP="00807552">
      <w:pPr>
        <w:pStyle w:val="CETBodytext"/>
        <w:spacing w:line="278" w:lineRule="auto"/>
        <w:rPr>
          <w:lang w:val="en-GB"/>
        </w:rPr>
      </w:pPr>
      <w:r>
        <w:rPr>
          <w:noProof/>
        </w:rPr>
        <w:lastRenderedPageBreak/>
        <w:drawing>
          <wp:anchor distT="0" distB="0" distL="114300" distR="114300" simplePos="0" relativeHeight="251659264" behindDoc="0" locked="0" layoutInCell="1" allowOverlap="1" wp14:anchorId="0EBEF8B1" wp14:editId="24CA27BF">
            <wp:simplePos x="0" y="0"/>
            <wp:positionH relativeFrom="margin">
              <wp:posOffset>1140460</wp:posOffset>
            </wp:positionH>
            <wp:positionV relativeFrom="paragraph">
              <wp:posOffset>66103</wp:posOffset>
            </wp:positionV>
            <wp:extent cx="3571592" cy="1710907"/>
            <wp:effectExtent l="0" t="0" r="0" b="3810"/>
            <wp:wrapNone/>
            <wp:docPr id="1618314431" name="Picture 16" descr="A graph with a blue line and red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138088" name="Picture 16" descr="A graph with a blue line and red dots&#10;&#10;AI-generated content may be incorrec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71592" cy="17109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15C7DD" w14:textId="3D48D48F" w:rsidR="005051DA" w:rsidRDefault="005051DA" w:rsidP="00807552">
      <w:pPr>
        <w:pStyle w:val="CETBodytext"/>
        <w:spacing w:line="278" w:lineRule="auto"/>
        <w:rPr>
          <w:lang w:val="en-GB"/>
        </w:rPr>
      </w:pPr>
    </w:p>
    <w:p w14:paraId="2A8A94F2" w14:textId="42F3EE06" w:rsidR="005051DA" w:rsidRDefault="005051DA" w:rsidP="00807552">
      <w:pPr>
        <w:pStyle w:val="CETBodytext"/>
        <w:spacing w:line="278" w:lineRule="auto"/>
        <w:rPr>
          <w:lang w:val="en-GB"/>
        </w:rPr>
      </w:pPr>
    </w:p>
    <w:p w14:paraId="65A6FA36" w14:textId="04F7769C" w:rsidR="005051DA" w:rsidRDefault="005051DA" w:rsidP="00807552">
      <w:pPr>
        <w:pStyle w:val="CETBodytext"/>
        <w:spacing w:line="278" w:lineRule="auto"/>
        <w:rPr>
          <w:lang w:val="en-GB"/>
        </w:rPr>
      </w:pPr>
    </w:p>
    <w:p w14:paraId="2AB34B19" w14:textId="7C0B1C73" w:rsidR="005051DA" w:rsidRDefault="005051DA" w:rsidP="00807552">
      <w:pPr>
        <w:pStyle w:val="CETBodytext"/>
        <w:spacing w:line="278" w:lineRule="auto"/>
        <w:rPr>
          <w:lang w:val="en-GB"/>
        </w:rPr>
      </w:pPr>
    </w:p>
    <w:p w14:paraId="40932E6A" w14:textId="25826C6A" w:rsidR="005051DA" w:rsidRDefault="005051DA" w:rsidP="00807552">
      <w:pPr>
        <w:pStyle w:val="CETBodytext"/>
        <w:spacing w:line="278" w:lineRule="auto"/>
        <w:rPr>
          <w:lang w:val="en-GB"/>
        </w:rPr>
      </w:pPr>
    </w:p>
    <w:p w14:paraId="68CC1CEC" w14:textId="12DC88FA" w:rsidR="005051DA" w:rsidRDefault="005051DA" w:rsidP="00807552">
      <w:pPr>
        <w:pStyle w:val="CETBodytext"/>
        <w:spacing w:line="278" w:lineRule="auto"/>
        <w:rPr>
          <w:lang w:val="en-GB"/>
        </w:rPr>
      </w:pPr>
    </w:p>
    <w:p w14:paraId="3EEC0D99" w14:textId="65B85B70" w:rsidR="00807552" w:rsidRDefault="009F7368" w:rsidP="00807552">
      <w:pPr>
        <w:pStyle w:val="CETBodytext"/>
        <w:spacing w:line="278" w:lineRule="auto"/>
        <w:rPr>
          <w:noProof/>
        </w:rPr>
      </w:pPr>
      <w:commentRangeStart w:id="4"/>
      <w:commentRangeStart w:id="5"/>
      <w:commentRangeEnd w:id="5"/>
      <w:r>
        <w:rPr>
          <w:rStyle w:val="CommentReference"/>
          <w:rFonts w:asciiTheme="minorHAnsi" w:eastAsiaTheme="minorHAnsi" w:hAnsiTheme="minorHAnsi" w:cstheme="minorBidi"/>
          <w:kern w:val="2"/>
          <w:lang w:val="en-GB"/>
          <w14:ligatures w14:val="standardContextual"/>
        </w:rPr>
        <w:commentReference w:id="5"/>
      </w:r>
      <w:commentRangeEnd w:id="4"/>
      <w:r w:rsidR="005051DA">
        <w:rPr>
          <w:rStyle w:val="CommentReference"/>
          <w:rFonts w:asciiTheme="minorHAnsi" w:eastAsiaTheme="minorHAnsi" w:hAnsiTheme="minorHAnsi" w:cstheme="minorBidi"/>
          <w:kern w:val="2"/>
          <w:lang w:val="en-GB"/>
          <w14:ligatures w14:val="standardContextual"/>
        </w:rPr>
        <w:commentReference w:id="4"/>
      </w:r>
    </w:p>
    <w:p w14:paraId="730973BA" w14:textId="0B84348D" w:rsidR="00807552" w:rsidRDefault="00807552" w:rsidP="00807552">
      <w:pPr>
        <w:pStyle w:val="CETBodytext"/>
      </w:pPr>
    </w:p>
    <w:p w14:paraId="4CA98F05" w14:textId="5A071F62" w:rsidR="00807552" w:rsidRDefault="00807552" w:rsidP="00807552">
      <w:pPr>
        <w:pStyle w:val="CETBodytext"/>
        <w:jc w:val="center"/>
      </w:pPr>
    </w:p>
    <w:p w14:paraId="1FE094C0" w14:textId="3067B5D6" w:rsidR="00807552" w:rsidRDefault="00807552" w:rsidP="00807552">
      <w:pPr>
        <w:pStyle w:val="CETCaption"/>
        <w:spacing w:before="0" w:after="0" w:line="240" w:lineRule="auto"/>
        <w:rPr>
          <w:b/>
          <w:bCs/>
        </w:rPr>
      </w:pPr>
    </w:p>
    <w:p w14:paraId="05B74CBD" w14:textId="71062A6B" w:rsidR="00807552" w:rsidRDefault="00807552" w:rsidP="00807552">
      <w:pPr>
        <w:pStyle w:val="CETCaption"/>
        <w:spacing w:before="0" w:after="0" w:line="240" w:lineRule="auto"/>
        <w:rPr>
          <w:b/>
          <w:bCs/>
        </w:rPr>
      </w:pPr>
    </w:p>
    <w:p w14:paraId="234F6A14" w14:textId="2C16F8C7" w:rsidR="00807552" w:rsidRPr="00482C87" w:rsidRDefault="00807552" w:rsidP="00807552">
      <w:pPr>
        <w:pStyle w:val="CETCaption"/>
        <w:spacing w:before="0" w:after="0" w:line="240" w:lineRule="auto"/>
        <w:rPr>
          <w:b/>
          <w:bCs/>
          <w:i w:val="0"/>
          <w:iCs/>
        </w:rPr>
      </w:pPr>
      <w:r w:rsidRPr="001F6375">
        <w:rPr>
          <w:b/>
          <w:bCs/>
        </w:rPr>
        <w:t xml:space="preserve">Figure </w:t>
      </w:r>
      <w:r>
        <w:rPr>
          <w:b/>
          <w:bCs/>
        </w:rPr>
        <w:t>4</w:t>
      </w:r>
      <w:r w:rsidRPr="001F6375">
        <w:rPr>
          <w:b/>
          <w:bCs/>
        </w:rPr>
        <w:t>.</w:t>
      </w:r>
      <w:r w:rsidRPr="001F6375">
        <w:t xml:space="preserve"> GP</w:t>
      </w:r>
      <w:r>
        <w:t>1</w:t>
      </w:r>
      <w:r w:rsidRPr="001F6375">
        <w:t xml:space="preserve"> model predictions after Iteration 3 showing methane conversion as a function of </w:t>
      </w:r>
      <w:r>
        <w:t>FIM score</w:t>
      </w:r>
      <w:r w:rsidRPr="001F6375">
        <w:t>. The model's 95% confidence interval (shaded region) narrows as uncertainty decreases.</w:t>
      </w:r>
    </w:p>
    <w:p w14:paraId="38A538A3" w14:textId="77777777" w:rsidR="00807552" w:rsidRDefault="00807552" w:rsidP="00807552">
      <w:pPr>
        <w:spacing w:after="0" w:line="240" w:lineRule="auto"/>
        <w:rPr>
          <w:rFonts w:ascii="Arial" w:eastAsia="Times New Roman" w:hAnsi="Arial" w:cs="Times New Roman"/>
          <w:b/>
          <w:kern w:val="0"/>
          <w:sz w:val="18"/>
          <w:szCs w:val="20"/>
          <w:lang w:val="en-US"/>
          <w14:ligatures w14:val="none"/>
        </w:rPr>
      </w:pPr>
    </w:p>
    <w:p w14:paraId="0EB5FDDC" w14:textId="77777777" w:rsidR="00807552" w:rsidRDefault="00807552" w:rsidP="00807552">
      <w:pPr>
        <w:spacing w:after="0" w:line="240" w:lineRule="auto"/>
        <w:rPr>
          <w:rFonts w:ascii="Arial" w:eastAsia="Times New Roman" w:hAnsi="Arial" w:cs="Times New Roman"/>
          <w:b/>
          <w:kern w:val="0"/>
          <w:sz w:val="18"/>
          <w:szCs w:val="20"/>
          <w:lang w:val="en-US"/>
          <w14:ligatures w14:val="none"/>
        </w:rPr>
      </w:pPr>
    </w:p>
    <w:p w14:paraId="76D88F00" w14:textId="77777777" w:rsidR="00807552" w:rsidRPr="004D6184" w:rsidRDefault="00807552" w:rsidP="00807552">
      <w:pPr>
        <w:pStyle w:val="CETHeading1"/>
        <w:spacing w:before="0" w:after="0"/>
      </w:pPr>
      <w:r w:rsidRPr="00606F68">
        <w:t>Conclusion</w:t>
      </w:r>
    </w:p>
    <w:p w14:paraId="6CF2E809" w14:textId="39A4E3D1" w:rsidR="00807552" w:rsidRPr="004603F9" w:rsidRDefault="00807552" w:rsidP="00807552">
      <w:pPr>
        <w:pStyle w:val="CETHeading1"/>
        <w:spacing w:before="0" w:after="0" w:line="278" w:lineRule="auto"/>
        <w:jc w:val="both"/>
      </w:pPr>
      <w:r w:rsidRPr="003468DC">
        <w:rPr>
          <w:rStyle w:val="CETBodytextCarattere"/>
          <w:b w:val="0"/>
          <w:bCs/>
        </w:rPr>
        <w:t>A hybrid modelling workflow leveraging Gaussian Process (GP) regression and optimal experimental design has been proposed in this paper</w:t>
      </w:r>
      <w:r>
        <w:rPr>
          <w:rStyle w:val="CETBodytextCarattere"/>
          <w:b w:val="0"/>
          <w:bCs/>
        </w:rPr>
        <w:t xml:space="preserve"> and applied to the optimization of a reactor for the catalytic oxidation of methane in flow</w:t>
      </w:r>
      <w:r w:rsidRPr="003468DC">
        <w:rPr>
          <w:rStyle w:val="CETBodytextCarattere"/>
          <w:b w:val="0"/>
          <w:bCs/>
        </w:rPr>
        <w:t xml:space="preserve">. The approach was used to design a sequence of </w:t>
      </w:r>
      <w:r>
        <w:rPr>
          <w:rStyle w:val="CETBodytextCarattere"/>
          <w:b w:val="0"/>
          <w:bCs/>
        </w:rPr>
        <w:t>three</w:t>
      </w:r>
      <w:r w:rsidRPr="003468DC">
        <w:rPr>
          <w:rStyle w:val="CETBodytextCarattere"/>
          <w:b w:val="0"/>
          <w:bCs/>
        </w:rPr>
        <w:t xml:space="preserve"> experiments starting from a preliminary set of thirty baseline experiments. Results show that experiments selected based on higher FIM </w:t>
      </w:r>
      <w:r>
        <w:rPr>
          <w:rStyle w:val="CETBodytextCarattere"/>
          <w:b w:val="0"/>
          <w:bCs/>
        </w:rPr>
        <w:t>scores</w:t>
      </w:r>
      <w:r w:rsidRPr="003468DC">
        <w:rPr>
          <w:rStyle w:val="CETBodytextCarattere"/>
          <w:b w:val="0"/>
          <w:bCs/>
        </w:rPr>
        <w:t xml:space="preserve"> consistently led to improved methane conversion, validating the use of FIM</w:t>
      </w:r>
      <w:r>
        <w:rPr>
          <w:rStyle w:val="CETBodytextCarattere"/>
          <w:b w:val="0"/>
          <w:bCs/>
        </w:rPr>
        <w:t xml:space="preserve"> as optimal</w:t>
      </w:r>
      <w:r w:rsidRPr="003468DC">
        <w:rPr>
          <w:rStyle w:val="CETBodytextCarattere"/>
          <w:b w:val="0"/>
          <w:bCs/>
        </w:rPr>
        <w:t xml:space="preserve"> design criterion.</w:t>
      </w:r>
      <w:r>
        <w:rPr>
          <w:rStyle w:val="CETBodytextCarattere"/>
          <w:b w:val="0"/>
          <w:bCs/>
        </w:rPr>
        <w:t xml:space="preserve"> GP Predicted </w:t>
      </w:r>
      <w:r w:rsidRPr="003468DC">
        <w:rPr>
          <w:rStyle w:val="CETBodytextCarattere"/>
          <w:b w:val="0"/>
          <w:bCs/>
        </w:rPr>
        <w:t xml:space="preserve">Experiment </w:t>
      </w:r>
      <w:r>
        <w:rPr>
          <w:rStyle w:val="CETBodytextCarattere"/>
          <w:b w:val="0"/>
          <w:bCs/>
        </w:rPr>
        <w:t>1</w:t>
      </w:r>
      <w:r w:rsidRPr="003468DC">
        <w:rPr>
          <w:rStyle w:val="CETBodytextCarattere"/>
          <w:b w:val="0"/>
          <w:bCs/>
        </w:rPr>
        <w:t xml:space="preserve"> achieved a conversion of 86.0% ± 18.40% (GP prediction) versus 93.3% (in silico</w:t>
      </w:r>
      <w:r>
        <w:rPr>
          <w:rStyle w:val="CETBodytextCarattere"/>
          <w:b w:val="0"/>
          <w:bCs/>
        </w:rPr>
        <w:t xml:space="preserve"> experiment</w:t>
      </w:r>
      <w:r w:rsidRPr="003468DC">
        <w:rPr>
          <w:rStyle w:val="CETBodytextCarattere"/>
          <w:b w:val="0"/>
          <w:bCs/>
        </w:rPr>
        <w:t>), with a</w:t>
      </w:r>
      <w:r>
        <w:rPr>
          <w:rStyle w:val="CETBodytextCarattere"/>
          <w:b w:val="0"/>
          <w:bCs/>
        </w:rPr>
        <w:t xml:space="preserve"> </w:t>
      </w:r>
      <w:r w:rsidRPr="003468DC">
        <w:rPr>
          <w:rStyle w:val="CETBodytextCarattere"/>
          <w:b w:val="0"/>
          <w:bCs/>
        </w:rPr>
        <w:t>FIM</w:t>
      </w:r>
      <w:r>
        <w:rPr>
          <w:rStyle w:val="CETBodytextCarattere"/>
          <w:b w:val="0"/>
          <w:bCs/>
        </w:rPr>
        <w:t xml:space="preserve"> score</w:t>
      </w:r>
      <w:r w:rsidRPr="003468DC">
        <w:rPr>
          <w:rStyle w:val="CETBodytextCarattere"/>
          <w:b w:val="0"/>
          <w:bCs/>
        </w:rPr>
        <w:t xml:space="preserve"> of 1070 and 1339 respectively</w:t>
      </w:r>
      <w:r w:rsidR="00D6059C">
        <w:rPr>
          <w:rStyle w:val="CETBodytextCarattere"/>
          <w:b w:val="0"/>
          <w:bCs/>
        </w:rPr>
        <w:t xml:space="preserve"> showing close match between GP predictions, and in silico outcomes</w:t>
      </w:r>
      <w:r w:rsidRPr="003468DC">
        <w:rPr>
          <w:rStyle w:val="CETBodytextCarattere"/>
          <w:b w:val="0"/>
          <w:bCs/>
        </w:rPr>
        <w:t xml:space="preserve">. A clear trend emerged across all experiments: as FIM </w:t>
      </w:r>
      <w:r>
        <w:rPr>
          <w:rStyle w:val="CETBodytextCarattere"/>
          <w:b w:val="0"/>
          <w:bCs/>
        </w:rPr>
        <w:t xml:space="preserve">score </w:t>
      </w:r>
      <w:r w:rsidRPr="003468DC">
        <w:rPr>
          <w:rStyle w:val="CETBodytextCarattere"/>
          <w:b w:val="0"/>
          <w:bCs/>
        </w:rPr>
        <w:t>increased, methane conversion also improved. This correlation confirms that information-rich conditions not only enhance parameter identifiability but also drive reactor performance toward optimal regimes. The highest observed FIM corresponded to a near-optimal conversion of 89.5%, underscoring the effectiveness of the GP-informed experimental design. These findings position the F</w:t>
      </w:r>
      <w:r>
        <w:rPr>
          <w:rStyle w:val="CETBodytextCarattere"/>
          <w:b w:val="0"/>
          <w:bCs/>
        </w:rPr>
        <w:t>IM</w:t>
      </w:r>
      <w:r w:rsidRPr="003468DC">
        <w:rPr>
          <w:rStyle w:val="CETBodytextCarattere"/>
          <w:b w:val="0"/>
          <w:bCs/>
        </w:rPr>
        <w:t xml:space="preserve"> score as a </w:t>
      </w:r>
      <w:r>
        <w:rPr>
          <w:rStyle w:val="CETBodytextCarattere"/>
          <w:b w:val="0"/>
          <w:bCs/>
        </w:rPr>
        <w:t xml:space="preserve">potential </w:t>
      </w:r>
      <w:r w:rsidRPr="003468DC">
        <w:rPr>
          <w:rStyle w:val="CETBodytextCarattere"/>
          <w:b w:val="0"/>
          <w:bCs/>
        </w:rPr>
        <w:t xml:space="preserve">metric for guiding data-driven optimization in catalytic reaction systems. </w:t>
      </w:r>
      <w:r w:rsidR="00716C10" w:rsidRPr="00C94049">
        <w:rPr>
          <w:b w:val="0"/>
          <w:bCs/>
          <w:sz w:val="18"/>
          <w:lang w:val="en-GB"/>
        </w:rPr>
        <w:t xml:space="preserve">However, the current study is limited by the relatively small size of the experimental dataset, which may affect the generalizability and robustness of the </w:t>
      </w:r>
      <w:r w:rsidR="009F7368" w:rsidRPr="00C94049">
        <w:rPr>
          <w:b w:val="0"/>
          <w:bCs/>
          <w:sz w:val="18"/>
          <w:lang w:val="en-GB"/>
        </w:rPr>
        <w:t>GP</w:t>
      </w:r>
      <w:r w:rsidR="00716C10" w:rsidRPr="00C94049">
        <w:rPr>
          <w:b w:val="0"/>
          <w:bCs/>
          <w:sz w:val="18"/>
          <w:lang w:val="en-GB"/>
        </w:rPr>
        <w:t xml:space="preserve"> models. </w:t>
      </w:r>
      <w:r w:rsidRPr="00C94049">
        <w:rPr>
          <w:rStyle w:val="CETBodytextCarattere"/>
          <w:b w:val="0"/>
          <w:bCs/>
        </w:rPr>
        <w:t xml:space="preserve">Future work will focus on </w:t>
      </w:r>
      <w:proofErr w:type="spellStart"/>
      <w:r w:rsidR="009F7368" w:rsidRPr="00C94049">
        <w:rPr>
          <w:rStyle w:val="CETBodytextCarattere"/>
          <w:b w:val="0"/>
          <w:bCs/>
        </w:rPr>
        <w:t>i</w:t>
      </w:r>
      <w:proofErr w:type="spellEnd"/>
      <w:r w:rsidR="009F7368" w:rsidRPr="00C94049">
        <w:rPr>
          <w:rStyle w:val="CETBodytextCarattere"/>
          <w:b w:val="0"/>
          <w:bCs/>
        </w:rPr>
        <w:t xml:space="preserve">) </w:t>
      </w:r>
      <w:r w:rsidRPr="00C94049">
        <w:rPr>
          <w:rStyle w:val="CETBodytextCarattere"/>
          <w:b w:val="0"/>
          <w:bCs/>
        </w:rPr>
        <w:t>extending this workflow to more complex systems, including dynamic or multi-step reactions</w:t>
      </w:r>
      <w:r w:rsidR="009F7368" w:rsidRPr="00C94049">
        <w:rPr>
          <w:rStyle w:val="CETBodytextCarattere"/>
          <w:b w:val="0"/>
          <w:bCs/>
        </w:rPr>
        <w:t>;</w:t>
      </w:r>
      <w:r w:rsidRPr="00C94049">
        <w:rPr>
          <w:rStyle w:val="CETBodytextCarattere"/>
          <w:b w:val="0"/>
          <w:bCs/>
        </w:rPr>
        <w:t xml:space="preserve"> </w:t>
      </w:r>
      <w:r w:rsidR="009F7368" w:rsidRPr="00C94049">
        <w:rPr>
          <w:rStyle w:val="CETBodytextCarattere"/>
          <w:b w:val="0"/>
          <w:bCs/>
        </w:rPr>
        <w:t xml:space="preserve">ii) </w:t>
      </w:r>
      <w:r w:rsidRPr="00C94049">
        <w:rPr>
          <w:rStyle w:val="CETBodytextCarattere"/>
          <w:b w:val="0"/>
          <w:bCs/>
        </w:rPr>
        <w:t>exploring multi-objective design scenarios</w:t>
      </w:r>
      <w:r w:rsidR="009F7368" w:rsidRPr="00C94049">
        <w:rPr>
          <w:b w:val="0"/>
          <w:bCs/>
          <w:sz w:val="18"/>
          <w:lang w:val="en-GB"/>
        </w:rPr>
        <w:t>; iii)</w:t>
      </w:r>
      <w:r w:rsidR="00FB7B85" w:rsidRPr="00C94049">
        <w:rPr>
          <w:b w:val="0"/>
          <w:bCs/>
          <w:sz w:val="18"/>
          <w:lang w:val="en-GB"/>
        </w:rPr>
        <w:t xml:space="preserve"> expanding the experimental dataset to improve model generalizability</w:t>
      </w:r>
      <w:r w:rsidR="009F7368" w:rsidRPr="00C94049">
        <w:rPr>
          <w:b w:val="0"/>
          <w:bCs/>
          <w:sz w:val="18"/>
          <w:lang w:val="en-GB"/>
        </w:rPr>
        <w:t xml:space="preserve">; </w:t>
      </w:r>
      <w:r w:rsidR="00C94049" w:rsidRPr="00C94049">
        <w:rPr>
          <w:b w:val="0"/>
          <w:bCs/>
          <w:sz w:val="18"/>
          <w:lang w:val="en-GB"/>
        </w:rPr>
        <w:t>iv) benchmarking</w:t>
      </w:r>
      <w:r w:rsidR="00FB7B85" w:rsidRPr="00C94049">
        <w:rPr>
          <w:b w:val="0"/>
          <w:bCs/>
          <w:sz w:val="18"/>
          <w:lang w:val="en-GB"/>
        </w:rPr>
        <w:t xml:space="preserve"> the proposed approach against other uncertainty quantification methods such as Bayesian neural networks and Markov Chain Monte Carlo.</w:t>
      </w:r>
    </w:p>
    <w:p w14:paraId="3DBC96FB" w14:textId="77777777" w:rsidR="00807552" w:rsidRPr="00D05265" w:rsidRDefault="00807552" w:rsidP="00807552">
      <w:pPr>
        <w:pStyle w:val="CETCaption"/>
        <w:spacing w:before="0" w:after="0" w:line="240" w:lineRule="auto"/>
      </w:pPr>
    </w:p>
    <w:p w14:paraId="06F902D0" w14:textId="77777777" w:rsidR="00807552" w:rsidRPr="003D7084" w:rsidRDefault="00807552" w:rsidP="00807552">
      <w:pPr>
        <w:pStyle w:val="CETReferencetext"/>
        <w:ind w:left="0" w:firstLine="0"/>
        <w:rPr>
          <w:rFonts w:ascii="Calibri Light" w:hAnsi="Calibri Light" w:cs="Calibri Light"/>
          <w:b/>
          <w:bCs/>
          <w:sz w:val="22"/>
          <w:szCs w:val="22"/>
        </w:rPr>
      </w:pPr>
      <w:r w:rsidRPr="003D7084">
        <w:rPr>
          <w:rFonts w:ascii="Calibri Light" w:hAnsi="Calibri Light" w:cs="Calibri Light"/>
          <w:b/>
          <w:bCs/>
          <w:sz w:val="22"/>
          <w:szCs w:val="22"/>
        </w:rPr>
        <w:t>REFERENCES</w:t>
      </w:r>
    </w:p>
    <w:p w14:paraId="19EDA10F" w14:textId="77777777" w:rsidR="00807552" w:rsidRPr="00BC5A5C" w:rsidRDefault="00807552" w:rsidP="00807552">
      <w:pPr>
        <w:pStyle w:val="CETReferencetext"/>
      </w:pPr>
      <w:r w:rsidRPr="00BC5A5C">
        <w:t xml:space="preserve">Abdar, M., </w:t>
      </w:r>
      <w:proofErr w:type="spellStart"/>
      <w:r w:rsidRPr="00BC5A5C">
        <w:t>Pourpanah</w:t>
      </w:r>
      <w:proofErr w:type="spellEnd"/>
      <w:r w:rsidRPr="00BC5A5C">
        <w:t xml:space="preserve">, F., Hussain, S., </w:t>
      </w:r>
      <w:proofErr w:type="spellStart"/>
      <w:r w:rsidRPr="00BC5A5C">
        <w:t>Rezazadegan</w:t>
      </w:r>
      <w:proofErr w:type="spellEnd"/>
      <w:r w:rsidRPr="00BC5A5C">
        <w:t xml:space="preserve">, D., Liu, L., </w:t>
      </w:r>
      <w:proofErr w:type="spellStart"/>
      <w:r w:rsidRPr="00BC5A5C">
        <w:t>Ghavamzadeh</w:t>
      </w:r>
      <w:proofErr w:type="spellEnd"/>
      <w:r w:rsidRPr="00BC5A5C">
        <w:t xml:space="preserve">, M., </w:t>
      </w:r>
      <w:proofErr w:type="spellStart"/>
      <w:r w:rsidRPr="00BC5A5C">
        <w:t>Fieguth</w:t>
      </w:r>
      <w:proofErr w:type="spellEnd"/>
      <w:r w:rsidRPr="00BC5A5C">
        <w:t xml:space="preserve">, P., Cao, X., Khosravi, A., Acharya, U.R., &amp; </w:t>
      </w:r>
      <w:proofErr w:type="spellStart"/>
      <w:r w:rsidRPr="00BC5A5C">
        <w:t>Makarenkov</w:t>
      </w:r>
      <w:proofErr w:type="spellEnd"/>
      <w:r w:rsidRPr="00BC5A5C">
        <w:t>, V. (2021). A review of uncertainty quantification in deep learning: Techniques, applications and challenges. Information Fusion, 76, 243–297.</w:t>
      </w:r>
    </w:p>
    <w:p w14:paraId="4C487877" w14:textId="77777777" w:rsidR="00807552" w:rsidRPr="00BC5A5C" w:rsidRDefault="00807552" w:rsidP="00807552">
      <w:pPr>
        <w:pStyle w:val="CETReferencetext"/>
      </w:pPr>
      <w:r w:rsidRPr="00BC5A5C">
        <w:t>Barad, M. (2014). Design of Experiments (DOE)—A Valuable Multi-Purpose Methodology. Applied Mathematics, 5(14), 2521–2530.</w:t>
      </w:r>
    </w:p>
    <w:p w14:paraId="13425A08" w14:textId="77777777" w:rsidR="00807552" w:rsidRPr="00BC5A5C" w:rsidRDefault="00807552" w:rsidP="00807552">
      <w:pPr>
        <w:pStyle w:val="CETReferencetext"/>
      </w:pPr>
      <w:r w:rsidRPr="00BC5A5C">
        <w:t>Bawa, S. G., Pankajakshan, A., Waldron, C., Cao, E., Galvanin, F., &amp; Gavriilidis, A. (2023). Rapid Screening of Kinetic Models for Methane Total Oxidation using an Automated Gas Phase Catalytic Microreactor Platform. Chemistry</w:t>
      </w:r>
      <w:r w:rsidRPr="00BC5A5C">
        <w:rPr>
          <w:rFonts w:ascii="Cambria Math" w:hAnsi="Cambria Math" w:cs="Cambria Math"/>
        </w:rPr>
        <w:t>‐</w:t>
      </w:r>
      <w:r w:rsidRPr="00BC5A5C">
        <w:t>Methods, 3(1), e202200049.</w:t>
      </w:r>
    </w:p>
    <w:p w14:paraId="73848E7D" w14:textId="77777777" w:rsidR="00807552" w:rsidRPr="00BC5A5C" w:rsidRDefault="00807552" w:rsidP="00807552">
      <w:pPr>
        <w:pStyle w:val="CETReferencetext"/>
      </w:pPr>
      <w:r w:rsidRPr="00BC5A5C">
        <w:t>Cenci, F., Pankajakshan, A., Facco, P., &amp; Galvanin, F. (2023). An exploratory model-based design of experiments approach to aid parameters identification and reduce model prediction uncertainty. Computers &amp; Chemical Engineering, 177, 108353.</w:t>
      </w:r>
    </w:p>
    <w:p w14:paraId="3F5B4A58" w14:textId="77777777" w:rsidR="00807552" w:rsidRPr="00BC5A5C" w:rsidRDefault="00807552" w:rsidP="00807552">
      <w:pPr>
        <w:pStyle w:val="CETReferencetext"/>
      </w:pPr>
      <w:r w:rsidRPr="00BC5A5C">
        <w:t xml:space="preserve">Chen, J., </w:t>
      </w:r>
      <w:proofErr w:type="spellStart"/>
      <w:r w:rsidRPr="00BC5A5C">
        <w:t>Arandiyan</w:t>
      </w:r>
      <w:proofErr w:type="spellEnd"/>
      <w:r w:rsidRPr="00BC5A5C">
        <w:t>, H., Gao, X., &amp; Hao, X. (2015). Recent advances in catalysts for methane combustion. Catalysis Surveys from Asia, 19(3-4), 140–171.</w:t>
      </w:r>
    </w:p>
    <w:p w14:paraId="2C3FF267" w14:textId="77777777" w:rsidR="00807552" w:rsidRPr="00BC5A5C" w:rsidRDefault="00807552" w:rsidP="00807552">
      <w:pPr>
        <w:pStyle w:val="CETReferencetext"/>
      </w:pPr>
      <w:r w:rsidRPr="00BC5A5C">
        <w:t>Friso, A., &amp; Galvanin, F. (2024). An optimization-free Fisher information driven approach for online design of experiments. Computers &amp; Chemical Engineering, 187, 108724.</w:t>
      </w:r>
    </w:p>
    <w:p w14:paraId="2C432A7E" w14:textId="77777777" w:rsidR="00807552" w:rsidRDefault="00807552" w:rsidP="00807552">
      <w:pPr>
        <w:pStyle w:val="CETReferencetext"/>
      </w:pPr>
      <w:r w:rsidRPr="00BC5A5C">
        <w:t xml:space="preserve">Karakurt, I., Aydin, G., &amp; </w:t>
      </w:r>
      <w:proofErr w:type="spellStart"/>
      <w:r w:rsidRPr="00BC5A5C">
        <w:t>Aydiner</w:t>
      </w:r>
      <w:proofErr w:type="spellEnd"/>
      <w:r w:rsidRPr="00BC5A5C">
        <w:t>, K. (2012). Sources and mitigation of methane emissions by sectors: A critical review. Renewable energy, 39(1), 40-48.</w:t>
      </w:r>
    </w:p>
    <w:p w14:paraId="63D4FBA4" w14:textId="452CEEBE" w:rsidR="009444C8" w:rsidRPr="00BC5A5C" w:rsidRDefault="009444C8" w:rsidP="00807552">
      <w:pPr>
        <w:pStyle w:val="CETReferencetext"/>
      </w:pPr>
      <w:r w:rsidRPr="009444C8">
        <w:t xml:space="preserve">Li, G., </w:t>
      </w:r>
      <w:proofErr w:type="spellStart"/>
      <w:r w:rsidRPr="009444C8">
        <w:t>Zrimec</w:t>
      </w:r>
      <w:proofErr w:type="spellEnd"/>
      <w:r w:rsidRPr="009444C8">
        <w:t xml:space="preserve">, J., Ji, B., Geng, J., </w:t>
      </w:r>
      <w:proofErr w:type="spellStart"/>
      <w:r w:rsidRPr="009444C8">
        <w:t>Larsbrink</w:t>
      </w:r>
      <w:proofErr w:type="spellEnd"/>
      <w:r w:rsidRPr="009444C8">
        <w:t xml:space="preserve">, J., </w:t>
      </w:r>
      <w:proofErr w:type="spellStart"/>
      <w:r w:rsidRPr="009444C8">
        <w:t>Zelezniak</w:t>
      </w:r>
      <w:proofErr w:type="spellEnd"/>
      <w:r w:rsidRPr="009444C8">
        <w:t xml:space="preserve">, A., Nielsen, J., &amp; Engqvist, M. K. M. (2021). Performance of regression models as a function of experiment noise. </w:t>
      </w:r>
      <w:r w:rsidRPr="009444C8">
        <w:rPr>
          <w:i/>
          <w:iCs/>
        </w:rPr>
        <w:t>Bioinformatics and Biology Insights, 15</w:t>
      </w:r>
    </w:p>
    <w:p w14:paraId="27C1EBC8" w14:textId="77777777" w:rsidR="00807552" w:rsidRDefault="00807552" w:rsidP="00807552">
      <w:pPr>
        <w:pStyle w:val="CETReferencetext"/>
      </w:pPr>
      <w:r w:rsidRPr="00BC5A5C">
        <w:t>Maritz, J., Lubbe, F., &amp; Lagrange, L. (2018). A practical guide to Gaussian process regression for energy measurement and verification within the Bayesian framework. Energies, 11(4), 935.</w:t>
      </w:r>
    </w:p>
    <w:p w14:paraId="0F891925" w14:textId="19964C94" w:rsidR="008E3991" w:rsidRPr="00BC5A5C" w:rsidRDefault="008E3991" w:rsidP="00807552">
      <w:pPr>
        <w:pStyle w:val="CETReferencetext"/>
      </w:pPr>
      <w:r w:rsidRPr="008E3991">
        <w:t>Pankajakshan, A., Bawa, S. G., Gavriilidis, A., &amp; Galvanin, F. (2023). Autonomous kinetic model identification using optimal experimental design and retrospective data analysis: methane complete oxidation as a case study. Reaction Chemistry &amp; Engineering, 8(12), 3000-3017.</w:t>
      </w:r>
    </w:p>
    <w:p w14:paraId="557F207C" w14:textId="77777777" w:rsidR="00807552" w:rsidRPr="00BC5A5C" w:rsidRDefault="00807552" w:rsidP="00807552">
      <w:pPr>
        <w:pStyle w:val="CETReferencetext"/>
      </w:pPr>
      <w:r w:rsidRPr="00BC5A5C">
        <w:t>Samuel, H. S., Etim, E. E., Nweke-</w:t>
      </w:r>
      <w:proofErr w:type="spellStart"/>
      <w:r w:rsidRPr="00BC5A5C">
        <w:t>Maraizu</w:t>
      </w:r>
      <w:proofErr w:type="spellEnd"/>
      <w:r w:rsidRPr="00BC5A5C">
        <w:t>, U., &amp; Yakubu, S. (2024). Machine Learning in Chemical Kinetics: Predictions, Mechanistic Analysis, and Reaction Optimization. Applied Journal of Environmental Engineering Science, 10(1).</w:t>
      </w:r>
    </w:p>
    <w:p w14:paraId="090E242B" w14:textId="77777777" w:rsidR="00807552" w:rsidRPr="00BC5A5C" w:rsidRDefault="00807552" w:rsidP="00807552">
      <w:pPr>
        <w:pStyle w:val="CETReferencetext"/>
      </w:pPr>
      <w:r w:rsidRPr="00BC5A5C">
        <w:t>Tao, Y., Smith, G. P., &amp; Wang, H. (2018). Critical kinetic uncertainties in modelling hydrogen/carbon monoxide, methane, methanol, formaldehyde, and ethylene combustion. Combustion and Flame, 195, 18-29.</w:t>
      </w:r>
    </w:p>
    <w:p w14:paraId="7E8E4768" w14:textId="77777777" w:rsidR="00807552" w:rsidRDefault="00807552" w:rsidP="00807552">
      <w:pPr>
        <w:pStyle w:val="CETReferencetext"/>
      </w:pPr>
      <w:r w:rsidRPr="00BC5A5C">
        <w:t>Yang, J., Langley, R. S., &amp; Andrade, L. (2022). Digital twins for design in the presence of uncertainties. Mechanical Systems and Signal Processing, 179, 109338.</w:t>
      </w:r>
      <w:bookmarkEnd w:id="1"/>
    </w:p>
    <w:sectPr w:rsidR="00807552" w:rsidSect="0047196E">
      <w:pgSz w:w="11906" w:h="16838"/>
      <w:pgMar w:top="284" w:right="1440" w:bottom="993"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Bawa, Solomon" w:date="2025-07-11T10:46:00Z" w:initials="SB">
    <w:p w14:paraId="72F47A31" w14:textId="77777777" w:rsidR="003A6EC9" w:rsidRDefault="003A6EC9" w:rsidP="003A6EC9">
      <w:pPr>
        <w:pStyle w:val="CommentText"/>
      </w:pPr>
      <w:r>
        <w:rPr>
          <w:rStyle w:val="CommentReference"/>
        </w:rPr>
        <w:annotationRef/>
      </w:r>
      <w:r>
        <w:t>Why did you state the rand for temperature but the limits for other variables were not stated.</w:t>
      </w:r>
    </w:p>
  </w:comment>
  <w:comment w:id="3" w:author="Aku, Michael" w:date="2025-07-11T11:52:00Z" w:initials="MA">
    <w:p w14:paraId="34923C06" w14:textId="77777777" w:rsidR="005051DA" w:rsidRDefault="005051DA" w:rsidP="005051DA">
      <w:pPr>
        <w:pStyle w:val="CommentText"/>
      </w:pPr>
      <w:r>
        <w:rPr>
          <w:rStyle w:val="CommentReference"/>
        </w:rPr>
        <w:annotationRef/>
      </w:r>
      <w:r>
        <w:t>I have revised this to make reference to Table 1, since restating it would mean repetition, and take more space</w:t>
      </w:r>
    </w:p>
  </w:comment>
  <w:comment w:id="5" w:author="Galvanin, Federico" w:date="2025-07-10T16:22:00Z" w:initials="FG">
    <w:p w14:paraId="6E75220D" w14:textId="5185F09B" w:rsidR="009F7368" w:rsidRDefault="009F7368" w:rsidP="009F7368">
      <w:pPr>
        <w:pStyle w:val="CommentText"/>
      </w:pPr>
      <w:r>
        <w:rPr>
          <w:rStyle w:val="CommentReference"/>
        </w:rPr>
        <w:annotationRef/>
      </w:r>
      <w:r>
        <w:t xml:space="preserve">Please be sure that figures and captions are not broken between pages. </w:t>
      </w:r>
    </w:p>
  </w:comment>
  <w:comment w:id="4" w:author="Aku, Michael" w:date="2025-07-11T11:54:00Z" w:initials="MA">
    <w:p w14:paraId="503050D5" w14:textId="77777777" w:rsidR="005051DA" w:rsidRDefault="005051DA" w:rsidP="005051DA">
      <w:pPr>
        <w:pStyle w:val="CommentText"/>
      </w:pPr>
      <w:r>
        <w:rPr>
          <w:rStyle w:val="CommentReference"/>
        </w:rPr>
        <w:annotationRef/>
      </w:r>
      <w:r>
        <w:t>Alright. Thanks. Prof, will adjust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2F47A31" w15:done="0"/>
  <w15:commentEx w15:paraId="34923C06" w15:paraIdParent="72F47A31" w15:done="0"/>
  <w15:commentEx w15:paraId="6E75220D" w15:done="0"/>
  <w15:commentEx w15:paraId="503050D5" w15:paraIdParent="6E7522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6A3502B" w16cex:dateUtc="2025-07-11T09:46:00Z"/>
  <w16cex:commentExtensible w16cex:durableId="728326E2" w16cex:dateUtc="2025-07-11T10:52:00Z"/>
  <w16cex:commentExtensible w16cex:durableId="389A8A99" w16cex:dateUtc="2025-07-10T15:22:00Z"/>
  <w16cex:commentExtensible w16cex:durableId="16C40DBC" w16cex:dateUtc="2025-07-11T1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2F47A31" w16cid:durableId="66A3502B"/>
  <w16cid:commentId w16cid:paraId="34923C06" w16cid:durableId="728326E2"/>
  <w16cid:commentId w16cid:paraId="6E75220D" w16cid:durableId="389A8A99"/>
  <w16cid:commentId w16cid:paraId="503050D5" w16cid:durableId="16C40DB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ter">
    <w:altName w:val="Cambria"/>
    <w:charset w:val="00"/>
    <w:family w:val="auto"/>
    <w:pitch w:val="variable"/>
    <w:sig w:usb0="E00002FF" w:usb1="1200A1FF" w:usb2="00000001" w:usb3="00000000" w:csb0="0000019F" w:csb1="00000000"/>
  </w:font>
  <w:font w:name="Cormorant Medium">
    <w:altName w:val="Calibri"/>
    <w:charset w:val="00"/>
    <w:family w:val="auto"/>
    <w:pitch w:val="variable"/>
    <w:sig w:usb0="20000207" w:usb1="00000001" w:usb2="00000000" w:usb3="00000000" w:csb0="00000197" w:csb1="00000000"/>
  </w:font>
  <w:font w:name="AdvP6960">
    <w:altName w:val="Cambria"/>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70684"/>
    <w:multiLevelType w:val="hybridMultilevel"/>
    <w:tmpl w:val="59DE0DA4"/>
    <w:lvl w:ilvl="0" w:tplc="B10471C0">
      <w:start w:val="1"/>
      <w:numFmt w:val="decimal"/>
      <w:lvlText w:val="%1."/>
      <w:lvlJc w:val="left"/>
      <w:pPr>
        <w:ind w:left="1020" w:hanging="360"/>
      </w:pPr>
    </w:lvl>
    <w:lvl w:ilvl="1" w:tplc="479CA2C2">
      <w:start w:val="1"/>
      <w:numFmt w:val="decimal"/>
      <w:lvlText w:val="%2."/>
      <w:lvlJc w:val="left"/>
      <w:pPr>
        <w:ind w:left="1020" w:hanging="360"/>
      </w:pPr>
    </w:lvl>
    <w:lvl w:ilvl="2" w:tplc="6DCED1B8">
      <w:start w:val="1"/>
      <w:numFmt w:val="decimal"/>
      <w:lvlText w:val="%3."/>
      <w:lvlJc w:val="left"/>
      <w:pPr>
        <w:ind w:left="1020" w:hanging="360"/>
      </w:pPr>
    </w:lvl>
    <w:lvl w:ilvl="3" w:tplc="38489196">
      <w:start w:val="1"/>
      <w:numFmt w:val="decimal"/>
      <w:lvlText w:val="%4."/>
      <w:lvlJc w:val="left"/>
      <w:pPr>
        <w:ind w:left="1020" w:hanging="360"/>
      </w:pPr>
    </w:lvl>
    <w:lvl w:ilvl="4" w:tplc="9A74C4F0">
      <w:start w:val="1"/>
      <w:numFmt w:val="decimal"/>
      <w:lvlText w:val="%5."/>
      <w:lvlJc w:val="left"/>
      <w:pPr>
        <w:ind w:left="1020" w:hanging="360"/>
      </w:pPr>
    </w:lvl>
    <w:lvl w:ilvl="5" w:tplc="9DCE8EFC">
      <w:start w:val="1"/>
      <w:numFmt w:val="decimal"/>
      <w:lvlText w:val="%6."/>
      <w:lvlJc w:val="left"/>
      <w:pPr>
        <w:ind w:left="1020" w:hanging="360"/>
      </w:pPr>
    </w:lvl>
    <w:lvl w:ilvl="6" w:tplc="F04E95E0">
      <w:start w:val="1"/>
      <w:numFmt w:val="decimal"/>
      <w:lvlText w:val="%7."/>
      <w:lvlJc w:val="left"/>
      <w:pPr>
        <w:ind w:left="1020" w:hanging="360"/>
      </w:pPr>
    </w:lvl>
    <w:lvl w:ilvl="7" w:tplc="46FCC1EC">
      <w:start w:val="1"/>
      <w:numFmt w:val="decimal"/>
      <w:lvlText w:val="%8."/>
      <w:lvlJc w:val="left"/>
      <w:pPr>
        <w:ind w:left="1020" w:hanging="360"/>
      </w:pPr>
    </w:lvl>
    <w:lvl w:ilvl="8" w:tplc="0E2E44EC">
      <w:start w:val="1"/>
      <w:numFmt w:val="decimal"/>
      <w:lvlText w:val="%9."/>
      <w:lvlJc w:val="left"/>
      <w:pPr>
        <w:ind w:left="1020" w:hanging="360"/>
      </w:pPr>
    </w:lvl>
  </w:abstractNum>
  <w:abstractNum w:abstractNumId="1" w15:restartNumberingAfterBreak="0">
    <w:nsid w:val="079D3C5B"/>
    <w:multiLevelType w:val="hybridMultilevel"/>
    <w:tmpl w:val="5F94330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A963499"/>
    <w:multiLevelType w:val="hybridMultilevel"/>
    <w:tmpl w:val="0BB46F90"/>
    <w:lvl w:ilvl="0" w:tplc="56D00010">
      <w:start w:val="1"/>
      <w:numFmt w:val="decimal"/>
      <w:lvlText w:val="%1."/>
      <w:lvlJc w:val="left"/>
      <w:pPr>
        <w:ind w:left="1020" w:hanging="360"/>
      </w:pPr>
    </w:lvl>
    <w:lvl w:ilvl="1" w:tplc="E362CBDA">
      <w:start w:val="1"/>
      <w:numFmt w:val="decimal"/>
      <w:lvlText w:val="%2."/>
      <w:lvlJc w:val="left"/>
      <w:pPr>
        <w:ind w:left="1020" w:hanging="360"/>
      </w:pPr>
    </w:lvl>
    <w:lvl w:ilvl="2" w:tplc="E0248108">
      <w:start w:val="1"/>
      <w:numFmt w:val="decimal"/>
      <w:lvlText w:val="%3."/>
      <w:lvlJc w:val="left"/>
      <w:pPr>
        <w:ind w:left="1020" w:hanging="360"/>
      </w:pPr>
    </w:lvl>
    <w:lvl w:ilvl="3" w:tplc="80EC81F2">
      <w:start w:val="1"/>
      <w:numFmt w:val="decimal"/>
      <w:lvlText w:val="%4."/>
      <w:lvlJc w:val="left"/>
      <w:pPr>
        <w:ind w:left="1020" w:hanging="360"/>
      </w:pPr>
    </w:lvl>
    <w:lvl w:ilvl="4" w:tplc="9C7490C8">
      <w:start w:val="1"/>
      <w:numFmt w:val="decimal"/>
      <w:lvlText w:val="%5."/>
      <w:lvlJc w:val="left"/>
      <w:pPr>
        <w:ind w:left="1020" w:hanging="360"/>
      </w:pPr>
    </w:lvl>
    <w:lvl w:ilvl="5" w:tplc="F16A0BD4">
      <w:start w:val="1"/>
      <w:numFmt w:val="decimal"/>
      <w:lvlText w:val="%6."/>
      <w:lvlJc w:val="left"/>
      <w:pPr>
        <w:ind w:left="1020" w:hanging="360"/>
      </w:pPr>
    </w:lvl>
    <w:lvl w:ilvl="6" w:tplc="289E8030">
      <w:start w:val="1"/>
      <w:numFmt w:val="decimal"/>
      <w:lvlText w:val="%7."/>
      <w:lvlJc w:val="left"/>
      <w:pPr>
        <w:ind w:left="1020" w:hanging="360"/>
      </w:pPr>
    </w:lvl>
    <w:lvl w:ilvl="7" w:tplc="0FB027A8">
      <w:start w:val="1"/>
      <w:numFmt w:val="decimal"/>
      <w:lvlText w:val="%8."/>
      <w:lvlJc w:val="left"/>
      <w:pPr>
        <w:ind w:left="1020" w:hanging="360"/>
      </w:pPr>
    </w:lvl>
    <w:lvl w:ilvl="8" w:tplc="A3EE569C">
      <w:start w:val="1"/>
      <w:numFmt w:val="decimal"/>
      <w:lvlText w:val="%9."/>
      <w:lvlJc w:val="left"/>
      <w:pPr>
        <w:ind w:left="1020" w:hanging="360"/>
      </w:pPr>
    </w:lvl>
  </w:abstractNum>
  <w:abstractNum w:abstractNumId="3" w15:restartNumberingAfterBreak="0">
    <w:nsid w:val="56FA04EE"/>
    <w:multiLevelType w:val="hybridMultilevel"/>
    <w:tmpl w:val="C242D63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5C6E29C8"/>
    <w:multiLevelType w:val="hybridMultilevel"/>
    <w:tmpl w:val="37088DAE"/>
    <w:lvl w:ilvl="0" w:tplc="CBA88252">
      <w:start w:val="1"/>
      <w:numFmt w:val="decimal"/>
      <w:lvlText w:val="%1)"/>
      <w:lvlJc w:val="left"/>
      <w:pPr>
        <w:ind w:left="1020" w:hanging="360"/>
      </w:pPr>
    </w:lvl>
    <w:lvl w:ilvl="1" w:tplc="146A8C56">
      <w:start w:val="1"/>
      <w:numFmt w:val="decimal"/>
      <w:lvlText w:val="%2)"/>
      <w:lvlJc w:val="left"/>
      <w:pPr>
        <w:ind w:left="1020" w:hanging="360"/>
      </w:pPr>
    </w:lvl>
    <w:lvl w:ilvl="2" w:tplc="20084628">
      <w:start w:val="1"/>
      <w:numFmt w:val="decimal"/>
      <w:lvlText w:val="%3)"/>
      <w:lvlJc w:val="left"/>
      <w:pPr>
        <w:ind w:left="1020" w:hanging="360"/>
      </w:pPr>
    </w:lvl>
    <w:lvl w:ilvl="3" w:tplc="045C774A">
      <w:start w:val="1"/>
      <w:numFmt w:val="decimal"/>
      <w:lvlText w:val="%4)"/>
      <w:lvlJc w:val="left"/>
      <w:pPr>
        <w:ind w:left="1020" w:hanging="360"/>
      </w:pPr>
    </w:lvl>
    <w:lvl w:ilvl="4" w:tplc="BBF8B022">
      <w:start w:val="1"/>
      <w:numFmt w:val="decimal"/>
      <w:lvlText w:val="%5)"/>
      <w:lvlJc w:val="left"/>
      <w:pPr>
        <w:ind w:left="1020" w:hanging="360"/>
      </w:pPr>
    </w:lvl>
    <w:lvl w:ilvl="5" w:tplc="94B2D876">
      <w:start w:val="1"/>
      <w:numFmt w:val="decimal"/>
      <w:lvlText w:val="%6)"/>
      <w:lvlJc w:val="left"/>
      <w:pPr>
        <w:ind w:left="1020" w:hanging="360"/>
      </w:pPr>
    </w:lvl>
    <w:lvl w:ilvl="6" w:tplc="CEB44878">
      <w:start w:val="1"/>
      <w:numFmt w:val="decimal"/>
      <w:lvlText w:val="%7)"/>
      <w:lvlJc w:val="left"/>
      <w:pPr>
        <w:ind w:left="1020" w:hanging="360"/>
      </w:pPr>
    </w:lvl>
    <w:lvl w:ilvl="7" w:tplc="AB8481E2">
      <w:start w:val="1"/>
      <w:numFmt w:val="decimal"/>
      <w:lvlText w:val="%8)"/>
      <w:lvlJc w:val="left"/>
      <w:pPr>
        <w:ind w:left="1020" w:hanging="360"/>
      </w:pPr>
    </w:lvl>
    <w:lvl w:ilvl="8" w:tplc="472CF7B2">
      <w:start w:val="1"/>
      <w:numFmt w:val="decimal"/>
      <w:lvlText w:val="%9)"/>
      <w:lvlJc w:val="left"/>
      <w:pPr>
        <w:ind w:left="1020" w:hanging="360"/>
      </w:pPr>
    </w:lvl>
  </w:abstractNum>
  <w:abstractNum w:abstractNumId="5" w15:restartNumberingAfterBreak="0">
    <w:nsid w:val="647115DC"/>
    <w:multiLevelType w:val="hybridMultilevel"/>
    <w:tmpl w:val="139E189C"/>
    <w:lvl w:ilvl="0" w:tplc="88E2A6DE">
      <w:start w:val="1"/>
      <w:numFmt w:val="lowerLetter"/>
      <w:lvlText w:val="(%1)"/>
      <w:lvlJc w:val="left"/>
      <w:pPr>
        <w:ind w:left="2520" w:hanging="360"/>
      </w:pPr>
      <w:rPr>
        <w:rFonts w:hint="default"/>
      </w:rPr>
    </w:lvl>
    <w:lvl w:ilvl="1" w:tplc="20000019" w:tentative="1">
      <w:start w:val="1"/>
      <w:numFmt w:val="lowerLetter"/>
      <w:lvlText w:val="%2."/>
      <w:lvlJc w:val="left"/>
      <w:pPr>
        <w:ind w:left="3240" w:hanging="360"/>
      </w:pPr>
    </w:lvl>
    <w:lvl w:ilvl="2" w:tplc="2000001B" w:tentative="1">
      <w:start w:val="1"/>
      <w:numFmt w:val="lowerRoman"/>
      <w:lvlText w:val="%3."/>
      <w:lvlJc w:val="right"/>
      <w:pPr>
        <w:ind w:left="3960" w:hanging="180"/>
      </w:pPr>
    </w:lvl>
    <w:lvl w:ilvl="3" w:tplc="2000000F" w:tentative="1">
      <w:start w:val="1"/>
      <w:numFmt w:val="decimal"/>
      <w:lvlText w:val="%4."/>
      <w:lvlJc w:val="left"/>
      <w:pPr>
        <w:ind w:left="4680" w:hanging="360"/>
      </w:pPr>
    </w:lvl>
    <w:lvl w:ilvl="4" w:tplc="20000019" w:tentative="1">
      <w:start w:val="1"/>
      <w:numFmt w:val="lowerLetter"/>
      <w:lvlText w:val="%5."/>
      <w:lvlJc w:val="left"/>
      <w:pPr>
        <w:ind w:left="5400" w:hanging="360"/>
      </w:pPr>
    </w:lvl>
    <w:lvl w:ilvl="5" w:tplc="2000001B" w:tentative="1">
      <w:start w:val="1"/>
      <w:numFmt w:val="lowerRoman"/>
      <w:lvlText w:val="%6."/>
      <w:lvlJc w:val="right"/>
      <w:pPr>
        <w:ind w:left="6120" w:hanging="180"/>
      </w:pPr>
    </w:lvl>
    <w:lvl w:ilvl="6" w:tplc="2000000F" w:tentative="1">
      <w:start w:val="1"/>
      <w:numFmt w:val="decimal"/>
      <w:lvlText w:val="%7."/>
      <w:lvlJc w:val="left"/>
      <w:pPr>
        <w:ind w:left="6840" w:hanging="360"/>
      </w:pPr>
    </w:lvl>
    <w:lvl w:ilvl="7" w:tplc="20000019" w:tentative="1">
      <w:start w:val="1"/>
      <w:numFmt w:val="lowerLetter"/>
      <w:lvlText w:val="%8."/>
      <w:lvlJc w:val="left"/>
      <w:pPr>
        <w:ind w:left="7560" w:hanging="360"/>
      </w:pPr>
    </w:lvl>
    <w:lvl w:ilvl="8" w:tplc="2000001B" w:tentative="1">
      <w:start w:val="1"/>
      <w:numFmt w:val="lowerRoman"/>
      <w:lvlText w:val="%9."/>
      <w:lvlJc w:val="right"/>
      <w:pPr>
        <w:ind w:left="8280" w:hanging="180"/>
      </w:pPr>
    </w:lvl>
  </w:abstractNum>
  <w:abstractNum w:abstractNumId="6" w15:restartNumberingAfterBreak="0">
    <w:nsid w:val="647F2637"/>
    <w:multiLevelType w:val="hybridMultilevel"/>
    <w:tmpl w:val="A0E62CEA"/>
    <w:lvl w:ilvl="0" w:tplc="98C4239C">
      <w:start w:val="1"/>
      <w:numFmt w:val="decimal"/>
      <w:lvlText w:val="%1)"/>
      <w:lvlJc w:val="left"/>
      <w:pPr>
        <w:ind w:left="1020" w:hanging="360"/>
      </w:pPr>
    </w:lvl>
    <w:lvl w:ilvl="1" w:tplc="993C1CE8">
      <w:start w:val="1"/>
      <w:numFmt w:val="decimal"/>
      <w:lvlText w:val="%2)"/>
      <w:lvlJc w:val="left"/>
      <w:pPr>
        <w:ind w:left="1020" w:hanging="360"/>
      </w:pPr>
    </w:lvl>
    <w:lvl w:ilvl="2" w:tplc="3670CCA8">
      <w:start w:val="1"/>
      <w:numFmt w:val="decimal"/>
      <w:lvlText w:val="%3)"/>
      <w:lvlJc w:val="left"/>
      <w:pPr>
        <w:ind w:left="1020" w:hanging="360"/>
      </w:pPr>
    </w:lvl>
    <w:lvl w:ilvl="3" w:tplc="DE4EDCE0">
      <w:start w:val="1"/>
      <w:numFmt w:val="decimal"/>
      <w:lvlText w:val="%4)"/>
      <w:lvlJc w:val="left"/>
      <w:pPr>
        <w:ind w:left="1020" w:hanging="360"/>
      </w:pPr>
    </w:lvl>
    <w:lvl w:ilvl="4" w:tplc="0820056E">
      <w:start w:val="1"/>
      <w:numFmt w:val="decimal"/>
      <w:lvlText w:val="%5)"/>
      <w:lvlJc w:val="left"/>
      <w:pPr>
        <w:ind w:left="1020" w:hanging="360"/>
      </w:pPr>
    </w:lvl>
    <w:lvl w:ilvl="5" w:tplc="C2C80C7E">
      <w:start w:val="1"/>
      <w:numFmt w:val="decimal"/>
      <w:lvlText w:val="%6)"/>
      <w:lvlJc w:val="left"/>
      <w:pPr>
        <w:ind w:left="1020" w:hanging="360"/>
      </w:pPr>
    </w:lvl>
    <w:lvl w:ilvl="6" w:tplc="89146742">
      <w:start w:val="1"/>
      <w:numFmt w:val="decimal"/>
      <w:lvlText w:val="%7)"/>
      <w:lvlJc w:val="left"/>
      <w:pPr>
        <w:ind w:left="1020" w:hanging="360"/>
      </w:pPr>
    </w:lvl>
    <w:lvl w:ilvl="7" w:tplc="E9B8E4F0">
      <w:start w:val="1"/>
      <w:numFmt w:val="decimal"/>
      <w:lvlText w:val="%8)"/>
      <w:lvlJc w:val="left"/>
      <w:pPr>
        <w:ind w:left="1020" w:hanging="360"/>
      </w:pPr>
    </w:lvl>
    <w:lvl w:ilvl="8" w:tplc="476EDEE4">
      <w:start w:val="1"/>
      <w:numFmt w:val="decimal"/>
      <w:lvlText w:val="%9)"/>
      <w:lvlJc w:val="left"/>
      <w:pPr>
        <w:ind w:left="1020" w:hanging="360"/>
      </w:pPr>
    </w:lvl>
  </w:abstractNum>
  <w:abstractNum w:abstractNumId="7"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85E38D0"/>
    <w:multiLevelType w:val="hybridMultilevel"/>
    <w:tmpl w:val="35DA72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6CB658F8"/>
    <w:multiLevelType w:val="multilevel"/>
    <w:tmpl w:val="092E712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755D4565"/>
    <w:multiLevelType w:val="multilevel"/>
    <w:tmpl w:val="D562A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C6651F"/>
    <w:multiLevelType w:val="hybridMultilevel"/>
    <w:tmpl w:val="565A2FAA"/>
    <w:lvl w:ilvl="0" w:tplc="FEB05388">
      <w:start w:val="1"/>
      <w:numFmt w:val="decimal"/>
      <w:lvlText w:val="%1)"/>
      <w:lvlJc w:val="left"/>
      <w:pPr>
        <w:ind w:left="1020" w:hanging="360"/>
      </w:pPr>
    </w:lvl>
    <w:lvl w:ilvl="1" w:tplc="F83EFF84">
      <w:start w:val="1"/>
      <w:numFmt w:val="decimal"/>
      <w:lvlText w:val="%2)"/>
      <w:lvlJc w:val="left"/>
      <w:pPr>
        <w:ind w:left="1020" w:hanging="360"/>
      </w:pPr>
    </w:lvl>
    <w:lvl w:ilvl="2" w:tplc="FC8E9570">
      <w:start w:val="1"/>
      <w:numFmt w:val="decimal"/>
      <w:lvlText w:val="%3)"/>
      <w:lvlJc w:val="left"/>
      <w:pPr>
        <w:ind w:left="1020" w:hanging="360"/>
      </w:pPr>
    </w:lvl>
    <w:lvl w:ilvl="3" w:tplc="751C3CDC">
      <w:start w:val="1"/>
      <w:numFmt w:val="decimal"/>
      <w:lvlText w:val="%4)"/>
      <w:lvlJc w:val="left"/>
      <w:pPr>
        <w:ind w:left="1020" w:hanging="360"/>
      </w:pPr>
    </w:lvl>
    <w:lvl w:ilvl="4" w:tplc="2AF2CC62">
      <w:start w:val="1"/>
      <w:numFmt w:val="decimal"/>
      <w:lvlText w:val="%5)"/>
      <w:lvlJc w:val="left"/>
      <w:pPr>
        <w:ind w:left="1020" w:hanging="360"/>
      </w:pPr>
    </w:lvl>
    <w:lvl w:ilvl="5" w:tplc="6658D502">
      <w:start w:val="1"/>
      <w:numFmt w:val="decimal"/>
      <w:lvlText w:val="%6)"/>
      <w:lvlJc w:val="left"/>
      <w:pPr>
        <w:ind w:left="1020" w:hanging="360"/>
      </w:pPr>
    </w:lvl>
    <w:lvl w:ilvl="6" w:tplc="3CDA008E">
      <w:start w:val="1"/>
      <w:numFmt w:val="decimal"/>
      <w:lvlText w:val="%7)"/>
      <w:lvlJc w:val="left"/>
      <w:pPr>
        <w:ind w:left="1020" w:hanging="360"/>
      </w:pPr>
    </w:lvl>
    <w:lvl w:ilvl="7" w:tplc="B900EF28">
      <w:start w:val="1"/>
      <w:numFmt w:val="decimal"/>
      <w:lvlText w:val="%8)"/>
      <w:lvlJc w:val="left"/>
      <w:pPr>
        <w:ind w:left="1020" w:hanging="360"/>
      </w:pPr>
    </w:lvl>
    <w:lvl w:ilvl="8" w:tplc="71F07FA0">
      <w:start w:val="1"/>
      <w:numFmt w:val="decimal"/>
      <w:lvlText w:val="%9)"/>
      <w:lvlJc w:val="left"/>
      <w:pPr>
        <w:ind w:left="1020" w:hanging="360"/>
      </w:pPr>
    </w:lvl>
  </w:abstractNum>
  <w:num w:numId="1" w16cid:durableId="343019091">
    <w:abstractNumId w:val="1"/>
  </w:num>
  <w:num w:numId="2" w16cid:durableId="945383404">
    <w:abstractNumId w:val="8"/>
  </w:num>
  <w:num w:numId="3" w16cid:durableId="1361475270">
    <w:abstractNumId w:val="9"/>
  </w:num>
  <w:num w:numId="4" w16cid:durableId="1977102699">
    <w:abstractNumId w:val="7"/>
  </w:num>
  <w:num w:numId="5" w16cid:durableId="287441307">
    <w:abstractNumId w:val="10"/>
  </w:num>
  <w:num w:numId="6" w16cid:durableId="67073107">
    <w:abstractNumId w:val="2"/>
  </w:num>
  <w:num w:numId="7" w16cid:durableId="1064912832">
    <w:abstractNumId w:val="0"/>
  </w:num>
  <w:num w:numId="8" w16cid:durableId="735858948">
    <w:abstractNumId w:val="5"/>
  </w:num>
  <w:num w:numId="9" w16cid:durableId="1139032619">
    <w:abstractNumId w:val="11"/>
  </w:num>
  <w:num w:numId="10" w16cid:durableId="976104976">
    <w:abstractNumId w:val="6"/>
  </w:num>
  <w:num w:numId="11" w16cid:durableId="145822043">
    <w:abstractNumId w:val="4"/>
  </w:num>
  <w:num w:numId="12" w16cid:durableId="123150315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wa, Solomon">
    <w15:presenceInfo w15:providerId="AD" w15:userId="S::ucecsgb@ucl.ac.uk::4e079779-10c2-4be3-9712-eb0c74c76d14"/>
  </w15:person>
  <w15:person w15:author="Aku, Michael">
    <w15:presenceInfo w15:providerId="AD" w15:userId="S::uceckux@ucl.ac.uk::b40f04e2-0973-4b72-97b1-a150be05052e"/>
  </w15:person>
  <w15:person w15:author="Galvanin, Federico">
    <w15:presenceInfo w15:providerId="AD" w15:userId="S::ucecfga@ucl.ac.uk::081a29d8-08b7-490d-866d-1b244fd85e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552"/>
    <w:rsid w:val="00121D21"/>
    <w:rsid w:val="0013585F"/>
    <w:rsid w:val="002F28EA"/>
    <w:rsid w:val="003A6EC9"/>
    <w:rsid w:val="00416EAE"/>
    <w:rsid w:val="0047196E"/>
    <w:rsid w:val="004926FE"/>
    <w:rsid w:val="005051DA"/>
    <w:rsid w:val="00560BA4"/>
    <w:rsid w:val="005A2D8D"/>
    <w:rsid w:val="00641CD9"/>
    <w:rsid w:val="006F0BD5"/>
    <w:rsid w:val="00716C10"/>
    <w:rsid w:val="00766705"/>
    <w:rsid w:val="007C3174"/>
    <w:rsid w:val="0080503E"/>
    <w:rsid w:val="00807552"/>
    <w:rsid w:val="00827B6B"/>
    <w:rsid w:val="008E3991"/>
    <w:rsid w:val="0094132F"/>
    <w:rsid w:val="009444C8"/>
    <w:rsid w:val="009C60AB"/>
    <w:rsid w:val="009E0F01"/>
    <w:rsid w:val="009F7368"/>
    <w:rsid w:val="00A0449D"/>
    <w:rsid w:val="00A461A1"/>
    <w:rsid w:val="00C57FDB"/>
    <w:rsid w:val="00C94049"/>
    <w:rsid w:val="00D6059C"/>
    <w:rsid w:val="00DB40F1"/>
    <w:rsid w:val="00DF6930"/>
    <w:rsid w:val="00E32C5A"/>
    <w:rsid w:val="00E53FE3"/>
    <w:rsid w:val="00ED2619"/>
    <w:rsid w:val="00F260BC"/>
    <w:rsid w:val="00F6176E"/>
    <w:rsid w:val="00F71477"/>
    <w:rsid w:val="00FB7B85"/>
    <w:rsid w:val="00FE5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A752C"/>
  <w15:chartTrackingRefBased/>
  <w15:docId w15:val="{EB09F742-1B54-4F56-AAF3-DDC11DEBF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552"/>
  </w:style>
  <w:style w:type="paragraph" w:styleId="Heading1">
    <w:name w:val="heading 1"/>
    <w:basedOn w:val="Normal"/>
    <w:next w:val="Normal"/>
    <w:link w:val="Heading1Char"/>
    <w:uiPriority w:val="9"/>
    <w:qFormat/>
    <w:rsid w:val="008075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75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75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75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75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75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75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75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75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5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75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75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75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75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75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75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75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7552"/>
    <w:rPr>
      <w:rFonts w:eastAsiaTheme="majorEastAsia" w:cstheme="majorBidi"/>
      <w:color w:val="272727" w:themeColor="text1" w:themeTint="D8"/>
    </w:rPr>
  </w:style>
  <w:style w:type="paragraph" w:styleId="Title">
    <w:name w:val="Title"/>
    <w:basedOn w:val="Normal"/>
    <w:next w:val="Normal"/>
    <w:link w:val="TitleChar"/>
    <w:uiPriority w:val="10"/>
    <w:qFormat/>
    <w:rsid w:val="008075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75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75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75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7552"/>
    <w:pPr>
      <w:spacing w:before="160"/>
      <w:jc w:val="center"/>
    </w:pPr>
    <w:rPr>
      <w:i/>
      <w:iCs/>
      <w:color w:val="404040" w:themeColor="text1" w:themeTint="BF"/>
    </w:rPr>
  </w:style>
  <w:style w:type="character" w:customStyle="1" w:styleId="QuoteChar">
    <w:name w:val="Quote Char"/>
    <w:basedOn w:val="DefaultParagraphFont"/>
    <w:link w:val="Quote"/>
    <w:uiPriority w:val="29"/>
    <w:rsid w:val="00807552"/>
    <w:rPr>
      <w:i/>
      <w:iCs/>
      <w:color w:val="404040" w:themeColor="text1" w:themeTint="BF"/>
    </w:rPr>
  </w:style>
  <w:style w:type="paragraph" w:styleId="ListParagraph">
    <w:name w:val="List Paragraph"/>
    <w:basedOn w:val="Normal"/>
    <w:uiPriority w:val="34"/>
    <w:qFormat/>
    <w:rsid w:val="00807552"/>
    <w:pPr>
      <w:ind w:left="720"/>
      <w:contextualSpacing/>
    </w:pPr>
  </w:style>
  <w:style w:type="character" w:styleId="IntenseEmphasis">
    <w:name w:val="Intense Emphasis"/>
    <w:basedOn w:val="DefaultParagraphFont"/>
    <w:uiPriority w:val="21"/>
    <w:qFormat/>
    <w:rsid w:val="00807552"/>
    <w:rPr>
      <w:i/>
      <w:iCs/>
      <w:color w:val="0F4761" w:themeColor="accent1" w:themeShade="BF"/>
    </w:rPr>
  </w:style>
  <w:style w:type="paragraph" w:styleId="IntenseQuote">
    <w:name w:val="Intense Quote"/>
    <w:basedOn w:val="Normal"/>
    <w:next w:val="Normal"/>
    <w:link w:val="IntenseQuoteChar"/>
    <w:uiPriority w:val="30"/>
    <w:qFormat/>
    <w:rsid w:val="008075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7552"/>
    <w:rPr>
      <w:i/>
      <w:iCs/>
      <w:color w:val="0F4761" w:themeColor="accent1" w:themeShade="BF"/>
    </w:rPr>
  </w:style>
  <w:style w:type="character" w:styleId="IntenseReference">
    <w:name w:val="Intense Reference"/>
    <w:basedOn w:val="DefaultParagraphFont"/>
    <w:uiPriority w:val="32"/>
    <w:qFormat/>
    <w:rsid w:val="00807552"/>
    <w:rPr>
      <w:b/>
      <w:bCs/>
      <w:smallCaps/>
      <w:color w:val="0F4761" w:themeColor="accent1" w:themeShade="BF"/>
      <w:spacing w:val="5"/>
    </w:rPr>
  </w:style>
  <w:style w:type="paragraph" w:customStyle="1" w:styleId="CETHeading1">
    <w:name w:val="CET Heading1"/>
    <w:next w:val="Normal"/>
    <w:qFormat/>
    <w:rsid w:val="00807552"/>
    <w:pPr>
      <w:keepNext/>
      <w:suppressAutoHyphens/>
      <w:spacing w:before="240" w:after="120" w:line="240" w:lineRule="auto"/>
    </w:pPr>
    <w:rPr>
      <w:rFonts w:ascii="Arial" w:eastAsia="Times New Roman" w:hAnsi="Arial" w:cs="Times New Roman"/>
      <w:b/>
      <w:kern w:val="0"/>
      <w:sz w:val="20"/>
      <w:szCs w:val="20"/>
      <w:lang w:val="en-US"/>
      <w14:ligatures w14:val="none"/>
    </w:rPr>
  </w:style>
  <w:style w:type="paragraph" w:customStyle="1" w:styleId="CETheadingx">
    <w:name w:val="CET headingx"/>
    <w:next w:val="Normal"/>
    <w:link w:val="CETheadingxCarattere"/>
    <w:autoRedefine/>
    <w:qFormat/>
    <w:rsid w:val="00FE5AD6"/>
    <w:pPr>
      <w:keepNext/>
      <w:numPr>
        <w:ilvl w:val="2"/>
      </w:numPr>
      <w:suppressAutoHyphens/>
      <w:spacing w:before="120" w:after="120" w:line="240" w:lineRule="auto"/>
      <w:jc w:val="both"/>
    </w:pPr>
    <w:rPr>
      <w:rFonts w:ascii="Arial" w:eastAsia="Times New Roman" w:hAnsi="Arial" w:cs="Times New Roman"/>
      <w:b/>
      <w:kern w:val="0"/>
      <w:sz w:val="18"/>
      <w:szCs w:val="20"/>
      <w:lang w:val="en-US"/>
      <w14:ligatures w14:val="none"/>
    </w:rPr>
  </w:style>
  <w:style w:type="table" w:styleId="TableSimple1">
    <w:name w:val="Table Simple 1"/>
    <w:basedOn w:val="TableNormal"/>
    <w:semiHidden/>
    <w:rsid w:val="00807552"/>
    <w:pPr>
      <w:spacing w:after="0" w:line="264" w:lineRule="auto"/>
      <w:jc w:val="both"/>
    </w:pPr>
    <w:rPr>
      <w:rFonts w:ascii="Times New Roman" w:eastAsia="Times New Roman" w:hAnsi="Times New Roman" w:cs="Times New Roman"/>
      <w:kern w:val="0"/>
      <w:sz w:val="20"/>
      <w:szCs w:val="20"/>
      <w:lang w:val="it-IT" w:eastAsia="it-IT"/>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ETEquation">
    <w:name w:val="CET Equation"/>
    <w:basedOn w:val="Normal"/>
    <w:next w:val="Normal"/>
    <w:qFormat/>
    <w:rsid w:val="00807552"/>
    <w:pPr>
      <w:tabs>
        <w:tab w:val="right" w:pos="7100"/>
      </w:tabs>
      <w:spacing w:before="120" w:after="120" w:line="264" w:lineRule="auto"/>
    </w:pPr>
    <w:rPr>
      <w:rFonts w:ascii="Arial" w:eastAsia="Times New Roman" w:hAnsi="Arial" w:cs="Times New Roman"/>
      <w:kern w:val="0"/>
      <w:sz w:val="18"/>
      <w:szCs w:val="20"/>
      <w14:ligatures w14:val="none"/>
    </w:rPr>
  </w:style>
  <w:style w:type="paragraph" w:customStyle="1" w:styleId="PSEEquation">
    <w:name w:val="PSE_Equation"/>
    <w:basedOn w:val="Normal"/>
    <w:next w:val="Normal"/>
    <w:link w:val="PSEEquationChar"/>
    <w:rsid w:val="00807552"/>
    <w:pPr>
      <w:widowControl w:val="0"/>
      <w:tabs>
        <w:tab w:val="right" w:pos="510"/>
      </w:tabs>
      <w:autoSpaceDE w:val="0"/>
      <w:autoSpaceDN w:val="0"/>
      <w:adjustRightInd w:val="0"/>
      <w:spacing w:before="120" w:after="120" w:line="264" w:lineRule="auto"/>
      <w:ind w:firstLine="425"/>
      <w:jc w:val="center"/>
    </w:pPr>
    <w:rPr>
      <w:rFonts w:ascii="Inter" w:hAnsi="Inter" w:cs="Cormorant Medium"/>
      <w:color w:val="000000"/>
      <w:kern w:val="0"/>
      <w:sz w:val="18"/>
      <w:szCs w:val="20"/>
      <w:lang w:val="en-CA"/>
      <w14:ligatures w14:val="none"/>
      <w14:numForm w14:val="lining"/>
    </w:rPr>
  </w:style>
  <w:style w:type="character" w:customStyle="1" w:styleId="PSEEquationChar">
    <w:name w:val="PSE_Equation Char"/>
    <w:basedOn w:val="DefaultParagraphFont"/>
    <w:link w:val="PSEEquation"/>
    <w:rsid w:val="00807552"/>
    <w:rPr>
      <w:rFonts w:ascii="Inter" w:hAnsi="Inter" w:cs="Cormorant Medium"/>
      <w:color w:val="000000"/>
      <w:kern w:val="0"/>
      <w:sz w:val="18"/>
      <w:szCs w:val="20"/>
      <w:lang w:val="en-CA"/>
      <w14:ligatures w14:val="none"/>
      <w14:numForm w14:val="lining"/>
    </w:rPr>
  </w:style>
  <w:style w:type="table" w:styleId="TableGrid">
    <w:name w:val="Table Grid"/>
    <w:basedOn w:val="TableNormal"/>
    <w:uiPriority w:val="39"/>
    <w:rsid w:val="00807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TheadingxCarattere">
    <w:name w:val="CET headingx Carattere"/>
    <w:link w:val="CETheadingx"/>
    <w:rsid w:val="00FE5AD6"/>
    <w:rPr>
      <w:rFonts w:ascii="Arial" w:eastAsia="Times New Roman" w:hAnsi="Arial" w:cs="Times New Roman"/>
      <w:b/>
      <w:kern w:val="0"/>
      <w:sz w:val="18"/>
      <w:szCs w:val="20"/>
      <w:lang w:val="en-US"/>
      <w14:ligatures w14:val="none"/>
    </w:rPr>
  </w:style>
  <w:style w:type="paragraph" w:customStyle="1" w:styleId="CETAuthors">
    <w:name w:val="CET Authors"/>
    <w:basedOn w:val="Normal"/>
    <w:link w:val="CETAuthorsCarattere"/>
    <w:qFormat/>
    <w:rsid w:val="00807552"/>
    <w:pPr>
      <w:keepNext/>
      <w:tabs>
        <w:tab w:val="right" w:pos="7100"/>
      </w:tabs>
      <w:suppressAutoHyphens/>
      <w:spacing w:after="120" w:line="264" w:lineRule="auto"/>
      <w:jc w:val="both"/>
    </w:pPr>
    <w:rPr>
      <w:rFonts w:ascii="Arial" w:eastAsia="Times New Roman" w:hAnsi="Arial" w:cs="Times New Roman"/>
      <w:noProof/>
      <w:kern w:val="0"/>
      <w:szCs w:val="20"/>
      <w14:ligatures w14:val="none"/>
    </w:rPr>
  </w:style>
  <w:style w:type="character" w:customStyle="1" w:styleId="CETAuthorsCarattere">
    <w:name w:val="CET Authors Carattere"/>
    <w:link w:val="CETAuthors"/>
    <w:rsid w:val="00807552"/>
    <w:rPr>
      <w:rFonts w:ascii="Arial" w:eastAsia="Times New Roman" w:hAnsi="Arial" w:cs="Times New Roman"/>
      <w:noProof/>
      <w:kern w:val="0"/>
      <w:szCs w:val="20"/>
      <w:lang w:val="en-GB"/>
      <w14:ligatures w14:val="none"/>
    </w:rPr>
  </w:style>
  <w:style w:type="paragraph" w:customStyle="1" w:styleId="CETAddress">
    <w:name w:val="CET Address"/>
    <w:link w:val="CETAddressCarattere"/>
    <w:qFormat/>
    <w:rsid w:val="00807552"/>
    <w:pPr>
      <w:keepNext/>
      <w:suppressAutoHyphens/>
      <w:spacing w:after="0" w:line="276" w:lineRule="auto"/>
      <w:contextualSpacing/>
    </w:pPr>
    <w:rPr>
      <w:rFonts w:ascii="Arial" w:eastAsia="Times New Roman" w:hAnsi="Arial" w:cs="Times New Roman"/>
      <w:noProof/>
      <w:kern w:val="0"/>
      <w:sz w:val="16"/>
      <w:szCs w:val="20"/>
      <w14:ligatures w14:val="none"/>
    </w:rPr>
  </w:style>
  <w:style w:type="paragraph" w:customStyle="1" w:styleId="CETemail">
    <w:name w:val="CET email"/>
    <w:next w:val="Normal"/>
    <w:rsid w:val="00807552"/>
    <w:pPr>
      <w:spacing w:after="240" w:line="276" w:lineRule="auto"/>
    </w:pPr>
    <w:rPr>
      <w:rFonts w:ascii="Arial" w:eastAsia="Times New Roman" w:hAnsi="Arial" w:cs="Times New Roman"/>
      <w:noProof/>
      <w:kern w:val="0"/>
      <w:sz w:val="16"/>
      <w:szCs w:val="20"/>
      <w14:ligatures w14:val="none"/>
    </w:rPr>
  </w:style>
  <w:style w:type="character" w:customStyle="1" w:styleId="CETAddressCarattere">
    <w:name w:val="CET Address Carattere"/>
    <w:basedOn w:val="DefaultParagraphFont"/>
    <w:link w:val="CETAddress"/>
    <w:rsid w:val="00807552"/>
    <w:rPr>
      <w:rFonts w:ascii="Arial" w:eastAsia="Times New Roman" w:hAnsi="Arial" w:cs="Times New Roman"/>
      <w:noProof/>
      <w:kern w:val="0"/>
      <w:sz w:val="16"/>
      <w:szCs w:val="20"/>
      <w:lang w:val="en-GB"/>
      <w14:ligatures w14:val="none"/>
    </w:rPr>
  </w:style>
  <w:style w:type="paragraph" w:customStyle="1" w:styleId="CETTitle">
    <w:name w:val="CET Title"/>
    <w:next w:val="CETAuthors"/>
    <w:link w:val="CETTitleCarattere"/>
    <w:rsid w:val="00807552"/>
    <w:pPr>
      <w:suppressAutoHyphens/>
      <w:spacing w:before="480" w:after="120" w:line="264" w:lineRule="auto"/>
      <w:jc w:val="center"/>
      <w:outlineLvl w:val="0"/>
    </w:pPr>
    <w:rPr>
      <w:rFonts w:ascii="Arial" w:eastAsia="Times New Roman" w:hAnsi="Arial" w:cs="Times New Roman"/>
      <w:kern w:val="0"/>
      <w:sz w:val="32"/>
      <w:szCs w:val="20"/>
      <w14:ligatures w14:val="none"/>
    </w:rPr>
  </w:style>
  <w:style w:type="character" w:customStyle="1" w:styleId="CETTitleCarattere">
    <w:name w:val="CET Title Carattere"/>
    <w:link w:val="CETTitle"/>
    <w:rsid w:val="00807552"/>
    <w:rPr>
      <w:rFonts w:ascii="Arial" w:eastAsia="Times New Roman" w:hAnsi="Arial" w:cs="Times New Roman"/>
      <w:kern w:val="0"/>
      <w:sz w:val="32"/>
      <w:szCs w:val="20"/>
      <w:lang w:val="en-GB"/>
      <w14:ligatures w14:val="none"/>
    </w:rPr>
  </w:style>
  <w:style w:type="character" w:styleId="PlaceholderText">
    <w:name w:val="Placeholder Text"/>
    <w:basedOn w:val="DefaultParagraphFont"/>
    <w:uiPriority w:val="99"/>
    <w:semiHidden/>
    <w:rsid w:val="00807552"/>
    <w:rPr>
      <w:color w:val="666666"/>
    </w:rPr>
  </w:style>
  <w:style w:type="paragraph" w:customStyle="1" w:styleId="CETBodytext">
    <w:name w:val="CET Body text"/>
    <w:link w:val="CETBodytextCarattere"/>
    <w:qFormat/>
    <w:rsid w:val="00807552"/>
    <w:pPr>
      <w:tabs>
        <w:tab w:val="right" w:pos="7100"/>
      </w:tabs>
      <w:spacing w:after="0" w:line="264" w:lineRule="auto"/>
      <w:jc w:val="both"/>
    </w:pPr>
    <w:rPr>
      <w:rFonts w:ascii="Arial" w:eastAsia="Times New Roman" w:hAnsi="Arial" w:cs="Times New Roman"/>
      <w:kern w:val="0"/>
      <w:sz w:val="18"/>
      <w:szCs w:val="20"/>
      <w:lang w:val="en-US"/>
      <w14:ligatures w14:val="none"/>
    </w:rPr>
  </w:style>
  <w:style w:type="character" w:customStyle="1" w:styleId="CETBodytextCarattere">
    <w:name w:val="CET Body text Carattere"/>
    <w:link w:val="CETBodytext"/>
    <w:rsid w:val="00807552"/>
    <w:rPr>
      <w:rFonts w:ascii="Arial" w:eastAsia="Times New Roman" w:hAnsi="Arial" w:cs="Times New Roman"/>
      <w:kern w:val="0"/>
      <w:sz w:val="18"/>
      <w:szCs w:val="20"/>
      <w:lang w:val="en-US"/>
      <w14:ligatures w14:val="none"/>
    </w:rPr>
  </w:style>
  <w:style w:type="paragraph" w:customStyle="1" w:styleId="CETTabletitle">
    <w:name w:val="CET Table title"/>
    <w:qFormat/>
    <w:rsid w:val="00807552"/>
    <w:pPr>
      <w:keepNext/>
      <w:spacing w:before="240" w:after="80" w:line="240" w:lineRule="exact"/>
    </w:pPr>
    <w:rPr>
      <w:rFonts w:ascii="Arial" w:eastAsia="Times New Roman" w:hAnsi="Arial" w:cs="Times New Roman"/>
      <w:i/>
      <w:kern w:val="0"/>
      <w:sz w:val="18"/>
      <w:szCs w:val="20"/>
      <w14:ligatures w14:val="none"/>
    </w:rPr>
  </w:style>
  <w:style w:type="character" w:styleId="Hyperlink">
    <w:name w:val="Hyperlink"/>
    <w:basedOn w:val="DefaultParagraphFont"/>
    <w:uiPriority w:val="99"/>
    <w:unhideWhenUsed/>
    <w:rsid w:val="00807552"/>
    <w:rPr>
      <w:color w:val="467886" w:themeColor="hyperlink"/>
      <w:u w:val="single"/>
    </w:rPr>
  </w:style>
  <w:style w:type="character" w:styleId="UnresolvedMention">
    <w:name w:val="Unresolved Mention"/>
    <w:basedOn w:val="DefaultParagraphFont"/>
    <w:uiPriority w:val="99"/>
    <w:semiHidden/>
    <w:unhideWhenUsed/>
    <w:rsid w:val="00807552"/>
    <w:rPr>
      <w:color w:val="605E5C"/>
      <w:shd w:val="clear" w:color="auto" w:fill="E1DFDD"/>
    </w:rPr>
  </w:style>
  <w:style w:type="paragraph" w:styleId="NoSpacing">
    <w:name w:val="No Spacing"/>
    <w:uiPriority w:val="1"/>
    <w:qFormat/>
    <w:rsid w:val="00807552"/>
    <w:pPr>
      <w:spacing w:after="0" w:line="240" w:lineRule="auto"/>
    </w:pPr>
  </w:style>
  <w:style w:type="paragraph" w:customStyle="1" w:styleId="CETCaption">
    <w:name w:val="CET Caption"/>
    <w:link w:val="CETCaptionCarattere"/>
    <w:qFormat/>
    <w:rsid w:val="00807552"/>
    <w:pPr>
      <w:spacing w:before="240" w:after="240" w:line="264" w:lineRule="auto"/>
      <w:jc w:val="both"/>
    </w:pPr>
    <w:rPr>
      <w:rFonts w:ascii="Arial" w:eastAsia="Times New Roman" w:hAnsi="Arial" w:cs="Times New Roman"/>
      <w:i/>
      <w:kern w:val="0"/>
      <w:sz w:val="18"/>
      <w:szCs w:val="20"/>
      <w14:ligatures w14:val="none"/>
    </w:rPr>
  </w:style>
  <w:style w:type="character" w:customStyle="1" w:styleId="CETCaptionCarattere">
    <w:name w:val="CET Caption Carattere"/>
    <w:link w:val="CETCaption"/>
    <w:rsid w:val="00807552"/>
    <w:rPr>
      <w:rFonts w:ascii="Arial" w:eastAsia="Times New Roman" w:hAnsi="Arial" w:cs="Times New Roman"/>
      <w:i/>
      <w:kern w:val="0"/>
      <w:sz w:val="18"/>
      <w:szCs w:val="20"/>
      <w:lang w:val="en-GB"/>
      <w14:ligatures w14:val="none"/>
    </w:rPr>
  </w:style>
  <w:style w:type="paragraph" w:customStyle="1" w:styleId="CETReferencetext">
    <w:name w:val="CET Reference text"/>
    <w:qFormat/>
    <w:rsid w:val="00807552"/>
    <w:pPr>
      <w:spacing w:after="0" w:line="264" w:lineRule="auto"/>
      <w:ind w:left="284" w:hanging="284"/>
      <w:jc w:val="both"/>
    </w:pPr>
    <w:rPr>
      <w:rFonts w:ascii="Arial" w:eastAsia="Times New Roman" w:hAnsi="Arial" w:cs="Times New Roman"/>
      <w:kern w:val="0"/>
      <w:sz w:val="18"/>
      <w:szCs w:val="20"/>
      <w14:ligatures w14:val="none"/>
    </w:rPr>
  </w:style>
  <w:style w:type="paragraph" w:styleId="Revision">
    <w:name w:val="Revision"/>
    <w:hidden/>
    <w:uiPriority w:val="99"/>
    <w:semiHidden/>
    <w:rsid w:val="00807552"/>
    <w:pPr>
      <w:spacing w:after="0" w:line="240" w:lineRule="auto"/>
    </w:pPr>
  </w:style>
  <w:style w:type="character" w:styleId="CommentReference">
    <w:name w:val="annotation reference"/>
    <w:basedOn w:val="DefaultParagraphFont"/>
    <w:uiPriority w:val="99"/>
    <w:semiHidden/>
    <w:unhideWhenUsed/>
    <w:rsid w:val="00807552"/>
    <w:rPr>
      <w:sz w:val="16"/>
      <w:szCs w:val="16"/>
    </w:rPr>
  </w:style>
  <w:style w:type="paragraph" w:styleId="CommentText">
    <w:name w:val="annotation text"/>
    <w:basedOn w:val="Normal"/>
    <w:link w:val="CommentTextChar"/>
    <w:uiPriority w:val="99"/>
    <w:unhideWhenUsed/>
    <w:rsid w:val="00807552"/>
    <w:pPr>
      <w:spacing w:line="240" w:lineRule="auto"/>
    </w:pPr>
    <w:rPr>
      <w:sz w:val="20"/>
      <w:szCs w:val="20"/>
    </w:rPr>
  </w:style>
  <w:style w:type="character" w:customStyle="1" w:styleId="CommentTextChar">
    <w:name w:val="Comment Text Char"/>
    <w:basedOn w:val="DefaultParagraphFont"/>
    <w:link w:val="CommentText"/>
    <w:uiPriority w:val="99"/>
    <w:rsid w:val="00807552"/>
    <w:rPr>
      <w:sz w:val="20"/>
      <w:szCs w:val="20"/>
      <w:lang w:val="en-GB"/>
    </w:rPr>
  </w:style>
  <w:style w:type="paragraph" w:styleId="CommentSubject">
    <w:name w:val="annotation subject"/>
    <w:basedOn w:val="CommentText"/>
    <w:next w:val="CommentText"/>
    <w:link w:val="CommentSubjectChar"/>
    <w:uiPriority w:val="99"/>
    <w:semiHidden/>
    <w:unhideWhenUsed/>
    <w:rsid w:val="00807552"/>
    <w:rPr>
      <w:b/>
      <w:bCs/>
    </w:rPr>
  </w:style>
  <w:style w:type="character" w:customStyle="1" w:styleId="CommentSubjectChar">
    <w:name w:val="Comment Subject Char"/>
    <w:basedOn w:val="CommentTextChar"/>
    <w:link w:val="CommentSubject"/>
    <w:uiPriority w:val="99"/>
    <w:semiHidden/>
    <w:rsid w:val="00807552"/>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4.emf"/><Relationship Id="rId18" Type="http://schemas.openxmlformats.org/officeDocument/2006/relationships/oleObject" Target="embeddings/oleObject3.bin"/><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mailto:f.galvanin@ucl.ac.uk" TargetMode="External"/><Relationship Id="rId12" Type="http://schemas.microsoft.com/office/2018/08/relationships/commentsExtensible" Target="commentsExtensible.xml"/><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16/09/relationships/commentsIds" Target="commentsIds.xml"/><Relationship Id="rId5" Type="http://schemas.openxmlformats.org/officeDocument/2006/relationships/image" Target="media/image1.jpeg"/><Relationship Id="rId15" Type="http://schemas.openxmlformats.org/officeDocument/2006/relationships/image" Target="media/image5.emf"/><Relationship Id="rId10" Type="http://schemas.microsoft.com/office/2011/relationships/commentsExtended" Target="commentsExtended.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1faf88fe-a998-4c5b-93c9-210a11d9a5c2}" enabled="0" method="" siteId="{1faf88fe-a998-4c5b-93c9-210a11d9a5c2}" removed="1"/>
</clbl:labelList>
</file>

<file path=docProps/app.xml><?xml version="1.0" encoding="utf-8"?>
<Properties xmlns="http://schemas.openxmlformats.org/officeDocument/2006/extended-properties" xmlns:vt="http://schemas.openxmlformats.org/officeDocument/2006/docPropsVTypes">
  <Template>Normal</Template>
  <TotalTime>721</TotalTime>
  <Pages>6</Pages>
  <Words>3920</Words>
  <Characters>22348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Aku, Michael</dc:creator>
  <cp:keywords/>
  <dc:description/>
  <cp:lastModifiedBy>Aku, Michael</cp:lastModifiedBy>
  <cp:revision>3</cp:revision>
  <dcterms:created xsi:type="dcterms:W3CDTF">2025-07-11T23:00:00Z</dcterms:created>
  <dcterms:modified xsi:type="dcterms:W3CDTF">2025-07-11T23:01:00Z</dcterms:modified>
</cp:coreProperties>
</file>