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EB040A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6A5AEA" w:rsidRPr="002470EC">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4E5EFEC" w:rsidR="00E978D0" w:rsidRPr="00B57B36" w:rsidRDefault="004163DC" w:rsidP="00E978D0">
      <w:pPr>
        <w:pStyle w:val="CETTitle"/>
      </w:pPr>
      <w:r w:rsidRPr="004163DC">
        <w:t xml:space="preserve">Hydrogen Generation </w:t>
      </w:r>
      <w:r>
        <w:t>t</w:t>
      </w:r>
      <w:r w:rsidRPr="004163DC">
        <w:t>hrough Cavitation-Based Water Splitting</w:t>
      </w:r>
      <w:r w:rsidR="005463A7" w:rsidRPr="005463A7">
        <w:t>: Influence of Inlet Pressure</w:t>
      </w:r>
    </w:p>
    <w:p w14:paraId="0488FED2" w14:textId="238B2558" w:rsidR="00B57E6F" w:rsidRPr="00414C79" w:rsidRDefault="00361026" w:rsidP="00B57E6F">
      <w:pPr>
        <w:pStyle w:val="CETAuthors"/>
        <w:rPr>
          <w:vertAlign w:val="superscript"/>
          <w:lang w:val="it-IT"/>
        </w:rPr>
      </w:pPr>
      <w:r w:rsidRPr="00CE3BDC">
        <w:rPr>
          <w:lang w:val="it-IT"/>
        </w:rPr>
        <w:t>Mario Luiso</w:t>
      </w:r>
      <w:r w:rsidR="00B57E6F" w:rsidRPr="00CE3BDC">
        <w:rPr>
          <w:vertAlign w:val="superscript"/>
          <w:lang w:val="it-IT"/>
        </w:rPr>
        <w:t>a</w:t>
      </w:r>
      <w:r w:rsidR="00B57E6F" w:rsidRPr="00CE3BDC">
        <w:rPr>
          <w:lang w:val="it-IT"/>
        </w:rPr>
        <w:t xml:space="preserve">, </w:t>
      </w:r>
      <w:r w:rsidRPr="00CE3BDC">
        <w:rPr>
          <w:lang w:val="it-IT"/>
        </w:rPr>
        <w:t>Alessandro Erto</w:t>
      </w:r>
      <w:r w:rsidR="00B57E6F" w:rsidRPr="00CE3BDC">
        <w:rPr>
          <w:vertAlign w:val="superscript"/>
          <w:lang w:val="it-IT"/>
        </w:rPr>
        <w:t>b</w:t>
      </w:r>
      <w:r w:rsidR="00B57E6F" w:rsidRPr="00CE3BDC">
        <w:rPr>
          <w:lang w:val="it-IT"/>
        </w:rPr>
        <w:t xml:space="preserve">, </w:t>
      </w:r>
      <w:r w:rsidR="00CE3BDC" w:rsidRPr="00CE3BDC">
        <w:rPr>
          <w:lang w:val="it-IT"/>
        </w:rPr>
        <w:t>Sim</w:t>
      </w:r>
      <w:r w:rsidR="00CE3BDC">
        <w:rPr>
          <w:lang w:val="it-IT"/>
        </w:rPr>
        <w:t>eone Chianese</w:t>
      </w:r>
      <w:r w:rsidR="00414C79">
        <w:rPr>
          <w:vertAlign w:val="superscript"/>
          <w:lang w:val="it-IT"/>
        </w:rPr>
        <w:t>a</w:t>
      </w:r>
      <w:r w:rsidR="00A9222F">
        <w:rPr>
          <w:vertAlign w:val="superscript"/>
          <w:lang w:val="it-IT"/>
        </w:rPr>
        <w:t>,*</w:t>
      </w:r>
      <w:r w:rsidR="00CE3BDC">
        <w:rPr>
          <w:lang w:val="it-IT"/>
        </w:rPr>
        <w:t>, Dino Musmarra</w:t>
      </w:r>
      <w:r w:rsidR="00414C79">
        <w:rPr>
          <w:vertAlign w:val="superscript"/>
          <w:lang w:val="it-IT"/>
        </w:rPr>
        <w:t>a</w:t>
      </w:r>
    </w:p>
    <w:p w14:paraId="6B2D21B3" w14:textId="54D9814A" w:rsidR="00B57E6F" w:rsidRPr="00947D37" w:rsidRDefault="00B57E6F" w:rsidP="00B57E6F">
      <w:pPr>
        <w:pStyle w:val="CETAddress"/>
        <w:rPr>
          <w:lang w:val="it-IT"/>
        </w:rPr>
      </w:pPr>
      <w:r w:rsidRPr="00947D37">
        <w:rPr>
          <w:vertAlign w:val="superscript"/>
          <w:lang w:val="it-IT"/>
        </w:rPr>
        <w:t>a</w:t>
      </w:r>
      <w:r w:rsidR="00947D37" w:rsidRPr="00947D37">
        <w:rPr>
          <w:lang w:val="it-IT"/>
        </w:rPr>
        <w:t>Dipartimento di Ingegneria, Università degli Studi della Campania “Luigi Vanvitelli”, Via Roma 29, 81031 Aversa, Italy</w:t>
      </w:r>
    </w:p>
    <w:p w14:paraId="3D72B0B0" w14:textId="1E0C8D7B" w:rsidR="00B57E6F" w:rsidRPr="00F63DC9" w:rsidRDefault="00B57E6F" w:rsidP="00B57E6F">
      <w:pPr>
        <w:pStyle w:val="CETAddress"/>
        <w:rPr>
          <w:lang w:val="it-IT"/>
        </w:rPr>
      </w:pPr>
      <w:r w:rsidRPr="00F63DC9">
        <w:rPr>
          <w:vertAlign w:val="superscript"/>
          <w:lang w:val="it-IT"/>
        </w:rPr>
        <w:t>b</w:t>
      </w:r>
      <w:r w:rsidR="00F63DC9" w:rsidRPr="00F63DC9">
        <w:rPr>
          <w:lang w:val="it-IT"/>
        </w:rPr>
        <w:t>Dipartimento di Ingegneria Chimica, dei Materiali e della Produzione Industriale, Università degli Studi di Napoli “Federico</w:t>
      </w:r>
      <w:r w:rsidR="004C736F">
        <w:rPr>
          <w:lang w:val="it-IT"/>
        </w:rPr>
        <w:t xml:space="preserve"> </w:t>
      </w:r>
      <w:r w:rsidR="00F63DC9" w:rsidRPr="00F63DC9">
        <w:rPr>
          <w:lang w:val="it-IT"/>
        </w:rPr>
        <w:t>II”, Piazzale V. Tecchio 80, 80125 Napoli, Italy</w:t>
      </w:r>
    </w:p>
    <w:p w14:paraId="73F1267A" w14:textId="00F974F1" w:rsidR="00B57E6F" w:rsidRPr="009D3E77" w:rsidRDefault="00A9222F" w:rsidP="00B57E6F">
      <w:pPr>
        <w:pStyle w:val="CETemail"/>
        <w:rPr>
          <w:lang w:val="en-US"/>
        </w:rPr>
      </w:pPr>
      <w:r>
        <w:rPr>
          <w:lang w:val="en-US"/>
        </w:rPr>
        <w:t>simeone.chianese</w:t>
      </w:r>
      <w:r w:rsidR="00925758" w:rsidRPr="009D3E77">
        <w:rPr>
          <w:lang w:val="en-US"/>
        </w:rPr>
        <w:t>@unicampania.it</w:t>
      </w:r>
    </w:p>
    <w:p w14:paraId="1B670BB7" w14:textId="416F9FED" w:rsidR="00D72CE6" w:rsidRDefault="009D3E77" w:rsidP="00600535">
      <w:pPr>
        <w:pStyle w:val="CETBodytext"/>
        <w:rPr>
          <w:lang w:val="en-GB"/>
        </w:rPr>
      </w:pPr>
      <w:r w:rsidRPr="009D3E77">
        <w:rPr>
          <w:lang w:val="en-GB"/>
        </w:rPr>
        <w:t>Currently, hydrogen is considered a green</w:t>
      </w:r>
      <w:r w:rsidR="00281A18">
        <w:rPr>
          <w:lang w:val="en-GB"/>
        </w:rPr>
        <w:t>,</w:t>
      </w:r>
      <w:r w:rsidRPr="009D3E77">
        <w:rPr>
          <w:lang w:val="en-GB"/>
        </w:rPr>
        <w:t xml:space="preserve"> valid alternative to fossil fuels, </w:t>
      </w:r>
      <w:r w:rsidR="00281A18">
        <w:rPr>
          <w:lang w:val="en-GB"/>
        </w:rPr>
        <w:t xml:space="preserve">and </w:t>
      </w:r>
      <w:r w:rsidRPr="009D3E77">
        <w:rPr>
          <w:lang w:val="en-GB"/>
        </w:rPr>
        <w:t>many efforts are being made to find sustainable processes for hydrogen generation. Water hydrodynamic cavitation is one of them</w:t>
      </w:r>
      <w:r w:rsidR="009235FE">
        <w:rPr>
          <w:lang w:val="en-GB"/>
        </w:rPr>
        <w:t>;</w:t>
      </w:r>
      <w:r w:rsidRPr="009D3E77">
        <w:rPr>
          <w:lang w:val="en-GB"/>
        </w:rPr>
        <w:t xml:space="preserve"> it consists of pressure variations in a water stream flowing through a constriction</w:t>
      </w:r>
      <w:r w:rsidR="009235FE">
        <w:rPr>
          <w:lang w:val="en-GB"/>
        </w:rPr>
        <w:t>,</w:t>
      </w:r>
      <w:r w:rsidRPr="009D3E77">
        <w:rPr>
          <w:lang w:val="en-GB"/>
        </w:rPr>
        <w:t xml:space="preserve"> such as </w:t>
      </w:r>
      <w:r w:rsidR="009235FE">
        <w:rPr>
          <w:lang w:val="en-GB"/>
        </w:rPr>
        <w:t xml:space="preserve">an </w:t>
      </w:r>
      <w:r w:rsidRPr="009D3E77">
        <w:rPr>
          <w:lang w:val="en-GB"/>
        </w:rPr>
        <w:t xml:space="preserve">orifice </w:t>
      </w:r>
      <w:r w:rsidR="009235FE">
        <w:rPr>
          <w:lang w:val="en-GB"/>
        </w:rPr>
        <w:t>or</w:t>
      </w:r>
      <w:r w:rsidRPr="009D3E77">
        <w:rPr>
          <w:lang w:val="en-GB"/>
        </w:rPr>
        <w:t xml:space="preserve"> venturi. This phenomenon leads to the growth and collapse of microbubbles or cavities</w:t>
      </w:r>
      <w:r w:rsidR="009235FE">
        <w:rPr>
          <w:lang w:val="en-GB"/>
        </w:rPr>
        <w:t>, generating</w:t>
      </w:r>
      <w:r w:rsidRPr="009D3E77">
        <w:rPr>
          <w:lang w:val="en-GB"/>
        </w:rPr>
        <w:t xml:space="preserve"> high local temperature and pressure, creating the optimal condition for hydrogen generation due to water splitting.</w:t>
      </w:r>
    </w:p>
    <w:p w14:paraId="7E53A20D" w14:textId="005F5816" w:rsidR="00D72CE6" w:rsidRDefault="00895E49" w:rsidP="00600535">
      <w:pPr>
        <w:pStyle w:val="CETBodytext"/>
        <w:rPr>
          <w:lang w:val="en-GB"/>
        </w:rPr>
      </w:pPr>
      <w:r w:rsidRPr="00895E49">
        <w:rPr>
          <w:lang w:val="en-GB"/>
        </w:rPr>
        <w:t xml:space="preserve">Our research work is aimed </w:t>
      </w:r>
      <w:r w:rsidR="009235FE">
        <w:rPr>
          <w:lang w:val="en-GB"/>
        </w:rPr>
        <w:t>at modelling</w:t>
      </w:r>
      <w:r w:rsidRPr="00895E49">
        <w:rPr>
          <w:lang w:val="en-GB"/>
        </w:rPr>
        <w:t xml:space="preserve"> and test</w:t>
      </w:r>
      <w:r w:rsidR="009235FE">
        <w:rPr>
          <w:lang w:val="en-GB"/>
        </w:rPr>
        <w:t>ing</w:t>
      </w:r>
      <w:r w:rsidRPr="00895E49">
        <w:rPr>
          <w:lang w:val="en-GB"/>
        </w:rPr>
        <w:t xml:space="preserve"> </w:t>
      </w:r>
      <w:r w:rsidR="00CD1233">
        <w:rPr>
          <w:lang w:val="en-GB"/>
        </w:rPr>
        <w:t xml:space="preserve">hydrodynamic </w:t>
      </w:r>
      <w:r w:rsidRPr="00895E49">
        <w:rPr>
          <w:lang w:val="en-GB"/>
        </w:rPr>
        <w:t>cavitation-based hydrogen generation</w:t>
      </w:r>
      <w:r w:rsidR="009235FE">
        <w:rPr>
          <w:lang w:val="en-GB"/>
        </w:rPr>
        <w:t>. F</w:t>
      </w:r>
      <w:r w:rsidRPr="00895E49">
        <w:rPr>
          <w:lang w:val="en-GB"/>
        </w:rPr>
        <w:t>or this purpose, cavitation simulation</w:t>
      </w:r>
      <w:r w:rsidR="008E4034">
        <w:rPr>
          <w:lang w:val="en-GB"/>
        </w:rPr>
        <w:t>s</w:t>
      </w:r>
      <w:r w:rsidRPr="00895E49">
        <w:rPr>
          <w:lang w:val="en-GB"/>
        </w:rPr>
        <w:t xml:space="preserve"> were carried out using Ansys Fluent 2025 to investigate a cavitation orifice reactor.</w:t>
      </w:r>
      <w:r w:rsidR="00BF6DD3">
        <w:rPr>
          <w:lang w:val="en-GB"/>
        </w:rPr>
        <w:t xml:space="preserve"> </w:t>
      </w:r>
      <w:r w:rsidR="00BC4180" w:rsidRPr="00BC4180">
        <w:rPr>
          <w:lang w:val="en-GB"/>
        </w:rPr>
        <w:t>The computational analysis was conducted on a pipe with a diameter of 30 mm, an orifice diameter of 2 mm,</w:t>
      </w:r>
      <w:r w:rsidR="002F3949">
        <w:rPr>
          <w:lang w:val="en-GB"/>
        </w:rPr>
        <w:t xml:space="preserve"> </w:t>
      </w:r>
      <w:r w:rsidR="009235FE">
        <w:rPr>
          <w:lang w:val="en-GB"/>
        </w:rPr>
        <w:t xml:space="preserve">an </w:t>
      </w:r>
      <w:r w:rsidR="002F3949">
        <w:rPr>
          <w:lang w:val="en-GB"/>
        </w:rPr>
        <w:t>orifice length of 2 mm and</w:t>
      </w:r>
      <w:r w:rsidR="00BC4180" w:rsidRPr="00BC4180">
        <w:rPr>
          <w:lang w:val="en-GB"/>
        </w:rPr>
        <w:t xml:space="preserve"> a total length of 14 mm. The effect of varying the </w:t>
      </w:r>
      <w:r w:rsidR="004E4EBB">
        <w:rPr>
          <w:lang w:val="en-GB"/>
        </w:rPr>
        <w:t xml:space="preserve">pressure inlet </w:t>
      </w:r>
      <w:r w:rsidR="00BC4180" w:rsidRPr="00BC4180">
        <w:rPr>
          <w:lang w:val="en-GB"/>
        </w:rPr>
        <w:t>was analy</w:t>
      </w:r>
      <w:r w:rsidR="000C5B55">
        <w:rPr>
          <w:lang w:val="en-GB"/>
        </w:rPr>
        <w:t>s</w:t>
      </w:r>
      <w:r w:rsidR="00BC4180" w:rsidRPr="00BC4180">
        <w:rPr>
          <w:lang w:val="en-GB"/>
        </w:rPr>
        <w:t>ed</w:t>
      </w:r>
      <w:r w:rsidR="009235FE">
        <w:rPr>
          <w:lang w:val="en-GB"/>
        </w:rPr>
        <w:t>,</w:t>
      </w:r>
      <w:r w:rsidR="00BC4180" w:rsidRPr="00BC4180">
        <w:rPr>
          <w:lang w:val="en-GB"/>
        </w:rPr>
        <w:t xml:space="preserve"> revealing that the vapo</w:t>
      </w:r>
      <w:r w:rsidR="009235FE">
        <w:rPr>
          <w:lang w:val="en-GB"/>
        </w:rPr>
        <w:t>u</w:t>
      </w:r>
      <w:r w:rsidR="00BC4180" w:rsidRPr="00BC4180">
        <w:rPr>
          <w:lang w:val="en-GB"/>
        </w:rPr>
        <w:t>r</w:t>
      </w:r>
      <w:r w:rsidR="00C45DFD">
        <w:rPr>
          <w:lang w:val="en-GB"/>
        </w:rPr>
        <w:t xml:space="preserve"> and </w:t>
      </w:r>
      <w:r w:rsidR="0061245D">
        <w:rPr>
          <w:lang w:val="en-GB"/>
        </w:rPr>
        <w:t>low-pressure</w:t>
      </w:r>
      <w:r w:rsidR="00BC4180" w:rsidRPr="00BC4180">
        <w:rPr>
          <w:lang w:val="en-GB"/>
        </w:rPr>
        <w:t xml:space="preserve"> region expand with </w:t>
      </w:r>
      <w:r w:rsidR="009235FE">
        <w:rPr>
          <w:lang w:val="en-GB"/>
        </w:rPr>
        <w:t>an increase</w:t>
      </w:r>
      <w:r w:rsidR="00BC4180" w:rsidRPr="00BC4180">
        <w:rPr>
          <w:lang w:val="en-GB"/>
        </w:rPr>
        <w:t xml:space="preserve"> </w:t>
      </w:r>
      <w:r w:rsidR="009235FE">
        <w:rPr>
          <w:lang w:val="en-GB"/>
        </w:rPr>
        <w:t>in</w:t>
      </w:r>
      <w:r w:rsidR="00BC4180" w:rsidRPr="00BC4180">
        <w:rPr>
          <w:lang w:val="en-GB"/>
        </w:rPr>
        <w:t xml:space="preserve"> </w:t>
      </w:r>
      <w:r w:rsidR="003B5752">
        <w:rPr>
          <w:lang w:val="en-GB"/>
        </w:rPr>
        <w:t>inlet pressure</w:t>
      </w:r>
      <w:r w:rsidR="00BC4180" w:rsidRPr="00BC4180">
        <w:rPr>
          <w:lang w:val="en-GB"/>
        </w:rPr>
        <w:t xml:space="preserve">. </w:t>
      </w:r>
    </w:p>
    <w:p w14:paraId="476B2F2E" w14:textId="52B36035" w:rsidR="00600535" w:rsidRPr="00B57B36" w:rsidRDefault="00600535" w:rsidP="00600535">
      <w:pPr>
        <w:pStyle w:val="CETHeading1"/>
        <w:rPr>
          <w:lang w:val="en-GB"/>
        </w:rPr>
      </w:pPr>
      <w:r w:rsidRPr="00B57B36">
        <w:rPr>
          <w:lang w:val="en-GB"/>
        </w:rPr>
        <w:t>Introduction</w:t>
      </w:r>
    </w:p>
    <w:p w14:paraId="461CBA04" w14:textId="406E14BB" w:rsidR="005B0690" w:rsidRDefault="00297240" w:rsidP="00AD1925">
      <w:pPr>
        <w:pStyle w:val="CETBodytext"/>
        <w:rPr>
          <w:lang w:val="en-GB"/>
        </w:rPr>
      </w:pPr>
      <w:r w:rsidRPr="00297240">
        <w:rPr>
          <w:lang w:val="en-GB"/>
        </w:rPr>
        <w:t xml:space="preserve">In recent years, there has been growing concern over the unsustainable consumption of fossil fuels and the escalating issue of global warming, driven by rising global energy demand caused by ongoing population growth and energy-heavy lifestyles. In the 21st century, we are confronted with the challenge of meeting the increasing global energy needs while also mitigating the harmful effects of climate change. Fossil fuel-based energy systems, which have been essential for development, are proving unsustainable due to their finite supply and environmental consequences. Hydrogen, a versatile and key energy carrier, plays a critical role in the shift towards renewable energy, emerging as a viable and </w:t>
      </w:r>
      <w:proofErr w:type="gramStart"/>
      <w:r w:rsidRPr="00297240">
        <w:rPr>
          <w:lang w:val="en-GB"/>
        </w:rPr>
        <w:t>environmentally-friendly</w:t>
      </w:r>
      <w:proofErr w:type="gramEnd"/>
      <w:r w:rsidRPr="00297240">
        <w:rPr>
          <w:lang w:val="en-GB"/>
        </w:rPr>
        <w:t xml:space="preserve"> alternative to fossil fuels</w:t>
      </w:r>
      <w:r w:rsidR="002B1241">
        <w:rPr>
          <w:lang w:val="en-GB"/>
        </w:rPr>
        <w:t xml:space="preserve"> (Jeje et al.</w:t>
      </w:r>
      <w:r w:rsidR="00211090">
        <w:rPr>
          <w:lang w:val="en-GB"/>
        </w:rPr>
        <w:t xml:space="preserve"> </w:t>
      </w:r>
      <w:r w:rsidR="002B1241">
        <w:rPr>
          <w:lang w:val="en-GB"/>
        </w:rPr>
        <w:t>2024)</w:t>
      </w:r>
      <w:r w:rsidR="008D1194">
        <w:rPr>
          <w:lang w:val="en-GB"/>
        </w:rPr>
        <w:t>.</w:t>
      </w:r>
      <w:r w:rsidR="002B1241">
        <w:rPr>
          <w:lang w:val="en-GB"/>
        </w:rPr>
        <w:t xml:space="preserve"> M</w:t>
      </w:r>
      <w:r w:rsidR="002B1241" w:rsidRPr="009D3E77">
        <w:rPr>
          <w:lang w:val="en-GB"/>
        </w:rPr>
        <w:t>any efforts are being made to find sustainable processes for hydrogen generation</w:t>
      </w:r>
      <w:r w:rsidR="003F2FFF">
        <w:rPr>
          <w:lang w:val="en-GB"/>
        </w:rPr>
        <w:t>,</w:t>
      </w:r>
      <w:r w:rsidR="002B1241">
        <w:rPr>
          <w:lang w:val="en-GB"/>
        </w:rPr>
        <w:t xml:space="preserve"> such as electrolysis</w:t>
      </w:r>
      <w:r w:rsidR="003F2FFF">
        <w:rPr>
          <w:lang w:val="en-GB"/>
        </w:rPr>
        <w:t xml:space="preserve"> and the</w:t>
      </w:r>
      <w:r w:rsidR="002B1241">
        <w:rPr>
          <w:lang w:val="en-GB"/>
        </w:rPr>
        <w:t xml:space="preserve"> application of thermochemical cycles</w:t>
      </w:r>
      <w:r w:rsidR="000C7736">
        <w:rPr>
          <w:lang w:val="en-GB"/>
        </w:rPr>
        <w:t xml:space="preserve"> (</w:t>
      </w:r>
      <w:proofErr w:type="spellStart"/>
      <w:r w:rsidR="000C7736">
        <w:rPr>
          <w:lang w:val="en-GB"/>
        </w:rPr>
        <w:t>Musmarra</w:t>
      </w:r>
      <w:proofErr w:type="spellEnd"/>
      <w:r w:rsidR="000C7736">
        <w:rPr>
          <w:lang w:val="en-GB"/>
        </w:rPr>
        <w:t xml:space="preserve"> et al.</w:t>
      </w:r>
      <w:r w:rsidR="00211090">
        <w:rPr>
          <w:lang w:val="en-GB"/>
        </w:rPr>
        <w:t xml:space="preserve"> </w:t>
      </w:r>
      <w:r w:rsidR="000C7736">
        <w:rPr>
          <w:lang w:val="en-GB"/>
        </w:rPr>
        <w:t>2021)</w:t>
      </w:r>
      <w:r w:rsidR="005B0690">
        <w:rPr>
          <w:lang w:val="en-GB"/>
        </w:rPr>
        <w:t xml:space="preserve">. </w:t>
      </w:r>
    </w:p>
    <w:p w14:paraId="1CC0C3CE" w14:textId="543CED72" w:rsidR="003A78EF" w:rsidRPr="000610B6" w:rsidRDefault="005B0690" w:rsidP="00A17F49">
      <w:pPr>
        <w:pStyle w:val="CETBodytext"/>
        <w:rPr>
          <w:lang w:val="en-GB"/>
        </w:rPr>
      </w:pPr>
      <w:r w:rsidRPr="005B0690">
        <w:t xml:space="preserve">Water electrolysis is </w:t>
      </w:r>
      <w:r w:rsidR="009C65E7">
        <w:t>a</w:t>
      </w:r>
      <w:r w:rsidRPr="005B0690">
        <w:t xml:space="preserve"> well-known method </w:t>
      </w:r>
      <w:r w:rsidR="00E44E09">
        <w:t>of decomposing water</w:t>
      </w:r>
      <w:r w:rsidRPr="005B0690">
        <w:t xml:space="preserve"> into hydrogen and oxygen gas </w:t>
      </w:r>
      <w:r w:rsidR="003F2FFF">
        <w:t>by applying</w:t>
      </w:r>
      <w:r w:rsidRPr="005B0690">
        <w:t xml:space="preserve"> electrical energy.</w:t>
      </w:r>
      <w:r w:rsidR="00E8679D">
        <w:t xml:space="preserve"> </w:t>
      </w:r>
      <w:r w:rsidR="00E8679D" w:rsidRPr="00E8679D">
        <w:rPr>
          <w:lang w:val="en-GB"/>
        </w:rPr>
        <w:t xml:space="preserve">Water molecules are electrochemically split into hydrogen and oxygen gases during electrolysis, a crucial process for </w:t>
      </w:r>
      <w:r w:rsidR="00E44E09">
        <w:rPr>
          <w:lang w:val="en-GB"/>
        </w:rPr>
        <w:t>sustainably producing hydrogen</w:t>
      </w:r>
      <w:r w:rsidR="00607F28">
        <w:rPr>
          <w:lang w:val="en-GB"/>
        </w:rPr>
        <w:t xml:space="preserve"> </w:t>
      </w:r>
      <w:r w:rsidR="002E60CD">
        <w:rPr>
          <w:lang w:val="en-GB"/>
        </w:rPr>
        <w:t>(El</w:t>
      </w:r>
      <w:r w:rsidR="00F338B1">
        <w:rPr>
          <w:lang w:val="en-GB"/>
        </w:rPr>
        <w:t>-Shafie 2023)</w:t>
      </w:r>
      <w:r w:rsidR="00E8679D" w:rsidRPr="00E8679D">
        <w:rPr>
          <w:lang w:val="en-GB"/>
        </w:rPr>
        <w:t>.</w:t>
      </w:r>
      <w:r w:rsidR="000610B6">
        <w:rPr>
          <w:lang w:val="en-GB"/>
        </w:rPr>
        <w:t xml:space="preserve"> </w:t>
      </w:r>
      <w:r w:rsidR="002B7F2A" w:rsidRPr="002B7F2A">
        <w:t xml:space="preserve">Thermochemical water splitting cycles (TWSCs) are based on water decomposition through </w:t>
      </w:r>
      <w:r w:rsidR="00E05278">
        <w:t>a</w:t>
      </w:r>
      <w:r w:rsidR="002B7F2A" w:rsidRPr="002B7F2A">
        <w:t xml:space="preserve"> series of chemical reactions using intermediate reactions and substances</w:t>
      </w:r>
      <w:r w:rsidR="008301A5">
        <w:t>,</w:t>
      </w:r>
      <w:r w:rsidR="002B7F2A" w:rsidRPr="002B7F2A">
        <w:t xml:space="preserve"> which are all recycled during the process </w:t>
      </w:r>
      <w:r w:rsidR="00E05278">
        <w:t xml:space="preserve">in </w:t>
      </w:r>
      <w:r w:rsidR="00E44E09">
        <w:t>such a</w:t>
      </w:r>
      <w:r w:rsidR="00E05278">
        <w:t xml:space="preserve"> way that</w:t>
      </w:r>
      <w:r w:rsidR="002B7F2A" w:rsidRPr="002B7F2A">
        <w:t xml:space="preserve"> the overall reaction is equivalent to the dissociation of the water molecule into hydrogen and oxygen</w:t>
      </w:r>
      <w:r w:rsidR="00B6533B">
        <w:t xml:space="preserve"> </w:t>
      </w:r>
      <w:r w:rsidR="00963E19">
        <w:t xml:space="preserve">(Safari </w:t>
      </w:r>
      <w:r w:rsidR="00763DBE">
        <w:t xml:space="preserve">and Dincer </w:t>
      </w:r>
      <w:r w:rsidR="00963E19">
        <w:t>2020)</w:t>
      </w:r>
      <w:r w:rsidR="002B7F2A" w:rsidRPr="002B7F2A">
        <w:t>.</w:t>
      </w:r>
      <w:r w:rsidR="008B3954">
        <w:t xml:space="preserve"> </w:t>
      </w:r>
      <w:r w:rsidR="00A17F49" w:rsidRPr="00A17F49">
        <w:t>Although both technologies are recognized as viable approaches for sustainable hydrogen production, they exhibit inherent limitations. Electrolysis involves operational complexity and high energy consumption</w:t>
      </w:r>
      <w:r w:rsidR="005770DF">
        <w:t xml:space="preserve"> (Ozcan et al.</w:t>
      </w:r>
      <w:r w:rsidR="00211090">
        <w:t xml:space="preserve"> </w:t>
      </w:r>
      <w:r w:rsidR="005770DF">
        <w:t>2023)</w:t>
      </w:r>
      <w:r w:rsidR="00A17F49" w:rsidRPr="00A17F49">
        <w:t>, whereas thermochemical cycles require elevated temperatures, posing challenges for practical implementation.</w:t>
      </w:r>
    </w:p>
    <w:p w14:paraId="0842803D" w14:textId="0E43CC4B" w:rsidR="00A17F49" w:rsidRPr="00A17F49" w:rsidRDefault="00A17F49" w:rsidP="00A17F49">
      <w:pPr>
        <w:pStyle w:val="CETBodytext"/>
      </w:pPr>
      <w:r w:rsidRPr="00A17F49">
        <w:t xml:space="preserve">An alternative approach is offered by cavitation, a physical phenomenon characterized by the formation and subsequent collapse of vapor bubbles within a liquid </w:t>
      </w:r>
      <w:r w:rsidR="008301A5">
        <w:t>due to</w:t>
      </w:r>
      <w:r w:rsidRPr="00A17F49">
        <w:t xml:space="preserve"> pressure oscillations. During the compression phase, the rapid implosion of these bubbles leads to the formation of localized regions with extremely high temperatures and pressures, commonly referred to as "hot spots"</w:t>
      </w:r>
      <w:r w:rsidR="008A5857">
        <w:t>.</w:t>
      </w:r>
      <w:r w:rsidRPr="00A17F49">
        <w:t xml:space="preserve"> These conditions </w:t>
      </w:r>
      <w:r w:rsidR="00185E86">
        <w:t>lead</w:t>
      </w:r>
      <w:r w:rsidRPr="00A17F49">
        <w:t xml:space="preserve"> to the dissociation of water molecules, </w:t>
      </w:r>
      <w:r w:rsidR="008A5857">
        <w:t>forming</w:t>
      </w:r>
      <w:r w:rsidRPr="00A17F49">
        <w:t xml:space="preserve"> hydrogen and oxygen gases.</w:t>
      </w:r>
    </w:p>
    <w:p w14:paraId="2822B861" w14:textId="165821B0" w:rsidR="001D713F" w:rsidRDefault="00A17F49" w:rsidP="00AE2931">
      <w:pPr>
        <w:pStyle w:val="CETBodytext"/>
      </w:pPr>
      <w:r w:rsidRPr="00A17F49">
        <w:lastRenderedPageBreak/>
        <w:t xml:space="preserve">Cavitation bubbles can be generated through either </w:t>
      </w:r>
      <w:proofErr w:type="spellStart"/>
      <w:r w:rsidRPr="00A17F49">
        <w:t>sonochemical</w:t>
      </w:r>
      <w:proofErr w:type="spellEnd"/>
      <w:r w:rsidRPr="00A17F49">
        <w:t xml:space="preserve"> or hydrodynamic means. In the former, pressure oscillations are induced via high-frequency ultrasound waves (typically &gt;20 kHz), while in the latter, they are produced by a pressure drop associated with fluid flow through geometric restrictions, such as orifices or venturi structures</w:t>
      </w:r>
      <w:r w:rsidR="00AE2931">
        <w:t xml:space="preserve"> </w:t>
      </w:r>
      <w:r w:rsidRPr="00A17F49">
        <w:t>(Carpenter et al. 2016).</w:t>
      </w:r>
      <w:r w:rsidR="00D02ACC">
        <w:t xml:space="preserve"> </w:t>
      </w:r>
      <w:r w:rsidRPr="00A17F49">
        <w:t xml:space="preserve">Recent studies have demonstrated the feasibility of hydrogen generation via </w:t>
      </w:r>
      <w:r w:rsidR="00A90458">
        <w:t xml:space="preserve">ultrasound </w:t>
      </w:r>
      <w:r w:rsidRPr="00A17F49">
        <w:t>cavitation, showing that appreciable yields can be obtained under ambient conditions</w:t>
      </w:r>
      <w:r w:rsidR="00132B17">
        <w:t xml:space="preserve"> (Choi et al.</w:t>
      </w:r>
      <w:r w:rsidR="00211090">
        <w:t xml:space="preserve"> </w:t>
      </w:r>
      <w:r w:rsidR="00132B17">
        <w:t>2023)</w:t>
      </w:r>
      <w:r w:rsidRPr="00A17F49">
        <w:t>. However, current methods face notable limitations, including low energy efficiency, high operational costs, and difficulties in scaling up</w:t>
      </w:r>
      <w:r w:rsidR="00667089">
        <w:t xml:space="preserve"> </w:t>
      </w:r>
      <w:r w:rsidR="008C1042">
        <w:t>(</w:t>
      </w:r>
      <w:r w:rsidR="008C1042" w:rsidRPr="008C1042">
        <w:rPr>
          <w:lang w:val="en-GB"/>
        </w:rPr>
        <w:t>Rashwan</w:t>
      </w:r>
      <w:r w:rsidR="008C1042">
        <w:rPr>
          <w:lang w:val="en-GB"/>
        </w:rPr>
        <w:t xml:space="preserve"> et al.</w:t>
      </w:r>
      <w:r w:rsidR="00211090">
        <w:rPr>
          <w:lang w:val="en-GB"/>
        </w:rPr>
        <w:t xml:space="preserve"> </w:t>
      </w:r>
      <w:r w:rsidR="008C1042">
        <w:rPr>
          <w:lang w:val="en-GB"/>
        </w:rPr>
        <w:t>2019)</w:t>
      </w:r>
      <w:r w:rsidRPr="00A17F49">
        <w:t>.</w:t>
      </w:r>
      <w:r w:rsidR="00574DA4">
        <w:t xml:space="preserve"> </w:t>
      </w:r>
      <w:r w:rsidRPr="00A17F49">
        <w:t xml:space="preserve">Within this </w:t>
      </w:r>
      <w:r w:rsidR="008F1EC5">
        <w:t>context</w:t>
      </w:r>
      <w:r w:rsidRPr="00A17F49">
        <w:t xml:space="preserve">, hydrodynamic cavitation presents a relatively unexplored </w:t>
      </w:r>
      <w:r w:rsidR="007F7918">
        <w:t xml:space="preserve">and </w:t>
      </w:r>
      <w:r w:rsidRPr="00A17F49">
        <w:t>promising strategy</w:t>
      </w:r>
      <w:r w:rsidR="00472185">
        <w:t xml:space="preserve"> for green hydrogen production</w:t>
      </w:r>
      <w:r w:rsidRPr="00A17F49">
        <w:t xml:space="preserve">, offering advantages such </w:t>
      </w:r>
      <w:r w:rsidR="00D90718">
        <w:t xml:space="preserve">as higher </w:t>
      </w:r>
      <w:r w:rsidR="00A00A34">
        <w:t>energy efficiency</w:t>
      </w:r>
      <w:r w:rsidR="00C27608">
        <w:t xml:space="preserve"> (</w:t>
      </w:r>
      <w:proofErr w:type="spellStart"/>
      <w:r w:rsidR="00C27608">
        <w:t>Capocelli</w:t>
      </w:r>
      <w:proofErr w:type="spellEnd"/>
      <w:r w:rsidR="00C27608">
        <w:t xml:space="preserve"> et al.</w:t>
      </w:r>
      <w:r w:rsidR="00211090">
        <w:t xml:space="preserve"> </w:t>
      </w:r>
      <w:r w:rsidR="00C27608">
        <w:t xml:space="preserve">2014) </w:t>
      </w:r>
      <w:r w:rsidRPr="00A17F49">
        <w:t>and enhanced scalability</w:t>
      </w:r>
      <w:r w:rsidR="004B68E3">
        <w:t xml:space="preserve"> </w:t>
      </w:r>
      <w:r w:rsidR="004B68E3" w:rsidRPr="00A17F49">
        <w:t>(Carpenter et al. 2016)</w:t>
      </w:r>
      <w:r w:rsidRPr="00A17F49">
        <w:t>.</w:t>
      </w:r>
      <w:r w:rsidR="00472185">
        <w:t xml:space="preserve"> </w:t>
      </w:r>
      <w:r w:rsidR="00901346">
        <w:t xml:space="preserve">The strength of hydrodynamic cavitation can be </w:t>
      </w:r>
      <w:r w:rsidR="00414E81">
        <w:t xml:space="preserve">represented by </w:t>
      </w:r>
      <w:r w:rsidR="006361AD">
        <w:t xml:space="preserve">the </w:t>
      </w:r>
      <w:r w:rsidR="00414E81">
        <w:t>cavitation index</w:t>
      </w:r>
      <w:r w:rsidR="006361AD">
        <w:t xml:space="preserve">, </w:t>
      </w:r>
      <w:r w:rsidR="00414E81">
        <w:t xml:space="preserve">defined as: </w:t>
      </w:r>
    </w:p>
    <w:p w14:paraId="21CCCDB7" w14:textId="77777777" w:rsidR="00275B2B" w:rsidRDefault="00275B2B" w:rsidP="00AE2931">
      <w:pPr>
        <w:pStyle w:val="CETBodytext"/>
      </w:pPr>
    </w:p>
    <w:tbl>
      <w:tblPr>
        <w:tblW w:w="5000" w:type="pct"/>
        <w:tblLook w:val="04A0" w:firstRow="1" w:lastRow="0" w:firstColumn="1" w:lastColumn="0" w:noHBand="0" w:noVBand="1"/>
      </w:tblPr>
      <w:tblGrid>
        <w:gridCol w:w="7983"/>
        <w:gridCol w:w="804"/>
      </w:tblGrid>
      <w:tr w:rsidR="001D713F" w:rsidRPr="00B57B36" w14:paraId="6E9326F8" w14:textId="77777777" w:rsidTr="009C4698">
        <w:tc>
          <w:tcPr>
            <w:tcW w:w="7983" w:type="dxa"/>
            <w:vAlign w:val="center"/>
          </w:tcPr>
          <w:p w14:paraId="6CDB41A7" w14:textId="12D2E9C6" w:rsidR="001D713F" w:rsidRPr="00FE0740" w:rsidRDefault="00FE0740">
            <w:pPr>
              <w:pStyle w:val="CETEquation"/>
            </w:pPr>
            <m:oMathPara>
              <m:oMathParaPr>
                <m:jc m:val="left"/>
              </m:oMathParaPr>
              <m:oMath>
                <m:r>
                  <w:rPr>
                    <w:rFonts w:ascii="Cambria Math" w:hAnsi="Cambria Math" w:cs="Arial"/>
                  </w:rPr>
                  <m:t>C</m:t>
                </m:r>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P</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P</m:t>
                        </m:r>
                      </m:e>
                      <m:sub>
                        <m:r>
                          <w:rPr>
                            <w:rFonts w:ascii="Cambria Math" w:hAnsi="Cambria Math" w:cs="Arial"/>
                          </w:rPr>
                          <m:t>v</m:t>
                        </m:r>
                      </m:sub>
                    </m:sSub>
                  </m:num>
                  <m:den>
                    <m:sSub>
                      <m:sSubPr>
                        <m:ctrlPr>
                          <w:rPr>
                            <w:rFonts w:ascii="Cambria Math" w:hAnsi="Cambria Math" w:cs="Arial"/>
                          </w:rPr>
                        </m:ctrlPr>
                      </m:sSubPr>
                      <m:e>
                        <m:r>
                          <w:rPr>
                            <w:rFonts w:ascii="Cambria Math" w:hAnsi="Cambria Math" w:cs="Arial"/>
                          </w:rPr>
                          <m:t>P</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P</m:t>
                        </m:r>
                      </m:e>
                      <m:sub>
                        <m:r>
                          <m:rPr>
                            <m:sty m:val="p"/>
                          </m:rPr>
                          <w:rPr>
                            <w:rFonts w:ascii="Cambria Math" w:hAnsi="Cambria Math" w:cs="Arial"/>
                          </w:rPr>
                          <m:t>2</m:t>
                        </m:r>
                      </m:sub>
                    </m:sSub>
                  </m:den>
                </m:f>
                <m:r>
                  <m:rPr>
                    <m:sty m:val="p"/>
                  </m:rPr>
                  <w:rPr>
                    <w:rFonts w:ascii="Cambria Math" w:hAnsi="Cambria Math"/>
                  </w:rPr>
                  <m:t xml:space="preserve"> </m:t>
                </m:r>
              </m:oMath>
            </m:oMathPara>
          </w:p>
        </w:tc>
        <w:tc>
          <w:tcPr>
            <w:tcW w:w="804" w:type="dxa"/>
            <w:vAlign w:val="center"/>
          </w:tcPr>
          <w:p w14:paraId="32728633" w14:textId="244F5DBC" w:rsidR="001D713F" w:rsidRPr="00B57B36" w:rsidRDefault="001D713F">
            <w:pPr>
              <w:pStyle w:val="CETEquation"/>
              <w:jc w:val="right"/>
            </w:pPr>
            <w:r w:rsidRPr="00B57B36">
              <w:t>(1)</w:t>
            </w:r>
          </w:p>
        </w:tc>
      </w:tr>
    </w:tbl>
    <w:p w14:paraId="792E6987" w14:textId="77777777" w:rsidR="0037595E" w:rsidRDefault="0037595E" w:rsidP="00333A6E">
      <w:pPr>
        <w:pStyle w:val="CETBodytext"/>
      </w:pPr>
    </w:p>
    <w:p w14:paraId="69B27075" w14:textId="44533AC1" w:rsidR="00FF4CDC" w:rsidRDefault="00BF28B1" w:rsidP="00FF4CDC">
      <w:pPr>
        <w:pStyle w:val="CETBodytext"/>
      </w:pPr>
      <w:r>
        <w:t>where P</w:t>
      </w:r>
      <w:r w:rsidRPr="006361AD">
        <w:rPr>
          <w:vertAlign w:val="subscript"/>
        </w:rPr>
        <w:t>1</w:t>
      </w:r>
      <w:r>
        <w:t xml:space="preserve"> is the inlet pressure, </w:t>
      </w:r>
      <w:proofErr w:type="spellStart"/>
      <w:r>
        <w:t>P</w:t>
      </w:r>
      <w:r w:rsidRPr="006361AD">
        <w:rPr>
          <w:vertAlign w:val="subscript"/>
        </w:rPr>
        <w:t>v</w:t>
      </w:r>
      <w:proofErr w:type="spellEnd"/>
      <w:r>
        <w:t xml:space="preserve"> is the water </w:t>
      </w:r>
      <w:proofErr w:type="spellStart"/>
      <w:r>
        <w:t>vapour</w:t>
      </w:r>
      <w:proofErr w:type="spellEnd"/>
      <w:r>
        <w:t xml:space="preserve"> pressure, and P</w:t>
      </w:r>
      <w:r w:rsidRPr="006361AD">
        <w:rPr>
          <w:vertAlign w:val="subscript"/>
        </w:rPr>
        <w:t>2</w:t>
      </w:r>
      <w:r>
        <w:t xml:space="preserve"> is the downstream pressure. The lower the cavitation index, the stronger the cavitation; in particular, a</w:t>
      </w:r>
      <w:r w:rsidR="009C4698">
        <w:t xml:space="preserve"> cavitation regime can occur if this parameter is lower </w:t>
      </w:r>
      <w:r w:rsidR="00AE2760">
        <w:t xml:space="preserve">or equal </w:t>
      </w:r>
      <w:r w:rsidR="009C4698">
        <w:t>to 1</w:t>
      </w:r>
      <w:r w:rsidR="00B5288C">
        <w:t>.7</w:t>
      </w:r>
      <w:r w:rsidR="0039648A">
        <w:t xml:space="preserve"> </w:t>
      </w:r>
      <w:r w:rsidR="0039648A" w:rsidRPr="000411A6">
        <w:t>(Ebrahimi et al. 2017).</w:t>
      </w:r>
    </w:p>
    <w:p w14:paraId="7A3E5DA0" w14:textId="6F78005A" w:rsidR="00A17F49" w:rsidRPr="00A17F49" w:rsidRDefault="00A17F49" w:rsidP="00FF4CDC">
      <w:pPr>
        <w:pStyle w:val="CETBodytext"/>
      </w:pPr>
      <w:r w:rsidRPr="00A17F49">
        <w:t>The present study aims to investigate the potential of hydrodynamic cavitation by utilizing Computational Fluid Dynamics (CFD) to simulate and analyze pressure distribution and water vapor fraction profiles within a specifically designed orifice-based cavitation reactor under</w:t>
      </w:r>
      <w:r w:rsidR="00B17FEA">
        <w:t xml:space="preserve"> water</w:t>
      </w:r>
      <w:r w:rsidRPr="00A17F49">
        <w:t xml:space="preserve"> liquid flow.</w:t>
      </w:r>
      <w:r w:rsidR="00FE4F64">
        <w:t xml:space="preserve"> </w:t>
      </w:r>
    </w:p>
    <w:p w14:paraId="0771490D" w14:textId="2F73BF1C" w:rsidR="00544E20" w:rsidRDefault="006D60BD" w:rsidP="00544E20">
      <w:pPr>
        <w:pStyle w:val="CETHeading1"/>
        <w:rPr>
          <w:lang w:val="en-GB"/>
        </w:rPr>
      </w:pPr>
      <w:r>
        <w:rPr>
          <w:lang w:val="en-GB"/>
        </w:rPr>
        <w:t xml:space="preserve">Computational </w:t>
      </w:r>
      <w:r w:rsidR="00544E20">
        <w:rPr>
          <w:lang w:val="en-GB"/>
        </w:rPr>
        <w:t xml:space="preserve">Method </w:t>
      </w:r>
    </w:p>
    <w:p w14:paraId="5AFB43EB" w14:textId="7CDF6F86" w:rsidR="00D0282D" w:rsidRDefault="00542B58" w:rsidP="00600535">
      <w:pPr>
        <w:pStyle w:val="CETBodytext"/>
        <w:rPr>
          <w:lang w:val="en-GB"/>
        </w:rPr>
      </w:pPr>
      <w:r w:rsidRPr="00542B58">
        <w:rPr>
          <w:lang w:val="en-GB"/>
        </w:rPr>
        <w:t>The geometry employed in the cavitation CFD study is shown in Figure 2, with the corresponding dimensions detailed in Table 1.</w:t>
      </w:r>
    </w:p>
    <w:p w14:paraId="2EA93094" w14:textId="77777777" w:rsidR="00542B58" w:rsidRPr="00BF28B1" w:rsidRDefault="00542B58" w:rsidP="00600535">
      <w:pPr>
        <w:pStyle w:val="CETBodytext"/>
        <w:rPr>
          <w:lang w:val="en-GB"/>
        </w:rPr>
      </w:pPr>
    </w:p>
    <w:p w14:paraId="490471FE" w14:textId="77777777" w:rsidR="006831BD" w:rsidRDefault="00AE5CEE" w:rsidP="006831BD">
      <w:pPr>
        <w:pStyle w:val="CETBodytext"/>
        <w:keepNext/>
      </w:pPr>
      <w:r>
        <w:rPr>
          <w:noProof/>
        </w:rPr>
        <w:drawing>
          <wp:inline distT="0" distB="0" distL="0" distR="0" wp14:anchorId="3457744C" wp14:editId="65ED8A51">
            <wp:extent cx="2279176" cy="4033941"/>
            <wp:effectExtent l="0" t="0" r="6985" b="5080"/>
            <wp:docPr id="858154768" name="Picture 2" descr="A black line with letters and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54768" name="Picture 2" descr="A black line with letters and numb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161" cy="4040995"/>
                    </a:xfrm>
                    <a:prstGeom prst="rect">
                      <a:avLst/>
                    </a:prstGeom>
                    <a:noFill/>
                    <a:ln>
                      <a:noFill/>
                    </a:ln>
                  </pic:spPr>
                </pic:pic>
              </a:graphicData>
            </a:graphic>
          </wp:inline>
        </w:drawing>
      </w:r>
    </w:p>
    <w:p w14:paraId="27CB3F75" w14:textId="3941174C" w:rsidR="003543DD" w:rsidRDefault="006831BD" w:rsidP="00334A5B">
      <w:pPr>
        <w:pStyle w:val="CETCaption"/>
      </w:pPr>
      <w:r>
        <w:t xml:space="preserve">Figure </w:t>
      </w:r>
      <w:r>
        <w:fldChar w:fldCharType="begin"/>
      </w:r>
      <w:r>
        <w:instrText xml:space="preserve"> SEQ Figure \* ARABIC </w:instrText>
      </w:r>
      <w:r>
        <w:fldChar w:fldCharType="separate"/>
      </w:r>
      <w:r>
        <w:rPr>
          <w:noProof/>
        </w:rPr>
        <w:t>1</w:t>
      </w:r>
      <w:r>
        <w:fldChar w:fldCharType="end"/>
      </w:r>
      <w:r w:rsidR="00334A5B">
        <w:t xml:space="preserve">. </w:t>
      </w:r>
      <w:r w:rsidR="007C1AF3">
        <w:t>Orifice cavitation reactor geometry for CFD study</w:t>
      </w:r>
    </w:p>
    <w:p w14:paraId="2F43BBDB" w14:textId="3773BD5C" w:rsidR="00492C37" w:rsidRPr="00B57B36" w:rsidRDefault="00492C37" w:rsidP="00492C37">
      <w:pPr>
        <w:pStyle w:val="CETTabletitle"/>
      </w:pPr>
      <w:r w:rsidRPr="00B57B36">
        <w:lastRenderedPageBreak/>
        <w:t xml:space="preserve">Table 1: </w:t>
      </w:r>
      <w:r w:rsidR="00E53632">
        <w:t>Geometric</w:t>
      </w:r>
      <w:r>
        <w:t xml:space="preserve"> characteristics of the cavitation orifice reactor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492C37" w:rsidRPr="00B57B36" w14:paraId="216B4003" w14:textId="77777777">
        <w:tc>
          <w:tcPr>
            <w:tcW w:w="1134" w:type="dxa"/>
            <w:tcBorders>
              <w:top w:val="single" w:sz="12" w:space="0" w:color="008000"/>
              <w:bottom w:val="single" w:sz="6" w:space="0" w:color="008000"/>
            </w:tcBorders>
            <w:shd w:val="clear" w:color="auto" w:fill="FFFFFF"/>
          </w:tcPr>
          <w:p w14:paraId="548A7AB4" w14:textId="77777777" w:rsidR="00492C37" w:rsidRPr="00B57B36" w:rsidRDefault="00492C37">
            <w:pPr>
              <w:pStyle w:val="CETBodytext"/>
              <w:rPr>
                <w:lang w:val="en-GB"/>
              </w:rPr>
            </w:pPr>
            <w:r>
              <w:rPr>
                <w:lang w:val="en-GB"/>
              </w:rPr>
              <w:t>D</w:t>
            </w:r>
            <w:r w:rsidRPr="00B57B36">
              <w:rPr>
                <w:lang w:val="en-GB"/>
              </w:rPr>
              <w:t xml:space="preserve"> </w:t>
            </w:r>
            <w:r>
              <w:rPr>
                <w:lang w:val="en-GB"/>
              </w:rPr>
              <w:t>(mm)</w:t>
            </w:r>
          </w:p>
        </w:tc>
        <w:tc>
          <w:tcPr>
            <w:tcW w:w="1134" w:type="dxa"/>
            <w:tcBorders>
              <w:top w:val="single" w:sz="12" w:space="0" w:color="008000"/>
              <w:bottom w:val="single" w:sz="6" w:space="0" w:color="008000"/>
            </w:tcBorders>
            <w:shd w:val="clear" w:color="auto" w:fill="FFFFFF"/>
          </w:tcPr>
          <w:p w14:paraId="5F92236E" w14:textId="77777777" w:rsidR="00492C37" w:rsidRPr="00B57B36" w:rsidRDefault="00492C37">
            <w:pPr>
              <w:pStyle w:val="CETBodytext"/>
              <w:rPr>
                <w:lang w:val="en-GB"/>
              </w:rPr>
            </w:pPr>
            <w:r>
              <w:rPr>
                <w:lang w:val="en-GB"/>
              </w:rPr>
              <w:t>d (mm)</w:t>
            </w:r>
          </w:p>
        </w:tc>
        <w:tc>
          <w:tcPr>
            <w:tcW w:w="1134" w:type="dxa"/>
            <w:tcBorders>
              <w:top w:val="single" w:sz="12" w:space="0" w:color="008000"/>
              <w:bottom w:val="single" w:sz="6" w:space="0" w:color="008000"/>
            </w:tcBorders>
            <w:shd w:val="clear" w:color="auto" w:fill="FFFFFF"/>
          </w:tcPr>
          <w:p w14:paraId="04661D37" w14:textId="77777777" w:rsidR="00492C37" w:rsidRPr="00B57B36" w:rsidRDefault="00492C37">
            <w:pPr>
              <w:pStyle w:val="CETBodytext"/>
              <w:rPr>
                <w:lang w:val="en-GB"/>
              </w:rPr>
            </w:pPr>
            <w:r>
              <w:rPr>
                <w:lang w:val="en-GB"/>
              </w:rPr>
              <w:t>L1 (mm)</w:t>
            </w:r>
          </w:p>
        </w:tc>
        <w:tc>
          <w:tcPr>
            <w:tcW w:w="1134" w:type="dxa"/>
            <w:tcBorders>
              <w:top w:val="single" w:sz="12" w:space="0" w:color="008000"/>
              <w:bottom w:val="single" w:sz="6" w:space="0" w:color="008000"/>
            </w:tcBorders>
            <w:shd w:val="clear" w:color="auto" w:fill="FFFFFF"/>
          </w:tcPr>
          <w:p w14:paraId="5C7B69D2" w14:textId="77777777" w:rsidR="00492C37" w:rsidRPr="00B57B36" w:rsidRDefault="00492C37">
            <w:pPr>
              <w:pStyle w:val="CETBodytext"/>
              <w:ind w:right="-1"/>
              <w:rPr>
                <w:rFonts w:cs="Arial"/>
                <w:szCs w:val="18"/>
                <w:lang w:val="en-GB"/>
              </w:rPr>
            </w:pPr>
            <w:r>
              <w:rPr>
                <w:rFonts w:cs="Arial"/>
                <w:szCs w:val="18"/>
                <w:lang w:val="en-GB"/>
              </w:rPr>
              <w:t>L2 (mm)</w:t>
            </w:r>
          </w:p>
        </w:tc>
        <w:tc>
          <w:tcPr>
            <w:tcW w:w="1134" w:type="dxa"/>
            <w:tcBorders>
              <w:top w:val="single" w:sz="12" w:space="0" w:color="008000"/>
              <w:bottom w:val="single" w:sz="6" w:space="0" w:color="008000"/>
            </w:tcBorders>
            <w:shd w:val="clear" w:color="auto" w:fill="FFFFFF"/>
          </w:tcPr>
          <w:p w14:paraId="059788E4" w14:textId="77777777" w:rsidR="00492C37" w:rsidRPr="00B57B36" w:rsidRDefault="00492C37">
            <w:pPr>
              <w:pStyle w:val="CETBodytext"/>
              <w:ind w:right="-1"/>
              <w:rPr>
                <w:rFonts w:cs="Arial"/>
                <w:szCs w:val="18"/>
                <w:lang w:val="en-GB"/>
              </w:rPr>
            </w:pPr>
            <w:r>
              <w:rPr>
                <w:rFonts w:cs="Arial"/>
                <w:szCs w:val="18"/>
                <w:lang w:val="en-GB"/>
              </w:rPr>
              <w:t>L3 (mm)</w:t>
            </w:r>
          </w:p>
        </w:tc>
      </w:tr>
      <w:tr w:rsidR="00492C37" w:rsidRPr="00B57B36" w14:paraId="642338E3" w14:textId="77777777">
        <w:tc>
          <w:tcPr>
            <w:tcW w:w="1134" w:type="dxa"/>
            <w:shd w:val="clear" w:color="auto" w:fill="FFFFFF"/>
          </w:tcPr>
          <w:p w14:paraId="2A837ADF" w14:textId="77777777" w:rsidR="00492C37" w:rsidRPr="00B57B36" w:rsidRDefault="00492C37">
            <w:pPr>
              <w:pStyle w:val="CETBodytext"/>
              <w:rPr>
                <w:lang w:val="en-GB"/>
              </w:rPr>
            </w:pPr>
            <w:r>
              <w:rPr>
                <w:lang w:val="en-GB"/>
              </w:rPr>
              <w:t>30</w:t>
            </w:r>
          </w:p>
        </w:tc>
        <w:tc>
          <w:tcPr>
            <w:tcW w:w="1134" w:type="dxa"/>
            <w:shd w:val="clear" w:color="auto" w:fill="FFFFFF"/>
          </w:tcPr>
          <w:p w14:paraId="110D974E" w14:textId="77777777" w:rsidR="00492C37" w:rsidRPr="00B57B36" w:rsidRDefault="00492C37">
            <w:pPr>
              <w:pStyle w:val="CETBodytext"/>
              <w:rPr>
                <w:lang w:val="en-GB"/>
              </w:rPr>
            </w:pPr>
            <w:r>
              <w:rPr>
                <w:lang w:val="en-GB"/>
              </w:rPr>
              <w:t>2</w:t>
            </w:r>
          </w:p>
        </w:tc>
        <w:tc>
          <w:tcPr>
            <w:tcW w:w="1134" w:type="dxa"/>
            <w:shd w:val="clear" w:color="auto" w:fill="FFFFFF"/>
          </w:tcPr>
          <w:p w14:paraId="51723A17" w14:textId="77777777" w:rsidR="00492C37" w:rsidRPr="00B57B36" w:rsidRDefault="00492C37">
            <w:pPr>
              <w:pStyle w:val="CETBodytext"/>
              <w:rPr>
                <w:lang w:val="en-GB"/>
              </w:rPr>
            </w:pPr>
            <w:r>
              <w:rPr>
                <w:lang w:val="en-GB"/>
              </w:rPr>
              <w:t>3</w:t>
            </w:r>
          </w:p>
        </w:tc>
        <w:tc>
          <w:tcPr>
            <w:tcW w:w="1134" w:type="dxa"/>
            <w:shd w:val="clear" w:color="auto" w:fill="FFFFFF"/>
          </w:tcPr>
          <w:p w14:paraId="262B6B62" w14:textId="77777777" w:rsidR="00492C37" w:rsidRPr="00B57B36" w:rsidRDefault="00492C37">
            <w:pPr>
              <w:pStyle w:val="CETBodytext"/>
              <w:ind w:right="-1"/>
              <w:rPr>
                <w:rFonts w:cs="Arial"/>
                <w:szCs w:val="18"/>
                <w:lang w:val="en-GB"/>
              </w:rPr>
            </w:pPr>
            <w:r>
              <w:rPr>
                <w:rFonts w:cs="Arial"/>
                <w:szCs w:val="18"/>
                <w:lang w:val="en-GB"/>
              </w:rPr>
              <w:t>2</w:t>
            </w:r>
          </w:p>
        </w:tc>
        <w:tc>
          <w:tcPr>
            <w:tcW w:w="1134" w:type="dxa"/>
            <w:shd w:val="clear" w:color="auto" w:fill="FFFFFF"/>
          </w:tcPr>
          <w:p w14:paraId="6AC35F12" w14:textId="77777777" w:rsidR="00492C37" w:rsidRPr="00B57B36" w:rsidRDefault="00492C37">
            <w:pPr>
              <w:pStyle w:val="CETBodytext"/>
              <w:ind w:right="-1"/>
              <w:rPr>
                <w:rFonts w:cs="Arial"/>
                <w:szCs w:val="18"/>
                <w:lang w:val="en-GB"/>
              </w:rPr>
            </w:pPr>
            <w:r>
              <w:rPr>
                <w:rFonts w:cs="Arial"/>
                <w:szCs w:val="18"/>
                <w:lang w:val="en-GB"/>
              </w:rPr>
              <w:t>9</w:t>
            </w:r>
          </w:p>
        </w:tc>
      </w:tr>
    </w:tbl>
    <w:p w14:paraId="0EAAF3E0" w14:textId="79ABFEB8" w:rsidR="008752BE" w:rsidRPr="008752BE" w:rsidRDefault="008752BE" w:rsidP="008752BE">
      <w:pPr>
        <w:pStyle w:val="CETBodytext"/>
        <w:rPr>
          <w:lang w:val="en-GB"/>
        </w:rPr>
      </w:pPr>
      <w:r w:rsidRPr="008752BE">
        <w:rPr>
          <w:lang w:val="en-GB"/>
        </w:rPr>
        <w:t>Numerical simulations were performed using ANSYS Fluent 2025, conducting four two-dimensional (2D) fluid dynamic analyses by varying the inlet pressure values: (</w:t>
      </w:r>
      <w:r w:rsidR="003161BE">
        <w:rPr>
          <w:lang w:val="en-GB"/>
        </w:rPr>
        <w:t>a</w:t>
      </w:r>
      <w:r w:rsidRPr="008752BE">
        <w:rPr>
          <w:lang w:val="en-GB"/>
        </w:rPr>
        <w:t xml:space="preserve">) </w:t>
      </w:r>
      <w:r w:rsidR="003161BE">
        <w:rPr>
          <w:lang w:val="en-GB"/>
        </w:rPr>
        <w:t>2</w:t>
      </w:r>
      <w:r w:rsidRPr="008752BE">
        <w:rPr>
          <w:lang w:val="en-GB"/>
        </w:rPr>
        <w:t xml:space="preserve">00 </w:t>
      </w:r>
      <w:proofErr w:type="spellStart"/>
      <w:r w:rsidRPr="008752BE">
        <w:rPr>
          <w:lang w:val="en-GB"/>
        </w:rPr>
        <w:t>kPag</w:t>
      </w:r>
      <w:proofErr w:type="spellEnd"/>
      <w:r w:rsidRPr="008752BE">
        <w:rPr>
          <w:lang w:val="en-GB"/>
        </w:rPr>
        <w:t>, (</w:t>
      </w:r>
      <w:r w:rsidR="003161BE">
        <w:rPr>
          <w:lang w:val="en-GB"/>
        </w:rPr>
        <w:t>b</w:t>
      </w:r>
      <w:r w:rsidRPr="008752BE">
        <w:rPr>
          <w:lang w:val="en-GB"/>
        </w:rPr>
        <w:t xml:space="preserve">) </w:t>
      </w:r>
      <w:r w:rsidR="003161BE">
        <w:rPr>
          <w:lang w:val="en-GB"/>
        </w:rPr>
        <w:t>4</w:t>
      </w:r>
      <w:r w:rsidRPr="008752BE">
        <w:rPr>
          <w:lang w:val="en-GB"/>
        </w:rPr>
        <w:t xml:space="preserve">00 </w:t>
      </w:r>
      <w:proofErr w:type="spellStart"/>
      <w:r w:rsidRPr="008752BE">
        <w:rPr>
          <w:lang w:val="en-GB"/>
        </w:rPr>
        <w:t>kPag</w:t>
      </w:r>
      <w:proofErr w:type="spellEnd"/>
      <w:r w:rsidRPr="008752BE">
        <w:rPr>
          <w:lang w:val="en-GB"/>
        </w:rPr>
        <w:t>, (</w:t>
      </w:r>
      <w:r w:rsidR="003161BE">
        <w:rPr>
          <w:lang w:val="en-GB"/>
        </w:rPr>
        <w:t>c</w:t>
      </w:r>
      <w:r w:rsidRPr="008752BE">
        <w:rPr>
          <w:lang w:val="en-GB"/>
        </w:rPr>
        <w:t xml:space="preserve">) </w:t>
      </w:r>
      <w:r w:rsidR="003161BE">
        <w:rPr>
          <w:lang w:val="en-GB"/>
        </w:rPr>
        <w:t>6</w:t>
      </w:r>
      <w:r w:rsidRPr="008752BE">
        <w:rPr>
          <w:lang w:val="en-GB"/>
        </w:rPr>
        <w:t xml:space="preserve">00 </w:t>
      </w:r>
      <w:proofErr w:type="spellStart"/>
      <w:r w:rsidRPr="008752BE">
        <w:rPr>
          <w:lang w:val="en-GB"/>
        </w:rPr>
        <w:t>kPag</w:t>
      </w:r>
      <w:proofErr w:type="spellEnd"/>
      <w:r w:rsidRPr="008752BE">
        <w:rPr>
          <w:lang w:val="en-GB"/>
        </w:rPr>
        <w:t>, and (</w:t>
      </w:r>
      <w:r w:rsidR="003161BE">
        <w:rPr>
          <w:lang w:val="en-GB"/>
        </w:rPr>
        <w:t>d</w:t>
      </w:r>
      <w:r w:rsidRPr="008752BE">
        <w:rPr>
          <w:lang w:val="en-GB"/>
        </w:rPr>
        <w:t xml:space="preserve">) </w:t>
      </w:r>
      <w:r w:rsidR="003161BE">
        <w:rPr>
          <w:lang w:val="en-GB"/>
        </w:rPr>
        <w:t>8</w:t>
      </w:r>
      <w:r w:rsidRPr="008752BE">
        <w:rPr>
          <w:lang w:val="en-GB"/>
        </w:rPr>
        <w:t xml:space="preserve">00 </w:t>
      </w:r>
      <w:proofErr w:type="spellStart"/>
      <w:r w:rsidRPr="008752BE">
        <w:rPr>
          <w:lang w:val="en-GB"/>
        </w:rPr>
        <w:t>kPag</w:t>
      </w:r>
      <w:proofErr w:type="spellEnd"/>
      <w:r w:rsidRPr="008752BE">
        <w:rPr>
          <w:lang w:val="en-GB"/>
        </w:rPr>
        <w:t xml:space="preserve">. A constant downstream pressure of 12 </w:t>
      </w:r>
      <w:proofErr w:type="spellStart"/>
      <w:r w:rsidRPr="008752BE">
        <w:rPr>
          <w:lang w:val="en-GB"/>
        </w:rPr>
        <w:t>kPag</w:t>
      </w:r>
      <w:proofErr w:type="spellEnd"/>
      <w:r w:rsidRPr="008752BE">
        <w:rPr>
          <w:lang w:val="en-GB"/>
        </w:rPr>
        <w:t xml:space="preserve"> was maintained throughout.</w:t>
      </w:r>
    </w:p>
    <w:p w14:paraId="0E872124" w14:textId="62F88812" w:rsidR="008752BE" w:rsidRPr="008752BE" w:rsidRDefault="008752BE" w:rsidP="008752BE">
      <w:pPr>
        <w:pStyle w:val="CETBodytext"/>
        <w:rPr>
          <w:lang w:val="en-GB"/>
        </w:rPr>
      </w:pPr>
      <w:r w:rsidRPr="008752BE">
        <w:rPr>
          <w:lang w:val="en-GB"/>
        </w:rPr>
        <w:t>The computational domain was discretized using a structured quadrilateral mesh consisting of 404,422 elements with a uniform element size of 0.03 mm. Mesh quality metrics</w:t>
      </w:r>
      <w:r w:rsidR="00933DC0">
        <w:rPr>
          <w:lang w:val="en-GB"/>
        </w:rPr>
        <w:t>, i.e.</w:t>
      </w:r>
      <w:r w:rsidR="00EA0EDA">
        <w:rPr>
          <w:lang w:val="en-GB"/>
        </w:rPr>
        <w:t xml:space="preserve"> </w:t>
      </w:r>
      <w:r w:rsidRPr="008752BE">
        <w:rPr>
          <w:lang w:val="en-GB"/>
        </w:rPr>
        <w:t>mean aspect ratio, skewness, and orthogonal quality</w:t>
      </w:r>
      <w:r w:rsidR="00933DC0">
        <w:rPr>
          <w:lang w:val="en-GB"/>
        </w:rPr>
        <w:t>,</w:t>
      </w:r>
      <w:r w:rsidR="00EA0EDA">
        <w:rPr>
          <w:lang w:val="en-GB"/>
        </w:rPr>
        <w:t xml:space="preserve"> </w:t>
      </w:r>
      <w:r w:rsidRPr="008752BE">
        <w:rPr>
          <w:lang w:val="en-GB"/>
        </w:rPr>
        <w:t>are summarized in Table 2, confirming the high quality of the generated mesh.</w:t>
      </w:r>
    </w:p>
    <w:p w14:paraId="740DE3FC" w14:textId="62CDC9BC" w:rsidR="004A3CDC" w:rsidRPr="00B57B36" w:rsidRDefault="004A3CDC" w:rsidP="004A3CDC">
      <w:pPr>
        <w:pStyle w:val="CETTabletitle"/>
      </w:pPr>
      <w:r w:rsidRPr="00B57B36">
        <w:t xml:space="preserve">Table </w:t>
      </w:r>
      <w:r w:rsidR="000516E4">
        <w:t>2</w:t>
      </w:r>
      <w:r w:rsidRPr="00B57B36">
        <w:t xml:space="preserve">: </w:t>
      </w:r>
      <w:r w:rsidR="00EA0EDA">
        <w:t>Mesh</w:t>
      </w:r>
      <w:r w:rsidR="000516E4">
        <w:t xml:space="preserve"> quality parameters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134"/>
        <w:gridCol w:w="1985"/>
      </w:tblGrid>
      <w:tr w:rsidR="00864DDC" w:rsidRPr="00B57B36" w14:paraId="281B6DA0" w14:textId="77777777" w:rsidTr="00864DDC">
        <w:tc>
          <w:tcPr>
            <w:tcW w:w="2410" w:type="dxa"/>
            <w:tcBorders>
              <w:top w:val="single" w:sz="12" w:space="0" w:color="008000"/>
              <w:bottom w:val="single" w:sz="6" w:space="0" w:color="008000"/>
            </w:tcBorders>
            <w:shd w:val="clear" w:color="auto" w:fill="FFFFFF"/>
          </w:tcPr>
          <w:p w14:paraId="53F02C70" w14:textId="185E48E3" w:rsidR="00864DDC" w:rsidRPr="00B57B36" w:rsidRDefault="00864DDC">
            <w:pPr>
              <w:pStyle w:val="CETBodytext"/>
              <w:rPr>
                <w:lang w:val="en-GB"/>
              </w:rPr>
            </w:pPr>
            <w:r>
              <w:rPr>
                <w:lang w:val="en-GB"/>
              </w:rPr>
              <w:t xml:space="preserve">Mean Aspect Ratio </w:t>
            </w:r>
          </w:p>
        </w:tc>
        <w:tc>
          <w:tcPr>
            <w:tcW w:w="1134" w:type="dxa"/>
            <w:tcBorders>
              <w:top w:val="single" w:sz="12" w:space="0" w:color="008000"/>
              <w:bottom w:val="single" w:sz="6" w:space="0" w:color="008000"/>
            </w:tcBorders>
            <w:shd w:val="clear" w:color="auto" w:fill="FFFFFF"/>
          </w:tcPr>
          <w:p w14:paraId="3FE5A220" w14:textId="08DDB348" w:rsidR="00864DDC" w:rsidRPr="00B57B36" w:rsidRDefault="00864DDC" w:rsidP="0013732B">
            <w:pPr>
              <w:pStyle w:val="CETBodytext"/>
              <w:ind w:left="-5" w:firstLine="5"/>
              <w:rPr>
                <w:lang w:val="en-GB"/>
              </w:rPr>
            </w:pPr>
            <w:r>
              <w:rPr>
                <w:lang w:val="en-GB"/>
              </w:rPr>
              <w:t>Skewness</w:t>
            </w:r>
          </w:p>
        </w:tc>
        <w:tc>
          <w:tcPr>
            <w:tcW w:w="1985" w:type="dxa"/>
            <w:tcBorders>
              <w:top w:val="single" w:sz="12" w:space="0" w:color="008000"/>
              <w:bottom w:val="single" w:sz="6" w:space="0" w:color="008000"/>
            </w:tcBorders>
            <w:shd w:val="clear" w:color="auto" w:fill="FFFFFF"/>
          </w:tcPr>
          <w:p w14:paraId="67896C81" w14:textId="61A9D964" w:rsidR="00864DDC" w:rsidRPr="00B57B36" w:rsidRDefault="00864DDC">
            <w:pPr>
              <w:pStyle w:val="CETBodytext"/>
              <w:rPr>
                <w:lang w:val="en-GB"/>
              </w:rPr>
            </w:pPr>
            <w:r>
              <w:rPr>
                <w:lang w:val="en-GB"/>
              </w:rPr>
              <w:t>Orthogonal Quality</w:t>
            </w:r>
          </w:p>
        </w:tc>
      </w:tr>
      <w:tr w:rsidR="00864DDC" w:rsidRPr="00B57B36" w14:paraId="02142582" w14:textId="77777777" w:rsidTr="00864DDC">
        <w:tc>
          <w:tcPr>
            <w:tcW w:w="2410" w:type="dxa"/>
            <w:shd w:val="clear" w:color="auto" w:fill="FFFFFF"/>
          </w:tcPr>
          <w:p w14:paraId="3F49677F" w14:textId="5AD6F54B" w:rsidR="00864DDC" w:rsidRPr="00B57B36" w:rsidRDefault="00864DDC">
            <w:pPr>
              <w:pStyle w:val="CETBodytext"/>
              <w:rPr>
                <w:lang w:val="en-GB"/>
              </w:rPr>
            </w:pPr>
            <w:r>
              <w:rPr>
                <w:lang w:val="en-GB"/>
              </w:rPr>
              <w:t>1.00</w:t>
            </w:r>
          </w:p>
        </w:tc>
        <w:tc>
          <w:tcPr>
            <w:tcW w:w="1134" w:type="dxa"/>
            <w:shd w:val="clear" w:color="auto" w:fill="FFFFFF"/>
          </w:tcPr>
          <w:p w14:paraId="7E143AD7" w14:textId="77910BB3" w:rsidR="00864DDC" w:rsidRPr="00B57B36" w:rsidRDefault="00864DDC">
            <w:pPr>
              <w:pStyle w:val="CETBodytext"/>
              <w:rPr>
                <w:lang w:val="en-GB"/>
              </w:rPr>
            </w:pPr>
            <w:r>
              <w:rPr>
                <w:lang w:val="en-GB"/>
              </w:rPr>
              <w:t>5.26 x 10</w:t>
            </w:r>
            <w:r w:rsidRPr="00B75F78">
              <w:rPr>
                <w:vertAlign w:val="superscript"/>
                <w:lang w:val="en-GB"/>
              </w:rPr>
              <w:t>-4</w:t>
            </w:r>
          </w:p>
        </w:tc>
        <w:tc>
          <w:tcPr>
            <w:tcW w:w="1985" w:type="dxa"/>
            <w:shd w:val="clear" w:color="auto" w:fill="FFFFFF"/>
          </w:tcPr>
          <w:p w14:paraId="692243C9" w14:textId="1B484B24" w:rsidR="00864DDC" w:rsidRPr="00B57B36" w:rsidRDefault="00E42E55">
            <w:pPr>
              <w:pStyle w:val="CETBodytext"/>
              <w:rPr>
                <w:lang w:val="en-GB"/>
              </w:rPr>
            </w:pPr>
            <w:r>
              <w:rPr>
                <w:lang w:val="en-GB"/>
              </w:rPr>
              <w:t>1.00</w:t>
            </w:r>
          </w:p>
        </w:tc>
      </w:tr>
    </w:tbl>
    <w:p w14:paraId="433A2632" w14:textId="77777777" w:rsidR="002D286F" w:rsidRDefault="002D286F" w:rsidP="00E4734B">
      <w:pPr>
        <w:pStyle w:val="CETBodytext"/>
      </w:pPr>
    </w:p>
    <w:p w14:paraId="79A44181" w14:textId="1DB28F28" w:rsidR="0067534C" w:rsidRDefault="0030279C" w:rsidP="0030279C">
      <w:pPr>
        <w:pStyle w:val="CETBodytext"/>
      </w:pPr>
      <w:r>
        <w:t xml:space="preserve">The fluid dynamics were modeled by solving the incompressible Reynolds-Averaged Navier–Stokes (RANS) equations in a steady-state regime. The </w:t>
      </w:r>
      <w:r w:rsidR="0043630E" w:rsidRPr="0043630E">
        <w:rPr>
          <w:lang w:val="en-GB"/>
        </w:rPr>
        <w:t xml:space="preserve">Renormalization Group </w:t>
      </w:r>
      <w:r w:rsidR="0043630E">
        <w:rPr>
          <w:lang w:val="en-GB"/>
        </w:rPr>
        <w:t>(</w:t>
      </w:r>
      <w:r>
        <w:t>RNG</w:t>
      </w:r>
      <w:r w:rsidR="0043630E">
        <w:t>)</w:t>
      </w:r>
      <w:r>
        <w:t xml:space="preserve"> k–ε turbulence model with standard wall functions was adopted due to its balance between accuracy and numerical stability, particularly well-suited for simulating water flow through constrictions (De la Cruz-Ávila et al. 2024). Cavitation effects were captured using the Zwart</w:t>
      </w:r>
      <w:r w:rsidR="0003386D">
        <w:t xml:space="preserve"> </w:t>
      </w:r>
      <w:r>
        <w:t>Gerber</w:t>
      </w:r>
      <w:r w:rsidR="0003386D">
        <w:t xml:space="preserve"> </w:t>
      </w:r>
      <w:r>
        <w:t>Belamri model, with a vapor pressure of 3574 Pa and an initial bubble radius of 0.002 mm. This model was selected</w:t>
      </w:r>
      <w:r w:rsidR="0003386D">
        <w:t xml:space="preserve"> </w:t>
      </w:r>
      <w:proofErr w:type="gramStart"/>
      <w:r w:rsidR="0003386D">
        <w:t>on the basis of</w:t>
      </w:r>
      <w:proofErr w:type="gramEnd"/>
      <w:r>
        <w:t xml:space="preserve"> a comprehensive literature review to ensure accurate prediction of cavitation phenomena (Kumar et al. 2020). The fluid properties were assumed constant, with liquid water having a dynamic viscosity of 0.001003 kg/(</w:t>
      </w:r>
      <w:proofErr w:type="spellStart"/>
      <w:r>
        <w:t>m·s</w:t>
      </w:r>
      <w:proofErr w:type="spellEnd"/>
      <w:r>
        <w:t xml:space="preserve">) and a density of 998.2 kg/m³, while water vapor was defined with a viscosity of </w:t>
      </w:r>
      <w:r w:rsidR="00E54991">
        <w:t>1.26 x 10</w:t>
      </w:r>
      <w:r w:rsidR="009D4770" w:rsidRPr="009D4770">
        <w:rPr>
          <w:vertAlign w:val="superscript"/>
        </w:rPr>
        <w:t>-6</w:t>
      </w:r>
      <w:r w:rsidR="009D4770">
        <w:t xml:space="preserve"> </w:t>
      </w:r>
      <w:r>
        <w:t>kg/(</w:t>
      </w:r>
      <w:proofErr w:type="spellStart"/>
      <w:r>
        <w:t>m·s</w:t>
      </w:r>
      <w:proofErr w:type="spellEnd"/>
      <w:r>
        <w:t xml:space="preserve">) and a density of 0.02558 kg/m³. The pressure–velocity coupling was handled using the Coupled algorithm. For spatial discretization, the gradient term was calculated using the Least Squares Cell-Based method, pressure using the PRESTO! scheme, the momentum, turbulent kinetic energy, and turbulent dissipation rate terms using the Second Order Upwind method. The First Order Upwind scheme was applied </w:t>
      </w:r>
      <w:r w:rsidR="003B406B">
        <w:t>to</w:t>
      </w:r>
      <w:r>
        <w:t xml:space="preserve"> the volume fraction</w:t>
      </w:r>
      <w:r w:rsidR="003B406B">
        <w:t xml:space="preserve"> calculation</w:t>
      </w:r>
      <w:r>
        <w:t>. Default under-relaxation factors were used, and the solution was initialized from the inlet boundary. Convergence was defined by achieving residuals below 10</w:t>
      </w:r>
      <w:r>
        <w:rPr>
          <w:rFonts w:ascii="Cambria Math" w:hAnsi="Cambria Math" w:cs="Cambria Math"/>
        </w:rPr>
        <w:t>⁻</w:t>
      </w:r>
      <w:r>
        <w:rPr>
          <w:rFonts w:cs="Arial"/>
        </w:rPr>
        <w:t>⁶</w:t>
      </w:r>
      <w:r>
        <w:t xml:space="preserve"> to ensure solution accuracy.</w:t>
      </w:r>
    </w:p>
    <w:p w14:paraId="1F339C86" w14:textId="4BE5D0BB" w:rsidR="00636A0E" w:rsidRDefault="00C03AF1" w:rsidP="00636A0E">
      <w:pPr>
        <w:pStyle w:val="CETHeading1"/>
        <w:rPr>
          <w:lang w:val="en-GB"/>
        </w:rPr>
      </w:pPr>
      <w:r>
        <w:rPr>
          <w:lang w:val="en-GB"/>
        </w:rPr>
        <w:t>Results and discussions</w:t>
      </w:r>
    </w:p>
    <w:p w14:paraId="3925851D" w14:textId="665D2514" w:rsidR="00A15DF8" w:rsidRDefault="005A38ED" w:rsidP="00FD4F04">
      <w:pPr>
        <w:pStyle w:val="CETBodytext"/>
      </w:pPr>
      <w:r>
        <w:t>As previously mentioned, four simulations were conducted at varying inlet pressures: (</w:t>
      </w:r>
      <w:r w:rsidR="003161BE">
        <w:t>a</w:t>
      </w:r>
      <w:r>
        <w:t xml:space="preserve">) </w:t>
      </w:r>
      <w:r w:rsidR="003161BE">
        <w:t>2</w:t>
      </w:r>
      <w:r>
        <w:t xml:space="preserve">00 </w:t>
      </w:r>
      <w:proofErr w:type="spellStart"/>
      <w:r>
        <w:t>kPag</w:t>
      </w:r>
      <w:proofErr w:type="spellEnd"/>
      <w:r>
        <w:t>, (</w:t>
      </w:r>
      <w:r w:rsidR="003161BE">
        <w:t>b</w:t>
      </w:r>
      <w:r>
        <w:t xml:space="preserve">) </w:t>
      </w:r>
      <w:r w:rsidR="003161BE">
        <w:t>4</w:t>
      </w:r>
      <w:r>
        <w:t xml:space="preserve">00 </w:t>
      </w:r>
      <w:proofErr w:type="spellStart"/>
      <w:r>
        <w:t>kPag</w:t>
      </w:r>
      <w:proofErr w:type="spellEnd"/>
      <w:r>
        <w:t>, (</w:t>
      </w:r>
      <w:r w:rsidR="003161BE">
        <w:t>c</w:t>
      </w:r>
      <w:r>
        <w:t xml:space="preserve">) </w:t>
      </w:r>
      <w:r w:rsidR="003161BE">
        <w:t>6</w:t>
      </w:r>
      <w:r>
        <w:t xml:space="preserve">00 </w:t>
      </w:r>
      <w:proofErr w:type="spellStart"/>
      <w:r>
        <w:t>kPag</w:t>
      </w:r>
      <w:proofErr w:type="spellEnd"/>
      <w:r>
        <w:t>, and (</w:t>
      </w:r>
      <w:r w:rsidR="003161BE">
        <w:t>d</w:t>
      </w:r>
      <w:r>
        <w:t xml:space="preserve">) </w:t>
      </w:r>
      <w:r w:rsidR="003161BE">
        <w:t>8</w:t>
      </w:r>
      <w:r>
        <w:t xml:space="preserve">00 </w:t>
      </w:r>
      <w:proofErr w:type="spellStart"/>
      <w:r>
        <w:t>kPag</w:t>
      </w:r>
      <w:proofErr w:type="spellEnd"/>
      <w:r>
        <w:t xml:space="preserve">. These values were chosen to achieve cavitation indices (C) close to unity, a condition under which cavitation is likely to occur. </w:t>
      </w:r>
      <w:r w:rsidR="00FD4F04" w:rsidRPr="00FD4F04">
        <w:t xml:space="preserve">The </w:t>
      </w:r>
      <w:r w:rsidR="00D2734C">
        <w:t>interdependencies</w:t>
      </w:r>
      <w:r w:rsidR="00ED057D">
        <w:t xml:space="preserve"> among</w:t>
      </w:r>
      <w:r w:rsidR="00FD4F04" w:rsidRPr="00FD4F04">
        <w:t xml:space="preserve"> the cavitation index, inlet pressure, in</w:t>
      </w:r>
      <w:r w:rsidR="00B949D9">
        <w:t>let</w:t>
      </w:r>
      <w:r w:rsidR="00FD4F04" w:rsidRPr="00FD4F04">
        <w:t xml:space="preserve"> power</w:t>
      </w:r>
      <w:r w:rsidR="00B369B3">
        <w:t xml:space="preserve"> </w:t>
      </w:r>
      <w:r w:rsidR="00B33625">
        <w:t>(</w:t>
      </w:r>
      <w:r w:rsidR="00B369B3">
        <w:t>E</w:t>
      </w:r>
      <w:r w:rsidR="00B369B3" w:rsidRPr="00B369B3">
        <w:rPr>
          <w:vertAlign w:val="subscript"/>
        </w:rPr>
        <w:t>IN</w:t>
      </w:r>
      <w:r w:rsidR="00B33625">
        <w:t xml:space="preserve">) </w:t>
      </w:r>
      <w:r w:rsidR="00635F5F">
        <w:t>and theoretical hydrogen</w:t>
      </w:r>
      <w:r w:rsidR="00491F96">
        <w:t xml:space="preserve"> molar flowrate</w:t>
      </w:r>
      <w:r w:rsidR="00635F5F">
        <w:t xml:space="preserve"> </w:t>
      </w:r>
      <w:proofErr w:type="gramStart"/>
      <w:r w:rsidR="00635F5F">
        <w:t>requested</w:t>
      </w:r>
      <w:proofErr w:type="gramEnd"/>
      <w:r w:rsidR="00635F5F">
        <w:t xml:space="preserve"> </w:t>
      </w:r>
      <w:r w:rsidR="00C65E31">
        <w:t>to r</w:t>
      </w:r>
      <w:r w:rsidR="00B548B8">
        <w:t>e</w:t>
      </w:r>
      <w:r w:rsidR="00C65E31">
        <w:t xml:space="preserve">cover </w:t>
      </w:r>
      <w:r w:rsidR="00525464">
        <w:t>the i</w:t>
      </w:r>
      <w:r w:rsidR="00491F96">
        <w:t>n</w:t>
      </w:r>
      <w:r w:rsidR="00525464">
        <w:t>put power</w:t>
      </w:r>
      <w:r w:rsidR="00FF7C82">
        <w:t xml:space="preserve"> </w:t>
      </w:r>
      <w:r w:rsidR="006F5780">
        <w:t>(</w:t>
      </w:r>
      <w:r w:rsidR="00E52ECF">
        <w:t>n</w:t>
      </w:r>
      <w:r w:rsidR="003730BF" w:rsidRPr="003730BF">
        <w:rPr>
          <w:vertAlign w:val="subscript"/>
        </w:rPr>
        <w:t>H</w:t>
      </w:r>
      <w:proofErr w:type="gramStart"/>
      <w:r w:rsidR="003730BF" w:rsidRPr="003730BF">
        <w:rPr>
          <w:vertAlign w:val="subscript"/>
        </w:rPr>
        <w:t>2</w:t>
      </w:r>
      <w:r w:rsidR="003730BF">
        <w:rPr>
          <w:vertAlign w:val="subscript"/>
        </w:rPr>
        <w:t>,th</w:t>
      </w:r>
      <w:proofErr w:type="gramEnd"/>
      <w:r w:rsidR="003730BF">
        <w:rPr>
          <w:vertAlign w:val="subscript"/>
        </w:rPr>
        <w:t>.</w:t>
      </w:r>
      <w:r w:rsidR="006F5780" w:rsidRPr="006F5780">
        <w:t>)</w:t>
      </w:r>
      <w:r w:rsidR="00234AD2">
        <w:t>,</w:t>
      </w:r>
      <w:r w:rsidR="00FD4F04" w:rsidRPr="00FD4F04">
        <w:t xml:space="preserve"> </w:t>
      </w:r>
      <w:r w:rsidR="00ED057D">
        <w:t>are</w:t>
      </w:r>
      <w:r w:rsidR="00FD4F04" w:rsidRPr="00FD4F04">
        <w:t xml:space="preserve"> presented numerically in Table 3 and graphically in Figure 2. Input power </w:t>
      </w:r>
      <w:r w:rsidR="00EC52EF">
        <w:t>quantifies</w:t>
      </w:r>
      <w:r w:rsidR="005B55F3">
        <w:t xml:space="preserve"> </w:t>
      </w:r>
      <w:r w:rsidR="00FD4F04" w:rsidRPr="00FD4F04">
        <w:t>the energy required to elevate the water flow pressure from atmospheric</w:t>
      </w:r>
      <w:r w:rsidR="005B55F3">
        <w:t xml:space="preserve"> conditions</w:t>
      </w:r>
      <w:r w:rsidR="00FD4F04" w:rsidRPr="00FD4F04">
        <w:t xml:space="preserve"> to the specified inlet pressure</w:t>
      </w:r>
      <w:r w:rsidR="005B55F3">
        <w:t>, and</w:t>
      </w:r>
      <w:r w:rsidR="00234AD2">
        <w:t xml:space="preserve"> is derived from the following formula</w:t>
      </w:r>
      <w:r w:rsidR="007420CC">
        <w:t>:</w:t>
      </w:r>
    </w:p>
    <w:p w14:paraId="19699104" w14:textId="77777777" w:rsidR="007420CC" w:rsidRDefault="007420CC" w:rsidP="00FD4F04">
      <w:pPr>
        <w:pStyle w:val="CETBodytext"/>
      </w:pPr>
    </w:p>
    <w:tbl>
      <w:tblPr>
        <w:tblW w:w="5000" w:type="pct"/>
        <w:tblLook w:val="04A0" w:firstRow="1" w:lastRow="0" w:firstColumn="1" w:lastColumn="0" w:noHBand="0" w:noVBand="1"/>
      </w:tblPr>
      <w:tblGrid>
        <w:gridCol w:w="7983"/>
        <w:gridCol w:w="804"/>
      </w:tblGrid>
      <w:tr w:rsidR="00B2374E" w:rsidRPr="00B57B36" w14:paraId="6156E8B0" w14:textId="77777777" w:rsidTr="00B2374E">
        <w:tc>
          <w:tcPr>
            <w:tcW w:w="7983" w:type="dxa"/>
            <w:vAlign w:val="center"/>
          </w:tcPr>
          <w:p w14:paraId="0AA7430A" w14:textId="5D5FE0F9" w:rsidR="007420CC" w:rsidRPr="00D31EBB" w:rsidRDefault="00143CAD" w:rsidP="00B2374E">
            <w:pPr>
              <w:pStyle w:val="CETEquation"/>
            </w:pPr>
            <m:oMathPara>
              <m:oMathParaPr>
                <m:jc m:val="left"/>
              </m:oMathParaPr>
              <m:oMath>
                <m:sSub>
                  <m:sSubPr>
                    <m:ctrlPr>
                      <w:rPr>
                        <w:rFonts w:ascii="Cambria Math" w:hAnsi="Cambria Math" w:cs="Arial"/>
                      </w:rPr>
                    </m:ctrlPr>
                  </m:sSubPr>
                  <m:e>
                    <m:r>
                      <w:rPr>
                        <w:rFonts w:ascii="Cambria Math" w:hAnsi="Cambria Math" w:cs="Arial"/>
                      </w:rPr>
                      <m:t>E</m:t>
                    </m:r>
                  </m:e>
                  <m:sub>
                    <m:r>
                      <w:rPr>
                        <w:rFonts w:ascii="Cambria Math" w:hAnsi="Cambria Math" w:cs="Arial"/>
                      </w:rPr>
                      <m:t>IN</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Q×∆P</m:t>
                    </m:r>
                  </m:num>
                  <m:den>
                    <m:sSub>
                      <m:sSubPr>
                        <m:ctrlPr>
                          <w:rPr>
                            <w:rFonts w:ascii="Cambria Math" w:hAnsi="Cambria Math" w:cs="Arial"/>
                            <w:i/>
                          </w:rPr>
                        </m:ctrlPr>
                      </m:sSubPr>
                      <m:e>
                        <m:r>
                          <w:rPr>
                            <w:rFonts w:ascii="Cambria Math" w:hAnsi="Cambria Math" w:cs="Arial"/>
                          </w:rPr>
                          <m:t>η</m:t>
                        </m:r>
                      </m:e>
                      <m:sub>
                        <m:r>
                          <w:rPr>
                            <w:rFonts w:ascii="Cambria Math" w:hAnsi="Cambria Math" w:cs="Arial"/>
                          </w:rPr>
                          <m:t>P</m:t>
                        </m:r>
                      </m:sub>
                    </m:sSub>
                  </m:den>
                </m:f>
                <m:r>
                  <m:rPr>
                    <m:sty m:val="p"/>
                  </m:rPr>
                  <w:rPr>
                    <w:rFonts w:ascii="Cambria Math" w:hAnsi="Cambria Math"/>
                  </w:rPr>
                  <m:t xml:space="preserve"> </m:t>
                </m:r>
              </m:oMath>
            </m:oMathPara>
          </w:p>
        </w:tc>
        <w:tc>
          <w:tcPr>
            <w:tcW w:w="804" w:type="dxa"/>
            <w:vAlign w:val="center"/>
          </w:tcPr>
          <w:p w14:paraId="4DC38876" w14:textId="42468666" w:rsidR="007420CC" w:rsidRPr="00D31EBB" w:rsidRDefault="007420CC" w:rsidP="00B2374E">
            <w:pPr>
              <w:pStyle w:val="CETEquation"/>
              <w:jc w:val="right"/>
            </w:pPr>
            <w:r w:rsidRPr="00B57B36">
              <w:t>(</w:t>
            </w:r>
            <w:r w:rsidR="005308E9">
              <w:t>2</w:t>
            </w:r>
            <w:r w:rsidRPr="00B57B36">
              <w:t>)</w:t>
            </w:r>
          </w:p>
        </w:tc>
      </w:tr>
    </w:tbl>
    <w:p w14:paraId="550F99CC" w14:textId="77777777" w:rsidR="009C4B17" w:rsidRDefault="009C4B17" w:rsidP="00556F3C">
      <w:pPr>
        <w:pStyle w:val="CETBodytext"/>
      </w:pPr>
    </w:p>
    <w:p w14:paraId="382903EF" w14:textId="5EB2EA7E" w:rsidR="00026387" w:rsidRDefault="00D31EBB" w:rsidP="00556F3C">
      <w:pPr>
        <w:pStyle w:val="CETBodytext"/>
        <w:rPr>
          <w:rFonts w:eastAsia="DengXian"/>
        </w:rPr>
      </w:pPr>
      <w:r>
        <w:t>w</w:t>
      </w:r>
      <w:r w:rsidR="00C02C1B" w:rsidRPr="00556F3C">
        <w:t xml:space="preserve">here </w:t>
      </w:r>
      <w:r w:rsidR="00556F3C" w:rsidRPr="00556F3C">
        <w:t xml:space="preserve">Q is the </w:t>
      </w:r>
      <w:r w:rsidR="005B18A9">
        <w:t xml:space="preserve">water </w:t>
      </w:r>
      <w:r w:rsidR="00556F3C" w:rsidRPr="00556F3C">
        <w:t xml:space="preserve">volumetric </w:t>
      </w:r>
      <w:r>
        <w:t xml:space="preserve">flow rate at the inlet, ΔP is the water pressure difference between the specified inlet pressure and the atmospheric pressure, and </w:t>
      </w:r>
      <w:proofErr w:type="spellStart"/>
      <w:r>
        <w:t>ηP</w:t>
      </w:r>
      <w:proofErr w:type="spellEnd"/>
      <w:r>
        <w:t xml:space="preserve"> is </w:t>
      </w:r>
      <w:r w:rsidR="008F38C0">
        <w:rPr>
          <w:rFonts w:eastAsia="DengXian"/>
        </w:rPr>
        <w:t xml:space="preserve">the pump </w:t>
      </w:r>
      <w:r w:rsidR="00B769F4">
        <w:rPr>
          <w:rFonts w:eastAsia="DengXian"/>
        </w:rPr>
        <w:t xml:space="preserve">overall </w:t>
      </w:r>
      <w:r w:rsidR="008F38C0">
        <w:rPr>
          <w:rFonts w:eastAsia="DengXian"/>
        </w:rPr>
        <w:t>efficiency</w:t>
      </w:r>
      <w:r w:rsidR="00CF7863">
        <w:rPr>
          <w:rFonts w:eastAsia="DengXian"/>
        </w:rPr>
        <w:t>, which is assumed to be equal to</w:t>
      </w:r>
      <w:r w:rsidR="005458C5">
        <w:rPr>
          <w:rFonts w:eastAsia="DengXian"/>
        </w:rPr>
        <w:t xml:space="preserve"> 0.7 for our estimation. </w:t>
      </w:r>
    </w:p>
    <w:p w14:paraId="1C65E0DB" w14:textId="6189DDDC" w:rsidR="005453F4" w:rsidRDefault="005453F4" w:rsidP="00556F3C">
      <w:pPr>
        <w:pStyle w:val="CETBodytext"/>
        <w:rPr>
          <w:rFonts w:eastAsia="DengXian"/>
        </w:rPr>
      </w:pPr>
      <w:r>
        <w:rPr>
          <w:rFonts w:eastAsia="DengXian"/>
        </w:rPr>
        <w:t xml:space="preserve">The theoretical hydrogen is defined </w:t>
      </w:r>
      <w:r w:rsidR="00C37FCB">
        <w:rPr>
          <w:rFonts w:eastAsia="DengXian"/>
        </w:rPr>
        <w:t xml:space="preserve">as the molar </w:t>
      </w:r>
      <w:r w:rsidR="00D31EBB">
        <w:rPr>
          <w:rFonts w:eastAsia="DengXian"/>
        </w:rPr>
        <w:t>flow rate</w:t>
      </w:r>
      <w:r w:rsidR="00C37FCB">
        <w:rPr>
          <w:rFonts w:eastAsia="DengXian"/>
        </w:rPr>
        <w:t xml:space="preserve"> of </w:t>
      </w:r>
      <w:r w:rsidR="00B170E0">
        <w:rPr>
          <w:rFonts w:eastAsia="DengXian"/>
        </w:rPr>
        <w:t xml:space="preserve">produced </w:t>
      </w:r>
      <w:r w:rsidR="00C37FCB">
        <w:rPr>
          <w:rFonts w:eastAsia="DengXian"/>
        </w:rPr>
        <w:t xml:space="preserve">in the process </w:t>
      </w:r>
      <w:r w:rsidR="005458C5">
        <w:rPr>
          <w:rFonts w:eastAsia="DengXian"/>
        </w:rPr>
        <w:t xml:space="preserve">which can </w:t>
      </w:r>
      <w:r w:rsidR="000D15DA">
        <w:rPr>
          <w:rFonts w:eastAsia="DengXian"/>
        </w:rPr>
        <w:t>generate</w:t>
      </w:r>
      <w:r w:rsidR="00D86880">
        <w:rPr>
          <w:rFonts w:eastAsia="DengXian"/>
        </w:rPr>
        <w:t xml:space="preserve"> a power equ</w:t>
      </w:r>
      <w:r w:rsidR="000D15DA">
        <w:rPr>
          <w:rFonts w:eastAsia="DengXian"/>
        </w:rPr>
        <w:t>ivalent</w:t>
      </w:r>
      <w:r w:rsidR="00D86880">
        <w:rPr>
          <w:rFonts w:eastAsia="DengXian"/>
        </w:rPr>
        <w:t xml:space="preserve"> to the input power</w:t>
      </w:r>
      <w:r w:rsidR="00D31EBB">
        <w:rPr>
          <w:rFonts w:eastAsia="DengXian"/>
        </w:rPr>
        <w:t xml:space="preserve"> through combustion;</w:t>
      </w:r>
      <w:r w:rsidR="00CF7863">
        <w:rPr>
          <w:rFonts w:eastAsia="DengXian"/>
        </w:rPr>
        <w:t xml:space="preserve"> it is calculated</w:t>
      </w:r>
      <w:r w:rsidR="00DE2CE4">
        <w:rPr>
          <w:rFonts w:eastAsia="DengXian"/>
        </w:rPr>
        <w:t xml:space="preserve"> as:</w:t>
      </w:r>
    </w:p>
    <w:p w14:paraId="7E8F681E" w14:textId="77777777" w:rsidR="00DE2CE4" w:rsidRDefault="00DE2CE4" w:rsidP="00556F3C">
      <w:pPr>
        <w:pStyle w:val="CETBodytext"/>
        <w:rPr>
          <w:rFonts w:eastAsia="DengXian"/>
        </w:rPr>
      </w:pPr>
    </w:p>
    <w:tbl>
      <w:tblPr>
        <w:tblW w:w="5000" w:type="pct"/>
        <w:tblLook w:val="04A0" w:firstRow="1" w:lastRow="0" w:firstColumn="1" w:lastColumn="0" w:noHBand="0" w:noVBand="1"/>
      </w:tblPr>
      <w:tblGrid>
        <w:gridCol w:w="7983"/>
        <w:gridCol w:w="804"/>
      </w:tblGrid>
      <w:tr w:rsidR="00DE2CE4" w:rsidRPr="00B57B36" w14:paraId="7CE7A438" w14:textId="77777777" w:rsidTr="008D089D">
        <w:tc>
          <w:tcPr>
            <w:tcW w:w="7983" w:type="dxa"/>
            <w:vAlign w:val="center"/>
          </w:tcPr>
          <w:p w14:paraId="7533AC8C" w14:textId="42F4FFA3" w:rsidR="00DE2CE4" w:rsidRPr="00FE0740" w:rsidRDefault="00143CAD">
            <w:pPr>
              <w:pStyle w:val="CETEquation"/>
            </w:pPr>
            <m:oMathPara>
              <m:oMathParaPr>
                <m:jc m:val="left"/>
              </m:oMathParaPr>
              <m:oMath>
                <m:sSub>
                  <m:sSubPr>
                    <m:ctrlPr>
                      <w:rPr>
                        <w:rFonts w:ascii="Cambria Math" w:hAnsi="Cambria Math" w:cs="Arial"/>
                      </w:rPr>
                    </m:ctrlPr>
                  </m:sSubPr>
                  <m:e>
                    <m:r>
                      <w:rPr>
                        <w:rFonts w:ascii="Cambria Math" w:hAnsi="Cambria Math" w:cs="Arial"/>
                      </w:rPr>
                      <m:t>n</m:t>
                    </m:r>
                  </m:e>
                  <m:sub>
                    <m:r>
                      <w:rPr>
                        <w:rFonts w:ascii="Cambria Math" w:hAnsi="Cambria Math" w:cs="Arial"/>
                      </w:rPr>
                      <m:t>H</m:t>
                    </m:r>
                    <m:r>
                      <w:rPr>
                        <w:rFonts w:ascii="Cambria Math" w:hAnsi="Cambria Math" w:cs="Arial"/>
                      </w:rPr>
                      <m:t>2,</m:t>
                    </m:r>
                    <m:r>
                      <w:rPr>
                        <w:rFonts w:ascii="Cambria Math" w:hAnsi="Cambria Math" w:cs="Arial"/>
                      </w:rPr>
                      <m:t>t</m:t>
                    </m:r>
                    <m:r>
                      <w:rPr>
                        <w:rFonts w:ascii="Cambria Math" w:hAnsi="Cambria Math" w:cs="Arial"/>
                      </w:rPr>
                      <m:t>h</m:t>
                    </m:r>
                  </m:sub>
                </m:sSub>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i/>
                          </w:rPr>
                        </m:ctrlPr>
                      </m:sSubPr>
                      <m:e>
                        <m:r>
                          <w:rPr>
                            <w:rFonts w:ascii="Cambria Math" w:hAnsi="Cambria Math" w:cs="Arial"/>
                          </w:rPr>
                          <m:t>E</m:t>
                        </m:r>
                      </m:e>
                      <m:sub>
                        <m:r>
                          <w:rPr>
                            <w:rFonts w:ascii="Cambria Math" w:hAnsi="Cambria Math" w:cs="Arial"/>
                          </w:rPr>
                          <m:t>IN</m:t>
                        </m:r>
                      </m:sub>
                    </m:sSub>
                  </m:num>
                  <m:den>
                    <m:sSub>
                      <m:sSubPr>
                        <m:ctrlPr>
                          <w:rPr>
                            <w:rFonts w:ascii="Cambria Math" w:hAnsi="Cambria Math" w:cs="Arial"/>
                            <w:i/>
                          </w:rPr>
                        </m:ctrlPr>
                      </m:sSubPr>
                      <m:e>
                        <m:r>
                          <w:rPr>
                            <w:rFonts w:ascii="Cambria Math" w:hAnsi="Cambria Math" w:cs="Arial"/>
                          </w:rPr>
                          <m:t>HHV</m:t>
                        </m:r>
                      </m:e>
                      <m:sub>
                        <m:r>
                          <w:rPr>
                            <w:rFonts w:ascii="Cambria Math" w:hAnsi="Cambria Math" w:cs="Arial"/>
                          </w:rPr>
                          <m:t>H</m:t>
                        </m:r>
                        <m:r>
                          <w:rPr>
                            <w:rFonts w:ascii="Cambria Math" w:hAnsi="Cambria Math" w:cs="Arial"/>
                          </w:rPr>
                          <m:t>2</m:t>
                        </m:r>
                      </m:sub>
                    </m:sSub>
                  </m:den>
                </m:f>
                <m:r>
                  <m:rPr>
                    <m:sty m:val="p"/>
                  </m:rPr>
                  <w:rPr>
                    <w:rFonts w:ascii="Cambria Math" w:hAnsi="Cambria Math"/>
                  </w:rPr>
                  <m:t xml:space="preserve"> </m:t>
                </m:r>
              </m:oMath>
            </m:oMathPara>
          </w:p>
        </w:tc>
        <w:tc>
          <w:tcPr>
            <w:tcW w:w="804" w:type="dxa"/>
            <w:vAlign w:val="center"/>
          </w:tcPr>
          <w:p w14:paraId="5A6F5A4A" w14:textId="3CC383D5" w:rsidR="00DE2CE4" w:rsidRPr="00B57B36" w:rsidRDefault="00DE2CE4">
            <w:pPr>
              <w:pStyle w:val="CETEquation"/>
              <w:jc w:val="right"/>
            </w:pPr>
            <w:r w:rsidRPr="00B57B36">
              <w:t>(</w:t>
            </w:r>
            <w:r w:rsidR="00673328">
              <w:t>3</w:t>
            </w:r>
            <w:r w:rsidRPr="00B57B36">
              <w:t>)</w:t>
            </w:r>
          </w:p>
        </w:tc>
      </w:tr>
    </w:tbl>
    <w:p w14:paraId="60D45489" w14:textId="77777777" w:rsidR="00DE2CE4" w:rsidRDefault="00DE2CE4" w:rsidP="00556F3C">
      <w:pPr>
        <w:pStyle w:val="CETBodytext"/>
        <w:rPr>
          <w:rFonts w:eastAsia="DengXian"/>
        </w:rPr>
      </w:pPr>
    </w:p>
    <w:p w14:paraId="6377D466" w14:textId="079C569F" w:rsidR="00DE2CE4" w:rsidRDefault="00D31EBB" w:rsidP="00556F3C">
      <w:pPr>
        <w:pStyle w:val="CETBodytext"/>
        <w:rPr>
          <w:rFonts w:eastAsia="DengXian"/>
        </w:rPr>
      </w:pPr>
      <w:r>
        <w:rPr>
          <w:rFonts w:eastAsia="DengXian"/>
        </w:rPr>
        <w:t>w</w:t>
      </w:r>
      <w:r w:rsidR="00DD01CF">
        <w:rPr>
          <w:rFonts w:eastAsia="DengXian"/>
        </w:rPr>
        <w:t>here HHV</w:t>
      </w:r>
      <w:r w:rsidR="00DD01CF" w:rsidRPr="00DD01CF">
        <w:rPr>
          <w:rFonts w:eastAsia="DengXian"/>
          <w:vertAlign w:val="subscript"/>
        </w:rPr>
        <w:t>H2</w:t>
      </w:r>
      <w:r w:rsidR="00DD01CF">
        <w:rPr>
          <w:rFonts w:eastAsia="DengXian"/>
        </w:rPr>
        <w:t xml:space="preserve"> is the high heating value of hydrogen</w:t>
      </w:r>
      <w:r w:rsidR="00E95AB1">
        <w:rPr>
          <w:rFonts w:eastAsia="DengXian"/>
        </w:rPr>
        <w:t xml:space="preserve">, equal to </w:t>
      </w:r>
      <w:r w:rsidR="00A420CA">
        <w:rPr>
          <w:rFonts w:eastAsia="DengXian"/>
        </w:rPr>
        <w:t>286 kJ/mol</w:t>
      </w:r>
      <w:r w:rsidR="00EF1108">
        <w:rPr>
          <w:rFonts w:eastAsia="DengXian"/>
        </w:rPr>
        <w:t>.</w:t>
      </w:r>
    </w:p>
    <w:p w14:paraId="20A0474B" w14:textId="77777777" w:rsidR="00EE5D37" w:rsidRDefault="00EE5D37" w:rsidP="00556F3C">
      <w:pPr>
        <w:pStyle w:val="CETBodytext"/>
        <w:rPr>
          <w:rFonts w:eastAsia="DengXian"/>
        </w:rPr>
      </w:pPr>
    </w:p>
    <w:p w14:paraId="3BAFDF57" w14:textId="4E906C50" w:rsidR="00BB31FE" w:rsidRPr="00601B89" w:rsidRDefault="00BB31FE" w:rsidP="00BB31FE">
      <w:pPr>
        <w:pStyle w:val="CETTabletitle"/>
      </w:pPr>
      <w:r w:rsidRPr="00B57B36">
        <w:lastRenderedPageBreak/>
        <w:t xml:space="preserve">Table </w:t>
      </w:r>
      <w:r w:rsidR="008442AE">
        <w:t>3</w:t>
      </w:r>
      <w:r w:rsidRPr="00B57B36">
        <w:t xml:space="preserve">: </w:t>
      </w:r>
      <w:r w:rsidR="00FD20AF">
        <w:t>Cavitation index</w:t>
      </w:r>
      <w:r w:rsidR="00046E82">
        <w:t xml:space="preserve"> (C)</w:t>
      </w:r>
      <w:r w:rsidR="00E57DCD">
        <w:t>, input power</w:t>
      </w:r>
      <w:r w:rsidR="00046E82">
        <w:t xml:space="preserve"> (E</w:t>
      </w:r>
      <w:r w:rsidR="00046E82" w:rsidRPr="00B369B3">
        <w:rPr>
          <w:vertAlign w:val="subscript"/>
        </w:rPr>
        <w:t>IN</w:t>
      </w:r>
      <w:r w:rsidR="00046E82">
        <w:t>)</w:t>
      </w:r>
      <w:r w:rsidR="00C70DD5">
        <w:t xml:space="preserve">, </w:t>
      </w:r>
      <w:r w:rsidR="00046E82">
        <w:t>theoretical hydrogen</w:t>
      </w:r>
      <w:r w:rsidR="00FD20AF">
        <w:t xml:space="preserve"> </w:t>
      </w:r>
      <w:r w:rsidR="00C70DD5">
        <w:t>(n</w:t>
      </w:r>
      <w:r w:rsidR="00C70DD5" w:rsidRPr="003730BF">
        <w:rPr>
          <w:vertAlign w:val="subscript"/>
        </w:rPr>
        <w:t>H</w:t>
      </w:r>
      <w:proofErr w:type="gramStart"/>
      <w:r w:rsidR="00C70DD5" w:rsidRPr="003730BF">
        <w:rPr>
          <w:vertAlign w:val="subscript"/>
        </w:rPr>
        <w:t>2</w:t>
      </w:r>
      <w:r w:rsidR="00C70DD5">
        <w:rPr>
          <w:vertAlign w:val="subscript"/>
        </w:rPr>
        <w:t>,th</w:t>
      </w:r>
      <w:proofErr w:type="gramEnd"/>
      <w:r w:rsidR="00C70DD5">
        <w:rPr>
          <w:vertAlign w:val="subscript"/>
        </w:rPr>
        <w:t>.</w:t>
      </w:r>
      <w:r w:rsidR="00C70DD5" w:rsidRPr="006F5780">
        <w:t>)</w:t>
      </w:r>
      <w:r w:rsidR="00AB2274">
        <w:t xml:space="preserve"> </w:t>
      </w:r>
      <w:r w:rsidR="00FD20AF">
        <w:t>at selected inlet pressure values</w:t>
      </w:r>
      <w:r w:rsidR="00AB2274">
        <w:t xml:space="preserve"> </w:t>
      </w:r>
      <w:r w:rsidR="00601B89">
        <w:t>(</w:t>
      </w:r>
      <w:r w:rsidR="00AB2274">
        <w:t>P</w:t>
      </w:r>
      <w:r w:rsidR="00AB2274" w:rsidRPr="00AB2274">
        <w:rPr>
          <w:vertAlign w:val="subscript"/>
        </w:rPr>
        <w:t>1</w:t>
      </w:r>
      <w:r w:rsidR="00601B89">
        <w:t>)</w:t>
      </w:r>
    </w:p>
    <w:tbl>
      <w:tblPr>
        <w:tblW w:w="425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993"/>
        <w:gridCol w:w="992"/>
        <w:gridCol w:w="1134"/>
      </w:tblGrid>
      <w:tr w:rsidR="00751B78" w:rsidRPr="00B57B36" w14:paraId="21DD393B" w14:textId="1AB40019" w:rsidTr="0077125E">
        <w:tc>
          <w:tcPr>
            <w:tcW w:w="1134" w:type="dxa"/>
            <w:tcBorders>
              <w:top w:val="single" w:sz="12" w:space="0" w:color="008000"/>
              <w:bottom w:val="single" w:sz="6" w:space="0" w:color="008000"/>
            </w:tcBorders>
            <w:shd w:val="clear" w:color="auto" w:fill="FFFFFF"/>
          </w:tcPr>
          <w:p w14:paraId="6517F14F" w14:textId="23D101FE" w:rsidR="00751B78" w:rsidRPr="00B57B36" w:rsidRDefault="00751B78" w:rsidP="00751B78">
            <w:pPr>
              <w:pStyle w:val="CETBodytext"/>
              <w:rPr>
                <w:lang w:val="en-GB"/>
              </w:rPr>
            </w:pPr>
            <w:r>
              <w:rPr>
                <w:lang w:val="en-GB"/>
              </w:rPr>
              <w:t>P</w:t>
            </w:r>
            <w:r w:rsidRPr="00AB2274">
              <w:rPr>
                <w:vertAlign w:val="subscript"/>
                <w:lang w:val="en-GB"/>
              </w:rPr>
              <w:t>1</w:t>
            </w:r>
            <w:r>
              <w:rPr>
                <w:lang w:val="en-GB"/>
              </w:rPr>
              <w:t xml:space="preserve"> (</w:t>
            </w:r>
            <w:proofErr w:type="spellStart"/>
            <w:r>
              <w:rPr>
                <w:lang w:val="en-GB"/>
              </w:rPr>
              <w:t>kPag</w:t>
            </w:r>
            <w:proofErr w:type="spellEnd"/>
            <w:r>
              <w:rPr>
                <w:lang w:val="en-GB"/>
              </w:rPr>
              <w:t>)</w:t>
            </w:r>
          </w:p>
        </w:tc>
        <w:tc>
          <w:tcPr>
            <w:tcW w:w="993" w:type="dxa"/>
            <w:tcBorders>
              <w:top w:val="single" w:sz="12" w:space="0" w:color="008000"/>
              <w:bottom w:val="single" w:sz="6" w:space="0" w:color="008000"/>
            </w:tcBorders>
            <w:shd w:val="clear" w:color="auto" w:fill="FFFFFF"/>
          </w:tcPr>
          <w:p w14:paraId="2EA17C69" w14:textId="2D85A822" w:rsidR="00751B78" w:rsidRDefault="00751B78" w:rsidP="00751B78">
            <w:pPr>
              <w:pStyle w:val="CETBodytext"/>
              <w:ind w:left="-5" w:firstLine="5"/>
              <w:rPr>
                <w:lang w:val="en-GB"/>
              </w:rPr>
            </w:pPr>
            <w:r>
              <w:rPr>
                <w:lang w:val="en-GB"/>
              </w:rPr>
              <w:t>C</w:t>
            </w:r>
          </w:p>
        </w:tc>
        <w:tc>
          <w:tcPr>
            <w:tcW w:w="992" w:type="dxa"/>
            <w:tcBorders>
              <w:top w:val="single" w:sz="12" w:space="0" w:color="008000"/>
              <w:bottom w:val="single" w:sz="6" w:space="0" w:color="008000"/>
            </w:tcBorders>
            <w:shd w:val="clear" w:color="auto" w:fill="FFFFFF"/>
          </w:tcPr>
          <w:p w14:paraId="71B0B15B" w14:textId="54FA93BB" w:rsidR="00751B78" w:rsidRDefault="00751B78" w:rsidP="00751B78">
            <w:pPr>
              <w:pStyle w:val="CETBodytext"/>
              <w:ind w:left="-5" w:firstLine="5"/>
              <w:rPr>
                <w:lang w:val="en-GB"/>
              </w:rPr>
            </w:pPr>
            <w:r>
              <w:rPr>
                <w:lang w:val="en-GB"/>
              </w:rPr>
              <w:t>E</w:t>
            </w:r>
            <w:r w:rsidRPr="000C49E4">
              <w:rPr>
                <w:vertAlign w:val="subscript"/>
                <w:lang w:val="en-GB"/>
              </w:rPr>
              <w:t>IN</w:t>
            </w:r>
            <w:r>
              <w:rPr>
                <w:lang w:val="en-GB"/>
              </w:rPr>
              <w:t xml:space="preserve"> (kW)</w:t>
            </w:r>
          </w:p>
        </w:tc>
        <w:tc>
          <w:tcPr>
            <w:tcW w:w="1134" w:type="dxa"/>
            <w:tcBorders>
              <w:top w:val="single" w:sz="12" w:space="0" w:color="008000"/>
              <w:bottom w:val="single" w:sz="6" w:space="0" w:color="008000"/>
            </w:tcBorders>
            <w:shd w:val="clear" w:color="auto" w:fill="FFFFFF"/>
          </w:tcPr>
          <w:p w14:paraId="06748C30" w14:textId="70188F86" w:rsidR="00751B78" w:rsidRPr="000C49E4" w:rsidRDefault="00751B78" w:rsidP="00751B78">
            <w:pPr>
              <w:pStyle w:val="CETBodytext"/>
              <w:ind w:left="-5" w:firstLine="5"/>
              <w:rPr>
                <w:lang w:val="en-GB"/>
              </w:rPr>
            </w:pPr>
            <w:r>
              <w:t>n</w:t>
            </w:r>
            <w:r w:rsidRPr="003730BF">
              <w:rPr>
                <w:vertAlign w:val="subscript"/>
              </w:rPr>
              <w:t>H</w:t>
            </w:r>
            <w:proofErr w:type="gramStart"/>
            <w:r w:rsidRPr="003730BF">
              <w:rPr>
                <w:vertAlign w:val="subscript"/>
              </w:rPr>
              <w:t>2</w:t>
            </w:r>
            <w:r>
              <w:rPr>
                <w:vertAlign w:val="subscript"/>
              </w:rPr>
              <w:t>,th</w:t>
            </w:r>
            <w:proofErr w:type="gramEnd"/>
            <w:r>
              <w:rPr>
                <w:vertAlign w:val="subscript"/>
              </w:rPr>
              <w:t>.</w:t>
            </w:r>
            <w:r>
              <w:t>(mmol/s)</w:t>
            </w:r>
          </w:p>
        </w:tc>
      </w:tr>
      <w:tr w:rsidR="00751B78" w:rsidRPr="00B57B36" w14:paraId="073084D0" w14:textId="77C355BC" w:rsidTr="0077125E">
        <w:tc>
          <w:tcPr>
            <w:tcW w:w="1134" w:type="dxa"/>
            <w:tcBorders>
              <w:bottom w:val="single" w:sz="4" w:space="0" w:color="auto"/>
            </w:tcBorders>
            <w:shd w:val="clear" w:color="auto" w:fill="FFFFFF"/>
          </w:tcPr>
          <w:p w14:paraId="3EE94C59" w14:textId="3D1A4790" w:rsidR="00751B78" w:rsidRPr="00B57B36" w:rsidRDefault="00751B78" w:rsidP="00751B78">
            <w:pPr>
              <w:pStyle w:val="CETBodytext"/>
              <w:rPr>
                <w:lang w:val="en-GB"/>
              </w:rPr>
            </w:pPr>
            <w:r>
              <w:rPr>
                <w:lang w:val="en-GB"/>
              </w:rPr>
              <w:t>200</w:t>
            </w:r>
          </w:p>
        </w:tc>
        <w:tc>
          <w:tcPr>
            <w:tcW w:w="993" w:type="dxa"/>
            <w:tcBorders>
              <w:bottom w:val="single" w:sz="4" w:space="0" w:color="auto"/>
            </w:tcBorders>
            <w:shd w:val="clear" w:color="auto" w:fill="FFFFFF"/>
          </w:tcPr>
          <w:p w14:paraId="6B2C7209" w14:textId="3028DEFA" w:rsidR="00751B78" w:rsidRDefault="00751B78" w:rsidP="00751B78">
            <w:pPr>
              <w:pStyle w:val="CETBodytext"/>
              <w:rPr>
                <w:lang w:val="en-GB"/>
              </w:rPr>
            </w:pPr>
            <w:r>
              <w:rPr>
                <w:lang w:val="en-GB"/>
              </w:rPr>
              <w:t>1.</w:t>
            </w:r>
            <w:r w:rsidR="00546CF9">
              <w:rPr>
                <w:lang w:val="en-GB"/>
              </w:rPr>
              <w:t>58</w:t>
            </w:r>
          </w:p>
        </w:tc>
        <w:tc>
          <w:tcPr>
            <w:tcW w:w="992" w:type="dxa"/>
            <w:tcBorders>
              <w:bottom w:val="single" w:sz="4" w:space="0" w:color="auto"/>
            </w:tcBorders>
            <w:shd w:val="clear" w:color="auto" w:fill="FFFFFF"/>
          </w:tcPr>
          <w:p w14:paraId="687C0765" w14:textId="14A96D3C" w:rsidR="00751B78" w:rsidRDefault="00751B78" w:rsidP="00751B78">
            <w:pPr>
              <w:pStyle w:val="CETBodytext"/>
              <w:rPr>
                <w:lang w:val="en-GB"/>
              </w:rPr>
            </w:pPr>
            <w:r>
              <w:rPr>
                <w:lang w:val="en-GB"/>
              </w:rPr>
              <w:t>0.19</w:t>
            </w:r>
          </w:p>
        </w:tc>
        <w:tc>
          <w:tcPr>
            <w:tcW w:w="1134" w:type="dxa"/>
            <w:tcBorders>
              <w:bottom w:val="single" w:sz="4" w:space="0" w:color="auto"/>
            </w:tcBorders>
            <w:shd w:val="clear" w:color="auto" w:fill="FFFFFF"/>
          </w:tcPr>
          <w:p w14:paraId="1BBD16CB" w14:textId="72262CE2" w:rsidR="00751B78" w:rsidRDefault="00751B78" w:rsidP="00751B78">
            <w:pPr>
              <w:pStyle w:val="CETBodytext"/>
              <w:rPr>
                <w:lang w:val="en-GB"/>
              </w:rPr>
            </w:pPr>
            <w:r>
              <w:rPr>
                <w:lang w:val="en-GB"/>
              </w:rPr>
              <w:t>0.6</w:t>
            </w:r>
            <w:r w:rsidR="00417AAC">
              <w:rPr>
                <w:lang w:val="en-GB"/>
              </w:rPr>
              <w:t>5</w:t>
            </w:r>
          </w:p>
        </w:tc>
      </w:tr>
      <w:tr w:rsidR="00751B78" w:rsidRPr="00B57B36" w14:paraId="5ACCF3E0" w14:textId="3B27C222" w:rsidTr="0077125E">
        <w:tc>
          <w:tcPr>
            <w:tcW w:w="1134" w:type="dxa"/>
            <w:tcBorders>
              <w:top w:val="single" w:sz="4" w:space="0" w:color="auto"/>
              <w:bottom w:val="single" w:sz="4" w:space="0" w:color="auto"/>
            </w:tcBorders>
            <w:shd w:val="clear" w:color="auto" w:fill="FFFFFF"/>
          </w:tcPr>
          <w:p w14:paraId="1D7AC050" w14:textId="493E234E" w:rsidR="00751B78" w:rsidRDefault="00751B78" w:rsidP="00751B78">
            <w:pPr>
              <w:pStyle w:val="CETBodytext"/>
              <w:rPr>
                <w:lang w:val="en-GB"/>
              </w:rPr>
            </w:pPr>
            <w:r>
              <w:rPr>
                <w:lang w:val="en-GB"/>
              </w:rPr>
              <w:t>400</w:t>
            </w:r>
          </w:p>
        </w:tc>
        <w:tc>
          <w:tcPr>
            <w:tcW w:w="993" w:type="dxa"/>
            <w:tcBorders>
              <w:top w:val="single" w:sz="4" w:space="0" w:color="auto"/>
              <w:bottom w:val="single" w:sz="4" w:space="0" w:color="auto"/>
            </w:tcBorders>
            <w:shd w:val="clear" w:color="auto" w:fill="FFFFFF"/>
          </w:tcPr>
          <w:p w14:paraId="119BBFA2" w14:textId="3D292B1C" w:rsidR="00751B78" w:rsidRDefault="00751B78" w:rsidP="00751B78">
            <w:pPr>
              <w:pStyle w:val="CETBodytext"/>
              <w:rPr>
                <w:lang w:val="en-GB"/>
              </w:rPr>
            </w:pPr>
            <w:r>
              <w:rPr>
                <w:lang w:val="en-GB"/>
              </w:rPr>
              <w:t>1.</w:t>
            </w:r>
            <w:r w:rsidR="00647AD8">
              <w:rPr>
                <w:lang w:val="en-GB"/>
              </w:rPr>
              <w:t>28</w:t>
            </w:r>
          </w:p>
        </w:tc>
        <w:tc>
          <w:tcPr>
            <w:tcW w:w="992" w:type="dxa"/>
            <w:tcBorders>
              <w:top w:val="single" w:sz="4" w:space="0" w:color="auto"/>
              <w:bottom w:val="single" w:sz="4" w:space="0" w:color="auto"/>
            </w:tcBorders>
            <w:shd w:val="clear" w:color="auto" w:fill="FFFFFF"/>
          </w:tcPr>
          <w:p w14:paraId="05EA2410" w14:textId="63EFC777" w:rsidR="00751B78" w:rsidRDefault="00751B78" w:rsidP="00751B78">
            <w:pPr>
              <w:pStyle w:val="CETBodytext"/>
              <w:rPr>
                <w:lang w:val="en-GB"/>
              </w:rPr>
            </w:pPr>
            <w:r>
              <w:rPr>
                <w:lang w:val="en-GB"/>
              </w:rPr>
              <w:t>0.53</w:t>
            </w:r>
          </w:p>
        </w:tc>
        <w:tc>
          <w:tcPr>
            <w:tcW w:w="1134" w:type="dxa"/>
            <w:tcBorders>
              <w:top w:val="single" w:sz="4" w:space="0" w:color="auto"/>
              <w:bottom w:val="single" w:sz="4" w:space="0" w:color="auto"/>
            </w:tcBorders>
            <w:shd w:val="clear" w:color="auto" w:fill="FFFFFF"/>
          </w:tcPr>
          <w:p w14:paraId="7F4F7627" w14:textId="0F239B24" w:rsidR="00751B78" w:rsidRDefault="00751B78" w:rsidP="00751B78">
            <w:pPr>
              <w:pStyle w:val="CETBodytext"/>
              <w:rPr>
                <w:lang w:val="en-GB"/>
              </w:rPr>
            </w:pPr>
            <w:r>
              <w:rPr>
                <w:lang w:val="en-GB"/>
              </w:rPr>
              <w:t>1.8</w:t>
            </w:r>
            <w:r w:rsidR="00417AAC">
              <w:rPr>
                <w:lang w:val="en-GB"/>
              </w:rPr>
              <w:t>5</w:t>
            </w:r>
          </w:p>
        </w:tc>
      </w:tr>
      <w:tr w:rsidR="00751B78" w:rsidRPr="00B57B36" w14:paraId="3F9707E9" w14:textId="0E4C2B66" w:rsidTr="0077125E">
        <w:tc>
          <w:tcPr>
            <w:tcW w:w="1134" w:type="dxa"/>
            <w:tcBorders>
              <w:top w:val="single" w:sz="4" w:space="0" w:color="auto"/>
              <w:bottom w:val="single" w:sz="4" w:space="0" w:color="auto"/>
            </w:tcBorders>
            <w:shd w:val="clear" w:color="auto" w:fill="FFFFFF"/>
          </w:tcPr>
          <w:p w14:paraId="75AF5CD5" w14:textId="347A2B23" w:rsidR="00751B78" w:rsidRDefault="00751B78" w:rsidP="00751B78">
            <w:pPr>
              <w:pStyle w:val="CETBodytext"/>
              <w:rPr>
                <w:lang w:val="en-GB"/>
              </w:rPr>
            </w:pPr>
            <w:r>
              <w:rPr>
                <w:lang w:val="en-GB"/>
              </w:rPr>
              <w:t>600</w:t>
            </w:r>
          </w:p>
        </w:tc>
        <w:tc>
          <w:tcPr>
            <w:tcW w:w="993" w:type="dxa"/>
            <w:tcBorders>
              <w:top w:val="single" w:sz="4" w:space="0" w:color="auto"/>
              <w:bottom w:val="single" w:sz="4" w:space="0" w:color="auto"/>
            </w:tcBorders>
            <w:shd w:val="clear" w:color="auto" w:fill="FFFFFF"/>
          </w:tcPr>
          <w:p w14:paraId="7A044753" w14:textId="64A324AC" w:rsidR="00751B78" w:rsidRDefault="00751B78" w:rsidP="00751B78">
            <w:pPr>
              <w:pStyle w:val="CETBodytext"/>
              <w:rPr>
                <w:lang w:val="en-GB"/>
              </w:rPr>
            </w:pPr>
            <w:r>
              <w:rPr>
                <w:lang w:val="en-GB"/>
              </w:rPr>
              <w:t>1.</w:t>
            </w:r>
            <w:r w:rsidR="00647AD8">
              <w:rPr>
                <w:lang w:val="en-GB"/>
              </w:rPr>
              <w:t>19</w:t>
            </w:r>
          </w:p>
        </w:tc>
        <w:tc>
          <w:tcPr>
            <w:tcW w:w="992" w:type="dxa"/>
            <w:tcBorders>
              <w:top w:val="single" w:sz="4" w:space="0" w:color="auto"/>
              <w:bottom w:val="single" w:sz="4" w:space="0" w:color="auto"/>
            </w:tcBorders>
            <w:shd w:val="clear" w:color="auto" w:fill="FFFFFF"/>
          </w:tcPr>
          <w:p w14:paraId="20CB46AF" w14:textId="2F0AA5D1" w:rsidR="00751B78" w:rsidRDefault="00751B78" w:rsidP="00751B78">
            <w:pPr>
              <w:pStyle w:val="CETBodytext"/>
              <w:rPr>
                <w:lang w:val="en-GB"/>
              </w:rPr>
            </w:pPr>
            <w:r>
              <w:rPr>
                <w:lang w:val="en-GB"/>
              </w:rPr>
              <w:t>0.9</w:t>
            </w:r>
            <w:r w:rsidR="00B456B3">
              <w:rPr>
                <w:lang w:val="en-GB"/>
              </w:rPr>
              <w:t>5</w:t>
            </w:r>
          </w:p>
        </w:tc>
        <w:tc>
          <w:tcPr>
            <w:tcW w:w="1134" w:type="dxa"/>
            <w:tcBorders>
              <w:top w:val="single" w:sz="4" w:space="0" w:color="auto"/>
              <w:bottom w:val="single" w:sz="4" w:space="0" w:color="auto"/>
            </w:tcBorders>
            <w:shd w:val="clear" w:color="auto" w:fill="FFFFFF"/>
          </w:tcPr>
          <w:p w14:paraId="1B29A7AC" w14:textId="1312FD38" w:rsidR="00751B78" w:rsidRDefault="00751B78" w:rsidP="00751B78">
            <w:pPr>
              <w:pStyle w:val="CETBodytext"/>
              <w:rPr>
                <w:lang w:val="en-GB"/>
              </w:rPr>
            </w:pPr>
            <w:r>
              <w:rPr>
                <w:lang w:val="en-GB"/>
              </w:rPr>
              <w:t>3.</w:t>
            </w:r>
            <w:r w:rsidR="00F57CCC">
              <w:rPr>
                <w:lang w:val="en-GB"/>
              </w:rPr>
              <w:t>30</w:t>
            </w:r>
          </w:p>
        </w:tc>
      </w:tr>
      <w:tr w:rsidR="00751B78" w:rsidRPr="00B57B36" w14:paraId="31EF0C98" w14:textId="06E2461C" w:rsidTr="0077125E">
        <w:tc>
          <w:tcPr>
            <w:tcW w:w="1134" w:type="dxa"/>
            <w:tcBorders>
              <w:top w:val="single" w:sz="4" w:space="0" w:color="auto"/>
              <w:bottom w:val="single" w:sz="12" w:space="0" w:color="008000"/>
            </w:tcBorders>
            <w:shd w:val="clear" w:color="auto" w:fill="FFFFFF"/>
          </w:tcPr>
          <w:p w14:paraId="63BA0303" w14:textId="3EC0A5AF" w:rsidR="00751B78" w:rsidRDefault="00751B78" w:rsidP="00751B78">
            <w:pPr>
              <w:pStyle w:val="CETBodytext"/>
              <w:rPr>
                <w:lang w:val="en-GB"/>
              </w:rPr>
            </w:pPr>
            <w:r>
              <w:rPr>
                <w:lang w:val="en-GB"/>
              </w:rPr>
              <w:t>800</w:t>
            </w:r>
          </w:p>
        </w:tc>
        <w:tc>
          <w:tcPr>
            <w:tcW w:w="993" w:type="dxa"/>
            <w:tcBorders>
              <w:top w:val="single" w:sz="4" w:space="0" w:color="auto"/>
              <w:bottom w:val="single" w:sz="12" w:space="0" w:color="008000"/>
            </w:tcBorders>
            <w:shd w:val="clear" w:color="auto" w:fill="FFFFFF"/>
          </w:tcPr>
          <w:p w14:paraId="38F540C5" w14:textId="1BD3760D" w:rsidR="00751B78" w:rsidRDefault="00751B78" w:rsidP="00751B78">
            <w:pPr>
              <w:pStyle w:val="CETBodytext"/>
              <w:rPr>
                <w:lang w:val="en-GB"/>
              </w:rPr>
            </w:pPr>
            <w:r>
              <w:rPr>
                <w:lang w:val="en-GB"/>
              </w:rPr>
              <w:t>1.</w:t>
            </w:r>
            <w:r w:rsidR="00647AD8">
              <w:rPr>
                <w:lang w:val="en-GB"/>
              </w:rPr>
              <w:t>14</w:t>
            </w:r>
          </w:p>
        </w:tc>
        <w:tc>
          <w:tcPr>
            <w:tcW w:w="992" w:type="dxa"/>
            <w:tcBorders>
              <w:top w:val="single" w:sz="4" w:space="0" w:color="auto"/>
              <w:bottom w:val="single" w:sz="12" w:space="0" w:color="008000"/>
            </w:tcBorders>
            <w:shd w:val="clear" w:color="auto" w:fill="FFFFFF"/>
          </w:tcPr>
          <w:p w14:paraId="27C10C13" w14:textId="7052ABBA" w:rsidR="00751B78" w:rsidRDefault="00751B78" w:rsidP="00751B78">
            <w:pPr>
              <w:pStyle w:val="CETBodytext"/>
              <w:rPr>
                <w:lang w:val="en-GB"/>
              </w:rPr>
            </w:pPr>
            <w:r>
              <w:rPr>
                <w:lang w:val="en-GB"/>
              </w:rPr>
              <w:t>1.43</w:t>
            </w:r>
          </w:p>
        </w:tc>
        <w:tc>
          <w:tcPr>
            <w:tcW w:w="1134" w:type="dxa"/>
            <w:tcBorders>
              <w:top w:val="single" w:sz="4" w:space="0" w:color="auto"/>
              <w:bottom w:val="single" w:sz="12" w:space="0" w:color="008000"/>
            </w:tcBorders>
            <w:shd w:val="clear" w:color="auto" w:fill="FFFFFF"/>
          </w:tcPr>
          <w:p w14:paraId="31A84A82" w14:textId="31E12ACA" w:rsidR="00751B78" w:rsidRDefault="00F57CCC" w:rsidP="00751B78">
            <w:pPr>
              <w:pStyle w:val="CETBodytext"/>
              <w:rPr>
                <w:lang w:val="en-GB"/>
              </w:rPr>
            </w:pPr>
            <w:r>
              <w:rPr>
                <w:lang w:val="en-GB"/>
              </w:rPr>
              <w:t>5.01</w:t>
            </w:r>
          </w:p>
        </w:tc>
      </w:tr>
    </w:tbl>
    <w:p w14:paraId="641B3EB9" w14:textId="5A7AB48F" w:rsidR="00E15B95" w:rsidRDefault="00CA2AE5" w:rsidP="00B2374E">
      <w:pPr>
        <w:pStyle w:val="CETCaption"/>
      </w:pPr>
      <w:r>
        <w:rPr>
          <w:noProof/>
        </w:rPr>
        <w:drawing>
          <wp:inline distT="0" distB="0" distL="0" distR="0" wp14:anchorId="0142CB5C" wp14:editId="306DB348">
            <wp:extent cx="3844800" cy="4680000"/>
            <wp:effectExtent l="0" t="0" r="3810" b="635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4800" cy="4680000"/>
                    </a:xfrm>
                    <a:prstGeom prst="rect">
                      <a:avLst/>
                    </a:prstGeom>
                    <a:noFill/>
                    <a:ln>
                      <a:noFill/>
                    </a:ln>
                  </pic:spPr>
                </pic:pic>
              </a:graphicData>
            </a:graphic>
          </wp:inline>
        </w:drawing>
      </w:r>
    </w:p>
    <w:p w14:paraId="0F710E1D" w14:textId="74D0AC04" w:rsidR="001620BD" w:rsidRDefault="001620BD" w:rsidP="001620BD">
      <w:pPr>
        <w:pStyle w:val="CETCaption"/>
      </w:pPr>
      <w:r>
        <w:t>Figure 2. Ca</w:t>
      </w:r>
      <w:r w:rsidR="00BB31FE">
        <w:t xml:space="preserve">vitation index dependence </w:t>
      </w:r>
      <w:r w:rsidR="00DD5B86">
        <w:t>on</w:t>
      </w:r>
      <w:r w:rsidR="00BB31FE">
        <w:t xml:space="preserve"> inlet pressure</w:t>
      </w:r>
      <w:r w:rsidR="00CF7E62">
        <w:t xml:space="preserve"> (a)</w:t>
      </w:r>
      <w:r w:rsidR="00135E79">
        <w:t xml:space="preserve">, </w:t>
      </w:r>
      <w:r w:rsidR="00CF7E62">
        <w:t>i</w:t>
      </w:r>
      <w:r w:rsidR="00EC2753">
        <w:t xml:space="preserve">nlet </w:t>
      </w:r>
      <w:r w:rsidR="00CF7E62">
        <w:t>p</w:t>
      </w:r>
      <w:r w:rsidR="00EC2753">
        <w:t>ower</w:t>
      </w:r>
      <w:r w:rsidR="00171849">
        <w:t xml:space="preserve"> and theoretical hydrogen</w:t>
      </w:r>
      <w:r w:rsidR="00EC2753">
        <w:t xml:space="preserve"> as </w:t>
      </w:r>
      <w:r w:rsidR="00D31EBB">
        <w:t xml:space="preserve">a </w:t>
      </w:r>
      <w:r w:rsidR="00EC2753">
        <w:t xml:space="preserve">function of </w:t>
      </w:r>
      <w:r w:rsidR="00CF7E62">
        <w:t>inlet pressure (b).</w:t>
      </w:r>
    </w:p>
    <w:p w14:paraId="516E8614" w14:textId="2C27C75D" w:rsidR="001F6191" w:rsidRDefault="00F34B87" w:rsidP="002470EC">
      <w:pPr>
        <w:pStyle w:val="CETBodytext"/>
      </w:pPr>
      <w:r>
        <w:t>From the analysis of Table 3 and Figure 2, a clear decreasing trend in the cavitation index with increasing inlet pressure is observed</w:t>
      </w:r>
      <w:r w:rsidR="00CF2C55">
        <w:t xml:space="preserve">, </w:t>
      </w:r>
      <w:r w:rsidR="00CF2C55" w:rsidRPr="00CF2C55">
        <w:t>accompanied by a notable increase in inlet power</w:t>
      </w:r>
      <w:r w:rsidR="003B0738">
        <w:t xml:space="preserve"> and a consequent rise </w:t>
      </w:r>
      <w:r w:rsidR="00D31EBB">
        <w:t>in</w:t>
      </w:r>
      <w:r w:rsidR="003B0738">
        <w:t xml:space="preserve"> theoretical hydrogen</w:t>
      </w:r>
      <w:r>
        <w:t>. This trend indicates an intensification of the cavitation phenomenon as the upstream pressure</w:t>
      </w:r>
      <w:r w:rsidR="00053B52">
        <w:t xml:space="preserve"> increase</w:t>
      </w:r>
      <w:r w:rsidR="00763EE1">
        <w:t>s</w:t>
      </w:r>
      <w:r>
        <w:t>.</w:t>
      </w:r>
      <w:r w:rsidR="001F6191">
        <w:t xml:space="preserve"> </w:t>
      </w:r>
      <w:r w:rsidR="000411A6" w:rsidRPr="000411A6">
        <w:t>Simulation result</w:t>
      </w:r>
      <w:r w:rsidR="00B44473">
        <w:t xml:space="preserve">s, </w:t>
      </w:r>
      <w:r w:rsidR="000411A6" w:rsidRPr="000411A6">
        <w:t>includ</w:t>
      </w:r>
      <w:r w:rsidR="00B44473">
        <w:t xml:space="preserve">ing </w:t>
      </w:r>
      <w:r w:rsidR="000411A6" w:rsidRPr="000411A6">
        <w:t xml:space="preserve">pressure contours and water </w:t>
      </w:r>
      <w:proofErr w:type="spellStart"/>
      <w:r w:rsidR="00D31EBB">
        <w:t>vapour</w:t>
      </w:r>
      <w:proofErr w:type="spellEnd"/>
      <w:r w:rsidR="000411A6" w:rsidRPr="000411A6">
        <w:t xml:space="preserve"> volume fraction distributions for each inlet pressure</w:t>
      </w:r>
      <w:r w:rsidR="00B44473">
        <w:t xml:space="preserve">, </w:t>
      </w:r>
      <w:r w:rsidR="000411A6" w:rsidRPr="000411A6">
        <w:t xml:space="preserve">are shown in Figure 3. Examination of the vapor contours reveals that higher inlet pressures result in an expanded vapor region, with cavitation initiation occurring at inlet pressures equal to or exceeding 400 </w:t>
      </w:r>
      <w:proofErr w:type="spellStart"/>
      <w:r w:rsidR="000411A6" w:rsidRPr="000411A6">
        <w:t>kPag</w:t>
      </w:r>
      <w:proofErr w:type="spellEnd"/>
      <w:r w:rsidR="000411A6" w:rsidRPr="000411A6">
        <w:t xml:space="preserve">. This </w:t>
      </w:r>
      <w:proofErr w:type="spellStart"/>
      <w:r w:rsidR="000411A6" w:rsidRPr="000411A6">
        <w:t>behavio</w:t>
      </w:r>
      <w:r w:rsidR="00462B3B">
        <w:t>u</w:t>
      </w:r>
      <w:r w:rsidR="000411A6" w:rsidRPr="000411A6">
        <w:t>r</w:t>
      </w:r>
      <w:proofErr w:type="spellEnd"/>
      <w:r w:rsidR="000411A6" w:rsidRPr="000411A6">
        <w:t xml:space="preserve"> is attributed to the increased </w:t>
      </w:r>
      <w:proofErr w:type="gramStart"/>
      <w:r w:rsidR="000411A6" w:rsidRPr="000411A6">
        <w:t>pressure energy</w:t>
      </w:r>
      <w:proofErr w:type="gramEnd"/>
      <w:r w:rsidR="000411A6" w:rsidRPr="000411A6">
        <w:t xml:space="preserve"> at the inlet, which promotes the formation and growth of vapor cavities.</w:t>
      </w:r>
      <w:r w:rsidR="008F0886" w:rsidRPr="008F0886">
        <w:t xml:space="preserve"> This result suggests that green hydrogen production may be enhanced by increa</w:t>
      </w:r>
      <w:r w:rsidR="00C50D23">
        <w:t>sing</w:t>
      </w:r>
      <w:r w:rsidR="008F0886" w:rsidRPr="008F0886">
        <w:t xml:space="preserve"> inlet pressure, as it leads to a greater number of generated bubbles</w:t>
      </w:r>
      <w:r w:rsidR="004D514D">
        <w:t xml:space="preserve"> </w:t>
      </w:r>
      <w:r w:rsidR="000733F4">
        <w:t xml:space="preserve">and </w:t>
      </w:r>
      <w:r w:rsidR="004D514D" w:rsidRPr="004D514D">
        <w:t>intensif</w:t>
      </w:r>
      <w:r w:rsidR="000733F4">
        <w:t>ied</w:t>
      </w:r>
      <w:r w:rsidR="004D514D" w:rsidRPr="004D514D">
        <w:t xml:space="preserve"> H</w:t>
      </w:r>
      <w:r w:rsidR="004D514D" w:rsidRPr="004D514D">
        <w:rPr>
          <w:rFonts w:ascii="Cambria Math" w:hAnsi="Cambria Math" w:cs="Cambria Math"/>
        </w:rPr>
        <w:t>₂</w:t>
      </w:r>
      <w:r w:rsidR="004D514D" w:rsidRPr="004D514D">
        <w:t>O dissociation through stronger cavitation</w:t>
      </w:r>
      <w:r w:rsidR="000733F4">
        <w:t xml:space="preserve"> (</w:t>
      </w:r>
      <w:proofErr w:type="spellStart"/>
      <w:r w:rsidR="000733F4" w:rsidRPr="000733F4">
        <w:rPr>
          <w:lang w:val="en-GB"/>
        </w:rPr>
        <w:t>Agarkoti</w:t>
      </w:r>
      <w:proofErr w:type="spellEnd"/>
      <w:r w:rsidR="000733F4">
        <w:rPr>
          <w:lang w:val="en-GB"/>
        </w:rPr>
        <w:t xml:space="preserve"> et al. 2021)</w:t>
      </w:r>
      <w:r w:rsidR="008F0886" w:rsidRPr="008F0886">
        <w:t>.</w:t>
      </w:r>
      <w:r w:rsidR="000411A6">
        <w:t xml:space="preserve"> </w:t>
      </w:r>
      <w:r w:rsidR="000411A6" w:rsidRPr="000411A6">
        <w:t xml:space="preserve">In terms of pressure distribution, a region of minimum pressure is observed at the throat, consistent with expectations based on the Venturi effect. This low-pressure zone is followed by a pressure recovery region where the pressure rises due to the geometric expansion of the channel. Additionally, Figure 3 shows that the extent of the low-pressure region increases with </w:t>
      </w:r>
      <w:r w:rsidR="000411A6" w:rsidRPr="000411A6">
        <w:lastRenderedPageBreak/>
        <w:t xml:space="preserve">inlet pressure, further indicating the intensification of cavitation. These findings are consistent with recent studies in </w:t>
      </w:r>
      <w:proofErr w:type="gramStart"/>
      <w:r w:rsidR="000411A6" w:rsidRPr="000411A6">
        <w:t>the literature</w:t>
      </w:r>
      <w:proofErr w:type="gramEnd"/>
      <w:r w:rsidR="000411A6" w:rsidRPr="000411A6">
        <w:t xml:space="preserve"> (Ebrahimi et al. 2017).</w:t>
      </w:r>
      <w:r w:rsidR="00204DA6">
        <w:t xml:space="preserve"> </w:t>
      </w:r>
    </w:p>
    <w:p w14:paraId="5E35F968" w14:textId="2844158F" w:rsidR="00A641D9" w:rsidRDefault="00064742" w:rsidP="002470EC">
      <w:pPr>
        <w:pStyle w:val="CETBodytext"/>
        <w:spacing w:before="120"/>
      </w:pPr>
      <w:r>
        <w:rPr>
          <w:noProof/>
        </w:rPr>
        <w:drawing>
          <wp:inline distT="0" distB="0" distL="0" distR="0" wp14:anchorId="559BB57E" wp14:editId="1A470468">
            <wp:extent cx="3440799" cy="6732000"/>
            <wp:effectExtent l="0" t="0" r="7620" b="0"/>
            <wp:docPr id="757905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0799" cy="6732000"/>
                    </a:xfrm>
                    <a:prstGeom prst="rect">
                      <a:avLst/>
                    </a:prstGeom>
                    <a:noFill/>
                  </pic:spPr>
                </pic:pic>
              </a:graphicData>
            </a:graphic>
          </wp:inline>
        </w:drawing>
      </w:r>
    </w:p>
    <w:p w14:paraId="331A057B" w14:textId="24044A5B" w:rsidR="005F404E" w:rsidRPr="0043630E" w:rsidRDefault="0063764E" w:rsidP="0043630E">
      <w:pPr>
        <w:pStyle w:val="CETCaption"/>
      </w:pPr>
      <w:r>
        <w:t xml:space="preserve">Figure 3. </w:t>
      </w:r>
      <w:r w:rsidR="007D5DB9" w:rsidRPr="007D5DB9">
        <w:t xml:space="preserve">Distributions of the static pressure and </w:t>
      </w:r>
      <w:r w:rsidR="007D5DB9">
        <w:t>vapour</w:t>
      </w:r>
      <w:r w:rsidR="007D5DB9" w:rsidRPr="007D5DB9">
        <w:t xml:space="preserve"> fraction through the orifice </w:t>
      </w:r>
      <w:r w:rsidR="00ED58CB">
        <w:t>plate cavitation reactor.</w:t>
      </w:r>
      <w:r w:rsidR="00ED58CB">
        <w:br/>
      </w:r>
      <w:r w:rsidR="008259BD">
        <w:t>(a)</w:t>
      </w:r>
      <w:r>
        <w:t xml:space="preserve"> </w:t>
      </w:r>
      <w:r w:rsidR="008259BD">
        <w:t>P</w:t>
      </w:r>
      <w:r w:rsidR="008259BD" w:rsidRPr="008259BD">
        <w:rPr>
          <w:vertAlign w:val="subscript"/>
        </w:rPr>
        <w:t>1</w:t>
      </w:r>
      <w:r w:rsidR="00F55A89">
        <w:t xml:space="preserve"> = 200 </w:t>
      </w:r>
      <w:proofErr w:type="spellStart"/>
      <w:r w:rsidR="00F55A89">
        <w:t>kPag</w:t>
      </w:r>
      <w:proofErr w:type="spellEnd"/>
      <w:r w:rsidR="00F55A89">
        <w:t>, (b) P</w:t>
      </w:r>
      <w:r w:rsidR="00F55A89" w:rsidRPr="00F55A89">
        <w:rPr>
          <w:vertAlign w:val="subscript"/>
        </w:rPr>
        <w:t>1</w:t>
      </w:r>
      <w:r w:rsidR="00F55A89">
        <w:t xml:space="preserve"> = 400 </w:t>
      </w:r>
      <w:proofErr w:type="spellStart"/>
      <w:r w:rsidR="00F55A89">
        <w:t>kPag</w:t>
      </w:r>
      <w:proofErr w:type="spellEnd"/>
      <w:r w:rsidR="00F55A89">
        <w:t>, (c) P</w:t>
      </w:r>
      <w:r w:rsidR="00F55A89" w:rsidRPr="00F55A89">
        <w:rPr>
          <w:vertAlign w:val="subscript"/>
        </w:rPr>
        <w:t>1</w:t>
      </w:r>
      <w:r w:rsidR="00985D61">
        <w:t xml:space="preserve"> = 600 </w:t>
      </w:r>
      <w:proofErr w:type="spellStart"/>
      <w:r w:rsidR="00985D61">
        <w:t>kPag</w:t>
      </w:r>
      <w:proofErr w:type="spellEnd"/>
      <w:r w:rsidR="00985D61">
        <w:t>, (d) P</w:t>
      </w:r>
      <w:r w:rsidR="00985D61" w:rsidRPr="00985D61">
        <w:rPr>
          <w:vertAlign w:val="subscript"/>
        </w:rPr>
        <w:t>1</w:t>
      </w:r>
      <w:r w:rsidR="00985D61">
        <w:t xml:space="preserve"> = 800 </w:t>
      </w:r>
      <w:proofErr w:type="spellStart"/>
      <w:r w:rsidR="00985D61">
        <w:t>kPag</w:t>
      </w:r>
      <w:proofErr w:type="spellEnd"/>
      <w:r w:rsidR="00630476">
        <w:t>.</w:t>
      </w:r>
    </w:p>
    <w:p w14:paraId="1803E154" w14:textId="401EB45E" w:rsidR="00E43C2A" w:rsidRDefault="00E43C2A" w:rsidP="00E43C2A">
      <w:pPr>
        <w:pStyle w:val="CETHeading1"/>
        <w:rPr>
          <w:lang w:val="en-GB"/>
        </w:rPr>
      </w:pPr>
      <w:r>
        <w:rPr>
          <w:lang w:val="en-GB"/>
        </w:rPr>
        <w:t>Conclusions</w:t>
      </w:r>
    </w:p>
    <w:p w14:paraId="131B0EDA" w14:textId="69E23483" w:rsidR="00C915D9" w:rsidRDefault="00992100" w:rsidP="00992100">
      <w:pPr>
        <w:tabs>
          <w:tab w:val="clear" w:pos="7100"/>
        </w:tabs>
        <w:spacing w:after="200" w:line="276" w:lineRule="auto"/>
        <w:rPr>
          <w:lang w:val="en-US"/>
        </w:rPr>
      </w:pPr>
      <w:r w:rsidRPr="00992100">
        <w:rPr>
          <w:lang w:val="en-US"/>
        </w:rPr>
        <w:t>In this study, a water cavitation orifice reactor was analyzed using a two-dimensional CFD approach, with a focus on evaluating the effect of varying inlet pressures</w:t>
      </w:r>
      <w:r>
        <w:rPr>
          <w:lang w:val="en-US"/>
        </w:rPr>
        <w:t xml:space="preserve">: </w:t>
      </w:r>
      <w:r w:rsidR="003161BE">
        <w:rPr>
          <w:lang w:val="en-US"/>
        </w:rPr>
        <w:t>2</w:t>
      </w:r>
      <w:r w:rsidRPr="00992100">
        <w:rPr>
          <w:lang w:val="en-US"/>
        </w:rPr>
        <w:t xml:space="preserve">00 </w:t>
      </w:r>
      <w:proofErr w:type="spellStart"/>
      <w:r w:rsidRPr="00992100">
        <w:rPr>
          <w:lang w:val="en-US"/>
        </w:rPr>
        <w:t>kPag</w:t>
      </w:r>
      <w:proofErr w:type="spellEnd"/>
      <w:r w:rsidRPr="00992100">
        <w:rPr>
          <w:lang w:val="en-US"/>
        </w:rPr>
        <w:t xml:space="preserve">, </w:t>
      </w:r>
      <w:r w:rsidR="003161BE">
        <w:rPr>
          <w:lang w:val="en-US"/>
        </w:rPr>
        <w:t>4</w:t>
      </w:r>
      <w:r w:rsidRPr="00992100">
        <w:rPr>
          <w:lang w:val="en-US"/>
        </w:rPr>
        <w:t xml:space="preserve">00 </w:t>
      </w:r>
      <w:proofErr w:type="spellStart"/>
      <w:r w:rsidRPr="00992100">
        <w:rPr>
          <w:lang w:val="en-US"/>
        </w:rPr>
        <w:t>kPag</w:t>
      </w:r>
      <w:proofErr w:type="spellEnd"/>
      <w:r w:rsidRPr="00992100">
        <w:rPr>
          <w:lang w:val="en-US"/>
        </w:rPr>
        <w:t xml:space="preserve">, </w:t>
      </w:r>
      <w:r w:rsidR="003161BE">
        <w:rPr>
          <w:lang w:val="en-US"/>
        </w:rPr>
        <w:t>6</w:t>
      </w:r>
      <w:r w:rsidRPr="00992100">
        <w:rPr>
          <w:lang w:val="en-US"/>
        </w:rPr>
        <w:t xml:space="preserve">00 </w:t>
      </w:r>
      <w:proofErr w:type="spellStart"/>
      <w:r w:rsidRPr="00992100">
        <w:rPr>
          <w:lang w:val="en-US"/>
        </w:rPr>
        <w:t>kPag</w:t>
      </w:r>
      <w:proofErr w:type="spellEnd"/>
      <w:r w:rsidRPr="00992100">
        <w:rPr>
          <w:lang w:val="en-US"/>
        </w:rPr>
        <w:t xml:space="preserve">, and </w:t>
      </w:r>
      <w:r w:rsidR="003161BE">
        <w:rPr>
          <w:lang w:val="en-US"/>
        </w:rPr>
        <w:t>8</w:t>
      </w:r>
      <w:r w:rsidRPr="00992100">
        <w:rPr>
          <w:lang w:val="en-US"/>
        </w:rPr>
        <w:t xml:space="preserve">00 </w:t>
      </w:r>
      <w:proofErr w:type="spellStart"/>
      <w:r w:rsidRPr="00992100">
        <w:rPr>
          <w:lang w:val="en-US"/>
        </w:rPr>
        <w:t>kPag</w:t>
      </w:r>
      <w:proofErr w:type="spellEnd"/>
      <w:r>
        <w:rPr>
          <w:lang w:val="en-US"/>
        </w:rPr>
        <w:t xml:space="preserve">, </w:t>
      </w:r>
      <w:r w:rsidRPr="00992100">
        <w:rPr>
          <w:lang w:val="en-US"/>
        </w:rPr>
        <w:t xml:space="preserve">while maintaining a constant outlet pressure of 12 </w:t>
      </w:r>
      <w:proofErr w:type="spellStart"/>
      <w:r w:rsidRPr="00992100">
        <w:rPr>
          <w:lang w:val="en-US"/>
        </w:rPr>
        <w:t>kPag</w:t>
      </w:r>
      <w:proofErr w:type="spellEnd"/>
      <w:r w:rsidRPr="00992100">
        <w:rPr>
          <w:lang w:val="en-US"/>
        </w:rPr>
        <w:t xml:space="preserve">. The fluid dynamics of the system were modeled by solving the incompressible Reynolds-Averaged Navier–Stokes (RANS) equations under steady-state conditions. </w:t>
      </w:r>
      <w:r w:rsidRPr="00992100">
        <w:rPr>
          <w:lang w:val="en-US"/>
        </w:rPr>
        <w:lastRenderedPageBreak/>
        <w:t>Turbulence was captured using the RNG k–ε model with standard wall functions, and cavitation behavior was described using the Zwart–Gerber–Belamri model.</w:t>
      </w:r>
      <w:r w:rsidR="00126B68">
        <w:rPr>
          <w:lang w:val="en-US"/>
        </w:rPr>
        <w:t xml:space="preserve"> </w:t>
      </w:r>
      <w:r w:rsidRPr="00992100">
        <w:rPr>
          <w:lang w:val="en-US"/>
        </w:rPr>
        <w:t xml:space="preserve">The results indicate that cavitation initiates at an inlet pressure of 400 </w:t>
      </w:r>
      <w:proofErr w:type="spellStart"/>
      <w:r w:rsidRPr="00992100">
        <w:rPr>
          <w:lang w:val="en-US"/>
        </w:rPr>
        <w:t>kPag</w:t>
      </w:r>
      <w:proofErr w:type="spellEnd"/>
      <w:r w:rsidRPr="00992100">
        <w:rPr>
          <w:lang w:val="en-US"/>
        </w:rPr>
        <w:t xml:space="preserve"> and becomes progressively more intense as the inlet pressure increases. Specifically, an expansion of both the low-pressure region and vapor bubble zone was observed with rising inlet pressure. These findings suggest favorable conditions for green hydrogen production and offer valuable insights for the further development of cavitation-based hydrogen generation technologies.</w:t>
      </w:r>
    </w:p>
    <w:p w14:paraId="0666A05E" w14:textId="77777777" w:rsidR="00974FED" w:rsidRPr="00280FAF" w:rsidRDefault="00974FED" w:rsidP="00974FED">
      <w:pPr>
        <w:pStyle w:val="CETHeadingxx"/>
        <w:rPr>
          <w:lang w:val="en-GB"/>
        </w:rPr>
        <w:sectPr w:rsidR="00974FED"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71EFCF35" w14:textId="79DDC67E" w:rsidR="00715859" w:rsidRDefault="00715859" w:rsidP="00974FED">
      <w:pPr>
        <w:pStyle w:val="CETBodytext"/>
        <w:jc w:val="left"/>
        <w:rPr>
          <w:rFonts w:eastAsia="SimSun"/>
        </w:rPr>
      </w:pPr>
      <w:r>
        <w:rPr>
          <w:rFonts w:eastAsia="SimSun"/>
        </w:rPr>
        <w:t>C</w:t>
      </w:r>
      <w:r w:rsidR="00E96143">
        <w:rPr>
          <w:rFonts w:eastAsia="SimSun"/>
        </w:rPr>
        <w:t xml:space="preserve"> </w:t>
      </w:r>
      <w:r w:rsidR="00E96143" w:rsidRPr="00280FAF">
        <w:rPr>
          <w:rFonts w:eastAsia="SimSun"/>
        </w:rPr>
        <w:t>–</w:t>
      </w:r>
      <w:r w:rsidR="00E96143">
        <w:rPr>
          <w:rFonts w:eastAsia="SimSun"/>
        </w:rPr>
        <w:t xml:space="preserve"> </w:t>
      </w:r>
      <w:r w:rsidR="00412DE0">
        <w:rPr>
          <w:rFonts w:eastAsia="SimSun"/>
        </w:rPr>
        <w:t>c</w:t>
      </w:r>
      <w:r w:rsidR="00E96143">
        <w:rPr>
          <w:rFonts w:eastAsia="SimSun"/>
        </w:rPr>
        <w:t>avitation</w:t>
      </w:r>
      <w:r w:rsidR="0064268A">
        <w:rPr>
          <w:rFonts w:eastAsia="SimSun"/>
        </w:rPr>
        <w:t xml:space="preserve"> index</w:t>
      </w:r>
    </w:p>
    <w:p w14:paraId="2A22E475" w14:textId="49A6D06D" w:rsidR="00974FED" w:rsidRDefault="00974FED" w:rsidP="00974FED">
      <w:pPr>
        <w:pStyle w:val="CETBodytext"/>
        <w:jc w:val="left"/>
        <w:rPr>
          <w:rFonts w:eastAsia="SimSun"/>
        </w:rPr>
      </w:pPr>
      <w:r>
        <w:rPr>
          <w:rFonts w:eastAsia="SimSun"/>
        </w:rPr>
        <w:t xml:space="preserve">CFD </w:t>
      </w:r>
      <w:r w:rsidR="00E96143" w:rsidRPr="00280FAF">
        <w:rPr>
          <w:rFonts w:eastAsia="SimSun"/>
        </w:rPr>
        <w:t xml:space="preserve">– </w:t>
      </w:r>
      <w:r w:rsidRPr="00C55E24">
        <w:rPr>
          <w:rFonts w:eastAsia="SimSun"/>
        </w:rPr>
        <w:t>Computational Fluid Dynamics</w:t>
      </w:r>
    </w:p>
    <w:p w14:paraId="17A319B9" w14:textId="77777777" w:rsidR="00974FED" w:rsidRDefault="00974FED" w:rsidP="00974FED">
      <w:pPr>
        <w:pStyle w:val="CETBodytext"/>
        <w:jc w:val="left"/>
        <w:rPr>
          <w:rFonts w:eastAsia="SimSun"/>
        </w:rPr>
      </w:pPr>
      <w:r w:rsidRPr="005C6B8B">
        <w:rPr>
          <w:rFonts w:eastAsia="SimSun"/>
        </w:rPr>
        <w:t xml:space="preserve">D – </w:t>
      </w:r>
      <w:r>
        <w:rPr>
          <w:rFonts w:eastAsia="SimSun"/>
        </w:rPr>
        <w:t>c</w:t>
      </w:r>
      <w:r w:rsidRPr="005C6B8B">
        <w:rPr>
          <w:rFonts w:eastAsia="SimSun"/>
        </w:rPr>
        <w:t>avitation orifice reactor d</w:t>
      </w:r>
      <w:r>
        <w:rPr>
          <w:rFonts w:eastAsia="SimSun"/>
        </w:rPr>
        <w:t>iameter</w:t>
      </w:r>
    </w:p>
    <w:p w14:paraId="3DA3B790" w14:textId="42B7D373" w:rsidR="00715859" w:rsidRDefault="00715859" w:rsidP="00974FED">
      <w:pPr>
        <w:pStyle w:val="CETBodytext"/>
        <w:jc w:val="left"/>
        <w:rPr>
          <w:rFonts w:eastAsia="SimSun"/>
        </w:rPr>
      </w:pPr>
      <w:r>
        <w:rPr>
          <w:rFonts w:eastAsia="SimSun"/>
        </w:rPr>
        <w:t xml:space="preserve">2D – two </w:t>
      </w:r>
      <w:proofErr w:type="gramStart"/>
      <w:r>
        <w:rPr>
          <w:rFonts w:eastAsia="SimSun"/>
        </w:rPr>
        <w:t>dimension</w:t>
      </w:r>
      <w:proofErr w:type="gramEnd"/>
    </w:p>
    <w:p w14:paraId="671E910A" w14:textId="77777777" w:rsidR="00974FED" w:rsidRDefault="00974FED" w:rsidP="00974FED">
      <w:pPr>
        <w:pStyle w:val="CETBodytext"/>
        <w:jc w:val="left"/>
        <w:rPr>
          <w:rFonts w:eastAsia="SimSun"/>
          <w:lang w:val="en-GB"/>
        </w:rPr>
      </w:pPr>
      <w:r w:rsidRPr="007D1BD4">
        <w:rPr>
          <w:rFonts w:eastAsia="SimSun"/>
          <w:lang w:val="en-GB"/>
        </w:rPr>
        <w:t>d – orifice diameter</w:t>
      </w:r>
    </w:p>
    <w:p w14:paraId="69A523E0" w14:textId="02CC93E5" w:rsidR="000E18AE" w:rsidRDefault="000E18AE" w:rsidP="00974FED">
      <w:pPr>
        <w:pStyle w:val="CETBodytext"/>
        <w:jc w:val="left"/>
        <w:rPr>
          <w:rFonts w:eastAsia="SimSun"/>
          <w:lang w:val="en-GB"/>
        </w:rPr>
      </w:pPr>
      <w:r>
        <w:rPr>
          <w:rFonts w:eastAsia="SimSun"/>
          <w:lang w:val="en-GB"/>
        </w:rPr>
        <w:t>E</w:t>
      </w:r>
      <w:r>
        <w:rPr>
          <w:rFonts w:eastAsia="SimSun"/>
          <w:vertAlign w:val="subscript"/>
          <w:lang w:val="en-GB"/>
        </w:rPr>
        <w:t>IN</w:t>
      </w:r>
      <w:r w:rsidRPr="007D1BD4">
        <w:rPr>
          <w:rFonts w:eastAsia="SimSun"/>
          <w:lang w:val="en-GB"/>
        </w:rPr>
        <w:t xml:space="preserve"> –</w:t>
      </w:r>
      <w:r>
        <w:rPr>
          <w:rFonts w:eastAsia="SimSun"/>
          <w:lang w:val="en-GB"/>
        </w:rPr>
        <w:t xml:space="preserve"> Input power</w:t>
      </w:r>
    </w:p>
    <w:p w14:paraId="0DBDCDEF" w14:textId="1D82020C" w:rsidR="00FE3286" w:rsidRPr="00FE3286" w:rsidRDefault="00FE3286" w:rsidP="00974FED">
      <w:pPr>
        <w:pStyle w:val="CETBodytext"/>
        <w:jc w:val="left"/>
        <w:rPr>
          <w:rFonts w:eastAsia="SimSun"/>
          <w:lang w:val="en-GB"/>
        </w:rPr>
      </w:pPr>
      <w:r>
        <w:rPr>
          <w:rFonts w:eastAsia="SimSun"/>
          <w:lang w:val="en-GB"/>
        </w:rPr>
        <w:t>HHV</w:t>
      </w:r>
      <w:r>
        <w:rPr>
          <w:rFonts w:eastAsia="SimSun"/>
          <w:vertAlign w:val="subscript"/>
          <w:lang w:val="en-GB"/>
        </w:rPr>
        <w:t>H2</w:t>
      </w:r>
      <w:r w:rsidRPr="007D1BD4">
        <w:rPr>
          <w:rFonts w:eastAsia="SimSun"/>
          <w:lang w:val="en-GB"/>
        </w:rPr>
        <w:t xml:space="preserve"> –</w:t>
      </w:r>
      <w:r>
        <w:rPr>
          <w:rFonts w:eastAsia="SimSun"/>
          <w:lang w:val="en-GB"/>
        </w:rPr>
        <w:t xml:space="preserve"> </w:t>
      </w:r>
      <w:r w:rsidR="0022674E">
        <w:rPr>
          <w:rFonts w:eastAsia="SimSun"/>
          <w:lang w:val="en-GB"/>
        </w:rPr>
        <w:t>h</w:t>
      </w:r>
      <w:r>
        <w:rPr>
          <w:rFonts w:eastAsia="SimSun"/>
          <w:lang w:val="en-GB"/>
        </w:rPr>
        <w:t xml:space="preserve">igh </w:t>
      </w:r>
      <w:r w:rsidR="0022674E">
        <w:rPr>
          <w:rFonts w:eastAsia="SimSun"/>
          <w:lang w:val="en-GB"/>
        </w:rPr>
        <w:t>heating value of hydrogen</w:t>
      </w:r>
    </w:p>
    <w:p w14:paraId="1AAF2DBD" w14:textId="77777777" w:rsidR="00974FED" w:rsidRDefault="00974FED" w:rsidP="00974FED">
      <w:pPr>
        <w:pStyle w:val="CETBodytext"/>
        <w:jc w:val="left"/>
        <w:rPr>
          <w:rFonts w:eastAsia="SimSun"/>
        </w:rPr>
      </w:pPr>
      <w:r w:rsidRPr="00246251">
        <w:rPr>
          <w:rFonts w:eastAsia="SimSun"/>
        </w:rPr>
        <w:t xml:space="preserve">L1 – cavitation orifice reactor </w:t>
      </w:r>
      <w:r>
        <w:rPr>
          <w:rFonts w:eastAsia="SimSun"/>
        </w:rPr>
        <w:t>e</w:t>
      </w:r>
      <w:r w:rsidRPr="00246251">
        <w:rPr>
          <w:rFonts w:eastAsia="SimSun"/>
        </w:rPr>
        <w:t xml:space="preserve">ntrance </w:t>
      </w:r>
      <w:r>
        <w:rPr>
          <w:rFonts w:eastAsia="SimSun"/>
        </w:rPr>
        <w:t>l</w:t>
      </w:r>
      <w:r w:rsidRPr="00246251">
        <w:rPr>
          <w:rFonts w:eastAsia="SimSun"/>
        </w:rPr>
        <w:t>ength</w:t>
      </w:r>
    </w:p>
    <w:p w14:paraId="4D7A5DDD" w14:textId="55B01690" w:rsidR="00974FED" w:rsidRDefault="00974FED" w:rsidP="00974FED">
      <w:pPr>
        <w:pStyle w:val="CETBodytext"/>
        <w:jc w:val="left"/>
        <w:rPr>
          <w:rFonts w:eastAsia="SimSun"/>
        </w:rPr>
      </w:pPr>
      <w:r>
        <w:rPr>
          <w:rFonts w:eastAsia="SimSun"/>
        </w:rPr>
        <w:t>L2</w:t>
      </w:r>
      <w:r w:rsidR="00E96143" w:rsidRPr="00280FAF">
        <w:rPr>
          <w:rFonts w:eastAsia="SimSun"/>
        </w:rPr>
        <w:t xml:space="preserve"> – </w:t>
      </w:r>
      <w:r w:rsidRPr="00246251">
        <w:rPr>
          <w:rFonts w:eastAsia="SimSun"/>
        </w:rPr>
        <w:t xml:space="preserve">orifice </w:t>
      </w:r>
      <w:r>
        <w:rPr>
          <w:rFonts w:eastAsia="SimSun"/>
        </w:rPr>
        <w:t>l</w:t>
      </w:r>
      <w:r w:rsidRPr="00246251">
        <w:rPr>
          <w:rFonts w:eastAsia="SimSun"/>
        </w:rPr>
        <w:t>ength</w:t>
      </w:r>
    </w:p>
    <w:p w14:paraId="6A6FB595" w14:textId="32F8A505" w:rsidR="00974FED" w:rsidRDefault="00974FED" w:rsidP="00974FED">
      <w:pPr>
        <w:pStyle w:val="CETBodytext"/>
        <w:jc w:val="left"/>
        <w:rPr>
          <w:rFonts w:eastAsia="SimSun"/>
        </w:rPr>
      </w:pPr>
      <w:r>
        <w:rPr>
          <w:rFonts w:eastAsia="SimSun"/>
        </w:rPr>
        <w:t xml:space="preserve">L3 </w:t>
      </w:r>
      <w:r w:rsidR="00E96143" w:rsidRPr="00280FAF">
        <w:rPr>
          <w:rFonts w:eastAsia="SimSun"/>
        </w:rPr>
        <w:t xml:space="preserve">– </w:t>
      </w:r>
      <w:r w:rsidRPr="00246251">
        <w:rPr>
          <w:rFonts w:eastAsia="SimSun"/>
        </w:rPr>
        <w:t xml:space="preserve">cavitation orifice reactor </w:t>
      </w:r>
      <w:r>
        <w:rPr>
          <w:rFonts w:eastAsia="SimSun"/>
        </w:rPr>
        <w:t>outlet</w:t>
      </w:r>
      <w:r w:rsidRPr="00246251">
        <w:rPr>
          <w:rFonts w:eastAsia="SimSun"/>
        </w:rPr>
        <w:t xml:space="preserve"> </w:t>
      </w:r>
      <w:r>
        <w:rPr>
          <w:rFonts w:eastAsia="SimSun"/>
        </w:rPr>
        <w:t>l</w:t>
      </w:r>
      <w:r w:rsidRPr="00246251">
        <w:rPr>
          <w:rFonts w:eastAsia="SimSun"/>
        </w:rPr>
        <w:t>ength</w:t>
      </w:r>
    </w:p>
    <w:p w14:paraId="28DACC4F" w14:textId="43A4BA70" w:rsidR="005F3EC2" w:rsidRDefault="005F3EC2" w:rsidP="00974FED">
      <w:pPr>
        <w:pStyle w:val="CETBodytext"/>
        <w:jc w:val="left"/>
        <w:rPr>
          <w:rFonts w:eastAsia="SimSun"/>
        </w:rPr>
      </w:pPr>
      <w:r>
        <w:t>n</w:t>
      </w:r>
      <w:r w:rsidRPr="003730BF">
        <w:rPr>
          <w:vertAlign w:val="subscript"/>
        </w:rPr>
        <w:t>H</w:t>
      </w:r>
      <w:proofErr w:type="gramStart"/>
      <w:r w:rsidRPr="003730BF">
        <w:rPr>
          <w:vertAlign w:val="subscript"/>
        </w:rPr>
        <w:t>2</w:t>
      </w:r>
      <w:r>
        <w:rPr>
          <w:vertAlign w:val="subscript"/>
        </w:rPr>
        <w:t>,th</w:t>
      </w:r>
      <w:proofErr w:type="gramEnd"/>
      <w:r>
        <w:rPr>
          <w:vertAlign w:val="subscript"/>
        </w:rPr>
        <w:t>.</w:t>
      </w:r>
      <w:r w:rsidRPr="002470EC">
        <w:rPr>
          <w:rFonts w:eastAsia="SimSun"/>
        </w:rPr>
        <w:t xml:space="preserve"> –</w:t>
      </w:r>
      <w:r>
        <w:rPr>
          <w:rFonts w:eastAsia="SimSun"/>
        </w:rPr>
        <w:t xml:space="preserve"> </w:t>
      </w:r>
      <w:r w:rsidR="00BD165B">
        <w:t>theoretical hydrogen molar flowrate</w:t>
      </w:r>
    </w:p>
    <w:p w14:paraId="0C2D6C2D" w14:textId="558B90E1" w:rsidR="0064268A" w:rsidRPr="002470EC" w:rsidRDefault="0064268A" w:rsidP="00974FED">
      <w:pPr>
        <w:pStyle w:val="CETBodytext"/>
        <w:jc w:val="left"/>
        <w:rPr>
          <w:rFonts w:eastAsia="SimSun"/>
        </w:rPr>
      </w:pPr>
      <w:r w:rsidRPr="002470EC">
        <w:rPr>
          <w:rFonts w:eastAsia="SimSun"/>
        </w:rPr>
        <w:t>P</w:t>
      </w:r>
      <w:r w:rsidRPr="002470EC">
        <w:rPr>
          <w:rFonts w:eastAsia="SimSun"/>
          <w:vertAlign w:val="subscript"/>
        </w:rPr>
        <w:t>1</w:t>
      </w:r>
      <w:r w:rsidRPr="002470EC">
        <w:rPr>
          <w:rFonts w:eastAsia="SimSun"/>
        </w:rPr>
        <w:t xml:space="preserve"> – </w:t>
      </w:r>
      <w:r w:rsidR="00871BDD" w:rsidRPr="002470EC">
        <w:rPr>
          <w:rFonts w:eastAsia="SimSun"/>
        </w:rPr>
        <w:t>i</w:t>
      </w:r>
      <w:r w:rsidRPr="002470EC">
        <w:rPr>
          <w:rFonts w:eastAsia="SimSun"/>
        </w:rPr>
        <w:t xml:space="preserve">nlet </w:t>
      </w:r>
      <w:r w:rsidR="00330867" w:rsidRPr="002470EC">
        <w:rPr>
          <w:rFonts w:eastAsia="SimSun"/>
        </w:rPr>
        <w:t>p</w:t>
      </w:r>
      <w:r w:rsidRPr="002470EC">
        <w:rPr>
          <w:rFonts w:eastAsia="SimSun"/>
        </w:rPr>
        <w:t>ressure</w:t>
      </w:r>
    </w:p>
    <w:p w14:paraId="4E95C6BC" w14:textId="083B5F28" w:rsidR="00AF2B82" w:rsidRPr="002470EC" w:rsidRDefault="00AF2B82" w:rsidP="00974FED">
      <w:pPr>
        <w:pStyle w:val="CETBodytext"/>
        <w:jc w:val="left"/>
        <w:rPr>
          <w:rFonts w:eastAsia="SimSun"/>
        </w:rPr>
      </w:pPr>
      <w:r w:rsidRPr="002470EC">
        <w:rPr>
          <w:rFonts w:eastAsia="SimSun"/>
        </w:rPr>
        <w:t>P</w:t>
      </w:r>
      <w:r w:rsidRPr="002470EC">
        <w:rPr>
          <w:rFonts w:eastAsia="SimSun"/>
          <w:vertAlign w:val="subscript"/>
        </w:rPr>
        <w:t>2</w:t>
      </w:r>
      <w:r w:rsidRPr="002470EC">
        <w:rPr>
          <w:rFonts w:eastAsia="SimSun"/>
        </w:rPr>
        <w:t xml:space="preserve"> –</w:t>
      </w:r>
      <w:r w:rsidR="00C12430" w:rsidRPr="002470EC">
        <w:rPr>
          <w:rFonts w:eastAsia="SimSun"/>
        </w:rPr>
        <w:t xml:space="preserve"> </w:t>
      </w:r>
      <w:r w:rsidR="00871BDD" w:rsidRPr="002470EC">
        <w:rPr>
          <w:rFonts w:eastAsia="SimSun"/>
        </w:rPr>
        <w:t>o</w:t>
      </w:r>
      <w:r w:rsidR="00D2635B" w:rsidRPr="002470EC">
        <w:rPr>
          <w:rFonts w:eastAsia="SimSun"/>
        </w:rPr>
        <w:t xml:space="preserve">utlet </w:t>
      </w:r>
      <w:r w:rsidR="00330867" w:rsidRPr="002470EC">
        <w:rPr>
          <w:rFonts w:eastAsia="SimSun"/>
        </w:rPr>
        <w:t>p</w:t>
      </w:r>
      <w:r w:rsidR="00D2635B" w:rsidRPr="002470EC">
        <w:rPr>
          <w:rFonts w:eastAsia="SimSun"/>
        </w:rPr>
        <w:t xml:space="preserve">ressure </w:t>
      </w:r>
    </w:p>
    <w:p w14:paraId="7D020A6D" w14:textId="4A5C2115" w:rsidR="009F627E" w:rsidRDefault="009F627E" w:rsidP="00974FED">
      <w:pPr>
        <w:pStyle w:val="CETBodytext"/>
        <w:jc w:val="left"/>
        <w:rPr>
          <w:rFonts w:eastAsia="SimSun"/>
        </w:rPr>
      </w:pPr>
      <w:proofErr w:type="spellStart"/>
      <w:r w:rsidRPr="002470EC">
        <w:rPr>
          <w:rFonts w:eastAsia="SimSun"/>
        </w:rPr>
        <w:t>P</w:t>
      </w:r>
      <w:r w:rsidRPr="002470EC">
        <w:rPr>
          <w:rFonts w:eastAsia="SimSun"/>
          <w:vertAlign w:val="subscript"/>
        </w:rPr>
        <w:t>v</w:t>
      </w:r>
      <w:proofErr w:type="spellEnd"/>
      <w:r w:rsidRPr="002470EC">
        <w:rPr>
          <w:rFonts w:eastAsia="SimSun"/>
        </w:rPr>
        <w:t xml:space="preserve"> – </w:t>
      </w:r>
      <w:r w:rsidR="0077254C" w:rsidRPr="002470EC">
        <w:rPr>
          <w:rFonts w:eastAsia="SimSun"/>
        </w:rPr>
        <w:t xml:space="preserve">water </w:t>
      </w:r>
      <w:proofErr w:type="spellStart"/>
      <w:r w:rsidR="00871BDD" w:rsidRPr="002470EC">
        <w:rPr>
          <w:rFonts w:eastAsia="SimSun"/>
        </w:rPr>
        <w:t>vapour</w:t>
      </w:r>
      <w:proofErr w:type="spellEnd"/>
      <w:r w:rsidR="00871BDD" w:rsidRPr="002470EC">
        <w:rPr>
          <w:rFonts w:eastAsia="SimSun"/>
        </w:rPr>
        <w:t xml:space="preserve"> pressure</w:t>
      </w:r>
    </w:p>
    <w:p w14:paraId="52AEA167" w14:textId="0C6D11BA" w:rsidR="00143B8A" w:rsidRPr="002470EC" w:rsidRDefault="00143B8A" w:rsidP="00974FED">
      <w:pPr>
        <w:pStyle w:val="CETBodytext"/>
        <w:jc w:val="left"/>
        <w:rPr>
          <w:rFonts w:eastAsia="SimSun"/>
        </w:rPr>
      </w:pPr>
      <w:r>
        <w:rPr>
          <w:rFonts w:eastAsia="SimSun"/>
        </w:rPr>
        <w:t>Q</w:t>
      </w:r>
      <w:r w:rsidRPr="002470EC">
        <w:rPr>
          <w:rFonts w:eastAsia="SimSun"/>
        </w:rPr>
        <w:t xml:space="preserve"> –</w:t>
      </w:r>
      <w:r>
        <w:rPr>
          <w:rFonts w:eastAsia="SimSun"/>
        </w:rPr>
        <w:t xml:space="preserve"> </w:t>
      </w:r>
      <w:r w:rsidR="00A30E20">
        <w:rPr>
          <w:rFonts w:eastAsia="SimSun"/>
        </w:rPr>
        <w:t xml:space="preserve">water </w:t>
      </w:r>
      <w:r w:rsidR="00CA071F">
        <w:rPr>
          <w:rFonts w:eastAsia="SimSun"/>
        </w:rPr>
        <w:t xml:space="preserve">inlet </w:t>
      </w:r>
      <w:r w:rsidR="00A30E20">
        <w:rPr>
          <w:rFonts w:eastAsia="SimSun"/>
        </w:rPr>
        <w:t>volumetric flowrate</w:t>
      </w:r>
    </w:p>
    <w:p w14:paraId="330CD2C7" w14:textId="4C14D119" w:rsidR="00CC0800" w:rsidRPr="002470EC" w:rsidRDefault="0022674E" w:rsidP="00974FED">
      <w:pPr>
        <w:pStyle w:val="CETBodytext"/>
        <w:jc w:val="left"/>
        <w:rPr>
          <w:rFonts w:eastAsia="SimSun"/>
        </w:rPr>
      </w:pPr>
      <w:r w:rsidRPr="002470EC">
        <w:rPr>
          <w:rFonts w:eastAsia="SimSun"/>
        </w:rPr>
        <w:t>RNG –</w:t>
      </w:r>
      <w:r>
        <w:rPr>
          <w:rFonts w:eastAsia="SimSun"/>
        </w:rPr>
        <w:t xml:space="preserve"> </w:t>
      </w:r>
      <w:r w:rsidR="00CC0800" w:rsidRPr="002470EC">
        <w:rPr>
          <w:rFonts w:eastAsia="SimSun"/>
        </w:rPr>
        <w:t>Renormalization Group</w:t>
      </w:r>
    </w:p>
    <w:p w14:paraId="3EED3106" w14:textId="73635E43" w:rsidR="003C69ED" w:rsidRPr="003C69ED" w:rsidRDefault="0022674E" w:rsidP="00974FED">
      <w:pPr>
        <w:pStyle w:val="CETBodytext"/>
        <w:jc w:val="left"/>
        <w:rPr>
          <w:rFonts w:eastAsia="SimSun"/>
        </w:rPr>
      </w:pPr>
      <w:r>
        <w:t>RANS</w:t>
      </w:r>
      <w:r w:rsidRPr="002470EC">
        <w:rPr>
          <w:rFonts w:eastAsia="SimSun"/>
        </w:rPr>
        <w:t xml:space="preserve"> –</w:t>
      </w:r>
      <w:r>
        <w:rPr>
          <w:rFonts w:eastAsia="SimSun"/>
        </w:rPr>
        <w:t xml:space="preserve"> </w:t>
      </w:r>
      <w:r w:rsidR="003C69ED">
        <w:t>Reynolds Averaged Navier Stokes</w:t>
      </w:r>
    </w:p>
    <w:p w14:paraId="49718D09" w14:textId="7344EED0" w:rsidR="005C73E7" w:rsidRDefault="008D5A9C" w:rsidP="00974FED">
      <w:pPr>
        <w:pStyle w:val="CETBodytext"/>
        <w:jc w:val="left"/>
      </w:pPr>
      <w:r w:rsidRPr="002B7F2A">
        <w:t>TWSCs</w:t>
      </w:r>
      <w:r w:rsidRPr="008D5A9C">
        <w:rPr>
          <w:rFonts w:eastAsia="SimSun"/>
        </w:rPr>
        <w:t xml:space="preserve"> – </w:t>
      </w:r>
      <w:r w:rsidR="00412DE0">
        <w:t>t</w:t>
      </w:r>
      <w:r w:rsidRPr="002B7F2A">
        <w:t>hermochemical water splitting cycles</w:t>
      </w:r>
    </w:p>
    <w:p w14:paraId="4A3D19CE" w14:textId="572F37B6" w:rsidR="008D5A9C" w:rsidRDefault="005C73E7" w:rsidP="00974FED">
      <w:pPr>
        <w:pStyle w:val="CETBodytext"/>
        <w:jc w:val="left"/>
      </w:pPr>
      <w:r>
        <w:rPr>
          <w:rFonts w:eastAsia="DengXian" w:cs="Arial"/>
        </w:rPr>
        <w:t>Δ</w:t>
      </w:r>
      <w:r>
        <w:rPr>
          <w:rFonts w:eastAsia="DengXian"/>
        </w:rPr>
        <w:t>P</w:t>
      </w:r>
      <w:r w:rsidR="004F4ED0" w:rsidRPr="008D5A9C">
        <w:rPr>
          <w:rFonts w:eastAsia="SimSun"/>
        </w:rPr>
        <w:t xml:space="preserve"> – </w:t>
      </w:r>
      <w:r>
        <w:rPr>
          <w:rFonts w:eastAsia="DengXian"/>
        </w:rPr>
        <w:t xml:space="preserve">water </w:t>
      </w:r>
      <w:r w:rsidRPr="00556F3C">
        <w:rPr>
          <w:rFonts w:eastAsia="DengXian"/>
        </w:rPr>
        <w:t>pressure difference</w:t>
      </w:r>
      <w:r w:rsidR="008D5A9C" w:rsidRPr="002B7F2A">
        <w:t xml:space="preserve"> </w:t>
      </w:r>
    </w:p>
    <w:p w14:paraId="343EA683" w14:textId="16734EF2" w:rsidR="004F4ED0" w:rsidRPr="004F4ED0" w:rsidRDefault="004F4ED0" w:rsidP="00974FED">
      <w:pPr>
        <w:pStyle w:val="CETBodytext"/>
        <w:jc w:val="left"/>
        <w:rPr>
          <w:rFonts w:eastAsia="SimSun"/>
        </w:rPr>
      </w:pPr>
      <w:proofErr w:type="spellStart"/>
      <w:r>
        <w:rPr>
          <w:rFonts w:eastAsia="DengXian" w:cs="Arial"/>
        </w:rPr>
        <w:t>η</w:t>
      </w:r>
      <w:proofErr w:type="gramStart"/>
      <w:r w:rsidRPr="008F38C0">
        <w:rPr>
          <w:rFonts w:eastAsia="DengXian"/>
          <w:vertAlign w:val="subscript"/>
        </w:rPr>
        <w:t>P</w:t>
      </w:r>
      <w:proofErr w:type="spellEnd"/>
      <w:r>
        <w:rPr>
          <w:rFonts w:eastAsia="DengXian"/>
        </w:rPr>
        <w:t xml:space="preserve"> </w:t>
      </w:r>
      <w:r w:rsidRPr="008D5A9C">
        <w:rPr>
          <w:rFonts w:eastAsia="SimSun"/>
        </w:rPr>
        <w:t xml:space="preserve"> –</w:t>
      </w:r>
      <w:proofErr w:type="gramEnd"/>
      <w:r>
        <w:rPr>
          <w:rFonts w:eastAsia="SimSun"/>
        </w:rPr>
        <w:t xml:space="preserve"> pump overall efficiency</w:t>
      </w:r>
    </w:p>
    <w:p w14:paraId="0D12BC4D" w14:textId="3A95D598" w:rsidR="00974FED" w:rsidRPr="008D5A9C" w:rsidRDefault="00974FED" w:rsidP="00974FED">
      <w:pPr>
        <w:pStyle w:val="CETBodytext"/>
        <w:jc w:val="left"/>
        <w:rPr>
          <w:rFonts w:eastAsia="SimSun"/>
        </w:rPr>
        <w:sectPr w:rsidR="00974FED" w:rsidRPr="008D5A9C" w:rsidSect="00DC73EE">
          <w:type w:val="continuous"/>
          <w:pgSz w:w="11906" w:h="16838" w:code="9"/>
          <w:pgMar w:top="1701" w:right="1418" w:bottom="1701" w:left="1701" w:header="1701" w:footer="0" w:gutter="0"/>
          <w:cols w:num="2" w:space="708"/>
          <w:formProt w:val="0"/>
          <w:titlePg/>
          <w:docGrid w:linePitch="360"/>
        </w:sectPr>
      </w:pPr>
    </w:p>
    <w:p w14:paraId="1A4A6E6A" w14:textId="7D4C53C1" w:rsidR="00110AF7" w:rsidRDefault="00974FED" w:rsidP="00B00690">
      <w:pPr>
        <w:pStyle w:val="CETAcknowledgementstitle"/>
      </w:pPr>
      <w:r w:rsidRPr="00B57B36">
        <w:t>Acknowledgments</w:t>
      </w:r>
    </w:p>
    <w:p w14:paraId="3EA45DE9" w14:textId="04A5C999" w:rsidR="00110AF7" w:rsidRPr="004D3C45" w:rsidRDefault="00110AF7" w:rsidP="004D3C45">
      <w:pPr>
        <w:pStyle w:val="CETBodytext"/>
      </w:pPr>
      <w:r w:rsidRPr="00110AF7">
        <w:rPr>
          <w:lang w:val="en-GB"/>
        </w:rPr>
        <w:t xml:space="preserve">This work was supported by </w:t>
      </w:r>
      <w:r w:rsidR="0055406C">
        <w:rPr>
          <w:lang w:val="en-GB"/>
        </w:rPr>
        <w:t xml:space="preserve">PhD </w:t>
      </w:r>
      <w:r w:rsidR="00A364B4">
        <w:rPr>
          <w:lang w:val="en-GB"/>
        </w:rPr>
        <w:t xml:space="preserve">program </w:t>
      </w:r>
      <w:r w:rsidR="00A84030" w:rsidRPr="00A84030">
        <w:rPr>
          <w:lang w:val="en-GB"/>
        </w:rPr>
        <w:t>in Science and Engineering for the Environment and the Sustainability</w:t>
      </w:r>
      <w:r w:rsidR="00A84030">
        <w:rPr>
          <w:lang w:val="en-GB"/>
        </w:rPr>
        <w:t xml:space="preserve"> </w:t>
      </w:r>
      <w:r w:rsidR="006B6410">
        <w:rPr>
          <w:lang w:val="en-GB"/>
        </w:rPr>
        <w:t>of</w:t>
      </w:r>
      <w:r w:rsidR="00A84030">
        <w:rPr>
          <w:lang w:val="en-GB"/>
        </w:rPr>
        <w:t xml:space="preserve"> Universit</w:t>
      </w:r>
      <w:r w:rsidR="006B6410">
        <w:rPr>
          <w:lang w:val="en-GB"/>
        </w:rPr>
        <w:t xml:space="preserve">à </w:t>
      </w:r>
      <w:proofErr w:type="spellStart"/>
      <w:r w:rsidR="006B6410">
        <w:rPr>
          <w:lang w:val="en-GB"/>
        </w:rPr>
        <w:t>degli</w:t>
      </w:r>
      <w:proofErr w:type="spellEnd"/>
      <w:r w:rsidR="006B6410">
        <w:rPr>
          <w:lang w:val="en-GB"/>
        </w:rPr>
        <w:t xml:space="preserve"> Studi </w:t>
      </w:r>
      <w:proofErr w:type="spellStart"/>
      <w:r w:rsidR="006B6410">
        <w:rPr>
          <w:lang w:val="en-GB"/>
        </w:rPr>
        <w:t>della</w:t>
      </w:r>
      <w:proofErr w:type="spellEnd"/>
      <w:r w:rsidR="006B6410">
        <w:rPr>
          <w:lang w:val="en-GB"/>
        </w:rPr>
        <w:t xml:space="preserve"> Campania “Luigi </w:t>
      </w:r>
      <w:proofErr w:type="spellStart"/>
      <w:r w:rsidR="006B6410">
        <w:rPr>
          <w:lang w:val="en-GB"/>
        </w:rPr>
        <w:t>Vanvitelli</w:t>
      </w:r>
      <w:proofErr w:type="spellEnd"/>
      <w:r w:rsidR="006B6410">
        <w:rPr>
          <w:lang w:val="en-GB"/>
        </w:rPr>
        <w:t>”.</w:t>
      </w:r>
    </w:p>
    <w:p w14:paraId="4E2F8A45" w14:textId="5C479FF7" w:rsidR="00974FED" w:rsidRPr="002470EC" w:rsidRDefault="00974FED" w:rsidP="00974FED">
      <w:pPr>
        <w:pStyle w:val="CETReference"/>
        <w:rPr>
          <w:lang w:val="en-US"/>
        </w:rPr>
      </w:pPr>
      <w:r w:rsidRPr="002470EC">
        <w:rPr>
          <w:lang w:val="en-US"/>
        </w:rPr>
        <w:t>References</w:t>
      </w:r>
    </w:p>
    <w:p w14:paraId="4D403D43" w14:textId="718A8C90" w:rsidR="004A142A" w:rsidRPr="00B2374E" w:rsidRDefault="00680CF0" w:rsidP="009E3DCF">
      <w:pPr>
        <w:pStyle w:val="CETReferencetext"/>
      </w:pPr>
      <w:proofErr w:type="spellStart"/>
      <w:r w:rsidRPr="00B2374E">
        <w:t>Agarkoti</w:t>
      </w:r>
      <w:proofErr w:type="spellEnd"/>
      <w:r w:rsidRPr="00B2374E">
        <w:t xml:space="preserve"> C., </w:t>
      </w:r>
      <w:proofErr w:type="spellStart"/>
      <w:r w:rsidRPr="00B2374E">
        <w:t>Thanekar</w:t>
      </w:r>
      <w:proofErr w:type="spellEnd"/>
      <w:r w:rsidRPr="00B2374E">
        <w:t xml:space="preserve"> P.D., Gogate P.R., 2021, </w:t>
      </w:r>
      <w:r w:rsidR="0082143B" w:rsidRPr="00B2374E">
        <w:t xml:space="preserve">Cavitation based treatment of industrial wastewater: A critical review focusing on mechanisms, design aspects, operating conditions and application to real effluents, Journal of Environmental Management, 300, </w:t>
      </w:r>
      <w:r w:rsidR="00187F42" w:rsidRPr="00B2374E">
        <w:t>113786.</w:t>
      </w:r>
    </w:p>
    <w:p w14:paraId="2394CFFE" w14:textId="534305BE" w:rsidR="00BC444B" w:rsidRDefault="00AB3F1A" w:rsidP="009E3DCF">
      <w:pPr>
        <w:pStyle w:val="CETReferencetext"/>
      </w:pPr>
      <w:proofErr w:type="spellStart"/>
      <w:r w:rsidRPr="00B2374E">
        <w:t>Capocelli</w:t>
      </w:r>
      <w:proofErr w:type="spellEnd"/>
      <w:r w:rsidR="00163AD9" w:rsidRPr="00B2374E">
        <w:t xml:space="preserve"> M.</w:t>
      </w:r>
      <w:r w:rsidRPr="00B2374E">
        <w:t>, Prisciandaro</w:t>
      </w:r>
      <w:r w:rsidR="00163AD9" w:rsidRPr="00B2374E">
        <w:t xml:space="preserve"> M.</w:t>
      </w:r>
      <w:r w:rsidRPr="00B2374E">
        <w:t>, Lancia</w:t>
      </w:r>
      <w:r w:rsidR="00163AD9" w:rsidRPr="00B2374E">
        <w:t xml:space="preserve"> A.</w:t>
      </w:r>
      <w:r w:rsidRPr="00B2374E">
        <w:t xml:space="preserve">, </w:t>
      </w:r>
      <w:proofErr w:type="spellStart"/>
      <w:r w:rsidRPr="00B2374E">
        <w:t>Musmarra</w:t>
      </w:r>
      <w:proofErr w:type="spellEnd"/>
      <w:r w:rsidR="00163AD9" w:rsidRPr="00B2374E">
        <w:t xml:space="preserve"> D.,</w:t>
      </w:r>
      <w:r w:rsidR="008405C0" w:rsidRPr="00B2374E">
        <w:t xml:space="preserve"> 2014,</w:t>
      </w:r>
      <w:r w:rsidR="00163AD9" w:rsidRPr="00B2374E">
        <w:t xml:space="preserve"> </w:t>
      </w:r>
      <w:r w:rsidR="008405C0" w:rsidRPr="00B2374E">
        <w:t xml:space="preserve">Comparison Between Hydrodynamic and Acoustic Cavitation in Microbial Cell Disruption, </w:t>
      </w:r>
      <w:r w:rsidR="00016AD0" w:rsidRPr="00B2374E">
        <w:t>Chemical Engineering Transactions</w:t>
      </w:r>
      <w:r w:rsidR="001341FC" w:rsidRPr="00B2374E">
        <w:t xml:space="preserve">, 38, </w:t>
      </w:r>
      <w:r w:rsidR="00AF2000" w:rsidRPr="00B2374E">
        <w:t xml:space="preserve">13 </w:t>
      </w:r>
      <w:r w:rsidR="00AF2000" w:rsidRPr="009E3DCF">
        <w:t xml:space="preserve">– </w:t>
      </w:r>
      <w:r w:rsidR="00AF2000" w:rsidRPr="00B2374E">
        <w:t>18.</w:t>
      </w:r>
    </w:p>
    <w:p w14:paraId="566D0DE7" w14:textId="2A79FF14" w:rsidR="00F566D8" w:rsidRPr="00B2374E" w:rsidRDefault="00F566D8" w:rsidP="009E3DCF">
      <w:pPr>
        <w:pStyle w:val="CETReferencetext"/>
      </w:pPr>
      <w:r w:rsidRPr="00F566D8">
        <w:t xml:space="preserve">Carpenter J., Badve M., </w:t>
      </w:r>
      <w:proofErr w:type="spellStart"/>
      <w:r w:rsidRPr="00F566D8">
        <w:t>Rajoriya</w:t>
      </w:r>
      <w:proofErr w:type="spellEnd"/>
      <w:r w:rsidRPr="00F566D8">
        <w:t xml:space="preserve"> S., George S., Saharan V.K., Pandit A.B., 2016, Hydrodynamic cavitation: an emerging technology for the intensification of various chemical and physical processes in a chemical process industry, Reviews in Chemical Engineering, 1</w:t>
      </w:r>
      <w:r w:rsidR="003B1AA6">
        <w:t xml:space="preserve"> </w:t>
      </w:r>
      <w:r w:rsidRPr="00F566D8">
        <w:t>–</w:t>
      </w:r>
      <w:r w:rsidR="003B1AA6">
        <w:t xml:space="preserve"> </w:t>
      </w:r>
      <w:r w:rsidRPr="00F566D8">
        <w:t>36.</w:t>
      </w:r>
    </w:p>
    <w:p w14:paraId="3D9B86C8" w14:textId="2A3DE55C" w:rsidR="007E66B8" w:rsidRPr="009E3DCF" w:rsidRDefault="007E66B8" w:rsidP="009E3DCF">
      <w:pPr>
        <w:pStyle w:val="CETReferencetext"/>
      </w:pPr>
      <w:r w:rsidRPr="009E3DCF">
        <w:t xml:space="preserve">Choi J., Yoon S., Son Y, 2023, Effects of alcohols and dissolved gases on </w:t>
      </w:r>
      <w:proofErr w:type="spellStart"/>
      <w:r w:rsidRPr="009E3DCF">
        <w:t>sonochemical</w:t>
      </w:r>
      <w:proofErr w:type="spellEnd"/>
      <w:r w:rsidRPr="009E3DCF">
        <w:t xml:space="preserve"> generation of hydrogen in a 300 kHz </w:t>
      </w:r>
      <w:proofErr w:type="spellStart"/>
      <w:r w:rsidRPr="009E3DCF">
        <w:t>sonoreactor</w:t>
      </w:r>
      <w:proofErr w:type="spellEnd"/>
      <w:r w:rsidR="00BB0AE8" w:rsidRPr="009E3DCF">
        <w:t xml:space="preserve">, </w:t>
      </w:r>
      <w:r w:rsidRPr="009E3DCF">
        <w:t>Ultrasonics Sonochemistry, 101, 106660.</w:t>
      </w:r>
    </w:p>
    <w:p w14:paraId="679D7D79" w14:textId="03D52B2D" w:rsidR="00887B43" w:rsidRPr="009E3DCF" w:rsidRDefault="00D50FDC" w:rsidP="009E3DCF">
      <w:pPr>
        <w:pStyle w:val="CETReferencetext"/>
      </w:pPr>
      <w:r w:rsidRPr="009E3DCF">
        <w:t>De la Cruz-Ávila M., De León-Ruiz J.E., Carvajal-Mariscal I., Klapp</w:t>
      </w:r>
      <w:r w:rsidR="005C715C" w:rsidRPr="009E3DCF">
        <w:t xml:space="preserve"> J., 2024,</w:t>
      </w:r>
      <w:r w:rsidRPr="009E3DCF">
        <w:t xml:space="preserve"> CFD Turbulence Models Assessment for the Cavitation Phenomenon in a Rectangular Profile Venturi Tube</w:t>
      </w:r>
      <w:r w:rsidR="005C715C" w:rsidRPr="009E3DCF">
        <w:t xml:space="preserve">, </w:t>
      </w:r>
      <w:r w:rsidRPr="009E3DCF">
        <w:t>Fluids, 9, 71.</w:t>
      </w:r>
    </w:p>
    <w:p w14:paraId="04BB3341" w14:textId="61B4D6F2" w:rsidR="007F1EB8" w:rsidRPr="009E3DCF" w:rsidRDefault="007F1EB8" w:rsidP="009E3DCF">
      <w:pPr>
        <w:pStyle w:val="CETReferencetext"/>
      </w:pPr>
      <w:r w:rsidRPr="009E3DCF">
        <w:t xml:space="preserve">Ebrahimi </w:t>
      </w:r>
      <w:r w:rsidR="00026262" w:rsidRPr="009E3DCF">
        <w:t>B.</w:t>
      </w:r>
      <w:r w:rsidRPr="009E3DCF">
        <w:t xml:space="preserve">, He </w:t>
      </w:r>
      <w:r w:rsidR="001E4093" w:rsidRPr="009E3DCF">
        <w:t>G.</w:t>
      </w:r>
      <w:r w:rsidRPr="009E3DCF">
        <w:t xml:space="preserve">, Tang </w:t>
      </w:r>
      <w:r w:rsidR="001E4093" w:rsidRPr="009E3DCF">
        <w:t>Y.</w:t>
      </w:r>
      <w:r w:rsidRPr="009E3DCF">
        <w:t xml:space="preserve">, Franchek </w:t>
      </w:r>
      <w:r w:rsidR="001E4093" w:rsidRPr="009E3DCF">
        <w:t>M.</w:t>
      </w:r>
      <w:r w:rsidRPr="009E3DCF">
        <w:t xml:space="preserve">, Liu </w:t>
      </w:r>
      <w:r w:rsidR="001E4093" w:rsidRPr="009E3DCF">
        <w:t>D.</w:t>
      </w:r>
      <w:r w:rsidR="00AE71F8" w:rsidRPr="009E3DCF">
        <w:t xml:space="preserve">, </w:t>
      </w:r>
      <w:r w:rsidRPr="009E3DCF">
        <w:t xml:space="preserve">Pickett </w:t>
      </w:r>
      <w:r w:rsidR="00AE71F8" w:rsidRPr="009E3DCF">
        <w:t>J.</w:t>
      </w:r>
      <w:r w:rsidRPr="009E3DCF">
        <w:t xml:space="preserve">, Springett </w:t>
      </w:r>
      <w:r w:rsidR="00AE71F8" w:rsidRPr="009E3DCF">
        <w:t>F.</w:t>
      </w:r>
      <w:r w:rsidRPr="009E3DCF">
        <w:t>, Franklin</w:t>
      </w:r>
      <w:r w:rsidR="00AE71F8" w:rsidRPr="009E3DCF">
        <w:t xml:space="preserve"> D., 2017, </w:t>
      </w:r>
      <w:r w:rsidR="00A11152" w:rsidRPr="009E3DCF">
        <w:t>Characterization of high-pressure cavitating flow through a thick orifice plate in a pipe of constant cross section</w:t>
      </w:r>
      <w:r w:rsidR="00DC189D">
        <w:t xml:space="preserve">, </w:t>
      </w:r>
      <w:r w:rsidR="00DC189D" w:rsidRPr="00DC189D">
        <w:t>International Journal of Thermal Sciences</w:t>
      </w:r>
      <w:r w:rsidR="003B1AA6">
        <w:t>, 114, 229 – 240.</w:t>
      </w:r>
    </w:p>
    <w:p w14:paraId="5C1AB326" w14:textId="192DF9FE" w:rsidR="008420B9" w:rsidRPr="009E3DCF" w:rsidRDefault="008420B9" w:rsidP="009E3DCF">
      <w:pPr>
        <w:pStyle w:val="CETReferencetext"/>
      </w:pPr>
      <w:r w:rsidRPr="009E3DCF">
        <w:t>El-Shafie M., 2023, Hydrogen production by water electrolysis technologies: A review, Results in Engineering</w:t>
      </w:r>
      <w:r w:rsidR="00F65095">
        <w:t>,</w:t>
      </w:r>
      <w:r w:rsidRPr="009E3DCF">
        <w:t xml:space="preserve"> 20, 101426</w:t>
      </w:r>
      <w:r w:rsidR="00AF2000" w:rsidRPr="009E3DCF">
        <w:t>.</w:t>
      </w:r>
    </w:p>
    <w:p w14:paraId="29A05196" w14:textId="368A91A8" w:rsidR="00974FED" w:rsidRPr="009E3DCF" w:rsidRDefault="00322F36" w:rsidP="009E3DCF">
      <w:pPr>
        <w:pStyle w:val="CETReferencetext"/>
      </w:pPr>
      <w:r w:rsidRPr="009E3DCF">
        <w:t>Je</w:t>
      </w:r>
      <w:r w:rsidR="003D570A" w:rsidRPr="009E3DCF">
        <w:t>j</w:t>
      </w:r>
      <w:r w:rsidRPr="009E3DCF">
        <w:t>e S.M</w:t>
      </w:r>
      <w:r w:rsidR="00AD2A15" w:rsidRPr="009E3DCF">
        <w:t xml:space="preserve">, </w:t>
      </w:r>
      <w:proofErr w:type="spellStart"/>
      <w:r w:rsidR="00AD2A15" w:rsidRPr="009E3DCF">
        <w:t>Marazani</w:t>
      </w:r>
      <w:proofErr w:type="spellEnd"/>
      <w:r w:rsidR="00AD2A15" w:rsidRPr="009E3DCF">
        <w:t xml:space="preserve"> T., </w:t>
      </w:r>
      <w:proofErr w:type="spellStart"/>
      <w:r w:rsidR="00AD2A15" w:rsidRPr="009E3DCF">
        <w:t>Obiko</w:t>
      </w:r>
      <w:proofErr w:type="spellEnd"/>
      <w:r w:rsidR="00AD2A15" w:rsidRPr="009E3DCF">
        <w:t xml:space="preserve"> J.O., </w:t>
      </w:r>
      <w:r w:rsidR="00C7655E" w:rsidRPr="009E3DCF">
        <w:t xml:space="preserve">Shongwe M.B., </w:t>
      </w:r>
      <w:r w:rsidR="00024DF4" w:rsidRPr="009E3DCF">
        <w:t xml:space="preserve">2024, </w:t>
      </w:r>
      <w:r w:rsidR="00C7655E" w:rsidRPr="009E3DCF">
        <w:t xml:space="preserve">Advancing the hydrogen production economy: A comprehensive review of technologies, sustainability, and </w:t>
      </w:r>
      <w:proofErr w:type="gramStart"/>
      <w:r w:rsidR="00C7655E" w:rsidRPr="009E3DCF">
        <w:t>future prospects</w:t>
      </w:r>
      <w:proofErr w:type="gramEnd"/>
      <w:r w:rsidR="00B06289" w:rsidRPr="009E3DCF">
        <w:t>, International Journal of Hydrogen Energy</w:t>
      </w:r>
      <w:r w:rsidR="00024DF4" w:rsidRPr="009E3DCF">
        <w:t xml:space="preserve">, </w:t>
      </w:r>
      <w:r w:rsidR="00B06289" w:rsidRPr="009E3DCF">
        <w:t>78</w:t>
      </w:r>
      <w:r w:rsidR="00024DF4" w:rsidRPr="009E3DCF">
        <w:t>,</w:t>
      </w:r>
      <w:r w:rsidR="00B06289" w:rsidRPr="009E3DCF">
        <w:t xml:space="preserve"> 642</w:t>
      </w:r>
      <w:r w:rsidR="00AF2000" w:rsidRPr="009E3DCF">
        <w:t xml:space="preserve"> </w:t>
      </w:r>
      <w:r w:rsidR="00B06289" w:rsidRPr="009E3DCF">
        <w:t>–</w:t>
      </w:r>
      <w:r w:rsidR="00AF2000" w:rsidRPr="009E3DCF">
        <w:t xml:space="preserve"> </w:t>
      </w:r>
      <w:r w:rsidR="00B06289" w:rsidRPr="009E3DCF">
        <w:t>661</w:t>
      </w:r>
      <w:r w:rsidR="00F54548" w:rsidRPr="009E3DCF">
        <w:t>.</w:t>
      </w:r>
    </w:p>
    <w:p w14:paraId="46EED2D1" w14:textId="62C3C419" w:rsidR="0037699E" w:rsidRPr="009E3DCF" w:rsidRDefault="0037699E" w:rsidP="009E3DCF">
      <w:pPr>
        <w:pStyle w:val="CETReferencetext"/>
      </w:pPr>
      <w:r w:rsidRPr="009E3DCF">
        <w:t>Kumar A., Ghobadian A, Nouri J.M., 2020, Assessment of Cavitation Models for Compressible Flows Inside a Nozzle</w:t>
      </w:r>
      <w:r w:rsidR="00494CD0">
        <w:t>,</w:t>
      </w:r>
      <w:r w:rsidRPr="009E3DCF">
        <w:t xml:space="preserve"> Fluids, 5, 134.</w:t>
      </w:r>
    </w:p>
    <w:p w14:paraId="5609DB4C" w14:textId="14B470F0" w:rsidR="00EA69DF" w:rsidRPr="009E3DCF" w:rsidRDefault="002F5CBD" w:rsidP="009E3DCF">
      <w:pPr>
        <w:pStyle w:val="CETReferencetext"/>
      </w:pPr>
      <w:proofErr w:type="spellStart"/>
      <w:r w:rsidRPr="009E3DCF">
        <w:t>Musmarra</w:t>
      </w:r>
      <w:proofErr w:type="spellEnd"/>
      <w:r w:rsidRPr="009E3DCF">
        <w:t xml:space="preserve"> D., </w:t>
      </w:r>
      <w:r w:rsidR="00EA69DF" w:rsidRPr="009E3DCF">
        <w:t xml:space="preserve">Karatza D., Konstantopoulos C., Chianese S., </w:t>
      </w:r>
      <w:proofErr w:type="spellStart"/>
      <w:r w:rsidR="00EA69DF" w:rsidRPr="009E3DCF">
        <w:t>Diplas</w:t>
      </w:r>
      <w:proofErr w:type="spellEnd"/>
      <w:r w:rsidR="00EA69DF" w:rsidRPr="009E3DCF">
        <w:t xml:space="preserve"> S</w:t>
      </w:r>
      <w:r w:rsidRPr="009E3DCF">
        <w:t>.</w:t>
      </w:r>
      <w:r w:rsidR="00EA69DF" w:rsidRPr="009E3DCF">
        <w:t xml:space="preserve">, Svec P., </w:t>
      </w:r>
      <w:proofErr w:type="spellStart"/>
      <w:r w:rsidR="00EA69DF" w:rsidRPr="009E3DCF">
        <w:t>Hristoforou</w:t>
      </w:r>
      <w:proofErr w:type="spellEnd"/>
      <w:r w:rsidR="00EA69DF" w:rsidRPr="009E3DCF">
        <w:t xml:space="preserve"> E., 2021, Hydrogen production through water splitting at low temperature over Fe</w:t>
      </w:r>
      <w:r w:rsidR="00EA69DF" w:rsidRPr="00494CD0">
        <w:rPr>
          <w:vertAlign w:val="subscript"/>
        </w:rPr>
        <w:t>3</w:t>
      </w:r>
      <w:r w:rsidR="00EA69DF" w:rsidRPr="009E3DCF">
        <w:t>O</w:t>
      </w:r>
      <w:r w:rsidR="00EA69DF" w:rsidRPr="00494CD0">
        <w:rPr>
          <w:vertAlign w:val="subscript"/>
        </w:rPr>
        <w:t>4</w:t>
      </w:r>
      <w:r w:rsidR="00EA69DF" w:rsidRPr="009E3DCF">
        <w:t xml:space="preserve"> pellet: Effects of electric power, magnetic field, and temperature, Fuel Processing Technology, 211, 106606.</w:t>
      </w:r>
    </w:p>
    <w:p w14:paraId="7519702A" w14:textId="50D26926" w:rsidR="00E62531" w:rsidRPr="009E3DCF" w:rsidRDefault="00E62531" w:rsidP="009E3DCF">
      <w:pPr>
        <w:pStyle w:val="CETReferencetext"/>
      </w:pPr>
      <w:r w:rsidRPr="009E3DCF">
        <w:t xml:space="preserve">Ozcan H., El-Emam R.S., Celik S., </w:t>
      </w:r>
      <w:proofErr w:type="spellStart"/>
      <w:r w:rsidRPr="009E3DCF">
        <w:t>Horri</w:t>
      </w:r>
      <w:proofErr w:type="spellEnd"/>
      <w:r w:rsidRPr="009E3DCF">
        <w:t xml:space="preserve"> B.A., 2023, Recent advances, challenges, and prospects of electrochemical water-splitting technologies for net-zero transition, Cleaner Chemical Engineering, 8, 100115.</w:t>
      </w:r>
    </w:p>
    <w:p w14:paraId="5BBE20CE" w14:textId="76BCD6D6" w:rsidR="00642CD1" w:rsidRPr="009E3DCF" w:rsidRDefault="00642CD1" w:rsidP="009E3DCF">
      <w:pPr>
        <w:pStyle w:val="CETReferencetext"/>
      </w:pPr>
      <w:r w:rsidRPr="009E3DCF">
        <w:t xml:space="preserve">Rashwan S.S., Dincer I., </w:t>
      </w:r>
      <w:proofErr w:type="spellStart"/>
      <w:r w:rsidRPr="009E3DCF">
        <w:t>Mohany</w:t>
      </w:r>
      <w:proofErr w:type="spellEnd"/>
      <w:r w:rsidRPr="009E3DCF">
        <w:t xml:space="preserve"> A., Pollet</w:t>
      </w:r>
      <w:r w:rsidR="00CB05C3" w:rsidRPr="009E3DCF">
        <w:t xml:space="preserve"> B.G,</w:t>
      </w:r>
      <w:r w:rsidRPr="009E3DCF">
        <w:t xml:space="preserve"> </w:t>
      </w:r>
      <w:r w:rsidR="00CB05C3" w:rsidRPr="009E3DCF">
        <w:t xml:space="preserve">2019, </w:t>
      </w:r>
      <w:r w:rsidRPr="009E3DCF">
        <w:t>The Sono-Hydro-Gen process (Ultrasound induced hydrogen production): Challenges and opportunities</w:t>
      </w:r>
      <w:r w:rsidR="00CB05C3" w:rsidRPr="009E3DCF">
        <w:t xml:space="preserve">, </w:t>
      </w:r>
      <w:r w:rsidRPr="009E3DCF">
        <w:t>Internation</w:t>
      </w:r>
      <w:r w:rsidR="00CB05C3" w:rsidRPr="009E3DCF">
        <w:t>al</w:t>
      </w:r>
      <w:r w:rsidRPr="009E3DCF">
        <w:t xml:space="preserve"> Journal of Hydrogen Energy</w:t>
      </w:r>
      <w:r w:rsidR="00CB05C3" w:rsidRPr="009E3DCF">
        <w:t>,</w:t>
      </w:r>
      <w:r w:rsidRPr="009E3DCF">
        <w:t xml:space="preserve"> 44, 14500</w:t>
      </w:r>
      <w:r w:rsidR="003B1AA6">
        <w:t xml:space="preserve"> – </w:t>
      </w:r>
      <w:r w:rsidRPr="009E3DCF">
        <w:t>14526.</w:t>
      </w:r>
    </w:p>
    <w:p w14:paraId="7920580B" w14:textId="10424794" w:rsidR="00412731" w:rsidRPr="009E3DCF" w:rsidRDefault="00BF3090" w:rsidP="003B1AA6">
      <w:pPr>
        <w:pStyle w:val="CETReferencetext"/>
      </w:pPr>
      <w:r w:rsidRPr="009E3DCF">
        <w:t>Safari F., Dincer I.,</w:t>
      </w:r>
      <w:r w:rsidR="009A6EB2" w:rsidRPr="009E3DCF">
        <w:t xml:space="preserve"> </w:t>
      </w:r>
      <w:r w:rsidRPr="009E3DCF">
        <w:t>2020, A review and comparative evaluation of thermochemical water splitting cycles for hydrogen production</w:t>
      </w:r>
      <w:r w:rsidR="00757A03" w:rsidRPr="009E3DCF">
        <w:t xml:space="preserve">, </w:t>
      </w:r>
      <w:r w:rsidRPr="009E3DCF">
        <w:t>Energy Conversion and Management,</w:t>
      </w:r>
      <w:r w:rsidR="00757A03" w:rsidRPr="009E3DCF">
        <w:t xml:space="preserve"> </w:t>
      </w:r>
      <w:r w:rsidRPr="009E3DCF">
        <w:t>205, 112182</w:t>
      </w:r>
      <w:r w:rsidR="0032138F" w:rsidRPr="009E3DCF">
        <w:t>.</w:t>
      </w:r>
    </w:p>
    <w:sectPr w:rsidR="00412731" w:rsidRPr="009E3DC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6A1E4" w14:textId="77777777" w:rsidR="00D04985" w:rsidRDefault="00D04985" w:rsidP="004F5E36">
      <w:r>
        <w:separator/>
      </w:r>
    </w:p>
  </w:endnote>
  <w:endnote w:type="continuationSeparator" w:id="0">
    <w:p w14:paraId="0B1E0C86" w14:textId="77777777" w:rsidR="00D04985" w:rsidRDefault="00D04985" w:rsidP="004F5E36">
      <w:r>
        <w:continuationSeparator/>
      </w:r>
    </w:p>
  </w:endnote>
  <w:endnote w:type="continuationNotice" w:id="1">
    <w:p w14:paraId="341E61AD" w14:textId="77777777" w:rsidR="00D04985" w:rsidRDefault="00D049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9B285" w14:textId="77777777" w:rsidR="00D04985" w:rsidRDefault="00D04985" w:rsidP="004F5E36">
      <w:r>
        <w:separator/>
      </w:r>
    </w:p>
  </w:footnote>
  <w:footnote w:type="continuationSeparator" w:id="0">
    <w:p w14:paraId="7A0166CD" w14:textId="77777777" w:rsidR="00D04985" w:rsidRDefault="00D04985" w:rsidP="004F5E36">
      <w:r>
        <w:continuationSeparator/>
      </w:r>
    </w:p>
  </w:footnote>
  <w:footnote w:type="continuationNotice" w:id="1">
    <w:p w14:paraId="6407B4DF" w14:textId="77777777" w:rsidR="00D04985" w:rsidRDefault="00D0498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493838">
    <w:abstractNumId w:val="11"/>
  </w:num>
  <w:num w:numId="2" w16cid:durableId="899749286">
    <w:abstractNumId w:val="8"/>
  </w:num>
  <w:num w:numId="3" w16cid:durableId="525876644">
    <w:abstractNumId w:val="3"/>
  </w:num>
  <w:num w:numId="4" w16cid:durableId="1074668567">
    <w:abstractNumId w:val="2"/>
  </w:num>
  <w:num w:numId="5" w16cid:durableId="1275013363">
    <w:abstractNumId w:val="1"/>
  </w:num>
  <w:num w:numId="6" w16cid:durableId="1614288293">
    <w:abstractNumId w:val="0"/>
  </w:num>
  <w:num w:numId="7" w16cid:durableId="1451246769">
    <w:abstractNumId w:val="9"/>
  </w:num>
  <w:num w:numId="8" w16cid:durableId="986544702">
    <w:abstractNumId w:val="7"/>
  </w:num>
  <w:num w:numId="9" w16cid:durableId="860167709">
    <w:abstractNumId w:val="6"/>
  </w:num>
  <w:num w:numId="10" w16cid:durableId="1489635186">
    <w:abstractNumId w:val="5"/>
  </w:num>
  <w:num w:numId="11" w16cid:durableId="1598445182">
    <w:abstractNumId w:val="4"/>
  </w:num>
  <w:num w:numId="12" w16cid:durableId="696124258">
    <w:abstractNumId w:val="18"/>
  </w:num>
  <w:num w:numId="13" w16cid:durableId="549997450">
    <w:abstractNumId w:val="13"/>
  </w:num>
  <w:num w:numId="14" w16cid:durableId="814220941">
    <w:abstractNumId w:val="19"/>
  </w:num>
  <w:num w:numId="15" w16cid:durableId="226693215">
    <w:abstractNumId w:val="21"/>
  </w:num>
  <w:num w:numId="16" w16cid:durableId="351803620">
    <w:abstractNumId w:val="20"/>
  </w:num>
  <w:num w:numId="17" w16cid:durableId="1669822591">
    <w:abstractNumId w:val="12"/>
  </w:num>
  <w:num w:numId="18" w16cid:durableId="1432972822">
    <w:abstractNumId w:val="13"/>
    <w:lvlOverride w:ilvl="0">
      <w:startOverride w:val="1"/>
    </w:lvlOverride>
  </w:num>
  <w:num w:numId="19" w16cid:durableId="1366714947">
    <w:abstractNumId w:val="17"/>
  </w:num>
  <w:num w:numId="20" w16cid:durableId="1896164922">
    <w:abstractNumId w:val="16"/>
  </w:num>
  <w:num w:numId="21" w16cid:durableId="2077048572">
    <w:abstractNumId w:val="15"/>
  </w:num>
  <w:num w:numId="22" w16cid:durableId="114717512">
    <w:abstractNumId w:val="14"/>
  </w:num>
  <w:num w:numId="23" w16cid:durableId="878935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9"/>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tKgFAGLlPFQtAAAA"/>
  </w:docVars>
  <w:rsids>
    <w:rsidRoot w:val="000E414A"/>
    <w:rsid w:val="000027C0"/>
    <w:rsid w:val="00003319"/>
    <w:rsid w:val="00003362"/>
    <w:rsid w:val="00004761"/>
    <w:rsid w:val="000052FB"/>
    <w:rsid w:val="00005A19"/>
    <w:rsid w:val="00011532"/>
    <w:rsid w:val="000117CB"/>
    <w:rsid w:val="00012918"/>
    <w:rsid w:val="00015FC6"/>
    <w:rsid w:val="00016AD0"/>
    <w:rsid w:val="00020340"/>
    <w:rsid w:val="00023800"/>
    <w:rsid w:val="00024DF4"/>
    <w:rsid w:val="00026262"/>
    <w:rsid w:val="00026387"/>
    <w:rsid w:val="0003148D"/>
    <w:rsid w:val="00031EEC"/>
    <w:rsid w:val="0003386D"/>
    <w:rsid w:val="00033D09"/>
    <w:rsid w:val="00034331"/>
    <w:rsid w:val="00034FD2"/>
    <w:rsid w:val="00037422"/>
    <w:rsid w:val="000411A6"/>
    <w:rsid w:val="00046E82"/>
    <w:rsid w:val="00051566"/>
    <w:rsid w:val="000516E4"/>
    <w:rsid w:val="00051F3C"/>
    <w:rsid w:val="00053B52"/>
    <w:rsid w:val="000562A9"/>
    <w:rsid w:val="00057C1F"/>
    <w:rsid w:val="000610B6"/>
    <w:rsid w:val="00062A9A"/>
    <w:rsid w:val="00064742"/>
    <w:rsid w:val="00065058"/>
    <w:rsid w:val="000651D5"/>
    <w:rsid w:val="00070DAD"/>
    <w:rsid w:val="000733F4"/>
    <w:rsid w:val="000743C6"/>
    <w:rsid w:val="00086C39"/>
    <w:rsid w:val="00092C90"/>
    <w:rsid w:val="000938E2"/>
    <w:rsid w:val="00094870"/>
    <w:rsid w:val="000A03B2"/>
    <w:rsid w:val="000A40DF"/>
    <w:rsid w:val="000A6DFE"/>
    <w:rsid w:val="000C00B1"/>
    <w:rsid w:val="000C19A8"/>
    <w:rsid w:val="000C2398"/>
    <w:rsid w:val="000C3B22"/>
    <w:rsid w:val="000C49E4"/>
    <w:rsid w:val="000C5B55"/>
    <w:rsid w:val="000C7736"/>
    <w:rsid w:val="000D0268"/>
    <w:rsid w:val="000D04E0"/>
    <w:rsid w:val="000D15DA"/>
    <w:rsid w:val="000D34BE"/>
    <w:rsid w:val="000D420A"/>
    <w:rsid w:val="000D45F2"/>
    <w:rsid w:val="000E0B3C"/>
    <w:rsid w:val="000E102F"/>
    <w:rsid w:val="000E18AE"/>
    <w:rsid w:val="000E323F"/>
    <w:rsid w:val="000E36F1"/>
    <w:rsid w:val="000E3A73"/>
    <w:rsid w:val="000E414A"/>
    <w:rsid w:val="000E75FD"/>
    <w:rsid w:val="000F015D"/>
    <w:rsid w:val="000F093C"/>
    <w:rsid w:val="000F307A"/>
    <w:rsid w:val="000F58FE"/>
    <w:rsid w:val="000F62A8"/>
    <w:rsid w:val="000F787B"/>
    <w:rsid w:val="0010474D"/>
    <w:rsid w:val="00110AF7"/>
    <w:rsid w:val="00110C4D"/>
    <w:rsid w:val="0011169A"/>
    <w:rsid w:val="00116879"/>
    <w:rsid w:val="0012091F"/>
    <w:rsid w:val="001215C7"/>
    <w:rsid w:val="001225DA"/>
    <w:rsid w:val="00124A3F"/>
    <w:rsid w:val="00125154"/>
    <w:rsid w:val="00126B68"/>
    <w:rsid w:val="00126BC2"/>
    <w:rsid w:val="001308B6"/>
    <w:rsid w:val="0013121F"/>
    <w:rsid w:val="00131FE6"/>
    <w:rsid w:val="0013263F"/>
    <w:rsid w:val="00132B17"/>
    <w:rsid w:val="00132B99"/>
    <w:rsid w:val="00132CBD"/>
    <w:rsid w:val="001331DF"/>
    <w:rsid w:val="001341FC"/>
    <w:rsid w:val="00134DE4"/>
    <w:rsid w:val="00135E79"/>
    <w:rsid w:val="001363EE"/>
    <w:rsid w:val="0013732B"/>
    <w:rsid w:val="0014034D"/>
    <w:rsid w:val="00140FE3"/>
    <w:rsid w:val="00143B8A"/>
    <w:rsid w:val="00143CAD"/>
    <w:rsid w:val="00143EF6"/>
    <w:rsid w:val="00144D16"/>
    <w:rsid w:val="00150E59"/>
    <w:rsid w:val="00152DE3"/>
    <w:rsid w:val="001545A3"/>
    <w:rsid w:val="001620BD"/>
    <w:rsid w:val="001623E9"/>
    <w:rsid w:val="0016285B"/>
    <w:rsid w:val="00162B64"/>
    <w:rsid w:val="00163AD9"/>
    <w:rsid w:val="00163B79"/>
    <w:rsid w:val="00164CF9"/>
    <w:rsid w:val="001667A6"/>
    <w:rsid w:val="00167011"/>
    <w:rsid w:val="001671D6"/>
    <w:rsid w:val="00171849"/>
    <w:rsid w:val="00172E55"/>
    <w:rsid w:val="0017569C"/>
    <w:rsid w:val="00180E49"/>
    <w:rsid w:val="0018171E"/>
    <w:rsid w:val="00183299"/>
    <w:rsid w:val="00184AD6"/>
    <w:rsid w:val="00185E86"/>
    <w:rsid w:val="00187F42"/>
    <w:rsid w:val="001A1B21"/>
    <w:rsid w:val="001A1BA1"/>
    <w:rsid w:val="001A27F3"/>
    <w:rsid w:val="001A4AE6"/>
    <w:rsid w:val="001A4AF7"/>
    <w:rsid w:val="001A5AC2"/>
    <w:rsid w:val="001A60E8"/>
    <w:rsid w:val="001A6C99"/>
    <w:rsid w:val="001A74C0"/>
    <w:rsid w:val="001B0349"/>
    <w:rsid w:val="001B1E93"/>
    <w:rsid w:val="001B3713"/>
    <w:rsid w:val="001B65C1"/>
    <w:rsid w:val="001C1EF6"/>
    <w:rsid w:val="001C260F"/>
    <w:rsid w:val="001C3785"/>
    <w:rsid w:val="001C5C3A"/>
    <w:rsid w:val="001C684B"/>
    <w:rsid w:val="001D0CFB"/>
    <w:rsid w:val="001D21AF"/>
    <w:rsid w:val="001D3442"/>
    <w:rsid w:val="001D4B73"/>
    <w:rsid w:val="001D53FC"/>
    <w:rsid w:val="001D713F"/>
    <w:rsid w:val="001D7784"/>
    <w:rsid w:val="001E296D"/>
    <w:rsid w:val="001E31EE"/>
    <w:rsid w:val="001E34CF"/>
    <w:rsid w:val="001E4093"/>
    <w:rsid w:val="001E5DEA"/>
    <w:rsid w:val="001E6327"/>
    <w:rsid w:val="001E6CA2"/>
    <w:rsid w:val="001F0ADD"/>
    <w:rsid w:val="001F2E9D"/>
    <w:rsid w:val="001F3E3D"/>
    <w:rsid w:val="001F42A5"/>
    <w:rsid w:val="001F4C5C"/>
    <w:rsid w:val="001F6191"/>
    <w:rsid w:val="001F76F1"/>
    <w:rsid w:val="001F7B9D"/>
    <w:rsid w:val="00201C93"/>
    <w:rsid w:val="00204DA6"/>
    <w:rsid w:val="002061A4"/>
    <w:rsid w:val="0020701D"/>
    <w:rsid w:val="002106AD"/>
    <w:rsid w:val="00211090"/>
    <w:rsid w:val="0021119C"/>
    <w:rsid w:val="0021202A"/>
    <w:rsid w:val="00213086"/>
    <w:rsid w:val="00213396"/>
    <w:rsid w:val="002224B4"/>
    <w:rsid w:val="0022674E"/>
    <w:rsid w:val="00233658"/>
    <w:rsid w:val="00234AD2"/>
    <w:rsid w:val="00235172"/>
    <w:rsid w:val="002447EF"/>
    <w:rsid w:val="00245BF7"/>
    <w:rsid w:val="00246251"/>
    <w:rsid w:val="002470EC"/>
    <w:rsid w:val="00251550"/>
    <w:rsid w:val="002538A2"/>
    <w:rsid w:val="00254401"/>
    <w:rsid w:val="00256624"/>
    <w:rsid w:val="00256CB8"/>
    <w:rsid w:val="002632F9"/>
    <w:rsid w:val="00263B05"/>
    <w:rsid w:val="0027221A"/>
    <w:rsid w:val="00275B2B"/>
    <w:rsid w:val="00275B61"/>
    <w:rsid w:val="00280FAF"/>
    <w:rsid w:val="00281475"/>
    <w:rsid w:val="00281A18"/>
    <w:rsid w:val="00282656"/>
    <w:rsid w:val="002835F8"/>
    <w:rsid w:val="00284D4A"/>
    <w:rsid w:val="00286B26"/>
    <w:rsid w:val="00294DB7"/>
    <w:rsid w:val="00296B83"/>
    <w:rsid w:val="00297240"/>
    <w:rsid w:val="002A3587"/>
    <w:rsid w:val="002B0678"/>
    <w:rsid w:val="002B1241"/>
    <w:rsid w:val="002B33D7"/>
    <w:rsid w:val="002B4015"/>
    <w:rsid w:val="002B71FC"/>
    <w:rsid w:val="002B73A9"/>
    <w:rsid w:val="002B78CE"/>
    <w:rsid w:val="002B7F2A"/>
    <w:rsid w:val="002C0307"/>
    <w:rsid w:val="002C2FB6"/>
    <w:rsid w:val="002D286F"/>
    <w:rsid w:val="002D3066"/>
    <w:rsid w:val="002D3351"/>
    <w:rsid w:val="002D4B82"/>
    <w:rsid w:val="002D690E"/>
    <w:rsid w:val="002D69A3"/>
    <w:rsid w:val="002E17A7"/>
    <w:rsid w:val="002E5FA7"/>
    <w:rsid w:val="002E60CD"/>
    <w:rsid w:val="002E78B7"/>
    <w:rsid w:val="002F3309"/>
    <w:rsid w:val="002F3949"/>
    <w:rsid w:val="002F5CBD"/>
    <w:rsid w:val="002F69FF"/>
    <w:rsid w:val="002F7297"/>
    <w:rsid w:val="002F7F9C"/>
    <w:rsid w:val="003008CE"/>
    <w:rsid w:val="003009B7"/>
    <w:rsid w:val="00300E56"/>
    <w:rsid w:val="0030152C"/>
    <w:rsid w:val="0030279C"/>
    <w:rsid w:val="0030469C"/>
    <w:rsid w:val="003058B4"/>
    <w:rsid w:val="003110A7"/>
    <w:rsid w:val="003110C4"/>
    <w:rsid w:val="003161BE"/>
    <w:rsid w:val="00320A1D"/>
    <w:rsid w:val="0032138F"/>
    <w:rsid w:val="00321CA6"/>
    <w:rsid w:val="00322F36"/>
    <w:rsid w:val="00323763"/>
    <w:rsid w:val="00323C5F"/>
    <w:rsid w:val="00330867"/>
    <w:rsid w:val="003308DF"/>
    <w:rsid w:val="00330DA0"/>
    <w:rsid w:val="0033131D"/>
    <w:rsid w:val="00332651"/>
    <w:rsid w:val="00333A6E"/>
    <w:rsid w:val="003346C5"/>
    <w:rsid w:val="00334A5B"/>
    <w:rsid w:val="00334C09"/>
    <w:rsid w:val="00341D4F"/>
    <w:rsid w:val="00345BC8"/>
    <w:rsid w:val="00351971"/>
    <w:rsid w:val="003543DD"/>
    <w:rsid w:val="00354A19"/>
    <w:rsid w:val="00354C72"/>
    <w:rsid w:val="0035560A"/>
    <w:rsid w:val="00356546"/>
    <w:rsid w:val="003608DD"/>
    <w:rsid w:val="00361026"/>
    <w:rsid w:val="00363582"/>
    <w:rsid w:val="00371296"/>
    <w:rsid w:val="003723D4"/>
    <w:rsid w:val="003730BF"/>
    <w:rsid w:val="0037311A"/>
    <w:rsid w:val="0037595E"/>
    <w:rsid w:val="00376390"/>
    <w:rsid w:val="0037699E"/>
    <w:rsid w:val="00381905"/>
    <w:rsid w:val="00382073"/>
    <w:rsid w:val="003830E6"/>
    <w:rsid w:val="00384CC8"/>
    <w:rsid w:val="003866A0"/>
    <w:rsid w:val="003871FD"/>
    <w:rsid w:val="00387789"/>
    <w:rsid w:val="0038778C"/>
    <w:rsid w:val="003904D3"/>
    <w:rsid w:val="0039648A"/>
    <w:rsid w:val="00396F1F"/>
    <w:rsid w:val="003A0C44"/>
    <w:rsid w:val="003A1E30"/>
    <w:rsid w:val="003A2829"/>
    <w:rsid w:val="003A3AB7"/>
    <w:rsid w:val="003A3B84"/>
    <w:rsid w:val="003A717C"/>
    <w:rsid w:val="003A78EF"/>
    <w:rsid w:val="003A7D1C"/>
    <w:rsid w:val="003A7FED"/>
    <w:rsid w:val="003B0738"/>
    <w:rsid w:val="003B1AA6"/>
    <w:rsid w:val="003B2E2A"/>
    <w:rsid w:val="003B2FD0"/>
    <w:rsid w:val="003B304B"/>
    <w:rsid w:val="003B3146"/>
    <w:rsid w:val="003B406B"/>
    <w:rsid w:val="003B49CD"/>
    <w:rsid w:val="003B5752"/>
    <w:rsid w:val="003B57B2"/>
    <w:rsid w:val="003C632F"/>
    <w:rsid w:val="003C69ED"/>
    <w:rsid w:val="003D0290"/>
    <w:rsid w:val="003D13A5"/>
    <w:rsid w:val="003D1C40"/>
    <w:rsid w:val="003D1E02"/>
    <w:rsid w:val="003D49E0"/>
    <w:rsid w:val="003D4C54"/>
    <w:rsid w:val="003D570A"/>
    <w:rsid w:val="003D64C2"/>
    <w:rsid w:val="003E1929"/>
    <w:rsid w:val="003E2961"/>
    <w:rsid w:val="003E4746"/>
    <w:rsid w:val="003E6E1F"/>
    <w:rsid w:val="003F015E"/>
    <w:rsid w:val="003F071A"/>
    <w:rsid w:val="003F2FFF"/>
    <w:rsid w:val="003F7A52"/>
    <w:rsid w:val="00400414"/>
    <w:rsid w:val="0040312E"/>
    <w:rsid w:val="00405A69"/>
    <w:rsid w:val="00412731"/>
    <w:rsid w:val="00412DE0"/>
    <w:rsid w:val="0041446B"/>
    <w:rsid w:val="00414C79"/>
    <w:rsid w:val="00414E81"/>
    <w:rsid w:val="004163DC"/>
    <w:rsid w:val="00417AAC"/>
    <w:rsid w:val="00423038"/>
    <w:rsid w:val="004275B4"/>
    <w:rsid w:val="004302AA"/>
    <w:rsid w:val="0043630E"/>
    <w:rsid w:val="00437FC0"/>
    <w:rsid w:val="0044002C"/>
    <w:rsid w:val="0044071E"/>
    <w:rsid w:val="00442728"/>
    <w:rsid w:val="0044329C"/>
    <w:rsid w:val="00446474"/>
    <w:rsid w:val="00446C19"/>
    <w:rsid w:val="004471FB"/>
    <w:rsid w:val="0044739C"/>
    <w:rsid w:val="00447DA1"/>
    <w:rsid w:val="00453E24"/>
    <w:rsid w:val="00457456"/>
    <w:rsid w:val="004577FE"/>
    <w:rsid w:val="00457B9C"/>
    <w:rsid w:val="004601DF"/>
    <w:rsid w:val="0046164A"/>
    <w:rsid w:val="004628D2"/>
    <w:rsid w:val="00462B3B"/>
    <w:rsid w:val="00462DCD"/>
    <w:rsid w:val="004648AD"/>
    <w:rsid w:val="00466379"/>
    <w:rsid w:val="004703A9"/>
    <w:rsid w:val="00472185"/>
    <w:rsid w:val="004757E2"/>
    <w:rsid w:val="004760DE"/>
    <w:rsid w:val="004763D7"/>
    <w:rsid w:val="00477187"/>
    <w:rsid w:val="0048255C"/>
    <w:rsid w:val="00484AE4"/>
    <w:rsid w:val="00485554"/>
    <w:rsid w:val="00491F96"/>
    <w:rsid w:val="00492C37"/>
    <w:rsid w:val="00493505"/>
    <w:rsid w:val="00494CD0"/>
    <w:rsid w:val="0049596E"/>
    <w:rsid w:val="004A004E"/>
    <w:rsid w:val="004A0298"/>
    <w:rsid w:val="004A142A"/>
    <w:rsid w:val="004A24CF"/>
    <w:rsid w:val="004A3CDC"/>
    <w:rsid w:val="004B0B70"/>
    <w:rsid w:val="004B1E44"/>
    <w:rsid w:val="004B4636"/>
    <w:rsid w:val="004B4EAF"/>
    <w:rsid w:val="004B6522"/>
    <w:rsid w:val="004B65C9"/>
    <w:rsid w:val="004B68E3"/>
    <w:rsid w:val="004B74CA"/>
    <w:rsid w:val="004C2954"/>
    <w:rsid w:val="004C2B9A"/>
    <w:rsid w:val="004C3138"/>
    <w:rsid w:val="004C3D1D"/>
    <w:rsid w:val="004C3D84"/>
    <w:rsid w:val="004C736F"/>
    <w:rsid w:val="004C7913"/>
    <w:rsid w:val="004D2CF2"/>
    <w:rsid w:val="004D3C45"/>
    <w:rsid w:val="004D514D"/>
    <w:rsid w:val="004E0417"/>
    <w:rsid w:val="004E0782"/>
    <w:rsid w:val="004E270D"/>
    <w:rsid w:val="004E2B84"/>
    <w:rsid w:val="004E4D62"/>
    <w:rsid w:val="004E4DD6"/>
    <w:rsid w:val="004E4EBB"/>
    <w:rsid w:val="004E7CFA"/>
    <w:rsid w:val="004F31FA"/>
    <w:rsid w:val="004F4ED0"/>
    <w:rsid w:val="004F5E36"/>
    <w:rsid w:val="004F6E9A"/>
    <w:rsid w:val="004F7D47"/>
    <w:rsid w:val="005061AB"/>
    <w:rsid w:val="005072FA"/>
    <w:rsid w:val="00507B47"/>
    <w:rsid w:val="00507BEF"/>
    <w:rsid w:val="00507CC9"/>
    <w:rsid w:val="005119A5"/>
    <w:rsid w:val="00514997"/>
    <w:rsid w:val="00521A67"/>
    <w:rsid w:val="005236DB"/>
    <w:rsid w:val="00525464"/>
    <w:rsid w:val="0052584A"/>
    <w:rsid w:val="00526100"/>
    <w:rsid w:val="00526E58"/>
    <w:rsid w:val="005278B7"/>
    <w:rsid w:val="005308E9"/>
    <w:rsid w:val="00532016"/>
    <w:rsid w:val="005346C8"/>
    <w:rsid w:val="00537932"/>
    <w:rsid w:val="005402F1"/>
    <w:rsid w:val="00541833"/>
    <w:rsid w:val="00542022"/>
    <w:rsid w:val="00542B58"/>
    <w:rsid w:val="00543E7D"/>
    <w:rsid w:val="00544E20"/>
    <w:rsid w:val="005453F4"/>
    <w:rsid w:val="005458C5"/>
    <w:rsid w:val="005463A7"/>
    <w:rsid w:val="00546CF9"/>
    <w:rsid w:val="00547A68"/>
    <w:rsid w:val="00552507"/>
    <w:rsid w:val="005531C9"/>
    <w:rsid w:val="0055406C"/>
    <w:rsid w:val="00554879"/>
    <w:rsid w:val="00556F3C"/>
    <w:rsid w:val="00557E42"/>
    <w:rsid w:val="00564D16"/>
    <w:rsid w:val="00570C43"/>
    <w:rsid w:val="005729AA"/>
    <w:rsid w:val="00574DA4"/>
    <w:rsid w:val="0057559B"/>
    <w:rsid w:val="005770DF"/>
    <w:rsid w:val="005849C0"/>
    <w:rsid w:val="00585D9E"/>
    <w:rsid w:val="00590EE5"/>
    <w:rsid w:val="00590F47"/>
    <w:rsid w:val="00592274"/>
    <w:rsid w:val="005948DA"/>
    <w:rsid w:val="005A38ED"/>
    <w:rsid w:val="005A6EC7"/>
    <w:rsid w:val="005B0690"/>
    <w:rsid w:val="005B18A9"/>
    <w:rsid w:val="005B2110"/>
    <w:rsid w:val="005B28FA"/>
    <w:rsid w:val="005B350B"/>
    <w:rsid w:val="005B450E"/>
    <w:rsid w:val="005B55F3"/>
    <w:rsid w:val="005B57AB"/>
    <w:rsid w:val="005B5A79"/>
    <w:rsid w:val="005B61E6"/>
    <w:rsid w:val="005C180D"/>
    <w:rsid w:val="005C3A83"/>
    <w:rsid w:val="005C4C8F"/>
    <w:rsid w:val="005C55EE"/>
    <w:rsid w:val="005C6B8B"/>
    <w:rsid w:val="005C715C"/>
    <w:rsid w:val="005C73E7"/>
    <w:rsid w:val="005C77E1"/>
    <w:rsid w:val="005D0A07"/>
    <w:rsid w:val="005D409D"/>
    <w:rsid w:val="005D4FB0"/>
    <w:rsid w:val="005D60F0"/>
    <w:rsid w:val="005D668A"/>
    <w:rsid w:val="005D6A2F"/>
    <w:rsid w:val="005E021C"/>
    <w:rsid w:val="005E0592"/>
    <w:rsid w:val="005E1A82"/>
    <w:rsid w:val="005E794C"/>
    <w:rsid w:val="005F0A28"/>
    <w:rsid w:val="005F0E5E"/>
    <w:rsid w:val="005F1BE4"/>
    <w:rsid w:val="005F3EC2"/>
    <w:rsid w:val="005F404E"/>
    <w:rsid w:val="005F41C6"/>
    <w:rsid w:val="005F5165"/>
    <w:rsid w:val="005F56D0"/>
    <w:rsid w:val="005F7F27"/>
    <w:rsid w:val="006000DC"/>
    <w:rsid w:val="00600535"/>
    <w:rsid w:val="00600AFB"/>
    <w:rsid w:val="00601B89"/>
    <w:rsid w:val="00603392"/>
    <w:rsid w:val="00603B27"/>
    <w:rsid w:val="006075AD"/>
    <w:rsid w:val="006078FF"/>
    <w:rsid w:val="00607F28"/>
    <w:rsid w:val="00610CD6"/>
    <w:rsid w:val="0061245D"/>
    <w:rsid w:val="00613B61"/>
    <w:rsid w:val="006155BA"/>
    <w:rsid w:val="00620A38"/>
    <w:rsid w:val="00620DEE"/>
    <w:rsid w:val="00621F92"/>
    <w:rsid w:val="0062280A"/>
    <w:rsid w:val="006231E1"/>
    <w:rsid w:val="00625639"/>
    <w:rsid w:val="00627B32"/>
    <w:rsid w:val="00630476"/>
    <w:rsid w:val="00630DC9"/>
    <w:rsid w:val="00631B33"/>
    <w:rsid w:val="00631C41"/>
    <w:rsid w:val="00633F34"/>
    <w:rsid w:val="00634963"/>
    <w:rsid w:val="00635F5F"/>
    <w:rsid w:val="006361AD"/>
    <w:rsid w:val="006367EE"/>
    <w:rsid w:val="00636A0E"/>
    <w:rsid w:val="0063764E"/>
    <w:rsid w:val="006401CD"/>
    <w:rsid w:val="006407E9"/>
    <w:rsid w:val="0064184D"/>
    <w:rsid w:val="006422CC"/>
    <w:rsid w:val="0064268A"/>
    <w:rsid w:val="00642CD1"/>
    <w:rsid w:val="00646CA9"/>
    <w:rsid w:val="006471EF"/>
    <w:rsid w:val="00647AD8"/>
    <w:rsid w:val="00650F44"/>
    <w:rsid w:val="00651D18"/>
    <w:rsid w:val="00654031"/>
    <w:rsid w:val="00660599"/>
    <w:rsid w:val="00660E3E"/>
    <w:rsid w:val="00662E74"/>
    <w:rsid w:val="00667089"/>
    <w:rsid w:val="00673328"/>
    <w:rsid w:val="00673E66"/>
    <w:rsid w:val="0067534C"/>
    <w:rsid w:val="00680C23"/>
    <w:rsid w:val="00680CF0"/>
    <w:rsid w:val="006812A6"/>
    <w:rsid w:val="00681452"/>
    <w:rsid w:val="006831BD"/>
    <w:rsid w:val="00683E23"/>
    <w:rsid w:val="00684B65"/>
    <w:rsid w:val="0068575C"/>
    <w:rsid w:val="00693766"/>
    <w:rsid w:val="00694E86"/>
    <w:rsid w:val="006958EA"/>
    <w:rsid w:val="00696FD3"/>
    <w:rsid w:val="006A3281"/>
    <w:rsid w:val="006A3A8D"/>
    <w:rsid w:val="006A5AEA"/>
    <w:rsid w:val="006A6DE5"/>
    <w:rsid w:val="006B1549"/>
    <w:rsid w:val="006B3A5C"/>
    <w:rsid w:val="006B4888"/>
    <w:rsid w:val="006B5018"/>
    <w:rsid w:val="006B6410"/>
    <w:rsid w:val="006C2963"/>
    <w:rsid w:val="006C2BBE"/>
    <w:rsid w:val="006C2E45"/>
    <w:rsid w:val="006C359C"/>
    <w:rsid w:val="006C40C1"/>
    <w:rsid w:val="006C5579"/>
    <w:rsid w:val="006D0AD4"/>
    <w:rsid w:val="006D3830"/>
    <w:rsid w:val="006D41C8"/>
    <w:rsid w:val="006D60BD"/>
    <w:rsid w:val="006D6E8B"/>
    <w:rsid w:val="006D7209"/>
    <w:rsid w:val="006D7B51"/>
    <w:rsid w:val="006E1045"/>
    <w:rsid w:val="006E1B89"/>
    <w:rsid w:val="006E557A"/>
    <w:rsid w:val="006E5CE7"/>
    <w:rsid w:val="006E737D"/>
    <w:rsid w:val="006F2F9C"/>
    <w:rsid w:val="006F40AC"/>
    <w:rsid w:val="006F5780"/>
    <w:rsid w:val="00702AF5"/>
    <w:rsid w:val="00704193"/>
    <w:rsid w:val="00707CE8"/>
    <w:rsid w:val="00707DD1"/>
    <w:rsid w:val="007108A9"/>
    <w:rsid w:val="00713973"/>
    <w:rsid w:val="00715859"/>
    <w:rsid w:val="00720A24"/>
    <w:rsid w:val="0072535E"/>
    <w:rsid w:val="00732386"/>
    <w:rsid w:val="00734F1B"/>
    <w:rsid w:val="0073514D"/>
    <w:rsid w:val="00736370"/>
    <w:rsid w:val="007420CC"/>
    <w:rsid w:val="007447F3"/>
    <w:rsid w:val="00744FFA"/>
    <w:rsid w:val="00751B78"/>
    <w:rsid w:val="0075499F"/>
    <w:rsid w:val="00757A03"/>
    <w:rsid w:val="00757C0E"/>
    <w:rsid w:val="007609EC"/>
    <w:rsid w:val="00763045"/>
    <w:rsid w:val="007639F5"/>
    <w:rsid w:val="00763DBE"/>
    <w:rsid w:val="00763EE1"/>
    <w:rsid w:val="007653D6"/>
    <w:rsid w:val="007661C8"/>
    <w:rsid w:val="0077098D"/>
    <w:rsid w:val="00770D9A"/>
    <w:rsid w:val="0077125E"/>
    <w:rsid w:val="0077254C"/>
    <w:rsid w:val="00773488"/>
    <w:rsid w:val="007800F2"/>
    <w:rsid w:val="00782418"/>
    <w:rsid w:val="00785BF9"/>
    <w:rsid w:val="007931FA"/>
    <w:rsid w:val="007940B5"/>
    <w:rsid w:val="00797475"/>
    <w:rsid w:val="007A4861"/>
    <w:rsid w:val="007A60B2"/>
    <w:rsid w:val="007A7BBA"/>
    <w:rsid w:val="007B0C50"/>
    <w:rsid w:val="007B48F9"/>
    <w:rsid w:val="007B5628"/>
    <w:rsid w:val="007C1A43"/>
    <w:rsid w:val="007C1AF3"/>
    <w:rsid w:val="007C2082"/>
    <w:rsid w:val="007D0951"/>
    <w:rsid w:val="007D12FB"/>
    <w:rsid w:val="007D1BD4"/>
    <w:rsid w:val="007D4606"/>
    <w:rsid w:val="007D4A78"/>
    <w:rsid w:val="007D5DB9"/>
    <w:rsid w:val="007D610D"/>
    <w:rsid w:val="007D73C7"/>
    <w:rsid w:val="007E0E7B"/>
    <w:rsid w:val="007E66B8"/>
    <w:rsid w:val="007F1EB8"/>
    <w:rsid w:val="007F391C"/>
    <w:rsid w:val="007F58EE"/>
    <w:rsid w:val="007F66D7"/>
    <w:rsid w:val="007F68EF"/>
    <w:rsid w:val="007F7918"/>
    <w:rsid w:val="0080013E"/>
    <w:rsid w:val="00801759"/>
    <w:rsid w:val="00802BAB"/>
    <w:rsid w:val="0080307B"/>
    <w:rsid w:val="008071E6"/>
    <w:rsid w:val="008117ED"/>
    <w:rsid w:val="00813288"/>
    <w:rsid w:val="008168FC"/>
    <w:rsid w:val="00816CFE"/>
    <w:rsid w:val="0082143B"/>
    <w:rsid w:val="00822683"/>
    <w:rsid w:val="008253A6"/>
    <w:rsid w:val="008259BD"/>
    <w:rsid w:val="008301A5"/>
    <w:rsid w:val="00830996"/>
    <w:rsid w:val="00832576"/>
    <w:rsid w:val="008345F1"/>
    <w:rsid w:val="00837773"/>
    <w:rsid w:val="008405C0"/>
    <w:rsid w:val="008420B9"/>
    <w:rsid w:val="00844186"/>
    <w:rsid w:val="008442AE"/>
    <w:rsid w:val="008453A3"/>
    <w:rsid w:val="008465CF"/>
    <w:rsid w:val="008526F2"/>
    <w:rsid w:val="0085316C"/>
    <w:rsid w:val="00853394"/>
    <w:rsid w:val="00864DDC"/>
    <w:rsid w:val="00865B07"/>
    <w:rsid w:val="008667EA"/>
    <w:rsid w:val="00867F50"/>
    <w:rsid w:val="008701C6"/>
    <w:rsid w:val="008706AA"/>
    <w:rsid w:val="0087083E"/>
    <w:rsid w:val="00871BDD"/>
    <w:rsid w:val="008731F7"/>
    <w:rsid w:val="00875076"/>
    <w:rsid w:val="008752BE"/>
    <w:rsid w:val="0087637F"/>
    <w:rsid w:val="008829E2"/>
    <w:rsid w:val="008832AA"/>
    <w:rsid w:val="00886300"/>
    <w:rsid w:val="00887B43"/>
    <w:rsid w:val="00890A94"/>
    <w:rsid w:val="00892AD5"/>
    <w:rsid w:val="00895E49"/>
    <w:rsid w:val="008A1495"/>
    <w:rsid w:val="008A1512"/>
    <w:rsid w:val="008A4EF0"/>
    <w:rsid w:val="008A5857"/>
    <w:rsid w:val="008A685D"/>
    <w:rsid w:val="008B1A98"/>
    <w:rsid w:val="008B367D"/>
    <w:rsid w:val="008B3954"/>
    <w:rsid w:val="008B46F0"/>
    <w:rsid w:val="008B4F2E"/>
    <w:rsid w:val="008C1042"/>
    <w:rsid w:val="008C724A"/>
    <w:rsid w:val="008D089D"/>
    <w:rsid w:val="008D1194"/>
    <w:rsid w:val="008D19BA"/>
    <w:rsid w:val="008D32B9"/>
    <w:rsid w:val="008D433B"/>
    <w:rsid w:val="008D4A16"/>
    <w:rsid w:val="008D4F03"/>
    <w:rsid w:val="008D5A9C"/>
    <w:rsid w:val="008D73EF"/>
    <w:rsid w:val="008E3EE8"/>
    <w:rsid w:val="008E4034"/>
    <w:rsid w:val="008E5401"/>
    <w:rsid w:val="008E5648"/>
    <w:rsid w:val="008E566E"/>
    <w:rsid w:val="008E6F1D"/>
    <w:rsid w:val="008E77C0"/>
    <w:rsid w:val="008F0886"/>
    <w:rsid w:val="008F1EC5"/>
    <w:rsid w:val="008F23C6"/>
    <w:rsid w:val="008F35E9"/>
    <w:rsid w:val="008F38C0"/>
    <w:rsid w:val="008F39C1"/>
    <w:rsid w:val="008F7B86"/>
    <w:rsid w:val="00901346"/>
    <w:rsid w:val="0090161A"/>
    <w:rsid w:val="00901EB6"/>
    <w:rsid w:val="00902EF7"/>
    <w:rsid w:val="009041F8"/>
    <w:rsid w:val="009043BB"/>
    <w:rsid w:val="00904C62"/>
    <w:rsid w:val="0090511A"/>
    <w:rsid w:val="00905175"/>
    <w:rsid w:val="009145E7"/>
    <w:rsid w:val="00916065"/>
    <w:rsid w:val="00922BA8"/>
    <w:rsid w:val="009235FE"/>
    <w:rsid w:val="00924DAC"/>
    <w:rsid w:val="00925758"/>
    <w:rsid w:val="00925854"/>
    <w:rsid w:val="00926C78"/>
    <w:rsid w:val="00927058"/>
    <w:rsid w:val="00927FA6"/>
    <w:rsid w:val="00930B80"/>
    <w:rsid w:val="009328FB"/>
    <w:rsid w:val="00933DC0"/>
    <w:rsid w:val="00937BD4"/>
    <w:rsid w:val="009421CE"/>
    <w:rsid w:val="00942750"/>
    <w:rsid w:val="009450CE"/>
    <w:rsid w:val="009459BB"/>
    <w:rsid w:val="00946482"/>
    <w:rsid w:val="00947179"/>
    <w:rsid w:val="00947D37"/>
    <w:rsid w:val="0095164B"/>
    <w:rsid w:val="00954090"/>
    <w:rsid w:val="00954652"/>
    <w:rsid w:val="009573E7"/>
    <w:rsid w:val="00963E05"/>
    <w:rsid w:val="00963E19"/>
    <w:rsid w:val="00964A45"/>
    <w:rsid w:val="009655EF"/>
    <w:rsid w:val="00965F9D"/>
    <w:rsid w:val="00966D43"/>
    <w:rsid w:val="00967843"/>
    <w:rsid w:val="00967D54"/>
    <w:rsid w:val="00967E1F"/>
    <w:rsid w:val="009707BB"/>
    <w:rsid w:val="00971028"/>
    <w:rsid w:val="00974FED"/>
    <w:rsid w:val="0097544D"/>
    <w:rsid w:val="00975DEE"/>
    <w:rsid w:val="00980553"/>
    <w:rsid w:val="00981C0E"/>
    <w:rsid w:val="00984CFE"/>
    <w:rsid w:val="00985D61"/>
    <w:rsid w:val="009862EF"/>
    <w:rsid w:val="00990BB6"/>
    <w:rsid w:val="00992100"/>
    <w:rsid w:val="00993B84"/>
    <w:rsid w:val="00994C6A"/>
    <w:rsid w:val="0099582D"/>
    <w:rsid w:val="00996483"/>
    <w:rsid w:val="00996F5A"/>
    <w:rsid w:val="009A04DD"/>
    <w:rsid w:val="009A158F"/>
    <w:rsid w:val="009A3CAB"/>
    <w:rsid w:val="009A6EB2"/>
    <w:rsid w:val="009A7B90"/>
    <w:rsid w:val="009B041A"/>
    <w:rsid w:val="009B076E"/>
    <w:rsid w:val="009B4833"/>
    <w:rsid w:val="009B4A6F"/>
    <w:rsid w:val="009B5067"/>
    <w:rsid w:val="009B52AC"/>
    <w:rsid w:val="009B69BF"/>
    <w:rsid w:val="009B6CF0"/>
    <w:rsid w:val="009C37C3"/>
    <w:rsid w:val="009C4698"/>
    <w:rsid w:val="009C4A74"/>
    <w:rsid w:val="009C4B17"/>
    <w:rsid w:val="009C65E7"/>
    <w:rsid w:val="009C7C86"/>
    <w:rsid w:val="009D20BA"/>
    <w:rsid w:val="009D2FF7"/>
    <w:rsid w:val="009D3B77"/>
    <w:rsid w:val="009D3E77"/>
    <w:rsid w:val="009D4379"/>
    <w:rsid w:val="009D457A"/>
    <w:rsid w:val="009D4770"/>
    <w:rsid w:val="009E1B58"/>
    <w:rsid w:val="009E293C"/>
    <w:rsid w:val="009E3DCF"/>
    <w:rsid w:val="009E7884"/>
    <w:rsid w:val="009E788A"/>
    <w:rsid w:val="009E7CA2"/>
    <w:rsid w:val="009F0B27"/>
    <w:rsid w:val="009F0E08"/>
    <w:rsid w:val="009F1D1F"/>
    <w:rsid w:val="009F5543"/>
    <w:rsid w:val="009F627E"/>
    <w:rsid w:val="009F6D02"/>
    <w:rsid w:val="00A002CE"/>
    <w:rsid w:val="00A00A34"/>
    <w:rsid w:val="00A03F90"/>
    <w:rsid w:val="00A04BD1"/>
    <w:rsid w:val="00A079AE"/>
    <w:rsid w:val="00A1068E"/>
    <w:rsid w:val="00A11152"/>
    <w:rsid w:val="00A12C13"/>
    <w:rsid w:val="00A14409"/>
    <w:rsid w:val="00A14A7D"/>
    <w:rsid w:val="00A15DF8"/>
    <w:rsid w:val="00A1763D"/>
    <w:rsid w:val="00A17CEC"/>
    <w:rsid w:val="00A17F49"/>
    <w:rsid w:val="00A23243"/>
    <w:rsid w:val="00A23801"/>
    <w:rsid w:val="00A2530F"/>
    <w:rsid w:val="00A2673D"/>
    <w:rsid w:val="00A27EF0"/>
    <w:rsid w:val="00A30E20"/>
    <w:rsid w:val="00A3561C"/>
    <w:rsid w:val="00A35F82"/>
    <w:rsid w:val="00A364B4"/>
    <w:rsid w:val="00A37A11"/>
    <w:rsid w:val="00A420CA"/>
    <w:rsid w:val="00A42361"/>
    <w:rsid w:val="00A4615D"/>
    <w:rsid w:val="00A47F00"/>
    <w:rsid w:val="00A50B02"/>
    <w:rsid w:val="00A50B20"/>
    <w:rsid w:val="00A51390"/>
    <w:rsid w:val="00A520E4"/>
    <w:rsid w:val="00A560FE"/>
    <w:rsid w:val="00A56904"/>
    <w:rsid w:val="00A577B0"/>
    <w:rsid w:val="00A60D13"/>
    <w:rsid w:val="00A641D9"/>
    <w:rsid w:val="00A651EE"/>
    <w:rsid w:val="00A672AD"/>
    <w:rsid w:val="00A672CE"/>
    <w:rsid w:val="00A7223D"/>
    <w:rsid w:val="00A723DB"/>
    <w:rsid w:val="00A724A8"/>
    <w:rsid w:val="00A72745"/>
    <w:rsid w:val="00A76EFC"/>
    <w:rsid w:val="00A812E1"/>
    <w:rsid w:val="00A84030"/>
    <w:rsid w:val="00A87D50"/>
    <w:rsid w:val="00A90458"/>
    <w:rsid w:val="00A91010"/>
    <w:rsid w:val="00A911D1"/>
    <w:rsid w:val="00A9222F"/>
    <w:rsid w:val="00A93613"/>
    <w:rsid w:val="00A952FA"/>
    <w:rsid w:val="00A958A0"/>
    <w:rsid w:val="00A97F29"/>
    <w:rsid w:val="00AA0952"/>
    <w:rsid w:val="00AA0F01"/>
    <w:rsid w:val="00AA1758"/>
    <w:rsid w:val="00AA6D8E"/>
    <w:rsid w:val="00AA702E"/>
    <w:rsid w:val="00AA7D26"/>
    <w:rsid w:val="00AB08C9"/>
    <w:rsid w:val="00AB0964"/>
    <w:rsid w:val="00AB2274"/>
    <w:rsid w:val="00AB3F1A"/>
    <w:rsid w:val="00AB5011"/>
    <w:rsid w:val="00AB5F69"/>
    <w:rsid w:val="00AB7AF3"/>
    <w:rsid w:val="00AC1432"/>
    <w:rsid w:val="00AC2299"/>
    <w:rsid w:val="00AC2441"/>
    <w:rsid w:val="00AC7368"/>
    <w:rsid w:val="00AC7937"/>
    <w:rsid w:val="00AC7F9E"/>
    <w:rsid w:val="00AD16B9"/>
    <w:rsid w:val="00AD1925"/>
    <w:rsid w:val="00AD2A15"/>
    <w:rsid w:val="00AD2E3C"/>
    <w:rsid w:val="00AE1D80"/>
    <w:rsid w:val="00AE2760"/>
    <w:rsid w:val="00AE2931"/>
    <w:rsid w:val="00AE377D"/>
    <w:rsid w:val="00AE3FC1"/>
    <w:rsid w:val="00AE5CEE"/>
    <w:rsid w:val="00AE71F8"/>
    <w:rsid w:val="00AF005E"/>
    <w:rsid w:val="00AF0EBA"/>
    <w:rsid w:val="00AF1622"/>
    <w:rsid w:val="00AF2000"/>
    <w:rsid w:val="00AF2463"/>
    <w:rsid w:val="00AF2B82"/>
    <w:rsid w:val="00AF331A"/>
    <w:rsid w:val="00AF5AD8"/>
    <w:rsid w:val="00B00690"/>
    <w:rsid w:val="00B02C8A"/>
    <w:rsid w:val="00B0317D"/>
    <w:rsid w:val="00B04072"/>
    <w:rsid w:val="00B06289"/>
    <w:rsid w:val="00B1049D"/>
    <w:rsid w:val="00B134E4"/>
    <w:rsid w:val="00B14EAC"/>
    <w:rsid w:val="00B14F5A"/>
    <w:rsid w:val="00B170E0"/>
    <w:rsid w:val="00B179E3"/>
    <w:rsid w:val="00B17FBD"/>
    <w:rsid w:val="00B17FEA"/>
    <w:rsid w:val="00B2374E"/>
    <w:rsid w:val="00B315A6"/>
    <w:rsid w:val="00B31813"/>
    <w:rsid w:val="00B32842"/>
    <w:rsid w:val="00B33360"/>
    <w:rsid w:val="00B33365"/>
    <w:rsid w:val="00B33625"/>
    <w:rsid w:val="00B34377"/>
    <w:rsid w:val="00B369B3"/>
    <w:rsid w:val="00B401A3"/>
    <w:rsid w:val="00B43CE2"/>
    <w:rsid w:val="00B44473"/>
    <w:rsid w:val="00B456B3"/>
    <w:rsid w:val="00B46CD9"/>
    <w:rsid w:val="00B510EE"/>
    <w:rsid w:val="00B5288C"/>
    <w:rsid w:val="00B546F7"/>
    <w:rsid w:val="00B548B8"/>
    <w:rsid w:val="00B57B36"/>
    <w:rsid w:val="00B57E6F"/>
    <w:rsid w:val="00B6533B"/>
    <w:rsid w:val="00B67745"/>
    <w:rsid w:val="00B714DD"/>
    <w:rsid w:val="00B743BB"/>
    <w:rsid w:val="00B75F78"/>
    <w:rsid w:val="00B769F4"/>
    <w:rsid w:val="00B831FB"/>
    <w:rsid w:val="00B85D9E"/>
    <w:rsid w:val="00B8686D"/>
    <w:rsid w:val="00B87B61"/>
    <w:rsid w:val="00B93F69"/>
    <w:rsid w:val="00B949D9"/>
    <w:rsid w:val="00B977C3"/>
    <w:rsid w:val="00BA072E"/>
    <w:rsid w:val="00BA2E13"/>
    <w:rsid w:val="00BA4309"/>
    <w:rsid w:val="00BA438B"/>
    <w:rsid w:val="00BA6880"/>
    <w:rsid w:val="00BB0AE8"/>
    <w:rsid w:val="00BB11A4"/>
    <w:rsid w:val="00BB1DDC"/>
    <w:rsid w:val="00BB2D0A"/>
    <w:rsid w:val="00BB31FE"/>
    <w:rsid w:val="00BB6590"/>
    <w:rsid w:val="00BC2A9B"/>
    <w:rsid w:val="00BC30C9"/>
    <w:rsid w:val="00BC4180"/>
    <w:rsid w:val="00BC444B"/>
    <w:rsid w:val="00BC5620"/>
    <w:rsid w:val="00BC6C54"/>
    <w:rsid w:val="00BD077D"/>
    <w:rsid w:val="00BD165B"/>
    <w:rsid w:val="00BD29D9"/>
    <w:rsid w:val="00BD345C"/>
    <w:rsid w:val="00BD53E7"/>
    <w:rsid w:val="00BD6E13"/>
    <w:rsid w:val="00BE291D"/>
    <w:rsid w:val="00BE3E58"/>
    <w:rsid w:val="00BE44E0"/>
    <w:rsid w:val="00BE4F99"/>
    <w:rsid w:val="00BE61AE"/>
    <w:rsid w:val="00BF13CE"/>
    <w:rsid w:val="00BF28B1"/>
    <w:rsid w:val="00BF3090"/>
    <w:rsid w:val="00BF6DD3"/>
    <w:rsid w:val="00C01616"/>
    <w:rsid w:val="00C0162B"/>
    <w:rsid w:val="00C02AC3"/>
    <w:rsid w:val="00C02C1B"/>
    <w:rsid w:val="00C03AF1"/>
    <w:rsid w:val="00C068ED"/>
    <w:rsid w:val="00C0718C"/>
    <w:rsid w:val="00C10033"/>
    <w:rsid w:val="00C117B5"/>
    <w:rsid w:val="00C12430"/>
    <w:rsid w:val="00C14DF2"/>
    <w:rsid w:val="00C1787E"/>
    <w:rsid w:val="00C22E0C"/>
    <w:rsid w:val="00C23ABF"/>
    <w:rsid w:val="00C25081"/>
    <w:rsid w:val="00C26DB4"/>
    <w:rsid w:val="00C27608"/>
    <w:rsid w:val="00C32C7D"/>
    <w:rsid w:val="00C32DF4"/>
    <w:rsid w:val="00C3308D"/>
    <w:rsid w:val="00C344E9"/>
    <w:rsid w:val="00C345B1"/>
    <w:rsid w:val="00C37FCB"/>
    <w:rsid w:val="00C40015"/>
    <w:rsid w:val="00C40142"/>
    <w:rsid w:val="00C40484"/>
    <w:rsid w:val="00C41543"/>
    <w:rsid w:val="00C45DFD"/>
    <w:rsid w:val="00C50D23"/>
    <w:rsid w:val="00C52064"/>
    <w:rsid w:val="00C52C3C"/>
    <w:rsid w:val="00C54662"/>
    <w:rsid w:val="00C55969"/>
    <w:rsid w:val="00C55E24"/>
    <w:rsid w:val="00C55F76"/>
    <w:rsid w:val="00C57182"/>
    <w:rsid w:val="00C57863"/>
    <w:rsid w:val="00C61398"/>
    <w:rsid w:val="00C634DA"/>
    <w:rsid w:val="00C63A64"/>
    <w:rsid w:val="00C640AF"/>
    <w:rsid w:val="00C655FD"/>
    <w:rsid w:val="00C65E31"/>
    <w:rsid w:val="00C70DD5"/>
    <w:rsid w:val="00C71317"/>
    <w:rsid w:val="00C7195B"/>
    <w:rsid w:val="00C736E1"/>
    <w:rsid w:val="00C75407"/>
    <w:rsid w:val="00C75E3F"/>
    <w:rsid w:val="00C7655E"/>
    <w:rsid w:val="00C7765B"/>
    <w:rsid w:val="00C809C9"/>
    <w:rsid w:val="00C81E7D"/>
    <w:rsid w:val="00C841C6"/>
    <w:rsid w:val="00C85386"/>
    <w:rsid w:val="00C85A79"/>
    <w:rsid w:val="00C85FE4"/>
    <w:rsid w:val="00C870A8"/>
    <w:rsid w:val="00C915D9"/>
    <w:rsid w:val="00C91D0E"/>
    <w:rsid w:val="00C94434"/>
    <w:rsid w:val="00CA071F"/>
    <w:rsid w:val="00CA0D75"/>
    <w:rsid w:val="00CA1C95"/>
    <w:rsid w:val="00CA2AE5"/>
    <w:rsid w:val="00CA597B"/>
    <w:rsid w:val="00CA5A9C"/>
    <w:rsid w:val="00CA76EC"/>
    <w:rsid w:val="00CB05C3"/>
    <w:rsid w:val="00CB1342"/>
    <w:rsid w:val="00CB5234"/>
    <w:rsid w:val="00CB7251"/>
    <w:rsid w:val="00CB7274"/>
    <w:rsid w:val="00CB75A2"/>
    <w:rsid w:val="00CB7FAB"/>
    <w:rsid w:val="00CC0800"/>
    <w:rsid w:val="00CC1100"/>
    <w:rsid w:val="00CC14C8"/>
    <w:rsid w:val="00CC18B1"/>
    <w:rsid w:val="00CC4C20"/>
    <w:rsid w:val="00CC625B"/>
    <w:rsid w:val="00CC7F94"/>
    <w:rsid w:val="00CD1233"/>
    <w:rsid w:val="00CD3517"/>
    <w:rsid w:val="00CD4B2A"/>
    <w:rsid w:val="00CD5FE2"/>
    <w:rsid w:val="00CE074E"/>
    <w:rsid w:val="00CE13A7"/>
    <w:rsid w:val="00CE1486"/>
    <w:rsid w:val="00CE3BDC"/>
    <w:rsid w:val="00CE4705"/>
    <w:rsid w:val="00CE7C68"/>
    <w:rsid w:val="00CF0405"/>
    <w:rsid w:val="00CF0608"/>
    <w:rsid w:val="00CF2AEC"/>
    <w:rsid w:val="00CF2C55"/>
    <w:rsid w:val="00CF4986"/>
    <w:rsid w:val="00CF4F00"/>
    <w:rsid w:val="00CF5BB2"/>
    <w:rsid w:val="00CF60FA"/>
    <w:rsid w:val="00CF7863"/>
    <w:rsid w:val="00CF7E62"/>
    <w:rsid w:val="00D0282D"/>
    <w:rsid w:val="00D02ACC"/>
    <w:rsid w:val="00D02B4C"/>
    <w:rsid w:val="00D040C4"/>
    <w:rsid w:val="00D04985"/>
    <w:rsid w:val="00D05D80"/>
    <w:rsid w:val="00D127E9"/>
    <w:rsid w:val="00D20AD1"/>
    <w:rsid w:val="00D2582C"/>
    <w:rsid w:val="00D25AF2"/>
    <w:rsid w:val="00D2635B"/>
    <w:rsid w:val="00D2734C"/>
    <w:rsid w:val="00D30ABC"/>
    <w:rsid w:val="00D31A25"/>
    <w:rsid w:val="00D31EBB"/>
    <w:rsid w:val="00D3394D"/>
    <w:rsid w:val="00D369F2"/>
    <w:rsid w:val="00D37A4D"/>
    <w:rsid w:val="00D444E9"/>
    <w:rsid w:val="00D46B7E"/>
    <w:rsid w:val="00D47A0C"/>
    <w:rsid w:val="00D50FDC"/>
    <w:rsid w:val="00D510A2"/>
    <w:rsid w:val="00D564F0"/>
    <w:rsid w:val="00D57C84"/>
    <w:rsid w:val="00D57EC0"/>
    <w:rsid w:val="00D6057D"/>
    <w:rsid w:val="00D71640"/>
    <w:rsid w:val="00D72CE6"/>
    <w:rsid w:val="00D73FD9"/>
    <w:rsid w:val="00D77A39"/>
    <w:rsid w:val="00D77AE5"/>
    <w:rsid w:val="00D836C5"/>
    <w:rsid w:val="00D84576"/>
    <w:rsid w:val="00D86880"/>
    <w:rsid w:val="00D86FA9"/>
    <w:rsid w:val="00D90718"/>
    <w:rsid w:val="00D91A9D"/>
    <w:rsid w:val="00D93DB9"/>
    <w:rsid w:val="00D97CB0"/>
    <w:rsid w:val="00DA0228"/>
    <w:rsid w:val="00DA0B0B"/>
    <w:rsid w:val="00DA0D3B"/>
    <w:rsid w:val="00DA1399"/>
    <w:rsid w:val="00DA1CF8"/>
    <w:rsid w:val="00DA24C6"/>
    <w:rsid w:val="00DA2603"/>
    <w:rsid w:val="00DA4D7B"/>
    <w:rsid w:val="00DA5A1D"/>
    <w:rsid w:val="00DA60FC"/>
    <w:rsid w:val="00DB6E36"/>
    <w:rsid w:val="00DB7723"/>
    <w:rsid w:val="00DC189D"/>
    <w:rsid w:val="00DC2840"/>
    <w:rsid w:val="00DC73EE"/>
    <w:rsid w:val="00DD01CF"/>
    <w:rsid w:val="00DD271C"/>
    <w:rsid w:val="00DD4163"/>
    <w:rsid w:val="00DD5B86"/>
    <w:rsid w:val="00DD6736"/>
    <w:rsid w:val="00DE264A"/>
    <w:rsid w:val="00DE2CE4"/>
    <w:rsid w:val="00DE3079"/>
    <w:rsid w:val="00DE3742"/>
    <w:rsid w:val="00DE39CF"/>
    <w:rsid w:val="00DE462C"/>
    <w:rsid w:val="00DF5072"/>
    <w:rsid w:val="00E02D18"/>
    <w:rsid w:val="00E041E7"/>
    <w:rsid w:val="00E0473A"/>
    <w:rsid w:val="00E05278"/>
    <w:rsid w:val="00E1343A"/>
    <w:rsid w:val="00E14DD2"/>
    <w:rsid w:val="00E15B95"/>
    <w:rsid w:val="00E1748A"/>
    <w:rsid w:val="00E17721"/>
    <w:rsid w:val="00E179EF"/>
    <w:rsid w:val="00E21732"/>
    <w:rsid w:val="00E21B1A"/>
    <w:rsid w:val="00E23CA1"/>
    <w:rsid w:val="00E245AA"/>
    <w:rsid w:val="00E34142"/>
    <w:rsid w:val="00E34431"/>
    <w:rsid w:val="00E355FC"/>
    <w:rsid w:val="00E37F23"/>
    <w:rsid w:val="00E409A8"/>
    <w:rsid w:val="00E41ED9"/>
    <w:rsid w:val="00E42E55"/>
    <w:rsid w:val="00E43C2A"/>
    <w:rsid w:val="00E44E09"/>
    <w:rsid w:val="00E45670"/>
    <w:rsid w:val="00E4734B"/>
    <w:rsid w:val="00E505A1"/>
    <w:rsid w:val="00E50C12"/>
    <w:rsid w:val="00E5122E"/>
    <w:rsid w:val="00E52ECF"/>
    <w:rsid w:val="00E53632"/>
    <w:rsid w:val="00E54991"/>
    <w:rsid w:val="00E57DCD"/>
    <w:rsid w:val="00E62531"/>
    <w:rsid w:val="00E65B91"/>
    <w:rsid w:val="00E67BBC"/>
    <w:rsid w:val="00E7209D"/>
    <w:rsid w:val="00E7230F"/>
    <w:rsid w:val="00E72421"/>
    <w:rsid w:val="00E72BAF"/>
    <w:rsid w:val="00E72EAD"/>
    <w:rsid w:val="00E77223"/>
    <w:rsid w:val="00E80330"/>
    <w:rsid w:val="00E80F2A"/>
    <w:rsid w:val="00E83A76"/>
    <w:rsid w:val="00E8528B"/>
    <w:rsid w:val="00E85B94"/>
    <w:rsid w:val="00E8679D"/>
    <w:rsid w:val="00E90192"/>
    <w:rsid w:val="00E907C1"/>
    <w:rsid w:val="00E9165A"/>
    <w:rsid w:val="00E95940"/>
    <w:rsid w:val="00E95AB1"/>
    <w:rsid w:val="00E96143"/>
    <w:rsid w:val="00E96BEB"/>
    <w:rsid w:val="00E978D0"/>
    <w:rsid w:val="00EA0EDA"/>
    <w:rsid w:val="00EA2306"/>
    <w:rsid w:val="00EA2346"/>
    <w:rsid w:val="00EA2ED4"/>
    <w:rsid w:val="00EA3EC3"/>
    <w:rsid w:val="00EA4613"/>
    <w:rsid w:val="00EA560D"/>
    <w:rsid w:val="00EA69DF"/>
    <w:rsid w:val="00EA7F91"/>
    <w:rsid w:val="00EB1523"/>
    <w:rsid w:val="00EB2B11"/>
    <w:rsid w:val="00EB48C3"/>
    <w:rsid w:val="00EB531A"/>
    <w:rsid w:val="00EC040D"/>
    <w:rsid w:val="00EC0E49"/>
    <w:rsid w:val="00EC101F"/>
    <w:rsid w:val="00EC1D9F"/>
    <w:rsid w:val="00EC2753"/>
    <w:rsid w:val="00EC52EF"/>
    <w:rsid w:val="00ED04FE"/>
    <w:rsid w:val="00ED057D"/>
    <w:rsid w:val="00ED0E31"/>
    <w:rsid w:val="00ED1614"/>
    <w:rsid w:val="00ED58CB"/>
    <w:rsid w:val="00EE0131"/>
    <w:rsid w:val="00EE0ED2"/>
    <w:rsid w:val="00EE17B0"/>
    <w:rsid w:val="00EE2B53"/>
    <w:rsid w:val="00EE3485"/>
    <w:rsid w:val="00EE46F6"/>
    <w:rsid w:val="00EE5CCC"/>
    <w:rsid w:val="00EE5D37"/>
    <w:rsid w:val="00EF06D9"/>
    <w:rsid w:val="00EF1108"/>
    <w:rsid w:val="00EF58BA"/>
    <w:rsid w:val="00EF6405"/>
    <w:rsid w:val="00EF6C16"/>
    <w:rsid w:val="00F05885"/>
    <w:rsid w:val="00F06CBF"/>
    <w:rsid w:val="00F1521B"/>
    <w:rsid w:val="00F214D2"/>
    <w:rsid w:val="00F2201A"/>
    <w:rsid w:val="00F2289F"/>
    <w:rsid w:val="00F23BA3"/>
    <w:rsid w:val="00F24761"/>
    <w:rsid w:val="00F24D2D"/>
    <w:rsid w:val="00F3049E"/>
    <w:rsid w:val="00F30C64"/>
    <w:rsid w:val="00F30D90"/>
    <w:rsid w:val="00F32BA2"/>
    <w:rsid w:val="00F32CDB"/>
    <w:rsid w:val="00F338B1"/>
    <w:rsid w:val="00F34B87"/>
    <w:rsid w:val="00F41EE4"/>
    <w:rsid w:val="00F422D5"/>
    <w:rsid w:val="00F42B7D"/>
    <w:rsid w:val="00F44BC7"/>
    <w:rsid w:val="00F4639C"/>
    <w:rsid w:val="00F519C4"/>
    <w:rsid w:val="00F5261E"/>
    <w:rsid w:val="00F5351E"/>
    <w:rsid w:val="00F53545"/>
    <w:rsid w:val="00F54548"/>
    <w:rsid w:val="00F55A89"/>
    <w:rsid w:val="00F565FE"/>
    <w:rsid w:val="00F566D8"/>
    <w:rsid w:val="00F5737D"/>
    <w:rsid w:val="00F57CCC"/>
    <w:rsid w:val="00F63A70"/>
    <w:rsid w:val="00F63D8C"/>
    <w:rsid w:val="00F63DC9"/>
    <w:rsid w:val="00F65095"/>
    <w:rsid w:val="00F6526E"/>
    <w:rsid w:val="00F70619"/>
    <w:rsid w:val="00F73F3D"/>
    <w:rsid w:val="00F7534E"/>
    <w:rsid w:val="00F7538E"/>
    <w:rsid w:val="00F77B6C"/>
    <w:rsid w:val="00F804FF"/>
    <w:rsid w:val="00F81FE4"/>
    <w:rsid w:val="00F82D9D"/>
    <w:rsid w:val="00F85A81"/>
    <w:rsid w:val="00F86DCF"/>
    <w:rsid w:val="00F93EDF"/>
    <w:rsid w:val="00F94BE5"/>
    <w:rsid w:val="00F97398"/>
    <w:rsid w:val="00FA0DE4"/>
    <w:rsid w:val="00FA1802"/>
    <w:rsid w:val="00FA21D0"/>
    <w:rsid w:val="00FA2248"/>
    <w:rsid w:val="00FA27DC"/>
    <w:rsid w:val="00FA4E8D"/>
    <w:rsid w:val="00FA5F5F"/>
    <w:rsid w:val="00FB00DE"/>
    <w:rsid w:val="00FB4B48"/>
    <w:rsid w:val="00FB4F22"/>
    <w:rsid w:val="00FB730C"/>
    <w:rsid w:val="00FB7F5F"/>
    <w:rsid w:val="00FC0A00"/>
    <w:rsid w:val="00FC2695"/>
    <w:rsid w:val="00FC3E03"/>
    <w:rsid w:val="00FC3FC1"/>
    <w:rsid w:val="00FC40E5"/>
    <w:rsid w:val="00FC6108"/>
    <w:rsid w:val="00FC759A"/>
    <w:rsid w:val="00FD1823"/>
    <w:rsid w:val="00FD20AF"/>
    <w:rsid w:val="00FD4F04"/>
    <w:rsid w:val="00FE0740"/>
    <w:rsid w:val="00FE3286"/>
    <w:rsid w:val="00FE4F64"/>
    <w:rsid w:val="00FE6B2A"/>
    <w:rsid w:val="00FF490E"/>
    <w:rsid w:val="00FF4CDC"/>
    <w:rsid w:val="00FF7C8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4A33EBB6-E328-400C-AFE2-6BC8C069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7609EC"/>
    <w:rPr>
      <w:color w:val="666666"/>
    </w:rPr>
  </w:style>
  <w:style w:type="paragraph" w:styleId="Revisione">
    <w:name w:val="Revision"/>
    <w:hidden/>
    <w:uiPriority w:val="99"/>
    <w:semiHidden/>
    <w:rsid w:val="00C7195B"/>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F4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9840">
      <w:bodyDiv w:val="1"/>
      <w:marLeft w:val="0"/>
      <w:marRight w:val="0"/>
      <w:marTop w:val="0"/>
      <w:marBottom w:val="0"/>
      <w:divBdr>
        <w:top w:val="none" w:sz="0" w:space="0" w:color="auto"/>
        <w:left w:val="none" w:sz="0" w:space="0" w:color="auto"/>
        <w:bottom w:val="none" w:sz="0" w:space="0" w:color="auto"/>
        <w:right w:val="none" w:sz="0" w:space="0" w:color="auto"/>
      </w:divBdr>
      <w:divsChild>
        <w:div w:id="1595433460">
          <w:marLeft w:val="547"/>
          <w:marRight w:val="0"/>
          <w:marTop w:val="40"/>
          <w:marBottom w:val="120"/>
          <w:divBdr>
            <w:top w:val="none" w:sz="0" w:space="0" w:color="auto"/>
            <w:left w:val="none" w:sz="0" w:space="0" w:color="auto"/>
            <w:bottom w:val="none" w:sz="0" w:space="0" w:color="auto"/>
            <w:right w:val="none" w:sz="0" w:space="0" w:color="auto"/>
          </w:divBdr>
        </w:div>
      </w:divsChild>
    </w:div>
    <w:div w:id="211816217">
      <w:bodyDiv w:val="1"/>
      <w:marLeft w:val="0"/>
      <w:marRight w:val="0"/>
      <w:marTop w:val="0"/>
      <w:marBottom w:val="0"/>
      <w:divBdr>
        <w:top w:val="none" w:sz="0" w:space="0" w:color="auto"/>
        <w:left w:val="none" w:sz="0" w:space="0" w:color="auto"/>
        <w:bottom w:val="none" w:sz="0" w:space="0" w:color="auto"/>
        <w:right w:val="none" w:sz="0" w:space="0" w:color="auto"/>
      </w:divBdr>
    </w:div>
    <w:div w:id="226427351">
      <w:bodyDiv w:val="1"/>
      <w:marLeft w:val="0"/>
      <w:marRight w:val="0"/>
      <w:marTop w:val="0"/>
      <w:marBottom w:val="0"/>
      <w:divBdr>
        <w:top w:val="none" w:sz="0" w:space="0" w:color="auto"/>
        <w:left w:val="none" w:sz="0" w:space="0" w:color="auto"/>
        <w:bottom w:val="none" w:sz="0" w:space="0" w:color="auto"/>
        <w:right w:val="none" w:sz="0" w:space="0" w:color="auto"/>
      </w:divBdr>
    </w:div>
    <w:div w:id="257637562">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99789482">
      <w:bodyDiv w:val="1"/>
      <w:marLeft w:val="0"/>
      <w:marRight w:val="0"/>
      <w:marTop w:val="0"/>
      <w:marBottom w:val="0"/>
      <w:divBdr>
        <w:top w:val="none" w:sz="0" w:space="0" w:color="auto"/>
        <w:left w:val="none" w:sz="0" w:space="0" w:color="auto"/>
        <w:bottom w:val="none" w:sz="0" w:space="0" w:color="auto"/>
        <w:right w:val="none" w:sz="0" w:space="0" w:color="auto"/>
      </w:divBdr>
      <w:divsChild>
        <w:div w:id="1735543066">
          <w:marLeft w:val="547"/>
          <w:marRight w:val="0"/>
          <w:marTop w:val="40"/>
          <w:marBottom w:val="120"/>
          <w:divBdr>
            <w:top w:val="none" w:sz="0" w:space="0" w:color="auto"/>
            <w:left w:val="none" w:sz="0" w:space="0" w:color="auto"/>
            <w:bottom w:val="none" w:sz="0" w:space="0" w:color="auto"/>
            <w:right w:val="none" w:sz="0" w:space="0" w:color="auto"/>
          </w:divBdr>
        </w:div>
      </w:divsChild>
    </w:div>
    <w:div w:id="441191796">
      <w:bodyDiv w:val="1"/>
      <w:marLeft w:val="0"/>
      <w:marRight w:val="0"/>
      <w:marTop w:val="0"/>
      <w:marBottom w:val="0"/>
      <w:divBdr>
        <w:top w:val="none" w:sz="0" w:space="0" w:color="auto"/>
        <w:left w:val="none" w:sz="0" w:space="0" w:color="auto"/>
        <w:bottom w:val="none" w:sz="0" w:space="0" w:color="auto"/>
        <w:right w:val="none" w:sz="0" w:space="0" w:color="auto"/>
      </w:divBdr>
      <w:divsChild>
        <w:div w:id="579291222">
          <w:marLeft w:val="547"/>
          <w:marRight w:val="0"/>
          <w:marTop w:val="40"/>
          <w:marBottom w:val="120"/>
          <w:divBdr>
            <w:top w:val="none" w:sz="0" w:space="0" w:color="auto"/>
            <w:left w:val="none" w:sz="0" w:space="0" w:color="auto"/>
            <w:bottom w:val="none" w:sz="0" w:space="0" w:color="auto"/>
            <w:right w:val="none" w:sz="0" w:space="0" w:color="auto"/>
          </w:divBdr>
        </w:div>
      </w:divsChild>
    </w:div>
    <w:div w:id="459496503">
      <w:bodyDiv w:val="1"/>
      <w:marLeft w:val="0"/>
      <w:marRight w:val="0"/>
      <w:marTop w:val="0"/>
      <w:marBottom w:val="0"/>
      <w:divBdr>
        <w:top w:val="none" w:sz="0" w:space="0" w:color="auto"/>
        <w:left w:val="none" w:sz="0" w:space="0" w:color="auto"/>
        <w:bottom w:val="none" w:sz="0" w:space="0" w:color="auto"/>
        <w:right w:val="none" w:sz="0" w:space="0" w:color="auto"/>
      </w:divBdr>
    </w:div>
    <w:div w:id="469522469">
      <w:bodyDiv w:val="1"/>
      <w:marLeft w:val="0"/>
      <w:marRight w:val="0"/>
      <w:marTop w:val="0"/>
      <w:marBottom w:val="0"/>
      <w:divBdr>
        <w:top w:val="none" w:sz="0" w:space="0" w:color="auto"/>
        <w:left w:val="none" w:sz="0" w:space="0" w:color="auto"/>
        <w:bottom w:val="none" w:sz="0" w:space="0" w:color="auto"/>
        <w:right w:val="none" w:sz="0" w:space="0" w:color="auto"/>
      </w:divBdr>
      <w:divsChild>
        <w:div w:id="1041368031">
          <w:marLeft w:val="720"/>
          <w:marRight w:val="0"/>
          <w:marTop w:val="0"/>
          <w:marBottom w:val="0"/>
          <w:divBdr>
            <w:top w:val="none" w:sz="0" w:space="0" w:color="auto"/>
            <w:left w:val="none" w:sz="0" w:space="0" w:color="auto"/>
            <w:bottom w:val="none" w:sz="0" w:space="0" w:color="auto"/>
            <w:right w:val="none" w:sz="0" w:space="0" w:color="auto"/>
          </w:divBdr>
        </w:div>
      </w:divsChild>
    </w:div>
    <w:div w:id="48019855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264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2967">
      <w:bodyDiv w:val="1"/>
      <w:marLeft w:val="0"/>
      <w:marRight w:val="0"/>
      <w:marTop w:val="0"/>
      <w:marBottom w:val="0"/>
      <w:divBdr>
        <w:top w:val="none" w:sz="0" w:space="0" w:color="auto"/>
        <w:left w:val="none" w:sz="0" w:space="0" w:color="auto"/>
        <w:bottom w:val="none" w:sz="0" w:space="0" w:color="auto"/>
        <w:right w:val="none" w:sz="0" w:space="0" w:color="auto"/>
      </w:divBdr>
    </w:div>
    <w:div w:id="1216816730">
      <w:bodyDiv w:val="1"/>
      <w:marLeft w:val="0"/>
      <w:marRight w:val="0"/>
      <w:marTop w:val="0"/>
      <w:marBottom w:val="0"/>
      <w:divBdr>
        <w:top w:val="none" w:sz="0" w:space="0" w:color="auto"/>
        <w:left w:val="none" w:sz="0" w:space="0" w:color="auto"/>
        <w:bottom w:val="none" w:sz="0" w:space="0" w:color="auto"/>
        <w:right w:val="none" w:sz="0" w:space="0" w:color="auto"/>
      </w:divBdr>
    </w:div>
    <w:div w:id="1319725113">
      <w:bodyDiv w:val="1"/>
      <w:marLeft w:val="0"/>
      <w:marRight w:val="0"/>
      <w:marTop w:val="0"/>
      <w:marBottom w:val="0"/>
      <w:divBdr>
        <w:top w:val="none" w:sz="0" w:space="0" w:color="auto"/>
        <w:left w:val="none" w:sz="0" w:space="0" w:color="auto"/>
        <w:bottom w:val="none" w:sz="0" w:space="0" w:color="auto"/>
        <w:right w:val="none" w:sz="0" w:space="0" w:color="auto"/>
      </w:divBdr>
    </w:div>
    <w:div w:id="1355841272">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90393435">
      <w:bodyDiv w:val="1"/>
      <w:marLeft w:val="0"/>
      <w:marRight w:val="0"/>
      <w:marTop w:val="0"/>
      <w:marBottom w:val="0"/>
      <w:divBdr>
        <w:top w:val="none" w:sz="0" w:space="0" w:color="auto"/>
        <w:left w:val="none" w:sz="0" w:space="0" w:color="auto"/>
        <w:bottom w:val="none" w:sz="0" w:space="0" w:color="auto"/>
        <w:right w:val="none" w:sz="0" w:space="0" w:color="auto"/>
      </w:divBdr>
    </w:div>
    <w:div w:id="1806387998">
      <w:bodyDiv w:val="1"/>
      <w:marLeft w:val="0"/>
      <w:marRight w:val="0"/>
      <w:marTop w:val="0"/>
      <w:marBottom w:val="0"/>
      <w:divBdr>
        <w:top w:val="none" w:sz="0" w:space="0" w:color="auto"/>
        <w:left w:val="none" w:sz="0" w:space="0" w:color="auto"/>
        <w:bottom w:val="none" w:sz="0" w:space="0" w:color="auto"/>
        <w:right w:val="none" w:sz="0" w:space="0" w:color="auto"/>
      </w:divBdr>
      <w:divsChild>
        <w:div w:id="1822846206">
          <w:marLeft w:val="547"/>
          <w:marRight w:val="0"/>
          <w:marTop w:val="40"/>
          <w:marBottom w:val="120"/>
          <w:divBdr>
            <w:top w:val="none" w:sz="0" w:space="0" w:color="auto"/>
            <w:left w:val="none" w:sz="0" w:space="0" w:color="auto"/>
            <w:bottom w:val="none" w:sz="0" w:space="0" w:color="auto"/>
            <w:right w:val="none" w:sz="0" w:space="0" w:color="auto"/>
          </w:divBdr>
        </w:div>
      </w:divsChild>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902057312">
      <w:bodyDiv w:val="1"/>
      <w:marLeft w:val="0"/>
      <w:marRight w:val="0"/>
      <w:marTop w:val="0"/>
      <w:marBottom w:val="0"/>
      <w:divBdr>
        <w:top w:val="none" w:sz="0" w:space="0" w:color="auto"/>
        <w:left w:val="none" w:sz="0" w:space="0" w:color="auto"/>
        <w:bottom w:val="none" w:sz="0" w:space="0" w:color="auto"/>
        <w:right w:val="none" w:sz="0" w:space="0" w:color="auto"/>
      </w:divBdr>
    </w:div>
    <w:div w:id="1969821420">
      <w:bodyDiv w:val="1"/>
      <w:marLeft w:val="0"/>
      <w:marRight w:val="0"/>
      <w:marTop w:val="0"/>
      <w:marBottom w:val="0"/>
      <w:divBdr>
        <w:top w:val="none" w:sz="0" w:space="0" w:color="auto"/>
        <w:left w:val="none" w:sz="0" w:space="0" w:color="auto"/>
        <w:bottom w:val="none" w:sz="0" w:space="0" w:color="auto"/>
        <w:right w:val="none" w:sz="0" w:space="0" w:color="auto"/>
      </w:divBdr>
    </w:div>
    <w:div w:id="2010598077">
      <w:bodyDiv w:val="1"/>
      <w:marLeft w:val="0"/>
      <w:marRight w:val="0"/>
      <w:marTop w:val="0"/>
      <w:marBottom w:val="0"/>
      <w:divBdr>
        <w:top w:val="none" w:sz="0" w:space="0" w:color="auto"/>
        <w:left w:val="none" w:sz="0" w:space="0" w:color="auto"/>
        <w:bottom w:val="none" w:sz="0" w:space="0" w:color="auto"/>
        <w:right w:val="none" w:sz="0" w:space="0" w:color="auto"/>
      </w:divBdr>
      <w:divsChild>
        <w:div w:id="284773885">
          <w:marLeft w:val="547"/>
          <w:marRight w:val="0"/>
          <w:marTop w:val="40"/>
          <w:marBottom w:val="120"/>
          <w:divBdr>
            <w:top w:val="none" w:sz="0" w:space="0" w:color="auto"/>
            <w:left w:val="none" w:sz="0" w:space="0" w:color="auto"/>
            <w:bottom w:val="none" w:sz="0" w:space="0" w:color="auto"/>
            <w:right w:val="none" w:sz="0" w:space="0" w:color="auto"/>
          </w:divBdr>
        </w:div>
      </w:divsChild>
    </w:div>
    <w:div w:id="2064332210">
      <w:bodyDiv w:val="1"/>
      <w:marLeft w:val="0"/>
      <w:marRight w:val="0"/>
      <w:marTop w:val="0"/>
      <w:marBottom w:val="0"/>
      <w:divBdr>
        <w:top w:val="none" w:sz="0" w:space="0" w:color="auto"/>
        <w:left w:val="none" w:sz="0" w:space="0" w:color="auto"/>
        <w:bottom w:val="none" w:sz="0" w:space="0" w:color="auto"/>
        <w:right w:val="none" w:sz="0" w:space="0" w:color="auto"/>
      </w:divBdr>
      <w:divsChild>
        <w:div w:id="975456381">
          <w:marLeft w:val="432"/>
          <w:marRight w:val="0"/>
          <w:marTop w:val="40"/>
          <w:marBottom w:val="120"/>
          <w:divBdr>
            <w:top w:val="none" w:sz="0" w:space="0" w:color="auto"/>
            <w:left w:val="none" w:sz="0" w:space="0" w:color="auto"/>
            <w:bottom w:val="none" w:sz="0" w:space="0" w:color="auto"/>
            <w:right w:val="none" w:sz="0" w:space="0" w:color="auto"/>
          </w:divBdr>
        </w:div>
      </w:divsChild>
    </w:div>
    <w:div w:id="208097917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2407</Words>
  <Characters>14096</Characters>
  <Application>Microsoft Office Word</Application>
  <DocSecurity>0</DocSecurity>
  <Lines>257</Lines>
  <Paragraphs>120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Simeone Chianese</cp:lastModifiedBy>
  <cp:revision>49</cp:revision>
  <cp:lastPrinted>2015-05-13T03:31:00Z</cp:lastPrinted>
  <dcterms:created xsi:type="dcterms:W3CDTF">2025-07-25T19:37:00Z</dcterms:created>
  <dcterms:modified xsi:type="dcterms:W3CDTF">2025-07-29T14:32:00Z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8bbfb9f8-5c62-43b9-86a2-3aa2d42e3a42</vt:lpwstr>
  </property>
</Properties>
</file>