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8411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8411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84115">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3345B0C" w:rsidR="00E978D0" w:rsidRPr="00B57B36" w:rsidRDefault="00684115" w:rsidP="00E978D0">
      <w:pPr>
        <w:pStyle w:val="CETTitle"/>
      </w:pPr>
      <w:r w:rsidRPr="00684115">
        <w:t>Comparative Performance Analysis of Green Hydrogen Purification via Pressure Swing Adsorption and Supersonic Separation</w:t>
      </w:r>
    </w:p>
    <w:p w14:paraId="0488FED2" w14:textId="69D2592D" w:rsidR="00B57E6F" w:rsidRPr="00907E7D" w:rsidRDefault="00362A63" w:rsidP="00B57E6F">
      <w:pPr>
        <w:pStyle w:val="CETAuthors"/>
        <w:rPr>
          <w:lang w:val="pt-BR"/>
        </w:rPr>
      </w:pPr>
      <w:r w:rsidRPr="00B26140">
        <w:rPr>
          <w:lang w:val="pt-BR"/>
        </w:rPr>
        <w:t xml:space="preserve">Yan V. </w:t>
      </w:r>
      <w:r w:rsidR="00EB058B" w:rsidRPr="00B26140">
        <w:rPr>
          <w:lang w:val="pt-BR"/>
        </w:rPr>
        <w:t xml:space="preserve">S. </w:t>
      </w:r>
      <w:r w:rsidRPr="00B26140">
        <w:rPr>
          <w:lang w:val="pt-BR"/>
        </w:rPr>
        <w:t>Rodrigues</w:t>
      </w:r>
      <w:r w:rsidR="00B57E6F" w:rsidRPr="00B26140">
        <w:rPr>
          <w:vertAlign w:val="superscript"/>
          <w:lang w:val="pt-BR"/>
        </w:rPr>
        <w:t>a</w:t>
      </w:r>
      <w:r w:rsidR="006F4D4E" w:rsidRPr="00B26140">
        <w:rPr>
          <w:vertAlign w:val="superscript"/>
          <w:lang w:val="pt-BR"/>
        </w:rPr>
        <w:t>,*</w:t>
      </w:r>
      <w:r w:rsidR="00B57E6F" w:rsidRPr="00B26140">
        <w:rPr>
          <w:lang w:val="pt-BR"/>
        </w:rPr>
        <w:t xml:space="preserve">, </w:t>
      </w:r>
      <w:r w:rsidRPr="00B26140">
        <w:rPr>
          <w:lang w:val="pt-BR"/>
        </w:rPr>
        <w:t xml:space="preserve">Leonardo </w:t>
      </w:r>
      <w:r w:rsidR="004B4D5D" w:rsidRPr="00B26140">
        <w:rPr>
          <w:lang w:val="pt-BR"/>
        </w:rPr>
        <w:t>O. S. Santana</w:t>
      </w:r>
      <w:r w:rsidR="006F4D4E" w:rsidRPr="00B26140">
        <w:rPr>
          <w:vertAlign w:val="superscript"/>
          <w:lang w:val="pt-BR"/>
        </w:rPr>
        <w:t>a</w:t>
      </w:r>
      <w:r w:rsidR="00B57E6F" w:rsidRPr="00B26140">
        <w:rPr>
          <w:lang w:val="pt-BR"/>
        </w:rPr>
        <w:t xml:space="preserve">, </w:t>
      </w:r>
      <w:r w:rsidR="004B4D5D" w:rsidRPr="00B26140">
        <w:rPr>
          <w:lang w:val="pt-BR"/>
        </w:rPr>
        <w:t xml:space="preserve">Gustavo S. </w:t>
      </w:r>
      <w:r w:rsidR="00117DEE">
        <w:rPr>
          <w:lang w:val="pt-BR"/>
        </w:rPr>
        <w:t xml:space="preserve">dos </w:t>
      </w:r>
      <w:r w:rsidR="004B4D5D" w:rsidRPr="00B26140">
        <w:rPr>
          <w:lang w:val="pt-BR"/>
        </w:rPr>
        <w:t>Santos</w:t>
      </w:r>
      <w:r w:rsidR="00B26140" w:rsidRPr="00B26140">
        <w:rPr>
          <w:vertAlign w:val="superscript"/>
          <w:lang w:val="pt-BR"/>
        </w:rPr>
        <w:t>a</w:t>
      </w:r>
      <w:r w:rsidR="004B4D5D" w:rsidRPr="00B26140">
        <w:rPr>
          <w:lang w:val="pt-BR"/>
        </w:rPr>
        <w:t>,</w:t>
      </w:r>
      <w:r w:rsidR="009A0FE2">
        <w:rPr>
          <w:lang w:val="pt-BR"/>
        </w:rPr>
        <w:t xml:space="preserve"> </w:t>
      </w:r>
      <w:r w:rsidR="009A0FE2" w:rsidRPr="00B26140">
        <w:rPr>
          <w:lang w:val="pt-BR"/>
        </w:rPr>
        <w:t>Victor L. S. Dias</w:t>
      </w:r>
      <w:r w:rsidR="009A0FE2" w:rsidRPr="00B26140">
        <w:rPr>
          <w:vertAlign w:val="superscript"/>
          <w:lang w:val="pt-BR"/>
        </w:rPr>
        <w:t>a</w:t>
      </w:r>
      <w:r w:rsidR="009A0FE2">
        <w:rPr>
          <w:lang w:val="pt-BR"/>
        </w:rPr>
        <w:t xml:space="preserve">, </w:t>
      </w:r>
      <w:r w:rsidR="004B4D5D" w:rsidRPr="00B26140">
        <w:rPr>
          <w:lang w:val="pt-BR"/>
        </w:rPr>
        <w:t>Jonatas</w:t>
      </w:r>
      <w:r w:rsidR="00371962">
        <w:rPr>
          <w:lang w:val="pt-BR"/>
        </w:rPr>
        <w:t xml:space="preserve"> de</w:t>
      </w:r>
      <w:r w:rsidR="004B4D5D" w:rsidRPr="00B26140">
        <w:rPr>
          <w:lang w:val="pt-BR"/>
        </w:rPr>
        <w:t xml:space="preserve"> </w:t>
      </w:r>
      <w:r w:rsidR="00907E7D" w:rsidRPr="00B26140">
        <w:rPr>
          <w:lang w:val="pt-BR"/>
        </w:rPr>
        <w:t>O. S. Cavalcante</w:t>
      </w:r>
      <w:r w:rsidR="00B26140" w:rsidRPr="00B26140">
        <w:rPr>
          <w:vertAlign w:val="superscript"/>
          <w:lang w:val="pt-BR"/>
        </w:rPr>
        <w:t>a</w:t>
      </w:r>
      <w:r w:rsidR="00907E7D" w:rsidRPr="00B26140">
        <w:rPr>
          <w:lang w:val="pt-BR"/>
        </w:rPr>
        <w:t>, Fernando L. P. Pessoa</w:t>
      </w:r>
      <w:r w:rsidR="00B26140" w:rsidRPr="00B26140">
        <w:rPr>
          <w:vertAlign w:val="superscript"/>
          <w:lang w:val="pt-BR"/>
        </w:rPr>
        <w:t>a</w:t>
      </w:r>
    </w:p>
    <w:p w14:paraId="6B2D21B3" w14:textId="1B1EDAAE" w:rsidR="00B57E6F" w:rsidRPr="00DA539D" w:rsidRDefault="00B57E6F" w:rsidP="00B57E6F">
      <w:pPr>
        <w:pStyle w:val="CETAddress"/>
        <w:rPr>
          <w:lang w:val="pt-BR"/>
        </w:rPr>
      </w:pPr>
      <w:r w:rsidRPr="00AC65EE">
        <w:rPr>
          <w:vertAlign w:val="superscript"/>
          <w:lang w:val="pt-BR"/>
        </w:rPr>
        <w:t>a</w:t>
      </w:r>
      <w:r w:rsidR="00DA539D" w:rsidRPr="00AC65EE">
        <w:rPr>
          <w:lang w:val="pt-BR"/>
        </w:rPr>
        <w:t xml:space="preserve">SENAI CIMATEC University, Av. </w:t>
      </w:r>
      <w:r w:rsidR="00DA539D" w:rsidRPr="00DA539D">
        <w:rPr>
          <w:lang w:val="pt-BR"/>
        </w:rPr>
        <w:t>Orlando Gomes, 1845 - Piatã, Salvador - BA, 41650-010, Brazil.</w:t>
      </w:r>
      <w:r w:rsidRPr="00DA539D">
        <w:rPr>
          <w:lang w:val="pt-BR"/>
        </w:rPr>
        <w:t xml:space="preserve"> </w:t>
      </w:r>
    </w:p>
    <w:p w14:paraId="73F1267A" w14:textId="00DE19FE" w:rsidR="00B57E6F" w:rsidRPr="00E52FEE" w:rsidRDefault="00B60F2C" w:rsidP="00B57E6F">
      <w:pPr>
        <w:pStyle w:val="CETemail"/>
        <w:rPr>
          <w:lang w:val="pt-BR"/>
        </w:rPr>
      </w:pPr>
      <w:r w:rsidRPr="00E52FEE">
        <w:rPr>
          <w:lang w:val="pt-BR"/>
        </w:rPr>
        <w:t>yan.valdez@fieb.org.br</w:t>
      </w:r>
    </w:p>
    <w:p w14:paraId="67FE84A5" w14:textId="444D0FF6" w:rsidR="0024687E" w:rsidRPr="0073121F" w:rsidRDefault="000F4E24" w:rsidP="0024687E">
      <w:pPr>
        <w:pStyle w:val="CETBodytext"/>
      </w:pPr>
      <w:r w:rsidRPr="000F4E24">
        <w:t xml:space="preserve">Hydrogen purification is a critical step in ensuring fuel quality for industrial and energy applications, particularly in processes following water electrolysis. This study compares two purification technologies—Pressure Swing Adsorption (PSA) and Supersonic Separation (SS)—through steady-state simulations in Aspen Plus. The PSA model was developed using literature-based adsorption parameters, while the SS model is a reduced-order version derived from Aspen HYSYS simulations and implemented using an Excel-integrated Calculator block. The evaluation considered hydrogen purity, energy demand, operational feasibility, and scalability. PSA achieved 99.999% purity with 99.7% efficiency, whereas SS reached 99.95% efficiency under similar conditions. While PSA relies on </w:t>
      </w:r>
      <w:proofErr w:type="gramStart"/>
      <w:r w:rsidRPr="000F4E24">
        <w:t>dual-column</w:t>
      </w:r>
      <w:proofErr w:type="gramEnd"/>
      <w:r w:rsidRPr="000F4E24">
        <w:t xml:space="preserve"> cycling with adsorbent regeneration, SS uses high-speed expansion to induce phase change and simplify water removal. The absence of adsorbent use in SS reduces material costs and maintenance needs, though it demands precise thermodynamic control. The findings provide insights into selecting purification technologies based on energy efficiency, system complexity, and throughput, supporting decision-making in green hydrogen production chains.</w:t>
      </w:r>
    </w:p>
    <w:p w14:paraId="476B2F2E" w14:textId="52B36035" w:rsidR="00600535" w:rsidRPr="003108AD" w:rsidRDefault="00600535" w:rsidP="00DA09A1">
      <w:pPr>
        <w:pStyle w:val="CETHeading1"/>
        <w:tabs>
          <w:tab w:val="right" w:pos="7100"/>
        </w:tabs>
        <w:jc w:val="both"/>
        <w:rPr>
          <w:lang w:val="en-GB"/>
        </w:rPr>
      </w:pPr>
      <w:r w:rsidRPr="003108AD">
        <w:rPr>
          <w:lang w:val="en-GB"/>
        </w:rPr>
        <w:t>Introduction</w:t>
      </w:r>
    </w:p>
    <w:p w14:paraId="78538D1A" w14:textId="2E36E7B8" w:rsidR="00A75FB0" w:rsidRPr="003108AD" w:rsidRDefault="00A75FB0" w:rsidP="00A75FB0">
      <w:pPr>
        <w:pStyle w:val="CETBodytext"/>
      </w:pPr>
      <w:r w:rsidRPr="003108AD">
        <w:t xml:space="preserve">Green hydrogen, produced </w:t>
      </w:r>
      <w:r w:rsidR="00C85939" w:rsidRPr="003108AD">
        <w:t xml:space="preserve">via </w:t>
      </w:r>
      <w:r w:rsidRPr="003108AD">
        <w:t xml:space="preserve">electrolysis, is increasingly recognized as a key energy carrier in the transition to a low-carbon economy. In this process, electricity from renewable sources is used to split water molecules, </w:t>
      </w:r>
      <w:r w:rsidR="008F0C23" w:rsidRPr="003108AD">
        <w:t>prod</w:t>
      </w:r>
      <w:r w:rsidR="004A0FD3" w:rsidRPr="003108AD">
        <w:t>u</w:t>
      </w:r>
      <w:r w:rsidR="0039557A" w:rsidRPr="003108AD">
        <w:t xml:space="preserve">cing </w:t>
      </w:r>
      <w:r w:rsidRPr="003108AD">
        <w:t xml:space="preserve">hydrogen without </w:t>
      </w:r>
      <w:r w:rsidR="00393C24" w:rsidRPr="003108AD">
        <w:t>emission of</w:t>
      </w:r>
      <w:r w:rsidRPr="003108AD">
        <w:t xml:space="preserve"> greenhouse gases. Despite its growing industrial use, the widespread adoption of green hydrogen still faces significant challenges, particularly </w:t>
      </w:r>
      <w:r w:rsidR="00393C24" w:rsidRPr="003108AD">
        <w:t>due to</w:t>
      </w:r>
      <w:r w:rsidR="00B638E7" w:rsidRPr="003108AD">
        <w:t xml:space="preserve"> </w:t>
      </w:r>
      <w:r w:rsidRPr="003108AD">
        <w:t xml:space="preserve">the high costs associated with its production, storage, transportation, and the substantial </w:t>
      </w:r>
      <w:r w:rsidR="00B638E7" w:rsidRPr="003108AD">
        <w:t xml:space="preserve">electricity demand </w:t>
      </w:r>
      <w:r w:rsidRPr="003108AD">
        <w:t>(Dos Santos et al., 2023).</w:t>
      </w:r>
    </w:p>
    <w:p w14:paraId="38590998" w14:textId="705C81E8" w:rsidR="00A75FB0" w:rsidRPr="003108AD" w:rsidRDefault="00A75FB0" w:rsidP="00A75FB0">
      <w:pPr>
        <w:pStyle w:val="CETBodytext"/>
      </w:pPr>
      <w:r w:rsidRPr="003108AD">
        <w:t xml:space="preserve">Among these challenges, achieving the required hydrogen purity is </w:t>
      </w:r>
      <w:r w:rsidR="00EB5556" w:rsidRPr="003108AD">
        <w:t>crucial</w:t>
      </w:r>
      <w:r w:rsidRPr="003108AD">
        <w:t>, as many industrial applications—particularly fuel cells—</w:t>
      </w:r>
      <w:r w:rsidR="000349F6" w:rsidRPr="003108AD">
        <w:t xml:space="preserve">require </w:t>
      </w:r>
      <w:r w:rsidRPr="003108AD">
        <w:t xml:space="preserve">exceptionally </w:t>
      </w:r>
      <w:r w:rsidR="000349F6" w:rsidRPr="003108AD">
        <w:t xml:space="preserve">high-purity </w:t>
      </w:r>
      <w:r w:rsidRPr="003108AD">
        <w:t>hydrogen. Hydrogen produced via electrolysis contains trace impurities such as oxygen (O</w:t>
      </w:r>
      <w:r w:rsidRPr="003108AD">
        <w:rPr>
          <w:rFonts w:ascii="Cambria Math" w:hAnsi="Cambria Math" w:cs="Cambria Math"/>
        </w:rPr>
        <w:t>₂</w:t>
      </w:r>
      <w:r w:rsidRPr="003108AD">
        <w:t>) and water vapor (H</w:t>
      </w:r>
      <w:r w:rsidRPr="003108AD">
        <w:rPr>
          <w:rFonts w:ascii="Cambria Math" w:hAnsi="Cambria Math" w:cs="Cambria Math"/>
        </w:rPr>
        <w:t>₂</w:t>
      </w:r>
      <w:r w:rsidRPr="003108AD">
        <w:t xml:space="preserve">O), which must be removed to </w:t>
      </w:r>
      <w:r w:rsidR="00D05414" w:rsidRPr="003108AD">
        <w:t xml:space="preserve">meet the purity requirements </w:t>
      </w:r>
      <w:r w:rsidRPr="003108AD">
        <w:t>established by ISO 14687:2019.</w:t>
      </w:r>
      <w:r w:rsidR="00393C24" w:rsidRPr="003108AD">
        <w:t xml:space="preserve"> </w:t>
      </w:r>
      <w:r w:rsidR="00E24248" w:rsidRPr="003108AD">
        <w:t xml:space="preserve">Insufficient </w:t>
      </w:r>
      <w:r w:rsidRPr="003108AD">
        <w:t xml:space="preserve">purification can significantly </w:t>
      </w:r>
      <w:r w:rsidR="00E24248" w:rsidRPr="003108AD">
        <w:t xml:space="preserve">impact </w:t>
      </w:r>
      <w:r w:rsidRPr="003108AD">
        <w:t>the efficiency of downstream processes. Therefore, the development of innovative and highly efficient purification technologies is essential (Santana et al., 2023).</w:t>
      </w:r>
    </w:p>
    <w:p w14:paraId="4AD1DC77" w14:textId="2FE94653" w:rsidR="00A75FB0" w:rsidRPr="003108AD" w:rsidRDefault="00A75FB0" w:rsidP="00A75FB0">
      <w:pPr>
        <w:pStyle w:val="CETBodytext"/>
      </w:pPr>
      <w:r w:rsidRPr="003108AD">
        <w:t xml:space="preserve">To meet </w:t>
      </w:r>
      <w:r w:rsidR="000E0B1A" w:rsidRPr="003108AD">
        <w:t xml:space="preserve">these </w:t>
      </w:r>
      <w:r w:rsidRPr="003108AD">
        <w:t xml:space="preserve">purity requirements, </w:t>
      </w:r>
      <w:r w:rsidR="00B06334" w:rsidRPr="003108AD">
        <w:t xml:space="preserve">integrated </w:t>
      </w:r>
      <w:r w:rsidRPr="003108AD">
        <w:t xml:space="preserve">systems </w:t>
      </w:r>
      <w:r w:rsidR="0035520D" w:rsidRPr="003108AD">
        <w:t xml:space="preserve">combining </w:t>
      </w:r>
      <w:r w:rsidRPr="003108AD">
        <w:t>catalytic deoxidation (</w:t>
      </w:r>
      <w:proofErr w:type="spellStart"/>
      <w:r w:rsidRPr="003108AD">
        <w:t>Deoxo</w:t>
      </w:r>
      <w:proofErr w:type="spellEnd"/>
      <w:r w:rsidRPr="003108AD">
        <w:t xml:space="preserve">) and Pressure Swing Adsorption (PSA) are commonly employed. PSA is a well-established technology that </w:t>
      </w:r>
      <w:r w:rsidR="0075201E" w:rsidRPr="003108AD">
        <w:rPr>
          <w:lang w:val="en-GB"/>
        </w:rPr>
        <w:t xml:space="preserve">exploits </w:t>
      </w:r>
      <w:r w:rsidRPr="003108AD">
        <w:t xml:space="preserve">the differential </w:t>
      </w:r>
      <w:r w:rsidR="00851867" w:rsidRPr="003108AD">
        <w:rPr>
          <w:lang w:val="en-GB"/>
        </w:rPr>
        <w:t xml:space="preserve">affinities </w:t>
      </w:r>
      <w:r w:rsidRPr="003108AD">
        <w:t xml:space="preserve">of gases </w:t>
      </w:r>
      <w:r w:rsidR="00851867" w:rsidRPr="003108AD">
        <w:t>for</w:t>
      </w:r>
      <w:r w:rsidRPr="003108AD">
        <w:t xml:space="preserve"> adsorbent materials under varying pressures, </w:t>
      </w:r>
      <w:r w:rsidR="00EA7E1A" w:rsidRPr="003108AD">
        <w:t xml:space="preserve">providing </w:t>
      </w:r>
      <w:r w:rsidRPr="003108AD">
        <w:t xml:space="preserve">high selectivity in </w:t>
      </w:r>
      <w:r w:rsidR="00305CB3" w:rsidRPr="003108AD">
        <w:rPr>
          <w:lang w:val="en-GB"/>
        </w:rPr>
        <w:t>impurity removal</w:t>
      </w:r>
      <w:r w:rsidRPr="003108AD">
        <w:t xml:space="preserve">. However, limitations </w:t>
      </w:r>
      <w:r w:rsidR="001C7B19" w:rsidRPr="003108AD">
        <w:rPr>
          <w:lang w:val="en-GB"/>
        </w:rPr>
        <w:t>remain</w:t>
      </w:r>
      <w:r w:rsidR="008D3ACF" w:rsidRPr="003108AD">
        <w:rPr>
          <w:lang w:val="en-GB"/>
        </w:rPr>
        <w:t>,</w:t>
      </w:r>
      <w:r w:rsidRPr="003108AD">
        <w:t xml:space="preserve"> </w:t>
      </w:r>
      <w:r w:rsidR="008D3ACF" w:rsidRPr="003108AD">
        <w:rPr>
          <w:lang w:val="en-GB"/>
        </w:rPr>
        <w:t xml:space="preserve">including </w:t>
      </w:r>
      <w:r w:rsidRPr="003108AD">
        <w:t>semi-continuous operation, frequent regeneration</w:t>
      </w:r>
      <w:r w:rsidR="008D3ACF" w:rsidRPr="003108AD">
        <w:t xml:space="preserve"> </w:t>
      </w:r>
      <w:r w:rsidR="008D3ACF" w:rsidRPr="003108AD">
        <w:rPr>
          <w:lang w:val="en-GB"/>
        </w:rPr>
        <w:t>requirements</w:t>
      </w:r>
      <w:r w:rsidRPr="003108AD">
        <w:t>, and efficiency losses due to pressurization and incomplete adsorption</w:t>
      </w:r>
      <w:r w:rsidR="00D93158" w:rsidRPr="003108AD">
        <w:t xml:space="preserve"> </w:t>
      </w:r>
      <w:r w:rsidRPr="003108AD">
        <w:t>(Du et al., 2021; Zito et al., 2015).</w:t>
      </w:r>
    </w:p>
    <w:p w14:paraId="7003AFAC" w14:textId="2B6CAA7F" w:rsidR="00A75FB0" w:rsidRPr="003108AD" w:rsidRDefault="00A75FB0" w:rsidP="00A75FB0">
      <w:pPr>
        <w:pStyle w:val="CETBodytext"/>
      </w:pPr>
      <w:r w:rsidRPr="003108AD">
        <w:t xml:space="preserve">To </w:t>
      </w:r>
      <w:r w:rsidR="00526BAF" w:rsidRPr="003108AD">
        <w:t>address</w:t>
      </w:r>
      <w:r w:rsidRPr="003108AD">
        <w:t xml:space="preserve"> some of these limitations, Supersonic Separators (SS) have been applied in natural gas purification and are emerging as a promising alternative for hydrogen purification. SS operates </w:t>
      </w:r>
      <w:r w:rsidR="00AF6952" w:rsidRPr="003108AD">
        <w:t>via</w:t>
      </w:r>
      <w:r w:rsidRPr="003108AD">
        <w:t xml:space="preserve"> adiabatic gas expansion in Laval nozzles, enabling selective condensation and centrifugal removal of impurities. This process is continuous, compact, and does not rely on adsorbents or regeneration cycles, </w:t>
      </w:r>
      <w:r w:rsidR="005C1775" w:rsidRPr="003108AD">
        <w:t>with</w:t>
      </w:r>
      <w:r w:rsidRPr="003108AD">
        <w:t xml:space="preserve"> extremely short residence times (Cao &amp; Bian, 2019; Ávila et al., 2022).</w:t>
      </w:r>
    </w:p>
    <w:p w14:paraId="0B1B722D" w14:textId="74C656FC" w:rsidR="006A4B0C" w:rsidRPr="003108AD" w:rsidRDefault="005439C6" w:rsidP="00A75FB0">
      <w:pPr>
        <w:pStyle w:val="CETBodytext"/>
      </w:pPr>
      <w:r w:rsidRPr="003108AD">
        <w:rPr>
          <w:lang w:val="en-GB"/>
        </w:rPr>
        <w:t xml:space="preserve">Despite the maturity </w:t>
      </w:r>
      <w:r w:rsidR="008C2ABE" w:rsidRPr="003108AD">
        <w:t>adsorption</w:t>
      </w:r>
      <w:r w:rsidR="007424E5" w:rsidRPr="003108AD">
        <w:t xml:space="preserve"> and supersonic separation</w:t>
      </w:r>
      <w:r w:rsidR="008C2ABE" w:rsidRPr="003108AD">
        <w:t xml:space="preserve"> </w:t>
      </w:r>
      <w:r w:rsidR="002814AC" w:rsidRPr="003108AD">
        <w:rPr>
          <w:lang w:val="en-GB"/>
        </w:rPr>
        <w:t>technologies</w:t>
      </w:r>
      <w:r w:rsidR="007424E5" w:rsidRPr="003108AD">
        <w:t xml:space="preserve">, </w:t>
      </w:r>
      <w:r w:rsidR="00170CEC" w:rsidRPr="003108AD">
        <w:rPr>
          <w:lang w:val="en-GB"/>
        </w:rPr>
        <w:t>there is a lack of comparative studies in the literature evaluating these methods for hydrogen purification</w:t>
      </w:r>
      <w:r w:rsidR="00DA37E5" w:rsidRPr="003108AD">
        <w:t xml:space="preserve">. </w:t>
      </w:r>
      <w:r w:rsidR="00AC6690" w:rsidRPr="003108AD">
        <w:rPr>
          <w:lang w:val="en-GB"/>
        </w:rPr>
        <w:t xml:space="preserve">Most studies </w:t>
      </w:r>
      <w:r w:rsidR="00B1763A" w:rsidRPr="003108AD">
        <w:t>focus</w:t>
      </w:r>
      <w:r w:rsidR="00DA37E5" w:rsidRPr="003108AD">
        <w:t xml:space="preserve"> on </w:t>
      </w:r>
      <w:r w:rsidR="00163E4E" w:rsidRPr="003108AD">
        <w:rPr>
          <w:lang w:val="en-GB"/>
        </w:rPr>
        <w:t xml:space="preserve">various </w:t>
      </w:r>
      <w:r w:rsidR="008C7E10" w:rsidRPr="003108AD">
        <w:t xml:space="preserve">applications of PSA </w:t>
      </w:r>
      <w:r w:rsidR="00D9238E" w:rsidRPr="003108AD">
        <w:rPr>
          <w:lang w:val="en-GB"/>
        </w:rPr>
        <w:t>in systems targeting hydrogen purity and process optimization</w:t>
      </w:r>
      <w:r w:rsidR="00B1763A" w:rsidRPr="003108AD">
        <w:t>,</w:t>
      </w:r>
      <w:r w:rsidR="00F9650F" w:rsidRPr="003108AD">
        <w:t xml:space="preserve"> </w:t>
      </w:r>
      <w:r w:rsidR="00D20AF4" w:rsidRPr="003108AD">
        <w:rPr>
          <w:lang w:val="en-GB"/>
        </w:rPr>
        <w:t xml:space="preserve">while </w:t>
      </w:r>
      <w:r w:rsidR="002C5418" w:rsidRPr="003108AD">
        <w:rPr>
          <w:lang w:val="en-GB"/>
        </w:rPr>
        <w:t>SS</w:t>
      </w:r>
      <w:r w:rsidR="00D20AF4" w:rsidRPr="003108AD">
        <w:rPr>
          <w:lang w:val="en-GB"/>
        </w:rPr>
        <w:t xml:space="preserve"> has predominantly been applied to </w:t>
      </w:r>
      <w:r w:rsidR="00281317" w:rsidRPr="003108AD">
        <w:rPr>
          <w:lang w:val="en-GB"/>
        </w:rPr>
        <w:t xml:space="preserve">gas streams </w:t>
      </w:r>
      <w:r w:rsidR="00D20AF4" w:rsidRPr="003108AD">
        <w:rPr>
          <w:lang w:val="en-GB"/>
        </w:rPr>
        <w:t>in oil and gas processing</w:t>
      </w:r>
      <w:r w:rsidR="0091634A" w:rsidRPr="003108AD">
        <w:t>.</w:t>
      </w:r>
      <w:r w:rsidR="00F802B6" w:rsidRPr="003108AD">
        <w:t xml:space="preserve"> Therefore, cost estimation </w:t>
      </w:r>
      <w:r w:rsidR="007A764D" w:rsidRPr="003108AD">
        <w:rPr>
          <w:lang w:val="en-GB"/>
        </w:rPr>
        <w:t xml:space="preserve">remains highly uncertain </w:t>
      </w:r>
      <w:r w:rsidR="00ED0693" w:rsidRPr="003108AD">
        <w:t>when comparing both technologies</w:t>
      </w:r>
      <w:r w:rsidR="0011063F" w:rsidRPr="003108AD">
        <w:t xml:space="preserve">, </w:t>
      </w:r>
      <w:r w:rsidR="00EB76D7" w:rsidRPr="003108AD">
        <w:rPr>
          <w:lang w:val="en-GB"/>
        </w:rPr>
        <w:t xml:space="preserve">and the impact of SS modifications on the levelized cost of hydrogen has been scarcely investigated </w:t>
      </w:r>
      <w:r w:rsidR="004B04EA" w:rsidRPr="003108AD">
        <w:t>(</w:t>
      </w:r>
      <w:proofErr w:type="spellStart"/>
      <w:r w:rsidR="004B04EA" w:rsidRPr="003108AD">
        <w:t>Burguers</w:t>
      </w:r>
      <w:proofErr w:type="spellEnd"/>
      <w:r w:rsidR="004B04EA" w:rsidRPr="003108AD">
        <w:t xml:space="preserve"> et al. 2022; </w:t>
      </w:r>
      <w:proofErr w:type="spellStart"/>
      <w:r w:rsidR="000C2970" w:rsidRPr="003108AD">
        <w:t>Shooshtari</w:t>
      </w:r>
      <w:proofErr w:type="spellEnd"/>
      <w:r w:rsidR="000C2970" w:rsidRPr="003108AD">
        <w:t xml:space="preserve"> &amp; </w:t>
      </w:r>
      <w:proofErr w:type="spellStart"/>
      <w:r w:rsidR="000C2970" w:rsidRPr="003108AD">
        <w:t>Shahsavand</w:t>
      </w:r>
      <w:proofErr w:type="spellEnd"/>
      <w:r w:rsidR="005D29CC" w:rsidRPr="003108AD">
        <w:t>, 2023</w:t>
      </w:r>
      <w:r w:rsidR="004B04EA" w:rsidRPr="003108AD">
        <w:t>)</w:t>
      </w:r>
      <w:r w:rsidR="0027557F" w:rsidRPr="003108AD">
        <w:t>.</w:t>
      </w:r>
    </w:p>
    <w:p w14:paraId="132C1004" w14:textId="2A25A3A6" w:rsidR="00DA09A1" w:rsidRPr="00DA09A1" w:rsidRDefault="009F5A01" w:rsidP="00600535">
      <w:pPr>
        <w:pStyle w:val="CETBodytext"/>
        <w:rPr>
          <w:lang w:val="en-GB"/>
        </w:rPr>
      </w:pPr>
      <w:r w:rsidRPr="003108AD">
        <w:rPr>
          <w:lang w:val="en-GB"/>
        </w:rPr>
        <w:t xml:space="preserve">This study presents a comparative analysis of the performance of two purification methods—Pressure Swing Adsorption (PSA) and Supersonic Separation (SS)—with a focus on their technical efficiency and potential impact on the overall cost of hydrogen production. Both models were developed in Aspen Plus, supported by a custom Excel extension. The PSA model is based on literature data concerning hydrogen adsorption, whereas the SS model was implemented as a reduced-order model derived from Aspen HYSYS simulations. The analysis focuses on the purification stage following the deoxidizer unit in </w:t>
      </w:r>
      <w:proofErr w:type="spellStart"/>
      <w:r w:rsidRPr="003108AD">
        <w:rPr>
          <w:lang w:val="en-GB"/>
        </w:rPr>
        <w:t>electrolyzer</w:t>
      </w:r>
      <w:proofErr w:type="spellEnd"/>
      <w:r w:rsidRPr="003108AD">
        <w:rPr>
          <w:lang w:val="en-GB"/>
        </w:rPr>
        <w:t>-based hydrogen production.</w:t>
      </w:r>
    </w:p>
    <w:p w14:paraId="5741900F" w14:textId="1C0EE449" w:rsidR="00453E24" w:rsidRPr="00DA09A1" w:rsidRDefault="00510570" w:rsidP="00DA09A1">
      <w:pPr>
        <w:pStyle w:val="CETHeading1"/>
        <w:tabs>
          <w:tab w:val="right" w:pos="7100"/>
        </w:tabs>
        <w:jc w:val="both"/>
        <w:rPr>
          <w:lang w:val="en-GB"/>
        </w:rPr>
      </w:pPr>
      <w:r w:rsidRPr="00DA09A1">
        <w:rPr>
          <w:lang w:val="en-GB"/>
        </w:rPr>
        <w:t>Methodology</w:t>
      </w:r>
    </w:p>
    <w:p w14:paraId="1616E0F8" w14:textId="5F72884A" w:rsidR="00494269" w:rsidRPr="003108AD" w:rsidRDefault="00494269" w:rsidP="00494269">
      <w:pPr>
        <w:pStyle w:val="CETBodytext"/>
      </w:pPr>
      <w:r w:rsidRPr="003108AD">
        <w:t>This study is structured into three phases:</w:t>
      </w:r>
      <w:r w:rsidR="00DB6AB8" w:rsidRPr="003108AD">
        <w:t xml:space="preserve"> (I)</w:t>
      </w:r>
      <w:r w:rsidRPr="003108AD">
        <w:t xml:space="preserve"> the PSA model, </w:t>
      </w:r>
      <w:r w:rsidR="00DB6AB8" w:rsidRPr="003108AD">
        <w:t xml:space="preserve">(II) </w:t>
      </w:r>
      <w:r w:rsidRPr="003108AD">
        <w:t>the SS model, and</w:t>
      </w:r>
      <w:r w:rsidR="00DB6AB8" w:rsidRPr="003108AD">
        <w:t xml:space="preserve"> (III)</w:t>
      </w:r>
      <w:r w:rsidRPr="003108AD">
        <w:t xml:space="preserve"> the performance </w:t>
      </w:r>
      <w:r w:rsidR="00DB6AB8" w:rsidRPr="003108AD">
        <w:t>criteria</w:t>
      </w:r>
      <w:r w:rsidRPr="003108AD">
        <w:t xml:space="preserve">. Each of these </w:t>
      </w:r>
      <w:r w:rsidR="00947273" w:rsidRPr="003108AD">
        <w:t>steps</w:t>
      </w:r>
      <w:r w:rsidRPr="003108AD">
        <w:t xml:space="preserve"> will be explored in detail in the following subsections, which outline the modeling techniques and parameters used to evaluate the efficiency of the hydrogen purification processes.</w:t>
      </w:r>
    </w:p>
    <w:p w14:paraId="425A998F" w14:textId="7F1940C3" w:rsidR="00494269" w:rsidRPr="003108AD" w:rsidRDefault="00494269" w:rsidP="00494269">
      <w:pPr>
        <w:pStyle w:val="CETBodytext"/>
      </w:pPr>
      <w:r w:rsidRPr="003108AD">
        <w:t xml:space="preserve">In addition to the steps discussed in the subsequent sections, the Proton Exchange Membrane (PEM) </w:t>
      </w:r>
      <w:proofErr w:type="spellStart"/>
      <w:r w:rsidRPr="003108AD">
        <w:t>electrolyzer</w:t>
      </w:r>
      <w:proofErr w:type="spellEnd"/>
      <w:r w:rsidRPr="003108AD">
        <w:t xml:space="preserve"> model was</w:t>
      </w:r>
      <w:r w:rsidR="000E3ED8" w:rsidRPr="003108AD">
        <w:t xml:space="preserve"> developed as a plug-in in Aspen </w:t>
      </w:r>
      <w:r w:rsidR="004D59DE" w:rsidRPr="003108AD">
        <w:t>P</w:t>
      </w:r>
      <w:r w:rsidR="000E3ED8" w:rsidRPr="003108AD">
        <w:t>lus v</w:t>
      </w:r>
      <w:r w:rsidR="00286EDE" w:rsidRPr="003108AD">
        <w:t>.</w:t>
      </w:r>
      <w:r w:rsidR="000E3ED8" w:rsidRPr="003108AD">
        <w:t>14</w:t>
      </w:r>
      <w:r w:rsidRPr="003108AD">
        <w:t xml:space="preserve"> to provide the input for the PSA and SS models</w:t>
      </w:r>
      <w:r w:rsidR="00BE47AA">
        <w:t xml:space="preserve"> </w:t>
      </w:r>
      <w:r w:rsidR="00861B4C">
        <w:t>(</w:t>
      </w:r>
      <w:r w:rsidR="00861B4C" w:rsidRPr="003108AD">
        <w:t>Bispo et al.</w:t>
      </w:r>
      <w:r w:rsidR="00861B4C">
        <w:t>,</w:t>
      </w:r>
      <w:r w:rsidR="00861B4C" w:rsidRPr="003108AD">
        <w:t xml:space="preserve"> 2024)</w:t>
      </w:r>
      <w:r w:rsidRPr="003108AD">
        <w:t xml:space="preserve">. The hydrogen production </w:t>
      </w:r>
      <w:r w:rsidR="00B43489" w:rsidRPr="003108AD">
        <w:t>stream</w:t>
      </w:r>
      <w:r w:rsidRPr="003108AD">
        <w:t xml:space="preserve"> from the PEM </w:t>
      </w:r>
      <w:proofErr w:type="spellStart"/>
      <w:r w:rsidRPr="003108AD">
        <w:t>electrolyzer</w:t>
      </w:r>
      <w:proofErr w:type="spellEnd"/>
      <w:r w:rsidRPr="003108AD">
        <w:t xml:space="preserve"> serves as the input stream for both the PSA and SS purification processes, ensuring an integrated approach to the study.</w:t>
      </w:r>
    </w:p>
    <w:p w14:paraId="7A4517B0" w14:textId="28831D19" w:rsidR="004750BF" w:rsidRPr="003108AD" w:rsidRDefault="00B43489" w:rsidP="00453E24">
      <w:pPr>
        <w:pStyle w:val="CETBodytext"/>
      </w:pPr>
      <w:r w:rsidRPr="003108AD">
        <w:t>T</w:t>
      </w:r>
      <w:r w:rsidR="00494269" w:rsidRPr="003108AD">
        <w:t>he</w:t>
      </w:r>
      <w:r w:rsidRPr="003108AD">
        <w:t xml:space="preserve"> </w:t>
      </w:r>
      <w:r w:rsidR="009820EB" w:rsidRPr="003108AD">
        <w:t xml:space="preserve">base </w:t>
      </w:r>
      <w:r w:rsidRPr="003108AD">
        <w:t>plant</w:t>
      </w:r>
      <w:r w:rsidR="00494269" w:rsidRPr="003108AD">
        <w:t xml:space="preserve"> capacity is 200</w:t>
      </w:r>
      <w:r w:rsidR="003467D4" w:rsidRPr="003108AD">
        <w:t xml:space="preserve"> MW</w:t>
      </w:r>
      <w:r w:rsidR="00494269" w:rsidRPr="003108AD">
        <w:t>, align</w:t>
      </w:r>
      <w:r w:rsidRPr="003108AD">
        <w:t>ed</w:t>
      </w:r>
      <w:r w:rsidR="00494269" w:rsidRPr="003108AD">
        <w:t xml:space="preserve"> with the operational scales of real-world projects currently under development in Brazil, as outlined in recent reports by the National Confederation of Industry (CNI</w:t>
      </w:r>
      <w:r w:rsidRPr="003108AD">
        <w:t>, 20</w:t>
      </w:r>
      <w:r w:rsidR="00F31E5B" w:rsidRPr="003108AD">
        <w:t>24</w:t>
      </w:r>
      <w:r w:rsidR="00494269" w:rsidRPr="003108AD">
        <w:t>). This scale is consistent with large-scale, industrial hydrogen production systems and provides a practical basis for the analysis of hydrogen purification methods in real-world applications.</w:t>
      </w:r>
    </w:p>
    <w:p w14:paraId="0636B784" w14:textId="124624A7" w:rsidR="00453E24" w:rsidRPr="003108AD" w:rsidRDefault="001D1641" w:rsidP="00453E24">
      <w:pPr>
        <w:pStyle w:val="CETheadingx"/>
      </w:pPr>
      <w:r w:rsidRPr="003108AD">
        <w:t>PSA model</w:t>
      </w:r>
    </w:p>
    <w:p w14:paraId="6EA53C1F" w14:textId="415D5B7B" w:rsidR="00C64323" w:rsidRPr="003108AD" w:rsidRDefault="00C64323" w:rsidP="00C64323">
      <w:pPr>
        <w:pStyle w:val="CETBodytext"/>
      </w:pPr>
      <w:r w:rsidRPr="003108AD">
        <w:t>Although the PSA process is inherently transient, it was represented in Aspen Plus® using a steady-state approximation through a customized model. This model adopts a hierarchical structure incorporating a Calculator routine, which estimates H</w:t>
      </w:r>
      <w:r w:rsidRPr="003108AD">
        <w:rPr>
          <w:rFonts w:ascii="Cambria Math" w:hAnsi="Cambria Math" w:cs="Cambria Math"/>
        </w:rPr>
        <w:t>₂</w:t>
      </w:r>
      <w:r w:rsidRPr="003108AD">
        <w:t xml:space="preserve"> and water outputs based on the degree of H</w:t>
      </w:r>
      <w:r w:rsidRPr="003108AD">
        <w:rPr>
          <w:rFonts w:ascii="Cambria Math" w:hAnsi="Cambria Math" w:cs="Cambria Math"/>
        </w:rPr>
        <w:t>₂</w:t>
      </w:r>
      <w:r w:rsidRPr="003108AD">
        <w:t xml:space="preserve"> purification, operating pressure</w:t>
      </w:r>
      <w:r w:rsidR="00D73A44" w:rsidRPr="003108AD">
        <w:t>,</w:t>
      </w:r>
      <w:r w:rsidRPr="003108AD">
        <w:t xml:space="preserve"> and temperature, and the characteristics of the </w:t>
      </w:r>
      <w:proofErr w:type="spellStart"/>
      <w:r w:rsidRPr="003108AD">
        <w:t>NaX</w:t>
      </w:r>
      <w:proofErr w:type="spellEnd"/>
      <w:r w:rsidRPr="003108AD">
        <w:t xml:space="preserve"> adsorbent </w:t>
      </w:r>
      <w:r w:rsidR="00861B4C">
        <w:t>(</w:t>
      </w:r>
      <w:r w:rsidRPr="003108AD">
        <w:t>Zito et al.</w:t>
      </w:r>
      <w:r w:rsidR="00861B4C">
        <w:t>,</w:t>
      </w:r>
      <w:r w:rsidRPr="003108AD">
        <w:t xml:space="preserve"> 2015).</w:t>
      </w:r>
      <w:r w:rsidR="004F3F35">
        <w:t xml:space="preserve"> </w:t>
      </w:r>
      <w:proofErr w:type="spellStart"/>
      <w:r w:rsidR="004F3F35">
        <w:t>NaX</w:t>
      </w:r>
      <w:proofErr w:type="spellEnd"/>
      <w:r w:rsidR="009647EA">
        <w:t xml:space="preserve"> refers to the three-letters identification code adopted by the International Zeolite Association</w:t>
      </w:r>
      <w:r w:rsidR="00B21719">
        <w:t xml:space="preserve"> and identifies </w:t>
      </w:r>
      <w:r w:rsidR="00453458">
        <w:t>different structures</w:t>
      </w:r>
      <w:r w:rsidR="00F80D04">
        <w:t xml:space="preserve"> and properties of the adsorbent material.</w:t>
      </w:r>
      <w:r w:rsidR="00453458">
        <w:t xml:space="preserve"> </w:t>
      </w:r>
    </w:p>
    <w:p w14:paraId="54006579" w14:textId="16EF80A2" w:rsidR="00C64323" w:rsidRPr="003108AD" w:rsidRDefault="00C64323" w:rsidP="00C64323">
      <w:pPr>
        <w:pStyle w:val="CETBodytext"/>
      </w:pPr>
      <w:r w:rsidRPr="003108AD">
        <w:t>The adsorption behavior of H</w:t>
      </w:r>
      <w:r w:rsidRPr="003108AD">
        <w:rPr>
          <w:rFonts w:ascii="Cambria Math" w:hAnsi="Cambria Math" w:cs="Cambria Math"/>
        </w:rPr>
        <w:t>₂</w:t>
      </w:r>
      <w:r w:rsidRPr="003108AD">
        <w:t xml:space="preserve"> and water on </w:t>
      </w:r>
      <w:proofErr w:type="spellStart"/>
      <w:r w:rsidRPr="003108AD">
        <w:t>NaX</w:t>
      </w:r>
      <w:proofErr w:type="spellEnd"/>
      <w:r w:rsidRPr="003108AD">
        <w:t xml:space="preserve"> was derived from experimental isotherms and modeled using multivariate regression fitted to the Langmuir equation. Within the Calculator block, the model uses </w:t>
      </w:r>
      <w:r w:rsidR="00D73A44" w:rsidRPr="003108AD">
        <w:t>adsorbent</w:t>
      </w:r>
      <w:r w:rsidRPr="003108AD">
        <w:t xml:space="preserve"> </w:t>
      </w:r>
      <w:proofErr w:type="gramStart"/>
      <w:r w:rsidRPr="003108AD">
        <w:t>properties</w:t>
      </w:r>
      <w:proofErr w:type="gramEnd"/>
      <w:r w:rsidRPr="003108AD">
        <w:t xml:space="preserve"> and the inlet stream conditions</w:t>
      </w:r>
      <w:r w:rsidRPr="003108AD">
        <w:rPr>
          <w:rFonts w:cs="Arial"/>
        </w:rPr>
        <w:t xml:space="preserve"> (</w:t>
      </w:r>
      <w:r w:rsidRPr="003108AD">
        <w:t>temperature, pressure, and composition</w:t>
      </w:r>
      <w:r w:rsidRPr="003108AD">
        <w:rPr>
          <w:rFonts w:cs="Arial"/>
        </w:rPr>
        <w:t xml:space="preserve">) </w:t>
      </w:r>
      <w:r w:rsidRPr="003108AD">
        <w:t>to predict the performance of the PSA unit.</w:t>
      </w:r>
    </w:p>
    <w:p w14:paraId="628BA488" w14:textId="738DEE88" w:rsidR="006B4633" w:rsidRPr="003108AD" w:rsidRDefault="00BA517B" w:rsidP="00453E24">
      <w:pPr>
        <w:pStyle w:val="CETBodytext"/>
      </w:pPr>
      <w:r w:rsidRPr="00BA517B">
        <w:t>Assuming a fixed amount of 1 ton of adsorbent per column, the model determines the number of columns required, the amount of retained components, and the flow rate of the purified hydrogen stream.</w:t>
      </w:r>
    </w:p>
    <w:p w14:paraId="18BAFA6F" w14:textId="597C66DC" w:rsidR="00453E24" w:rsidRPr="003108AD" w:rsidRDefault="00300DDC" w:rsidP="00453E24">
      <w:pPr>
        <w:pStyle w:val="CETheadingx"/>
      </w:pPr>
      <w:r w:rsidRPr="003108AD">
        <w:t>SS model</w:t>
      </w:r>
    </w:p>
    <w:p w14:paraId="0C4AB41C" w14:textId="14AAC45F" w:rsidR="003941EA" w:rsidRPr="003108AD" w:rsidRDefault="003941EA" w:rsidP="007D5662">
      <w:pPr>
        <w:pStyle w:val="CETBodytext"/>
      </w:pPr>
      <w:r w:rsidRPr="003941EA">
        <w:t>The SS model was implemented in Aspen Plus® as a reduced-order model, built from simulations carried out using an in-house Unit Operation Extension (UOE) developed in Aspen HYSYS®. This UOE was designed to represent the full thermodynamic behavior of the SS, simulating the process from the adiabatic expansion of the gas stream to the subsequent subsonic recompression, enabling the prediction of condensed phase formation and its separation from the gas phase. The model was developed as part of a research project at SENAI CIMATEC</w:t>
      </w:r>
      <w:r w:rsidR="002B0FF3">
        <w:t xml:space="preserve"> University</w:t>
      </w:r>
      <w:r w:rsidRPr="003941EA">
        <w:t>.</w:t>
      </w:r>
    </w:p>
    <w:p w14:paraId="30489EB5" w14:textId="4E59C83D" w:rsidR="007D5662" w:rsidRPr="003108AD" w:rsidRDefault="007D5662" w:rsidP="007D5662">
      <w:pPr>
        <w:pStyle w:val="CETBodytext"/>
      </w:pPr>
      <w:r w:rsidRPr="003108AD">
        <w:t xml:space="preserve">The </w:t>
      </w:r>
      <w:r w:rsidR="00A55E89">
        <w:t>UOE</w:t>
      </w:r>
      <w:r w:rsidRPr="003108AD">
        <w:t xml:space="preserve"> receives as input variables the temperature, pressure, and composition of the feed stream, along with several SS specification parameters such as the shock Mach number, internal diameters, and lengths of the converging and diverging sections of the SS. As output, the </w:t>
      </w:r>
      <w:r w:rsidR="00A55E89">
        <w:t>UOE</w:t>
      </w:r>
      <w:r w:rsidRPr="003108AD">
        <w:t xml:space="preserve"> provides the temperature, pressure, and composition of the separated streams, as well as other relevant design variables, including the angles of the converging and diverging sections, the inlet Mach number, the throat area of the SS, and the shock temperature and pressure.</w:t>
      </w:r>
    </w:p>
    <w:p w14:paraId="7B2B5E0F" w14:textId="05C07DE3" w:rsidR="00464A08" w:rsidRPr="003108AD" w:rsidRDefault="007D5662" w:rsidP="007D5662">
      <w:pPr>
        <w:pStyle w:val="CETBodytext"/>
        <w:rPr>
          <w:lang w:val="en-GB"/>
        </w:rPr>
      </w:pPr>
      <w:r w:rsidRPr="003108AD">
        <w:t xml:space="preserve">Based on the results generated by the </w:t>
      </w:r>
      <w:r w:rsidR="00A55E89">
        <w:t>UOE</w:t>
      </w:r>
      <w:r w:rsidRPr="003108AD">
        <w:t>, a multivariate regression was performed to construct a simplified predictive model, which was then integrated into Aspen Plus® via a Calculator block. This reduced-order model allows efficient estimation of SS performance under varying operating conditions while preserving the thermodynamic behavior captured in the original simulations.</w:t>
      </w:r>
    </w:p>
    <w:p w14:paraId="018A319B" w14:textId="4886EC7D" w:rsidR="007D5662" w:rsidRPr="003108AD" w:rsidRDefault="00464A08" w:rsidP="007D5662">
      <w:pPr>
        <w:pStyle w:val="CETBodytext"/>
      </w:pPr>
      <w:r w:rsidRPr="003108AD">
        <w:rPr>
          <w:lang w:val="en-GB"/>
        </w:rPr>
        <w:t>In Aspen Plus®, the model returns the composition, temperature, and pressure of the purified hydrogen stream, along with the estimated values of recovery and separation efficiency based on the specified operating conditions.</w:t>
      </w:r>
    </w:p>
    <w:p w14:paraId="429285D7" w14:textId="0DD5ADFF" w:rsidR="00FD56D7" w:rsidRPr="00DA09A1" w:rsidRDefault="00FD56D7" w:rsidP="00DA09A1">
      <w:pPr>
        <w:pStyle w:val="CETheadingx"/>
      </w:pPr>
      <w:r w:rsidRPr="00DA09A1">
        <w:t>Performance criteria</w:t>
      </w:r>
    </w:p>
    <w:p w14:paraId="275475DC" w14:textId="416B896B" w:rsidR="006F2684" w:rsidRPr="003108AD" w:rsidRDefault="00637536" w:rsidP="00453E24">
      <w:pPr>
        <w:pStyle w:val="CETBodytext"/>
        <w:rPr>
          <w:lang w:val="en-GB"/>
        </w:rPr>
      </w:pPr>
      <w:r w:rsidRPr="003108AD">
        <w:rPr>
          <w:lang w:val="en-GB"/>
        </w:rPr>
        <w:t>Performance criteria are evaluated based on hydrogen purity and levelized cost. Initially, both PSA and SS strategies are designed to meet the 200</w:t>
      </w:r>
      <w:r w:rsidR="003467D4" w:rsidRPr="003108AD">
        <w:rPr>
          <w:lang w:val="en-GB"/>
        </w:rPr>
        <w:t xml:space="preserve"> MW</w:t>
      </w:r>
      <w:r w:rsidRPr="003108AD">
        <w:rPr>
          <w:lang w:val="en-GB"/>
        </w:rPr>
        <w:t xml:space="preserve"> plant specifications, and their performance outcomes are quantified</w:t>
      </w:r>
      <w:r w:rsidR="00FD771B" w:rsidRPr="003108AD">
        <w:rPr>
          <w:lang w:val="en-GB"/>
        </w:rPr>
        <w:t>;</w:t>
      </w:r>
      <w:r w:rsidR="00234F46" w:rsidRPr="003108AD">
        <w:rPr>
          <w:lang w:val="en-GB"/>
        </w:rPr>
        <w:t xml:space="preserve"> a </w:t>
      </w:r>
      <w:r w:rsidR="00FD771B" w:rsidRPr="003108AD">
        <w:rPr>
          <w:lang w:val="en-GB"/>
        </w:rPr>
        <w:t>sensitivity</w:t>
      </w:r>
      <w:r w:rsidR="00234F46" w:rsidRPr="003108AD">
        <w:rPr>
          <w:lang w:val="en-GB"/>
        </w:rPr>
        <w:t xml:space="preserve"> analysis is performed varying </w:t>
      </w:r>
      <w:r w:rsidR="00185D5D" w:rsidRPr="003108AD">
        <w:rPr>
          <w:lang w:val="en-GB"/>
        </w:rPr>
        <w:t>hydrogen production f</w:t>
      </w:r>
      <w:r w:rsidR="003F3E23" w:rsidRPr="003108AD">
        <w:rPr>
          <w:lang w:val="en-GB"/>
        </w:rPr>
        <w:t xml:space="preserve">or </w:t>
      </w:r>
      <w:r w:rsidR="00D73A44" w:rsidRPr="003108AD">
        <w:rPr>
          <w:lang w:val="en-GB"/>
        </w:rPr>
        <w:t>1</w:t>
      </w:r>
      <w:r w:rsidR="003F3E23" w:rsidRPr="003108AD">
        <w:rPr>
          <w:lang w:val="en-GB"/>
        </w:rPr>
        <w:t>00</w:t>
      </w:r>
      <w:r w:rsidR="003467D4" w:rsidRPr="003108AD">
        <w:rPr>
          <w:lang w:val="en-GB"/>
        </w:rPr>
        <w:t xml:space="preserve"> MW</w:t>
      </w:r>
      <w:r w:rsidR="003F3E23" w:rsidRPr="003108AD">
        <w:rPr>
          <w:lang w:val="en-GB"/>
        </w:rPr>
        <w:t xml:space="preserve"> and </w:t>
      </w:r>
      <w:r w:rsidR="00D73A44" w:rsidRPr="003108AD">
        <w:rPr>
          <w:lang w:val="en-GB"/>
        </w:rPr>
        <w:t>3</w:t>
      </w:r>
      <w:r w:rsidR="00E74F51" w:rsidRPr="003108AD">
        <w:rPr>
          <w:lang w:val="en-GB"/>
        </w:rPr>
        <w:t>00</w:t>
      </w:r>
      <w:r w:rsidR="003467D4" w:rsidRPr="003108AD">
        <w:rPr>
          <w:lang w:val="en-GB"/>
        </w:rPr>
        <w:t xml:space="preserve"> MW</w:t>
      </w:r>
      <w:r w:rsidRPr="003108AD">
        <w:rPr>
          <w:lang w:val="en-GB"/>
        </w:rPr>
        <w:t xml:space="preserve">. Subsequently, </w:t>
      </w:r>
      <w:r w:rsidR="00972AD4" w:rsidRPr="003108AD">
        <w:rPr>
          <w:lang w:val="en-GB"/>
        </w:rPr>
        <w:t>each strategy's key equipment, raw materials, and utilities costs</w:t>
      </w:r>
      <w:r w:rsidRPr="003108AD">
        <w:rPr>
          <w:lang w:val="en-GB"/>
        </w:rPr>
        <w:t xml:space="preserve"> are </w:t>
      </w:r>
      <w:r w:rsidR="00972AD4" w:rsidRPr="003108AD">
        <w:rPr>
          <w:lang w:val="en-GB"/>
        </w:rPr>
        <w:t>also considered</w:t>
      </w:r>
      <w:r w:rsidRPr="003108AD">
        <w:rPr>
          <w:lang w:val="en-GB"/>
        </w:rPr>
        <w:t>. Finally, the implementation of SS is assessed as a potential modification to the conventional electrolysis process</w:t>
      </w:r>
      <w:r w:rsidR="00DB6458" w:rsidRPr="003108AD">
        <w:rPr>
          <w:lang w:val="en-GB"/>
        </w:rPr>
        <w:t xml:space="preserve"> by accounting for the impact </w:t>
      </w:r>
      <w:r w:rsidR="00F45FD2" w:rsidRPr="003108AD">
        <w:rPr>
          <w:lang w:val="en-GB"/>
        </w:rPr>
        <w:t>on</w:t>
      </w:r>
      <w:r w:rsidR="00DB6458" w:rsidRPr="003108AD">
        <w:rPr>
          <w:lang w:val="en-GB"/>
        </w:rPr>
        <w:t xml:space="preserve"> the levelized hydrogen </w:t>
      </w:r>
      <w:r w:rsidR="007011BA" w:rsidRPr="003108AD">
        <w:rPr>
          <w:lang w:val="en-GB"/>
        </w:rPr>
        <w:t xml:space="preserve">purification </w:t>
      </w:r>
      <w:r w:rsidR="00DB6458" w:rsidRPr="003108AD">
        <w:rPr>
          <w:lang w:val="en-GB"/>
        </w:rPr>
        <w:t xml:space="preserve">cost if SS </w:t>
      </w:r>
      <w:r w:rsidR="00F45FD2" w:rsidRPr="003108AD">
        <w:rPr>
          <w:lang w:val="en-GB"/>
        </w:rPr>
        <w:t>is</w:t>
      </w:r>
      <w:r w:rsidR="00DB6458" w:rsidRPr="003108AD">
        <w:rPr>
          <w:lang w:val="en-GB"/>
        </w:rPr>
        <w:t xml:space="preserve"> implemented</w:t>
      </w:r>
      <w:r w:rsidRPr="003108AD">
        <w:rPr>
          <w:lang w:val="en-GB"/>
        </w:rPr>
        <w:t>.</w:t>
      </w:r>
    </w:p>
    <w:p w14:paraId="3240FF44" w14:textId="47F325B9" w:rsidR="00637536" w:rsidRPr="003108AD" w:rsidRDefault="00B13E26" w:rsidP="00453E24">
      <w:pPr>
        <w:pStyle w:val="CETBodytext"/>
      </w:pPr>
      <w:r w:rsidRPr="003108AD">
        <w:t>The supersonic</w:t>
      </w:r>
      <w:r w:rsidR="00CE01B9" w:rsidRPr="003108AD">
        <w:t xml:space="preserve"> </w:t>
      </w:r>
      <w:r w:rsidRPr="003108AD">
        <w:t>separator</w:t>
      </w:r>
      <w:r w:rsidR="00CE01B9" w:rsidRPr="003108AD">
        <w:t xml:space="preserve"> </w:t>
      </w:r>
      <w:r w:rsidR="00354A27" w:rsidRPr="003108AD">
        <w:t>equipment cost is estimated</w:t>
      </w:r>
      <w:r w:rsidR="00CE01B9" w:rsidRPr="003108AD">
        <w:t xml:space="preserve"> according to </w:t>
      </w:r>
      <w:r w:rsidR="004F778D" w:rsidRPr="003108AD">
        <w:t>Equation</w:t>
      </w:r>
      <w:r w:rsidR="00354A27" w:rsidRPr="003108AD">
        <w:t xml:space="preserve"> </w:t>
      </w:r>
      <w:r w:rsidR="004F778D" w:rsidRPr="003108AD">
        <w:fldChar w:fldCharType="begin"/>
      </w:r>
      <w:r w:rsidR="004F778D" w:rsidRPr="003108AD">
        <w:instrText xml:space="preserve"> REF _Ref198223345 \h </w:instrText>
      </w:r>
      <w:r w:rsidR="004F778D" w:rsidRPr="003108AD">
        <w:fldChar w:fldCharType="separate"/>
      </w:r>
      <w:r w:rsidR="004F778D" w:rsidRPr="003108AD">
        <w:t>(</w:t>
      </w:r>
      <w:r w:rsidR="004F778D" w:rsidRPr="003108AD">
        <w:rPr>
          <w:noProof/>
        </w:rPr>
        <w:t>1</w:t>
      </w:r>
      <w:r w:rsidR="004F778D" w:rsidRPr="003108AD">
        <w:t>)</w:t>
      </w:r>
      <w:r w:rsidR="004F778D" w:rsidRPr="003108AD">
        <w:fldChar w:fldCharType="end"/>
      </w:r>
      <w:r w:rsidR="008C040B">
        <w:t xml:space="preserve"> (</w:t>
      </w:r>
      <w:r w:rsidR="008C040B" w:rsidRPr="003108AD">
        <w:t>Magalhães 2019)</w:t>
      </w:r>
      <w:r w:rsidR="004F778D" w:rsidRPr="003108AD">
        <w:t xml:space="preserve">. </w:t>
      </w:r>
      <w:r w:rsidR="005A2A9B" w:rsidRPr="003108AD">
        <w:t>Since</w:t>
      </w:r>
      <w:r w:rsidR="00405B62" w:rsidRPr="003108AD">
        <w:t xml:space="preserve"> </w:t>
      </w:r>
      <w:r w:rsidR="005A2A9B" w:rsidRPr="003108AD">
        <w:t xml:space="preserve">the </w:t>
      </w:r>
      <w:r w:rsidR="00405B62" w:rsidRPr="003108AD">
        <w:t xml:space="preserve">input of </w:t>
      </w:r>
      <w:r w:rsidR="005A2A9B" w:rsidRPr="003108AD">
        <w:t xml:space="preserve">the </w:t>
      </w:r>
      <w:r w:rsidR="00405B62" w:rsidRPr="003108AD">
        <w:t>SS model is dimensioned according to PEM electrolysis outlet quality and operational conditions, only CAPEX and a</w:t>
      </w:r>
      <w:r w:rsidR="00E21845" w:rsidRPr="003108AD">
        <w:t>n O</w:t>
      </w:r>
      <w:r w:rsidR="00FD5599" w:rsidRPr="003108AD">
        <w:t xml:space="preserve">&amp;M of 10% CAPEX is assumed. </w:t>
      </w:r>
      <w:r w:rsidR="00DF64B0" w:rsidRPr="003108AD">
        <w:t>O&amp;M</w:t>
      </w:r>
      <w:r w:rsidR="00FD5599" w:rsidRPr="003108AD">
        <w:t xml:space="preserve"> cost is related to </w:t>
      </w:r>
      <w:r w:rsidR="005A2A9B" w:rsidRPr="003108AD">
        <w:t xml:space="preserve">the </w:t>
      </w:r>
      <w:r w:rsidR="00FD5599" w:rsidRPr="003108AD">
        <w:t xml:space="preserve">maintenance of </w:t>
      </w:r>
      <w:r w:rsidR="005A2A9B" w:rsidRPr="003108AD">
        <w:t xml:space="preserve">the </w:t>
      </w:r>
      <w:r w:rsidR="00FD5599" w:rsidRPr="003108AD">
        <w:t xml:space="preserve">SS structure </w:t>
      </w:r>
      <w:r w:rsidR="001E7A44" w:rsidRPr="003108AD">
        <w:t xml:space="preserve">and general </w:t>
      </w:r>
      <w:r w:rsidR="00CA32BA" w:rsidRPr="003108AD">
        <w:t>expenses;</w:t>
      </w:r>
      <w:r w:rsidR="007011BA" w:rsidRPr="003108AD">
        <w:t xml:space="preserve"> </w:t>
      </w:r>
      <w:r w:rsidR="00384C28" w:rsidRPr="003108AD">
        <w:t>A 10% estimate is adopted as a reasonable assumption, given the limited number of studies available in the literature regarding the application of supersonic separation (SS) in electrolysis processes.</w:t>
      </w:r>
    </w:p>
    <w:tbl>
      <w:tblPr>
        <w:tblW w:w="5000" w:type="pct"/>
        <w:tblLook w:val="04A0" w:firstRow="1" w:lastRow="0" w:firstColumn="1" w:lastColumn="0" w:noHBand="0" w:noVBand="1"/>
      </w:tblPr>
      <w:tblGrid>
        <w:gridCol w:w="7983"/>
        <w:gridCol w:w="804"/>
      </w:tblGrid>
      <w:tr w:rsidR="00111BB1" w:rsidRPr="003108AD" w14:paraId="47052AED" w14:textId="77777777" w:rsidTr="00111BB1">
        <w:tc>
          <w:tcPr>
            <w:tcW w:w="8188" w:type="dxa"/>
            <w:vAlign w:val="center"/>
          </w:tcPr>
          <w:p w14:paraId="649C0343" w14:textId="3A8E83BE" w:rsidR="00111BB1" w:rsidRPr="003108AD" w:rsidRDefault="003E472F" w:rsidP="008F2190">
            <w:pPr>
              <w:pStyle w:val="CETBodytext"/>
              <w:rPr>
                <w:lang w:val="en-GB"/>
              </w:rPr>
            </w:pPr>
            <m:oMathPara>
              <m:oMathParaPr>
                <m:jc m:val="left"/>
              </m:oMathParaP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SS</m:t>
                    </m:r>
                  </m:sub>
                </m:sSub>
                <m:r>
                  <w:rPr>
                    <w:rFonts w:ascii="Cambria Math" w:hAnsi="Cambria Math" w:cs="Arial"/>
                    <w:lang w:val="en-GB"/>
                  </w:rPr>
                  <m:t>($)=6,071,100*</m:t>
                </m:r>
                <m:sSup>
                  <m:sSupPr>
                    <m:ctrlPr>
                      <w:rPr>
                        <w:rFonts w:ascii="Cambria Math" w:hAnsi="Cambria Math" w:cs="Arial"/>
                        <w:i/>
                        <w:lang w:val="en-GB"/>
                      </w:rPr>
                    </m:ctrlPr>
                  </m:sSupPr>
                  <m:e>
                    <m:d>
                      <m:dPr>
                        <m:ctrlPr>
                          <w:rPr>
                            <w:rFonts w:ascii="Cambria Math" w:hAnsi="Cambria Math" w:cs="Arial"/>
                            <w:i/>
                            <w:lang w:val="en-GB"/>
                          </w:rPr>
                        </m:ctrlPr>
                      </m:dPr>
                      <m:e>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C</m:t>
                                </m:r>
                              </m:e>
                              <m:sub>
                                <m:sSup>
                                  <m:sSupPr>
                                    <m:ctrlPr>
                                      <w:rPr>
                                        <w:rFonts w:ascii="Cambria Math" w:hAnsi="Cambria Math" w:cs="Arial"/>
                                        <w:i/>
                                        <w:lang w:val="en-GB"/>
                                      </w:rPr>
                                    </m:ctrlPr>
                                  </m:sSupPr>
                                  <m:e>
                                    <m:r>
                                      <w:rPr>
                                        <w:rFonts w:ascii="Cambria Math" w:hAnsi="Cambria Math" w:cs="Arial"/>
                                        <w:lang w:val="en-GB"/>
                                      </w:rPr>
                                      <m:t>(</m:t>
                                    </m:r>
                                    <m:r>
                                      <w:rPr>
                                        <w:rFonts w:ascii="Cambria Math" w:hAnsi="Cambria Math" w:cs="Arial"/>
                                        <w:lang w:val="en-GB"/>
                                      </w:rPr>
                                      <m:t>m</m:t>
                                    </m:r>
                                  </m:e>
                                  <m:sup>
                                    <m:r>
                                      <w:rPr>
                                        <w:rFonts w:ascii="Cambria Math" w:hAnsi="Cambria Math" w:cs="Arial"/>
                                        <w:lang w:val="en-GB"/>
                                      </w:rPr>
                                      <m:t>3</m:t>
                                    </m:r>
                                  </m:sup>
                                </m:sSup>
                                <m:r>
                                  <w:rPr>
                                    <w:rFonts w:ascii="Cambria Math" w:hAnsi="Cambria Math" w:cs="Arial"/>
                                    <w:lang w:val="en-GB"/>
                                  </w:rPr>
                                  <m:t>/h)</m:t>
                                </m:r>
                              </m:sub>
                            </m:sSub>
                          </m:num>
                          <m:den>
                            <m:r>
                              <w:rPr>
                                <w:rFonts w:ascii="Cambria Math" w:hAnsi="Cambria Math" w:cs="Arial"/>
                                <w:lang w:val="en-GB"/>
                              </w:rPr>
                              <m:t>250,000</m:t>
                            </m:r>
                          </m:den>
                        </m:f>
                      </m:e>
                    </m:d>
                  </m:e>
                  <m:sup>
                    <m:r>
                      <w:rPr>
                        <w:rFonts w:ascii="Cambria Math" w:hAnsi="Cambria Math" w:cs="Arial"/>
                        <w:lang w:val="en-GB"/>
                      </w:rPr>
                      <m:t>0.6</m:t>
                    </m:r>
                  </m:sup>
                </m:sSup>
                <m:r>
                  <w:rPr>
                    <w:rFonts w:ascii="Cambria Math" w:hAnsi="Cambria Math" w:cs="Arial"/>
                    <w:lang w:val="en-GB"/>
                  </w:rPr>
                  <m:t>*</m:t>
                </m:r>
                <m:sSup>
                  <m:sSupPr>
                    <m:ctrlPr>
                      <w:rPr>
                        <w:rFonts w:ascii="Cambria Math" w:hAnsi="Cambria Math" w:cs="Arial"/>
                        <w:i/>
                        <w:lang w:val="en-GB"/>
                      </w:rPr>
                    </m:ctrlPr>
                  </m:sSupPr>
                  <m:e>
                    <m:d>
                      <m:dPr>
                        <m:ctrlPr>
                          <w:rPr>
                            <w:rFonts w:ascii="Cambria Math" w:hAnsi="Cambria Math" w:cs="Arial"/>
                            <w:i/>
                            <w:lang w:val="en-GB"/>
                          </w:rPr>
                        </m:ctrlPr>
                      </m:dPr>
                      <m:e>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P</m:t>
                                </m:r>
                              </m:e>
                              <m:sub>
                                <m:d>
                                  <m:dPr>
                                    <m:ctrlPr>
                                      <w:rPr>
                                        <w:rFonts w:ascii="Cambria Math" w:hAnsi="Cambria Math" w:cs="Arial"/>
                                        <w:i/>
                                        <w:lang w:val="en-GB"/>
                                      </w:rPr>
                                    </m:ctrlPr>
                                  </m:dPr>
                                  <m:e>
                                    <m:r>
                                      <w:rPr>
                                        <w:rFonts w:ascii="Cambria Math" w:hAnsi="Cambria Math" w:cs="Arial"/>
                                        <w:lang w:val="en-GB"/>
                                      </w:rPr>
                                      <m:t>bar</m:t>
                                    </m:r>
                                  </m:e>
                                </m:d>
                              </m:sub>
                            </m:sSub>
                          </m:num>
                          <m:den>
                            <m:r>
                              <w:rPr>
                                <w:rFonts w:ascii="Cambria Math" w:hAnsi="Cambria Math" w:cs="Arial"/>
                                <w:lang w:val="en-GB"/>
                              </w:rPr>
                              <m:t>80</m:t>
                            </m:r>
                          </m:den>
                        </m:f>
                      </m:e>
                    </m:d>
                  </m:e>
                  <m:sup>
                    <m:r>
                      <w:rPr>
                        <w:rFonts w:ascii="Cambria Math" w:hAnsi="Cambria Math" w:cs="Arial"/>
                        <w:lang w:val="en-GB"/>
                      </w:rPr>
                      <m:t>0.6</m:t>
                    </m:r>
                  </m:sup>
                </m:sSup>
              </m:oMath>
            </m:oMathPara>
          </w:p>
        </w:tc>
        <w:tc>
          <w:tcPr>
            <w:tcW w:w="815" w:type="dxa"/>
            <w:vAlign w:val="center"/>
          </w:tcPr>
          <w:p w14:paraId="50361D0C" w14:textId="42A5C07E" w:rsidR="00111BB1" w:rsidRPr="003108AD" w:rsidRDefault="00125604" w:rsidP="00125604">
            <w:pPr>
              <w:pStyle w:val="Caption"/>
              <w:keepNext/>
              <w:jc w:val="center"/>
              <w:rPr>
                <w:b w:val="0"/>
                <w:bCs w:val="0"/>
                <w:color w:val="auto"/>
              </w:rPr>
            </w:pPr>
            <w:bookmarkStart w:id="1" w:name="_Ref198223338"/>
            <w:bookmarkStart w:id="2" w:name="_Ref198223345"/>
            <w:r w:rsidRPr="003108AD">
              <w:rPr>
                <w:b w:val="0"/>
                <w:bCs w:val="0"/>
                <w:color w:val="auto"/>
              </w:rPr>
              <w:t>(</w:t>
            </w:r>
            <w:r w:rsidRPr="003108AD">
              <w:rPr>
                <w:b w:val="0"/>
                <w:bCs w:val="0"/>
                <w:color w:val="auto"/>
              </w:rPr>
              <w:fldChar w:fldCharType="begin"/>
            </w:r>
            <w:r w:rsidRPr="003108AD">
              <w:rPr>
                <w:b w:val="0"/>
                <w:bCs w:val="0"/>
                <w:color w:val="auto"/>
              </w:rPr>
              <w:instrText xml:space="preserve"> SEQ Equation \* ARABIC </w:instrText>
            </w:r>
            <w:r w:rsidRPr="003108AD">
              <w:rPr>
                <w:b w:val="0"/>
                <w:bCs w:val="0"/>
                <w:color w:val="auto"/>
              </w:rPr>
              <w:fldChar w:fldCharType="separate"/>
            </w:r>
            <w:r w:rsidR="004F778D" w:rsidRPr="003108AD">
              <w:rPr>
                <w:b w:val="0"/>
                <w:bCs w:val="0"/>
                <w:noProof/>
                <w:color w:val="auto"/>
              </w:rPr>
              <w:t>1</w:t>
            </w:r>
            <w:r w:rsidRPr="003108AD">
              <w:rPr>
                <w:b w:val="0"/>
                <w:bCs w:val="0"/>
                <w:color w:val="auto"/>
              </w:rPr>
              <w:fldChar w:fldCharType="end"/>
            </w:r>
            <w:bookmarkEnd w:id="1"/>
            <w:r w:rsidRPr="003108AD">
              <w:rPr>
                <w:b w:val="0"/>
                <w:bCs w:val="0"/>
                <w:color w:val="auto"/>
              </w:rPr>
              <w:t>)</w:t>
            </w:r>
            <w:bookmarkEnd w:id="2"/>
          </w:p>
        </w:tc>
      </w:tr>
    </w:tbl>
    <w:p w14:paraId="16EDDA37" w14:textId="77777777" w:rsidR="00111BB1" w:rsidRPr="003108AD" w:rsidRDefault="00111BB1" w:rsidP="00453E24">
      <w:pPr>
        <w:pStyle w:val="CETBodytext"/>
      </w:pPr>
    </w:p>
    <w:p w14:paraId="61481418" w14:textId="4B0FCF38" w:rsidR="00955770" w:rsidRPr="003108AD" w:rsidRDefault="0074716C" w:rsidP="00C25DF8">
      <w:pPr>
        <w:pStyle w:val="CETBodytext"/>
      </w:pPr>
      <w:r w:rsidRPr="003108AD">
        <w:rPr>
          <w:lang w:val="en-GB"/>
        </w:rPr>
        <w:t xml:space="preserve">Pressure Swing adsorption process </w:t>
      </w:r>
      <w:r w:rsidR="002330D4" w:rsidRPr="003108AD">
        <w:rPr>
          <w:lang w:val="en-GB"/>
        </w:rPr>
        <w:t xml:space="preserve">mainly requires electrical energy for </w:t>
      </w:r>
      <w:r w:rsidR="00FB5939" w:rsidRPr="003108AD">
        <w:rPr>
          <w:lang w:val="en-GB"/>
        </w:rPr>
        <w:t>operation</w:t>
      </w:r>
      <w:r w:rsidR="002330D4" w:rsidRPr="003108AD">
        <w:rPr>
          <w:lang w:val="en-GB"/>
        </w:rPr>
        <w:t xml:space="preserve"> and sorbent material</w:t>
      </w:r>
      <w:r w:rsidR="00B32B55" w:rsidRPr="003108AD">
        <w:rPr>
          <w:lang w:val="en-GB"/>
        </w:rPr>
        <w:t>.</w:t>
      </w:r>
      <w:r w:rsidR="00F706AA" w:rsidRPr="003108AD">
        <w:rPr>
          <w:lang w:val="en-GB"/>
        </w:rPr>
        <w:t xml:space="preserve"> </w:t>
      </w:r>
      <w:r w:rsidR="00B32B55" w:rsidRPr="003108AD">
        <w:rPr>
          <w:lang w:val="en-GB"/>
        </w:rPr>
        <w:t>T</w:t>
      </w:r>
      <w:r w:rsidR="00F706AA" w:rsidRPr="003108AD">
        <w:rPr>
          <w:lang w:val="en-GB"/>
        </w:rPr>
        <w:t>herefore</w:t>
      </w:r>
      <w:r w:rsidR="00B32B55" w:rsidRPr="003108AD">
        <w:rPr>
          <w:lang w:val="en-GB"/>
        </w:rPr>
        <w:t>, t</w:t>
      </w:r>
      <w:r w:rsidR="007A3CA2" w:rsidRPr="003108AD">
        <w:t xml:space="preserve">he CAPEX </w:t>
      </w:r>
      <w:r w:rsidR="00330DF8" w:rsidRPr="003108AD">
        <w:t xml:space="preserve">and OPEX </w:t>
      </w:r>
      <w:r w:rsidR="007A3CA2" w:rsidRPr="003108AD">
        <w:t xml:space="preserve">of the PSA system </w:t>
      </w:r>
      <w:r w:rsidR="00330DF8" w:rsidRPr="003108AD">
        <w:t>were</w:t>
      </w:r>
      <w:r w:rsidR="007A3CA2" w:rsidRPr="003108AD">
        <w:t xml:space="preserve"> estimated based on a regression analysis of data reported by the Bay Area Air Quality Management District (2025) and LCRI (2024). The annual OPEX was assumed to correspond to </w:t>
      </w:r>
      <w:r w:rsidR="00330DF8" w:rsidRPr="003108AD">
        <w:t>0.0105 $/kg H</w:t>
      </w:r>
      <w:r w:rsidR="00330DF8" w:rsidRPr="003108AD">
        <w:rPr>
          <w:vertAlign w:val="subscript"/>
        </w:rPr>
        <w:t>2</w:t>
      </w:r>
      <w:r w:rsidR="007A3CA2" w:rsidRPr="003108AD">
        <w:t>, accounting for sorbent replacement and pressure vessel operational costs.</w:t>
      </w:r>
      <w:r w:rsidR="005A67A1" w:rsidRPr="003108AD">
        <w:t xml:space="preserve"> </w:t>
      </w:r>
      <w:r w:rsidR="00511475" w:rsidRPr="003108AD">
        <w:fldChar w:fldCharType="begin"/>
      </w:r>
      <w:r w:rsidR="00511475" w:rsidRPr="003108AD">
        <w:instrText xml:space="preserve"> REF _Ref198223256 \h </w:instrText>
      </w:r>
      <w:r w:rsidR="00511475" w:rsidRPr="003108AD">
        <w:fldChar w:fldCharType="separate"/>
      </w:r>
      <w:r w:rsidR="00511475" w:rsidRPr="003108AD">
        <w:rPr>
          <w:szCs w:val="18"/>
        </w:rPr>
        <w:t>Figure 1</w:t>
      </w:r>
      <w:r w:rsidR="00511475" w:rsidRPr="003108AD">
        <w:fldChar w:fldCharType="end"/>
      </w:r>
      <w:r w:rsidR="00511475" w:rsidRPr="003108AD">
        <w:t xml:space="preserve"> </w:t>
      </w:r>
      <w:r w:rsidR="00B266FB" w:rsidRPr="003108AD">
        <w:t>presents</w:t>
      </w:r>
      <w:r w:rsidR="00822724" w:rsidRPr="003108AD">
        <w:t xml:space="preserve"> </w:t>
      </w:r>
      <w:r w:rsidR="00FE6F96" w:rsidRPr="003108AD">
        <w:t xml:space="preserve">the </w:t>
      </w:r>
      <w:r w:rsidR="00822724" w:rsidRPr="003108AD">
        <w:t>linear equation obtained.</w:t>
      </w:r>
    </w:p>
    <w:p w14:paraId="6F271DB8" w14:textId="4765D538" w:rsidR="00FE6F96" w:rsidRDefault="007169E6" w:rsidP="00F86FD6">
      <w:pPr>
        <w:pStyle w:val="CETBodytext"/>
        <w:jc w:val="left"/>
        <w:rPr>
          <w:color w:val="548DD4" w:themeColor="text2" w:themeTint="99"/>
        </w:rPr>
      </w:pPr>
      <w:r>
        <w:rPr>
          <w:noProof/>
          <w:color w:val="548DD4" w:themeColor="text2" w:themeTint="99"/>
        </w:rPr>
        <w:drawing>
          <wp:inline distT="0" distB="0" distL="0" distR="0" wp14:anchorId="5FC2C0F2" wp14:editId="7DE941BA">
            <wp:extent cx="3000117" cy="1717416"/>
            <wp:effectExtent l="0" t="0" r="0" b="0"/>
            <wp:docPr id="34238778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873" t="2084" r="1513" b="2660"/>
                    <a:stretch/>
                  </pic:blipFill>
                  <pic:spPr bwMode="auto">
                    <a:xfrm>
                      <a:off x="0" y="0"/>
                      <a:ext cx="3026331" cy="1732422"/>
                    </a:xfrm>
                    <a:prstGeom prst="rect">
                      <a:avLst/>
                    </a:prstGeom>
                    <a:noFill/>
                    <a:ln>
                      <a:noFill/>
                    </a:ln>
                    <a:extLst>
                      <a:ext uri="{53640926-AAD7-44D8-BBD7-CCE9431645EC}">
                        <a14:shadowObscured xmlns:a14="http://schemas.microsoft.com/office/drawing/2010/main"/>
                      </a:ext>
                    </a:extLst>
                  </pic:spPr>
                </pic:pic>
              </a:graphicData>
            </a:graphic>
          </wp:inline>
        </w:drawing>
      </w:r>
    </w:p>
    <w:p w14:paraId="5C29E1AD" w14:textId="6F6F12F1" w:rsidR="00511475" w:rsidRPr="003108AD" w:rsidRDefault="00511475" w:rsidP="00511475">
      <w:pPr>
        <w:pStyle w:val="CETCaption"/>
        <w:rPr>
          <w:szCs w:val="18"/>
        </w:rPr>
      </w:pPr>
      <w:bookmarkStart w:id="3" w:name="_Ref198223256"/>
      <w:bookmarkStart w:id="4" w:name="_Hlk198223182"/>
      <w:r w:rsidRPr="003108AD">
        <w:rPr>
          <w:szCs w:val="18"/>
        </w:rPr>
        <w:t xml:space="preserve">Figure </w:t>
      </w:r>
      <w:r w:rsidRPr="003108AD">
        <w:rPr>
          <w:szCs w:val="18"/>
        </w:rPr>
        <w:fldChar w:fldCharType="begin"/>
      </w:r>
      <w:r w:rsidRPr="003108AD">
        <w:rPr>
          <w:szCs w:val="18"/>
        </w:rPr>
        <w:instrText xml:space="preserve"> SEQ Figure \* ARABIC </w:instrText>
      </w:r>
      <w:r w:rsidRPr="003108AD">
        <w:rPr>
          <w:szCs w:val="18"/>
        </w:rPr>
        <w:fldChar w:fldCharType="separate"/>
      </w:r>
      <w:r w:rsidRPr="003108AD">
        <w:rPr>
          <w:szCs w:val="18"/>
        </w:rPr>
        <w:t>1</w:t>
      </w:r>
      <w:r w:rsidRPr="003108AD">
        <w:rPr>
          <w:szCs w:val="18"/>
        </w:rPr>
        <w:fldChar w:fldCharType="end"/>
      </w:r>
      <w:bookmarkEnd w:id="3"/>
      <w:r w:rsidRPr="003108AD">
        <w:rPr>
          <w:szCs w:val="18"/>
        </w:rPr>
        <w:t>: CAPEX PSA unity (US$) x PEM electrolysis Size (</w:t>
      </w:r>
      <w:r w:rsidR="003467D4" w:rsidRPr="003108AD">
        <w:rPr>
          <w:szCs w:val="18"/>
        </w:rPr>
        <w:t>MW</w:t>
      </w:r>
      <w:r w:rsidRPr="003108AD">
        <w:rPr>
          <w:szCs w:val="18"/>
        </w:rPr>
        <w:t>)</w:t>
      </w:r>
    </w:p>
    <w:bookmarkEnd w:id="4"/>
    <w:p w14:paraId="15617B20" w14:textId="7F86CACE" w:rsidR="00025EE7" w:rsidRPr="003108AD" w:rsidRDefault="00025EE7" w:rsidP="00C25DF8">
      <w:pPr>
        <w:pStyle w:val="CETBodytext"/>
        <w:rPr>
          <w:lang w:val="en-GB"/>
        </w:rPr>
      </w:pPr>
      <w:r w:rsidRPr="003108AD">
        <w:rPr>
          <w:lang w:val="en-GB"/>
        </w:rPr>
        <w:t xml:space="preserve">For the levelized cost of </w:t>
      </w:r>
      <w:r w:rsidR="00D8410E" w:rsidRPr="003108AD">
        <w:rPr>
          <w:lang w:val="en-GB"/>
        </w:rPr>
        <w:t>purification</w:t>
      </w:r>
      <w:r w:rsidR="00FB48EC" w:rsidRPr="003108AD">
        <w:rPr>
          <w:lang w:val="en-GB"/>
        </w:rPr>
        <w:t xml:space="preserve"> (LCOP)</w:t>
      </w:r>
      <w:r w:rsidRPr="003108AD">
        <w:rPr>
          <w:lang w:val="en-GB"/>
        </w:rPr>
        <w:t>, as given by</w:t>
      </w:r>
      <w:r w:rsidR="004F778D" w:rsidRPr="003108AD">
        <w:rPr>
          <w:lang w:val="en-GB"/>
        </w:rPr>
        <w:t xml:space="preserve"> </w:t>
      </w:r>
      <w:r w:rsidR="004F778D" w:rsidRPr="00D43337">
        <w:rPr>
          <w:lang w:val="en-GB"/>
        </w:rPr>
        <w:t xml:space="preserve">Equation </w:t>
      </w:r>
      <w:r w:rsidR="004F778D" w:rsidRPr="00D43337">
        <w:rPr>
          <w:lang w:val="en-GB"/>
        </w:rPr>
        <w:fldChar w:fldCharType="begin"/>
      </w:r>
      <w:r w:rsidR="004F778D" w:rsidRPr="00D43337">
        <w:rPr>
          <w:lang w:val="en-GB"/>
        </w:rPr>
        <w:instrText xml:space="preserve"> REF _Ref198223415 \h </w:instrText>
      </w:r>
      <w:r w:rsidR="00D43337" w:rsidRPr="00D43337">
        <w:rPr>
          <w:lang w:val="en-GB"/>
        </w:rPr>
        <w:instrText xml:space="preserve"> \* MERGEFORMAT </w:instrText>
      </w:r>
      <w:r w:rsidR="004F778D" w:rsidRPr="00D43337">
        <w:rPr>
          <w:lang w:val="en-GB"/>
        </w:rPr>
      </w:r>
      <w:r w:rsidR="004F778D" w:rsidRPr="00D43337">
        <w:rPr>
          <w:lang w:val="en-GB"/>
        </w:rPr>
        <w:fldChar w:fldCharType="separate"/>
      </w:r>
      <w:r w:rsidR="004F778D" w:rsidRPr="00D43337">
        <w:t>(</w:t>
      </w:r>
      <w:r w:rsidR="004F778D" w:rsidRPr="00D43337">
        <w:rPr>
          <w:noProof/>
        </w:rPr>
        <w:t>2</w:t>
      </w:r>
      <w:r w:rsidR="004F778D" w:rsidRPr="00D43337">
        <w:t>)</w:t>
      </w:r>
      <w:r w:rsidR="004F778D" w:rsidRPr="00D43337">
        <w:rPr>
          <w:lang w:val="en-GB"/>
        </w:rPr>
        <w:fldChar w:fldCharType="end"/>
      </w:r>
      <w:r w:rsidRPr="00D43337">
        <w:rPr>
          <w:lang w:val="en-GB"/>
        </w:rPr>
        <w:t>, only</w:t>
      </w:r>
      <w:r w:rsidRPr="003108AD">
        <w:rPr>
          <w:lang w:val="en-GB"/>
        </w:rPr>
        <w:t xml:space="preserve"> the purification section is considered, including its auxiliary components</w:t>
      </w:r>
      <w:r w:rsidR="00AE2DF7" w:rsidRPr="003108AD">
        <w:rPr>
          <w:lang w:val="en-GB"/>
        </w:rPr>
        <w:t xml:space="preserve"> from process simulation</w:t>
      </w:r>
      <w:r w:rsidRPr="003108AD">
        <w:rPr>
          <w:lang w:val="en-GB"/>
        </w:rPr>
        <w:t>. The hydrogen flow, expressed in kilograms per hour, is calculated for one year of operation</w:t>
      </w:r>
      <w:r w:rsidR="00445DF1" w:rsidRPr="003108AD">
        <w:rPr>
          <w:lang w:val="en-GB"/>
        </w:rPr>
        <w:t>,</w:t>
      </w:r>
      <w:r w:rsidRPr="003108AD">
        <w:rPr>
          <w:lang w:val="en-GB"/>
        </w:rPr>
        <w:t xml:space="preserve"> assuming 8,000 hours</w:t>
      </w:r>
      <w:r w:rsidR="00C57C75" w:rsidRPr="003108AD">
        <w:rPr>
          <w:lang w:val="en-GB"/>
        </w:rPr>
        <w:t xml:space="preserve">, </w:t>
      </w:r>
      <w:r w:rsidR="00730AB8" w:rsidRPr="003108AD">
        <w:rPr>
          <w:lang w:val="en-GB"/>
        </w:rPr>
        <w:t xml:space="preserve">and </w:t>
      </w:r>
      <w:r w:rsidR="00C57C75" w:rsidRPr="003108AD">
        <w:rPr>
          <w:lang w:val="en-GB"/>
        </w:rPr>
        <w:t xml:space="preserve">a </w:t>
      </w:r>
      <w:r w:rsidR="00730AB8" w:rsidRPr="003108AD">
        <w:rPr>
          <w:lang w:val="en-GB"/>
        </w:rPr>
        <w:t>20-year plant</w:t>
      </w:r>
      <w:r w:rsidR="00C57C75" w:rsidRPr="003108AD">
        <w:rPr>
          <w:lang w:val="en-GB"/>
        </w:rPr>
        <w:t xml:space="preserve"> lifetime</w:t>
      </w:r>
      <w:r w:rsidR="00730AB8" w:rsidRPr="003108AD">
        <w:rPr>
          <w:lang w:val="en-GB"/>
        </w:rPr>
        <w:t>.</w:t>
      </w:r>
    </w:p>
    <w:p w14:paraId="72DB5E6B" w14:textId="77777777" w:rsidR="008F2190" w:rsidRPr="003108AD" w:rsidRDefault="008F2190" w:rsidP="00C25DF8">
      <w:pPr>
        <w:pStyle w:val="CETBodytext"/>
        <w:rPr>
          <w:lang w:val="en-GB"/>
        </w:rPr>
      </w:pPr>
    </w:p>
    <w:tbl>
      <w:tblPr>
        <w:tblW w:w="5000" w:type="pct"/>
        <w:tblLook w:val="04A0" w:firstRow="1" w:lastRow="0" w:firstColumn="1" w:lastColumn="0" w:noHBand="0" w:noVBand="1"/>
      </w:tblPr>
      <w:tblGrid>
        <w:gridCol w:w="7984"/>
        <w:gridCol w:w="803"/>
      </w:tblGrid>
      <w:tr w:rsidR="008F2190" w:rsidRPr="003108AD" w14:paraId="2F2E1F27" w14:textId="77777777" w:rsidTr="005C06C5">
        <w:tc>
          <w:tcPr>
            <w:tcW w:w="8188" w:type="dxa"/>
            <w:vAlign w:val="center"/>
          </w:tcPr>
          <w:p w14:paraId="483AE17C" w14:textId="3F969365" w:rsidR="008F2190" w:rsidRPr="003108AD" w:rsidRDefault="004F778D" w:rsidP="005C06C5">
            <w:pPr>
              <w:pStyle w:val="CETBodytext"/>
              <w:rPr>
                <w:rFonts w:cs="Arial"/>
                <w:lang w:val="en-GB"/>
              </w:rPr>
            </w:pPr>
            <m:oMathPara>
              <m:oMathParaPr>
                <m:jc m:val="left"/>
              </m:oMathParaPr>
              <m:oMath>
                <m:r>
                  <w:rPr>
                    <w:rFonts w:ascii="Cambria Math" w:hAnsi="Cambria Math" w:cs="Arial"/>
                    <w:lang w:val="en-GB"/>
                  </w:rPr>
                  <m:t xml:space="preserve">LCOP= </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CAPEX</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OPEX</m:t>
                        </m:r>
                      </m:sub>
                    </m:sSub>
                  </m:num>
                  <m:den>
                    <m:sSub>
                      <m:sSubPr>
                        <m:ctrlPr>
                          <w:rPr>
                            <w:rFonts w:ascii="Cambria Math" w:hAnsi="Cambria Math" w:cs="Arial"/>
                            <w:i/>
                            <w:lang w:val="en-GB"/>
                          </w:rPr>
                        </m:ctrlPr>
                      </m:sSubPr>
                      <m:e>
                        <m:acc>
                          <m:accPr>
                            <m:chr m:val="̇"/>
                            <m:ctrlPr>
                              <w:rPr>
                                <w:rFonts w:ascii="Cambria Math" w:hAnsi="Cambria Math" w:cs="Arial"/>
                                <w:i/>
                                <w:lang w:val="en-GB"/>
                              </w:rPr>
                            </m:ctrlPr>
                          </m:accPr>
                          <m:e>
                            <m:r>
                              <w:rPr>
                                <w:rFonts w:ascii="Cambria Math" w:hAnsi="Cambria Math" w:cs="Arial"/>
                                <w:lang w:val="en-GB"/>
                              </w:rPr>
                              <m:t>m</m:t>
                            </m:r>
                          </m:e>
                        </m:acc>
                      </m:e>
                      <m:sub>
                        <m:sSub>
                          <m:sSubPr>
                            <m:ctrlPr>
                              <w:rPr>
                                <w:rFonts w:ascii="Cambria Math" w:hAnsi="Cambria Math" w:cs="Arial"/>
                                <w:i/>
                                <w:lang w:val="en-GB"/>
                              </w:rPr>
                            </m:ctrlPr>
                          </m:sSubPr>
                          <m:e>
                            <m:r>
                              <w:rPr>
                                <w:rFonts w:ascii="Cambria Math" w:hAnsi="Cambria Math" w:cs="Arial"/>
                                <w:lang w:val="en-GB"/>
                              </w:rPr>
                              <m:t>H</m:t>
                            </m:r>
                          </m:e>
                          <m:sub>
                            <m:r>
                              <w:rPr>
                                <w:rFonts w:ascii="Cambria Math" w:hAnsi="Cambria Math" w:cs="Arial"/>
                                <w:lang w:val="en-GB"/>
                              </w:rPr>
                              <m:t>2</m:t>
                            </m:r>
                          </m:sub>
                        </m:sSub>
                      </m:sub>
                    </m:sSub>
                    <m:r>
                      <w:rPr>
                        <w:rFonts w:ascii="Cambria Math" w:hAnsi="Cambria Math" w:cs="Arial"/>
                        <w:lang w:val="en-GB"/>
                      </w:rPr>
                      <m:t>h</m:t>
                    </m:r>
                  </m:den>
                </m:f>
              </m:oMath>
            </m:oMathPara>
          </w:p>
        </w:tc>
        <w:tc>
          <w:tcPr>
            <w:tcW w:w="815" w:type="dxa"/>
            <w:vAlign w:val="center"/>
          </w:tcPr>
          <w:p w14:paraId="15E938A0" w14:textId="5EFC9C15" w:rsidR="008F2190" w:rsidRPr="003108AD" w:rsidRDefault="004F778D" w:rsidP="004F778D">
            <w:pPr>
              <w:pStyle w:val="Caption"/>
              <w:keepNext/>
              <w:jc w:val="center"/>
              <w:rPr>
                <w:b w:val="0"/>
                <w:bCs w:val="0"/>
                <w:color w:val="auto"/>
              </w:rPr>
            </w:pPr>
            <w:bookmarkStart w:id="5" w:name="_Ref198223415"/>
            <w:r w:rsidRPr="003108AD">
              <w:rPr>
                <w:b w:val="0"/>
                <w:bCs w:val="0"/>
                <w:color w:val="auto"/>
              </w:rPr>
              <w:t>(</w:t>
            </w:r>
            <w:r w:rsidRPr="003108AD">
              <w:rPr>
                <w:b w:val="0"/>
                <w:bCs w:val="0"/>
                <w:color w:val="auto"/>
              </w:rPr>
              <w:fldChar w:fldCharType="begin"/>
            </w:r>
            <w:r w:rsidRPr="003108AD">
              <w:rPr>
                <w:b w:val="0"/>
                <w:bCs w:val="0"/>
                <w:color w:val="auto"/>
              </w:rPr>
              <w:instrText xml:space="preserve"> SEQ Equation \* ARABIC </w:instrText>
            </w:r>
            <w:r w:rsidRPr="003108AD">
              <w:rPr>
                <w:b w:val="0"/>
                <w:bCs w:val="0"/>
                <w:color w:val="auto"/>
              </w:rPr>
              <w:fldChar w:fldCharType="separate"/>
            </w:r>
            <w:r w:rsidRPr="003108AD">
              <w:rPr>
                <w:b w:val="0"/>
                <w:bCs w:val="0"/>
                <w:noProof/>
                <w:color w:val="auto"/>
              </w:rPr>
              <w:t>2</w:t>
            </w:r>
            <w:r w:rsidRPr="003108AD">
              <w:rPr>
                <w:b w:val="0"/>
                <w:bCs w:val="0"/>
                <w:color w:val="auto"/>
              </w:rPr>
              <w:fldChar w:fldCharType="end"/>
            </w:r>
            <w:r w:rsidRPr="003108AD">
              <w:rPr>
                <w:b w:val="0"/>
                <w:bCs w:val="0"/>
                <w:color w:val="auto"/>
              </w:rPr>
              <w:t>)</w:t>
            </w:r>
            <w:bookmarkEnd w:id="5"/>
          </w:p>
        </w:tc>
      </w:tr>
    </w:tbl>
    <w:p w14:paraId="77D066B0" w14:textId="541EB586" w:rsidR="006F2684" w:rsidRPr="00DA09A1" w:rsidRDefault="00AE08C0" w:rsidP="006F2684">
      <w:pPr>
        <w:pStyle w:val="CETHeading1"/>
        <w:tabs>
          <w:tab w:val="right" w:pos="7100"/>
        </w:tabs>
        <w:jc w:val="both"/>
        <w:rPr>
          <w:lang w:val="en-GB"/>
        </w:rPr>
      </w:pPr>
      <w:r w:rsidRPr="003108AD">
        <w:rPr>
          <w:lang w:val="en-GB"/>
        </w:rPr>
        <w:t>Results and discussion</w:t>
      </w:r>
    </w:p>
    <w:p w14:paraId="3752AF6E" w14:textId="345E5471" w:rsidR="0053221A" w:rsidRDefault="0053221A" w:rsidP="0044074F">
      <w:pPr>
        <w:pStyle w:val="CETBodytext"/>
      </w:pPr>
      <w:r w:rsidRPr="0053221A">
        <w:t>This section presents the purity levels achieved by each purification technology evaluated in the study. The results include the residual concentration of water in the purified hydrogen stream, as well as the amount of hydrogen retained or lost in the captured impurity stream. Figure 2 summarizes the two alternative hydrogen purification technologies, providing a comparative overview of their operational configurations and performance. The corresponding quantitative data are organized and detailed in Table 1, allowing for a clear assessment of each technology’s effectiveness in achieving the desired hydrogen purity specifications.</w:t>
      </w:r>
    </w:p>
    <w:p w14:paraId="15E8884D" w14:textId="77777777" w:rsidR="008B4B1A" w:rsidRDefault="008B4B1A" w:rsidP="0044074F">
      <w:pPr>
        <w:pStyle w:val="CETBodytext"/>
      </w:pPr>
    </w:p>
    <w:p w14:paraId="3C4ADBC4" w14:textId="3BEF3A87" w:rsidR="008B4B1A" w:rsidRDefault="00834B6C" w:rsidP="0044074F">
      <w:pPr>
        <w:pStyle w:val="CETBodytext"/>
      </w:pPr>
      <w:r w:rsidRPr="007901F8">
        <w:drawing>
          <wp:inline distT="0" distB="0" distL="0" distR="0" wp14:anchorId="63A50EC1" wp14:editId="4CB1C481">
            <wp:extent cx="2976880" cy="1958340"/>
            <wp:effectExtent l="0" t="0" r="0" b="3810"/>
            <wp:docPr id="1927598414" name="Imagem 1" descr="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98414" name="Imagem 1" descr="Diagrama&#10;&#10;O conteúdo gerado por IA pode estar incorreto."/>
                    <pic:cNvPicPr/>
                  </pic:nvPicPr>
                  <pic:blipFill rotWithShape="1">
                    <a:blip r:embed="rId14"/>
                    <a:srcRect l="2980" t="322" r="-1" b="3182"/>
                    <a:stretch>
                      <a:fillRect/>
                    </a:stretch>
                  </pic:blipFill>
                  <pic:spPr bwMode="auto">
                    <a:xfrm>
                      <a:off x="0" y="0"/>
                      <a:ext cx="2977777" cy="1958930"/>
                    </a:xfrm>
                    <a:prstGeom prst="rect">
                      <a:avLst/>
                    </a:prstGeom>
                    <a:ln>
                      <a:noFill/>
                    </a:ln>
                    <a:extLst>
                      <a:ext uri="{53640926-AAD7-44D8-BBD7-CCE9431645EC}">
                        <a14:shadowObscured xmlns:a14="http://schemas.microsoft.com/office/drawing/2010/main"/>
                      </a:ext>
                    </a:extLst>
                  </pic:spPr>
                </pic:pic>
              </a:graphicData>
            </a:graphic>
          </wp:inline>
        </w:drawing>
      </w:r>
    </w:p>
    <w:p w14:paraId="5DDDE041" w14:textId="2C68566F" w:rsidR="008B4B1A" w:rsidRDefault="001C5737" w:rsidP="001C5737">
      <w:pPr>
        <w:pStyle w:val="CETCaption"/>
        <w:rPr>
          <w:szCs w:val="18"/>
        </w:rPr>
      </w:pPr>
      <w:r w:rsidRPr="003108AD">
        <w:rPr>
          <w:szCs w:val="18"/>
        </w:rPr>
        <w:t xml:space="preserve">Figure </w:t>
      </w:r>
      <w:r>
        <w:rPr>
          <w:szCs w:val="18"/>
        </w:rPr>
        <w:t>2</w:t>
      </w:r>
      <w:r w:rsidRPr="003108AD">
        <w:rPr>
          <w:szCs w:val="18"/>
        </w:rPr>
        <w:t xml:space="preserve">: </w:t>
      </w:r>
      <w:r w:rsidR="00D70B7D">
        <w:rPr>
          <w:szCs w:val="18"/>
        </w:rPr>
        <w:t>Overall Process</w:t>
      </w:r>
      <w:r w:rsidR="00782D67">
        <w:rPr>
          <w:szCs w:val="18"/>
        </w:rPr>
        <w:t xml:space="preserve"> Flow</w:t>
      </w:r>
      <w:r w:rsidR="00D70B7D">
        <w:rPr>
          <w:szCs w:val="18"/>
        </w:rPr>
        <w:t>.</w:t>
      </w:r>
    </w:p>
    <w:p w14:paraId="44073240" w14:textId="631FA667" w:rsidR="00034544" w:rsidRDefault="00034544" w:rsidP="00034544">
      <w:pPr>
        <w:pStyle w:val="CETCaption"/>
        <w:spacing w:after="0"/>
        <w:rPr>
          <w:szCs w:val="18"/>
        </w:rPr>
      </w:pPr>
      <w:r w:rsidRPr="003108AD">
        <w:rPr>
          <w:iCs/>
        </w:rPr>
        <w:t xml:space="preserve">Table </w:t>
      </w:r>
      <w:r>
        <w:rPr>
          <w:iCs/>
        </w:rPr>
        <w:t>1</w:t>
      </w:r>
      <w:r w:rsidRPr="003108AD">
        <w:rPr>
          <w:iCs/>
        </w:rPr>
        <w:t xml:space="preserve">: </w:t>
      </w:r>
      <w:r w:rsidRPr="002C6605">
        <w:rPr>
          <w:iCs/>
        </w:rPr>
        <w:t>PSA and SS stream composition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46"/>
        <w:gridCol w:w="1422"/>
        <w:gridCol w:w="426"/>
        <w:gridCol w:w="1984"/>
        <w:gridCol w:w="1559"/>
        <w:gridCol w:w="1276"/>
      </w:tblGrid>
      <w:tr w:rsidR="000975D2" w:rsidRPr="006541AA" w14:paraId="26849DB9" w14:textId="77777777" w:rsidTr="0024585E">
        <w:tc>
          <w:tcPr>
            <w:tcW w:w="846" w:type="dxa"/>
            <w:tcBorders>
              <w:top w:val="single" w:sz="12" w:space="0" w:color="008000"/>
              <w:bottom w:val="single" w:sz="6" w:space="0" w:color="008000"/>
            </w:tcBorders>
            <w:shd w:val="clear" w:color="auto" w:fill="FFFFFF"/>
          </w:tcPr>
          <w:p w14:paraId="1BEA5A3F" w14:textId="77777777" w:rsidR="000975D2" w:rsidRPr="00B57B36" w:rsidRDefault="000975D2">
            <w:pPr>
              <w:pStyle w:val="CETBodytext"/>
              <w:rPr>
                <w:lang w:val="en-GB"/>
              </w:rPr>
            </w:pPr>
            <w:r w:rsidRPr="00B57B36">
              <w:rPr>
                <w:lang w:val="en-GB"/>
              </w:rPr>
              <w:t xml:space="preserve"> </w:t>
            </w:r>
          </w:p>
        </w:tc>
        <w:tc>
          <w:tcPr>
            <w:tcW w:w="3832" w:type="dxa"/>
            <w:gridSpan w:val="3"/>
            <w:tcBorders>
              <w:top w:val="single" w:sz="12" w:space="0" w:color="008000"/>
              <w:bottom w:val="single" w:sz="6" w:space="0" w:color="008000"/>
            </w:tcBorders>
            <w:shd w:val="clear" w:color="auto" w:fill="FFFFFF"/>
          </w:tcPr>
          <w:p w14:paraId="528E6CD5" w14:textId="6737D1C8" w:rsidR="000975D2" w:rsidRPr="006541AA" w:rsidRDefault="000975D2" w:rsidP="000975D2">
            <w:pPr>
              <w:pStyle w:val="CETBodytext"/>
              <w:jc w:val="center"/>
              <w:rPr>
                <w:b/>
                <w:bCs/>
                <w:lang w:val="en-GB"/>
              </w:rPr>
            </w:pPr>
            <w:r w:rsidRPr="000975D2">
              <w:rPr>
                <w:b/>
                <w:bCs/>
                <w:lang w:val="en-GB"/>
              </w:rPr>
              <w:t>H2 stream purified flow</w:t>
            </w:r>
          </w:p>
        </w:tc>
        <w:tc>
          <w:tcPr>
            <w:tcW w:w="2835" w:type="dxa"/>
            <w:gridSpan w:val="2"/>
            <w:tcBorders>
              <w:top w:val="single" w:sz="12" w:space="0" w:color="008000"/>
              <w:bottom w:val="single" w:sz="6" w:space="0" w:color="008000"/>
            </w:tcBorders>
            <w:shd w:val="clear" w:color="auto" w:fill="FFFFFF"/>
          </w:tcPr>
          <w:p w14:paraId="2E22309E" w14:textId="122AC80B" w:rsidR="000975D2" w:rsidRPr="006541AA" w:rsidRDefault="000975D2">
            <w:pPr>
              <w:pStyle w:val="CETBodytext"/>
              <w:ind w:right="-1"/>
              <w:jc w:val="center"/>
              <w:rPr>
                <w:rFonts w:cs="Arial"/>
                <w:b/>
                <w:bCs/>
                <w:szCs w:val="18"/>
                <w:lang w:val="en-GB"/>
              </w:rPr>
            </w:pPr>
            <w:r w:rsidRPr="000975D2">
              <w:rPr>
                <w:rFonts w:cs="Arial"/>
                <w:b/>
                <w:bCs/>
                <w:szCs w:val="18"/>
                <w:lang w:val="en-GB"/>
              </w:rPr>
              <w:t>H2 stream captured flow</w:t>
            </w:r>
          </w:p>
        </w:tc>
      </w:tr>
      <w:tr w:rsidR="000975D2" w:rsidRPr="006541AA" w14:paraId="159B4A2A" w14:textId="77777777" w:rsidTr="0024585E">
        <w:tc>
          <w:tcPr>
            <w:tcW w:w="846" w:type="dxa"/>
            <w:tcBorders>
              <w:top w:val="single" w:sz="12" w:space="0" w:color="008000"/>
              <w:bottom w:val="single" w:sz="6" w:space="0" w:color="008000"/>
            </w:tcBorders>
            <w:shd w:val="clear" w:color="auto" w:fill="FFFFFF"/>
          </w:tcPr>
          <w:p w14:paraId="60943023" w14:textId="77777777" w:rsidR="000975D2" w:rsidRPr="00B57B36" w:rsidRDefault="000975D2" w:rsidP="000975D2">
            <w:pPr>
              <w:pStyle w:val="CETBodytext"/>
              <w:rPr>
                <w:lang w:val="en-GB"/>
              </w:rPr>
            </w:pPr>
          </w:p>
        </w:tc>
        <w:tc>
          <w:tcPr>
            <w:tcW w:w="1422" w:type="dxa"/>
            <w:tcBorders>
              <w:top w:val="single" w:sz="12" w:space="0" w:color="008000"/>
              <w:bottom w:val="single" w:sz="6" w:space="0" w:color="008000"/>
            </w:tcBorders>
            <w:shd w:val="clear" w:color="auto" w:fill="FFFFFF"/>
            <w:vAlign w:val="center"/>
          </w:tcPr>
          <w:p w14:paraId="30078E66" w14:textId="3D696DF6" w:rsidR="000975D2" w:rsidRPr="006541AA" w:rsidRDefault="000975D2" w:rsidP="000975D2">
            <w:pPr>
              <w:pStyle w:val="CETBodytext"/>
              <w:jc w:val="center"/>
              <w:rPr>
                <w:b/>
                <w:bCs/>
                <w:lang w:val="en-GB"/>
              </w:rPr>
            </w:pPr>
            <w:r w:rsidRPr="00724811">
              <w:rPr>
                <w:rFonts w:cs="Arial"/>
                <w:szCs w:val="18"/>
                <w:lang w:val="pt-BR" w:eastAsia="pt-BR"/>
              </w:rPr>
              <w:t xml:space="preserve">SS (%f </w:t>
            </w:r>
            <w:proofErr w:type="spellStart"/>
            <w:r w:rsidRPr="00724811">
              <w:rPr>
                <w:rFonts w:cs="Arial"/>
                <w:szCs w:val="18"/>
                <w:lang w:val="pt-BR" w:eastAsia="pt-BR"/>
              </w:rPr>
              <w:t>mass</w:t>
            </w:r>
            <w:proofErr w:type="spellEnd"/>
            <w:r w:rsidRPr="00724811">
              <w:rPr>
                <w:rFonts w:cs="Arial"/>
                <w:szCs w:val="18"/>
                <w:lang w:val="pt-BR" w:eastAsia="pt-BR"/>
              </w:rPr>
              <w:t>)</w:t>
            </w:r>
          </w:p>
        </w:tc>
        <w:tc>
          <w:tcPr>
            <w:tcW w:w="2410" w:type="dxa"/>
            <w:gridSpan w:val="2"/>
            <w:tcBorders>
              <w:top w:val="single" w:sz="12" w:space="0" w:color="008000"/>
              <w:bottom w:val="single" w:sz="6" w:space="0" w:color="008000"/>
            </w:tcBorders>
            <w:shd w:val="clear" w:color="auto" w:fill="FFFFFF"/>
            <w:vAlign w:val="center"/>
          </w:tcPr>
          <w:p w14:paraId="2CEEB72C" w14:textId="10AC39A8" w:rsidR="000975D2" w:rsidRPr="006541AA" w:rsidRDefault="000975D2" w:rsidP="000975D2">
            <w:pPr>
              <w:pStyle w:val="CETBodytext"/>
              <w:jc w:val="center"/>
              <w:rPr>
                <w:b/>
                <w:bCs/>
                <w:lang w:val="en-GB"/>
              </w:rPr>
            </w:pPr>
            <w:r w:rsidRPr="00724811">
              <w:rPr>
                <w:rFonts w:cs="Arial"/>
                <w:szCs w:val="18"/>
                <w:lang w:val="pt-BR" w:eastAsia="pt-BR"/>
              </w:rPr>
              <w:t xml:space="preserve">PSA (%f </w:t>
            </w:r>
            <w:proofErr w:type="spellStart"/>
            <w:r w:rsidRPr="00724811">
              <w:rPr>
                <w:rFonts w:cs="Arial"/>
                <w:szCs w:val="18"/>
                <w:lang w:val="pt-BR" w:eastAsia="pt-BR"/>
              </w:rPr>
              <w:t>mass</w:t>
            </w:r>
            <w:proofErr w:type="spellEnd"/>
            <w:r w:rsidRPr="00724811">
              <w:rPr>
                <w:rFonts w:cs="Arial"/>
                <w:szCs w:val="18"/>
                <w:lang w:val="pt-BR" w:eastAsia="pt-BR"/>
              </w:rPr>
              <w:t>)</w:t>
            </w:r>
          </w:p>
        </w:tc>
        <w:tc>
          <w:tcPr>
            <w:tcW w:w="1559" w:type="dxa"/>
            <w:tcBorders>
              <w:top w:val="single" w:sz="12" w:space="0" w:color="008000"/>
              <w:bottom w:val="single" w:sz="6" w:space="0" w:color="008000"/>
            </w:tcBorders>
            <w:shd w:val="clear" w:color="auto" w:fill="FFFFFF"/>
            <w:vAlign w:val="center"/>
          </w:tcPr>
          <w:p w14:paraId="5CF5DDD6" w14:textId="4364DEC3" w:rsidR="000975D2" w:rsidRPr="006541AA" w:rsidRDefault="000975D2" w:rsidP="000975D2">
            <w:pPr>
              <w:pStyle w:val="CETBodytext"/>
              <w:ind w:right="-1"/>
              <w:jc w:val="center"/>
              <w:rPr>
                <w:rFonts w:cs="Arial"/>
                <w:b/>
                <w:bCs/>
                <w:szCs w:val="18"/>
                <w:lang w:val="en-GB"/>
              </w:rPr>
            </w:pPr>
            <w:r w:rsidRPr="00724811">
              <w:rPr>
                <w:rFonts w:cs="Arial"/>
                <w:szCs w:val="18"/>
                <w:lang w:val="pt-BR" w:eastAsia="pt-BR"/>
              </w:rPr>
              <w:t xml:space="preserve">SS (%f </w:t>
            </w:r>
            <w:proofErr w:type="spellStart"/>
            <w:r w:rsidRPr="00724811">
              <w:rPr>
                <w:rFonts w:cs="Arial"/>
                <w:szCs w:val="18"/>
                <w:lang w:val="pt-BR" w:eastAsia="pt-BR"/>
              </w:rPr>
              <w:t>mass</w:t>
            </w:r>
            <w:proofErr w:type="spellEnd"/>
            <w:r w:rsidRPr="00724811">
              <w:rPr>
                <w:rFonts w:cs="Arial"/>
                <w:szCs w:val="18"/>
                <w:lang w:val="pt-BR" w:eastAsia="pt-BR"/>
              </w:rPr>
              <w:t>)</w:t>
            </w:r>
          </w:p>
        </w:tc>
        <w:tc>
          <w:tcPr>
            <w:tcW w:w="1276" w:type="dxa"/>
            <w:tcBorders>
              <w:top w:val="single" w:sz="12" w:space="0" w:color="008000"/>
              <w:bottom w:val="single" w:sz="6" w:space="0" w:color="008000"/>
            </w:tcBorders>
            <w:shd w:val="clear" w:color="auto" w:fill="FFFFFF"/>
            <w:vAlign w:val="center"/>
          </w:tcPr>
          <w:p w14:paraId="5F4C4630" w14:textId="0FC2C98A" w:rsidR="000975D2" w:rsidRPr="006541AA" w:rsidRDefault="000975D2" w:rsidP="000975D2">
            <w:pPr>
              <w:pStyle w:val="CETBodytext"/>
              <w:ind w:right="-1"/>
              <w:jc w:val="center"/>
              <w:rPr>
                <w:rFonts w:cs="Arial"/>
                <w:b/>
                <w:bCs/>
                <w:szCs w:val="18"/>
                <w:lang w:val="en-GB"/>
              </w:rPr>
            </w:pPr>
            <w:r w:rsidRPr="00724811">
              <w:rPr>
                <w:rFonts w:cs="Arial"/>
                <w:szCs w:val="18"/>
                <w:lang w:val="pt-BR" w:eastAsia="pt-BR"/>
              </w:rPr>
              <w:t xml:space="preserve">PSA (%f </w:t>
            </w:r>
            <w:proofErr w:type="spellStart"/>
            <w:r w:rsidRPr="00724811">
              <w:rPr>
                <w:rFonts w:cs="Arial"/>
                <w:szCs w:val="18"/>
                <w:lang w:val="pt-BR" w:eastAsia="pt-BR"/>
              </w:rPr>
              <w:t>mass</w:t>
            </w:r>
            <w:proofErr w:type="spellEnd"/>
            <w:r w:rsidRPr="00724811">
              <w:rPr>
                <w:rFonts w:cs="Arial"/>
                <w:szCs w:val="18"/>
                <w:lang w:val="pt-BR" w:eastAsia="pt-BR"/>
              </w:rPr>
              <w:t>)</w:t>
            </w:r>
          </w:p>
        </w:tc>
      </w:tr>
      <w:tr w:rsidR="000975D2" w:rsidRPr="00B57B36" w14:paraId="4444179C" w14:textId="77777777" w:rsidTr="0024585E">
        <w:tc>
          <w:tcPr>
            <w:tcW w:w="846" w:type="dxa"/>
            <w:shd w:val="clear" w:color="auto" w:fill="FFFFFF"/>
            <w:vAlign w:val="center"/>
          </w:tcPr>
          <w:p w14:paraId="48A37AB4" w14:textId="1D785DAA" w:rsidR="000975D2" w:rsidRPr="00420657" w:rsidRDefault="000975D2" w:rsidP="000975D2">
            <w:pPr>
              <w:pStyle w:val="CETBodytext"/>
              <w:rPr>
                <w:lang w:val="en-GB"/>
              </w:rPr>
            </w:pPr>
            <w:r w:rsidRPr="00724811">
              <w:rPr>
                <w:rFonts w:cs="Arial"/>
                <w:szCs w:val="18"/>
                <w:lang w:val="pt-BR" w:eastAsia="pt-BR"/>
              </w:rPr>
              <w:t>100 MW</w:t>
            </w:r>
          </w:p>
        </w:tc>
        <w:tc>
          <w:tcPr>
            <w:tcW w:w="1422" w:type="dxa"/>
            <w:shd w:val="clear" w:color="auto" w:fill="FFFFFF"/>
            <w:vAlign w:val="center"/>
          </w:tcPr>
          <w:p w14:paraId="42A72395" w14:textId="5C172665" w:rsidR="000975D2" w:rsidRPr="00B57B36" w:rsidRDefault="000975D2" w:rsidP="000975D2">
            <w:pPr>
              <w:pStyle w:val="CETBodytext"/>
              <w:jc w:val="center"/>
              <w:rPr>
                <w:lang w:val="en-GB"/>
              </w:rPr>
            </w:pPr>
            <w:r w:rsidRPr="00724811">
              <w:rPr>
                <w:rFonts w:cs="Arial"/>
                <w:szCs w:val="18"/>
                <w:lang w:val="pt-BR" w:eastAsia="pt-BR"/>
              </w:rPr>
              <w:t>&gt;0,99999</w:t>
            </w:r>
          </w:p>
        </w:tc>
        <w:tc>
          <w:tcPr>
            <w:tcW w:w="2410" w:type="dxa"/>
            <w:gridSpan w:val="2"/>
            <w:shd w:val="clear" w:color="auto" w:fill="FFFFFF"/>
            <w:vAlign w:val="center"/>
          </w:tcPr>
          <w:p w14:paraId="210CDCF4" w14:textId="5F49E2E6" w:rsidR="000975D2" w:rsidRPr="00B57B36" w:rsidRDefault="000975D2" w:rsidP="000975D2">
            <w:pPr>
              <w:pStyle w:val="CETBodytext"/>
              <w:jc w:val="center"/>
              <w:rPr>
                <w:lang w:val="en-GB"/>
              </w:rPr>
            </w:pPr>
            <w:r w:rsidRPr="00724811">
              <w:rPr>
                <w:rFonts w:cs="Arial"/>
                <w:szCs w:val="18"/>
                <w:lang w:val="pt-BR" w:eastAsia="pt-BR"/>
              </w:rPr>
              <w:t>&gt;0,99999</w:t>
            </w:r>
          </w:p>
        </w:tc>
        <w:tc>
          <w:tcPr>
            <w:tcW w:w="1559" w:type="dxa"/>
            <w:shd w:val="clear" w:color="auto" w:fill="FFFFFF"/>
            <w:vAlign w:val="center"/>
          </w:tcPr>
          <w:p w14:paraId="05853D9B" w14:textId="13C514E5" w:rsidR="000975D2" w:rsidRPr="00B57B36" w:rsidRDefault="000975D2" w:rsidP="000975D2">
            <w:pPr>
              <w:pStyle w:val="CETBodytext"/>
              <w:ind w:right="-1"/>
              <w:jc w:val="center"/>
              <w:rPr>
                <w:rFonts w:cs="Arial"/>
                <w:szCs w:val="18"/>
                <w:lang w:val="en-GB"/>
              </w:rPr>
            </w:pPr>
            <w:r w:rsidRPr="00724811">
              <w:rPr>
                <w:rFonts w:cs="Arial"/>
                <w:szCs w:val="18"/>
                <w:lang w:val="pt-BR" w:eastAsia="pt-BR"/>
              </w:rPr>
              <w:t>0,1030</w:t>
            </w:r>
          </w:p>
        </w:tc>
        <w:tc>
          <w:tcPr>
            <w:tcW w:w="1276" w:type="dxa"/>
            <w:shd w:val="clear" w:color="auto" w:fill="FFFFFF"/>
            <w:vAlign w:val="center"/>
          </w:tcPr>
          <w:p w14:paraId="6399294A" w14:textId="66B860C6" w:rsidR="000975D2" w:rsidRPr="00B57B36" w:rsidRDefault="000975D2" w:rsidP="000975D2">
            <w:pPr>
              <w:pStyle w:val="CETBodytext"/>
              <w:ind w:right="-1"/>
              <w:jc w:val="center"/>
              <w:rPr>
                <w:rFonts w:cs="Arial"/>
                <w:szCs w:val="18"/>
                <w:lang w:val="en-GB"/>
              </w:rPr>
            </w:pPr>
            <w:r w:rsidRPr="00724811">
              <w:rPr>
                <w:rFonts w:cs="Arial"/>
                <w:szCs w:val="18"/>
                <w:lang w:val="pt-BR" w:eastAsia="pt-BR"/>
              </w:rPr>
              <w:t>0,0979</w:t>
            </w:r>
          </w:p>
        </w:tc>
      </w:tr>
      <w:tr w:rsidR="000975D2" w14:paraId="2A4AF50D" w14:textId="77777777" w:rsidTr="0024585E">
        <w:tc>
          <w:tcPr>
            <w:tcW w:w="846" w:type="dxa"/>
            <w:shd w:val="clear" w:color="auto" w:fill="FFFFFF"/>
            <w:vAlign w:val="center"/>
          </w:tcPr>
          <w:p w14:paraId="034A93F1" w14:textId="07C336D7" w:rsidR="000975D2" w:rsidRDefault="000975D2" w:rsidP="000975D2">
            <w:pPr>
              <w:pStyle w:val="CETBodytext"/>
              <w:ind w:right="-1"/>
              <w:rPr>
                <w:rFonts w:cs="Arial"/>
                <w:szCs w:val="18"/>
                <w:lang w:val="en-GB"/>
              </w:rPr>
            </w:pPr>
            <w:r w:rsidRPr="00724811">
              <w:rPr>
                <w:rFonts w:cs="Arial"/>
                <w:szCs w:val="18"/>
                <w:lang w:val="pt-BR" w:eastAsia="pt-BR"/>
              </w:rPr>
              <w:t>200 MW</w:t>
            </w:r>
          </w:p>
        </w:tc>
        <w:tc>
          <w:tcPr>
            <w:tcW w:w="1422" w:type="dxa"/>
            <w:shd w:val="clear" w:color="auto" w:fill="FFFFFF"/>
            <w:vAlign w:val="center"/>
          </w:tcPr>
          <w:p w14:paraId="5F1A36FA" w14:textId="7DFABEAB" w:rsidR="000975D2" w:rsidRPr="00B57B36" w:rsidRDefault="000975D2" w:rsidP="000975D2">
            <w:pPr>
              <w:pStyle w:val="CETBodytext"/>
              <w:ind w:right="-1"/>
              <w:jc w:val="center"/>
              <w:rPr>
                <w:rFonts w:cs="Arial"/>
                <w:szCs w:val="18"/>
                <w:lang w:val="en-GB"/>
              </w:rPr>
            </w:pPr>
            <w:r w:rsidRPr="00724811">
              <w:rPr>
                <w:rFonts w:cs="Arial"/>
                <w:szCs w:val="18"/>
                <w:lang w:val="pt-BR" w:eastAsia="pt-BR"/>
              </w:rPr>
              <w:t>&gt;0,99999</w:t>
            </w:r>
          </w:p>
        </w:tc>
        <w:tc>
          <w:tcPr>
            <w:tcW w:w="2410" w:type="dxa"/>
            <w:gridSpan w:val="2"/>
            <w:shd w:val="clear" w:color="auto" w:fill="FFFFFF"/>
            <w:vAlign w:val="center"/>
          </w:tcPr>
          <w:p w14:paraId="0BBBF808" w14:textId="7CE15D16" w:rsidR="000975D2" w:rsidRPr="00B57B36" w:rsidRDefault="000975D2" w:rsidP="000975D2">
            <w:pPr>
              <w:pStyle w:val="CETBodytext"/>
              <w:ind w:right="-1"/>
              <w:jc w:val="center"/>
              <w:rPr>
                <w:rFonts w:cs="Arial"/>
                <w:szCs w:val="18"/>
                <w:lang w:val="en-GB"/>
              </w:rPr>
            </w:pPr>
            <w:r w:rsidRPr="00724811">
              <w:rPr>
                <w:rFonts w:cs="Arial"/>
                <w:szCs w:val="18"/>
                <w:lang w:val="pt-BR" w:eastAsia="pt-BR"/>
              </w:rPr>
              <w:t>&gt;0,99999</w:t>
            </w:r>
          </w:p>
        </w:tc>
        <w:tc>
          <w:tcPr>
            <w:tcW w:w="1559" w:type="dxa"/>
            <w:shd w:val="clear" w:color="auto" w:fill="FFFFFF"/>
            <w:vAlign w:val="center"/>
          </w:tcPr>
          <w:p w14:paraId="452701E7" w14:textId="338753FE" w:rsidR="000975D2" w:rsidRPr="00B57B36" w:rsidRDefault="000975D2" w:rsidP="000975D2">
            <w:pPr>
              <w:pStyle w:val="CETBodytext"/>
              <w:ind w:right="-1"/>
              <w:jc w:val="center"/>
              <w:rPr>
                <w:rFonts w:cs="Arial"/>
                <w:szCs w:val="18"/>
                <w:lang w:val="en-GB"/>
              </w:rPr>
            </w:pPr>
            <w:r w:rsidRPr="00724811">
              <w:rPr>
                <w:rFonts w:cs="Arial"/>
                <w:szCs w:val="18"/>
                <w:lang w:val="pt-BR" w:eastAsia="pt-BR"/>
              </w:rPr>
              <w:t>0,0185</w:t>
            </w:r>
          </w:p>
        </w:tc>
        <w:tc>
          <w:tcPr>
            <w:tcW w:w="1276" w:type="dxa"/>
            <w:shd w:val="clear" w:color="auto" w:fill="FFFFFF"/>
            <w:vAlign w:val="center"/>
          </w:tcPr>
          <w:p w14:paraId="0480E133" w14:textId="5377B25D" w:rsidR="000975D2" w:rsidRPr="00B57B36" w:rsidRDefault="000975D2" w:rsidP="000975D2">
            <w:pPr>
              <w:pStyle w:val="CETBodytext"/>
              <w:ind w:right="-1"/>
              <w:jc w:val="center"/>
              <w:rPr>
                <w:rFonts w:cs="Arial"/>
                <w:szCs w:val="18"/>
                <w:lang w:val="en-GB"/>
              </w:rPr>
            </w:pPr>
            <w:r w:rsidRPr="00724811">
              <w:rPr>
                <w:rFonts w:cs="Arial"/>
                <w:szCs w:val="18"/>
                <w:lang w:val="pt-BR" w:eastAsia="pt-BR"/>
              </w:rPr>
              <w:t>0,0979</w:t>
            </w:r>
          </w:p>
        </w:tc>
      </w:tr>
      <w:tr w:rsidR="000975D2" w14:paraId="2D2173E4" w14:textId="77777777" w:rsidTr="0024585E">
        <w:tc>
          <w:tcPr>
            <w:tcW w:w="846" w:type="dxa"/>
            <w:shd w:val="clear" w:color="auto" w:fill="FFFFFF"/>
            <w:vAlign w:val="center"/>
          </w:tcPr>
          <w:p w14:paraId="33FC89A4" w14:textId="2790BE42" w:rsidR="000975D2" w:rsidRDefault="000975D2" w:rsidP="000975D2">
            <w:pPr>
              <w:pStyle w:val="CETBodytext"/>
              <w:ind w:right="-1"/>
              <w:rPr>
                <w:rFonts w:cs="Arial"/>
                <w:szCs w:val="18"/>
                <w:lang w:val="en-GB"/>
              </w:rPr>
            </w:pPr>
            <w:r w:rsidRPr="00724811">
              <w:rPr>
                <w:rFonts w:cs="Arial"/>
                <w:szCs w:val="18"/>
                <w:lang w:val="pt-BR" w:eastAsia="pt-BR"/>
              </w:rPr>
              <w:t>300 MW</w:t>
            </w:r>
          </w:p>
        </w:tc>
        <w:tc>
          <w:tcPr>
            <w:tcW w:w="1422" w:type="dxa"/>
            <w:shd w:val="clear" w:color="auto" w:fill="FFFFFF"/>
            <w:vAlign w:val="center"/>
          </w:tcPr>
          <w:p w14:paraId="7A3938A2" w14:textId="2D9DC86E" w:rsidR="000975D2" w:rsidRPr="00B57B36" w:rsidRDefault="000975D2" w:rsidP="000975D2">
            <w:pPr>
              <w:pStyle w:val="CETBodytext"/>
              <w:ind w:right="-5"/>
              <w:jc w:val="center"/>
              <w:rPr>
                <w:rFonts w:cs="Arial"/>
                <w:szCs w:val="18"/>
                <w:lang w:val="en-GB"/>
              </w:rPr>
            </w:pPr>
            <w:r w:rsidRPr="00724811">
              <w:rPr>
                <w:rFonts w:cs="Arial"/>
                <w:szCs w:val="18"/>
                <w:lang w:val="pt-BR" w:eastAsia="pt-BR"/>
              </w:rPr>
              <w:t>&gt;0,99999</w:t>
            </w:r>
          </w:p>
        </w:tc>
        <w:tc>
          <w:tcPr>
            <w:tcW w:w="2410" w:type="dxa"/>
            <w:gridSpan w:val="2"/>
            <w:shd w:val="clear" w:color="auto" w:fill="FFFFFF"/>
            <w:vAlign w:val="center"/>
          </w:tcPr>
          <w:p w14:paraId="003E99D0" w14:textId="5506F2A0" w:rsidR="000975D2" w:rsidRPr="00B57B36" w:rsidRDefault="000975D2" w:rsidP="000975D2">
            <w:pPr>
              <w:pStyle w:val="CETBodytext"/>
              <w:ind w:right="-1"/>
              <w:jc w:val="center"/>
              <w:rPr>
                <w:rFonts w:cs="Arial"/>
                <w:szCs w:val="18"/>
                <w:lang w:val="en-GB"/>
              </w:rPr>
            </w:pPr>
            <w:r w:rsidRPr="00724811">
              <w:rPr>
                <w:rFonts w:cs="Arial"/>
                <w:szCs w:val="18"/>
                <w:lang w:val="pt-BR" w:eastAsia="pt-BR"/>
              </w:rPr>
              <w:t>&gt;0,99999</w:t>
            </w:r>
          </w:p>
        </w:tc>
        <w:tc>
          <w:tcPr>
            <w:tcW w:w="1559" w:type="dxa"/>
            <w:shd w:val="clear" w:color="auto" w:fill="FFFFFF"/>
            <w:vAlign w:val="center"/>
          </w:tcPr>
          <w:p w14:paraId="7C9F76E2" w14:textId="263F6E96" w:rsidR="000975D2" w:rsidRPr="00B57B36" w:rsidRDefault="000975D2" w:rsidP="000975D2">
            <w:pPr>
              <w:pStyle w:val="CETBodytext"/>
              <w:ind w:right="-1"/>
              <w:jc w:val="center"/>
              <w:rPr>
                <w:rFonts w:cs="Arial"/>
                <w:szCs w:val="18"/>
                <w:lang w:val="en-GB"/>
              </w:rPr>
            </w:pPr>
            <w:r w:rsidRPr="00724811">
              <w:rPr>
                <w:rFonts w:cs="Arial"/>
                <w:szCs w:val="18"/>
                <w:lang w:val="pt-BR" w:eastAsia="pt-BR"/>
              </w:rPr>
              <w:t>0,0252</w:t>
            </w:r>
          </w:p>
        </w:tc>
        <w:tc>
          <w:tcPr>
            <w:tcW w:w="1276" w:type="dxa"/>
            <w:shd w:val="clear" w:color="auto" w:fill="FFFFFF"/>
            <w:vAlign w:val="center"/>
          </w:tcPr>
          <w:p w14:paraId="0CA0B065" w14:textId="22E63680" w:rsidR="000975D2" w:rsidRPr="00B57B36" w:rsidRDefault="000975D2" w:rsidP="000975D2">
            <w:pPr>
              <w:pStyle w:val="CETBodytext"/>
              <w:ind w:right="-1"/>
              <w:jc w:val="center"/>
              <w:rPr>
                <w:rFonts w:cs="Arial"/>
                <w:szCs w:val="18"/>
                <w:lang w:val="en-GB"/>
              </w:rPr>
            </w:pPr>
            <w:r w:rsidRPr="00724811">
              <w:rPr>
                <w:rFonts w:cs="Arial"/>
                <w:szCs w:val="18"/>
                <w:lang w:val="pt-BR" w:eastAsia="pt-BR"/>
              </w:rPr>
              <w:t>0,7600</w:t>
            </w:r>
          </w:p>
        </w:tc>
      </w:tr>
      <w:tr w:rsidR="00626F44" w:rsidRPr="006541AA" w14:paraId="3B78C2D0" w14:textId="77777777" w:rsidTr="0024585E">
        <w:tc>
          <w:tcPr>
            <w:tcW w:w="846" w:type="dxa"/>
            <w:tcBorders>
              <w:top w:val="single" w:sz="12" w:space="0" w:color="008000"/>
              <w:bottom w:val="single" w:sz="6" w:space="0" w:color="008000"/>
            </w:tcBorders>
            <w:shd w:val="clear" w:color="auto" w:fill="FFFFFF"/>
          </w:tcPr>
          <w:p w14:paraId="4ACA79F7" w14:textId="77777777" w:rsidR="00626F44" w:rsidRPr="00B57B36" w:rsidRDefault="00626F44">
            <w:pPr>
              <w:pStyle w:val="CETBodytext"/>
              <w:rPr>
                <w:lang w:val="en-GB"/>
              </w:rPr>
            </w:pPr>
            <w:r w:rsidRPr="00B57B36">
              <w:rPr>
                <w:lang w:val="en-GB"/>
              </w:rPr>
              <w:t xml:space="preserve"> </w:t>
            </w:r>
          </w:p>
        </w:tc>
        <w:tc>
          <w:tcPr>
            <w:tcW w:w="6667" w:type="dxa"/>
            <w:gridSpan w:val="5"/>
            <w:tcBorders>
              <w:top w:val="single" w:sz="12" w:space="0" w:color="008000"/>
              <w:bottom w:val="single" w:sz="6" w:space="0" w:color="008000"/>
            </w:tcBorders>
            <w:shd w:val="clear" w:color="auto" w:fill="FFFFFF"/>
          </w:tcPr>
          <w:p w14:paraId="5CC98ED1" w14:textId="3FE08B80" w:rsidR="00626F44" w:rsidRPr="006541AA" w:rsidRDefault="00626F44">
            <w:pPr>
              <w:pStyle w:val="CETBodytext"/>
              <w:ind w:right="-1"/>
              <w:jc w:val="center"/>
              <w:rPr>
                <w:rFonts w:cs="Arial"/>
                <w:b/>
                <w:bCs/>
                <w:szCs w:val="18"/>
                <w:lang w:val="en-GB"/>
              </w:rPr>
            </w:pPr>
            <w:r w:rsidRPr="00626F44">
              <w:rPr>
                <w:b/>
                <w:bCs/>
                <w:lang w:val="en-GB"/>
              </w:rPr>
              <w:t>PEM mass outlet x stream captured flow loss of H2 in mass</w:t>
            </w:r>
          </w:p>
        </w:tc>
      </w:tr>
      <w:tr w:rsidR="00626F44" w:rsidRPr="006541AA" w14:paraId="2E03B68D" w14:textId="77777777" w:rsidTr="0024585E">
        <w:tc>
          <w:tcPr>
            <w:tcW w:w="846" w:type="dxa"/>
            <w:tcBorders>
              <w:top w:val="single" w:sz="12" w:space="0" w:color="008000"/>
              <w:bottom w:val="single" w:sz="6" w:space="0" w:color="008000"/>
            </w:tcBorders>
            <w:shd w:val="clear" w:color="auto" w:fill="FFFFFF"/>
          </w:tcPr>
          <w:p w14:paraId="22D68C11" w14:textId="77777777" w:rsidR="00626F44" w:rsidRPr="00B57B36" w:rsidRDefault="00626F44" w:rsidP="00626F44">
            <w:pPr>
              <w:pStyle w:val="CETBodytext"/>
              <w:rPr>
                <w:lang w:val="en-GB"/>
              </w:rPr>
            </w:pPr>
          </w:p>
        </w:tc>
        <w:tc>
          <w:tcPr>
            <w:tcW w:w="1848" w:type="dxa"/>
            <w:gridSpan w:val="2"/>
            <w:tcBorders>
              <w:top w:val="single" w:sz="12" w:space="0" w:color="008000"/>
              <w:bottom w:val="single" w:sz="6" w:space="0" w:color="008000"/>
            </w:tcBorders>
            <w:shd w:val="clear" w:color="auto" w:fill="FFFFFF"/>
            <w:vAlign w:val="center"/>
          </w:tcPr>
          <w:p w14:paraId="1BC82E3C" w14:textId="1D00DB6A" w:rsidR="00626F44" w:rsidRPr="006541AA" w:rsidRDefault="00626F44" w:rsidP="00626F44">
            <w:pPr>
              <w:pStyle w:val="CETBodytext"/>
              <w:jc w:val="center"/>
              <w:rPr>
                <w:b/>
                <w:bCs/>
                <w:lang w:val="en-GB"/>
              </w:rPr>
            </w:pPr>
            <w:r w:rsidRPr="00724811">
              <w:rPr>
                <w:rFonts w:cs="Arial"/>
                <w:szCs w:val="18"/>
                <w:lang w:val="pt-BR" w:eastAsia="pt-BR"/>
              </w:rPr>
              <w:t xml:space="preserve">PEM outlet (%f </w:t>
            </w:r>
            <w:proofErr w:type="spellStart"/>
            <w:r w:rsidRPr="00724811">
              <w:rPr>
                <w:rFonts w:cs="Arial"/>
                <w:szCs w:val="18"/>
                <w:lang w:val="pt-BR" w:eastAsia="pt-BR"/>
              </w:rPr>
              <w:t>mass</w:t>
            </w:r>
            <w:proofErr w:type="spellEnd"/>
            <w:r w:rsidRPr="00724811">
              <w:rPr>
                <w:rFonts w:cs="Arial"/>
                <w:szCs w:val="18"/>
                <w:lang w:val="pt-BR" w:eastAsia="pt-BR"/>
              </w:rPr>
              <w:t>)</w:t>
            </w:r>
          </w:p>
        </w:tc>
        <w:tc>
          <w:tcPr>
            <w:tcW w:w="1984" w:type="dxa"/>
            <w:tcBorders>
              <w:top w:val="single" w:sz="12" w:space="0" w:color="008000"/>
              <w:bottom w:val="single" w:sz="6" w:space="0" w:color="008000"/>
            </w:tcBorders>
            <w:shd w:val="clear" w:color="auto" w:fill="FFFFFF"/>
            <w:vAlign w:val="center"/>
          </w:tcPr>
          <w:p w14:paraId="69A28744" w14:textId="17D12C51" w:rsidR="00626F44" w:rsidRPr="006541AA" w:rsidRDefault="00626F44" w:rsidP="00626F44">
            <w:pPr>
              <w:pStyle w:val="CETBodytext"/>
              <w:jc w:val="center"/>
              <w:rPr>
                <w:b/>
                <w:bCs/>
                <w:lang w:val="en-GB"/>
              </w:rPr>
            </w:pPr>
            <w:r w:rsidRPr="00724811">
              <w:rPr>
                <w:rFonts w:cs="Arial"/>
                <w:szCs w:val="18"/>
                <w:lang w:val="pt-BR" w:eastAsia="pt-BR"/>
              </w:rPr>
              <w:t>PEM (kg/h)</w:t>
            </w:r>
          </w:p>
        </w:tc>
        <w:tc>
          <w:tcPr>
            <w:tcW w:w="1559" w:type="dxa"/>
            <w:tcBorders>
              <w:top w:val="single" w:sz="12" w:space="0" w:color="008000"/>
              <w:bottom w:val="single" w:sz="6" w:space="0" w:color="008000"/>
            </w:tcBorders>
            <w:shd w:val="clear" w:color="auto" w:fill="FFFFFF"/>
            <w:vAlign w:val="center"/>
          </w:tcPr>
          <w:p w14:paraId="1B2C22E2" w14:textId="1A5CDAD0" w:rsidR="00626F44" w:rsidRPr="006541AA" w:rsidRDefault="00626F44" w:rsidP="00626F44">
            <w:pPr>
              <w:pStyle w:val="CETBodytext"/>
              <w:ind w:right="-1"/>
              <w:jc w:val="center"/>
              <w:rPr>
                <w:rFonts w:cs="Arial"/>
                <w:b/>
                <w:bCs/>
                <w:szCs w:val="18"/>
                <w:lang w:val="en-GB"/>
              </w:rPr>
            </w:pPr>
            <w:r w:rsidRPr="00724811">
              <w:rPr>
                <w:rFonts w:cs="Arial"/>
                <w:szCs w:val="18"/>
                <w:lang w:val="pt-BR" w:eastAsia="pt-BR"/>
              </w:rPr>
              <w:t>SS (kg/h)</w:t>
            </w:r>
          </w:p>
        </w:tc>
        <w:tc>
          <w:tcPr>
            <w:tcW w:w="1276" w:type="dxa"/>
            <w:tcBorders>
              <w:top w:val="single" w:sz="12" w:space="0" w:color="008000"/>
              <w:bottom w:val="single" w:sz="6" w:space="0" w:color="008000"/>
            </w:tcBorders>
            <w:shd w:val="clear" w:color="auto" w:fill="FFFFFF"/>
            <w:vAlign w:val="center"/>
          </w:tcPr>
          <w:p w14:paraId="0742F027" w14:textId="655E625E" w:rsidR="00626F44" w:rsidRPr="006541AA" w:rsidRDefault="00626F44" w:rsidP="00626F44">
            <w:pPr>
              <w:pStyle w:val="CETBodytext"/>
              <w:ind w:right="-1"/>
              <w:jc w:val="center"/>
              <w:rPr>
                <w:rFonts w:cs="Arial"/>
                <w:b/>
                <w:bCs/>
                <w:szCs w:val="18"/>
                <w:lang w:val="en-GB"/>
              </w:rPr>
            </w:pPr>
            <w:r w:rsidRPr="00724811">
              <w:rPr>
                <w:rFonts w:cs="Arial"/>
                <w:szCs w:val="18"/>
                <w:lang w:val="pt-BR" w:eastAsia="pt-BR"/>
              </w:rPr>
              <w:t>PSA (kg/h)</w:t>
            </w:r>
          </w:p>
        </w:tc>
      </w:tr>
      <w:tr w:rsidR="00626F44" w:rsidRPr="00B57B36" w14:paraId="79DC60DA" w14:textId="77777777" w:rsidTr="0024585E">
        <w:tc>
          <w:tcPr>
            <w:tcW w:w="846" w:type="dxa"/>
            <w:shd w:val="clear" w:color="auto" w:fill="FFFFFF"/>
            <w:vAlign w:val="center"/>
          </w:tcPr>
          <w:p w14:paraId="5F7F0368" w14:textId="77777777" w:rsidR="00626F44" w:rsidRPr="00420657" w:rsidRDefault="00626F44" w:rsidP="00626F44">
            <w:pPr>
              <w:pStyle w:val="CETBodytext"/>
              <w:rPr>
                <w:lang w:val="en-GB"/>
              </w:rPr>
            </w:pPr>
            <w:r w:rsidRPr="00724811">
              <w:rPr>
                <w:rFonts w:cs="Arial"/>
                <w:szCs w:val="18"/>
                <w:lang w:val="pt-BR" w:eastAsia="pt-BR"/>
              </w:rPr>
              <w:t>100 MW</w:t>
            </w:r>
          </w:p>
        </w:tc>
        <w:tc>
          <w:tcPr>
            <w:tcW w:w="1848" w:type="dxa"/>
            <w:gridSpan w:val="2"/>
            <w:shd w:val="clear" w:color="auto" w:fill="FFFFFF"/>
            <w:vAlign w:val="center"/>
          </w:tcPr>
          <w:p w14:paraId="26B291DD" w14:textId="027D41A6" w:rsidR="00626F44" w:rsidRPr="00B57B36" w:rsidRDefault="00626F44" w:rsidP="00626F44">
            <w:pPr>
              <w:pStyle w:val="CETBodytext"/>
              <w:jc w:val="center"/>
              <w:rPr>
                <w:lang w:val="en-GB"/>
              </w:rPr>
            </w:pPr>
            <w:r w:rsidRPr="00724811">
              <w:rPr>
                <w:rFonts w:cs="Arial"/>
                <w:szCs w:val="18"/>
                <w:lang w:val="pt-BR" w:eastAsia="pt-BR"/>
              </w:rPr>
              <w:t>0,99950</w:t>
            </w:r>
          </w:p>
        </w:tc>
        <w:tc>
          <w:tcPr>
            <w:tcW w:w="1984" w:type="dxa"/>
            <w:shd w:val="clear" w:color="auto" w:fill="FFFFFF"/>
            <w:vAlign w:val="center"/>
          </w:tcPr>
          <w:p w14:paraId="2B928009" w14:textId="5B73CC55" w:rsidR="00626F44" w:rsidRPr="00B57B36" w:rsidRDefault="00626F44" w:rsidP="00626F44">
            <w:pPr>
              <w:pStyle w:val="CETBodytext"/>
              <w:jc w:val="center"/>
              <w:rPr>
                <w:lang w:val="en-GB"/>
              </w:rPr>
            </w:pPr>
            <w:r w:rsidRPr="00724811">
              <w:rPr>
                <w:rFonts w:cs="Arial"/>
                <w:szCs w:val="18"/>
                <w:lang w:val="pt-BR" w:eastAsia="pt-BR"/>
              </w:rPr>
              <w:t>1840,29</w:t>
            </w:r>
          </w:p>
        </w:tc>
        <w:tc>
          <w:tcPr>
            <w:tcW w:w="1559" w:type="dxa"/>
            <w:shd w:val="clear" w:color="auto" w:fill="FFFFFF"/>
            <w:vAlign w:val="center"/>
          </w:tcPr>
          <w:p w14:paraId="2E46AE51" w14:textId="42A8E733" w:rsidR="00626F44" w:rsidRPr="00B57B36" w:rsidRDefault="00626F44" w:rsidP="00626F44">
            <w:pPr>
              <w:pStyle w:val="CETBodytext"/>
              <w:ind w:right="-1"/>
              <w:jc w:val="center"/>
              <w:rPr>
                <w:rFonts w:cs="Arial"/>
                <w:szCs w:val="18"/>
                <w:lang w:val="en-GB"/>
              </w:rPr>
            </w:pPr>
            <w:r w:rsidRPr="00724811">
              <w:rPr>
                <w:rFonts w:cs="Arial"/>
                <w:szCs w:val="18"/>
                <w:lang w:val="pt-BR" w:eastAsia="pt-BR"/>
              </w:rPr>
              <w:t>0,11</w:t>
            </w:r>
          </w:p>
        </w:tc>
        <w:tc>
          <w:tcPr>
            <w:tcW w:w="1276" w:type="dxa"/>
            <w:shd w:val="clear" w:color="auto" w:fill="FFFFFF"/>
            <w:vAlign w:val="center"/>
          </w:tcPr>
          <w:p w14:paraId="689A131E" w14:textId="6051B6D5" w:rsidR="00626F44" w:rsidRPr="00B57B36" w:rsidRDefault="00626F44" w:rsidP="00626F44">
            <w:pPr>
              <w:pStyle w:val="CETBodytext"/>
              <w:ind w:right="-1"/>
              <w:jc w:val="center"/>
              <w:rPr>
                <w:rFonts w:cs="Arial"/>
                <w:szCs w:val="18"/>
                <w:lang w:val="en-GB"/>
              </w:rPr>
            </w:pPr>
            <w:r w:rsidRPr="00724811">
              <w:rPr>
                <w:rFonts w:cs="Arial"/>
                <w:szCs w:val="18"/>
                <w:lang w:val="pt-BR" w:eastAsia="pt-BR"/>
              </w:rPr>
              <w:t>0,21</w:t>
            </w:r>
          </w:p>
        </w:tc>
      </w:tr>
      <w:tr w:rsidR="00626F44" w:rsidRPr="00B57B36" w14:paraId="412395F9" w14:textId="77777777" w:rsidTr="0024585E">
        <w:tc>
          <w:tcPr>
            <w:tcW w:w="846" w:type="dxa"/>
            <w:shd w:val="clear" w:color="auto" w:fill="FFFFFF"/>
            <w:vAlign w:val="center"/>
          </w:tcPr>
          <w:p w14:paraId="167C8E2C" w14:textId="77777777" w:rsidR="00626F44" w:rsidRDefault="00626F44" w:rsidP="00626F44">
            <w:pPr>
              <w:pStyle w:val="CETBodytext"/>
              <w:ind w:right="-1"/>
              <w:rPr>
                <w:rFonts w:cs="Arial"/>
                <w:szCs w:val="18"/>
                <w:lang w:val="en-GB"/>
              </w:rPr>
            </w:pPr>
            <w:r w:rsidRPr="00724811">
              <w:rPr>
                <w:rFonts w:cs="Arial"/>
                <w:szCs w:val="18"/>
                <w:lang w:val="pt-BR" w:eastAsia="pt-BR"/>
              </w:rPr>
              <w:t>200 MW</w:t>
            </w:r>
          </w:p>
        </w:tc>
        <w:tc>
          <w:tcPr>
            <w:tcW w:w="1848" w:type="dxa"/>
            <w:gridSpan w:val="2"/>
            <w:shd w:val="clear" w:color="auto" w:fill="FFFFFF"/>
            <w:vAlign w:val="center"/>
          </w:tcPr>
          <w:p w14:paraId="4366F4F1" w14:textId="78A4B291" w:rsidR="00626F44" w:rsidRPr="00B57B36" w:rsidRDefault="00626F44" w:rsidP="00626F44">
            <w:pPr>
              <w:pStyle w:val="CETBodytext"/>
              <w:ind w:right="-1"/>
              <w:jc w:val="center"/>
              <w:rPr>
                <w:rFonts w:cs="Arial"/>
                <w:szCs w:val="18"/>
                <w:lang w:val="en-GB"/>
              </w:rPr>
            </w:pPr>
            <w:r w:rsidRPr="00724811">
              <w:rPr>
                <w:rFonts w:cs="Arial"/>
                <w:szCs w:val="18"/>
                <w:lang w:val="pt-BR" w:eastAsia="pt-BR"/>
              </w:rPr>
              <w:t>0,99950</w:t>
            </w:r>
          </w:p>
        </w:tc>
        <w:tc>
          <w:tcPr>
            <w:tcW w:w="1984" w:type="dxa"/>
            <w:shd w:val="clear" w:color="auto" w:fill="FFFFFF"/>
            <w:vAlign w:val="center"/>
          </w:tcPr>
          <w:p w14:paraId="5FCF9BEA" w14:textId="6149FCE8" w:rsidR="00626F44" w:rsidRPr="00B57B36" w:rsidRDefault="00626F44" w:rsidP="00626F44">
            <w:pPr>
              <w:pStyle w:val="CETBodytext"/>
              <w:ind w:right="-1"/>
              <w:jc w:val="center"/>
              <w:rPr>
                <w:rFonts w:cs="Arial"/>
                <w:szCs w:val="18"/>
                <w:lang w:val="en-GB"/>
              </w:rPr>
            </w:pPr>
            <w:r w:rsidRPr="00724811">
              <w:rPr>
                <w:rFonts w:cs="Arial"/>
                <w:szCs w:val="18"/>
                <w:lang w:val="pt-BR" w:eastAsia="pt-BR"/>
              </w:rPr>
              <w:t>3680,58</w:t>
            </w:r>
          </w:p>
        </w:tc>
        <w:tc>
          <w:tcPr>
            <w:tcW w:w="1559" w:type="dxa"/>
            <w:shd w:val="clear" w:color="auto" w:fill="FFFFFF"/>
            <w:vAlign w:val="center"/>
          </w:tcPr>
          <w:p w14:paraId="3A9D3C18" w14:textId="131CF720" w:rsidR="00626F44" w:rsidRPr="00B57B36" w:rsidRDefault="00626F44" w:rsidP="00626F44">
            <w:pPr>
              <w:pStyle w:val="CETBodytext"/>
              <w:ind w:right="-1"/>
              <w:jc w:val="center"/>
              <w:rPr>
                <w:rFonts w:cs="Arial"/>
                <w:szCs w:val="18"/>
                <w:lang w:val="en-GB"/>
              </w:rPr>
            </w:pPr>
            <w:r w:rsidRPr="00724811">
              <w:rPr>
                <w:rFonts w:cs="Arial"/>
                <w:szCs w:val="18"/>
                <w:lang w:val="pt-BR" w:eastAsia="pt-BR"/>
              </w:rPr>
              <w:t>0,04</w:t>
            </w:r>
          </w:p>
        </w:tc>
        <w:tc>
          <w:tcPr>
            <w:tcW w:w="1276" w:type="dxa"/>
            <w:shd w:val="clear" w:color="auto" w:fill="FFFFFF"/>
            <w:vAlign w:val="center"/>
          </w:tcPr>
          <w:p w14:paraId="3D1747A0" w14:textId="3927A90C" w:rsidR="00626F44" w:rsidRPr="00B57B36" w:rsidRDefault="00626F44" w:rsidP="00626F44">
            <w:pPr>
              <w:pStyle w:val="CETBodytext"/>
              <w:ind w:right="-1"/>
              <w:jc w:val="center"/>
              <w:rPr>
                <w:rFonts w:cs="Arial"/>
                <w:szCs w:val="18"/>
                <w:lang w:val="en-GB"/>
              </w:rPr>
            </w:pPr>
            <w:r w:rsidRPr="00724811">
              <w:rPr>
                <w:rFonts w:cs="Arial"/>
                <w:szCs w:val="18"/>
                <w:lang w:val="pt-BR" w:eastAsia="pt-BR"/>
              </w:rPr>
              <w:t>0,21</w:t>
            </w:r>
          </w:p>
        </w:tc>
      </w:tr>
      <w:tr w:rsidR="00626F44" w:rsidRPr="00B57B36" w14:paraId="32120BB4" w14:textId="77777777" w:rsidTr="0024585E">
        <w:tc>
          <w:tcPr>
            <w:tcW w:w="846" w:type="dxa"/>
            <w:shd w:val="clear" w:color="auto" w:fill="FFFFFF"/>
            <w:vAlign w:val="center"/>
          </w:tcPr>
          <w:p w14:paraId="0D3D4AED" w14:textId="77777777" w:rsidR="00626F44" w:rsidRDefault="00626F44" w:rsidP="00626F44">
            <w:pPr>
              <w:pStyle w:val="CETBodytext"/>
              <w:ind w:right="-1"/>
              <w:rPr>
                <w:rFonts w:cs="Arial"/>
                <w:szCs w:val="18"/>
                <w:lang w:val="en-GB"/>
              </w:rPr>
            </w:pPr>
            <w:r w:rsidRPr="00724811">
              <w:rPr>
                <w:rFonts w:cs="Arial"/>
                <w:szCs w:val="18"/>
                <w:lang w:val="pt-BR" w:eastAsia="pt-BR"/>
              </w:rPr>
              <w:t>300 MW</w:t>
            </w:r>
          </w:p>
        </w:tc>
        <w:tc>
          <w:tcPr>
            <w:tcW w:w="1848" w:type="dxa"/>
            <w:gridSpan w:val="2"/>
            <w:shd w:val="clear" w:color="auto" w:fill="FFFFFF"/>
            <w:vAlign w:val="center"/>
          </w:tcPr>
          <w:p w14:paraId="037014EF" w14:textId="3DF3B3F8" w:rsidR="00626F44" w:rsidRPr="00B57B36" w:rsidRDefault="00626F44" w:rsidP="00626F44">
            <w:pPr>
              <w:pStyle w:val="CETBodytext"/>
              <w:ind w:right="-5"/>
              <w:jc w:val="center"/>
              <w:rPr>
                <w:rFonts w:cs="Arial"/>
                <w:szCs w:val="18"/>
                <w:lang w:val="en-GB"/>
              </w:rPr>
            </w:pPr>
            <w:r w:rsidRPr="00724811">
              <w:rPr>
                <w:rFonts w:cs="Arial"/>
                <w:szCs w:val="18"/>
                <w:lang w:val="pt-BR" w:eastAsia="pt-BR"/>
              </w:rPr>
              <w:t>0,99950</w:t>
            </w:r>
          </w:p>
        </w:tc>
        <w:tc>
          <w:tcPr>
            <w:tcW w:w="1984" w:type="dxa"/>
            <w:shd w:val="clear" w:color="auto" w:fill="FFFFFF"/>
            <w:vAlign w:val="center"/>
          </w:tcPr>
          <w:p w14:paraId="7DDFB617" w14:textId="57336065" w:rsidR="00626F44" w:rsidRPr="00B57B36" w:rsidRDefault="00626F44" w:rsidP="00626F44">
            <w:pPr>
              <w:pStyle w:val="CETBodytext"/>
              <w:ind w:right="-1"/>
              <w:jc w:val="center"/>
              <w:rPr>
                <w:rFonts w:cs="Arial"/>
                <w:szCs w:val="18"/>
                <w:lang w:val="en-GB"/>
              </w:rPr>
            </w:pPr>
            <w:r w:rsidRPr="00724811">
              <w:rPr>
                <w:rFonts w:cs="Arial"/>
                <w:szCs w:val="18"/>
                <w:lang w:val="pt-BR" w:eastAsia="pt-BR"/>
              </w:rPr>
              <w:t>5520,87</w:t>
            </w:r>
          </w:p>
        </w:tc>
        <w:tc>
          <w:tcPr>
            <w:tcW w:w="1559" w:type="dxa"/>
            <w:shd w:val="clear" w:color="auto" w:fill="FFFFFF"/>
            <w:vAlign w:val="center"/>
          </w:tcPr>
          <w:p w14:paraId="0A598313" w14:textId="2026A7E0" w:rsidR="00626F44" w:rsidRPr="00B57B36" w:rsidRDefault="00626F44" w:rsidP="00626F44">
            <w:pPr>
              <w:pStyle w:val="CETBodytext"/>
              <w:ind w:right="-1"/>
              <w:jc w:val="center"/>
              <w:rPr>
                <w:rFonts w:cs="Arial"/>
                <w:szCs w:val="18"/>
                <w:lang w:val="en-GB"/>
              </w:rPr>
            </w:pPr>
            <w:r w:rsidRPr="00724811">
              <w:rPr>
                <w:rFonts w:cs="Arial"/>
                <w:szCs w:val="18"/>
                <w:lang w:val="pt-BR" w:eastAsia="pt-BR"/>
              </w:rPr>
              <w:t>0,06</w:t>
            </w:r>
          </w:p>
        </w:tc>
        <w:tc>
          <w:tcPr>
            <w:tcW w:w="1276" w:type="dxa"/>
            <w:shd w:val="clear" w:color="auto" w:fill="FFFFFF"/>
            <w:vAlign w:val="center"/>
          </w:tcPr>
          <w:p w14:paraId="270626FA" w14:textId="3B677C78" w:rsidR="00626F44" w:rsidRPr="00B57B36" w:rsidRDefault="00626F44" w:rsidP="00626F44">
            <w:pPr>
              <w:pStyle w:val="CETBodytext"/>
              <w:ind w:right="-1"/>
              <w:jc w:val="center"/>
              <w:rPr>
                <w:rFonts w:cs="Arial"/>
                <w:szCs w:val="18"/>
                <w:lang w:val="en-GB"/>
              </w:rPr>
            </w:pPr>
            <w:r w:rsidRPr="00724811">
              <w:rPr>
                <w:rFonts w:cs="Arial"/>
                <w:szCs w:val="18"/>
                <w:lang w:val="pt-BR" w:eastAsia="pt-BR"/>
              </w:rPr>
              <w:t>0,21</w:t>
            </w:r>
          </w:p>
        </w:tc>
      </w:tr>
    </w:tbl>
    <w:p w14:paraId="2BF513B7" w14:textId="77777777" w:rsidR="00034544" w:rsidRDefault="00034544" w:rsidP="0044074F">
      <w:pPr>
        <w:pStyle w:val="CETBodytext"/>
      </w:pPr>
    </w:p>
    <w:p w14:paraId="4B471540" w14:textId="0E09E078" w:rsidR="0044074F" w:rsidRPr="003108AD" w:rsidRDefault="00375398" w:rsidP="0044074F">
      <w:pPr>
        <w:pStyle w:val="CETBodytext"/>
      </w:pPr>
      <w:r w:rsidRPr="003108AD">
        <w:t xml:space="preserve">It is possible to observe in </w:t>
      </w:r>
      <w:r w:rsidR="00FE6D22" w:rsidRPr="003108AD">
        <w:fldChar w:fldCharType="begin"/>
      </w:r>
      <w:r w:rsidR="00FE6D22" w:rsidRPr="003108AD">
        <w:instrText xml:space="preserve"> REF _Ref198225595 \h </w:instrText>
      </w:r>
      <w:r w:rsidR="00FE6D22" w:rsidRPr="003108AD">
        <w:fldChar w:fldCharType="separate"/>
      </w:r>
      <w:r w:rsidR="00FE6D22" w:rsidRPr="003108AD">
        <w:rPr>
          <w:i/>
          <w:iCs/>
          <w:lang w:val="en-GB"/>
        </w:rPr>
        <w:t xml:space="preserve">Table </w:t>
      </w:r>
      <w:r w:rsidR="00FE6D22" w:rsidRPr="003108AD">
        <w:rPr>
          <w:i/>
          <w:iCs/>
          <w:noProof/>
          <w:lang w:val="en-GB"/>
        </w:rPr>
        <w:t>1</w:t>
      </w:r>
      <w:r w:rsidR="00FE6D22" w:rsidRPr="003108AD">
        <w:fldChar w:fldCharType="end"/>
      </w:r>
      <w:r w:rsidR="00690FAC">
        <w:t xml:space="preserve"> - </w:t>
      </w:r>
      <w:r w:rsidR="00690FAC" w:rsidRPr="00724811">
        <w:rPr>
          <w:i/>
          <w:iCs/>
          <w:lang w:val="en-GB"/>
        </w:rPr>
        <w:t>H</w:t>
      </w:r>
      <w:r w:rsidR="00690FAC" w:rsidRPr="00724811">
        <w:rPr>
          <w:i/>
          <w:iCs/>
          <w:vertAlign w:val="subscript"/>
          <w:lang w:val="en-GB"/>
        </w:rPr>
        <w:t>2</w:t>
      </w:r>
      <w:r w:rsidR="00690FAC" w:rsidRPr="00724811">
        <w:rPr>
          <w:i/>
          <w:iCs/>
          <w:lang w:val="en-GB"/>
        </w:rPr>
        <w:t xml:space="preserve"> stream purified flow</w:t>
      </w:r>
      <w:r w:rsidRPr="003108AD">
        <w:t xml:space="preserve"> that for automotive applications, which have a purification requirement of 5S </w:t>
      </w:r>
      <w:r w:rsidR="00BE1E5E" w:rsidRPr="003108AD">
        <w:t xml:space="preserve">(99,999%) </w:t>
      </w:r>
      <w:r w:rsidRPr="003108AD">
        <w:t>after the decimal point, both technologies achieve their objective at all scales.</w:t>
      </w:r>
      <w:r w:rsidR="002F6005" w:rsidRPr="003108AD">
        <w:t xml:space="preserve"> In </w:t>
      </w:r>
      <w:r w:rsidR="00BC41B6" w:rsidRPr="00BC41B6">
        <w:rPr>
          <w:i/>
          <w:iCs/>
        </w:rPr>
        <w:t>Table 1</w:t>
      </w:r>
      <w:r w:rsidR="00BC41B6">
        <w:t xml:space="preserve"> </w:t>
      </w:r>
      <w:r w:rsidR="00690FAC">
        <w:t xml:space="preserve">- </w:t>
      </w:r>
      <w:r w:rsidR="00690FAC" w:rsidRPr="00724811">
        <w:rPr>
          <w:i/>
          <w:iCs/>
          <w:lang w:val="en-GB"/>
        </w:rPr>
        <w:t>H</w:t>
      </w:r>
      <w:r w:rsidR="00690FAC" w:rsidRPr="00724811">
        <w:rPr>
          <w:i/>
          <w:iCs/>
          <w:vertAlign w:val="subscript"/>
          <w:lang w:val="en-GB"/>
        </w:rPr>
        <w:t>2</w:t>
      </w:r>
      <w:r w:rsidR="00690FAC" w:rsidRPr="00724811">
        <w:rPr>
          <w:i/>
          <w:iCs/>
          <w:lang w:val="en-GB"/>
        </w:rPr>
        <w:t xml:space="preserve"> stream captured flow</w:t>
      </w:r>
      <w:r w:rsidR="002F6005" w:rsidRPr="003108AD">
        <w:t>, in the capture stream, it is possible to identify that for the scales studied, the SS has a smaller amount of H</w:t>
      </w:r>
      <w:r w:rsidR="002F6005" w:rsidRPr="00BC41B6">
        <w:rPr>
          <w:vertAlign w:val="subscript"/>
        </w:rPr>
        <w:t>2</w:t>
      </w:r>
      <w:r w:rsidR="002F6005" w:rsidRPr="003108AD">
        <w:t xml:space="preserve"> loss, with the exception of the 100 MW scale, which can be associated with a lower total flow rate of the system for capacities of 100 MW, which can result in a higher H</w:t>
      </w:r>
      <w:r w:rsidR="002F6005" w:rsidRPr="00BC41B6">
        <w:rPr>
          <w:vertAlign w:val="subscript"/>
        </w:rPr>
        <w:t>2</w:t>
      </w:r>
      <w:r w:rsidR="002F6005" w:rsidRPr="003108AD">
        <w:t xml:space="preserve"> concentration in the capture stream.</w:t>
      </w:r>
      <w:r w:rsidR="00C31166" w:rsidRPr="003108AD">
        <w:t xml:space="preserve"> Finally, in </w:t>
      </w:r>
      <w:r w:rsidR="00BC41B6" w:rsidRPr="005D4922">
        <w:rPr>
          <w:i/>
          <w:iCs/>
        </w:rPr>
        <w:t>Table 1</w:t>
      </w:r>
      <w:r w:rsidR="00BC41B6">
        <w:t xml:space="preserve"> - </w:t>
      </w:r>
      <w:r w:rsidR="00BC41B6" w:rsidRPr="00724811">
        <w:rPr>
          <w:i/>
          <w:iCs/>
          <w:lang w:val="en-GB"/>
        </w:rPr>
        <w:t>PEM mass outlet x stream captured flow loss of H</w:t>
      </w:r>
      <w:r w:rsidR="00BC41B6" w:rsidRPr="00724811">
        <w:rPr>
          <w:i/>
          <w:iCs/>
          <w:vertAlign w:val="subscript"/>
          <w:lang w:val="en-GB"/>
        </w:rPr>
        <w:t>2</w:t>
      </w:r>
      <w:r w:rsidR="00BC41B6" w:rsidRPr="00724811">
        <w:rPr>
          <w:i/>
          <w:iCs/>
          <w:lang w:val="en-GB"/>
        </w:rPr>
        <w:t xml:space="preserve"> in mass</w:t>
      </w:r>
      <w:r w:rsidR="00C31166" w:rsidRPr="003108AD">
        <w:t>, the analysis is verified in terms of the mass of H</w:t>
      </w:r>
      <w:r w:rsidR="00C31166" w:rsidRPr="00BC41B6">
        <w:rPr>
          <w:vertAlign w:val="subscript"/>
        </w:rPr>
        <w:t>2</w:t>
      </w:r>
      <w:r w:rsidR="00C31166" w:rsidRPr="003108AD">
        <w:t xml:space="preserve"> produced in the PEM x mass of H</w:t>
      </w:r>
      <w:r w:rsidR="00C31166" w:rsidRPr="00BC41B6">
        <w:rPr>
          <w:vertAlign w:val="subscript"/>
        </w:rPr>
        <w:t>2</w:t>
      </w:r>
      <w:r w:rsidR="00C31166" w:rsidRPr="003108AD">
        <w:t xml:space="preserve"> lost in each purification system, in which a lower loss in general is observed in the SS and a constancy of values in the PSA</w:t>
      </w:r>
      <w:r w:rsidR="00985D5F" w:rsidRPr="00985D5F">
        <w:t>, which operated with two final columns.</w:t>
      </w:r>
      <w:r w:rsidR="00C62E18">
        <w:t xml:space="preserve"> </w:t>
      </w:r>
      <w:r w:rsidR="0044074F" w:rsidRPr="003108AD">
        <w:t>After the technical analysis, economic performance criteria are evaluated. CAPEX</w:t>
      </w:r>
      <w:r w:rsidR="005D4922">
        <w:t xml:space="preserve"> and LCOP</w:t>
      </w:r>
      <w:r w:rsidR="0044074F" w:rsidRPr="003108AD">
        <w:t xml:space="preserve"> for each strategy </w:t>
      </w:r>
      <w:r w:rsidR="00036D12" w:rsidRPr="003108AD">
        <w:t>are</w:t>
      </w:r>
      <w:r w:rsidR="0044074F" w:rsidRPr="003108AD">
        <w:t xml:space="preserve"> presented in</w:t>
      </w:r>
      <w:r w:rsidR="00B1546A">
        <w:t xml:space="preserve"> </w:t>
      </w:r>
      <w:r w:rsidR="00B1546A" w:rsidRPr="00B1546A">
        <w:rPr>
          <w:i/>
          <w:iCs/>
        </w:rPr>
        <w:t>Table 2</w:t>
      </w:r>
      <w:r w:rsidR="00932A2C" w:rsidRPr="003108AD">
        <w:t>.</w:t>
      </w:r>
    </w:p>
    <w:p w14:paraId="0E4F3CA6" w14:textId="77777777" w:rsidR="00932A2C" w:rsidRPr="003108AD" w:rsidRDefault="00932A2C" w:rsidP="0044074F">
      <w:pPr>
        <w:pStyle w:val="CETBodytext"/>
      </w:pPr>
    </w:p>
    <w:p w14:paraId="0E72674F" w14:textId="410F5C68" w:rsidR="00932A2C" w:rsidRDefault="00B1546A" w:rsidP="00932A2C">
      <w:pPr>
        <w:pStyle w:val="CETBodytext"/>
        <w:rPr>
          <w:i/>
          <w:iCs/>
          <w:lang w:val="en-GB"/>
        </w:rPr>
      </w:pPr>
      <w:r w:rsidRPr="00B1546A">
        <w:rPr>
          <w:i/>
          <w:iCs/>
        </w:rPr>
        <w:t>Table 2</w:t>
      </w:r>
      <w:r w:rsidR="00932A2C" w:rsidRPr="003108AD">
        <w:rPr>
          <w:i/>
          <w:iCs/>
          <w:lang w:val="en-GB"/>
        </w:rPr>
        <w:t xml:space="preserve">: </w:t>
      </w:r>
      <w:r w:rsidR="005D4922">
        <w:rPr>
          <w:i/>
          <w:iCs/>
          <w:lang w:val="en-GB"/>
        </w:rPr>
        <w:t xml:space="preserve">PSA and SS </w:t>
      </w:r>
      <w:r>
        <w:rPr>
          <w:i/>
          <w:iCs/>
          <w:lang w:val="en-GB"/>
        </w:rPr>
        <w:t xml:space="preserve">Economic </w:t>
      </w:r>
      <w:r w:rsidR="005D4922">
        <w:rPr>
          <w:i/>
          <w:iCs/>
          <w:lang w:val="en-GB"/>
        </w:rPr>
        <w:t>comparison.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559"/>
        <w:gridCol w:w="1984"/>
        <w:gridCol w:w="1701"/>
        <w:gridCol w:w="2410"/>
      </w:tblGrid>
      <w:tr w:rsidR="000227F6" w:rsidRPr="006541AA" w14:paraId="1BD2B46E" w14:textId="77777777" w:rsidTr="00034544">
        <w:tc>
          <w:tcPr>
            <w:tcW w:w="993" w:type="dxa"/>
            <w:tcBorders>
              <w:top w:val="single" w:sz="12" w:space="0" w:color="008000"/>
              <w:bottom w:val="single" w:sz="6" w:space="0" w:color="008000"/>
            </w:tcBorders>
            <w:shd w:val="clear" w:color="auto" w:fill="FFFFFF"/>
          </w:tcPr>
          <w:p w14:paraId="7EAD2CE2" w14:textId="77777777" w:rsidR="000227F6" w:rsidRPr="00B57B36" w:rsidRDefault="000227F6">
            <w:pPr>
              <w:pStyle w:val="CETBodytext"/>
              <w:rPr>
                <w:lang w:val="en-GB"/>
              </w:rPr>
            </w:pPr>
            <w:r w:rsidRPr="00B57B36">
              <w:rPr>
                <w:lang w:val="en-GB"/>
              </w:rPr>
              <w:t xml:space="preserve"> </w:t>
            </w:r>
          </w:p>
        </w:tc>
        <w:tc>
          <w:tcPr>
            <w:tcW w:w="3543" w:type="dxa"/>
            <w:gridSpan w:val="2"/>
            <w:tcBorders>
              <w:top w:val="single" w:sz="12" w:space="0" w:color="008000"/>
              <w:bottom w:val="single" w:sz="6" w:space="0" w:color="008000"/>
            </w:tcBorders>
            <w:shd w:val="clear" w:color="auto" w:fill="FFFFFF"/>
          </w:tcPr>
          <w:p w14:paraId="549FE398" w14:textId="0CDA11FC" w:rsidR="000227F6" w:rsidRPr="006541AA" w:rsidRDefault="000227F6">
            <w:pPr>
              <w:pStyle w:val="CETBodytext"/>
              <w:jc w:val="center"/>
              <w:rPr>
                <w:b/>
                <w:bCs/>
                <w:lang w:val="en-GB"/>
              </w:rPr>
            </w:pPr>
            <w:r w:rsidRPr="000227F6">
              <w:rPr>
                <w:b/>
                <w:bCs/>
                <w:lang w:val="en-GB"/>
              </w:rPr>
              <w:t>PSA and SS CAPEX</w:t>
            </w:r>
          </w:p>
        </w:tc>
        <w:tc>
          <w:tcPr>
            <w:tcW w:w="4111" w:type="dxa"/>
            <w:gridSpan w:val="2"/>
            <w:tcBorders>
              <w:top w:val="single" w:sz="12" w:space="0" w:color="008000"/>
              <w:bottom w:val="single" w:sz="6" w:space="0" w:color="008000"/>
            </w:tcBorders>
            <w:shd w:val="clear" w:color="auto" w:fill="FFFFFF"/>
          </w:tcPr>
          <w:p w14:paraId="14EB240D" w14:textId="51EED49D" w:rsidR="000227F6" w:rsidRPr="006541AA" w:rsidRDefault="000227F6">
            <w:pPr>
              <w:pStyle w:val="CETBodytext"/>
              <w:ind w:right="-1"/>
              <w:jc w:val="center"/>
              <w:rPr>
                <w:rFonts w:cs="Arial"/>
                <w:b/>
                <w:bCs/>
                <w:szCs w:val="18"/>
                <w:lang w:val="en-GB"/>
              </w:rPr>
            </w:pPr>
            <w:r w:rsidRPr="000227F6">
              <w:rPr>
                <w:rFonts w:cs="Arial"/>
                <w:b/>
                <w:bCs/>
                <w:szCs w:val="18"/>
                <w:lang w:val="en-GB"/>
              </w:rPr>
              <w:t>LCOP comparison for PSA and SS strategy</w:t>
            </w:r>
          </w:p>
        </w:tc>
      </w:tr>
      <w:tr w:rsidR="000227F6" w:rsidRPr="006541AA" w14:paraId="77A9A78B" w14:textId="77777777" w:rsidTr="00034544">
        <w:tc>
          <w:tcPr>
            <w:tcW w:w="993" w:type="dxa"/>
            <w:tcBorders>
              <w:top w:val="single" w:sz="12" w:space="0" w:color="008000"/>
              <w:bottom w:val="single" w:sz="6" w:space="0" w:color="008000"/>
            </w:tcBorders>
            <w:shd w:val="clear" w:color="auto" w:fill="FFFFFF"/>
          </w:tcPr>
          <w:p w14:paraId="7D60B227" w14:textId="77777777" w:rsidR="000227F6" w:rsidRPr="00B57B36" w:rsidRDefault="000227F6" w:rsidP="000227F6">
            <w:pPr>
              <w:pStyle w:val="CETBodytext"/>
              <w:rPr>
                <w:lang w:val="en-GB"/>
              </w:rPr>
            </w:pPr>
          </w:p>
        </w:tc>
        <w:tc>
          <w:tcPr>
            <w:tcW w:w="1559" w:type="dxa"/>
            <w:tcBorders>
              <w:top w:val="single" w:sz="12" w:space="0" w:color="008000"/>
              <w:bottom w:val="single" w:sz="6" w:space="0" w:color="008000"/>
            </w:tcBorders>
            <w:shd w:val="clear" w:color="auto" w:fill="FFFFFF"/>
            <w:vAlign w:val="center"/>
          </w:tcPr>
          <w:p w14:paraId="019F8C57" w14:textId="56938E35" w:rsidR="000227F6" w:rsidRPr="006541AA" w:rsidRDefault="000227F6" w:rsidP="000227F6">
            <w:pPr>
              <w:pStyle w:val="CETBodytext"/>
              <w:jc w:val="center"/>
              <w:rPr>
                <w:b/>
                <w:bCs/>
                <w:lang w:val="en-GB"/>
              </w:rPr>
            </w:pPr>
            <w:r w:rsidRPr="00B1546A">
              <w:rPr>
                <w:rFonts w:cs="Arial"/>
                <w:szCs w:val="18"/>
                <w:lang w:val="pt-BR" w:eastAsia="pt-BR"/>
              </w:rPr>
              <w:t>SS CAPEX</w:t>
            </w:r>
          </w:p>
        </w:tc>
        <w:tc>
          <w:tcPr>
            <w:tcW w:w="1984" w:type="dxa"/>
            <w:tcBorders>
              <w:top w:val="single" w:sz="12" w:space="0" w:color="008000"/>
              <w:bottom w:val="single" w:sz="6" w:space="0" w:color="008000"/>
            </w:tcBorders>
            <w:shd w:val="clear" w:color="auto" w:fill="FFFFFF"/>
            <w:vAlign w:val="center"/>
          </w:tcPr>
          <w:p w14:paraId="60D796FB" w14:textId="6678C478" w:rsidR="000227F6" w:rsidRPr="006541AA" w:rsidRDefault="000227F6" w:rsidP="000227F6">
            <w:pPr>
              <w:pStyle w:val="CETBodytext"/>
              <w:jc w:val="center"/>
              <w:rPr>
                <w:b/>
                <w:bCs/>
                <w:lang w:val="en-GB"/>
              </w:rPr>
            </w:pPr>
            <w:r w:rsidRPr="00B1546A">
              <w:rPr>
                <w:rFonts w:cs="Arial"/>
                <w:szCs w:val="18"/>
                <w:lang w:val="pt-BR" w:eastAsia="pt-BR"/>
              </w:rPr>
              <w:t>PSA CAPEX</w:t>
            </w:r>
          </w:p>
        </w:tc>
        <w:tc>
          <w:tcPr>
            <w:tcW w:w="1701" w:type="dxa"/>
            <w:tcBorders>
              <w:top w:val="single" w:sz="12" w:space="0" w:color="008000"/>
              <w:bottom w:val="single" w:sz="6" w:space="0" w:color="008000"/>
            </w:tcBorders>
            <w:shd w:val="clear" w:color="auto" w:fill="FFFFFF"/>
            <w:vAlign w:val="center"/>
          </w:tcPr>
          <w:p w14:paraId="49C80FEC" w14:textId="0C3FB234" w:rsidR="000227F6" w:rsidRPr="006541AA" w:rsidRDefault="000227F6" w:rsidP="000227F6">
            <w:pPr>
              <w:pStyle w:val="CETBodytext"/>
              <w:ind w:right="-1"/>
              <w:jc w:val="center"/>
              <w:rPr>
                <w:rFonts w:cs="Arial"/>
                <w:b/>
                <w:bCs/>
                <w:szCs w:val="18"/>
                <w:lang w:val="en-GB"/>
              </w:rPr>
            </w:pPr>
            <w:r w:rsidRPr="00B1546A">
              <w:rPr>
                <w:rFonts w:cs="Arial"/>
                <w:szCs w:val="18"/>
                <w:lang w:val="pt-BR" w:eastAsia="pt-BR"/>
              </w:rPr>
              <w:t>SS (US$/kg)</w:t>
            </w:r>
          </w:p>
        </w:tc>
        <w:tc>
          <w:tcPr>
            <w:tcW w:w="2410" w:type="dxa"/>
            <w:tcBorders>
              <w:top w:val="single" w:sz="12" w:space="0" w:color="008000"/>
              <w:bottom w:val="single" w:sz="6" w:space="0" w:color="008000"/>
            </w:tcBorders>
            <w:shd w:val="clear" w:color="auto" w:fill="FFFFFF"/>
            <w:vAlign w:val="center"/>
          </w:tcPr>
          <w:p w14:paraId="1B17B5E4" w14:textId="70767B41" w:rsidR="000227F6" w:rsidRPr="006541AA" w:rsidRDefault="000227F6" w:rsidP="000227F6">
            <w:pPr>
              <w:pStyle w:val="CETBodytext"/>
              <w:ind w:right="-1"/>
              <w:jc w:val="center"/>
              <w:rPr>
                <w:rFonts w:cs="Arial"/>
                <w:b/>
                <w:bCs/>
                <w:szCs w:val="18"/>
                <w:lang w:val="en-GB"/>
              </w:rPr>
            </w:pPr>
            <w:r w:rsidRPr="00B1546A">
              <w:rPr>
                <w:rFonts w:cs="Arial"/>
                <w:szCs w:val="18"/>
                <w:lang w:val="pt-BR" w:eastAsia="pt-BR"/>
              </w:rPr>
              <w:t>PSA (US$/kg)</w:t>
            </w:r>
          </w:p>
        </w:tc>
      </w:tr>
      <w:tr w:rsidR="000227F6" w:rsidRPr="00B57B36" w14:paraId="7B4387DA" w14:textId="77777777" w:rsidTr="00034544">
        <w:tc>
          <w:tcPr>
            <w:tcW w:w="993" w:type="dxa"/>
            <w:shd w:val="clear" w:color="auto" w:fill="FFFFFF"/>
            <w:vAlign w:val="center"/>
          </w:tcPr>
          <w:p w14:paraId="428D76C8" w14:textId="77777777" w:rsidR="000227F6" w:rsidRPr="00420657" w:rsidRDefault="000227F6" w:rsidP="000227F6">
            <w:pPr>
              <w:pStyle w:val="CETBodytext"/>
              <w:rPr>
                <w:lang w:val="en-GB"/>
              </w:rPr>
            </w:pPr>
            <w:r w:rsidRPr="00724811">
              <w:rPr>
                <w:rFonts w:cs="Arial"/>
                <w:szCs w:val="18"/>
                <w:lang w:val="pt-BR" w:eastAsia="pt-BR"/>
              </w:rPr>
              <w:t>100 MW</w:t>
            </w:r>
          </w:p>
        </w:tc>
        <w:tc>
          <w:tcPr>
            <w:tcW w:w="1559" w:type="dxa"/>
            <w:shd w:val="clear" w:color="auto" w:fill="FFFFFF"/>
            <w:vAlign w:val="center"/>
          </w:tcPr>
          <w:p w14:paraId="4812B717" w14:textId="681D77D0" w:rsidR="000227F6" w:rsidRPr="00B57B36" w:rsidRDefault="000227F6" w:rsidP="000227F6">
            <w:pPr>
              <w:pStyle w:val="CETBodytext"/>
              <w:jc w:val="center"/>
              <w:rPr>
                <w:lang w:val="en-GB"/>
              </w:rPr>
            </w:pPr>
            <w:r w:rsidRPr="00B1546A">
              <w:rPr>
                <w:rFonts w:cs="Arial"/>
                <w:szCs w:val="18"/>
                <w:lang w:val="pt-BR" w:eastAsia="pt-BR"/>
              </w:rPr>
              <w:t>US$115,333.02</w:t>
            </w:r>
          </w:p>
        </w:tc>
        <w:tc>
          <w:tcPr>
            <w:tcW w:w="1984" w:type="dxa"/>
            <w:shd w:val="clear" w:color="auto" w:fill="FFFFFF"/>
            <w:vAlign w:val="center"/>
          </w:tcPr>
          <w:p w14:paraId="1106BE6E" w14:textId="50B508F6" w:rsidR="000227F6" w:rsidRPr="00B57B36" w:rsidRDefault="000227F6" w:rsidP="000227F6">
            <w:pPr>
              <w:pStyle w:val="CETBodytext"/>
              <w:jc w:val="center"/>
              <w:rPr>
                <w:lang w:val="en-GB"/>
              </w:rPr>
            </w:pPr>
            <w:r w:rsidRPr="00B1546A">
              <w:rPr>
                <w:rFonts w:cs="Arial"/>
                <w:szCs w:val="18"/>
                <w:lang w:val="pt-BR" w:eastAsia="pt-BR"/>
              </w:rPr>
              <w:t>US$5,007,545.41</w:t>
            </w:r>
          </w:p>
        </w:tc>
        <w:tc>
          <w:tcPr>
            <w:tcW w:w="1701" w:type="dxa"/>
            <w:shd w:val="clear" w:color="auto" w:fill="FFFFFF"/>
          </w:tcPr>
          <w:p w14:paraId="4AC449F7" w14:textId="5CCB5CC1" w:rsidR="000227F6" w:rsidRPr="00B57B36" w:rsidRDefault="000227F6" w:rsidP="000227F6">
            <w:pPr>
              <w:pStyle w:val="CETBodytext"/>
              <w:ind w:right="-1"/>
              <w:jc w:val="center"/>
              <w:rPr>
                <w:rFonts w:cs="Arial"/>
                <w:szCs w:val="18"/>
                <w:lang w:val="en-GB"/>
              </w:rPr>
            </w:pPr>
            <w:r w:rsidRPr="00B1546A">
              <w:rPr>
                <w:rFonts w:cs="Arial"/>
                <w:szCs w:val="18"/>
                <w:lang w:val="pt-BR" w:eastAsia="pt-BR"/>
              </w:rPr>
              <w:t>0.0012</w:t>
            </w:r>
          </w:p>
        </w:tc>
        <w:tc>
          <w:tcPr>
            <w:tcW w:w="2410" w:type="dxa"/>
            <w:shd w:val="clear" w:color="auto" w:fill="FFFFFF"/>
          </w:tcPr>
          <w:p w14:paraId="675677EC" w14:textId="4F19507A" w:rsidR="000227F6" w:rsidRPr="00B57B36" w:rsidRDefault="000227F6" w:rsidP="000227F6">
            <w:pPr>
              <w:pStyle w:val="CETBodytext"/>
              <w:ind w:right="-1"/>
              <w:jc w:val="center"/>
              <w:rPr>
                <w:rFonts w:cs="Arial"/>
                <w:szCs w:val="18"/>
                <w:lang w:val="en-GB"/>
              </w:rPr>
            </w:pPr>
            <w:r w:rsidRPr="00B1546A">
              <w:rPr>
                <w:rFonts w:cs="Arial"/>
                <w:szCs w:val="18"/>
                <w:lang w:val="pt-BR" w:eastAsia="pt-BR"/>
              </w:rPr>
              <w:t>0.0275</w:t>
            </w:r>
          </w:p>
        </w:tc>
      </w:tr>
      <w:tr w:rsidR="000227F6" w:rsidRPr="00B57B36" w14:paraId="45296314" w14:textId="77777777" w:rsidTr="00034544">
        <w:tc>
          <w:tcPr>
            <w:tcW w:w="993" w:type="dxa"/>
            <w:shd w:val="clear" w:color="auto" w:fill="FFFFFF"/>
            <w:vAlign w:val="center"/>
          </w:tcPr>
          <w:p w14:paraId="68BF9E58" w14:textId="77777777" w:rsidR="000227F6" w:rsidRDefault="000227F6" w:rsidP="000227F6">
            <w:pPr>
              <w:pStyle w:val="CETBodytext"/>
              <w:ind w:right="-1"/>
              <w:rPr>
                <w:rFonts w:cs="Arial"/>
                <w:szCs w:val="18"/>
                <w:lang w:val="en-GB"/>
              </w:rPr>
            </w:pPr>
            <w:r w:rsidRPr="00724811">
              <w:rPr>
                <w:rFonts w:cs="Arial"/>
                <w:szCs w:val="18"/>
                <w:lang w:val="pt-BR" w:eastAsia="pt-BR"/>
              </w:rPr>
              <w:t>200 MW</w:t>
            </w:r>
          </w:p>
        </w:tc>
        <w:tc>
          <w:tcPr>
            <w:tcW w:w="1559" w:type="dxa"/>
            <w:shd w:val="clear" w:color="auto" w:fill="FFFFFF"/>
            <w:vAlign w:val="center"/>
          </w:tcPr>
          <w:p w14:paraId="1A2A8265" w14:textId="5C75ED9C" w:rsidR="000227F6" w:rsidRPr="00B57B36" w:rsidRDefault="000227F6" w:rsidP="000227F6">
            <w:pPr>
              <w:pStyle w:val="CETBodytext"/>
              <w:ind w:right="-1"/>
              <w:jc w:val="center"/>
              <w:rPr>
                <w:rFonts w:cs="Arial"/>
                <w:szCs w:val="18"/>
                <w:lang w:val="en-GB"/>
              </w:rPr>
            </w:pPr>
            <w:r w:rsidRPr="00B1546A">
              <w:rPr>
                <w:rFonts w:cs="Arial"/>
                <w:szCs w:val="18"/>
                <w:lang w:val="pt-BR" w:eastAsia="pt-BR"/>
              </w:rPr>
              <w:t>US$174,812.17</w:t>
            </w:r>
          </w:p>
        </w:tc>
        <w:tc>
          <w:tcPr>
            <w:tcW w:w="1984" w:type="dxa"/>
            <w:shd w:val="clear" w:color="auto" w:fill="FFFFFF"/>
            <w:vAlign w:val="center"/>
          </w:tcPr>
          <w:p w14:paraId="6BD909CC" w14:textId="5804A5C1" w:rsidR="000227F6" w:rsidRPr="00B57B36" w:rsidRDefault="000227F6" w:rsidP="000227F6">
            <w:pPr>
              <w:pStyle w:val="CETBodytext"/>
              <w:ind w:right="-1"/>
              <w:jc w:val="center"/>
              <w:rPr>
                <w:rFonts w:cs="Arial"/>
                <w:szCs w:val="18"/>
                <w:lang w:val="en-GB"/>
              </w:rPr>
            </w:pPr>
            <w:r w:rsidRPr="00B1546A">
              <w:rPr>
                <w:rFonts w:cs="Arial"/>
                <w:szCs w:val="18"/>
                <w:lang w:val="pt-BR" w:eastAsia="pt-BR"/>
              </w:rPr>
              <w:t>US$8,182,849.58</w:t>
            </w:r>
          </w:p>
        </w:tc>
        <w:tc>
          <w:tcPr>
            <w:tcW w:w="1701" w:type="dxa"/>
            <w:shd w:val="clear" w:color="auto" w:fill="FFFFFF"/>
          </w:tcPr>
          <w:p w14:paraId="0059BE4A" w14:textId="0F1C0F02" w:rsidR="000227F6" w:rsidRPr="00B57B36" w:rsidRDefault="000227F6" w:rsidP="000227F6">
            <w:pPr>
              <w:pStyle w:val="CETBodytext"/>
              <w:ind w:right="-1"/>
              <w:jc w:val="center"/>
              <w:rPr>
                <w:rFonts w:cs="Arial"/>
                <w:szCs w:val="18"/>
                <w:lang w:val="en-GB"/>
              </w:rPr>
            </w:pPr>
            <w:r w:rsidRPr="00B1546A">
              <w:rPr>
                <w:rFonts w:cs="Arial"/>
                <w:szCs w:val="18"/>
                <w:lang w:val="pt-BR" w:eastAsia="pt-BR"/>
              </w:rPr>
              <w:t>0.0009</w:t>
            </w:r>
          </w:p>
        </w:tc>
        <w:tc>
          <w:tcPr>
            <w:tcW w:w="2410" w:type="dxa"/>
            <w:shd w:val="clear" w:color="auto" w:fill="FFFFFF"/>
          </w:tcPr>
          <w:p w14:paraId="0DE5D502" w14:textId="23585303" w:rsidR="000227F6" w:rsidRPr="00B57B36" w:rsidRDefault="000227F6" w:rsidP="000227F6">
            <w:pPr>
              <w:pStyle w:val="CETBodytext"/>
              <w:ind w:right="-1"/>
              <w:jc w:val="center"/>
              <w:rPr>
                <w:rFonts w:cs="Arial"/>
                <w:szCs w:val="18"/>
                <w:lang w:val="en-GB"/>
              </w:rPr>
            </w:pPr>
            <w:r w:rsidRPr="00B1546A">
              <w:rPr>
                <w:rFonts w:cs="Arial"/>
                <w:szCs w:val="18"/>
                <w:lang w:val="pt-BR" w:eastAsia="pt-BR"/>
              </w:rPr>
              <w:t>0.0488</w:t>
            </w:r>
          </w:p>
        </w:tc>
      </w:tr>
      <w:tr w:rsidR="000227F6" w:rsidRPr="00B57B36" w14:paraId="3EE0E95E" w14:textId="77777777" w:rsidTr="00034544">
        <w:tc>
          <w:tcPr>
            <w:tcW w:w="993" w:type="dxa"/>
            <w:shd w:val="clear" w:color="auto" w:fill="FFFFFF"/>
            <w:vAlign w:val="center"/>
          </w:tcPr>
          <w:p w14:paraId="5FCAC4B2" w14:textId="77777777" w:rsidR="000227F6" w:rsidRDefault="000227F6" w:rsidP="000227F6">
            <w:pPr>
              <w:pStyle w:val="CETBodytext"/>
              <w:ind w:right="-1"/>
              <w:rPr>
                <w:rFonts w:cs="Arial"/>
                <w:szCs w:val="18"/>
                <w:lang w:val="en-GB"/>
              </w:rPr>
            </w:pPr>
            <w:r w:rsidRPr="00724811">
              <w:rPr>
                <w:rFonts w:cs="Arial"/>
                <w:szCs w:val="18"/>
                <w:lang w:val="pt-BR" w:eastAsia="pt-BR"/>
              </w:rPr>
              <w:t>300 MW</w:t>
            </w:r>
          </w:p>
        </w:tc>
        <w:tc>
          <w:tcPr>
            <w:tcW w:w="1559" w:type="dxa"/>
            <w:shd w:val="clear" w:color="auto" w:fill="FFFFFF"/>
            <w:vAlign w:val="center"/>
          </w:tcPr>
          <w:p w14:paraId="00E8C931" w14:textId="533A677B" w:rsidR="000227F6" w:rsidRPr="00B57B36" w:rsidRDefault="000227F6" w:rsidP="000227F6">
            <w:pPr>
              <w:pStyle w:val="CETBodytext"/>
              <w:ind w:right="-5"/>
              <w:jc w:val="center"/>
              <w:rPr>
                <w:rFonts w:cs="Arial"/>
                <w:szCs w:val="18"/>
                <w:lang w:val="en-GB"/>
              </w:rPr>
            </w:pPr>
            <w:r w:rsidRPr="00B1546A">
              <w:rPr>
                <w:rFonts w:cs="Arial"/>
                <w:szCs w:val="18"/>
                <w:lang w:val="pt-BR" w:eastAsia="pt-BR"/>
              </w:rPr>
              <w:t>US$222,959.72</w:t>
            </w:r>
          </w:p>
        </w:tc>
        <w:tc>
          <w:tcPr>
            <w:tcW w:w="1984" w:type="dxa"/>
            <w:shd w:val="clear" w:color="auto" w:fill="FFFFFF"/>
            <w:vAlign w:val="center"/>
          </w:tcPr>
          <w:p w14:paraId="7D7B1F2F" w14:textId="6C2A954B" w:rsidR="000227F6" w:rsidRPr="00B57B36" w:rsidRDefault="000227F6" w:rsidP="000227F6">
            <w:pPr>
              <w:pStyle w:val="CETBodytext"/>
              <w:ind w:right="-1"/>
              <w:jc w:val="center"/>
              <w:rPr>
                <w:rFonts w:cs="Arial"/>
                <w:szCs w:val="18"/>
                <w:lang w:val="en-GB"/>
              </w:rPr>
            </w:pPr>
            <w:r w:rsidRPr="00B1546A">
              <w:rPr>
                <w:rFonts w:cs="Arial"/>
                <w:szCs w:val="18"/>
                <w:lang w:val="pt-BR" w:eastAsia="pt-BR"/>
              </w:rPr>
              <w:t>US$11,358,153.76</w:t>
            </w:r>
          </w:p>
        </w:tc>
        <w:tc>
          <w:tcPr>
            <w:tcW w:w="1701" w:type="dxa"/>
            <w:shd w:val="clear" w:color="auto" w:fill="FFFFFF"/>
          </w:tcPr>
          <w:p w14:paraId="77684BBA" w14:textId="468C3592" w:rsidR="000227F6" w:rsidRPr="00B57B36" w:rsidRDefault="000227F6" w:rsidP="000227F6">
            <w:pPr>
              <w:pStyle w:val="CETBodytext"/>
              <w:ind w:right="-1"/>
              <w:jc w:val="center"/>
              <w:rPr>
                <w:rFonts w:cs="Arial"/>
                <w:szCs w:val="18"/>
                <w:lang w:val="en-GB"/>
              </w:rPr>
            </w:pPr>
            <w:r w:rsidRPr="00B1546A">
              <w:rPr>
                <w:rFonts w:cs="Arial"/>
                <w:szCs w:val="18"/>
                <w:lang w:val="pt-BR" w:eastAsia="pt-BR"/>
              </w:rPr>
              <w:t>0.0008</w:t>
            </w:r>
          </w:p>
        </w:tc>
        <w:tc>
          <w:tcPr>
            <w:tcW w:w="2410" w:type="dxa"/>
            <w:shd w:val="clear" w:color="auto" w:fill="FFFFFF"/>
          </w:tcPr>
          <w:p w14:paraId="772E1B79" w14:textId="0FF2402C" w:rsidR="000227F6" w:rsidRPr="00B57B36" w:rsidRDefault="000227F6" w:rsidP="000227F6">
            <w:pPr>
              <w:pStyle w:val="CETBodytext"/>
              <w:ind w:right="-1"/>
              <w:jc w:val="center"/>
              <w:rPr>
                <w:rFonts w:cs="Arial"/>
                <w:szCs w:val="18"/>
                <w:lang w:val="en-GB"/>
              </w:rPr>
            </w:pPr>
            <w:r w:rsidRPr="00B1546A">
              <w:rPr>
                <w:rFonts w:cs="Arial"/>
                <w:szCs w:val="18"/>
                <w:lang w:val="pt-BR" w:eastAsia="pt-BR"/>
              </w:rPr>
              <w:t>0.0701</w:t>
            </w:r>
          </w:p>
        </w:tc>
      </w:tr>
    </w:tbl>
    <w:p w14:paraId="469F8109" w14:textId="77777777" w:rsidR="000227F6" w:rsidRDefault="000227F6" w:rsidP="00932A2C">
      <w:pPr>
        <w:pStyle w:val="CETBodytext"/>
        <w:rPr>
          <w:i/>
          <w:iCs/>
          <w:lang w:val="en-GB"/>
        </w:rPr>
      </w:pPr>
    </w:p>
    <w:p w14:paraId="793D13FA" w14:textId="5748BC3B" w:rsidR="0044074F" w:rsidRPr="003108AD" w:rsidRDefault="0044074F" w:rsidP="0044074F">
      <w:pPr>
        <w:pStyle w:val="CETBodytext"/>
      </w:pPr>
      <w:r w:rsidRPr="003108AD">
        <w:t>The PSA system exhibited a significantly higher CAPEX compared to the SS strategy</w:t>
      </w:r>
      <w:r w:rsidR="003956F0">
        <w:t xml:space="preserve"> as presented at </w:t>
      </w:r>
      <w:r w:rsidR="003956F0" w:rsidRPr="003956F0">
        <w:rPr>
          <w:i/>
          <w:iCs/>
        </w:rPr>
        <w:t>Table 2 PSA and SS CAPEX</w:t>
      </w:r>
      <w:r w:rsidRPr="003108AD">
        <w:t xml:space="preserve">. However, the SS process primarily relies on electrical energy consumption, particularly due to the need for compression at the equipment inlet for product separation. In this study, the SS unit was designed based on the outlet conditions of PEM electrolysis, </w:t>
      </w:r>
      <w:r w:rsidR="00283976">
        <w:t>which results in no need of utility under normal operating conditions</w:t>
      </w:r>
      <w:r w:rsidRPr="003108AD">
        <w:t>. These results suggest that proper integration and process design can yield a competitive total cost when compared to conventional PSA systems. Nevertheless, variations in process conditions may compromise the performance of the SS strategy, potentially resulting in reduced separation efficiency and suboptimal hydrogen purity, directly increasing the hydrogen purification final cost.</w:t>
      </w:r>
    </w:p>
    <w:p w14:paraId="7F5D9A1A" w14:textId="54BF0B9E" w:rsidR="0044074F" w:rsidRPr="003108AD" w:rsidRDefault="0044074F" w:rsidP="0044074F">
      <w:pPr>
        <w:pStyle w:val="CETBodytext"/>
      </w:pPr>
      <w:r w:rsidRPr="003108AD">
        <w:t>The comparison of the Levelized Cost of Hydrogen Production (LCOP) for Pressure Swing Adsorption and Supersonic Separation technologies reveals significant differences in cost</w:t>
      </w:r>
      <w:r w:rsidR="00036D12">
        <w:t xml:space="preserve"> at </w:t>
      </w:r>
      <w:r w:rsidR="00036D12" w:rsidRPr="00036D12">
        <w:rPr>
          <w:i/>
          <w:iCs/>
        </w:rPr>
        <w:t>Table 2</w:t>
      </w:r>
      <w:r w:rsidR="00036D12">
        <w:rPr>
          <w:rFonts w:ascii="Aptos" w:eastAsia="Aptos" w:hAnsi="Aptos"/>
          <w:i/>
          <w:iCs/>
          <w:kern w:val="2"/>
          <w:sz w:val="24"/>
          <w:szCs w:val="24"/>
          <w:lang w:val="en-GB"/>
          <w14:ligatures w14:val="standardContextual"/>
        </w:rPr>
        <w:t xml:space="preserve"> </w:t>
      </w:r>
      <w:r w:rsidR="00036D12" w:rsidRPr="00036D12">
        <w:t>-</w:t>
      </w:r>
      <w:r w:rsidR="00036D12">
        <w:t xml:space="preserve"> </w:t>
      </w:r>
      <w:r w:rsidR="00036D12" w:rsidRPr="00B1546A">
        <w:rPr>
          <w:i/>
          <w:iCs/>
          <w:lang w:val="en-GB"/>
        </w:rPr>
        <w:t>LCOP comparison for PSA and SS strategy</w:t>
      </w:r>
      <w:r w:rsidRPr="003108AD">
        <w:t>. For smaller capacities considered in this study (100</w:t>
      </w:r>
      <w:r w:rsidR="003467D4" w:rsidRPr="003108AD">
        <w:t xml:space="preserve"> MW</w:t>
      </w:r>
      <w:r w:rsidRPr="003108AD">
        <w:t>), the LCOP for PSA is 0.0275 US$/kg, while SS has a much lower LCOP of 0.0012 US$/kg. As capacity increases to 200</w:t>
      </w:r>
      <w:r w:rsidR="003467D4" w:rsidRPr="003108AD">
        <w:t xml:space="preserve"> MW</w:t>
      </w:r>
      <w:r w:rsidRPr="003108AD">
        <w:t xml:space="preserve"> and 300</w:t>
      </w:r>
      <w:r w:rsidR="003467D4" w:rsidRPr="003108AD">
        <w:t xml:space="preserve"> MW</w:t>
      </w:r>
      <w:r w:rsidRPr="003108AD">
        <w:t>, PSA's LCOP rises to 0.0488 and 0.0701 US$/kg, respectively, indicating diminishing returns with larger scale. In contrast, SS maintains a low LCOP, decreasing further to 0.0009 US$/kg at 200</w:t>
      </w:r>
      <w:r w:rsidR="003467D4" w:rsidRPr="003108AD">
        <w:t xml:space="preserve"> MW</w:t>
      </w:r>
      <w:r w:rsidRPr="003108AD">
        <w:t xml:space="preserve"> and 0.0008 US$/kg at 300</w:t>
      </w:r>
      <w:r w:rsidR="003467D4" w:rsidRPr="003108AD">
        <w:t xml:space="preserve"> MW</w:t>
      </w:r>
      <w:r w:rsidRPr="003108AD">
        <w:t>. This shows that SS benefits from significant economies of scale, offering superior cost efficiency in larger-scale hydrogen production.</w:t>
      </w:r>
    </w:p>
    <w:p w14:paraId="3389796C" w14:textId="0B9DB8E2" w:rsidR="009A2189" w:rsidRDefault="0044074F" w:rsidP="009A2189">
      <w:pPr>
        <w:pStyle w:val="CETBodytext"/>
      </w:pPr>
      <w:r w:rsidRPr="003108AD">
        <w:t>The results suggest that PSA becomes less cost-effective as plant size increases. In contrast, SS proves to be a more efficient purification method for large-scale hydrogen production, with a decreasing LCOP as capacity grows. These preliminary results suggest that supersonic separators have the potential to achieve significant cost reductions in hydrogen purification across various scales. However, the SS strategy still requires validation of its efficiency under varying inlet process conditions while maintaining the same equipment design, and therefore, a very low cost of process purification. Despite the cost differences, PSA remains a low-cost alternative among conventional purification methods, and its high Technology Readiness Level (TRL) in commercial applications establishes it as a mature and reliable option for electrolysis systems.</w:t>
      </w:r>
    </w:p>
    <w:p w14:paraId="41ABB4D7" w14:textId="120D631E" w:rsidR="00663BB0" w:rsidRPr="00DA09A1" w:rsidRDefault="00600535" w:rsidP="00663BB0">
      <w:pPr>
        <w:pStyle w:val="CETHeading1"/>
        <w:tabs>
          <w:tab w:val="right" w:pos="7100"/>
        </w:tabs>
        <w:jc w:val="both"/>
        <w:rPr>
          <w:lang w:val="en-GB"/>
        </w:rPr>
      </w:pPr>
      <w:r w:rsidRPr="003108AD">
        <w:rPr>
          <w:lang w:val="en-GB"/>
        </w:rPr>
        <w:t>Conclusions</w:t>
      </w:r>
    </w:p>
    <w:p w14:paraId="2B2E2274" w14:textId="692BC1DF" w:rsidR="002B3598" w:rsidRPr="003108AD" w:rsidRDefault="002B3598" w:rsidP="002B3598">
      <w:pPr>
        <w:pStyle w:val="CETBodytext"/>
        <w:rPr>
          <w:lang w:val="en-GB"/>
        </w:rPr>
      </w:pPr>
      <w:r w:rsidRPr="003108AD">
        <w:rPr>
          <w:lang w:val="en-GB"/>
        </w:rPr>
        <w:t>This study presented a comparative performance analysis between Pressure Swing Adsorption (PSA) and Supersonic Separation (SS) for the purification of green hydrogen produced via PEM electrolysis. Both technologies were evaluated in terms of hydrogen purity, hydrogen loss, capital expenditure (CAPEX), and the Levelized Cost of Purification (LCOP), across plant scales of 100 MW, 200 MW, and 300 MW.</w:t>
      </w:r>
      <w:r w:rsidR="003A55A6" w:rsidRPr="003108AD">
        <w:rPr>
          <w:lang w:val="en-GB"/>
        </w:rPr>
        <w:t xml:space="preserve"> </w:t>
      </w:r>
      <w:r w:rsidRPr="003108AD">
        <w:rPr>
          <w:lang w:val="en-GB"/>
        </w:rPr>
        <w:t>The results demonstrate that both PSA and SS achieved the required hydrogen purity level (&gt;99.999%) as defined by ISO 14687:2019. However, SS exhibited superior performance in terms of hydrogen recovery, with mass losses as low as 0.04 kg/h at 200 MW, compared to a constant loss of 0.21 kg/h in PSA systems across all scales. CAPEX analysis revealed a significant cost difference, with SS units costing between US$</w:t>
      </w:r>
      <w:r w:rsidR="003A55A6" w:rsidRPr="003108AD">
        <w:rPr>
          <w:lang w:val="en-GB"/>
        </w:rPr>
        <w:t xml:space="preserve"> </w:t>
      </w:r>
      <w:r w:rsidRPr="003108AD">
        <w:rPr>
          <w:lang w:val="en-GB"/>
        </w:rPr>
        <w:t>115,333</w:t>
      </w:r>
      <w:r w:rsidR="003A55A6" w:rsidRPr="003108AD">
        <w:rPr>
          <w:lang w:val="en-GB"/>
        </w:rPr>
        <w:t>.02</w:t>
      </w:r>
      <w:r w:rsidRPr="003108AD">
        <w:rPr>
          <w:lang w:val="en-GB"/>
        </w:rPr>
        <w:t xml:space="preserve"> and US$</w:t>
      </w:r>
      <w:r w:rsidR="003A55A6" w:rsidRPr="003108AD">
        <w:rPr>
          <w:lang w:val="en-GB"/>
        </w:rPr>
        <w:t xml:space="preserve"> </w:t>
      </w:r>
      <w:r w:rsidRPr="003108AD">
        <w:rPr>
          <w:lang w:val="en-GB"/>
        </w:rPr>
        <w:t>222,</w:t>
      </w:r>
      <w:r w:rsidR="003A55A6" w:rsidRPr="003108AD">
        <w:rPr>
          <w:lang w:val="en-GB"/>
        </w:rPr>
        <w:t>959.72</w:t>
      </w:r>
      <w:r w:rsidRPr="003108AD">
        <w:rPr>
          <w:lang w:val="en-GB"/>
        </w:rPr>
        <w:t>, while PSA units ranged from US$</w:t>
      </w:r>
      <w:r w:rsidR="003A55A6" w:rsidRPr="003108AD">
        <w:rPr>
          <w:lang w:val="en-GB"/>
        </w:rPr>
        <w:t xml:space="preserve"> </w:t>
      </w:r>
      <w:r w:rsidRPr="003108AD">
        <w:rPr>
          <w:lang w:val="en-GB"/>
        </w:rPr>
        <w:t>5.0 million to US$</w:t>
      </w:r>
      <w:r w:rsidR="003A55A6" w:rsidRPr="003108AD">
        <w:rPr>
          <w:lang w:val="en-GB"/>
        </w:rPr>
        <w:t xml:space="preserve"> </w:t>
      </w:r>
      <w:r w:rsidRPr="003108AD">
        <w:rPr>
          <w:lang w:val="en-GB"/>
        </w:rPr>
        <w:t>11.4 million for the same capacities.</w:t>
      </w:r>
      <w:r w:rsidR="00015338" w:rsidRPr="003108AD">
        <w:rPr>
          <w:lang w:val="en-GB"/>
        </w:rPr>
        <w:t xml:space="preserve"> </w:t>
      </w:r>
      <w:r w:rsidRPr="003108AD">
        <w:rPr>
          <w:lang w:val="en-GB"/>
        </w:rPr>
        <w:t>Most notably, SS demonstrated a substantially lower LCOP: 0.0008–0.0012 US$/kg H</w:t>
      </w:r>
      <w:r w:rsidRPr="003108AD">
        <w:rPr>
          <w:rFonts w:ascii="Cambria Math" w:hAnsi="Cambria Math" w:cs="Cambria Math"/>
          <w:lang w:val="en-GB"/>
        </w:rPr>
        <w:t>₂</w:t>
      </w:r>
      <w:r w:rsidRPr="003108AD">
        <w:rPr>
          <w:lang w:val="en-GB"/>
        </w:rPr>
        <w:t xml:space="preserve"> compared to PSA</w:t>
      </w:r>
      <w:r w:rsidRPr="003108AD">
        <w:rPr>
          <w:rFonts w:cs="Arial"/>
          <w:lang w:val="en-GB"/>
        </w:rPr>
        <w:t>’</w:t>
      </w:r>
      <w:r w:rsidRPr="003108AD">
        <w:rPr>
          <w:lang w:val="en-GB"/>
        </w:rPr>
        <w:t>s 0.0275</w:t>
      </w:r>
      <w:r w:rsidRPr="003108AD">
        <w:rPr>
          <w:rFonts w:cs="Arial"/>
          <w:lang w:val="en-GB"/>
        </w:rPr>
        <w:t>–</w:t>
      </w:r>
      <w:r w:rsidRPr="003108AD">
        <w:rPr>
          <w:lang w:val="en-GB"/>
        </w:rPr>
        <w:t>0.0701 US$/kg H</w:t>
      </w:r>
      <w:r w:rsidRPr="003108AD">
        <w:rPr>
          <w:rFonts w:ascii="Cambria Math" w:hAnsi="Cambria Math" w:cs="Cambria Math"/>
          <w:lang w:val="en-GB"/>
        </w:rPr>
        <w:t>₂</w:t>
      </w:r>
      <w:r w:rsidRPr="003108AD">
        <w:rPr>
          <w:lang w:val="en-GB"/>
        </w:rPr>
        <w:t>. This trend indicates that SS offers greater economic scalability and cost efficiency in hydrogen purification for large-scale applications.</w:t>
      </w:r>
    </w:p>
    <w:p w14:paraId="44DB4005" w14:textId="77777777" w:rsidR="002B3598" w:rsidRPr="003108AD" w:rsidRDefault="002B3598" w:rsidP="002B3598">
      <w:pPr>
        <w:pStyle w:val="CETBodytext"/>
        <w:rPr>
          <w:lang w:val="en-GB"/>
        </w:rPr>
      </w:pPr>
      <w:r w:rsidRPr="003108AD">
        <w:rPr>
          <w:lang w:val="en-GB"/>
        </w:rPr>
        <w:t xml:space="preserve">The significance of the presented work lies in offering the first detailed quantitative comparison between PSA and SS technologies applied specifically to post-electrolysis green hydrogen purification. By integrating reduced-order </w:t>
      </w:r>
      <w:proofErr w:type="spellStart"/>
      <w:r w:rsidRPr="003108AD">
        <w:rPr>
          <w:lang w:val="en-GB"/>
        </w:rPr>
        <w:t>modeling</w:t>
      </w:r>
      <w:proofErr w:type="spellEnd"/>
      <w:r w:rsidRPr="003108AD">
        <w:rPr>
          <w:lang w:val="en-GB"/>
        </w:rPr>
        <w:t>, techno-economic analysis, and simulation-based validation, the study provides critical insights into the cost-performance trade-offs of each strategy. These findings support informed decision-making for the design of future hydrogen production plants and open avenues for the development of intensified purification processes using novel technologies such as SS.</w:t>
      </w:r>
    </w:p>
    <w:p w14:paraId="14E73B80" w14:textId="51160F30" w:rsidR="0044074F" w:rsidRDefault="002B3598" w:rsidP="0044074F">
      <w:pPr>
        <w:pStyle w:val="CETBodytext"/>
        <w:rPr>
          <w:lang w:val="en-GB"/>
        </w:rPr>
      </w:pPr>
      <w:r w:rsidRPr="003108AD">
        <w:rPr>
          <w:lang w:val="en-GB"/>
        </w:rPr>
        <w:t>Therefore, while PSA remains a mature and reliable technology, particularly in commercial environments, SS appears as a promising and cost-effective alternative for large-scale hydrogen purification. Continued development and validation of SS under dynamic inlet conditions will be crucial to confirm its robustness and industrial applicability.</w:t>
      </w:r>
    </w:p>
    <w:p w14:paraId="3E6D371E" w14:textId="12F19688" w:rsidR="00932A2C" w:rsidRPr="00DA09A1" w:rsidRDefault="007F37D1" w:rsidP="00663BB0">
      <w:pPr>
        <w:pStyle w:val="CETHeading1"/>
        <w:tabs>
          <w:tab w:val="right" w:pos="7100"/>
        </w:tabs>
        <w:jc w:val="both"/>
        <w:rPr>
          <w:lang w:val="en-GB"/>
        </w:rPr>
      </w:pPr>
      <w:r w:rsidRPr="00DA09A1">
        <w:rPr>
          <w:lang w:val="en-GB"/>
        </w:rPr>
        <w:t>Future Works</w:t>
      </w:r>
    </w:p>
    <w:p w14:paraId="721F9DA5" w14:textId="77777777" w:rsidR="00B83F2C" w:rsidRPr="006A07B3" w:rsidRDefault="00B83F2C" w:rsidP="00932A2C">
      <w:pPr>
        <w:pStyle w:val="CETBodytext"/>
        <w:numPr>
          <w:ilvl w:val="0"/>
          <w:numId w:val="34"/>
        </w:numPr>
        <w:ind w:left="360"/>
      </w:pPr>
      <w:r w:rsidRPr="006A07B3">
        <w:t>Energy Integration of the Process (Pinch Analysis)</w:t>
      </w:r>
    </w:p>
    <w:p w14:paraId="24216B28" w14:textId="1994A318" w:rsidR="00B83F2C" w:rsidRPr="006A07B3" w:rsidRDefault="00B83F2C" w:rsidP="00932A2C">
      <w:pPr>
        <w:pStyle w:val="CETBodytext"/>
      </w:pPr>
      <w:r w:rsidRPr="006A07B3">
        <w:t xml:space="preserve">Future research should explore the integration of hydrogen purification technologies within the </w:t>
      </w:r>
      <w:proofErr w:type="gramStart"/>
      <w:r w:rsidRPr="006A07B3">
        <w:t>overall process</w:t>
      </w:r>
      <w:proofErr w:type="gramEnd"/>
      <w:r w:rsidRPr="006A07B3">
        <w:t xml:space="preserve"> energy system using pinch analysis. This approach can identify heat recovery opportunities, minimize energy consumption, and enhance overall process efficiency by optimizing heat exchanger networks and reducing utility requirements.</w:t>
      </w:r>
    </w:p>
    <w:p w14:paraId="31189F05" w14:textId="77777777" w:rsidR="00B83F2C" w:rsidRPr="006A07B3" w:rsidRDefault="00B83F2C" w:rsidP="00932A2C">
      <w:pPr>
        <w:pStyle w:val="CETBodytext"/>
        <w:numPr>
          <w:ilvl w:val="0"/>
          <w:numId w:val="34"/>
        </w:numPr>
        <w:ind w:left="360"/>
      </w:pPr>
      <w:r w:rsidRPr="006A07B3">
        <w:t>Supersonic Separation for Combined O</w:t>
      </w:r>
      <w:r w:rsidRPr="006A07B3">
        <w:rPr>
          <w:rFonts w:ascii="Cambria Math" w:hAnsi="Cambria Math" w:cs="Cambria Math"/>
        </w:rPr>
        <w:t>₂</w:t>
      </w:r>
      <w:r w:rsidRPr="006A07B3">
        <w:t xml:space="preserve"> and Water Removal</w:t>
      </w:r>
    </w:p>
    <w:p w14:paraId="4D1A3AFF" w14:textId="22A73DE1" w:rsidR="00B83F2C" w:rsidRPr="006A07B3" w:rsidRDefault="00B83F2C" w:rsidP="00932A2C">
      <w:pPr>
        <w:pStyle w:val="CETBodytext"/>
      </w:pPr>
      <w:r w:rsidRPr="006A07B3">
        <w:t>An important avenue for further study involves extending the supersonic separation (SS) method to simultaneously separate oxygen and water, potentially eliminating the need for the catalytic deoxidizer reactor stage. Investigating the feasibility of removing oxygen along with water in the SS unit could simplify the process flow, reduce capital and operational costs, and improve process intensification.</w:t>
      </w:r>
    </w:p>
    <w:p w14:paraId="02563690" w14:textId="77777777" w:rsidR="00B83F2C" w:rsidRPr="006A07B3" w:rsidRDefault="00B83F2C" w:rsidP="00932A2C">
      <w:pPr>
        <w:pStyle w:val="CETBodytext"/>
        <w:numPr>
          <w:ilvl w:val="0"/>
          <w:numId w:val="34"/>
        </w:numPr>
        <w:ind w:left="360"/>
      </w:pPr>
      <w:r w:rsidRPr="006A07B3">
        <w:t>Development of a More Robust PSA Model (Transient Modeling)</w:t>
      </w:r>
    </w:p>
    <w:p w14:paraId="4077D155" w14:textId="77777777" w:rsidR="00B83F2C" w:rsidRPr="006A07B3" w:rsidRDefault="00B83F2C" w:rsidP="00932A2C">
      <w:pPr>
        <w:pStyle w:val="CETBodytext"/>
      </w:pPr>
      <w:r w:rsidRPr="006A07B3">
        <w:t>The current PSA model is based on steady-state assumptions. Future work should focus on developing a transient, dynamic PSA model that captures the time-dependent behavior of adsorption/desorption cycles, column switching, and pressure fluctuations. Such a model would allow for more accurate performance prediction, optimization of cycle times, and better control strategy development.</w:t>
      </w:r>
    </w:p>
    <w:p w14:paraId="4FA68B5D" w14:textId="77777777" w:rsidR="00B83F2C" w:rsidRPr="006A07B3" w:rsidRDefault="00B83F2C" w:rsidP="00B83F2C">
      <w:pPr>
        <w:pStyle w:val="CETBodytext"/>
      </w:pPr>
    </w:p>
    <w:p w14:paraId="658FDD6D" w14:textId="2242711B" w:rsidR="00664001" w:rsidRDefault="00B83F2C" w:rsidP="00600535">
      <w:pPr>
        <w:pStyle w:val="CETheadingx"/>
      </w:pPr>
      <w:r w:rsidRPr="00ED59A4">
        <w:t>Additional Suggestions</w:t>
      </w:r>
    </w:p>
    <w:p w14:paraId="3BCC81E4" w14:textId="70FF0C5B" w:rsidR="00ED59A4" w:rsidRPr="006A07B3" w:rsidRDefault="00664001" w:rsidP="00600535">
      <w:pPr>
        <w:pStyle w:val="CETBodytext"/>
      </w:pPr>
      <w:r w:rsidRPr="00664001">
        <w:t xml:space="preserve">In addition to the primary analyses, it is recommended to assess </w:t>
      </w:r>
      <w:r w:rsidR="005B7009" w:rsidRPr="00664001">
        <w:t>long</w:t>
      </w:r>
      <w:r w:rsidRPr="00664001">
        <w:t>-term operational stability and the degradation effects of adsorbents on PSA performance. This would support a more accurate lifecycle cost analysis. Moreover, exploring hybrid purification systems that combine PSA and SS technologies could potentially maximize the benefits of both approaches, providing a more efficient purification solution.</w:t>
      </w:r>
      <w:r w:rsidR="00122E41">
        <w:t xml:space="preserve"> </w:t>
      </w:r>
      <w:r w:rsidRPr="00664001">
        <w:t>The investigation of advanced control and automation strategies is also essential to improve the flexibility and reliability of purification units, especially in varying production conditions. Lastly, examining the scalability of SS technology in industrial settings, with pilot-scale demonstrations and integration with renewable hydrogen sources, such as those derived from organic materials, would contribute to a deeper understanding of its industrial application potential.</w:t>
      </w:r>
    </w:p>
    <w:p w14:paraId="459D05E6" w14:textId="77777777" w:rsidR="00600535" w:rsidRPr="00DA09A1" w:rsidRDefault="00600535" w:rsidP="00DA09A1">
      <w:pPr>
        <w:pStyle w:val="CETHeading1"/>
        <w:tabs>
          <w:tab w:val="right" w:pos="7100"/>
        </w:tabs>
        <w:jc w:val="both"/>
        <w:rPr>
          <w:lang w:val="en-GB"/>
        </w:rPr>
      </w:pPr>
      <w:r w:rsidRPr="00DA09A1">
        <w:rPr>
          <w:lang w:val="en-GB"/>
        </w:rPr>
        <w:t>Acknowledgments</w:t>
      </w:r>
    </w:p>
    <w:p w14:paraId="4B2E2633" w14:textId="7CCD0EC8" w:rsidR="00ED59A4" w:rsidRPr="006A07B3" w:rsidRDefault="002163B7" w:rsidP="00600535">
      <w:pPr>
        <w:pStyle w:val="CETBodytext"/>
        <w:rPr>
          <w:lang w:val="en-GB"/>
        </w:rPr>
      </w:pPr>
      <w:r w:rsidRPr="006A07B3">
        <w:rPr>
          <w:lang w:val="en-GB"/>
        </w:rPr>
        <w:t>The authors acknowledge SENAI CIMATEC University for the financial support provided, which was essential for the development and execution of this research.</w:t>
      </w:r>
    </w:p>
    <w:p w14:paraId="1ACD461D" w14:textId="77849AE1" w:rsidR="00DC0A05" w:rsidRPr="00ED59A4" w:rsidRDefault="00DC0A05" w:rsidP="00ED59A4">
      <w:pPr>
        <w:pStyle w:val="CETHeading1"/>
        <w:tabs>
          <w:tab w:val="right" w:pos="7100"/>
        </w:tabs>
        <w:jc w:val="both"/>
        <w:rPr>
          <w:lang w:val="en-GB"/>
        </w:rPr>
      </w:pPr>
      <w:r w:rsidRPr="00ED59A4">
        <w:rPr>
          <w:lang w:val="en-GB"/>
        </w:rPr>
        <w:t>References</w:t>
      </w:r>
    </w:p>
    <w:p w14:paraId="6172B03C" w14:textId="77777777" w:rsidR="00004CA8" w:rsidRPr="00004CA8" w:rsidRDefault="00004CA8" w:rsidP="00004CA8">
      <w:pPr>
        <w:pStyle w:val="CETReferencetext"/>
        <w:rPr>
          <w:lang w:val="en-US"/>
        </w:rPr>
      </w:pPr>
      <w:r w:rsidRPr="00004CA8">
        <w:rPr>
          <w:lang w:val="en-US"/>
        </w:rPr>
        <w:t>Ávila, J., Silva, J., Pessoa, F., Santana, J. and Calixto, E. (2022) ‘H</w:t>
      </w:r>
      <w:r w:rsidRPr="00004CA8">
        <w:rPr>
          <w:rFonts w:ascii="Cambria Math" w:hAnsi="Cambria Math" w:cs="Cambria Math"/>
          <w:lang w:val="en-US"/>
        </w:rPr>
        <w:t>₂</w:t>
      </w:r>
      <w:r w:rsidRPr="00004CA8">
        <w:rPr>
          <w:lang w:val="en-US"/>
        </w:rPr>
        <w:t xml:space="preserve"> production offshore with carbon capture and storage</w:t>
      </w:r>
      <w:r w:rsidRPr="00004CA8">
        <w:rPr>
          <w:rFonts w:cs="Arial"/>
          <w:lang w:val="en-US"/>
        </w:rPr>
        <w:t>’</w:t>
      </w:r>
      <w:r w:rsidRPr="00004CA8">
        <w:rPr>
          <w:lang w:val="en-US"/>
        </w:rPr>
        <w:t>, Proceedings of the 19th Brazilian Congress of Thermal Sciences and Engineering.</w:t>
      </w:r>
    </w:p>
    <w:p w14:paraId="33B4B371" w14:textId="77777777" w:rsidR="00004CA8" w:rsidRPr="00004CA8" w:rsidRDefault="00004CA8" w:rsidP="00004CA8">
      <w:pPr>
        <w:pStyle w:val="CETReferencetext"/>
        <w:rPr>
          <w:lang w:val="en-US"/>
        </w:rPr>
      </w:pPr>
      <w:r w:rsidRPr="00004CA8">
        <w:rPr>
          <w:lang w:val="en-US"/>
        </w:rPr>
        <w:t>Bay Area Air Quality Management District (n.d.) Cost Information, Appendix C. Available at: https://www.baaqmd.gov/~/media/dotgov/files/rules/reg-13-rule-5-petroleum-refinery-hydrogen-systems/rule-version/documents/20220504_fsr_1305_0802_appc-pdf.pdf?rev=a6d60bf2af204110af7fcd043e96a6ae&amp;sc_lang=en (Accessed: [</w:t>
      </w:r>
      <w:proofErr w:type="spellStart"/>
      <w:r w:rsidRPr="00004CA8">
        <w:rPr>
          <w:lang w:val="en-US"/>
        </w:rPr>
        <w:t>inserir</w:t>
      </w:r>
      <w:proofErr w:type="spellEnd"/>
      <w:r w:rsidRPr="00004CA8">
        <w:rPr>
          <w:lang w:val="en-US"/>
        </w:rPr>
        <w:t xml:space="preserve"> data de </w:t>
      </w:r>
      <w:proofErr w:type="spellStart"/>
      <w:r w:rsidRPr="00004CA8">
        <w:rPr>
          <w:lang w:val="en-US"/>
        </w:rPr>
        <w:t>acesso</w:t>
      </w:r>
      <w:proofErr w:type="spellEnd"/>
      <w:r w:rsidRPr="00004CA8">
        <w:rPr>
          <w:lang w:val="en-US"/>
        </w:rPr>
        <w:t>]).</w:t>
      </w:r>
    </w:p>
    <w:p w14:paraId="6D5C5F25" w14:textId="77777777" w:rsidR="00004CA8" w:rsidRPr="00004CA8" w:rsidRDefault="00004CA8" w:rsidP="00004CA8">
      <w:pPr>
        <w:pStyle w:val="CETReferencetext"/>
        <w:rPr>
          <w:lang w:val="en-US"/>
        </w:rPr>
      </w:pPr>
      <w:r w:rsidRPr="00004CA8">
        <w:rPr>
          <w:lang w:val="en-US"/>
        </w:rPr>
        <w:t xml:space="preserve">Bispo, A.S., Santana, L.O.S., Dos Santos, G.S., Marinho, C.B., Hartmann, D. and Pessoa, F.L.P. (2024) ‘Waste heat recovery from PEM </w:t>
      </w:r>
      <w:proofErr w:type="spellStart"/>
      <w:r w:rsidRPr="00004CA8">
        <w:rPr>
          <w:lang w:val="en-US"/>
        </w:rPr>
        <w:t>electrolyzer</w:t>
      </w:r>
      <w:proofErr w:type="spellEnd"/>
      <w:r w:rsidRPr="00004CA8">
        <w:rPr>
          <w:lang w:val="en-US"/>
        </w:rPr>
        <w:t xml:space="preserve"> for desalinated water production in </w:t>
      </w:r>
      <w:proofErr w:type="spellStart"/>
      <w:r w:rsidRPr="00004CA8">
        <w:rPr>
          <w:lang w:val="en-US"/>
        </w:rPr>
        <w:t>polygeneration</w:t>
      </w:r>
      <w:proofErr w:type="spellEnd"/>
      <w:r w:rsidRPr="00004CA8">
        <w:rPr>
          <w:lang w:val="en-US"/>
        </w:rPr>
        <w:t xml:space="preserve"> systems’, Computer Aided Chemical Engineering, 53, pp. 751–756.</w:t>
      </w:r>
    </w:p>
    <w:p w14:paraId="22198285" w14:textId="77777777" w:rsidR="00004CA8" w:rsidRPr="00004CA8" w:rsidRDefault="00004CA8" w:rsidP="00004CA8">
      <w:pPr>
        <w:pStyle w:val="CETReferencetext"/>
        <w:rPr>
          <w:lang w:val="en-US"/>
        </w:rPr>
      </w:pPr>
      <w:proofErr w:type="spellStart"/>
      <w:r w:rsidRPr="00004CA8">
        <w:rPr>
          <w:lang w:val="en-US"/>
        </w:rPr>
        <w:t>Burguers</w:t>
      </w:r>
      <w:proofErr w:type="spellEnd"/>
      <w:r w:rsidRPr="00004CA8">
        <w:rPr>
          <w:lang w:val="en-US"/>
        </w:rPr>
        <w:t xml:space="preserve">, I., </w:t>
      </w:r>
      <w:proofErr w:type="spellStart"/>
      <w:r w:rsidRPr="00004CA8">
        <w:rPr>
          <w:lang w:val="en-US"/>
        </w:rPr>
        <w:t>Dehdari</w:t>
      </w:r>
      <w:proofErr w:type="spellEnd"/>
      <w:r w:rsidRPr="00004CA8">
        <w:rPr>
          <w:lang w:val="en-US"/>
        </w:rPr>
        <w:t xml:space="preserve">, L., Xiao, P., Li, K., </w:t>
      </w:r>
      <w:proofErr w:type="spellStart"/>
      <w:r w:rsidRPr="00004CA8">
        <w:rPr>
          <w:lang w:val="en-US"/>
        </w:rPr>
        <w:t>Goetheer</w:t>
      </w:r>
      <w:proofErr w:type="spellEnd"/>
      <w:r w:rsidRPr="00004CA8">
        <w:rPr>
          <w:lang w:val="en-US"/>
        </w:rPr>
        <w:t xml:space="preserve">, E. and Webley, P. (2022) ‘Techno-economic analysis of PSA separation for hydrogen/natural gas mixtures at hydrogen </w:t>
      </w:r>
      <w:proofErr w:type="spellStart"/>
      <w:r w:rsidRPr="00004CA8">
        <w:rPr>
          <w:lang w:val="en-US"/>
        </w:rPr>
        <w:t>refuelling</w:t>
      </w:r>
      <w:proofErr w:type="spellEnd"/>
      <w:r w:rsidRPr="00004CA8">
        <w:rPr>
          <w:lang w:val="en-US"/>
        </w:rPr>
        <w:t xml:space="preserve"> stations’, International Journal of Hydrogen Energy. </w:t>
      </w:r>
      <w:proofErr w:type="gramStart"/>
      <w:r w:rsidRPr="00004CA8">
        <w:rPr>
          <w:lang w:val="en-US"/>
        </w:rPr>
        <w:t>doi:10.1016/j.ijhydene</w:t>
      </w:r>
      <w:proofErr w:type="gramEnd"/>
      <w:r w:rsidRPr="00004CA8">
        <w:rPr>
          <w:lang w:val="en-US"/>
        </w:rPr>
        <w:t>.2022.08.175.</w:t>
      </w:r>
    </w:p>
    <w:p w14:paraId="6B2E3B67" w14:textId="77777777" w:rsidR="00004CA8" w:rsidRPr="00004CA8" w:rsidRDefault="00004CA8" w:rsidP="00004CA8">
      <w:pPr>
        <w:pStyle w:val="CETReferencetext"/>
        <w:rPr>
          <w:lang w:val="en-US"/>
        </w:rPr>
      </w:pPr>
      <w:r w:rsidRPr="00004CA8">
        <w:rPr>
          <w:lang w:val="en-US"/>
        </w:rPr>
        <w:t>Cao, X. and Bian, J. (2019) ‘Supersonic separation technology for natural gas processing: A review’, Chemical Engineering and Processing - Process Intensification, 136, pp. 138–151.</w:t>
      </w:r>
    </w:p>
    <w:p w14:paraId="76A3DB69" w14:textId="77777777" w:rsidR="00004CA8" w:rsidRPr="00004CA8" w:rsidRDefault="00004CA8" w:rsidP="00004CA8">
      <w:pPr>
        <w:pStyle w:val="CETReferencetext"/>
        <w:rPr>
          <w:lang w:val="pt-BR"/>
        </w:rPr>
      </w:pPr>
      <w:r w:rsidRPr="00004CA8">
        <w:rPr>
          <w:lang w:val="pt-BR"/>
        </w:rPr>
        <w:t xml:space="preserve">Confederação Nacional da Indústria – CNI (2024) Hidrogênio sustentável: perspectivas para o desenvolvimento e potencial para a indústria brasileira. 2nd </w:t>
      </w:r>
      <w:proofErr w:type="spellStart"/>
      <w:r w:rsidRPr="00004CA8">
        <w:rPr>
          <w:lang w:val="pt-BR"/>
        </w:rPr>
        <w:t>edn</w:t>
      </w:r>
      <w:proofErr w:type="spellEnd"/>
      <w:r w:rsidRPr="00004CA8">
        <w:rPr>
          <w:lang w:val="pt-BR"/>
        </w:rPr>
        <w:t>. Brasília: CNI.</w:t>
      </w:r>
    </w:p>
    <w:p w14:paraId="3BDF91A1" w14:textId="77777777" w:rsidR="00004CA8" w:rsidRPr="00004CA8" w:rsidRDefault="00004CA8" w:rsidP="00004CA8">
      <w:pPr>
        <w:pStyle w:val="CETReferencetext"/>
        <w:rPr>
          <w:lang w:val="pt-BR"/>
        </w:rPr>
      </w:pPr>
      <w:r w:rsidRPr="00004CA8">
        <w:rPr>
          <w:lang w:val="pt-BR"/>
        </w:rPr>
        <w:t xml:space="preserve">Dos Santos, G.S., Marinho, C.B., Santana, L.O.S., Bispo, A.S., Pessoa, F.L.P., Almeida, J.L.G. </w:t>
      </w:r>
      <w:proofErr w:type="spellStart"/>
      <w:r w:rsidRPr="00004CA8">
        <w:rPr>
          <w:lang w:val="pt-BR"/>
        </w:rPr>
        <w:t>and</w:t>
      </w:r>
      <w:proofErr w:type="spellEnd"/>
      <w:r w:rsidRPr="00004CA8">
        <w:rPr>
          <w:lang w:val="pt-BR"/>
        </w:rPr>
        <w:t xml:space="preserve"> Calixto, E.E.S. (2023) ‘</w:t>
      </w:r>
      <w:proofErr w:type="spellStart"/>
      <w:r w:rsidRPr="00004CA8">
        <w:rPr>
          <w:lang w:val="pt-BR"/>
        </w:rPr>
        <w:t>Hydrogen</w:t>
      </w:r>
      <w:proofErr w:type="spellEnd"/>
      <w:r w:rsidRPr="00004CA8">
        <w:rPr>
          <w:lang w:val="pt-BR"/>
        </w:rPr>
        <w:t xml:space="preserve"> </w:t>
      </w:r>
      <w:proofErr w:type="spellStart"/>
      <w:r w:rsidRPr="00004CA8">
        <w:rPr>
          <w:lang w:val="pt-BR"/>
        </w:rPr>
        <w:t>production</w:t>
      </w:r>
      <w:proofErr w:type="spellEnd"/>
      <w:r w:rsidRPr="00004CA8">
        <w:rPr>
          <w:lang w:val="pt-BR"/>
        </w:rPr>
        <w:t xml:space="preserve"> </w:t>
      </w:r>
      <w:proofErr w:type="spellStart"/>
      <w:r w:rsidRPr="00004CA8">
        <w:rPr>
          <w:lang w:val="pt-BR"/>
        </w:rPr>
        <w:t>using</w:t>
      </w:r>
      <w:proofErr w:type="spellEnd"/>
      <w:r w:rsidRPr="00004CA8">
        <w:rPr>
          <w:lang w:val="pt-BR"/>
        </w:rPr>
        <w:t xml:space="preserve"> </w:t>
      </w:r>
      <w:proofErr w:type="spellStart"/>
      <w:r w:rsidRPr="00004CA8">
        <w:rPr>
          <w:lang w:val="pt-BR"/>
        </w:rPr>
        <w:t>renewable</w:t>
      </w:r>
      <w:proofErr w:type="spellEnd"/>
      <w:r w:rsidRPr="00004CA8">
        <w:rPr>
          <w:lang w:val="pt-BR"/>
        </w:rPr>
        <w:t xml:space="preserve"> </w:t>
      </w:r>
      <w:proofErr w:type="spellStart"/>
      <w:r w:rsidRPr="00004CA8">
        <w:rPr>
          <w:lang w:val="pt-BR"/>
        </w:rPr>
        <w:t>energy</w:t>
      </w:r>
      <w:proofErr w:type="spellEnd"/>
      <w:r w:rsidRPr="00004CA8">
        <w:rPr>
          <w:lang w:val="pt-BR"/>
        </w:rPr>
        <w:t xml:space="preserve">: solar PV </w:t>
      </w:r>
      <w:proofErr w:type="spellStart"/>
      <w:r w:rsidRPr="00004CA8">
        <w:rPr>
          <w:lang w:val="pt-BR"/>
        </w:rPr>
        <w:t>and</w:t>
      </w:r>
      <w:proofErr w:type="spellEnd"/>
      <w:r w:rsidRPr="00004CA8">
        <w:rPr>
          <w:lang w:val="pt-BR"/>
        </w:rPr>
        <w:t xml:space="preserve"> offshore </w:t>
      </w:r>
      <w:proofErr w:type="spellStart"/>
      <w:r w:rsidRPr="00004CA8">
        <w:rPr>
          <w:lang w:val="pt-BR"/>
        </w:rPr>
        <w:t>wind</w:t>
      </w:r>
      <w:proofErr w:type="spellEnd"/>
      <w:r w:rsidRPr="00004CA8">
        <w:rPr>
          <w:lang w:val="pt-BR"/>
        </w:rPr>
        <w:t xml:space="preserve"> </w:t>
      </w:r>
      <w:proofErr w:type="spellStart"/>
      <w:r w:rsidRPr="00004CA8">
        <w:rPr>
          <w:lang w:val="pt-BR"/>
        </w:rPr>
        <w:t>power</w:t>
      </w:r>
      <w:proofErr w:type="spellEnd"/>
      <w:r w:rsidRPr="00004CA8">
        <w:rPr>
          <w:lang w:val="pt-BR"/>
        </w:rPr>
        <w:t xml:space="preserve"> – </w:t>
      </w:r>
      <w:proofErr w:type="spellStart"/>
      <w:r w:rsidRPr="00004CA8">
        <w:rPr>
          <w:lang w:val="pt-BR"/>
        </w:rPr>
        <w:t>An</w:t>
      </w:r>
      <w:proofErr w:type="spellEnd"/>
      <w:r w:rsidRPr="00004CA8">
        <w:rPr>
          <w:lang w:val="pt-BR"/>
        </w:rPr>
        <w:t xml:space="preserve"> </w:t>
      </w:r>
      <w:proofErr w:type="spellStart"/>
      <w:r w:rsidRPr="00004CA8">
        <w:rPr>
          <w:lang w:val="pt-BR"/>
        </w:rPr>
        <w:t>economic</w:t>
      </w:r>
      <w:proofErr w:type="spellEnd"/>
      <w:r w:rsidRPr="00004CA8">
        <w:rPr>
          <w:lang w:val="pt-BR"/>
        </w:rPr>
        <w:t xml:space="preserve"> </w:t>
      </w:r>
      <w:proofErr w:type="spellStart"/>
      <w:r w:rsidRPr="00004CA8">
        <w:rPr>
          <w:lang w:val="pt-BR"/>
        </w:rPr>
        <w:t>evaluation</w:t>
      </w:r>
      <w:proofErr w:type="spellEnd"/>
      <w:r w:rsidRPr="00004CA8">
        <w:rPr>
          <w:lang w:val="pt-BR"/>
        </w:rPr>
        <w:t xml:space="preserve"> in Bahia’, Computer </w:t>
      </w:r>
      <w:proofErr w:type="spellStart"/>
      <w:r w:rsidRPr="00004CA8">
        <w:rPr>
          <w:lang w:val="pt-BR"/>
        </w:rPr>
        <w:t>Aided</w:t>
      </w:r>
      <w:proofErr w:type="spellEnd"/>
      <w:r w:rsidRPr="00004CA8">
        <w:rPr>
          <w:lang w:val="pt-BR"/>
        </w:rPr>
        <w:t xml:space="preserve"> Chemical </w:t>
      </w:r>
      <w:proofErr w:type="spellStart"/>
      <w:r w:rsidRPr="00004CA8">
        <w:rPr>
          <w:lang w:val="pt-BR"/>
        </w:rPr>
        <w:t>Engineering</w:t>
      </w:r>
      <w:proofErr w:type="spellEnd"/>
      <w:r w:rsidRPr="00004CA8">
        <w:rPr>
          <w:lang w:val="pt-BR"/>
        </w:rPr>
        <w:t>, 52, pp. 2947–2952.</w:t>
      </w:r>
    </w:p>
    <w:p w14:paraId="3487AFB2" w14:textId="77777777" w:rsidR="00004CA8" w:rsidRPr="00004CA8" w:rsidRDefault="00004CA8" w:rsidP="00004CA8">
      <w:pPr>
        <w:pStyle w:val="CETReferencetext"/>
        <w:rPr>
          <w:lang w:val="en-US"/>
        </w:rPr>
      </w:pPr>
      <w:r w:rsidRPr="00004CA8">
        <w:rPr>
          <w:lang w:val="en-US"/>
        </w:rPr>
        <w:t>Du, Z., Liu, C., Zhai, J., Guo, X., Xiong, Y., Su, W. and He, G. (</w:t>
      </w:r>
      <w:proofErr w:type="gramStart"/>
      <w:r w:rsidRPr="00004CA8">
        <w:rPr>
          <w:lang w:val="en-US"/>
        </w:rPr>
        <w:t>2021) ‘</w:t>
      </w:r>
      <w:proofErr w:type="gramEnd"/>
      <w:r w:rsidRPr="00004CA8">
        <w:rPr>
          <w:lang w:val="en-US"/>
        </w:rPr>
        <w:t>A review of hydrogen purification technologies for fuel cell vehicles’, Catalysts, 11, 393.</w:t>
      </w:r>
    </w:p>
    <w:p w14:paraId="529C95B7" w14:textId="77777777" w:rsidR="00004CA8" w:rsidRPr="00004CA8" w:rsidRDefault="00004CA8" w:rsidP="00004CA8">
      <w:pPr>
        <w:pStyle w:val="CETReferencetext"/>
        <w:rPr>
          <w:lang w:val="pt-BR"/>
        </w:rPr>
      </w:pPr>
      <w:r w:rsidRPr="00004CA8">
        <w:rPr>
          <w:lang w:val="en-US"/>
        </w:rPr>
        <w:t xml:space="preserve">LCRI – Low-Carbon Resources Initiative (2024) Hydrogen separation technologies. </w:t>
      </w:r>
      <w:r w:rsidRPr="00004CA8">
        <w:rPr>
          <w:lang w:val="pt-BR"/>
        </w:rPr>
        <w:t xml:space="preserve">GTI Energy, </w:t>
      </w:r>
      <w:proofErr w:type="spellStart"/>
      <w:r w:rsidRPr="00004CA8">
        <w:rPr>
          <w:lang w:val="pt-BR"/>
        </w:rPr>
        <w:t>Executive</w:t>
      </w:r>
      <w:proofErr w:type="spellEnd"/>
      <w:r w:rsidRPr="00004CA8">
        <w:rPr>
          <w:lang w:val="pt-BR"/>
        </w:rPr>
        <w:t xml:space="preserve"> </w:t>
      </w:r>
      <w:proofErr w:type="spellStart"/>
      <w:r w:rsidRPr="00004CA8">
        <w:rPr>
          <w:lang w:val="pt-BR"/>
        </w:rPr>
        <w:t>Summary</w:t>
      </w:r>
      <w:proofErr w:type="spellEnd"/>
      <w:r w:rsidRPr="00004CA8">
        <w:rPr>
          <w:lang w:val="pt-BR"/>
        </w:rPr>
        <w:t>.</w:t>
      </w:r>
    </w:p>
    <w:p w14:paraId="15F39C3F" w14:textId="77777777" w:rsidR="00004CA8" w:rsidRPr="0024687E" w:rsidRDefault="00004CA8" w:rsidP="00004CA8">
      <w:pPr>
        <w:pStyle w:val="CETReferencetext"/>
        <w:rPr>
          <w:lang w:val="en-US"/>
        </w:rPr>
      </w:pPr>
      <w:r w:rsidRPr="00004CA8">
        <w:rPr>
          <w:lang w:val="pt-BR"/>
        </w:rPr>
        <w:t xml:space="preserve">Magalhães, G.D.B. (2019) Separadores supersônicos para maior produtividade de fabricação de óxido de etileno: avaliação técnica e econômica. </w:t>
      </w:r>
      <w:proofErr w:type="spellStart"/>
      <w:r w:rsidRPr="0024687E">
        <w:rPr>
          <w:lang w:val="en-US"/>
        </w:rPr>
        <w:t>Master’s</w:t>
      </w:r>
      <w:proofErr w:type="spellEnd"/>
      <w:r w:rsidRPr="0024687E">
        <w:rPr>
          <w:lang w:val="en-US"/>
        </w:rPr>
        <w:t xml:space="preserve"> </w:t>
      </w:r>
      <w:proofErr w:type="spellStart"/>
      <w:r w:rsidRPr="0024687E">
        <w:rPr>
          <w:lang w:val="en-US"/>
        </w:rPr>
        <w:t>dissertation</w:t>
      </w:r>
      <w:proofErr w:type="spellEnd"/>
      <w:r w:rsidRPr="0024687E">
        <w:rPr>
          <w:lang w:val="en-US"/>
        </w:rPr>
        <w:t xml:space="preserve">. Federal </w:t>
      </w:r>
      <w:proofErr w:type="spellStart"/>
      <w:r w:rsidRPr="0024687E">
        <w:rPr>
          <w:lang w:val="en-US"/>
        </w:rPr>
        <w:t>University</w:t>
      </w:r>
      <w:proofErr w:type="spellEnd"/>
      <w:r w:rsidRPr="0024687E">
        <w:rPr>
          <w:lang w:val="en-US"/>
        </w:rPr>
        <w:t xml:space="preserve"> </w:t>
      </w:r>
      <w:proofErr w:type="spellStart"/>
      <w:r w:rsidRPr="0024687E">
        <w:rPr>
          <w:lang w:val="en-US"/>
        </w:rPr>
        <w:t>of</w:t>
      </w:r>
      <w:proofErr w:type="spellEnd"/>
      <w:r w:rsidRPr="0024687E">
        <w:rPr>
          <w:lang w:val="en-US"/>
        </w:rPr>
        <w:t xml:space="preserve"> Rio de Janeiro.</w:t>
      </w:r>
    </w:p>
    <w:p w14:paraId="38D21039" w14:textId="77777777" w:rsidR="00004CA8" w:rsidRPr="0024687E" w:rsidRDefault="00004CA8" w:rsidP="00004CA8">
      <w:pPr>
        <w:pStyle w:val="CETReferencetext"/>
        <w:rPr>
          <w:lang w:val="en-US"/>
        </w:rPr>
      </w:pPr>
      <w:r w:rsidRPr="0024687E">
        <w:rPr>
          <w:lang w:val="en-US"/>
        </w:rPr>
        <w:t xml:space="preserve">Santana, L.O.S., Dos Santos, G.S., Bispo, A.S., Marinho, C.B., Dias, V.L.S., Santos, A.L.N., Ávila, J.S. </w:t>
      </w:r>
      <w:proofErr w:type="spellStart"/>
      <w:r w:rsidRPr="0024687E">
        <w:rPr>
          <w:lang w:val="en-US"/>
        </w:rPr>
        <w:t>and</w:t>
      </w:r>
      <w:proofErr w:type="spellEnd"/>
      <w:r w:rsidRPr="0024687E">
        <w:rPr>
          <w:lang w:val="en-US"/>
        </w:rPr>
        <w:t xml:space="preserve"> Pessoa, F.L.P. (2023) ‘</w:t>
      </w:r>
      <w:proofErr w:type="spellStart"/>
      <w:r w:rsidRPr="0024687E">
        <w:rPr>
          <w:lang w:val="en-US"/>
        </w:rPr>
        <w:t>Comparative</w:t>
      </w:r>
      <w:proofErr w:type="spellEnd"/>
      <w:r w:rsidRPr="0024687E">
        <w:rPr>
          <w:lang w:val="en-US"/>
        </w:rPr>
        <w:t xml:space="preserve"> </w:t>
      </w:r>
      <w:proofErr w:type="spellStart"/>
      <w:r w:rsidRPr="0024687E">
        <w:rPr>
          <w:lang w:val="en-US"/>
        </w:rPr>
        <w:t>analysis</w:t>
      </w:r>
      <w:proofErr w:type="spellEnd"/>
      <w:r w:rsidRPr="0024687E">
        <w:rPr>
          <w:lang w:val="en-US"/>
        </w:rPr>
        <w:t xml:space="preserve"> </w:t>
      </w:r>
      <w:proofErr w:type="spellStart"/>
      <w:r w:rsidRPr="0024687E">
        <w:rPr>
          <w:lang w:val="en-US"/>
        </w:rPr>
        <w:t>of</w:t>
      </w:r>
      <w:proofErr w:type="spellEnd"/>
      <w:r w:rsidRPr="0024687E">
        <w:rPr>
          <w:lang w:val="en-US"/>
        </w:rPr>
        <w:t xml:space="preserve"> </w:t>
      </w:r>
      <w:proofErr w:type="spellStart"/>
      <w:r w:rsidRPr="0024687E">
        <w:rPr>
          <w:lang w:val="en-US"/>
        </w:rPr>
        <w:t>pressure</w:t>
      </w:r>
      <w:proofErr w:type="spellEnd"/>
      <w:r w:rsidRPr="0024687E">
        <w:rPr>
          <w:lang w:val="en-US"/>
        </w:rPr>
        <w:t xml:space="preserve"> swing </w:t>
      </w:r>
      <w:proofErr w:type="spellStart"/>
      <w:r w:rsidRPr="0024687E">
        <w:rPr>
          <w:lang w:val="en-US"/>
        </w:rPr>
        <w:t>adsorption</w:t>
      </w:r>
      <w:proofErr w:type="spellEnd"/>
      <w:r w:rsidRPr="0024687E">
        <w:rPr>
          <w:lang w:val="en-US"/>
        </w:rPr>
        <w:t xml:space="preserve"> </w:t>
      </w:r>
      <w:proofErr w:type="spellStart"/>
      <w:r w:rsidRPr="0024687E">
        <w:rPr>
          <w:lang w:val="en-US"/>
        </w:rPr>
        <w:t>and</w:t>
      </w:r>
      <w:proofErr w:type="spellEnd"/>
      <w:r w:rsidRPr="0024687E">
        <w:rPr>
          <w:lang w:val="en-US"/>
        </w:rPr>
        <w:t xml:space="preserve"> </w:t>
      </w:r>
      <w:proofErr w:type="spellStart"/>
      <w:r w:rsidRPr="0024687E">
        <w:rPr>
          <w:lang w:val="en-US"/>
        </w:rPr>
        <w:t>supersonic</w:t>
      </w:r>
      <w:proofErr w:type="spellEnd"/>
      <w:r w:rsidRPr="0024687E">
        <w:rPr>
          <w:lang w:val="en-US"/>
        </w:rPr>
        <w:t xml:space="preserve"> </w:t>
      </w:r>
      <w:proofErr w:type="spellStart"/>
      <w:r w:rsidRPr="0024687E">
        <w:rPr>
          <w:lang w:val="en-US"/>
        </w:rPr>
        <w:t>separators</w:t>
      </w:r>
      <w:proofErr w:type="spellEnd"/>
      <w:r w:rsidRPr="0024687E">
        <w:rPr>
          <w:lang w:val="en-US"/>
        </w:rPr>
        <w:t xml:space="preserve"> for high-</w:t>
      </w:r>
      <w:proofErr w:type="spellStart"/>
      <w:r w:rsidRPr="0024687E">
        <w:rPr>
          <w:lang w:val="en-US"/>
        </w:rPr>
        <w:t>purity</w:t>
      </w:r>
      <w:proofErr w:type="spellEnd"/>
      <w:r w:rsidRPr="0024687E">
        <w:rPr>
          <w:lang w:val="en-US"/>
        </w:rPr>
        <w:t xml:space="preserve"> </w:t>
      </w:r>
      <w:proofErr w:type="spellStart"/>
      <w:r w:rsidRPr="0024687E">
        <w:rPr>
          <w:lang w:val="en-US"/>
        </w:rPr>
        <w:t>hydrogen</w:t>
      </w:r>
      <w:proofErr w:type="spellEnd"/>
      <w:r w:rsidRPr="0024687E">
        <w:rPr>
          <w:lang w:val="en-US"/>
        </w:rPr>
        <w:t xml:space="preserve"> </w:t>
      </w:r>
      <w:proofErr w:type="spellStart"/>
      <w:r w:rsidRPr="0024687E">
        <w:rPr>
          <w:lang w:val="en-US"/>
        </w:rPr>
        <w:t>applications</w:t>
      </w:r>
      <w:proofErr w:type="spellEnd"/>
      <w:r w:rsidRPr="0024687E">
        <w:rPr>
          <w:lang w:val="en-US"/>
        </w:rPr>
        <w:t xml:space="preserve">’, Chemical </w:t>
      </w:r>
      <w:proofErr w:type="spellStart"/>
      <w:r w:rsidRPr="0024687E">
        <w:rPr>
          <w:lang w:val="en-US"/>
        </w:rPr>
        <w:t>Engineering</w:t>
      </w:r>
      <w:proofErr w:type="spellEnd"/>
      <w:r w:rsidRPr="0024687E">
        <w:rPr>
          <w:lang w:val="en-US"/>
        </w:rPr>
        <w:t xml:space="preserve"> </w:t>
      </w:r>
      <w:proofErr w:type="spellStart"/>
      <w:r w:rsidRPr="0024687E">
        <w:rPr>
          <w:lang w:val="en-US"/>
        </w:rPr>
        <w:t>Transactions</w:t>
      </w:r>
      <w:proofErr w:type="spellEnd"/>
      <w:r w:rsidRPr="0024687E">
        <w:rPr>
          <w:lang w:val="en-US"/>
        </w:rPr>
        <w:t>, 100, pp. 187–192.</w:t>
      </w:r>
    </w:p>
    <w:p w14:paraId="3DEE7987" w14:textId="77777777" w:rsidR="00004CA8" w:rsidRPr="00004CA8" w:rsidRDefault="00004CA8" w:rsidP="00004CA8">
      <w:pPr>
        <w:pStyle w:val="CETReferencetext"/>
        <w:rPr>
          <w:lang w:val="en-US"/>
        </w:rPr>
      </w:pPr>
      <w:proofErr w:type="spellStart"/>
      <w:r w:rsidRPr="00004CA8">
        <w:rPr>
          <w:lang w:val="en-US"/>
        </w:rPr>
        <w:t>Shoosshtari</w:t>
      </w:r>
      <w:proofErr w:type="spellEnd"/>
      <w:r w:rsidRPr="00004CA8">
        <w:rPr>
          <w:lang w:val="en-US"/>
        </w:rPr>
        <w:t xml:space="preserve">, S. and </w:t>
      </w:r>
      <w:proofErr w:type="spellStart"/>
      <w:r w:rsidRPr="00004CA8">
        <w:rPr>
          <w:lang w:val="en-US"/>
        </w:rPr>
        <w:t>Shahsavand</w:t>
      </w:r>
      <w:proofErr w:type="spellEnd"/>
      <w:r w:rsidRPr="00004CA8">
        <w:rPr>
          <w:lang w:val="en-US"/>
        </w:rPr>
        <w:t>, A. (</w:t>
      </w:r>
      <w:proofErr w:type="gramStart"/>
      <w:r w:rsidRPr="00004CA8">
        <w:rPr>
          <w:lang w:val="en-US"/>
        </w:rPr>
        <w:t>2023) ‘</w:t>
      </w:r>
      <w:proofErr w:type="gramEnd"/>
      <w:r w:rsidRPr="00004CA8">
        <w:rPr>
          <w:lang w:val="en-US"/>
        </w:rPr>
        <w:t xml:space="preserve">Clean hydrogen production via purification of hydrogen sulfide thermolysis products employing supersonic separators’, International Journal of Hydrogen Energy. </w:t>
      </w:r>
      <w:proofErr w:type="gramStart"/>
      <w:r w:rsidRPr="00004CA8">
        <w:rPr>
          <w:lang w:val="en-US"/>
        </w:rPr>
        <w:t>doi:10.1016/j.ijhydene</w:t>
      </w:r>
      <w:proofErr w:type="gramEnd"/>
      <w:r w:rsidRPr="00004CA8">
        <w:rPr>
          <w:lang w:val="en-US"/>
        </w:rPr>
        <w:t>.2023.06.148.</w:t>
      </w:r>
    </w:p>
    <w:p w14:paraId="55FC31ED" w14:textId="77777777" w:rsidR="00004CA8" w:rsidRPr="00004CA8" w:rsidRDefault="00004CA8" w:rsidP="00004CA8">
      <w:pPr>
        <w:pStyle w:val="CETReferencetext"/>
        <w:rPr>
          <w:lang w:val="en-US"/>
        </w:rPr>
      </w:pPr>
      <w:r w:rsidRPr="00004CA8">
        <w:rPr>
          <w:lang w:val="en-US"/>
        </w:rPr>
        <w:t>Tran, T., Oni, A., Gemechu, E., Carrier, Y., Tezel, F. and Kumar, A. (</w:t>
      </w:r>
      <w:proofErr w:type="gramStart"/>
      <w:r w:rsidRPr="00004CA8">
        <w:rPr>
          <w:lang w:val="en-US"/>
        </w:rPr>
        <w:t>2021) ‘</w:t>
      </w:r>
      <w:proofErr w:type="gramEnd"/>
      <w:r w:rsidRPr="00004CA8">
        <w:rPr>
          <w:lang w:val="en-US"/>
        </w:rPr>
        <w:t xml:space="preserve">Developing a techno-economic model to evaluate the cost performance of a zeolite 13X-based space heating system’, Energy Conversion and Management, 114325. </w:t>
      </w:r>
      <w:proofErr w:type="gramStart"/>
      <w:r w:rsidRPr="00004CA8">
        <w:rPr>
          <w:lang w:val="en-US"/>
        </w:rPr>
        <w:t>doi:10.1016/j.enconman</w:t>
      </w:r>
      <w:proofErr w:type="gramEnd"/>
      <w:r w:rsidRPr="00004CA8">
        <w:rPr>
          <w:lang w:val="en-US"/>
        </w:rPr>
        <w:t>.2021.114325.</w:t>
      </w:r>
    </w:p>
    <w:p w14:paraId="6C6A2098" w14:textId="6F57ECF0" w:rsidR="003464EF" w:rsidRPr="00D43337" w:rsidRDefault="00004CA8" w:rsidP="00004CA8">
      <w:pPr>
        <w:pStyle w:val="CETReferencetext"/>
        <w:rPr>
          <w:lang w:val="en-US"/>
        </w:rPr>
      </w:pPr>
      <w:r w:rsidRPr="00004CA8">
        <w:rPr>
          <w:lang w:val="en-US"/>
        </w:rPr>
        <w:t xml:space="preserve">Zito, P., Caravella, A., Brunetti, A., </w:t>
      </w:r>
      <w:proofErr w:type="spellStart"/>
      <w:r w:rsidRPr="00004CA8">
        <w:rPr>
          <w:lang w:val="en-US"/>
        </w:rPr>
        <w:t>Drioli</w:t>
      </w:r>
      <w:proofErr w:type="spellEnd"/>
      <w:r w:rsidRPr="00004CA8">
        <w:rPr>
          <w:lang w:val="en-US"/>
        </w:rPr>
        <w:t xml:space="preserve">, E. and Barbieri, G. (2015) ‘Estimation of Langmuir and Sips models adsorption parameters for </w:t>
      </w:r>
      <w:proofErr w:type="spellStart"/>
      <w:r w:rsidRPr="00004CA8">
        <w:rPr>
          <w:lang w:val="en-US"/>
        </w:rPr>
        <w:t>NaX</w:t>
      </w:r>
      <w:proofErr w:type="spellEnd"/>
      <w:r w:rsidRPr="00004CA8">
        <w:rPr>
          <w:lang w:val="en-US"/>
        </w:rPr>
        <w:t xml:space="preserve"> and </w:t>
      </w:r>
      <w:proofErr w:type="spellStart"/>
      <w:r w:rsidRPr="00004CA8">
        <w:rPr>
          <w:lang w:val="en-US"/>
        </w:rPr>
        <w:t>NaY</w:t>
      </w:r>
      <w:proofErr w:type="spellEnd"/>
      <w:r w:rsidRPr="00004CA8">
        <w:rPr>
          <w:lang w:val="en-US"/>
        </w:rPr>
        <w:t xml:space="preserve"> FAU zeolites’, Journal of Chemical and Engineering Data, 60, pp. 2858–2868.</w:t>
      </w:r>
    </w:p>
    <w:sectPr w:rsidR="003464EF" w:rsidRPr="00D4333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7B8C" w14:textId="77777777" w:rsidR="003E472F" w:rsidRDefault="003E472F" w:rsidP="004F5E36">
      <w:r>
        <w:separator/>
      </w:r>
    </w:p>
  </w:endnote>
  <w:endnote w:type="continuationSeparator" w:id="0">
    <w:p w14:paraId="14733BA5" w14:textId="77777777" w:rsidR="003E472F" w:rsidRDefault="003E472F" w:rsidP="004F5E36">
      <w:r>
        <w:continuationSeparator/>
      </w:r>
    </w:p>
  </w:endnote>
  <w:endnote w:type="continuationNotice" w:id="1">
    <w:p w14:paraId="2EEB4404" w14:textId="77777777" w:rsidR="003E472F" w:rsidRDefault="003E47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D54CF" w14:textId="77777777" w:rsidR="003E472F" w:rsidRDefault="003E472F" w:rsidP="004F5E36">
      <w:r>
        <w:separator/>
      </w:r>
    </w:p>
  </w:footnote>
  <w:footnote w:type="continuationSeparator" w:id="0">
    <w:p w14:paraId="7786E6C4" w14:textId="77777777" w:rsidR="003E472F" w:rsidRDefault="003E472F" w:rsidP="004F5E36">
      <w:r>
        <w:continuationSeparator/>
      </w:r>
    </w:p>
  </w:footnote>
  <w:footnote w:type="continuationNotice" w:id="1">
    <w:p w14:paraId="4D9B88CE" w14:textId="77777777" w:rsidR="003E472F" w:rsidRDefault="003E472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B7C6FDE"/>
    <w:multiLevelType w:val="multilevel"/>
    <w:tmpl w:val="5D5C0FC2"/>
    <w:lvl w:ilvl="0">
      <w:start w:val="1"/>
      <w:numFmt w:val="bullet"/>
      <w:lvlText w:val=""/>
      <w:lvlJc w:val="left"/>
      <w:pPr>
        <w:ind w:left="0" w:firstLine="0"/>
      </w:pPr>
      <w:rPr>
        <w:rFonts w:ascii="Wingdings" w:hAnsi="Wingdings" w:hint="default"/>
      </w:rPr>
    </w:lvl>
    <w:lvl w:ilvl="1">
      <w:start w:val="1"/>
      <w:numFmt w:val="decimal"/>
      <w:suff w:val="space"/>
      <w:lvlText w:val="%2."/>
      <w:lvlJc w:val="left"/>
      <w:pPr>
        <w:ind w:left="0" w:firstLine="0"/>
      </w:pPr>
      <w:rPr>
        <w:rFonts w:hint="default"/>
      </w:rPr>
    </w:lvl>
    <w:lvl w:ilvl="2">
      <w:start w:val="1"/>
      <w:numFmt w:val="bullet"/>
      <w:lvlText w:val=""/>
      <w:lvlJc w:val="left"/>
      <w:pPr>
        <w:ind w:left="360" w:hanging="360"/>
      </w:pPr>
      <w:rPr>
        <w:rFonts w:ascii="Symbol" w:hAnsi="Symbol"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4D330E"/>
    <w:multiLevelType w:val="hybridMultilevel"/>
    <w:tmpl w:val="2B108B72"/>
    <w:lvl w:ilvl="0" w:tplc="A57E43B0">
      <w:numFmt w:val="bullet"/>
      <w:lvlText w:val="•"/>
      <w:lvlJc w:val="left"/>
      <w:pPr>
        <w:ind w:left="6570" w:hanging="621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8C04A74"/>
    <w:multiLevelType w:val="hybridMultilevel"/>
    <w:tmpl w:val="F4A4F3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67540B4"/>
    <w:multiLevelType w:val="multilevel"/>
    <w:tmpl w:val="546299B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bullet"/>
      <w:lvlText w:val=""/>
      <w:lvlJc w:val="left"/>
      <w:pPr>
        <w:ind w:left="360" w:hanging="360"/>
      </w:pPr>
      <w:rPr>
        <w:rFonts w:ascii="Symbol" w:hAnsi="Symbol"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7E1B5E"/>
    <w:multiLevelType w:val="hybridMultilevel"/>
    <w:tmpl w:val="1C0A3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8E6835"/>
    <w:multiLevelType w:val="multilevel"/>
    <w:tmpl w:val="5D5C0FC2"/>
    <w:lvl w:ilvl="0">
      <w:start w:val="1"/>
      <w:numFmt w:val="bullet"/>
      <w:lvlText w:val=""/>
      <w:lvlJc w:val="left"/>
      <w:pPr>
        <w:ind w:left="0" w:firstLine="0"/>
      </w:pPr>
      <w:rPr>
        <w:rFonts w:ascii="Wingdings" w:hAnsi="Wingdings" w:hint="default"/>
      </w:rPr>
    </w:lvl>
    <w:lvl w:ilvl="1">
      <w:start w:val="1"/>
      <w:numFmt w:val="decimal"/>
      <w:suff w:val="space"/>
      <w:lvlText w:val="%2."/>
      <w:lvlJc w:val="left"/>
      <w:pPr>
        <w:ind w:left="0" w:firstLine="0"/>
      </w:pPr>
      <w:rPr>
        <w:rFonts w:hint="default"/>
      </w:rPr>
    </w:lvl>
    <w:lvl w:ilvl="2">
      <w:start w:val="1"/>
      <w:numFmt w:val="bullet"/>
      <w:lvlText w:val=""/>
      <w:lvlJc w:val="left"/>
      <w:pPr>
        <w:ind w:left="360" w:hanging="360"/>
      </w:pPr>
      <w:rPr>
        <w:rFonts w:ascii="Symbol" w:hAnsi="Symbol"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61AB2FB2"/>
    <w:multiLevelType w:val="multilevel"/>
    <w:tmpl w:val="546299B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bullet"/>
      <w:lvlText w:val=""/>
      <w:lvlJc w:val="left"/>
      <w:pPr>
        <w:ind w:left="360" w:hanging="360"/>
      </w:pPr>
      <w:rPr>
        <w:rFonts w:ascii="Symbol" w:hAnsi="Symbol"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67212D"/>
    <w:multiLevelType w:val="hybridMultilevel"/>
    <w:tmpl w:val="FAB45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F4B2AF5"/>
    <w:multiLevelType w:val="hybridMultilevel"/>
    <w:tmpl w:val="47747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3"/>
  </w:num>
  <w:num w:numId="13" w16cid:durableId="695733619">
    <w:abstractNumId w:val="14"/>
  </w:num>
  <w:num w:numId="14" w16cid:durableId="145903400">
    <w:abstractNumId w:val="24"/>
  </w:num>
  <w:num w:numId="15" w16cid:durableId="19162326">
    <w:abstractNumId w:val="28"/>
  </w:num>
  <w:num w:numId="16" w16cid:durableId="1977102699">
    <w:abstractNumId w:val="27"/>
  </w:num>
  <w:num w:numId="17" w16cid:durableId="860774865">
    <w:abstractNumId w:val="13"/>
  </w:num>
  <w:num w:numId="18" w16cid:durableId="313221457">
    <w:abstractNumId w:val="14"/>
    <w:lvlOverride w:ilvl="0">
      <w:startOverride w:val="1"/>
    </w:lvlOverride>
  </w:num>
  <w:num w:numId="19" w16cid:durableId="534971577">
    <w:abstractNumId w:val="21"/>
  </w:num>
  <w:num w:numId="20" w16cid:durableId="1150947773">
    <w:abstractNumId w:val="20"/>
  </w:num>
  <w:num w:numId="21" w16cid:durableId="124660497">
    <w:abstractNumId w:val="18"/>
  </w:num>
  <w:num w:numId="22" w16cid:durableId="2099861471">
    <w:abstractNumId w:val="17"/>
  </w:num>
  <w:num w:numId="23" w16cid:durableId="84351335">
    <w:abstractNumId w:val="10"/>
  </w:num>
  <w:num w:numId="24" w16cid:durableId="688411279">
    <w:abstractNumId w:val="11"/>
  </w:num>
  <w:num w:numId="25" w16cid:durableId="203448882">
    <w:abstractNumId w:val="11"/>
  </w:num>
  <w:num w:numId="26" w16cid:durableId="1781029327">
    <w:abstractNumId w:val="19"/>
  </w:num>
  <w:num w:numId="27" w16cid:durableId="224070231">
    <w:abstractNumId w:val="26"/>
  </w:num>
  <w:num w:numId="28" w16cid:durableId="63912404">
    <w:abstractNumId w:val="25"/>
  </w:num>
  <w:num w:numId="29" w16cid:durableId="1773933282">
    <w:abstractNumId w:val="12"/>
  </w:num>
  <w:num w:numId="30" w16cid:durableId="414283646">
    <w:abstractNumId w:val="30"/>
  </w:num>
  <w:num w:numId="31" w16cid:durableId="2085950800">
    <w:abstractNumId w:val="15"/>
  </w:num>
  <w:num w:numId="32" w16cid:durableId="127283682">
    <w:abstractNumId w:val="22"/>
  </w:num>
  <w:num w:numId="33" w16cid:durableId="1879005007">
    <w:abstractNumId w:val="16"/>
  </w:num>
  <w:num w:numId="34" w16cid:durableId="2068530363">
    <w:abstractNumId w:val="29"/>
  </w:num>
  <w:num w:numId="35" w16cid:durableId="404183322">
    <w:abstractNumId w:val="11"/>
  </w:num>
  <w:num w:numId="36" w16cid:durableId="1021975289">
    <w:abstractNumId w:val="11"/>
  </w:num>
  <w:num w:numId="37" w16cid:durableId="161705174">
    <w:abstractNumId w:val="11"/>
  </w:num>
  <w:num w:numId="38" w16cid:durableId="937368524">
    <w:abstractNumId w:val="11"/>
  </w:num>
  <w:num w:numId="39" w16cid:durableId="465126911">
    <w:abstractNumId w:val="11"/>
  </w:num>
  <w:num w:numId="40" w16cid:durableId="1777868930">
    <w:abstractNumId w:val="11"/>
  </w:num>
  <w:num w:numId="41" w16cid:durableId="404646918">
    <w:abstractNumId w:val="11"/>
  </w:num>
  <w:num w:numId="42" w16cid:durableId="1125613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CA8"/>
    <w:rsid w:val="000052FB"/>
    <w:rsid w:val="00005A19"/>
    <w:rsid w:val="000117CB"/>
    <w:rsid w:val="00011BC4"/>
    <w:rsid w:val="000120AF"/>
    <w:rsid w:val="00014A6C"/>
    <w:rsid w:val="00015338"/>
    <w:rsid w:val="000156E8"/>
    <w:rsid w:val="000227F2"/>
    <w:rsid w:val="000227F6"/>
    <w:rsid w:val="00025EE7"/>
    <w:rsid w:val="00026D8E"/>
    <w:rsid w:val="0003148D"/>
    <w:rsid w:val="00031EEC"/>
    <w:rsid w:val="00033B57"/>
    <w:rsid w:val="00034544"/>
    <w:rsid w:val="000349F6"/>
    <w:rsid w:val="00036D12"/>
    <w:rsid w:val="000436F8"/>
    <w:rsid w:val="00045677"/>
    <w:rsid w:val="00051566"/>
    <w:rsid w:val="000562A9"/>
    <w:rsid w:val="00062A9A"/>
    <w:rsid w:val="00065058"/>
    <w:rsid w:val="00066616"/>
    <w:rsid w:val="00066717"/>
    <w:rsid w:val="000712E2"/>
    <w:rsid w:val="00080BBC"/>
    <w:rsid w:val="00081414"/>
    <w:rsid w:val="0008448A"/>
    <w:rsid w:val="00085E78"/>
    <w:rsid w:val="00086C39"/>
    <w:rsid w:val="00094DD6"/>
    <w:rsid w:val="000975D2"/>
    <w:rsid w:val="000A03B2"/>
    <w:rsid w:val="000A0CC6"/>
    <w:rsid w:val="000A149B"/>
    <w:rsid w:val="000A3796"/>
    <w:rsid w:val="000A4C50"/>
    <w:rsid w:val="000B054F"/>
    <w:rsid w:val="000B1831"/>
    <w:rsid w:val="000B2082"/>
    <w:rsid w:val="000B458D"/>
    <w:rsid w:val="000B5454"/>
    <w:rsid w:val="000B709D"/>
    <w:rsid w:val="000C2970"/>
    <w:rsid w:val="000D0268"/>
    <w:rsid w:val="000D34BE"/>
    <w:rsid w:val="000D631B"/>
    <w:rsid w:val="000D6FF8"/>
    <w:rsid w:val="000E042E"/>
    <w:rsid w:val="000E0B1A"/>
    <w:rsid w:val="000E0B3C"/>
    <w:rsid w:val="000E102F"/>
    <w:rsid w:val="000E16E7"/>
    <w:rsid w:val="000E2EE4"/>
    <w:rsid w:val="000E323F"/>
    <w:rsid w:val="000E36F1"/>
    <w:rsid w:val="000E3A73"/>
    <w:rsid w:val="000E3ED8"/>
    <w:rsid w:val="000E414A"/>
    <w:rsid w:val="000E75FD"/>
    <w:rsid w:val="000F0756"/>
    <w:rsid w:val="000F093C"/>
    <w:rsid w:val="000F1EC1"/>
    <w:rsid w:val="000F4E24"/>
    <w:rsid w:val="000F787B"/>
    <w:rsid w:val="001005DC"/>
    <w:rsid w:val="001020E3"/>
    <w:rsid w:val="00104C65"/>
    <w:rsid w:val="0010714D"/>
    <w:rsid w:val="001076B1"/>
    <w:rsid w:val="0011063F"/>
    <w:rsid w:val="00111BB1"/>
    <w:rsid w:val="001129C9"/>
    <w:rsid w:val="00114316"/>
    <w:rsid w:val="00116656"/>
    <w:rsid w:val="00117DEE"/>
    <w:rsid w:val="0012091F"/>
    <w:rsid w:val="00121B0F"/>
    <w:rsid w:val="00122E41"/>
    <w:rsid w:val="001241CE"/>
    <w:rsid w:val="00125604"/>
    <w:rsid w:val="00125FDC"/>
    <w:rsid w:val="00126829"/>
    <w:rsid w:val="00126BC2"/>
    <w:rsid w:val="00130564"/>
    <w:rsid w:val="001308B6"/>
    <w:rsid w:val="00130EA4"/>
    <w:rsid w:val="00130EC4"/>
    <w:rsid w:val="0013121F"/>
    <w:rsid w:val="00131FE6"/>
    <w:rsid w:val="0013263F"/>
    <w:rsid w:val="001331DF"/>
    <w:rsid w:val="00134DE4"/>
    <w:rsid w:val="00136D30"/>
    <w:rsid w:val="00137D5E"/>
    <w:rsid w:val="0014034D"/>
    <w:rsid w:val="00140FE3"/>
    <w:rsid w:val="00142E85"/>
    <w:rsid w:val="001430CB"/>
    <w:rsid w:val="00144C05"/>
    <w:rsid w:val="00144D16"/>
    <w:rsid w:val="00145DF7"/>
    <w:rsid w:val="00150863"/>
    <w:rsid w:val="00150E59"/>
    <w:rsid w:val="00152DE3"/>
    <w:rsid w:val="001534AE"/>
    <w:rsid w:val="001545A3"/>
    <w:rsid w:val="00163E4E"/>
    <w:rsid w:val="00164CF9"/>
    <w:rsid w:val="001667A6"/>
    <w:rsid w:val="00170CEC"/>
    <w:rsid w:val="001810B3"/>
    <w:rsid w:val="00181329"/>
    <w:rsid w:val="0018171E"/>
    <w:rsid w:val="00184AD6"/>
    <w:rsid w:val="00185D5D"/>
    <w:rsid w:val="0019148E"/>
    <w:rsid w:val="001938AF"/>
    <w:rsid w:val="00193B81"/>
    <w:rsid w:val="0019406B"/>
    <w:rsid w:val="00194B27"/>
    <w:rsid w:val="001A003B"/>
    <w:rsid w:val="001A130B"/>
    <w:rsid w:val="001A2905"/>
    <w:rsid w:val="001A3C24"/>
    <w:rsid w:val="001A4AF7"/>
    <w:rsid w:val="001A6303"/>
    <w:rsid w:val="001A6335"/>
    <w:rsid w:val="001A75E3"/>
    <w:rsid w:val="001B0349"/>
    <w:rsid w:val="001B0CD3"/>
    <w:rsid w:val="001B1E93"/>
    <w:rsid w:val="001B57A6"/>
    <w:rsid w:val="001B5D16"/>
    <w:rsid w:val="001B65C1"/>
    <w:rsid w:val="001B713C"/>
    <w:rsid w:val="001C0C2E"/>
    <w:rsid w:val="001C0C60"/>
    <w:rsid w:val="001C260F"/>
    <w:rsid w:val="001C2924"/>
    <w:rsid w:val="001C3D33"/>
    <w:rsid w:val="001C5737"/>
    <w:rsid w:val="001C5C3A"/>
    <w:rsid w:val="001C684B"/>
    <w:rsid w:val="001C79DD"/>
    <w:rsid w:val="001C7B19"/>
    <w:rsid w:val="001C7DA8"/>
    <w:rsid w:val="001D0CFB"/>
    <w:rsid w:val="001D12D6"/>
    <w:rsid w:val="001D1641"/>
    <w:rsid w:val="001D21AF"/>
    <w:rsid w:val="001D53FC"/>
    <w:rsid w:val="001D5DAF"/>
    <w:rsid w:val="001D7C79"/>
    <w:rsid w:val="001E5CE1"/>
    <w:rsid w:val="001E7A44"/>
    <w:rsid w:val="001F2DFC"/>
    <w:rsid w:val="001F303C"/>
    <w:rsid w:val="001F42A5"/>
    <w:rsid w:val="001F4CD6"/>
    <w:rsid w:val="001F5B39"/>
    <w:rsid w:val="001F7B9D"/>
    <w:rsid w:val="0020103E"/>
    <w:rsid w:val="002016A9"/>
    <w:rsid w:val="00201C93"/>
    <w:rsid w:val="00205448"/>
    <w:rsid w:val="00213AD1"/>
    <w:rsid w:val="002151B0"/>
    <w:rsid w:val="002156F2"/>
    <w:rsid w:val="002163B7"/>
    <w:rsid w:val="00216751"/>
    <w:rsid w:val="00217EF2"/>
    <w:rsid w:val="002224B4"/>
    <w:rsid w:val="002234C1"/>
    <w:rsid w:val="002235A7"/>
    <w:rsid w:val="0022559E"/>
    <w:rsid w:val="00227BF0"/>
    <w:rsid w:val="00230CDF"/>
    <w:rsid w:val="002330D4"/>
    <w:rsid w:val="00234F46"/>
    <w:rsid w:val="0023519D"/>
    <w:rsid w:val="002447EF"/>
    <w:rsid w:val="0024585E"/>
    <w:rsid w:val="0024687E"/>
    <w:rsid w:val="00251550"/>
    <w:rsid w:val="002515C8"/>
    <w:rsid w:val="00251B50"/>
    <w:rsid w:val="0026104C"/>
    <w:rsid w:val="00261537"/>
    <w:rsid w:val="00263B05"/>
    <w:rsid w:val="00265454"/>
    <w:rsid w:val="00266966"/>
    <w:rsid w:val="00266A3E"/>
    <w:rsid w:val="002672AD"/>
    <w:rsid w:val="002700CF"/>
    <w:rsid w:val="0027221A"/>
    <w:rsid w:val="00274E02"/>
    <w:rsid w:val="0027557F"/>
    <w:rsid w:val="00275B61"/>
    <w:rsid w:val="00277C94"/>
    <w:rsid w:val="00277FB6"/>
    <w:rsid w:val="00280C17"/>
    <w:rsid w:val="00280FAF"/>
    <w:rsid w:val="00281317"/>
    <w:rsid w:val="002814AC"/>
    <w:rsid w:val="00282656"/>
    <w:rsid w:val="00283976"/>
    <w:rsid w:val="002848F3"/>
    <w:rsid w:val="00285808"/>
    <w:rsid w:val="00286EDE"/>
    <w:rsid w:val="00293516"/>
    <w:rsid w:val="00296B83"/>
    <w:rsid w:val="002A0C64"/>
    <w:rsid w:val="002A1498"/>
    <w:rsid w:val="002A17ED"/>
    <w:rsid w:val="002A47F4"/>
    <w:rsid w:val="002A4C18"/>
    <w:rsid w:val="002B0FF3"/>
    <w:rsid w:val="002B20B7"/>
    <w:rsid w:val="002B26CB"/>
    <w:rsid w:val="002B3598"/>
    <w:rsid w:val="002B3EB7"/>
    <w:rsid w:val="002B4015"/>
    <w:rsid w:val="002B6EE8"/>
    <w:rsid w:val="002B78CE"/>
    <w:rsid w:val="002C03DD"/>
    <w:rsid w:val="002C2FB6"/>
    <w:rsid w:val="002C322C"/>
    <w:rsid w:val="002C5418"/>
    <w:rsid w:val="002C5597"/>
    <w:rsid w:val="002C6605"/>
    <w:rsid w:val="002D2FCC"/>
    <w:rsid w:val="002D4C5B"/>
    <w:rsid w:val="002E0F97"/>
    <w:rsid w:val="002E13ED"/>
    <w:rsid w:val="002E32B0"/>
    <w:rsid w:val="002E3EEA"/>
    <w:rsid w:val="002E433B"/>
    <w:rsid w:val="002E5083"/>
    <w:rsid w:val="002E50D1"/>
    <w:rsid w:val="002E5FA7"/>
    <w:rsid w:val="002F0E89"/>
    <w:rsid w:val="002F18D8"/>
    <w:rsid w:val="002F3214"/>
    <w:rsid w:val="002F3309"/>
    <w:rsid w:val="002F4A0D"/>
    <w:rsid w:val="002F6005"/>
    <w:rsid w:val="003008CE"/>
    <w:rsid w:val="003009B7"/>
    <w:rsid w:val="00300DDC"/>
    <w:rsid w:val="00300E56"/>
    <w:rsid w:val="0030152C"/>
    <w:rsid w:val="00302AD8"/>
    <w:rsid w:val="00303EDB"/>
    <w:rsid w:val="00304266"/>
    <w:rsid w:val="0030469C"/>
    <w:rsid w:val="00305CB3"/>
    <w:rsid w:val="00305F48"/>
    <w:rsid w:val="00306818"/>
    <w:rsid w:val="003108AD"/>
    <w:rsid w:val="00310DD8"/>
    <w:rsid w:val="00312651"/>
    <w:rsid w:val="00312F65"/>
    <w:rsid w:val="00315417"/>
    <w:rsid w:val="00321CA6"/>
    <w:rsid w:val="00323763"/>
    <w:rsid w:val="00323C5F"/>
    <w:rsid w:val="00327FE4"/>
    <w:rsid w:val="003305AA"/>
    <w:rsid w:val="00330DF8"/>
    <w:rsid w:val="00334C09"/>
    <w:rsid w:val="00334D01"/>
    <w:rsid w:val="0033639B"/>
    <w:rsid w:val="003464EF"/>
    <w:rsid w:val="00346542"/>
    <w:rsid w:val="003467D4"/>
    <w:rsid w:val="00347270"/>
    <w:rsid w:val="00350ADB"/>
    <w:rsid w:val="003524D8"/>
    <w:rsid w:val="00354A27"/>
    <w:rsid w:val="0035520D"/>
    <w:rsid w:val="00355AF7"/>
    <w:rsid w:val="003600F6"/>
    <w:rsid w:val="00362A52"/>
    <w:rsid w:val="00362A63"/>
    <w:rsid w:val="00363C92"/>
    <w:rsid w:val="003646D0"/>
    <w:rsid w:val="00366369"/>
    <w:rsid w:val="00371962"/>
    <w:rsid w:val="003723D4"/>
    <w:rsid w:val="00375398"/>
    <w:rsid w:val="00376545"/>
    <w:rsid w:val="00376927"/>
    <w:rsid w:val="0038061D"/>
    <w:rsid w:val="00381905"/>
    <w:rsid w:val="00383A9F"/>
    <w:rsid w:val="00384C28"/>
    <w:rsid w:val="00384CC8"/>
    <w:rsid w:val="003871FD"/>
    <w:rsid w:val="0038759D"/>
    <w:rsid w:val="003904D3"/>
    <w:rsid w:val="00393C24"/>
    <w:rsid w:val="003941EA"/>
    <w:rsid w:val="0039557A"/>
    <w:rsid w:val="003956F0"/>
    <w:rsid w:val="003962E7"/>
    <w:rsid w:val="003A1E30"/>
    <w:rsid w:val="003A2829"/>
    <w:rsid w:val="003A4AC3"/>
    <w:rsid w:val="003A55A6"/>
    <w:rsid w:val="003A55F3"/>
    <w:rsid w:val="003A7D1C"/>
    <w:rsid w:val="003B2EE5"/>
    <w:rsid w:val="003B2EF6"/>
    <w:rsid w:val="003B304B"/>
    <w:rsid w:val="003B3146"/>
    <w:rsid w:val="003B46F4"/>
    <w:rsid w:val="003B49CD"/>
    <w:rsid w:val="003B52D5"/>
    <w:rsid w:val="003B64C6"/>
    <w:rsid w:val="003B6974"/>
    <w:rsid w:val="003B7B7B"/>
    <w:rsid w:val="003C2A44"/>
    <w:rsid w:val="003C2D3E"/>
    <w:rsid w:val="003C3D1F"/>
    <w:rsid w:val="003C6E42"/>
    <w:rsid w:val="003D1A46"/>
    <w:rsid w:val="003D1E02"/>
    <w:rsid w:val="003D277C"/>
    <w:rsid w:val="003D40B3"/>
    <w:rsid w:val="003D6BF6"/>
    <w:rsid w:val="003E2678"/>
    <w:rsid w:val="003E472F"/>
    <w:rsid w:val="003F015E"/>
    <w:rsid w:val="003F3E23"/>
    <w:rsid w:val="00400414"/>
    <w:rsid w:val="00405A12"/>
    <w:rsid w:val="00405B62"/>
    <w:rsid w:val="0041446B"/>
    <w:rsid w:val="00415912"/>
    <w:rsid w:val="0042286F"/>
    <w:rsid w:val="00422ABA"/>
    <w:rsid w:val="00430746"/>
    <w:rsid w:val="00431B5D"/>
    <w:rsid w:val="004359B5"/>
    <w:rsid w:val="004365E7"/>
    <w:rsid w:val="0044071E"/>
    <w:rsid w:val="0044074F"/>
    <w:rsid w:val="004431CD"/>
    <w:rsid w:val="0044329C"/>
    <w:rsid w:val="00445DF1"/>
    <w:rsid w:val="004466E8"/>
    <w:rsid w:val="00453458"/>
    <w:rsid w:val="00453B5E"/>
    <w:rsid w:val="00453E24"/>
    <w:rsid w:val="0045568F"/>
    <w:rsid w:val="00457456"/>
    <w:rsid w:val="004577FE"/>
    <w:rsid w:val="00457B9C"/>
    <w:rsid w:val="0046027B"/>
    <w:rsid w:val="0046164A"/>
    <w:rsid w:val="004628D2"/>
    <w:rsid w:val="00462DCD"/>
    <w:rsid w:val="004648AD"/>
    <w:rsid w:val="00464A08"/>
    <w:rsid w:val="0046633B"/>
    <w:rsid w:val="004703A9"/>
    <w:rsid w:val="00471C04"/>
    <w:rsid w:val="00474940"/>
    <w:rsid w:val="004750BF"/>
    <w:rsid w:val="0047539F"/>
    <w:rsid w:val="004760DE"/>
    <w:rsid w:val="004763D7"/>
    <w:rsid w:val="00477109"/>
    <w:rsid w:val="00481A42"/>
    <w:rsid w:val="00482761"/>
    <w:rsid w:val="004849D3"/>
    <w:rsid w:val="00490427"/>
    <w:rsid w:val="00491AF3"/>
    <w:rsid w:val="00494269"/>
    <w:rsid w:val="004942AD"/>
    <w:rsid w:val="0049534D"/>
    <w:rsid w:val="0049660A"/>
    <w:rsid w:val="004A004E"/>
    <w:rsid w:val="004A0FD3"/>
    <w:rsid w:val="004A24CF"/>
    <w:rsid w:val="004A5383"/>
    <w:rsid w:val="004A6D6E"/>
    <w:rsid w:val="004A76C8"/>
    <w:rsid w:val="004A7CF0"/>
    <w:rsid w:val="004B04EA"/>
    <w:rsid w:val="004B051F"/>
    <w:rsid w:val="004B4D5D"/>
    <w:rsid w:val="004C15A8"/>
    <w:rsid w:val="004C3CB8"/>
    <w:rsid w:val="004C3D1D"/>
    <w:rsid w:val="004C3D84"/>
    <w:rsid w:val="004C3E1E"/>
    <w:rsid w:val="004C7913"/>
    <w:rsid w:val="004C7D02"/>
    <w:rsid w:val="004D1FC8"/>
    <w:rsid w:val="004D59DE"/>
    <w:rsid w:val="004D5D29"/>
    <w:rsid w:val="004E0725"/>
    <w:rsid w:val="004E233C"/>
    <w:rsid w:val="004E2778"/>
    <w:rsid w:val="004E2B84"/>
    <w:rsid w:val="004E2BA8"/>
    <w:rsid w:val="004E3250"/>
    <w:rsid w:val="004E4463"/>
    <w:rsid w:val="004E4DD6"/>
    <w:rsid w:val="004E6A61"/>
    <w:rsid w:val="004F0E1E"/>
    <w:rsid w:val="004F321C"/>
    <w:rsid w:val="004F3F35"/>
    <w:rsid w:val="004F4B57"/>
    <w:rsid w:val="004F5644"/>
    <w:rsid w:val="004F5E36"/>
    <w:rsid w:val="004F778D"/>
    <w:rsid w:val="0050165C"/>
    <w:rsid w:val="00507B47"/>
    <w:rsid w:val="00507BA6"/>
    <w:rsid w:val="00507BEF"/>
    <w:rsid w:val="00507CC9"/>
    <w:rsid w:val="00510570"/>
    <w:rsid w:val="00510989"/>
    <w:rsid w:val="00511475"/>
    <w:rsid w:val="005119A5"/>
    <w:rsid w:val="005154DE"/>
    <w:rsid w:val="00515B55"/>
    <w:rsid w:val="00524736"/>
    <w:rsid w:val="00526BAF"/>
    <w:rsid w:val="005278B7"/>
    <w:rsid w:val="005315E8"/>
    <w:rsid w:val="00532016"/>
    <w:rsid w:val="0053221A"/>
    <w:rsid w:val="00532916"/>
    <w:rsid w:val="005346C8"/>
    <w:rsid w:val="00541C43"/>
    <w:rsid w:val="005439C6"/>
    <w:rsid w:val="00543E7D"/>
    <w:rsid w:val="00547A68"/>
    <w:rsid w:val="005531C9"/>
    <w:rsid w:val="00554879"/>
    <w:rsid w:val="00555A7A"/>
    <w:rsid w:val="005602EC"/>
    <w:rsid w:val="0056050B"/>
    <w:rsid w:val="00562F09"/>
    <w:rsid w:val="00563657"/>
    <w:rsid w:val="005675DA"/>
    <w:rsid w:val="00570C43"/>
    <w:rsid w:val="00572101"/>
    <w:rsid w:val="005755BA"/>
    <w:rsid w:val="005764FE"/>
    <w:rsid w:val="005770A2"/>
    <w:rsid w:val="00581E85"/>
    <w:rsid w:val="005849C0"/>
    <w:rsid w:val="005867E8"/>
    <w:rsid w:val="00592274"/>
    <w:rsid w:val="0059438C"/>
    <w:rsid w:val="005A2A9B"/>
    <w:rsid w:val="005A3B36"/>
    <w:rsid w:val="005A4A05"/>
    <w:rsid w:val="005A4BB1"/>
    <w:rsid w:val="005A5379"/>
    <w:rsid w:val="005A56D1"/>
    <w:rsid w:val="005A5E9C"/>
    <w:rsid w:val="005A67A1"/>
    <w:rsid w:val="005A6D49"/>
    <w:rsid w:val="005B2110"/>
    <w:rsid w:val="005B350B"/>
    <w:rsid w:val="005B4EBC"/>
    <w:rsid w:val="005B61E6"/>
    <w:rsid w:val="005B7009"/>
    <w:rsid w:val="005C06C5"/>
    <w:rsid w:val="005C11F3"/>
    <w:rsid w:val="005C13B0"/>
    <w:rsid w:val="005C1775"/>
    <w:rsid w:val="005C1D7F"/>
    <w:rsid w:val="005C3FBF"/>
    <w:rsid w:val="005C727C"/>
    <w:rsid w:val="005C77E1"/>
    <w:rsid w:val="005D0158"/>
    <w:rsid w:val="005D29CC"/>
    <w:rsid w:val="005D48B3"/>
    <w:rsid w:val="005D4922"/>
    <w:rsid w:val="005D668A"/>
    <w:rsid w:val="005D6A2F"/>
    <w:rsid w:val="005E0592"/>
    <w:rsid w:val="005E1A82"/>
    <w:rsid w:val="005E4CB0"/>
    <w:rsid w:val="005E7746"/>
    <w:rsid w:val="005E794C"/>
    <w:rsid w:val="005F0921"/>
    <w:rsid w:val="005F0A28"/>
    <w:rsid w:val="005F0E5E"/>
    <w:rsid w:val="005F22A0"/>
    <w:rsid w:val="005F2C46"/>
    <w:rsid w:val="005F633B"/>
    <w:rsid w:val="005F7854"/>
    <w:rsid w:val="00600535"/>
    <w:rsid w:val="00601CB0"/>
    <w:rsid w:val="006020B8"/>
    <w:rsid w:val="006104B2"/>
    <w:rsid w:val="00610CD6"/>
    <w:rsid w:val="00613A7C"/>
    <w:rsid w:val="00613BE7"/>
    <w:rsid w:val="00620DEE"/>
    <w:rsid w:val="00621F92"/>
    <w:rsid w:val="0062280A"/>
    <w:rsid w:val="006231E1"/>
    <w:rsid w:val="00625639"/>
    <w:rsid w:val="006257E4"/>
    <w:rsid w:val="00625F4E"/>
    <w:rsid w:val="00626F44"/>
    <w:rsid w:val="00631265"/>
    <w:rsid w:val="006314B4"/>
    <w:rsid w:val="0063169E"/>
    <w:rsid w:val="00631B33"/>
    <w:rsid w:val="0063477B"/>
    <w:rsid w:val="00636BB1"/>
    <w:rsid w:val="00637536"/>
    <w:rsid w:val="0064184D"/>
    <w:rsid w:val="00642093"/>
    <w:rsid w:val="006422CC"/>
    <w:rsid w:val="00643954"/>
    <w:rsid w:val="00643AD3"/>
    <w:rsid w:val="00645182"/>
    <w:rsid w:val="00645755"/>
    <w:rsid w:val="00650FEC"/>
    <w:rsid w:val="00651D18"/>
    <w:rsid w:val="00651F8C"/>
    <w:rsid w:val="00657874"/>
    <w:rsid w:val="00660E3E"/>
    <w:rsid w:val="00661E9A"/>
    <w:rsid w:val="006628E1"/>
    <w:rsid w:val="00662E74"/>
    <w:rsid w:val="00663BB0"/>
    <w:rsid w:val="00664001"/>
    <w:rsid w:val="006669BA"/>
    <w:rsid w:val="00672B66"/>
    <w:rsid w:val="00674C67"/>
    <w:rsid w:val="00676A53"/>
    <w:rsid w:val="00680C23"/>
    <w:rsid w:val="00683865"/>
    <w:rsid w:val="00683E23"/>
    <w:rsid w:val="00684115"/>
    <w:rsid w:val="00690FAC"/>
    <w:rsid w:val="00693766"/>
    <w:rsid w:val="00695302"/>
    <w:rsid w:val="00695C9C"/>
    <w:rsid w:val="00696B09"/>
    <w:rsid w:val="006A07B3"/>
    <w:rsid w:val="006A0ECA"/>
    <w:rsid w:val="006A2816"/>
    <w:rsid w:val="006A3281"/>
    <w:rsid w:val="006A3449"/>
    <w:rsid w:val="006A4019"/>
    <w:rsid w:val="006A4B0C"/>
    <w:rsid w:val="006A4FAB"/>
    <w:rsid w:val="006A6DE5"/>
    <w:rsid w:val="006A7C70"/>
    <w:rsid w:val="006B05DE"/>
    <w:rsid w:val="006B1F14"/>
    <w:rsid w:val="006B4633"/>
    <w:rsid w:val="006B4888"/>
    <w:rsid w:val="006B4EB0"/>
    <w:rsid w:val="006C2E45"/>
    <w:rsid w:val="006C359C"/>
    <w:rsid w:val="006C50F9"/>
    <w:rsid w:val="006C54D6"/>
    <w:rsid w:val="006C5579"/>
    <w:rsid w:val="006D3469"/>
    <w:rsid w:val="006D6E8B"/>
    <w:rsid w:val="006D7209"/>
    <w:rsid w:val="006E0035"/>
    <w:rsid w:val="006E737D"/>
    <w:rsid w:val="006E7820"/>
    <w:rsid w:val="006F08EA"/>
    <w:rsid w:val="006F2684"/>
    <w:rsid w:val="006F28DB"/>
    <w:rsid w:val="006F2D63"/>
    <w:rsid w:val="006F4D4E"/>
    <w:rsid w:val="006F69C4"/>
    <w:rsid w:val="007011BA"/>
    <w:rsid w:val="00702DFF"/>
    <w:rsid w:val="007051C8"/>
    <w:rsid w:val="007073DB"/>
    <w:rsid w:val="00707DD1"/>
    <w:rsid w:val="00711A24"/>
    <w:rsid w:val="0071346C"/>
    <w:rsid w:val="00713973"/>
    <w:rsid w:val="00714407"/>
    <w:rsid w:val="007169E6"/>
    <w:rsid w:val="00717949"/>
    <w:rsid w:val="00720A24"/>
    <w:rsid w:val="00721EE5"/>
    <w:rsid w:val="00724811"/>
    <w:rsid w:val="00730AB8"/>
    <w:rsid w:val="0073121F"/>
    <w:rsid w:val="00732386"/>
    <w:rsid w:val="00732F78"/>
    <w:rsid w:val="0073514D"/>
    <w:rsid w:val="00735224"/>
    <w:rsid w:val="007358D9"/>
    <w:rsid w:val="007424E5"/>
    <w:rsid w:val="007447F3"/>
    <w:rsid w:val="00745CAB"/>
    <w:rsid w:val="0074716C"/>
    <w:rsid w:val="0075184B"/>
    <w:rsid w:val="0075201E"/>
    <w:rsid w:val="0075499F"/>
    <w:rsid w:val="00756AD6"/>
    <w:rsid w:val="0076138C"/>
    <w:rsid w:val="00762910"/>
    <w:rsid w:val="00762953"/>
    <w:rsid w:val="00763439"/>
    <w:rsid w:val="00763AA0"/>
    <w:rsid w:val="007661C8"/>
    <w:rsid w:val="0077098D"/>
    <w:rsid w:val="00771688"/>
    <w:rsid w:val="00773B7A"/>
    <w:rsid w:val="007743E2"/>
    <w:rsid w:val="00774BF0"/>
    <w:rsid w:val="00776E00"/>
    <w:rsid w:val="007805D9"/>
    <w:rsid w:val="00782D67"/>
    <w:rsid w:val="0078343E"/>
    <w:rsid w:val="007856DE"/>
    <w:rsid w:val="00785BF9"/>
    <w:rsid w:val="007868CC"/>
    <w:rsid w:val="007901F8"/>
    <w:rsid w:val="007909C7"/>
    <w:rsid w:val="007912B8"/>
    <w:rsid w:val="00791597"/>
    <w:rsid w:val="007930B1"/>
    <w:rsid w:val="007931FA"/>
    <w:rsid w:val="00793D5D"/>
    <w:rsid w:val="00794A3A"/>
    <w:rsid w:val="00794CA5"/>
    <w:rsid w:val="00795D02"/>
    <w:rsid w:val="007A3498"/>
    <w:rsid w:val="007A3CA2"/>
    <w:rsid w:val="007A3D2B"/>
    <w:rsid w:val="007A4861"/>
    <w:rsid w:val="007A4C6A"/>
    <w:rsid w:val="007A5860"/>
    <w:rsid w:val="007A58E9"/>
    <w:rsid w:val="007A764D"/>
    <w:rsid w:val="007A7BBA"/>
    <w:rsid w:val="007B0C50"/>
    <w:rsid w:val="007B3661"/>
    <w:rsid w:val="007B48F9"/>
    <w:rsid w:val="007B6141"/>
    <w:rsid w:val="007C1A43"/>
    <w:rsid w:val="007C2037"/>
    <w:rsid w:val="007C303C"/>
    <w:rsid w:val="007C43E9"/>
    <w:rsid w:val="007C53FE"/>
    <w:rsid w:val="007C78F9"/>
    <w:rsid w:val="007D0951"/>
    <w:rsid w:val="007D0C11"/>
    <w:rsid w:val="007D3F2C"/>
    <w:rsid w:val="007D5662"/>
    <w:rsid w:val="007D610D"/>
    <w:rsid w:val="007D718E"/>
    <w:rsid w:val="007E1574"/>
    <w:rsid w:val="007E4341"/>
    <w:rsid w:val="007E5EE0"/>
    <w:rsid w:val="007E798B"/>
    <w:rsid w:val="007F07B7"/>
    <w:rsid w:val="007F37D1"/>
    <w:rsid w:val="007F50D2"/>
    <w:rsid w:val="007F67F1"/>
    <w:rsid w:val="007F7686"/>
    <w:rsid w:val="0080013E"/>
    <w:rsid w:val="00801759"/>
    <w:rsid w:val="008034F5"/>
    <w:rsid w:val="008056A8"/>
    <w:rsid w:val="00813288"/>
    <w:rsid w:val="008162CD"/>
    <w:rsid w:val="008168FC"/>
    <w:rsid w:val="00816928"/>
    <w:rsid w:val="008212F9"/>
    <w:rsid w:val="00821932"/>
    <w:rsid w:val="00822724"/>
    <w:rsid w:val="00822E43"/>
    <w:rsid w:val="0082462C"/>
    <w:rsid w:val="00824790"/>
    <w:rsid w:val="008247C7"/>
    <w:rsid w:val="00825968"/>
    <w:rsid w:val="00826B03"/>
    <w:rsid w:val="00827D35"/>
    <w:rsid w:val="00830996"/>
    <w:rsid w:val="00832234"/>
    <w:rsid w:val="008343B8"/>
    <w:rsid w:val="008345F1"/>
    <w:rsid w:val="008349C9"/>
    <w:rsid w:val="00834B6C"/>
    <w:rsid w:val="00834F6A"/>
    <w:rsid w:val="008352DE"/>
    <w:rsid w:val="00837F91"/>
    <w:rsid w:val="0084033F"/>
    <w:rsid w:val="00843026"/>
    <w:rsid w:val="008432C9"/>
    <w:rsid w:val="00846995"/>
    <w:rsid w:val="008479AF"/>
    <w:rsid w:val="00847EB5"/>
    <w:rsid w:val="00851867"/>
    <w:rsid w:val="0085200A"/>
    <w:rsid w:val="00852398"/>
    <w:rsid w:val="00852C11"/>
    <w:rsid w:val="00861B4C"/>
    <w:rsid w:val="00865B07"/>
    <w:rsid w:val="008667EA"/>
    <w:rsid w:val="00866D05"/>
    <w:rsid w:val="008711EF"/>
    <w:rsid w:val="00871460"/>
    <w:rsid w:val="00872B88"/>
    <w:rsid w:val="0087637F"/>
    <w:rsid w:val="00876556"/>
    <w:rsid w:val="008766D0"/>
    <w:rsid w:val="00876F79"/>
    <w:rsid w:val="00882FE0"/>
    <w:rsid w:val="008832AA"/>
    <w:rsid w:val="008854E2"/>
    <w:rsid w:val="008868A7"/>
    <w:rsid w:val="008903E0"/>
    <w:rsid w:val="0089083E"/>
    <w:rsid w:val="00890EAA"/>
    <w:rsid w:val="00892AD5"/>
    <w:rsid w:val="00894618"/>
    <w:rsid w:val="008A1512"/>
    <w:rsid w:val="008A4A3E"/>
    <w:rsid w:val="008A4D12"/>
    <w:rsid w:val="008A5CB9"/>
    <w:rsid w:val="008A6672"/>
    <w:rsid w:val="008B21C1"/>
    <w:rsid w:val="008B2BFE"/>
    <w:rsid w:val="008B3904"/>
    <w:rsid w:val="008B48C6"/>
    <w:rsid w:val="008B49C4"/>
    <w:rsid w:val="008B4A74"/>
    <w:rsid w:val="008B4B1A"/>
    <w:rsid w:val="008C040B"/>
    <w:rsid w:val="008C04E1"/>
    <w:rsid w:val="008C2968"/>
    <w:rsid w:val="008C2ABE"/>
    <w:rsid w:val="008C3183"/>
    <w:rsid w:val="008C5FD4"/>
    <w:rsid w:val="008C7E10"/>
    <w:rsid w:val="008D046C"/>
    <w:rsid w:val="008D2CA7"/>
    <w:rsid w:val="008D32B9"/>
    <w:rsid w:val="008D3ACF"/>
    <w:rsid w:val="008D433B"/>
    <w:rsid w:val="008D4A16"/>
    <w:rsid w:val="008D5BC1"/>
    <w:rsid w:val="008E28BB"/>
    <w:rsid w:val="008E5401"/>
    <w:rsid w:val="008E5425"/>
    <w:rsid w:val="008E566E"/>
    <w:rsid w:val="008E6934"/>
    <w:rsid w:val="008F0C23"/>
    <w:rsid w:val="008F210B"/>
    <w:rsid w:val="008F2190"/>
    <w:rsid w:val="008F7B86"/>
    <w:rsid w:val="0090161A"/>
    <w:rsid w:val="00901EB6"/>
    <w:rsid w:val="00902F54"/>
    <w:rsid w:val="0090364E"/>
    <w:rsid w:val="009041F8"/>
    <w:rsid w:val="00904C62"/>
    <w:rsid w:val="00905140"/>
    <w:rsid w:val="009053D4"/>
    <w:rsid w:val="00907E7D"/>
    <w:rsid w:val="0091187B"/>
    <w:rsid w:val="009124DF"/>
    <w:rsid w:val="00914E2D"/>
    <w:rsid w:val="009155D4"/>
    <w:rsid w:val="0091634A"/>
    <w:rsid w:val="00916620"/>
    <w:rsid w:val="00922BA8"/>
    <w:rsid w:val="009238B5"/>
    <w:rsid w:val="00924DAC"/>
    <w:rsid w:val="00925CD4"/>
    <w:rsid w:val="00927058"/>
    <w:rsid w:val="00930326"/>
    <w:rsid w:val="00932A2C"/>
    <w:rsid w:val="009343B9"/>
    <w:rsid w:val="00936F96"/>
    <w:rsid w:val="00942750"/>
    <w:rsid w:val="009450CE"/>
    <w:rsid w:val="009459BB"/>
    <w:rsid w:val="00947179"/>
    <w:rsid w:val="00947273"/>
    <w:rsid w:val="00950E86"/>
    <w:rsid w:val="0095164B"/>
    <w:rsid w:val="00954090"/>
    <w:rsid w:val="00955770"/>
    <w:rsid w:val="009573E7"/>
    <w:rsid w:val="00963E05"/>
    <w:rsid w:val="009647EA"/>
    <w:rsid w:val="00964A45"/>
    <w:rsid w:val="00966112"/>
    <w:rsid w:val="00967843"/>
    <w:rsid w:val="00967D54"/>
    <w:rsid w:val="00971028"/>
    <w:rsid w:val="00972AD4"/>
    <w:rsid w:val="00974DCE"/>
    <w:rsid w:val="00976C9D"/>
    <w:rsid w:val="009814C0"/>
    <w:rsid w:val="009820EB"/>
    <w:rsid w:val="00983480"/>
    <w:rsid w:val="0098391D"/>
    <w:rsid w:val="00985D5F"/>
    <w:rsid w:val="00990DB1"/>
    <w:rsid w:val="0099155C"/>
    <w:rsid w:val="0099178B"/>
    <w:rsid w:val="00993B84"/>
    <w:rsid w:val="00994C6A"/>
    <w:rsid w:val="00996483"/>
    <w:rsid w:val="00996F5A"/>
    <w:rsid w:val="00997E16"/>
    <w:rsid w:val="009A0FE2"/>
    <w:rsid w:val="009A2189"/>
    <w:rsid w:val="009A44A8"/>
    <w:rsid w:val="009B041A"/>
    <w:rsid w:val="009B39A4"/>
    <w:rsid w:val="009B6C94"/>
    <w:rsid w:val="009B7BE6"/>
    <w:rsid w:val="009C37C3"/>
    <w:rsid w:val="009C57CB"/>
    <w:rsid w:val="009C7C86"/>
    <w:rsid w:val="009D03C3"/>
    <w:rsid w:val="009D2FF7"/>
    <w:rsid w:val="009D4D2D"/>
    <w:rsid w:val="009D6B0A"/>
    <w:rsid w:val="009E00D3"/>
    <w:rsid w:val="009E0792"/>
    <w:rsid w:val="009E22BD"/>
    <w:rsid w:val="009E2628"/>
    <w:rsid w:val="009E4142"/>
    <w:rsid w:val="009E54D4"/>
    <w:rsid w:val="009E7884"/>
    <w:rsid w:val="009E788A"/>
    <w:rsid w:val="009F0288"/>
    <w:rsid w:val="009F0E08"/>
    <w:rsid w:val="009F35A1"/>
    <w:rsid w:val="009F5837"/>
    <w:rsid w:val="009F5A01"/>
    <w:rsid w:val="009F5CD6"/>
    <w:rsid w:val="00A00A91"/>
    <w:rsid w:val="00A00F11"/>
    <w:rsid w:val="00A01B07"/>
    <w:rsid w:val="00A01CA4"/>
    <w:rsid w:val="00A067D4"/>
    <w:rsid w:val="00A079AE"/>
    <w:rsid w:val="00A07EC0"/>
    <w:rsid w:val="00A120FC"/>
    <w:rsid w:val="00A15389"/>
    <w:rsid w:val="00A1763D"/>
    <w:rsid w:val="00A17CEC"/>
    <w:rsid w:val="00A20384"/>
    <w:rsid w:val="00A254BF"/>
    <w:rsid w:val="00A27EF0"/>
    <w:rsid w:val="00A379FC"/>
    <w:rsid w:val="00A402F1"/>
    <w:rsid w:val="00A42361"/>
    <w:rsid w:val="00A42CD3"/>
    <w:rsid w:val="00A44D3F"/>
    <w:rsid w:val="00A472A8"/>
    <w:rsid w:val="00A50B20"/>
    <w:rsid w:val="00A51390"/>
    <w:rsid w:val="00A5155B"/>
    <w:rsid w:val="00A52191"/>
    <w:rsid w:val="00A55E89"/>
    <w:rsid w:val="00A56AE6"/>
    <w:rsid w:val="00A56FF5"/>
    <w:rsid w:val="00A60D13"/>
    <w:rsid w:val="00A617EB"/>
    <w:rsid w:val="00A63D6D"/>
    <w:rsid w:val="00A7223D"/>
    <w:rsid w:val="00A72745"/>
    <w:rsid w:val="00A75FB0"/>
    <w:rsid w:val="00A7690A"/>
    <w:rsid w:val="00A76EFC"/>
    <w:rsid w:val="00A81D06"/>
    <w:rsid w:val="00A87D50"/>
    <w:rsid w:val="00A909D6"/>
    <w:rsid w:val="00A91010"/>
    <w:rsid w:val="00A9241E"/>
    <w:rsid w:val="00A92F14"/>
    <w:rsid w:val="00A94453"/>
    <w:rsid w:val="00A97F29"/>
    <w:rsid w:val="00AA5337"/>
    <w:rsid w:val="00AA53B6"/>
    <w:rsid w:val="00AA702E"/>
    <w:rsid w:val="00AA728C"/>
    <w:rsid w:val="00AA7D26"/>
    <w:rsid w:val="00AB0964"/>
    <w:rsid w:val="00AB273D"/>
    <w:rsid w:val="00AB3106"/>
    <w:rsid w:val="00AB5011"/>
    <w:rsid w:val="00AB6CA4"/>
    <w:rsid w:val="00AC09DB"/>
    <w:rsid w:val="00AC1893"/>
    <w:rsid w:val="00AC24CA"/>
    <w:rsid w:val="00AC2764"/>
    <w:rsid w:val="00AC4EA8"/>
    <w:rsid w:val="00AC5DEE"/>
    <w:rsid w:val="00AC65EE"/>
    <w:rsid w:val="00AC6690"/>
    <w:rsid w:val="00AC7368"/>
    <w:rsid w:val="00AD16B9"/>
    <w:rsid w:val="00AD41BC"/>
    <w:rsid w:val="00AD7DAD"/>
    <w:rsid w:val="00AE08C0"/>
    <w:rsid w:val="00AE2DF7"/>
    <w:rsid w:val="00AE377D"/>
    <w:rsid w:val="00AF0EBA"/>
    <w:rsid w:val="00AF178B"/>
    <w:rsid w:val="00AF2463"/>
    <w:rsid w:val="00AF293B"/>
    <w:rsid w:val="00AF3CA1"/>
    <w:rsid w:val="00AF6952"/>
    <w:rsid w:val="00AF7625"/>
    <w:rsid w:val="00B02C8A"/>
    <w:rsid w:val="00B05470"/>
    <w:rsid w:val="00B06334"/>
    <w:rsid w:val="00B13E26"/>
    <w:rsid w:val="00B1546A"/>
    <w:rsid w:val="00B15C38"/>
    <w:rsid w:val="00B1763A"/>
    <w:rsid w:val="00B17FBD"/>
    <w:rsid w:val="00B21719"/>
    <w:rsid w:val="00B23276"/>
    <w:rsid w:val="00B24AB7"/>
    <w:rsid w:val="00B26140"/>
    <w:rsid w:val="00B266FB"/>
    <w:rsid w:val="00B315A6"/>
    <w:rsid w:val="00B31813"/>
    <w:rsid w:val="00B32B55"/>
    <w:rsid w:val="00B32BE6"/>
    <w:rsid w:val="00B33365"/>
    <w:rsid w:val="00B3570B"/>
    <w:rsid w:val="00B36189"/>
    <w:rsid w:val="00B43489"/>
    <w:rsid w:val="00B45D5E"/>
    <w:rsid w:val="00B47043"/>
    <w:rsid w:val="00B501D9"/>
    <w:rsid w:val="00B51912"/>
    <w:rsid w:val="00B53A68"/>
    <w:rsid w:val="00B53D7C"/>
    <w:rsid w:val="00B5707E"/>
    <w:rsid w:val="00B57B36"/>
    <w:rsid w:val="00B57D4C"/>
    <w:rsid w:val="00B57E6F"/>
    <w:rsid w:val="00B60F2C"/>
    <w:rsid w:val="00B61B42"/>
    <w:rsid w:val="00B636FB"/>
    <w:rsid w:val="00B638E7"/>
    <w:rsid w:val="00B67907"/>
    <w:rsid w:val="00B67CAB"/>
    <w:rsid w:val="00B714AD"/>
    <w:rsid w:val="00B73B4A"/>
    <w:rsid w:val="00B81FCC"/>
    <w:rsid w:val="00B83F2C"/>
    <w:rsid w:val="00B847D0"/>
    <w:rsid w:val="00B8686D"/>
    <w:rsid w:val="00B86D17"/>
    <w:rsid w:val="00B86DA5"/>
    <w:rsid w:val="00B87E66"/>
    <w:rsid w:val="00B900A7"/>
    <w:rsid w:val="00B92DE7"/>
    <w:rsid w:val="00B93F69"/>
    <w:rsid w:val="00B953A8"/>
    <w:rsid w:val="00B968F0"/>
    <w:rsid w:val="00B96B07"/>
    <w:rsid w:val="00B97C03"/>
    <w:rsid w:val="00BA2895"/>
    <w:rsid w:val="00BA496D"/>
    <w:rsid w:val="00BA517B"/>
    <w:rsid w:val="00BA51F7"/>
    <w:rsid w:val="00BB012F"/>
    <w:rsid w:val="00BB1DDC"/>
    <w:rsid w:val="00BB6101"/>
    <w:rsid w:val="00BB7961"/>
    <w:rsid w:val="00BC1356"/>
    <w:rsid w:val="00BC1DBF"/>
    <w:rsid w:val="00BC1F10"/>
    <w:rsid w:val="00BC2DE7"/>
    <w:rsid w:val="00BC30C9"/>
    <w:rsid w:val="00BC39F6"/>
    <w:rsid w:val="00BC41B6"/>
    <w:rsid w:val="00BD044D"/>
    <w:rsid w:val="00BD077D"/>
    <w:rsid w:val="00BD2CE6"/>
    <w:rsid w:val="00BD4E66"/>
    <w:rsid w:val="00BE17B7"/>
    <w:rsid w:val="00BE1E5E"/>
    <w:rsid w:val="00BE3E58"/>
    <w:rsid w:val="00BE41F3"/>
    <w:rsid w:val="00BE44E0"/>
    <w:rsid w:val="00BE47AA"/>
    <w:rsid w:val="00BE553B"/>
    <w:rsid w:val="00BF13CE"/>
    <w:rsid w:val="00BF4F4D"/>
    <w:rsid w:val="00BF4FA0"/>
    <w:rsid w:val="00BF5DC9"/>
    <w:rsid w:val="00BF63D5"/>
    <w:rsid w:val="00C01616"/>
    <w:rsid w:val="00C0162B"/>
    <w:rsid w:val="00C048A9"/>
    <w:rsid w:val="00C0623F"/>
    <w:rsid w:val="00C068ED"/>
    <w:rsid w:val="00C1069D"/>
    <w:rsid w:val="00C14699"/>
    <w:rsid w:val="00C161A3"/>
    <w:rsid w:val="00C17E0B"/>
    <w:rsid w:val="00C21963"/>
    <w:rsid w:val="00C22E0C"/>
    <w:rsid w:val="00C25DF8"/>
    <w:rsid w:val="00C25FBA"/>
    <w:rsid w:val="00C30B6C"/>
    <w:rsid w:val="00C31166"/>
    <w:rsid w:val="00C32C7D"/>
    <w:rsid w:val="00C339DF"/>
    <w:rsid w:val="00C345B1"/>
    <w:rsid w:val="00C37367"/>
    <w:rsid w:val="00C37C8C"/>
    <w:rsid w:val="00C40142"/>
    <w:rsid w:val="00C40433"/>
    <w:rsid w:val="00C4153C"/>
    <w:rsid w:val="00C41564"/>
    <w:rsid w:val="00C41EFC"/>
    <w:rsid w:val="00C4212C"/>
    <w:rsid w:val="00C426BB"/>
    <w:rsid w:val="00C4353A"/>
    <w:rsid w:val="00C52C3C"/>
    <w:rsid w:val="00C57182"/>
    <w:rsid w:val="00C57863"/>
    <w:rsid w:val="00C57C75"/>
    <w:rsid w:val="00C613D3"/>
    <w:rsid w:val="00C62E18"/>
    <w:rsid w:val="00C640AF"/>
    <w:rsid w:val="00C640DE"/>
    <w:rsid w:val="00C64323"/>
    <w:rsid w:val="00C655FD"/>
    <w:rsid w:val="00C7138D"/>
    <w:rsid w:val="00C71842"/>
    <w:rsid w:val="00C723CF"/>
    <w:rsid w:val="00C73AD2"/>
    <w:rsid w:val="00C744E7"/>
    <w:rsid w:val="00C75407"/>
    <w:rsid w:val="00C81E7D"/>
    <w:rsid w:val="00C83BF9"/>
    <w:rsid w:val="00C841C6"/>
    <w:rsid w:val="00C85939"/>
    <w:rsid w:val="00C86FCF"/>
    <w:rsid w:val="00C870A8"/>
    <w:rsid w:val="00C87E9B"/>
    <w:rsid w:val="00C91980"/>
    <w:rsid w:val="00C94434"/>
    <w:rsid w:val="00C94E64"/>
    <w:rsid w:val="00CA0D75"/>
    <w:rsid w:val="00CA1C95"/>
    <w:rsid w:val="00CA32BA"/>
    <w:rsid w:val="00CA5A9C"/>
    <w:rsid w:val="00CC01BB"/>
    <w:rsid w:val="00CC4C20"/>
    <w:rsid w:val="00CC7B60"/>
    <w:rsid w:val="00CD0269"/>
    <w:rsid w:val="00CD2297"/>
    <w:rsid w:val="00CD3517"/>
    <w:rsid w:val="00CD5FE2"/>
    <w:rsid w:val="00CD677A"/>
    <w:rsid w:val="00CE01B9"/>
    <w:rsid w:val="00CE49EA"/>
    <w:rsid w:val="00CE515B"/>
    <w:rsid w:val="00CE7C68"/>
    <w:rsid w:val="00CF44B2"/>
    <w:rsid w:val="00CF61B0"/>
    <w:rsid w:val="00CF6B38"/>
    <w:rsid w:val="00CF7809"/>
    <w:rsid w:val="00D00F45"/>
    <w:rsid w:val="00D02B4C"/>
    <w:rsid w:val="00D040C4"/>
    <w:rsid w:val="00D05414"/>
    <w:rsid w:val="00D056E0"/>
    <w:rsid w:val="00D167D0"/>
    <w:rsid w:val="00D16961"/>
    <w:rsid w:val="00D20AD1"/>
    <w:rsid w:val="00D20AF4"/>
    <w:rsid w:val="00D2119B"/>
    <w:rsid w:val="00D23BD6"/>
    <w:rsid w:val="00D2582C"/>
    <w:rsid w:val="00D2691E"/>
    <w:rsid w:val="00D30E66"/>
    <w:rsid w:val="00D34889"/>
    <w:rsid w:val="00D36059"/>
    <w:rsid w:val="00D36468"/>
    <w:rsid w:val="00D379C5"/>
    <w:rsid w:val="00D40274"/>
    <w:rsid w:val="00D43337"/>
    <w:rsid w:val="00D43B92"/>
    <w:rsid w:val="00D46B7E"/>
    <w:rsid w:val="00D46D32"/>
    <w:rsid w:val="00D471C8"/>
    <w:rsid w:val="00D47A0C"/>
    <w:rsid w:val="00D501C5"/>
    <w:rsid w:val="00D54CBF"/>
    <w:rsid w:val="00D54FB8"/>
    <w:rsid w:val="00D57C84"/>
    <w:rsid w:val="00D6057D"/>
    <w:rsid w:val="00D60906"/>
    <w:rsid w:val="00D619FC"/>
    <w:rsid w:val="00D61FCD"/>
    <w:rsid w:val="00D62F50"/>
    <w:rsid w:val="00D638C4"/>
    <w:rsid w:val="00D65E34"/>
    <w:rsid w:val="00D70B7D"/>
    <w:rsid w:val="00D70CE2"/>
    <w:rsid w:val="00D713D0"/>
    <w:rsid w:val="00D71640"/>
    <w:rsid w:val="00D73A44"/>
    <w:rsid w:val="00D73FD9"/>
    <w:rsid w:val="00D751A8"/>
    <w:rsid w:val="00D777A5"/>
    <w:rsid w:val="00D80068"/>
    <w:rsid w:val="00D8053D"/>
    <w:rsid w:val="00D8180D"/>
    <w:rsid w:val="00D836C5"/>
    <w:rsid w:val="00D8410E"/>
    <w:rsid w:val="00D84576"/>
    <w:rsid w:val="00D85AFC"/>
    <w:rsid w:val="00D9238E"/>
    <w:rsid w:val="00D9288A"/>
    <w:rsid w:val="00D93158"/>
    <w:rsid w:val="00D9524E"/>
    <w:rsid w:val="00D9650F"/>
    <w:rsid w:val="00D9756B"/>
    <w:rsid w:val="00DA09A1"/>
    <w:rsid w:val="00DA1399"/>
    <w:rsid w:val="00DA1CF8"/>
    <w:rsid w:val="00DA21A7"/>
    <w:rsid w:val="00DA24C6"/>
    <w:rsid w:val="00DA36B0"/>
    <w:rsid w:val="00DA37E5"/>
    <w:rsid w:val="00DA4D7B"/>
    <w:rsid w:val="00DA5259"/>
    <w:rsid w:val="00DA539D"/>
    <w:rsid w:val="00DA6869"/>
    <w:rsid w:val="00DA6C47"/>
    <w:rsid w:val="00DA6D69"/>
    <w:rsid w:val="00DA71B5"/>
    <w:rsid w:val="00DB33AC"/>
    <w:rsid w:val="00DB3E87"/>
    <w:rsid w:val="00DB5533"/>
    <w:rsid w:val="00DB6458"/>
    <w:rsid w:val="00DB6AB8"/>
    <w:rsid w:val="00DC0A05"/>
    <w:rsid w:val="00DC13E2"/>
    <w:rsid w:val="00DC21C8"/>
    <w:rsid w:val="00DC2840"/>
    <w:rsid w:val="00DC40E7"/>
    <w:rsid w:val="00DC73EE"/>
    <w:rsid w:val="00DC79E8"/>
    <w:rsid w:val="00DD271C"/>
    <w:rsid w:val="00DE264A"/>
    <w:rsid w:val="00DF19FB"/>
    <w:rsid w:val="00DF1AF2"/>
    <w:rsid w:val="00DF1CE8"/>
    <w:rsid w:val="00DF480A"/>
    <w:rsid w:val="00DF5072"/>
    <w:rsid w:val="00DF64B0"/>
    <w:rsid w:val="00DF7DFB"/>
    <w:rsid w:val="00E00A6C"/>
    <w:rsid w:val="00E016D1"/>
    <w:rsid w:val="00E01DF4"/>
    <w:rsid w:val="00E02233"/>
    <w:rsid w:val="00E02D18"/>
    <w:rsid w:val="00E030EA"/>
    <w:rsid w:val="00E041E7"/>
    <w:rsid w:val="00E04C7F"/>
    <w:rsid w:val="00E058CF"/>
    <w:rsid w:val="00E15F90"/>
    <w:rsid w:val="00E2164A"/>
    <w:rsid w:val="00E21845"/>
    <w:rsid w:val="00E21E12"/>
    <w:rsid w:val="00E23CA1"/>
    <w:rsid w:val="00E24248"/>
    <w:rsid w:val="00E409A8"/>
    <w:rsid w:val="00E41B6A"/>
    <w:rsid w:val="00E42B72"/>
    <w:rsid w:val="00E43688"/>
    <w:rsid w:val="00E443E0"/>
    <w:rsid w:val="00E44888"/>
    <w:rsid w:val="00E50C12"/>
    <w:rsid w:val="00E51A74"/>
    <w:rsid w:val="00E52FEE"/>
    <w:rsid w:val="00E5465D"/>
    <w:rsid w:val="00E558E7"/>
    <w:rsid w:val="00E55DF1"/>
    <w:rsid w:val="00E600C5"/>
    <w:rsid w:val="00E60AE1"/>
    <w:rsid w:val="00E60BA6"/>
    <w:rsid w:val="00E61826"/>
    <w:rsid w:val="00E6297E"/>
    <w:rsid w:val="00E6416F"/>
    <w:rsid w:val="00E64D6F"/>
    <w:rsid w:val="00E65B91"/>
    <w:rsid w:val="00E65BCB"/>
    <w:rsid w:val="00E71F29"/>
    <w:rsid w:val="00E7209D"/>
    <w:rsid w:val="00E72EAD"/>
    <w:rsid w:val="00E74F51"/>
    <w:rsid w:val="00E77223"/>
    <w:rsid w:val="00E82953"/>
    <w:rsid w:val="00E8528B"/>
    <w:rsid w:val="00E85B94"/>
    <w:rsid w:val="00E95C66"/>
    <w:rsid w:val="00E978D0"/>
    <w:rsid w:val="00EA00EE"/>
    <w:rsid w:val="00EA4613"/>
    <w:rsid w:val="00EA7E1A"/>
    <w:rsid w:val="00EA7F91"/>
    <w:rsid w:val="00EB058B"/>
    <w:rsid w:val="00EB1523"/>
    <w:rsid w:val="00EB199E"/>
    <w:rsid w:val="00EB5556"/>
    <w:rsid w:val="00EB66A4"/>
    <w:rsid w:val="00EB76D7"/>
    <w:rsid w:val="00EB7F36"/>
    <w:rsid w:val="00EC0E49"/>
    <w:rsid w:val="00EC101F"/>
    <w:rsid w:val="00EC1D9F"/>
    <w:rsid w:val="00EC32E2"/>
    <w:rsid w:val="00EC64BD"/>
    <w:rsid w:val="00EC666F"/>
    <w:rsid w:val="00ED0693"/>
    <w:rsid w:val="00ED2F8D"/>
    <w:rsid w:val="00ED59A4"/>
    <w:rsid w:val="00ED78AC"/>
    <w:rsid w:val="00EE0131"/>
    <w:rsid w:val="00EE17B0"/>
    <w:rsid w:val="00EE4081"/>
    <w:rsid w:val="00EE4E6A"/>
    <w:rsid w:val="00EE5C03"/>
    <w:rsid w:val="00EE6EDC"/>
    <w:rsid w:val="00EF06D9"/>
    <w:rsid w:val="00EF2861"/>
    <w:rsid w:val="00EF3449"/>
    <w:rsid w:val="00EF4AE6"/>
    <w:rsid w:val="00F02426"/>
    <w:rsid w:val="00F02EAE"/>
    <w:rsid w:val="00F1138F"/>
    <w:rsid w:val="00F11A76"/>
    <w:rsid w:val="00F161E6"/>
    <w:rsid w:val="00F2544D"/>
    <w:rsid w:val="00F26FAA"/>
    <w:rsid w:val="00F2771C"/>
    <w:rsid w:val="00F277D0"/>
    <w:rsid w:val="00F3049E"/>
    <w:rsid w:val="00F30C64"/>
    <w:rsid w:val="00F316D9"/>
    <w:rsid w:val="00F31E1E"/>
    <w:rsid w:val="00F31E5B"/>
    <w:rsid w:val="00F32BA2"/>
    <w:rsid w:val="00F32CDB"/>
    <w:rsid w:val="00F32DEB"/>
    <w:rsid w:val="00F41C1C"/>
    <w:rsid w:val="00F41EE4"/>
    <w:rsid w:val="00F42EB2"/>
    <w:rsid w:val="00F444E3"/>
    <w:rsid w:val="00F44F58"/>
    <w:rsid w:val="00F45FD2"/>
    <w:rsid w:val="00F47FBD"/>
    <w:rsid w:val="00F51769"/>
    <w:rsid w:val="00F526E8"/>
    <w:rsid w:val="00F53B4D"/>
    <w:rsid w:val="00F565FE"/>
    <w:rsid w:val="00F56987"/>
    <w:rsid w:val="00F61017"/>
    <w:rsid w:val="00F61169"/>
    <w:rsid w:val="00F61A4D"/>
    <w:rsid w:val="00F63A70"/>
    <w:rsid w:val="00F63C43"/>
    <w:rsid w:val="00F63D8C"/>
    <w:rsid w:val="00F65C75"/>
    <w:rsid w:val="00F65D7E"/>
    <w:rsid w:val="00F667E4"/>
    <w:rsid w:val="00F67684"/>
    <w:rsid w:val="00F706AA"/>
    <w:rsid w:val="00F75095"/>
    <w:rsid w:val="00F7534E"/>
    <w:rsid w:val="00F802B6"/>
    <w:rsid w:val="00F80D04"/>
    <w:rsid w:val="00F86FD6"/>
    <w:rsid w:val="00F87910"/>
    <w:rsid w:val="00F912B8"/>
    <w:rsid w:val="00F91FFE"/>
    <w:rsid w:val="00F92FA8"/>
    <w:rsid w:val="00F93EDF"/>
    <w:rsid w:val="00F9650F"/>
    <w:rsid w:val="00F96982"/>
    <w:rsid w:val="00FA0175"/>
    <w:rsid w:val="00FA1802"/>
    <w:rsid w:val="00FA182A"/>
    <w:rsid w:val="00FA21D0"/>
    <w:rsid w:val="00FA5F5F"/>
    <w:rsid w:val="00FA751C"/>
    <w:rsid w:val="00FB1B6C"/>
    <w:rsid w:val="00FB301E"/>
    <w:rsid w:val="00FB48EC"/>
    <w:rsid w:val="00FB5939"/>
    <w:rsid w:val="00FB730C"/>
    <w:rsid w:val="00FC2695"/>
    <w:rsid w:val="00FC274E"/>
    <w:rsid w:val="00FC3E03"/>
    <w:rsid w:val="00FC3FC1"/>
    <w:rsid w:val="00FC4F1A"/>
    <w:rsid w:val="00FD181C"/>
    <w:rsid w:val="00FD2F91"/>
    <w:rsid w:val="00FD5599"/>
    <w:rsid w:val="00FD56D7"/>
    <w:rsid w:val="00FD673C"/>
    <w:rsid w:val="00FD771B"/>
    <w:rsid w:val="00FE3072"/>
    <w:rsid w:val="00FE4361"/>
    <w:rsid w:val="00FE5DF3"/>
    <w:rsid w:val="00FE6D22"/>
    <w:rsid w:val="00FE6F96"/>
    <w:rsid w:val="00FF1CEF"/>
    <w:rsid w:val="00FF2CDD"/>
    <w:rsid w:val="766008D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3CD87BAE-1686-43A2-9EF4-FFAAE9C6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FB48EC"/>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9D6B0A"/>
    <w:rPr>
      <w:color w:val="666666"/>
    </w:rPr>
  </w:style>
  <w:style w:type="character" w:styleId="UnresolvedMention">
    <w:name w:val="Unresolved Mention"/>
    <w:basedOn w:val="DefaultParagraphFont"/>
    <w:uiPriority w:val="99"/>
    <w:semiHidden/>
    <w:unhideWhenUsed/>
    <w:rsid w:val="0071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1504">
      <w:bodyDiv w:val="1"/>
      <w:marLeft w:val="0"/>
      <w:marRight w:val="0"/>
      <w:marTop w:val="0"/>
      <w:marBottom w:val="0"/>
      <w:divBdr>
        <w:top w:val="none" w:sz="0" w:space="0" w:color="auto"/>
        <w:left w:val="none" w:sz="0" w:space="0" w:color="auto"/>
        <w:bottom w:val="none" w:sz="0" w:space="0" w:color="auto"/>
        <w:right w:val="none" w:sz="0" w:space="0" w:color="auto"/>
      </w:divBdr>
    </w:div>
    <w:div w:id="151723328">
      <w:bodyDiv w:val="1"/>
      <w:marLeft w:val="0"/>
      <w:marRight w:val="0"/>
      <w:marTop w:val="0"/>
      <w:marBottom w:val="0"/>
      <w:divBdr>
        <w:top w:val="none" w:sz="0" w:space="0" w:color="auto"/>
        <w:left w:val="none" w:sz="0" w:space="0" w:color="auto"/>
        <w:bottom w:val="none" w:sz="0" w:space="0" w:color="auto"/>
        <w:right w:val="none" w:sz="0" w:space="0" w:color="auto"/>
      </w:divBdr>
    </w:div>
    <w:div w:id="201020645">
      <w:bodyDiv w:val="1"/>
      <w:marLeft w:val="0"/>
      <w:marRight w:val="0"/>
      <w:marTop w:val="0"/>
      <w:marBottom w:val="0"/>
      <w:divBdr>
        <w:top w:val="none" w:sz="0" w:space="0" w:color="auto"/>
        <w:left w:val="none" w:sz="0" w:space="0" w:color="auto"/>
        <w:bottom w:val="none" w:sz="0" w:space="0" w:color="auto"/>
        <w:right w:val="none" w:sz="0" w:space="0" w:color="auto"/>
      </w:divBdr>
    </w:div>
    <w:div w:id="214657281">
      <w:bodyDiv w:val="1"/>
      <w:marLeft w:val="0"/>
      <w:marRight w:val="0"/>
      <w:marTop w:val="0"/>
      <w:marBottom w:val="0"/>
      <w:divBdr>
        <w:top w:val="none" w:sz="0" w:space="0" w:color="auto"/>
        <w:left w:val="none" w:sz="0" w:space="0" w:color="auto"/>
        <w:bottom w:val="none" w:sz="0" w:space="0" w:color="auto"/>
        <w:right w:val="none" w:sz="0" w:space="0" w:color="auto"/>
      </w:divBdr>
    </w:div>
    <w:div w:id="255328941">
      <w:bodyDiv w:val="1"/>
      <w:marLeft w:val="0"/>
      <w:marRight w:val="0"/>
      <w:marTop w:val="0"/>
      <w:marBottom w:val="0"/>
      <w:divBdr>
        <w:top w:val="none" w:sz="0" w:space="0" w:color="auto"/>
        <w:left w:val="none" w:sz="0" w:space="0" w:color="auto"/>
        <w:bottom w:val="none" w:sz="0" w:space="0" w:color="auto"/>
        <w:right w:val="none" w:sz="0" w:space="0" w:color="auto"/>
      </w:divBdr>
    </w:div>
    <w:div w:id="255525796">
      <w:bodyDiv w:val="1"/>
      <w:marLeft w:val="0"/>
      <w:marRight w:val="0"/>
      <w:marTop w:val="0"/>
      <w:marBottom w:val="0"/>
      <w:divBdr>
        <w:top w:val="none" w:sz="0" w:space="0" w:color="auto"/>
        <w:left w:val="none" w:sz="0" w:space="0" w:color="auto"/>
        <w:bottom w:val="none" w:sz="0" w:space="0" w:color="auto"/>
        <w:right w:val="none" w:sz="0" w:space="0" w:color="auto"/>
      </w:divBdr>
      <w:divsChild>
        <w:div w:id="1135221989">
          <w:marLeft w:val="0"/>
          <w:marRight w:val="0"/>
          <w:marTop w:val="0"/>
          <w:marBottom w:val="0"/>
          <w:divBdr>
            <w:top w:val="none" w:sz="0" w:space="0" w:color="auto"/>
            <w:left w:val="none" w:sz="0" w:space="0" w:color="auto"/>
            <w:bottom w:val="none" w:sz="0" w:space="0" w:color="auto"/>
            <w:right w:val="none" w:sz="0" w:space="0" w:color="auto"/>
          </w:divBdr>
        </w:div>
        <w:div w:id="1344671847">
          <w:marLeft w:val="0"/>
          <w:marRight w:val="0"/>
          <w:marTop w:val="0"/>
          <w:marBottom w:val="0"/>
          <w:divBdr>
            <w:top w:val="none" w:sz="0" w:space="0" w:color="auto"/>
            <w:left w:val="none" w:sz="0" w:space="0" w:color="auto"/>
            <w:bottom w:val="none" w:sz="0" w:space="0" w:color="auto"/>
            <w:right w:val="none" w:sz="0" w:space="0" w:color="auto"/>
          </w:divBdr>
        </w:div>
      </w:divsChild>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42048788">
      <w:bodyDiv w:val="1"/>
      <w:marLeft w:val="0"/>
      <w:marRight w:val="0"/>
      <w:marTop w:val="0"/>
      <w:marBottom w:val="0"/>
      <w:divBdr>
        <w:top w:val="none" w:sz="0" w:space="0" w:color="auto"/>
        <w:left w:val="none" w:sz="0" w:space="0" w:color="auto"/>
        <w:bottom w:val="none" w:sz="0" w:space="0" w:color="auto"/>
        <w:right w:val="none" w:sz="0" w:space="0" w:color="auto"/>
      </w:divBdr>
      <w:divsChild>
        <w:div w:id="632708623">
          <w:marLeft w:val="0"/>
          <w:marRight w:val="0"/>
          <w:marTop w:val="0"/>
          <w:marBottom w:val="0"/>
          <w:divBdr>
            <w:top w:val="none" w:sz="0" w:space="0" w:color="auto"/>
            <w:left w:val="none" w:sz="0" w:space="0" w:color="auto"/>
            <w:bottom w:val="none" w:sz="0" w:space="0" w:color="auto"/>
            <w:right w:val="none" w:sz="0" w:space="0" w:color="auto"/>
          </w:divBdr>
        </w:div>
        <w:div w:id="1429734978">
          <w:marLeft w:val="0"/>
          <w:marRight w:val="0"/>
          <w:marTop w:val="0"/>
          <w:marBottom w:val="0"/>
          <w:divBdr>
            <w:top w:val="none" w:sz="0" w:space="0" w:color="auto"/>
            <w:left w:val="none" w:sz="0" w:space="0" w:color="auto"/>
            <w:bottom w:val="none" w:sz="0" w:space="0" w:color="auto"/>
            <w:right w:val="none" w:sz="0" w:space="0" w:color="auto"/>
          </w:divBdr>
        </w:div>
        <w:div w:id="1526139382">
          <w:marLeft w:val="0"/>
          <w:marRight w:val="0"/>
          <w:marTop w:val="0"/>
          <w:marBottom w:val="0"/>
          <w:divBdr>
            <w:top w:val="none" w:sz="0" w:space="0" w:color="auto"/>
            <w:left w:val="none" w:sz="0" w:space="0" w:color="auto"/>
            <w:bottom w:val="none" w:sz="0" w:space="0" w:color="auto"/>
            <w:right w:val="none" w:sz="0" w:space="0" w:color="auto"/>
          </w:divBdr>
        </w:div>
        <w:div w:id="1695111103">
          <w:marLeft w:val="0"/>
          <w:marRight w:val="0"/>
          <w:marTop w:val="0"/>
          <w:marBottom w:val="0"/>
          <w:divBdr>
            <w:top w:val="none" w:sz="0" w:space="0" w:color="auto"/>
            <w:left w:val="none" w:sz="0" w:space="0" w:color="auto"/>
            <w:bottom w:val="none" w:sz="0" w:space="0" w:color="auto"/>
            <w:right w:val="none" w:sz="0" w:space="0" w:color="auto"/>
          </w:divBdr>
          <w:divsChild>
            <w:div w:id="332757657">
              <w:marLeft w:val="-75"/>
              <w:marRight w:val="0"/>
              <w:marTop w:val="30"/>
              <w:marBottom w:val="30"/>
              <w:divBdr>
                <w:top w:val="none" w:sz="0" w:space="0" w:color="auto"/>
                <w:left w:val="none" w:sz="0" w:space="0" w:color="auto"/>
                <w:bottom w:val="none" w:sz="0" w:space="0" w:color="auto"/>
                <w:right w:val="none" w:sz="0" w:space="0" w:color="auto"/>
              </w:divBdr>
              <w:divsChild>
                <w:div w:id="172962807">
                  <w:marLeft w:val="0"/>
                  <w:marRight w:val="0"/>
                  <w:marTop w:val="0"/>
                  <w:marBottom w:val="0"/>
                  <w:divBdr>
                    <w:top w:val="none" w:sz="0" w:space="0" w:color="auto"/>
                    <w:left w:val="none" w:sz="0" w:space="0" w:color="auto"/>
                    <w:bottom w:val="none" w:sz="0" w:space="0" w:color="auto"/>
                    <w:right w:val="none" w:sz="0" w:space="0" w:color="auto"/>
                  </w:divBdr>
                  <w:divsChild>
                    <w:div w:id="613710873">
                      <w:marLeft w:val="0"/>
                      <w:marRight w:val="0"/>
                      <w:marTop w:val="0"/>
                      <w:marBottom w:val="0"/>
                      <w:divBdr>
                        <w:top w:val="none" w:sz="0" w:space="0" w:color="auto"/>
                        <w:left w:val="none" w:sz="0" w:space="0" w:color="auto"/>
                        <w:bottom w:val="none" w:sz="0" w:space="0" w:color="auto"/>
                        <w:right w:val="none" w:sz="0" w:space="0" w:color="auto"/>
                      </w:divBdr>
                    </w:div>
                  </w:divsChild>
                </w:div>
                <w:div w:id="179390181">
                  <w:marLeft w:val="0"/>
                  <w:marRight w:val="0"/>
                  <w:marTop w:val="0"/>
                  <w:marBottom w:val="0"/>
                  <w:divBdr>
                    <w:top w:val="none" w:sz="0" w:space="0" w:color="auto"/>
                    <w:left w:val="none" w:sz="0" w:space="0" w:color="auto"/>
                    <w:bottom w:val="none" w:sz="0" w:space="0" w:color="auto"/>
                    <w:right w:val="none" w:sz="0" w:space="0" w:color="auto"/>
                  </w:divBdr>
                  <w:divsChild>
                    <w:div w:id="626594521">
                      <w:marLeft w:val="0"/>
                      <w:marRight w:val="0"/>
                      <w:marTop w:val="0"/>
                      <w:marBottom w:val="0"/>
                      <w:divBdr>
                        <w:top w:val="none" w:sz="0" w:space="0" w:color="auto"/>
                        <w:left w:val="none" w:sz="0" w:space="0" w:color="auto"/>
                        <w:bottom w:val="none" w:sz="0" w:space="0" w:color="auto"/>
                        <w:right w:val="none" w:sz="0" w:space="0" w:color="auto"/>
                      </w:divBdr>
                    </w:div>
                  </w:divsChild>
                </w:div>
                <w:div w:id="334766009">
                  <w:marLeft w:val="0"/>
                  <w:marRight w:val="0"/>
                  <w:marTop w:val="0"/>
                  <w:marBottom w:val="0"/>
                  <w:divBdr>
                    <w:top w:val="none" w:sz="0" w:space="0" w:color="auto"/>
                    <w:left w:val="none" w:sz="0" w:space="0" w:color="auto"/>
                    <w:bottom w:val="none" w:sz="0" w:space="0" w:color="auto"/>
                    <w:right w:val="none" w:sz="0" w:space="0" w:color="auto"/>
                  </w:divBdr>
                  <w:divsChild>
                    <w:div w:id="293561104">
                      <w:marLeft w:val="0"/>
                      <w:marRight w:val="0"/>
                      <w:marTop w:val="0"/>
                      <w:marBottom w:val="0"/>
                      <w:divBdr>
                        <w:top w:val="none" w:sz="0" w:space="0" w:color="auto"/>
                        <w:left w:val="none" w:sz="0" w:space="0" w:color="auto"/>
                        <w:bottom w:val="none" w:sz="0" w:space="0" w:color="auto"/>
                        <w:right w:val="none" w:sz="0" w:space="0" w:color="auto"/>
                      </w:divBdr>
                    </w:div>
                  </w:divsChild>
                </w:div>
                <w:div w:id="366877447">
                  <w:marLeft w:val="0"/>
                  <w:marRight w:val="0"/>
                  <w:marTop w:val="0"/>
                  <w:marBottom w:val="0"/>
                  <w:divBdr>
                    <w:top w:val="none" w:sz="0" w:space="0" w:color="auto"/>
                    <w:left w:val="none" w:sz="0" w:space="0" w:color="auto"/>
                    <w:bottom w:val="none" w:sz="0" w:space="0" w:color="auto"/>
                    <w:right w:val="none" w:sz="0" w:space="0" w:color="auto"/>
                  </w:divBdr>
                  <w:divsChild>
                    <w:div w:id="1415661313">
                      <w:marLeft w:val="0"/>
                      <w:marRight w:val="0"/>
                      <w:marTop w:val="0"/>
                      <w:marBottom w:val="0"/>
                      <w:divBdr>
                        <w:top w:val="none" w:sz="0" w:space="0" w:color="auto"/>
                        <w:left w:val="none" w:sz="0" w:space="0" w:color="auto"/>
                        <w:bottom w:val="none" w:sz="0" w:space="0" w:color="auto"/>
                        <w:right w:val="none" w:sz="0" w:space="0" w:color="auto"/>
                      </w:divBdr>
                    </w:div>
                  </w:divsChild>
                </w:div>
                <w:div w:id="368339519">
                  <w:marLeft w:val="0"/>
                  <w:marRight w:val="0"/>
                  <w:marTop w:val="0"/>
                  <w:marBottom w:val="0"/>
                  <w:divBdr>
                    <w:top w:val="none" w:sz="0" w:space="0" w:color="auto"/>
                    <w:left w:val="none" w:sz="0" w:space="0" w:color="auto"/>
                    <w:bottom w:val="none" w:sz="0" w:space="0" w:color="auto"/>
                    <w:right w:val="none" w:sz="0" w:space="0" w:color="auto"/>
                  </w:divBdr>
                  <w:divsChild>
                    <w:div w:id="1693188303">
                      <w:marLeft w:val="0"/>
                      <w:marRight w:val="0"/>
                      <w:marTop w:val="0"/>
                      <w:marBottom w:val="0"/>
                      <w:divBdr>
                        <w:top w:val="none" w:sz="0" w:space="0" w:color="auto"/>
                        <w:left w:val="none" w:sz="0" w:space="0" w:color="auto"/>
                        <w:bottom w:val="none" w:sz="0" w:space="0" w:color="auto"/>
                        <w:right w:val="none" w:sz="0" w:space="0" w:color="auto"/>
                      </w:divBdr>
                    </w:div>
                  </w:divsChild>
                </w:div>
                <w:div w:id="408237108">
                  <w:marLeft w:val="0"/>
                  <w:marRight w:val="0"/>
                  <w:marTop w:val="0"/>
                  <w:marBottom w:val="0"/>
                  <w:divBdr>
                    <w:top w:val="none" w:sz="0" w:space="0" w:color="auto"/>
                    <w:left w:val="none" w:sz="0" w:space="0" w:color="auto"/>
                    <w:bottom w:val="none" w:sz="0" w:space="0" w:color="auto"/>
                    <w:right w:val="none" w:sz="0" w:space="0" w:color="auto"/>
                  </w:divBdr>
                  <w:divsChild>
                    <w:div w:id="2038004462">
                      <w:marLeft w:val="0"/>
                      <w:marRight w:val="0"/>
                      <w:marTop w:val="0"/>
                      <w:marBottom w:val="0"/>
                      <w:divBdr>
                        <w:top w:val="none" w:sz="0" w:space="0" w:color="auto"/>
                        <w:left w:val="none" w:sz="0" w:space="0" w:color="auto"/>
                        <w:bottom w:val="none" w:sz="0" w:space="0" w:color="auto"/>
                        <w:right w:val="none" w:sz="0" w:space="0" w:color="auto"/>
                      </w:divBdr>
                    </w:div>
                  </w:divsChild>
                </w:div>
                <w:div w:id="729766894">
                  <w:marLeft w:val="0"/>
                  <w:marRight w:val="0"/>
                  <w:marTop w:val="0"/>
                  <w:marBottom w:val="0"/>
                  <w:divBdr>
                    <w:top w:val="none" w:sz="0" w:space="0" w:color="auto"/>
                    <w:left w:val="none" w:sz="0" w:space="0" w:color="auto"/>
                    <w:bottom w:val="none" w:sz="0" w:space="0" w:color="auto"/>
                    <w:right w:val="none" w:sz="0" w:space="0" w:color="auto"/>
                  </w:divBdr>
                  <w:divsChild>
                    <w:div w:id="575669279">
                      <w:marLeft w:val="0"/>
                      <w:marRight w:val="0"/>
                      <w:marTop w:val="0"/>
                      <w:marBottom w:val="0"/>
                      <w:divBdr>
                        <w:top w:val="none" w:sz="0" w:space="0" w:color="auto"/>
                        <w:left w:val="none" w:sz="0" w:space="0" w:color="auto"/>
                        <w:bottom w:val="none" w:sz="0" w:space="0" w:color="auto"/>
                        <w:right w:val="none" w:sz="0" w:space="0" w:color="auto"/>
                      </w:divBdr>
                    </w:div>
                  </w:divsChild>
                </w:div>
                <w:div w:id="735126326">
                  <w:marLeft w:val="0"/>
                  <w:marRight w:val="0"/>
                  <w:marTop w:val="0"/>
                  <w:marBottom w:val="0"/>
                  <w:divBdr>
                    <w:top w:val="none" w:sz="0" w:space="0" w:color="auto"/>
                    <w:left w:val="none" w:sz="0" w:space="0" w:color="auto"/>
                    <w:bottom w:val="none" w:sz="0" w:space="0" w:color="auto"/>
                    <w:right w:val="none" w:sz="0" w:space="0" w:color="auto"/>
                  </w:divBdr>
                  <w:divsChild>
                    <w:div w:id="1515073277">
                      <w:marLeft w:val="0"/>
                      <w:marRight w:val="0"/>
                      <w:marTop w:val="0"/>
                      <w:marBottom w:val="0"/>
                      <w:divBdr>
                        <w:top w:val="none" w:sz="0" w:space="0" w:color="auto"/>
                        <w:left w:val="none" w:sz="0" w:space="0" w:color="auto"/>
                        <w:bottom w:val="none" w:sz="0" w:space="0" w:color="auto"/>
                        <w:right w:val="none" w:sz="0" w:space="0" w:color="auto"/>
                      </w:divBdr>
                    </w:div>
                  </w:divsChild>
                </w:div>
                <w:div w:id="841160420">
                  <w:marLeft w:val="0"/>
                  <w:marRight w:val="0"/>
                  <w:marTop w:val="0"/>
                  <w:marBottom w:val="0"/>
                  <w:divBdr>
                    <w:top w:val="none" w:sz="0" w:space="0" w:color="auto"/>
                    <w:left w:val="none" w:sz="0" w:space="0" w:color="auto"/>
                    <w:bottom w:val="none" w:sz="0" w:space="0" w:color="auto"/>
                    <w:right w:val="none" w:sz="0" w:space="0" w:color="auto"/>
                  </w:divBdr>
                  <w:divsChild>
                    <w:div w:id="311567277">
                      <w:marLeft w:val="0"/>
                      <w:marRight w:val="0"/>
                      <w:marTop w:val="0"/>
                      <w:marBottom w:val="0"/>
                      <w:divBdr>
                        <w:top w:val="none" w:sz="0" w:space="0" w:color="auto"/>
                        <w:left w:val="none" w:sz="0" w:space="0" w:color="auto"/>
                        <w:bottom w:val="none" w:sz="0" w:space="0" w:color="auto"/>
                        <w:right w:val="none" w:sz="0" w:space="0" w:color="auto"/>
                      </w:divBdr>
                    </w:div>
                  </w:divsChild>
                </w:div>
                <w:div w:id="914316993">
                  <w:marLeft w:val="0"/>
                  <w:marRight w:val="0"/>
                  <w:marTop w:val="0"/>
                  <w:marBottom w:val="0"/>
                  <w:divBdr>
                    <w:top w:val="none" w:sz="0" w:space="0" w:color="auto"/>
                    <w:left w:val="none" w:sz="0" w:space="0" w:color="auto"/>
                    <w:bottom w:val="none" w:sz="0" w:space="0" w:color="auto"/>
                    <w:right w:val="none" w:sz="0" w:space="0" w:color="auto"/>
                  </w:divBdr>
                  <w:divsChild>
                    <w:div w:id="740371984">
                      <w:marLeft w:val="0"/>
                      <w:marRight w:val="0"/>
                      <w:marTop w:val="0"/>
                      <w:marBottom w:val="0"/>
                      <w:divBdr>
                        <w:top w:val="none" w:sz="0" w:space="0" w:color="auto"/>
                        <w:left w:val="none" w:sz="0" w:space="0" w:color="auto"/>
                        <w:bottom w:val="none" w:sz="0" w:space="0" w:color="auto"/>
                        <w:right w:val="none" w:sz="0" w:space="0" w:color="auto"/>
                      </w:divBdr>
                    </w:div>
                  </w:divsChild>
                </w:div>
                <w:div w:id="1067653646">
                  <w:marLeft w:val="0"/>
                  <w:marRight w:val="0"/>
                  <w:marTop w:val="0"/>
                  <w:marBottom w:val="0"/>
                  <w:divBdr>
                    <w:top w:val="none" w:sz="0" w:space="0" w:color="auto"/>
                    <w:left w:val="none" w:sz="0" w:space="0" w:color="auto"/>
                    <w:bottom w:val="none" w:sz="0" w:space="0" w:color="auto"/>
                    <w:right w:val="none" w:sz="0" w:space="0" w:color="auto"/>
                  </w:divBdr>
                  <w:divsChild>
                    <w:div w:id="402603107">
                      <w:marLeft w:val="0"/>
                      <w:marRight w:val="0"/>
                      <w:marTop w:val="0"/>
                      <w:marBottom w:val="0"/>
                      <w:divBdr>
                        <w:top w:val="none" w:sz="0" w:space="0" w:color="auto"/>
                        <w:left w:val="none" w:sz="0" w:space="0" w:color="auto"/>
                        <w:bottom w:val="none" w:sz="0" w:space="0" w:color="auto"/>
                        <w:right w:val="none" w:sz="0" w:space="0" w:color="auto"/>
                      </w:divBdr>
                    </w:div>
                  </w:divsChild>
                </w:div>
                <w:div w:id="1165165793">
                  <w:marLeft w:val="0"/>
                  <w:marRight w:val="0"/>
                  <w:marTop w:val="0"/>
                  <w:marBottom w:val="0"/>
                  <w:divBdr>
                    <w:top w:val="none" w:sz="0" w:space="0" w:color="auto"/>
                    <w:left w:val="none" w:sz="0" w:space="0" w:color="auto"/>
                    <w:bottom w:val="none" w:sz="0" w:space="0" w:color="auto"/>
                    <w:right w:val="none" w:sz="0" w:space="0" w:color="auto"/>
                  </w:divBdr>
                  <w:divsChild>
                    <w:div w:id="555241599">
                      <w:marLeft w:val="0"/>
                      <w:marRight w:val="0"/>
                      <w:marTop w:val="0"/>
                      <w:marBottom w:val="0"/>
                      <w:divBdr>
                        <w:top w:val="none" w:sz="0" w:space="0" w:color="auto"/>
                        <w:left w:val="none" w:sz="0" w:space="0" w:color="auto"/>
                        <w:bottom w:val="none" w:sz="0" w:space="0" w:color="auto"/>
                        <w:right w:val="none" w:sz="0" w:space="0" w:color="auto"/>
                      </w:divBdr>
                    </w:div>
                  </w:divsChild>
                </w:div>
                <w:div w:id="1178812597">
                  <w:marLeft w:val="0"/>
                  <w:marRight w:val="0"/>
                  <w:marTop w:val="0"/>
                  <w:marBottom w:val="0"/>
                  <w:divBdr>
                    <w:top w:val="none" w:sz="0" w:space="0" w:color="auto"/>
                    <w:left w:val="none" w:sz="0" w:space="0" w:color="auto"/>
                    <w:bottom w:val="none" w:sz="0" w:space="0" w:color="auto"/>
                    <w:right w:val="none" w:sz="0" w:space="0" w:color="auto"/>
                  </w:divBdr>
                  <w:divsChild>
                    <w:div w:id="803307354">
                      <w:marLeft w:val="0"/>
                      <w:marRight w:val="0"/>
                      <w:marTop w:val="0"/>
                      <w:marBottom w:val="0"/>
                      <w:divBdr>
                        <w:top w:val="none" w:sz="0" w:space="0" w:color="auto"/>
                        <w:left w:val="none" w:sz="0" w:space="0" w:color="auto"/>
                        <w:bottom w:val="none" w:sz="0" w:space="0" w:color="auto"/>
                        <w:right w:val="none" w:sz="0" w:space="0" w:color="auto"/>
                      </w:divBdr>
                    </w:div>
                  </w:divsChild>
                </w:div>
                <w:div w:id="1564750309">
                  <w:marLeft w:val="0"/>
                  <w:marRight w:val="0"/>
                  <w:marTop w:val="0"/>
                  <w:marBottom w:val="0"/>
                  <w:divBdr>
                    <w:top w:val="none" w:sz="0" w:space="0" w:color="auto"/>
                    <w:left w:val="none" w:sz="0" w:space="0" w:color="auto"/>
                    <w:bottom w:val="none" w:sz="0" w:space="0" w:color="auto"/>
                    <w:right w:val="none" w:sz="0" w:space="0" w:color="auto"/>
                  </w:divBdr>
                  <w:divsChild>
                    <w:div w:id="1289432700">
                      <w:marLeft w:val="0"/>
                      <w:marRight w:val="0"/>
                      <w:marTop w:val="0"/>
                      <w:marBottom w:val="0"/>
                      <w:divBdr>
                        <w:top w:val="none" w:sz="0" w:space="0" w:color="auto"/>
                        <w:left w:val="none" w:sz="0" w:space="0" w:color="auto"/>
                        <w:bottom w:val="none" w:sz="0" w:space="0" w:color="auto"/>
                        <w:right w:val="none" w:sz="0" w:space="0" w:color="auto"/>
                      </w:divBdr>
                    </w:div>
                  </w:divsChild>
                </w:div>
                <w:div w:id="1987514824">
                  <w:marLeft w:val="0"/>
                  <w:marRight w:val="0"/>
                  <w:marTop w:val="0"/>
                  <w:marBottom w:val="0"/>
                  <w:divBdr>
                    <w:top w:val="none" w:sz="0" w:space="0" w:color="auto"/>
                    <w:left w:val="none" w:sz="0" w:space="0" w:color="auto"/>
                    <w:bottom w:val="none" w:sz="0" w:space="0" w:color="auto"/>
                    <w:right w:val="none" w:sz="0" w:space="0" w:color="auto"/>
                  </w:divBdr>
                  <w:divsChild>
                    <w:div w:id="20826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3295">
      <w:bodyDiv w:val="1"/>
      <w:marLeft w:val="0"/>
      <w:marRight w:val="0"/>
      <w:marTop w:val="0"/>
      <w:marBottom w:val="0"/>
      <w:divBdr>
        <w:top w:val="none" w:sz="0" w:space="0" w:color="auto"/>
        <w:left w:val="none" w:sz="0" w:space="0" w:color="auto"/>
        <w:bottom w:val="none" w:sz="0" w:space="0" w:color="auto"/>
        <w:right w:val="none" w:sz="0" w:space="0" w:color="auto"/>
      </w:divBdr>
    </w:div>
    <w:div w:id="398212200">
      <w:bodyDiv w:val="1"/>
      <w:marLeft w:val="0"/>
      <w:marRight w:val="0"/>
      <w:marTop w:val="0"/>
      <w:marBottom w:val="0"/>
      <w:divBdr>
        <w:top w:val="none" w:sz="0" w:space="0" w:color="auto"/>
        <w:left w:val="none" w:sz="0" w:space="0" w:color="auto"/>
        <w:bottom w:val="none" w:sz="0" w:space="0" w:color="auto"/>
        <w:right w:val="none" w:sz="0" w:space="0" w:color="auto"/>
      </w:divBdr>
    </w:div>
    <w:div w:id="490292353">
      <w:bodyDiv w:val="1"/>
      <w:marLeft w:val="0"/>
      <w:marRight w:val="0"/>
      <w:marTop w:val="0"/>
      <w:marBottom w:val="0"/>
      <w:divBdr>
        <w:top w:val="none" w:sz="0" w:space="0" w:color="auto"/>
        <w:left w:val="none" w:sz="0" w:space="0" w:color="auto"/>
        <w:bottom w:val="none" w:sz="0" w:space="0" w:color="auto"/>
        <w:right w:val="none" w:sz="0" w:space="0" w:color="auto"/>
      </w:divBdr>
      <w:divsChild>
        <w:div w:id="253782501">
          <w:marLeft w:val="0"/>
          <w:marRight w:val="0"/>
          <w:marTop w:val="0"/>
          <w:marBottom w:val="0"/>
          <w:divBdr>
            <w:top w:val="none" w:sz="0" w:space="0" w:color="auto"/>
            <w:left w:val="none" w:sz="0" w:space="0" w:color="auto"/>
            <w:bottom w:val="none" w:sz="0" w:space="0" w:color="auto"/>
            <w:right w:val="none" w:sz="0" w:space="0" w:color="auto"/>
          </w:divBdr>
          <w:divsChild>
            <w:div w:id="1658806015">
              <w:marLeft w:val="-75"/>
              <w:marRight w:val="0"/>
              <w:marTop w:val="30"/>
              <w:marBottom w:val="30"/>
              <w:divBdr>
                <w:top w:val="none" w:sz="0" w:space="0" w:color="auto"/>
                <w:left w:val="none" w:sz="0" w:space="0" w:color="auto"/>
                <w:bottom w:val="none" w:sz="0" w:space="0" w:color="auto"/>
                <w:right w:val="none" w:sz="0" w:space="0" w:color="auto"/>
              </w:divBdr>
              <w:divsChild>
                <w:div w:id="119618199">
                  <w:marLeft w:val="0"/>
                  <w:marRight w:val="0"/>
                  <w:marTop w:val="0"/>
                  <w:marBottom w:val="0"/>
                  <w:divBdr>
                    <w:top w:val="none" w:sz="0" w:space="0" w:color="auto"/>
                    <w:left w:val="none" w:sz="0" w:space="0" w:color="auto"/>
                    <w:bottom w:val="none" w:sz="0" w:space="0" w:color="auto"/>
                    <w:right w:val="none" w:sz="0" w:space="0" w:color="auto"/>
                  </w:divBdr>
                  <w:divsChild>
                    <w:div w:id="1291017786">
                      <w:marLeft w:val="0"/>
                      <w:marRight w:val="0"/>
                      <w:marTop w:val="0"/>
                      <w:marBottom w:val="0"/>
                      <w:divBdr>
                        <w:top w:val="none" w:sz="0" w:space="0" w:color="auto"/>
                        <w:left w:val="none" w:sz="0" w:space="0" w:color="auto"/>
                        <w:bottom w:val="none" w:sz="0" w:space="0" w:color="auto"/>
                        <w:right w:val="none" w:sz="0" w:space="0" w:color="auto"/>
                      </w:divBdr>
                    </w:div>
                  </w:divsChild>
                </w:div>
                <w:div w:id="437717616">
                  <w:marLeft w:val="0"/>
                  <w:marRight w:val="0"/>
                  <w:marTop w:val="0"/>
                  <w:marBottom w:val="0"/>
                  <w:divBdr>
                    <w:top w:val="none" w:sz="0" w:space="0" w:color="auto"/>
                    <w:left w:val="none" w:sz="0" w:space="0" w:color="auto"/>
                    <w:bottom w:val="none" w:sz="0" w:space="0" w:color="auto"/>
                    <w:right w:val="none" w:sz="0" w:space="0" w:color="auto"/>
                  </w:divBdr>
                  <w:divsChild>
                    <w:div w:id="616109885">
                      <w:marLeft w:val="0"/>
                      <w:marRight w:val="0"/>
                      <w:marTop w:val="0"/>
                      <w:marBottom w:val="0"/>
                      <w:divBdr>
                        <w:top w:val="none" w:sz="0" w:space="0" w:color="auto"/>
                        <w:left w:val="none" w:sz="0" w:space="0" w:color="auto"/>
                        <w:bottom w:val="none" w:sz="0" w:space="0" w:color="auto"/>
                        <w:right w:val="none" w:sz="0" w:space="0" w:color="auto"/>
                      </w:divBdr>
                    </w:div>
                  </w:divsChild>
                </w:div>
                <w:div w:id="781000155">
                  <w:marLeft w:val="0"/>
                  <w:marRight w:val="0"/>
                  <w:marTop w:val="0"/>
                  <w:marBottom w:val="0"/>
                  <w:divBdr>
                    <w:top w:val="none" w:sz="0" w:space="0" w:color="auto"/>
                    <w:left w:val="none" w:sz="0" w:space="0" w:color="auto"/>
                    <w:bottom w:val="none" w:sz="0" w:space="0" w:color="auto"/>
                    <w:right w:val="none" w:sz="0" w:space="0" w:color="auto"/>
                  </w:divBdr>
                  <w:divsChild>
                    <w:div w:id="1021588111">
                      <w:marLeft w:val="0"/>
                      <w:marRight w:val="0"/>
                      <w:marTop w:val="0"/>
                      <w:marBottom w:val="0"/>
                      <w:divBdr>
                        <w:top w:val="none" w:sz="0" w:space="0" w:color="auto"/>
                        <w:left w:val="none" w:sz="0" w:space="0" w:color="auto"/>
                        <w:bottom w:val="none" w:sz="0" w:space="0" w:color="auto"/>
                        <w:right w:val="none" w:sz="0" w:space="0" w:color="auto"/>
                      </w:divBdr>
                    </w:div>
                  </w:divsChild>
                </w:div>
                <w:div w:id="872696866">
                  <w:marLeft w:val="0"/>
                  <w:marRight w:val="0"/>
                  <w:marTop w:val="0"/>
                  <w:marBottom w:val="0"/>
                  <w:divBdr>
                    <w:top w:val="none" w:sz="0" w:space="0" w:color="auto"/>
                    <w:left w:val="none" w:sz="0" w:space="0" w:color="auto"/>
                    <w:bottom w:val="none" w:sz="0" w:space="0" w:color="auto"/>
                    <w:right w:val="none" w:sz="0" w:space="0" w:color="auto"/>
                  </w:divBdr>
                  <w:divsChild>
                    <w:div w:id="1044478582">
                      <w:marLeft w:val="0"/>
                      <w:marRight w:val="0"/>
                      <w:marTop w:val="0"/>
                      <w:marBottom w:val="0"/>
                      <w:divBdr>
                        <w:top w:val="none" w:sz="0" w:space="0" w:color="auto"/>
                        <w:left w:val="none" w:sz="0" w:space="0" w:color="auto"/>
                        <w:bottom w:val="none" w:sz="0" w:space="0" w:color="auto"/>
                        <w:right w:val="none" w:sz="0" w:space="0" w:color="auto"/>
                      </w:divBdr>
                    </w:div>
                  </w:divsChild>
                </w:div>
                <w:div w:id="970943665">
                  <w:marLeft w:val="0"/>
                  <w:marRight w:val="0"/>
                  <w:marTop w:val="0"/>
                  <w:marBottom w:val="0"/>
                  <w:divBdr>
                    <w:top w:val="none" w:sz="0" w:space="0" w:color="auto"/>
                    <w:left w:val="none" w:sz="0" w:space="0" w:color="auto"/>
                    <w:bottom w:val="none" w:sz="0" w:space="0" w:color="auto"/>
                    <w:right w:val="none" w:sz="0" w:space="0" w:color="auto"/>
                  </w:divBdr>
                  <w:divsChild>
                    <w:div w:id="1865247356">
                      <w:marLeft w:val="0"/>
                      <w:marRight w:val="0"/>
                      <w:marTop w:val="0"/>
                      <w:marBottom w:val="0"/>
                      <w:divBdr>
                        <w:top w:val="none" w:sz="0" w:space="0" w:color="auto"/>
                        <w:left w:val="none" w:sz="0" w:space="0" w:color="auto"/>
                        <w:bottom w:val="none" w:sz="0" w:space="0" w:color="auto"/>
                        <w:right w:val="none" w:sz="0" w:space="0" w:color="auto"/>
                      </w:divBdr>
                    </w:div>
                  </w:divsChild>
                </w:div>
                <w:div w:id="1020854383">
                  <w:marLeft w:val="0"/>
                  <w:marRight w:val="0"/>
                  <w:marTop w:val="0"/>
                  <w:marBottom w:val="0"/>
                  <w:divBdr>
                    <w:top w:val="none" w:sz="0" w:space="0" w:color="auto"/>
                    <w:left w:val="none" w:sz="0" w:space="0" w:color="auto"/>
                    <w:bottom w:val="none" w:sz="0" w:space="0" w:color="auto"/>
                    <w:right w:val="none" w:sz="0" w:space="0" w:color="auto"/>
                  </w:divBdr>
                  <w:divsChild>
                    <w:div w:id="779371780">
                      <w:marLeft w:val="0"/>
                      <w:marRight w:val="0"/>
                      <w:marTop w:val="0"/>
                      <w:marBottom w:val="0"/>
                      <w:divBdr>
                        <w:top w:val="none" w:sz="0" w:space="0" w:color="auto"/>
                        <w:left w:val="none" w:sz="0" w:space="0" w:color="auto"/>
                        <w:bottom w:val="none" w:sz="0" w:space="0" w:color="auto"/>
                        <w:right w:val="none" w:sz="0" w:space="0" w:color="auto"/>
                      </w:divBdr>
                    </w:div>
                  </w:divsChild>
                </w:div>
                <w:div w:id="1174147523">
                  <w:marLeft w:val="0"/>
                  <w:marRight w:val="0"/>
                  <w:marTop w:val="0"/>
                  <w:marBottom w:val="0"/>
                  <w:divBdr>
                    <w:top w:val="none" w:sz="0" w:space="0" w:color="auto"/>
                    <w:left w:val="none" w:sz="0" w:space="0" w:color="auto"/>
                    <w:bottom w:val="none" w:sz="0" w:space="0" w:color="auto"/>
                    <w:right w:val="none" w:sz="0" w:space="0" w:color="auto"/>
                  </w:divBdr>
                  <w:divsChild>
                    <w:div w:id="2092652458">
                      <w:marLeft w:val="0"/>
                      <w:marRight w:val="0"/>
                      <w:marTop w:val="0"/>
                      <w:marBottom w:val="0"/>
                      <w:divBdr>
                        <w:top w:val="none" w:sz="0" w:space="0" w:color="auto"/>
                        <w:left w:val="none" w:sz="0" w:space="0" w:color="auto"/>
                        <w:bottom w:val="none" w:sz="0" w:space="0" w:color="auto"/>
                        <w:right w:val="none" w:sz="0" w:space="0" w:color="auto"/>
                      </w:divBdr>
                    </w:div>
                  </w:divsChild>
                </w:div>
                <w:div w:id="1304849328">
                  <w:marLeft w:val="0"/>
                  <w:marRight w:val="0"/>
                  <w:marTop w:val="0"/>
                  <w:marBottom w:val="0"/>
                  <w:divBdr>
                    <w:top w:val="none" w:sz="0" w:space="0" w:color="auto"/>
                    <w:left w:val="none" w:sz="0" w:space="0" w:color="auto"/>
                    <w:bottom w:val="none" w:sz="0" w:space="0" w:color="auto"/>
                    <w:right w:val="none" w:sz="0" w:space="0" w:color="auto"/>
                  </w:divBdr>
                  <w:divsChild>
                    <w:div w:id="1920286273">
                      <w:marLeft w:val="0"/>
                      <w:marRight w:val="0"/>
                      <w:marTop w:val="0"/>
                      <w:marBottom w:val="0"/>
                      <w:divBdr>
                        <w:top w:val="none" w:sz="0" w:space="0" w:color="auto"/>
                        <w:left w:val="none" w:sz="0" w:space="0" w:color="auto"/>
                        <w:bottom w:val="none" w:sz="0" w:space="0" w:color="auto"/>
                        <w:right w:val="none" w:sz="0" w:space="0" w:color="auto"/>
                      </w:divBdr>
                    </w:div>
                  </w:divsChild>
                </w:div>
                <w:div w:id="1372536934">
                  <w:marLeft w:val="0"/>
                  <w:marRight w:val="0"/>
                  <w:marTop w:val="0"/>
                  <w:marBottom w:val="0"/>
                  <w:divBdr>
                    <w:top w:val="none" w:sz="0" w:space="0" w:color="auto"/>
                    <w:left w:val="none" w:sz="0" w:space="0" w:color="auto"/>
                    <w:bottom w:val="none" w:sz="0" w:space="0" w:color="auto"/>
                    <w:right w:val="none" w:sz="0" w:space="0" w:color="auto"/>
                  </w:divBdr>
                  <w:divsChild>
                    <w:div w:id="1662200970">
                      <w:marLeft w:val="0"/>
                      <w:marRight w:val="0"/>
                      <w:marTop w:val="0"/>
                      <w:marBottom w:val="0"/>
                      <w:divBdr>
                        <w:top w:val="none" w:sz="0" w:space="0" w:color="auto"/>
                        <w:left w:val="none" w:sz="0" w:space="0" w:color="auto"/>
                        <w:bottom w:val="none" w:sz="0" w:space="0" w:color="auto"/>
                        <w:right w:val="none" w:sz="0" w:space="0" w:color="auto"/>
                      </w:divBdr>
                    </w:div>
                  </w:divsChild>
                </w:div>
                <w:div w:id="1608808161">
                  <w:marLeft w:val="0"/>
                  <w:marRight w:val="0"/>
                  <w:marTop w:val="0"/>
                  <w:marBottom w:val="0"/>
                  <w:divBdr>
                    <w:top w:val="none" w:sz="0" w:space="0" w:color="auto"/>
                    <w:left w:val="none" w:sz="0" w:space="0" w:color="auto"/>
                    <w:bottom w:val="none" w:sz="0" w:space="0" w:color="auto"/>
                    <w:right w:val="none" w:sz="0" w:space="0" w:color="auto"/>
                  </w:divBdr>
                  <w:divsChild>
                    <w:div w:id="623511271">
                      <w:marLeft w:val="0"/>
                      <w:marRight w:val="0"/>
                      <w:marTop w:val="0"/>
                      <w:marBottom w:val="0"/>
                      <w:divBdr>
                        <w:top w:val="none" w:sz="0" w:space="0" w:color="auto"/>
                        <w:left w:val="none" w:sz="0" w:space="0" w:color="auto"/>
                        <w:bottom w:val="none" w:sz="0" w:space="0" w:color="auto"/>
                        <w:right w:val="none" w:sz="0" w:space="0" w:color="auto"/>
                      </w:divBdr>
                    </w:div>
                  </w:divsChild>
                </w:div>
                <w:div w:id="1879704297">
                  <w:marLeft w:val="0"/>
                  <w:marRight w:val="0"/>
                  <w:marTop w:val="0"/>
                  <w:marBottom w:val="0"/>
                  <w:divBdr>
                    <w:top w:val="none" w:sz="0" w:space="0" w:color="auto"/>
                    <w:left w:val="none" w:sz="0" w:space="0" w:color="auto"/>
                    <w:bottom w:val="none" w:sz="0" w:space="0" w:color="auto"/>
                    <w:right w:val="none" w:sz="0" w:space="0" w:color="auto"/>
                  </w:divBdr>
                  <w:divsChild>
                    <w:div w:id="441342004">
                      <w:marLeft w:val="0"/>
                      <w:marRight w:val="0"/>
                      <w:marTop w:val="0"/>
                      <w:marBottom w:val="0"/>
                      <w:divBdr>
                        <w:top w:val="none" w:sz="0" w:space="0" w:color="auto"/>
                        <w:left w:val="none" w:sz="0" w:space="0" w:color="auto"/>
                        <w:bottom w:val="none" w:sz="0" w:space="0" w:color="auto"/>
                        <w:right w:val="none" w:sz="0" w:space="0" w:color="auto"/>
                      </w:divBdr>
                    </w:div>
                  </w:divsChild>
                </w:div>
                <w:div w:id="1904558379">
                  <w:marLeft w:val="0"/>
                  <w:marRight w:val="0"/>
                  <w:marTop w:val="0"/>
                  <w:marBottom w:val="0"/>
                  <w:divBdr>
                    <w:top w:val="none" w:sz="0" w:space="0" w:color="auto"/>
                    <w:left w:val="none" w:sz="0" w:space="0" w:color="auto"/>
                    <w:bottom w:val="none" w:sz="0" w:space="0" w:color="auto"/>
                    <w:right w:val="none" w:sz="0" w:space="0" w:color="auto"/>
                  </w:divBdr>
                  <w:divsChild>
                    <w:div w:id="1905216166">
                      <w:marLeft w:val="0"/>
                      <w:marRight w:val="0"/>
                      <w:marTop w:val="0"/>
                      <w:marBottom w:val="0"/>
                      <w:divBdr>
                        <w:top w:val="none" w:sz="0" w:space="0" w:color="auto"/>
                        <w:left w:val="none" w:sz="0" w:space="0" w:color="auto"/>
                        <w:bottom w:val="none" w:sz="0" w:space="0" w:color="auto"/>
                        <w:right w:val="none" w:sz="0" w:space="0" w:color="auto"/>
                      </w:divBdr>
                    </w:div>
                  </w:divsChild>
                </w:div>
                <w:div w:id="1930653263">
                  <w:marLeft w:val="0"/>
                  <w:marRight w:val="0"/>
                  <w:marTop w:val="0"/>
                  <w:marBottom w:val="0"/>
                  <w:divBdr>
                    <w:top w:val="none" w:sz="0" w:space="0" w:color="auto"/>
                    <w:left w:val="none" w:sz="0" w:space="0" w:color="auto"/>
                    <w:bottom w:val="none" w:sz="0" w:space="0" w:color="auto"/>
                    <w:right w:val="none" w:sz="0" w:space="0" w:color="auto"/>
                  </w:divBdr>
                  <w:divsChild>
                    <w:div w:id="1493330644">
                      <w:marLeft w:val="0"/>
                      <w:marRight w:val="0"/>
                      <w:marTop w:val="0"/>
                      <w:marBottom w:val="0"/>
                      <w:divBdr>
                        <w:top w:val="none" w:sz="0" w:space="0" w:color="auto"/>
                        <w:left w:val="none" w:sz="0" w:space="0" w:color="auto"/>
                        <w:bottom w:val="none" w:sz="0" w:space="0" w:color="auto"/>
                        <w:right w:val="none" w:sz="0" w:space="0" w:color="auto"/>
                      </w:divBdr>
                    </w:div>
                  </w:divsChild>
                </w:div>
                <w:div w:id="1982035067">
                  <w:marLeft w:val="0"/>
                  <w:marRight w:val="0"/>
                  <w:marTop w:val="0"/>
                  <w:marBottom w:val="0"/>
                  <w:divBdr>
                    <w:top w:val="none" w:sz="0" w:space="0" w:color="auto"/>
                    <w:left w:val="none" w:sz="0" w:space="0" w:color="auto"/>
                    <w:bottom w:val="none" w:sz="0" w:space="0" w:color="auto"/>
                    <w:right w:val="none" w:sz="0" w:space="0" w:color="auto"/>
                  </w:divBdr>
                  <w:divsChild>
                    <w:div w:id="1068650508">
                      <w:marLeft w:val="0"/>
                      <w:marRight w:val="0"/>
                      <w:marTop w:val="0"/>
                      <w:marBottom w:val="0"/>
                      <w:divBdr>
                        <w:top w:val="none" w:sz="0" w:space="0" w:color="auto"/>
                        <w:left w:val="none" w:sz="0" w:space="0" w:color="auto"/>
                        <w:bottom w:val="none" w:sz="0" w:space="0" w:color="auto"/>
                        <w:right w:val="none" w:sz="0" w:space="0" w:color="auto"/>
                      </w:divBdr>
                    </w:div>
                  </w:divsChild>
                </w:div>
                <w:div w:id="2011986304">
                  <w:marLeft w:val="0"/>
                  <w:marRight w:val="0"/>
                  <w:marTop w:val="0"/>
                  <w:marBottom w:val="0"/>
                  <w:divBdr>
                    <w:top w:val="none" w:sz="0" w:space="0" w:color="auto"/>
                    <w:left w:val="none" w:sz="0" w:space="0" w:color="auto"/>
                    <w:bottom w:val="none" w:sz="0" w:space="0" w:color="auto"/>
                    <w:right w:val="none" w:sz="0" w:space="0" w:color="auto"/>
                  </w:divBdr>
                  <w:divsChild>
                    <w:div w:id="1574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29776">
          <w:marLeft w:val="0"/>
          <w:marRight w:val="0"/>
          <w:marTop w:val="0"/>
          <w:marBottom w:val="0"/>
          <w:divBdr>
            <w:top w:val="none" w:sz="0" w:space="0" w:color="auto"/>
            <w:left w:val="none" w:sz="0" w:space="0" w:color="auto"/>
            <w:bottom w:val="none" w:sz="0" w:space="0" w:color="auto"/>
            <w:right w:val="none" w:sz="0" w:space="0" w:color="auto"/>
          </w:divBdr>
        </w:div>
        <w:div w:id="1501459739">
          <w:marLeft w:val="0"/>
          <w:marRight w:val="0"/>
          <w:marTop w:val="0"/>
          <w:marBottom w:val="0"/>
          <w:divBdr>
            <w:top w:val="none" w:sz="0" w:space="0" w:color="auto"/>
            <w:left w:val="none" w:sz="0" w:space="0" w:color="auto"/>
            <w:bottom w:val="none" w:sz="0" w:space="0" w:color="auto"/>
            <w:right w:val="none" w:sz="0" w:space="0" w:color="auto"/>
          </w:divBdr>
        </w:div>
        <w:div w:id="1813013825">
          <w:marLeft w:val="0"/>
          <w:marRight w:val="0"/>
          <w:marTop w:val="0"/>
          <w:marBottom w:val="0"/>
          <w:divBdr>
            <w:top w:val="none" w:sz="0" w:space="0" w:color="auto"/>
            <w:left w:val="none" w:sz="0" w:space="0" w:color="auto"/>
            <w:bottom w:val="none" w:sz="0" w:space="0" w:color="auto"/>
            <w:right w:val="none" w:sz="0" w:space="0" w:color="auto"/>
          </w:divBdr>
        </w:div>
      </w:divsChild>
    </w:div>
    <w:div w:id="51743084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76477">
      <w:bodyDiv w:val="1"/>
      <w:marLeft w:val="0"/>
      <w:marRight w:val="0"/>
      <w:marTop w:val="0"/>
      <w:marBottom w:val="0"/>
      <w:divBdr>
        <w:top w:val="none" w:sz="0" w:space="0" w:color="auto"/>
        <w:left w:val="none" w:sz="0" w:space="0" w:color="auto"/>
        <w:bottom w:val="none" w:sz="0" w:space="0" w:color="auto"/>
        <w:right w:val="none" w:sz="0" w:space="0" w:color="auto"/>
      </w:divBdr>
    </w:div>
    <w:div w:id="1225868988">
      <w:bodyDiv w:val="1"/>
      <w:marLeft w:val="0"/>
      <w:marRight w:val="0"/>
      <w:marTop w:val="0"/>
      <w:marBottom w:val="0"/>
      <w:divBdr>
        <w:top w:val="none" w:sz="0" w:space="0" w:color="auto"/>
        <w:left w:val="none" w:sz="0" w:space="0" w:color="auto"/>
        <w:bottom w:val="none" w:sz="0" w:space="0" w:color="auto"/>
        <w:right w:val="none" w:sz="0" w:space="0" w:color="auto"/>
      </w:divBdr>
      <w:divsChild>
        <w:div w:id="1380982796">
          <w:marLeft w:val="0"/>
          <w:marRight w:val="0"/>
          <w:marTop w:val="0"/>
          <w:marBottom w:val="0"/>
          <w:divBdr>
            <w:top w:val="none" w:sz="0" w:space="0" w:color="auto"/>
            <w:left w:val="none" w:sz="0" w:space="0" w:color="auto"/>
            <w:bottom w:val="none" w:sz="0" w:space="0" w:color="auto"/>
            <w:right w:val="none" w:sz="0" w:space="0" w:color="auto"/>
          </w:divBdr>
        </w:div>
        <w:div w:id="1970355109">
          <w:marLeft w:val="0"/>
          <w:marRight w:val="0"/>
          <w:marTop w:val="0"/>
          <w:marBottom w:val="0"/>
          <w:divBdr>
            <w:top w:val="none" w:sz="0" w:space="0" w:color="auto"/>
            <w:left w:val="none" w:sz="0" w:space="0" w:color="auto"/>
            <w:bottom w:val="none" w:sz="0" w:space="0" w:color="auto"/>
            <w:right w:val="none" w:sz="0" w:space="0" w:color="auto"/>
          </w:divBdr>
        </w:div>
      </w:divsChild>
    </w:div>
    <w:div w:id="129547918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9928416">
      <w:bodyDiv w:val="1"/>
      <w:marLeft w:val="0"/>
      <w:marRight w:val="0"/>
      <w:marTop w:val="0"/>
      <w:marBottom w:val="0"/>
      <w:divBdr>
        <w:top w:val="none" w:sz="0" w:space="0" w:color="auto"/>
        <w:left w:val="none" w:sz="0" w:space="0" w:color="auto"/>
        <w:bottom w:val="none" w:sz="0" w:space="0" w:color="auto"/>
        <w:right w:val="none" w:sz="0" w:space="0" w:color="auto"/>
      </w:divBdr>
    </w:div>
    <w:div w:id="164091439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92436903">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39154105">
      <w:bodyDiv w:val="1"/>
      <w:marLeft w:val="0"/>
      <w:marRight w:val="0"/>
      <w:marTop w:val="0"/>
      <w:marBottom w:val="0"/>
      <w:divBdr>
        <w:top w:val="none" w:sz="0" w:space="0" w:color="auto"/>
        <w:left w:val="none" w:sz="0" w:space="0" w:color="auto"/>
        <w:bottom w:val="none" w:sz="0" w:space="0" w:color="auto"/>
        <w:right w:val="none" w:sz="0" w:space="0" w:color="auto"/>
      </w:divBdr>
    </w:div>
    <w:div w:id="1947958875">
      <w:bodyDiv w:val="1"/>
      <w:marLeft w:val="0"/>
      <w:marRight w:val="0"/>
      <w:marTop w:val="0"/>
      <w:marBottom w:val="0"/>
      <w:divBdr>
        <w:top w:val="none" w:sz="0" w:space="0" w:color="auto"/>
        <w:left w:val="none" w:sz="0" w:space="0" w:color="auto"/>
        <w:bottom w:val="none" w:sz="0" w:space="0" w:color="auto"/>
        <w:right w:val="none" w:sz="0" w:space="0" w:color="auto"/>
      </w:divBdr>
    </w:div>
    <w:div w:id="1948997846">
      <w:bodyDiv w:val="1"/>
      <w:marLeft w:val="0"/>
      <w:marRight w:val="0"/>
      <w:marTop w:val="0"/>
      <w:marBottom w:val="0"/>
      <w:divBdr>
        <w:top w:val="none" w:sz="0" w:space="0" w:color="auto"/>
        <w:left w:val="none" w:sz="0" w:space="0" w:color="auto"/>
        <w:bottom w:val="none" w:sz="0" w:space="0" w:color="auto"/>
        <w:right w:val="none" w:sz="0" w:space="0" w:color="auto"/>
      </w:divBdr>
    </w:div>
    <w:div w:id="1997369364">
      <w:bodyDiv w:val="1"/>
      <w:marLeft w:val="0"/>
      <w:marRight w:val="0"/>
      <w:marTop w:val="0"/>
      <w:marBottom w:val="0"/>
      <w:divBdr>
        <w:top w:val="none" w:sz="0" w:space="0" w:color="auto"/>
        <w:left w:val="none" w:sz="0" w:space="0" w:color="auto"/>
        <w:bottom w:val="none" w:sz="0" w:space="0" w:color="auto"/>
        <w:right w:val="none" w:sz="0" w:space="0" w:color="auto"/>
      </w:divBdr>
    </w:div>
    <w:div w:id="1999187339">
      <w:bodyDiv w:val="1"/>
      <w:marLeft w:val="0"/>
      <w:marRight w:val="0"/>
      <w:marTop w:val="0"/>
      <w:marBottom w:val="0"/>
      <w:divBdr>
        <w:top w:val="none" w:sz="0" w:space="0" w:color="auto"/>
        <w:left w:val="none" w:sz="0" w:space="0" w:color="auto"/>
        <w:bottom w:val="none" w:sz="0" w:space="0" w:color="auto"/>
        <w:right w:val="none" w:sz="0" w:space="0" w:color="auto"/>
      </w:divBdr>
    </w:div>
    <w:div w:id="2072535561">
      <w:bodyDiv w:val="1"/>
      <w:marLeft w:val="0"/>
      <w:marRight w:val="0"/>
      <w:marTop w:val="0"/>
      <w:marBottom w:val="0"/>
      <w:divBdr>
        <w:top w:val="none" w:sz="0" w:space="0" w:color="auto"/>
        <w:left w:val="none" w:sz="0" w:space="0" w:color="auto"/>
        <w:bottom w:val="none" w:sz="0" w:space="0" w:color="auto"/>
        <w:right w:val="none" w:sz="0" w:space="0" w:color="auto"/>
      </w:divBdr>
    </w:div>
    <w:div w:id="208332947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0B2A1DE647D740A8F750551F6B1EC8" ma:contentTypeVersion="10" ma:contentTypeDescription="Crie um novo documento." ma:contentTypeScope="" ma:versionID="c145723f6acf451f6d153e876a73a9fb">
  <xsd:schema xmlns:xsd="http://www.w3.org/2001/XMLSchema" xmlns:xs="http://www.w3.org/2001/XMLSchema" xmlns:p="http://schemas.microsoft.com/office/2006/metadata/properties" xmlns:ns2="009a3f9b-c9c3-4a6a-90ca-699ca05f45ec" xmlns:ns3="00d53ade-8d7a-4e7e-b0fe-3d51d66ef341" targetNamespace="http://schemas.microsoft.com/office/2006/metadata/properties" ma:root="true" ma:fieldsID="69aa0c10046d459bedc8018c15f1ac71" ns2:_="" ns3:_="">
    <xsd:import namespace="009a3f9b-c9c3-4a6a-90ca-699ca05f45ec"/>
    <xsd:import namespace="00d53ade-8d7a-4e7e-b0fe-3d51d66ef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a3f9b-c9c3-4a6a-90ca-699ca05f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11000289-e8e0-4655-aaa4-6ce2e2879be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53ade-8d7a-4e7e-b0fe-3d51d66ef3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77700e-473d-4a20-b102-c5ad302b191d}" ma:internalName="TaxCatchAll" ma:showField="CatchAllData" ma:web="00d53ade-8d7a-4e7e-b0fe-3d51d66ef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d53ade-8d7a-4e7e-b0fe-3d51d66ef341" xsi:nil="true"/>
    <lcf76f155ced4ddcb4097134ff3c332f xmlns="009a3f9b-c9c3-4a6a-90ca-699ca05f45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6CAC49-6B8C-44FC-9AC4-647FAD6C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a3f9b-c9c3-4a6a-90ca-699ca05f45ec"/>
    <ds:schemaRef ds:uri="00d53ade-8d7a-4e7e-b0fe-3d51d66ef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F16BE-93E1-44FA-ABCA-9102E04524F2}">
  <ds:schemaRefs>
    <ds:schemaRef ds:uri="http://schemas.microsoft.com/sharepoint/v3/contenttype/forms"/>
  </ds:schemaRefs>
</ds:datastoreItem>
</file>

<file path=customXml/itemProps3.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4.xml><?xml version="1.0" encoding="utf-8"?>
<ds:datastoreItem xmlns:ds="http://schemas.openxmlformats.org/officeDocument/2006/customXml" ds:itemID="{A0374BFA-FA63-49A2-A5ED-B92E1F221322}">
  <ds:schemaRefs>
    <ds:schemaRef ds:uri="http://schemas.microsoft.com/office/2006/metadata/properties"/>
    <ds:schemaRef ds:uri="http://schemas.microsoft.com/office/infopath/2007/PartnerControls"/>
    <ds:schemaRef ds:uri="00d53ade-8d7a-4e7e-b0fe-3d51d66ef341"/>
    <ds:schemaRef ds:uri="009a3f9b-c9c3-4a6a-90ca-699ca05f45ec"/>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3666</Words>
  <Characters>20897</Characters>
  <Application>Microsoft Office Word</Application>
  <DocSecurity>4</DocSecurity>
  <Lines>174</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Leonardo Oliveira Santos de Santana</cp:lastModifiedBy>
  <cp:revision>89</cp:revision>
  <cp:lastPrinted>2015-05-13T14:31:00Z</cp:lastPrinted>
  <dcterms:created xsi:type="dcterms:W3CDTF">2025-05-16T02:12:00Z</dcterms:created>
  <dcterms:modified xsi:type="dcterms:W3CDTF">2025-07-15T18:49:00Z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0x010100F80B2A1DE647D740A8F750551F6B1EC8</vt:lpwstr>
  </property>
  <property fmtid="{D5CDD505-2E9C-101B-9397-08002B2CF9AE}" pid="5" name="MediaServiceImageTags">
    <vt:lpwstr/>
  </property>
  <property fmtid="{D5CDD505-2E9C-101B-9397-08002B2CF9AE}" pid="6" name="GrammarlyDocumentId">
    <vt:lpwstr>6e30e012-7478-4d38-b86d-a5cb1439d048</vt:lpwstr>
  </property>
</Properties>
</file>