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C72C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C72C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C72C3">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7EDF5132" w14:textId="77777777" w:rsidR="00CC72C3" w:rsidRDefault="00CC72C3" w:rsidP="00B57E6F">
      <w:pPr>
        <w:pStyle w:val="CETAuthors"/>
        <w:rPr>
          <w:noProof w:val="0"/>
          <w:sz w:val="32"/>
        </w:rPr>
      </w:pPr>
      <w:r w:rsidRPr="00CC72C3">
        <w:rPr>
          <w:noProof w:val="0"/>
          <w:sz w:val="32"/>
        </w:rPr>
        <w:t>HYDROGEN FROM SEAWATER: AN ENVIRONMENTAL AND ECONOMIC EVALUATION OF AEM AND PEM ELECTROLYSIS COUPLED WITH ADVANCED DESALINATION SYSTEMS</w:t>
      </w:r>
    </w:p>
    <w:p w14:paraId="0488FED2" w14:textId="06498CDC" w:rsidR="00B57E6F" w:rsidRPr="00CC72C3" w:rsidRDefault="00CC72C3" w:rsidP="00B57E6F">
      <w:pPr>
        <w:pStyle w:val="CETAuthors"/>
        <w:rPr>
          <w:lang w:val="it-IT"/>
        </w:rPr>
      </w:pPr>
      <w:r w:rsidRPr="00CC72C3">
        <w:rPr>
          <w:lang w:val="it-IT"/>
        </w:rPr>
        <w:t>Manfredi Picciotto Maniscalco</w:t>
      </w:r>
      <w:r>
        <w:rPr>
          <w:lang w:val="it-IT"/>
        </w:rPr>
        <w:t xml:space="preserve"> </w:t>
      </w:r>
      <w:r w:rsidR="00B57E6F" w:rsidRPr="00CC72C3">
        <w:rPr>
          <w:vertAlign w:val="superscript"/>
          <w:lang w:val="it-IT"/>
        </w:rPr>
        <w:t>a</w:t>
      </w:r>
      <w:r w:rsidRPr="00CC72C3">
        <w:rPr>
          <w:vertAlign w:val="superscript"/>
          <w:lang w:val="it-IT"/>
        </w:rPr>
        <w:t>,*</w:t>
      </w:r>
      <w:r w:rsidR="00B57E6F" w:rsidRPr="00CC72C3">
        <w:rPr>
          <w:lang w:val="it-IT"/>
        </w:rPr>
        <w:t xml:space="preserve">, </w:t>
      </w:r>
      <w:r w:rsidRPr="00CC72C3">
        <w:rPr>
          <w:lang w:val="it-IT"/>
        </w:rPr>
        <w:t>Andrea Culcasi</w:t>
      </w:r>
      <w:r w:rsidR="00EE2E05">
        <w:rPr>
          <w:lang w:val="it-IT"/>
        </w:rPr>
        <w:t xml:space="preserve"> </w:t>
      </w:r>
      <w:r w:rsidR="00B57E6F" w:rsidRPr="00CC72C3">
        <w:rPr>
          <w:vertAlign w:val="superscript"/>
          <w:lang w:val="it-IT"/>
        </w:rPr>
        <w:t>b</w:t>
      </w:r>
      <w:r w:rsidR="00B57E6F" w:rsidRPr="00CC72C3">
        <w:rPr>
          <w:lang w:val="it-IT"/>
        </w:rPr>
        <w:t xml:space="preserve">, </w:t>
      </w:r>
      <w:r w:rsidRPr="00CC72C3">
        <w:rPr>
          <w:lang w:val="it-IT"/>
        </w:rPr>
        <w:t>S</w:t>
      </w:r>
      <w:r>
        <w:rPr>
          <w:lang w:val="it-IT"/>
        </w:rPr>
        <w:t>imona Maria Asaro</w:t>
      </w:r>
      <w:r w:rsidR="00EE2E05">
        <w:rPr>
          <w:lang w:val="it-IT"/>
        </w:rPr>
        <w:t xml:space="preserve"> </w:t>
      </w:r>
      <w:r w:rsidRPr="00CC72C3">
        <w:rPr>
          <w:vertAlign w:val="superscript"/>
          <w:lang w:val="it-IT"/>
        </w:rPr>
        <w:t>b</w:t>
      </w:r>
      <w:r>
        <w:rPr>
          <w:lang w:val="it-IT"/>
        </w:rPr>
        <w:t xml:space="preserve"> and Marco Ferraro</w:t>
      </w:r>
      <w:r w:rsidR="00EE2E05">
        <w:rPr>
          <w:lang w:val="it-IT"/>
        </w:rPr>
        <w:t xml:space="preserve"> </w:t>
      </w:r>
      <w:r w:rsidRPr="00CC72C3">
        <w:rPr>
          <w:vertAlign w:val="superscript"/>
          <w:lang w:val="it-IT"/>
        </w:rPr>
        <w:t>a</w:t>
      </w:r>
    </w:p>
    <w:p w14:paraId="6B2D21B3" w14:textId="3ED476C0" w:rsidR="00B57E6F" w:rsidRPr="00CC72C3" w:rsidRDefault="00B57E6F" w:rsidP="00B57E6F">
      <w:pPr>
        <w:pStyle w:val="CETAddress"/>
        <w:rPr>
          <w:lang w:val="it-IT"/>
        </w:rPr>
      </w:pPr>
      <w:r w:rsidRPr="00CC72C3">
        <w:rPr>
          <w:vertAlign w:val="superscript"/>
          <w:lang w:val="it-IT"/>
        </w:rPr>
        <w:t>a</w:t>
      </w:r>
      <w:r w:rsidR="00CC72C3" w:rsidRPr="00CC72C3">
        <w:rPr>
          <w:rFonts w:asciiTheme="minorHAnsi" w:eastAsiaTheme="minorHAnsi" w:hAnsiTheme="minorHAnsi" w:cstheme="minorBidi"/>
          <w:noProof w:val="0"/>
          <w:kern w:val="2"/>
          <w:sz w:val="20"/>
          <w:lang w:val="it-IT"/>
          <w14:ligatures w14:val="standardContextual"/>
        </w:rPr>
        <w:t xml:space="preserve"> </w:t>
      </w:r>
      <w:r w:rsidR="00CC72C3" w:rsidRPr="00CC72C3">
        <w:rPr>
          <w:lang w:val="it-IT"/>
        </w:rPr>
        <w:t>Consiglio Nazionale delle Ricerche, Istituto di Tecnologie Avanzate per l’Energia “Nicola Giordano”, Viale delle Scienze Edificio 9, 90128 Palermo, Italy</w:t>
      </w:r>
      <w:r w:rsidRPr="00CC72C3">
        <w:rPr>
          <w:lang w:val="it-IT"/>
        </w:rPr>
        <w:t xml:space="preserve"> </w:t>
      </w:r>
    </w:p>
    <w:p w14:paraId="3D72B0B0" w14:textId="2EA3BCDB" w:rsidR="00B57E6F" w:rsidRPr="00CC72C3" w:rsidRDefault="00B57E6F" w:rsidP="00B57E6F">
      <w:pPr>
        <w:pStyle w:val="CETAddress"/>
        <w:rPr>
          <w:lang w:val="it-IT"/>
        </w:rPr>
      </w:pPr>
      <w:r w:rsidRPr="00CC72C3">
        <w:rPr>
          <w:vertAlign w:val="superscript"/>
          <w:lang w:val="it-IT"/>
        </w:rPr>
        <w:t>b</w:t>
      </w:r>
      <w:r w:rsidR="00CC72C3" w:rsidRPr="00CC72C3">
        <w:rPr>
          <w:rFonts w:asciiTheme="minorHAnsi" w:eastAsiaTheme="minorHAnsi" w:hAnsiTheme="minorHAnsi" w:cstheme="minorBidi"/>
          <w:noProof w:val="0"/>
          <w:kern w:val="2"/>
          <w:sz w:val="20"/>
          <w:lang w:val="it-IT"/>
          <w14:ligatures w14:val="standardContextual"/>
        </w:rPr>
        <w:t xml:space="preserve"> </w:t>
      </w:r>
      <w:r w:rsidR="00CC72C3" w:rsidRPr="00CC72C3">
        <w:rPr>
          <w:lang w:val="it-IT"/>
        </w:rPr>
        <w:t>Dipartimento di Ingegneria, Università Degli Studi di Palermo (UNIPA) – Viale Delle Scienze, Ed 6, 90128 Palermo, Italy</w:t>
      </w:r>
      <w:r w:rsidRPr="00CC72C3">
        <w:rPr>
          <w:lang w:val="it-IT"/>
        </w:rPr>
        <w:t xml:space="preserve"> </w:t>
      </w:r>
    </w:p>
    <w:p w14:paraId="73F1267A" w14:textId="5F77B8C1" w:rsidR="00B57E6F" w:rsidRPr="00B57B36" w:rsidRDefault="00B57E6F" w:rsidP="00B57E6F">
      <w:pPr>
        <w:pStyle w:val="CETemail"/>
      </w:pPr>
      <w:r w:rsidRPr="00CC72C3">
        <w:rPr>
          <w:lang w:val="it-IT"/>
        </w:rPr>
        <w:t xml:space="preserve"> </w:t>
      </w:r>
      <w:r w:rsidR="00CC72C3">
        <w:t>maniscalco</w:t>
      </w:r>
      <w:r w:rsidRPr="00B57B36">
        <w:t>@</w:t>
      </w:r>
      <w:r w:rsidR="00CC72C3">
        <w:t>itae.cnr</w:t>
      </w:r>
      <w:r w:rsidRPr="00B57B36">
        <w:t>.</w:t>
      </w:r>
      <w:r w:rsidR="00CC72C3">
        <w:t>it</w:t>
      </w:r>
      <w:r w:rsidRPr="00B57B36">
        <w:t xml:space="preserve"> </w:t>
      </w:r>
    </w:p>
    <w:p w14:paraId="2B5E786C" w14:textId="09C496C4" w:rsidR="00C64FCC" w:rsidRPr="00C64FCC" w:rsidRDefault="00C64FCC" w:rsidP="00C64FCC">
      <w:pPr>
        <w:rPr>
          <w:rFonts w:cs="Arial"/>
          <w:szCs w:val="18"/>
        </w:rPr>
      </w:pPr>
      <w:r w:rsidRPr="00C64FCC">
        <w:rPr>
          <w:rFonts w:cs="Arial"/>
          <w:szCs w:val="18"/>
        </w:rPr>
        <w:t>This research investigates the</w:t>
      </w:r>
      <w:r w:rsidR="009D7C9E">
        <w:rPr>
          <w:rFonts w:cs="Arial"/>
          <w:szCs w:val="18"/>
        </w:rPr>
        <w:t xml:space="preserve"> Global Warming Potential and the Levelized Cost of Hydrogen for </w:t>
      </w:r>
      <w:r w:rsidRPr="00C64FCC">
        <w:rPr>
          <w:rFonts w:cs="Arial"/>
          <w:szCs w:val="18"/>
        </w:rPr>
        <w:t>A</w:t>
      </w:r>
      <w:r w:rsidR="0077711D">
        <w:rPr>
          <w:rFonts w:cs="Arial"/>
          <w:szCs w:val="18"/>
        </w:rPr>
        <w:t xml:space="preserve">nion </w:t>
      </w:r>
      <w:r w:rsidRPr="00C64FCC">
        <w:rPr>
          <w:rFonts w:cs="Arial"/>
          <w:szCs w:val="18"/>
        </w:rPr>
        <w:t>E</w:t>
      </w:r>
      <w:r w:rsidR="0077711D">
        <w:rPr>
          <w:rFonts w:cs="Arial"/>
          <w:szCs w:val="18"/>
        </w:rPr>
        <w:t xml:space="preserve">xchange </w:t>
      </w:r>
      <w:r w:rsidRPr="00C64FCC">
        <w:rPr>
          <w:rFonts w:cs="Arial"/>
          <w:szCs w:val="18"/>
        </w:rPr>
        <w:t>M</w:t>
      </w:r>
      <w:r w:rsidR="0077711D">
        <w:rPr>
          <w:rFonts w:cs="Arial"/>
          <w:szCs w:val="18"/>
        </w:rPr>
        <w:t>embranes (AEM)</w:t>
      </w:r>
      <w:r w:rsidRPr="00C64FCC">
        <w:rPr>
          <w:rFonts w:cs="Arial"/>
          <w:szCs w:val="18"/>
        </w:rPr>
        <w:t xml:space="preserve"> </w:t>
      </w:r>
      <w:r w:rsidR="00E66ACA">
        <w:rPr>
          <w:rFonts w:cs="Arial"/>
          <w:szCs w:val="18"/>
        </w:rPr>
        <w:t>and</w:t>
      </w:r>
      <w:r w:rsidRPr="00C64FCC">
        <w:rPr>
          <w:rFonts w:cs="Arial"/>
          <w:szCs w:val="18"/>
        </w:rPr>
        <w:t xml:space="preserve"> P</w:t>
      </w:r>
      <w:r w:rsidR="0077711D">
        <w:rPr>
          <w:rFonts w:cs="Arial"/>
          <w:szCs w:val="18"/>
        </w:rPr>
        <w:t xml:space="preserve">roton </w:t>
      </w:r>
      <w:r w:rsidRPr="00C64FCC">
        <w:rPr>
          <w:rFonts w:cs="Arial"/>
          <w:szCs w:val="18"/>
        </w:rPr>
        <w:t>E</w:t>
      </w:r>
      <w:r w:rsidR="0077711D">
        <w:rPr>
          <w:rFonts w:cs="Arial"/>
          <w:szCs w:val="18"/>
        </w:rPr>
        <w:t xml:space="preserve">xchange </w:t>
      </w:r>
      <w:r w:rsidRPr="00C64FCC">
        <w:rPr>
          <w:rFonts w:cs="Arial"/>
          <w:szCs w:val="18"/>
        </w:rPr>
        <w:t>M</w:t>
      </w:r>
      <w:r w:rsidR="0077711D">
        <w:rPr>
          <w:rFonts w:cs="Arial"/>
          <w:szCs w:val="18"/>
        </w:rPr>
        <w:t>emb</w:t>
      </w:r>
      <w:r w:rsidR="003D2765">
        <w:rPr>
          <w:rFonts w:cs="Arial"/>
          <w:szCs w:val="18"/>
        </w:rPr>
        <w:t>ranes (PEM)</w:t>
      </w:r>
      <w:r w:rsidRPr="00C64FCC">
        <w:rPr>
          <w:rFonts w:cs="Arial"/>
          <w:szCs w:val="18"/>
        </w:rPr>
        <w:t xml:space="preserve"> electrolysis</w:t>
      </w:r>
      <w:r w:rsidR="002B0009">
        <w:rPr>
          <w:rFonts w:cs="Arial"/>
          <w:szCs w:val="18"/>
        </w:rPr>
        <w:t xml:space="preserve"> plant</w:t>
      </w:r>
      <w:r w:rsidR="009904C0">
        <w:rPr>
          <w:rFonts w:cs="Arial"/>
          <w:szCs w:val="18"/>
        </w:rPr>
        <w:t>s</w:t>
      </w:r>
      <w:r w:rsidR="002B0009">
        <w:rPr>
          <w:rFonts w:cs="Arial"/>
          <w:szCs w:val="18"/>
        </w:rPr>
        <w:t xml:space="preserve"> fed by ultra-pure water produced from an innovative seawater purification system.</w:t>
      </w:r>
      <w:r w:rsidRPr="00C64FCC">
        <w:rPr>
          <w:rFonts w:cs="Arial"/>
          <w:szCs w:val="18"/>
        </w:rPr>
        <w:t xml:space="preserve"> The analys</w:t>
      </w:r>
      <w:r w:rsidR="009904C0">
        <w:rPr>
          <w:rFonts w:cs="Arial"/>
          <w:szCs w:val="18"/>
        </w:rPr>
        <w:t>e</w:t>
      </w:r>
      <w:r w:rsidRPr="00C64FCC">
        <w:rPr>
          <w:rFonts w:cs="Arial"/>
          <w:szCs w:val="18"/>
        </w:rPr>
        <w:t xml:space="preserve">s are conducted by considering either the electricity supply from </w:t>
      </w:r>
      <w:r w:rsidR="006D21F4">
        <w:rPr>
          <w:rFonts w:cs="Arial"/>
          <w:szCs w:val="18"/>
        </w:rPr>
        <w:t xml:space="preserve">the </w:t>
      </w:r>
      <w:r w:rsidRPr="00C64FCC">
        <w:rPr>
          <w:rFonts w:cs="Arial"/>
          <w:szCs w:val="18"/>
        </w:rPr>
        <w:t>Italian national grid or a 100% renewable energy mix.</w:t>
      </w:r>
      <w:r w:rsidR="002E177C">
        <w:rPr>
          <w:rFonts w:cs="Arial"/>
          <w:szCs w:val="18"/>
        </w:rPr>
        <w:t xml:space="preserve"> </w:t>
      </w:r>
      <w:r w:rsidR="00BB4CB7">
        <w:rPr>
          <w:rFonts w:cs="Arial"/>
          <w:szCs w:val="18"/>
        </w:rPr>
        <w:t xml:space="preserve">Values for </w:t>
      </w:r>
      <w:r w:rsidR="002E177C">
        <w:rPr>
          <w:rFonts w:cs="Arial"/>
          <w:szCs w:val="18"/>
        </w:rPr>
        <w:t>G</w:t>
      </w:r>
      <w:r w:rsidR="00BB4CB7">
        <w:rPr>
          <w:rFonts w:cs="Arial"/>
          <w:szCs w:val="18"/>
        </w:rPr>
        <w:t xml:space="preserve">lobal </w:t>
      </w:r>
      <w:r w:rsidR="002E177C">
        <w:rPr>
          <w:rFonts w:cs="Arial"/>
          <w:szCs w:val="18"/>
        </w:rPr>
        <w:t>W</w:t>
      </w:r>
      <w:r w:rsidR="00BB4CB7">
        <w:rPr>
          <w:rFonts w:cs="Arial"/>
          <w:szCs w:val="18"/>
        </w:rPr>
        <w:t xml:space="preserve">arming </w:t>
      </w:r>
      <w:r w:rsidR="002E177C">
        <w:rPr>
          <w:rFonts w:cs="Arial"/>
          <w:szCs w:val="18"/>
        </w:rPr>
        <w:t>P</w:t>
      </w:r>
      <w:r w:rsidR="00BB4CB7">
        <w:rPr>
          <w:rFonts w:cs="Arial"/>
          <w:szCs w:val="18"/>
        </w:rPr>
        <w:t>otential</w:t>
      </w:r>
      <w:r w:rsidR="002E177C">
        <w:rPr>
          <w:rFonts w:cs="Arial"/>
          <w:szCs w:val="18"/>
        </w:rPr>
        <w:t xml:space="preserve"> </w:t>
      </w:r>
      <w:r w:rsidR="0039319A">
        <w:rPr>
          <w:rFonts w:cs="Arial"/>
          <w:szCs w:val="18"/>
        </w:rPr>
        <w:t xml:space="preserve">(GWP) </w:t>
      </w:r>
      <w:r w:rsidR="002E177C">
        <w:rPr>
          <w:rFonts w:cs="Arial"/>
          <w:szCs w:val="18"/>
        </w:rPr>
        <w:t xml:space="preserve">are </w:t>
      </w:r>
      <w:r w:rsidR="002A71AE">
        <w:rPr>
          <w:rFonts w:cs="Arial"/>
          <w:szCs w:val="18"/>
        </w:rPr>
        <w:t xml:space="preserve">equal to </w:t>
      </w:r>
      <w:r w:rsidR="00BE4522">
        <w:rPr>
          <w:rFonts w:cs="Arial"/>
          <w:szCs w:val="18"/>
        </w:rPr>
        <w:t>22.3</w:t>
      </w:r>
      <w:r w:rsidR="001B0A2D">
        <w:rPr>
          <w:rFonts w:cs="Arial"/>
          <w:szCs w:val="18"/>
        </w:rPr>
        <w:t xml:space="preserve"> kg</w:t>
      </w:r>
      <w:r w:rsidR="001B0A2D" w:rsidRPr="00A24748">
        <w:rPr>
          <w:rFonts w:cs="Arial"/>
          <w:szCs w:val="18"/>
          <w:vertAlign w:val="subscript"/>
        </w:rPr>
        <w:t>CO2</w:t>
      </w:r>
      <w:r w:rsidR="001B0A2D">
        <w:rPr>
          <w:rFonts w:cs="Arial"/>
          <w:szCs w:val="18"/>
        </w:rPr>
        <w:t>/kg</w:t>
      </w:r>
      <w:r w:rsidR="001B0A2D" w:rsidRPr="00A24748">
        <w:rPr>
          <w:rFonts w:cs="Arial"/>
          <w:szCs w:val="18"/>
          <w:vertAlign w:val="subscript"/>
        </w:rPr>
        <w:t>H2</w:t>
      </w:r>
      <w:r w:rsidR="001B0A2D">
        <w:rPr>
          <w:rFonts w:cs="Arial"/>
          <w:szCs w:val="18"/>
        </w:rPr>
        <w:t xml:space="preserve"> and </w:t>
      </w:r>
      <w:r w:rsidR="00BE4522">
        <w:rPr>
          <w:rFonts w:cs="Arial"/>
          <w:szCs w:val="18"/>
        </w:rPr>
        <w:t>21.2</w:t>
      </w:r>
      <w:r w:rsidR="001B0A2D">
        <w:rPr>
          <w:rFonts w:cs="Arial"/>
          <w:szCs w:val="18"/>
        </w:rPr>
        <w:t xml:space="preserve"> kg</w:t>
      </w:r>
      <w:r w:rsidR="001B0A2D" w:rsidRPr="00A24748">
        <w:rPr>
          <w:rFonts w:cs="Arial"/>
          <w:szCs w:val="18"/>
          <w:vertAlign w:val="subscript"/>
        </w:rPr>
        <w:t>CO2</w:t>
      </w:r>
      <w:r w:rsidR="001B0A2D">
        <w:rPr>
          <w:rFonts w:cs="Arial"/>
          <w:szCs w:val="18"/>
        </w:rPr>
        <w:t>/kg</w:t>
      </w:r>
      <w:r w:rsidR="001B0A2D" w:rsidRPr="00A24748">
        <w:rPr>
          <w:rFonts w:cs="Arial"/>
          <w:szCs w:val="18"/>
          <w:vertAlign w:val="subscript"/>
        </w:rPr>
        <w:t>H2</w:t>
      </w:r>
      <w:r w:rsidR="00A24748">
        <w:rPr>
          <w:rFonts w:cs="Arial"/>
          <w:szCs w:val="18"/>
        </w:rPr>
        <w:t xml:space="preserve">, </w:t>
      </w:r>
      <w:r w:rsidR="00BE4522">
        <w:rPr>
          <w:rFonts w:cs="Arial"/>
          <w:szCs w:val="18"/>
        </w:rPr>
        <w:t>respectively for PEM and AEM</w:t>
      </w:r>
      <w:r w:rsidR="002B2159">
        <w:rPr>
          <w:rFonts w:cs="Arial"/>
          <w:szCs w:val="18"/>
        </w:rPr>
        <w:t>, when supplied with</w:t>
      </w:r>
      <w:r w:rsidR="006D21F4">
        <w:rPr>
          <w:rFonts w:cs="Arial"/>
          <w:szCs w:val="18"/>
        </w:rPr>
        <w:t xml:space="preserve"> the</w:t>
      </w:r>
      <w:r w:rsidR="002B2159">
        <w:rPr>
          <w:rFonts w:cs="Arial"/>
          <w:szCs w:val="18"/>
        </w:rPr>
        <w:t xml:space="preserve"> Italian electrical grid</w:t>
      </w:r>
      <w:r w:rsidR="00F64F32">
        <w:rPr>
          <w:rFonts w:cs="Arial"/>
          <w:szCs w:val="18"/>
        </w:rPr>
        <w:t>, while a re</w:t>
      </w:r>
      <w:r w:rsidR="008E12BB">
        <w:rPr>
          <w:rFonts w:cs="Arial"/>
          <w:szCs w:val="18"/>
        </w:rPr>
        <w:t xml:space="preserve">duction of approximately 86% of impact is achievable </w:t>
      </w:r>
      <w:r w:rsidR="00CE18CE">
        <w:rPr>
          <w:rFonts w:cs="Arial"/>
          <w:szCs w:val="18"/>
        </w:rPr>
        <w:t xml:space="preserve">in </w:t>
      </w:r>
      <w:r w:rsidR="004E57C5">
        <w:rPr>
          <w:rFonts w:cs="Arial"/>
          <w:szCs w:val="18"/>
        </w:rPr>
        <w:t xml:space="preserve">the </w:t>
      </w:r>
      <w:r w:rsidR="00CE18CE">
        <w:rPr>
          <w:rFonts w:cs="Arial"/>
          <w:szCs w:val="18"/>
        </w:rPr>
        <w:t>case of renewable energy supply.</w:t>
      </w:r>
      <w:r w:rsidR="00BE4522">
        <w:rPr>
          <w:rFonts w:cs="Arial"/>
          <w:szCs w:val="18"/>
        </w:rPr>
        <w:t xml:space="preserve"> </w:t>
      </w:r>
      <w:r w:rsidR="004E46A6" w:rsidRPr="004E46A6">
        <w:rPr>
          <w:rFonts w:cs="Arial"/>
          <w:szCs w:val="18"/>
        </w:rPr>
        <w:t>The desalination unit contributes negligibly to the overall GWP</w:t>
      </w:r>
      <w:r w:rsidR="005D08AA">
        <w:rPr>
          <w:rFonts w:cs="Arial"/>
          <w:szCs w:val="18"/>
        </w:rPr>
        <w:t>.</w:t>
      </w:r>
      <w:r w:rsidR="00F93F09">
        <w:rPr>
          <w:rFonts w:cs="Arial"/>
          <w:szCs w:val="18"/>
        </w:rPr>
        <w:t xml:space="preserve"> </w:t>
      </w:r>
      <w:r w:rsidR="00835AE8">
        <w:rPr>
          <w:rFonts w:cs="Arial"/>
          <w:szCs w:val="18"/>
        </w:rPr>
        <w:t>T</w:t>
      </w:r>
      <w:r w:rsidR="00064DBF">
        <w:rPr>
          <w:rFonts w:cs="Arial"/>
          <w:szCs w:val="18"/>
        </w:rPr>
        <w:t>he L</w:t>
      </w:r>
      <w:r w:rsidR="0012447D">
        <w:rPr>
          <w:rFonts w:cs="Arial"/>
          <w:szCs w:val="18"/>
        </w:rPr>
        <w:t xml:space="preserve">evelized </w:t>
      </w:r>
      <w:r w:rsidR="007236F4">
        <w:rPr>
          <w:rFonts w:cs="Arial"/>
          <w:szCs w:val="18"/>
        </w:rPr>
        <w:t>C</w:t>
      </w:r>
      <w:r w:rsidR="0012447D">
        <w:rPr>
          <w:rFonts w:cs="Arial"/>
          <w:szCs w:val="18"/>
        </w:rPr>
        <w:t xml:space="preserve">ost of </w:t>
      </w:r>
      <w:r w:rsidR="007236F4">
        <w:rPr>
          <w:rFonts w:cs="Arial"/>
          <w:szCs w:val="18"/>
        </w:rPr>
        <w:t>H</w:t>
      </w:r>
      <w:r w:rsidR="0012447D">
        <w:rPr>
          <w:rFonts w:cs="Arial"/>
          <w:szCs w:val="18"/>
        </w:rPr>
        <w:t>ydrogen</w:t>
      </w:r>
      <w:r w:rsidR="0039319A">
        <w:rPr>
          <w:rFonts w:cs="Arial"/>
          <w:szCs w:val="18"/>
        </w:rPr>
        <w:t xml:space="preserve"> (LCOH) </w:t>
      </w:r>
      <w:r w:rsidR="0012447D">
        <w:rPr>
          <w:rFonts w:cs="Arial"/>
          <w:szCs w:val="18"/>
        </w:rPr>
        <w:t xml:space="preserve"> </w:t>
      </w:r>
      <w:r w:rsidR="00D768DC">
        <w:rPr>
          <w:rFonts w:cs="Arial"/>
          <w:szCs w:val="18"/>
        </w:rPr>
        <w:t>was found to be equal to</w:t>
      </w:r>
      <w:r w:rsidR="00A919FE">
        <w:rPr>
          <w:rFonts w:cs="Arial"/>
          <w:szCs w:val="18"/>
        </w:rPr>
        <w:t xml:space="preserve"> 6.</w:t>
      </w:r>
      <w:r w:rsidR="00B57930">
        <w:rPr>
          <w:rFonts w:cs="Arial"/>
          <w:szCs w:val="18"/>
        </w:rPr>
        <w:t>33</w:t>
      </w:r>
      <w:r w:rsidR="00A919FE">
        <w:rPr>
          <w:rFonts w:cs="Arial"/>
          <w:szCs w:val="18"/>
        </w:rPr>
        <w:t xml:space="preserve"> €/kg</w:t>
      </w:r>
      <w:r w:rsidR="00A919FE" w:rsidRPr="00D768DC">
        <w:rPr>
          <w:rFonts w:cs="Arial"/>
          <w:szCs w:val="18"/>
          <w:vertAlign w:val="subscript"/>
        </w:rPr>
        <w:t>H2</w:t>
      </w:r>
      <w:r w:rsidR="00A919FE">
        <w:rPr>
          <w:rFonts w:cs="Arial"/>
          <w:szCs w:val="18"/>
        </w:rPr>
        <w:t xml:space="preserve"> </w:t>
      </w:r>
      <w:r w:rsidR="00D768DC">
        <w:rPr>
          <w:rFonts w:cs="Arial"/>
          <w:szCs w:val="18"/>
        </w:rPr>
        <w:t>and</w:t>
      </w:r>
      <w:r w:rsidR="00A919FE">
        <w:rPr>
          <w:rFonts w:cs="Arial"/>
          <w:szCs w:val="18"/>
        </w:rPr>
        <w:t xml:space="preserve"> </w:t>
      </w:r>
      <w:r w:rsidR="00B57930">
        <w:rPr>
          <w:rFonts w:cs="Arial"/>
          <w:szCs w:val="18"/>
        </w:rPr>
        <w:t>6.67</w:t>
      </w:r>
      <w:r w:rsidR="00D768DC" w:rsidRPr="00D768DC">
        <w:rPr>
          <w:rFonts w:cs="Arial"/>
          <w:szCs w:val="18"/>
        </w:rPr>
        <w:t xml:space="preserve"> </w:t>
      </w:r>
      <w:r w:rsidR="00D768DC">
        <w:rPr>
          <w:rFonts w:cs="Arial"/>
          <w:szCs w:val="18"/>
        </w:rPr>
        <w:t>€/kg</w:t>
      </w:r>
      <w:r w:rsidR="00D768DC" w:rsidRPr="00D768DC">
        <w:rPr>
          <w:rFonts w:cs="Arial"/>
          <w:szCs w:val="18"/>
          <w:vertAlign w:val="subscript"/>
        </w:rPr>
        <w:t>H2</w:t>
      </w:r>
      <w:r w:rsidR="00D768DC" w:rsidRPr="00D768DC">
        <w:rPr>
          <w:rFonts w:cs="Arial"/>
          <w:szCs w:val="18"/>
        </w:rPr>
        <w:t>,</w:t>
      </w:r>
      <w:r w:rsidR="00D768DC">
        <w:rPr>
          <w:rFonts w:cs="Arial"/>
          <w:szCs w:val="18"/>
        </w:rPr>
        <w:t xml:space="preserve"> respectively for </w:t>
      </w:r>
      <w:r w:rsidR="00F86C11">
        <w:rPr>
          <w:rFonts w:cs="Arial"/>
          <w:szCs w:val="18"/>
        </w:rPr>
        <w:t xml:space="preserve">PEM and AEM electrolysis. </w:t>
      </w:r>
      <w:r w:rsidR="006B61C3">
        <w:rPr>
          <w:rFonts w:cs="Arial"/>
          <w:szCs w:val="18"/>
        </w:rPr>
        <w:t xml:space="preserve">Most of the cost is associated to </w:t>
      </w:r>
      <w:r w:rsidR="00495044">
        <w:rPr>
          <w:rFonts w:cs="Arial"/>
          <w:szCs w:val="18"/>
        </w:rPr>
        <w:t xml:space="preserve">energy </w:t>
      </w:r>
      <w:r w:rsidR="007D6212">
        <w:rPr>
          <w:rFonts w:cs="Arial"/>
          <w:szCs w:val="18"/>
        </w:rPr>
        <w:t>purchase during electrolysis</w:t>
      </w:r>
      <w:r w:rsidR="00381CBA">
        <w:rPr>
          <w:rFonts w:cs="Arial"/>
          <w:szCs w:val="18"/>
        </w:rPr>
        <w:t xml:space="preserve">, </w:t>
      </w:r>
      <w:r w:rsidR="00216157" w:rsidRPr="00216157">
        <w:rPr>
          <w:rFonts w:cs="Arial"/>
          <w:szCs w:val="18"/>
        </w:rPr>
        <w:t>while water treatment accounts for only 0.2</w:t>
      </w:r>
      <w:r w:rsidR="00BA0D2A">
        <w:rPr>
          <w:rFonts w:cs="Arial"/>
          <w:szCs w:val="18"/>
        </w:rPr>
        <w:t>0</w:t>
      </w:r>
      <w:r w:rsidR="00216157" w:rsidRPr="00216157">
        <w:rPr>
          <w:rFonts w:cs="Arial"/>
          <w:szCs w:val="18"/>
        </w:rPr>
        <w:t>–0.</w:t>
      </w:r>
      <w:r w:rsidR="00BA0D2A">
        <w:rPr>
          <w:rFonts w:cs="Arial"/>
          <w:szCs w:val="18"/>
        </w:rPr>
        <w:t>65</w:t>
      </w:r>
      <w:r w:rsidR="00216157" w:rsidRPr="00216157">
        <w:rPr>
          <w:rFonts w:cs="Arial"/>
          <w:szCs w:val="18"/>
        </w:rPr>
        <w:t>% of OPEX</w:t>
      </w:r>
      <w:r w:rsidR="007236F4">
        <w:rPr>
          <w:rFonts w:cs="Arial"/>
          <w:szCs w:val="18"/>
        </w:rPr>
        <w:t>.</w:t>
      </w:r>
    </w:p>
    <w:p w14:paraId="623EA3B2" w14:textId="270E62C5" w:rsidR="00C64FCC" w:rsidRPr="00C64FCC" w:rsidRDefault="00C64FCC" w:rsidP="00C64FCC">
      <w:pPr>
        <w:rPr>
          <w:rFonts w:cs="Arial"/>
          <w:szCs w:val="18"/>
        </w:rPr>
      </w:pPr>
      <w:r w:rsidRPr="00C64FCC">
        <w:rPr>
          <w:rFonts w:cs="Arial"/>
          <w:szCs w:val="18"/>
        </w:rPr>
        <w:t>The</w:t>
      </w:r>
      <w:r w:rsidR="00F824B7">
        <w:rPr>
          <w:rFonts w:cs="Arial"/>
          <w:szCs w:val="18"/>
        </w:rPr>
        <w:t>se</w:t>
      </w:r>
      <w:r w:rsidRPr="00C64FCC">
        <w:rPr>
          <w:rFonts w:cs="Arial"/>
          <w:szCs w:val="18"/>
        </w:rPr>
        <w:t xml:space="preserve"> findings highlight the importance of integrating desalination with green hydrogen production to </w:t>
      </w:r>
      <w:r w:rsidR="00056CFB" w:rsidRPr="00056CFB">
        <w:rPr>
          <w:rFonts w:cs="Arial"/>
          <w:szCs w:val="18"/>
        </w:rPr>
        <w:t>mitigate pressure on freshwater resources and advance the transition toward more sustainable energy systems</w:t>
      </w:r>
      <w:r w:rsidRPr="00C64FCC">
        <w:rPr>
          <w:rFonts w:cs="Arial"/>
          <w:szCs w:val="18"/>
        </w:rPr>
        <w:t xml:space="preserve">. The study underscores the necessity of redefining hydrogen production strategies by prioritizing seawater sources, enhancing process efficiencies, and leveraging renewable energy inputs. </w:t>
      </w:r>
    </w:p>
    <w:p w14:paraId="476B2F2E" w14:textId="52B36035" w:rsidR="00600535" w:rsidRPr="00B57B36" w:rsidRDefault="00600535" w:rsidP="00600535">
      <w:pPr>
        <w:pStyle w:val="CETHeading1"/>
        <w:rPr>
          <w:lang w:val="en-GB"/>
        </w:rPr>
      </w:pPr>
      <w:r w:rsidRPr="00B57B36">
        <w:rPr>
          <w:lang w:val="en-GB"/>
        </w:rPr>
        <w:t>Introduction</w:t>
      </w:r>
    </w:p>
    <w:p w14:paraId="43D79084" w14:textId="3EF941AF" w:rsidR="005D23EE" w:rsidRDefault="000A721F" w:rsidP="000A721F">
      <w:pPr>
        <w:rPr>
          <w:rFonts w:cs="Arial"/>
          <w:szCs w:val="18"/>
        </w:rPr>
      </w:pPr>
      <w:r w:rsidRPr="000A721F">
        <w:rPr>
          <w:rFonts w:cs="Arial"/>
          <w:szCs w:val="18"/>
        </w:rPr>
        <w:t xml:space="preserve">The transition towards a sustainable hydrogen economy imposes new challenges regarding the development of innovative production methods that can minimize overall environmental impacts through the reduction of the energy and resource consumption. One of the critical aspects related to hydrogen production with AEM and PEM electrolysis systems is the need </w:t>
      </w:r>
      <w:r w:rsidR="00AD482B">
        <w:rPr>
          <w:rFonts w:cs="Arial"/>
          <w:szCs w:val="18"/>
        </w:rPr>
        <w:t>for</w:t>
      </w:r>
      <w:r w:rsidRPr="000A721F">
        <w:rPr>
          <w:rFonts w:cs="Arial"/>
          <w:szCs w:val="18"/>
        </w:rPr>
        <w:t xml:space="preserve"> high-purity water</w:t>
      </w:r>
      <w:r w:rsidR="0056222D">
        <w:rPr>
          <w:rFonts w:cs="Arial"/>
          <w:szCs w:val="18"/>
        </w:rPr>
        <w:t xml:space="preserve"> </w:t>
      </w:r>
      <w:r w:rsidR="00AF3807">
        <w:rPr>
          <w:rFonts w:cs="Arial"/>
          <w:szCs w:val="18"/>
        </w:rPr>
        <w:t>(Becker et al., 2023)</w:t>
      </w:r>
      <w:r w:rsidRPr="000A721F">
        <w:rPr>
          <w:rFonts w:cs="Arial"/>
          <w:szCs w:val="18"/>
        </w:rPr>
        <w:t xml:space="preserve">. Moreover, the future demand </w:t>
      </w:r>
      <w:r w:rsidR="001A2CBB">
        <w:rPr>
          <w:rFonts w:cs="Arial"/>
          <w:szCs w:val="18"/>
        </w:rPr>
        <w:t>for</w:t>
      </w:r>
      <w:r w:rsidRPr="000A721F">
        <w:rPr>
          <w:rFonts w:cs="Arial"/>
          <w:szCs w:val="18"/>
        </w:rPr>
        <w:t xml:space="preserve"> increased amount</w:t>
      </w:r>
      <w:r w:rsidR="001A2CBB">
        <w:rPr>
          <w:rFonts w:cs="Arial"/>
          <w:szCs w:val="18"/>
        </w:rPr>
        <w:t>s</w:t>
      </w:r>
      <w:r w:rsidRPr="000A721F">
        <w:rPr>
          <w:rFonts w:cs="Arial"/>
          <w:szCs w:val="18"/>
        </w:rPr>
        <w:t xml:space="preserve"> of freshwater to guarantee hydrogen production, can create a competition with the human use, mostly nowadays when numerous countries face sever</w:t>
      </w:r>
      <w:r w:rsidR="000E6B9E">
        <w:rPr>
          <w:rFonts w:cs="Arial"/>
          <w:szCs w:val="18"/>
        </w:rPr>
        <w:t>e</w:t>
      </w:r>
      <w:r w:rsidRPr="000A721F">
        <w:rPr>
          <w:rFonts w:cs="Arial"/>
          <w:szCs w:val="18"/>
        </w:rPr>
        <w:t xml:space="preserve"> freshwater stress conditions</w:t>
      </w:r>
      <w:r w:rsidR="00B95D0F">
        <w:rPr>
          <w:rFonts w:cs="Arial"/>
          <w:szCs w:val="18"/>
        </w:rPr>
        <w:t xml:space="preserve"> (Kumar et al., 2024)</w:t>
      </w:r>
      <w:r w:rsidRPr="000A721F">
        <w:rPr>
          <w:rFonts w:cs="Arial"/>
          <w:szCs w:val="18"/>
        </w:rPr>
        <w:t xml:space="preserve">. </w:t>
      </w:r>
      <w:r w:rsidR="00CE3C1C" w:rsidRPr="00CE3C1C">
        <w:rPr>
          <w:rFonts w:cs="Arial"/>
          <w:szCs w:val="18"/>
        </w:rPr>
        <w:t>Hydrogen can be produced from seawater either (</w:t>
      </w:r>
      <w:proofErr w:type="spellStart"/>
      <w:r w:rsidR="00CE3C1C" w:rsidRPr="00CE3C1C">
        <w:rPr>
          <w:rFonts w:cs="Arial"/>
          <w:szCs w:val="18"/>
        </w:rPr>
        <w:t>i</w:t>
      </w:r>
      <w:proofErr w:type="spellEnd"/>
      <w:r w:rsidR="00CE3C1C" w:rsidRPr="00CE3C1C">
        <w:rPr>
          <w:rFonts w:cs="Arial"/>
          <w:szCs w:val="18"/>
        </w:rPr>
        <w:t>) directly, by feeding raw seawater to the electrolyser, or (ii) indirectly, via a desalination ‘pre-treatment’ that supplies ultrapure water to a conventional electrolyser</w:t>
      </w:r>
      <w:r w:rsidR="00CE3C1C">
        <w:rPr>
          <w:rFonts w:cs="Arial"/>
          <w:szCs w:val="18"/>
        </w:rPr>
        <w:t xml:space="preserve">. </w:t>
      </w:r>
      <w:r w:rsidR="00B15688" w:rsidRPr="00B15688">
        <w:rPr>
          <w:rFonts w:cs="Arial"/>
          <w:szCs w:val="18"/>
        </w:rPr>
        <w:t xml:space="preserve">In this context, various </w:t>
      </w:r>
      <w:r w:rsidR="00A820F6">
        <w:rPr>
          <w:rFonts w:cs="Arial"/>
          <w:szCs w:val="18"/>
        </w:rPr>
        <w:t>studies</w:t>
      </w:r>
      <w:r w:rsidR="00B15688" w:rsidRPr="00B15688">
        <w:rPr>
          <w:rFonts w:cs="Arial"/>
          <w:szCs w:val="18"/>
        </w:rPr>
        <w:t xml:space="preserve"> have been published in recent years concerning direct seawater electrolysis, exploring experimental approaches. Liu et al. (2024) tested a floating electrolysis plant capable of operating for over 240 hours with a specific consumption of 55.63 kWh/kg</w:t>
      </w:r>
      <w:r w:rsidR="00B15688" w:rsidRPr="00A820F6">
        <w:rPr>
          <w:rFonts w:cs="Arial"/>
          <w:szCs w:val="18"/>
          <w:vertAlign w:val="subscript"/>
        </w:rPr>
        <w:t>H2</w:t>
      </w:r>
      <w:r w:rsidR="00B15688" w:rsidRPr="00B15688">
        <w:rPr>
          <w:rFonts w:cs="Arial"/>
          <w:szCs w:val="18"/>
        </w:rPr>
        <w:t>, while Xie et al. (2022) proposed a novel membrane for direct seawater processing, achieving good stability for more than 3,000 working hours. However, while direct seawater electrolysis represents a promising long-term frontier, its current technology readiness level often limits immediate commercial application</w:t>
      </w:r>
      <w:r w:rsidR="00F0393E">
        <w:rPr>
          <w:rFonts w:cs="Arial"/>
          <w:szCs w:val="18"/>
        </w:rPr>
        <w:t xml:space="preserve">. </w:t>
      </w:r>
      <w:r w:rsidR="00C66BCC">
        <w:rPr>
          <w:rFonts w:cs="Arial"/>
          <w:szCs w:val="18"/>
        </w:rPr>
        <w:t>Conversely</w:t>
      </w:r>
      <w:r w:rsidR="008E4BA7">
        <w:rPr>
          <w:rFonts w:cs="Arial"/>
          <w:szCs w:val="18"/>
        </w:rPr>
        <w:t>,</w:t>
      </w:r>
      <w:r w:rsidR="00D220D0" w:rsidRPr="000A721F">
        <w:rPr>
          <w:rFonts w:cs="Arial"/>
          <w:szCs w:val="18"/>
        </w:rPr>
        <w:t xml:space="preserve"> the adoption of purified seawater as inlet feed stream to the electrolysis unit is a </w:t>
      </w:r>
      <w:r w:rsidR="00D3587A">
        <w:rPr>
          <w:rFonts w:cs="Arial"/>
          <w:szCs w:val="18"/>
        </w:rPr>
        <w:t xml:space="preserve">practical </w:t>
      </w:r>
      <w:r w:rsidR="00D220D0" w:rsidRPr="000A721F">
        <w:rPr>
          <w:rFonts w:cs="Arial"/>
          <w:szCs w:val="18"/>
        </w:rPr>
        <w:t xml:space="preserve">solution that </w:t>
      </w:r>
      <w:r w:rsidR="00FF51AF">
        <w:rPr>
          <w:rFonts w:cs="Arial"/>
          <w:szCs w:val="18"/>
        </w:rPr>
        <w:t>has</w:t>
      </w:r>
      <w:r w:rsidR="00D220D0" w:rsidRPr="000A721F">
        <w:rPr>
          <w:rFonts w:cs="Arial"/>
          <w:szCs w:val="18"/>
        </w:rPr>
        <w:t xml:space="preserve"> gain</w:t>
      </w:r>
      <w:r w:rsidR="00FF51AF">
        <w:rPr>
          <w:rFonts w:cs="Arial"/>
          <w:szCs w:val="18"/>
        </w:rPr>
        <w:t>ed</w:t>
      </w:r>
      <w:r w:rsidR="00D220D0" w:rsidRPr="000A721F">
        <w:rPr>
          <w:rFonts w:cs="Arial"/>
          <w:szCs w:val="18"/>
        </w:rPr>
        <w:t xml:space="preserve"> </w:t>
      </w:r>
      <w:r w:rsidR="005B5405">
        <w:rPr>
          <w:rFonts w:cs="Arial"/>
          <w:szCs w:val="18"/>
        </w:rPr>
        <w:t>increased</w:t>
      </w:r>
      <w:r w:rsidR="00D220D0" w:rsidRPr="000A721F">
        <w:rPr>
          <w:rFonts w:cs="Arial"/>
          <w:szCs w:val="18"/>
        </w:rPr>
        <w:t xml:space="preserve"> attention during the last years</w:t>
      </w:r>
      <w:r w:rsidR="00D03EB6">
        <w:rPr>
          <w:rFonts w:cs="Arial"/>
          <w:szCs w:val="18"/>
        </w:rPr>
        <w:t xml:space="preserve">, since it can </w:t>
      </w:r>
      <w:r w:rsidR="005B5405">
        <w:rPr>
          <w:rFonts w:cs="Arial"/>
          <w:szCs w:val="18"/>
        </w:rPr>
        <w:t>operate</w:t>
      </w:r>
      <w:r w:rsidR="00D03EB6">
        <w:rPr>
          <w:rFonts w:cs="Arial"/>
          <w:szCs w:val="18"/>
        </w:rPr>
        <w:t xml:space="preserve"> with </w:t>
      </w:r>
      <w:r w:rsidR="00720867">
        <w:rPr>
          <w:rFonts w:cs="Arial"/>
          <w:szCs w:val="18"/>
        </w:rPr>
        <w:t>commercial</w:t>
      </w:r>
      <w:r w:rsidR="00D03EB6">
        <w:rPr>
          <w:rFonts w:cs="Arial"/>
          <w:szCs w:val="18"/>
        </w:rPr>
        <w:t xml:space="preserve"> technologies </w:t>
      </w:r>
      <w:r w:rsidR="00D220D0">
        <w:rPr>
          <w:rFonts w:cs="Arial"/>
          <w:szCs w:val="18"/>
        </w:rPr>
        <w:t>(Khan et al., 2021</w:t>
      </w:r>
      <w:r w:rsidR="002F506D">
        <w:rPr>
          <w:rFonts w:cs="Arial"/>
          <w:szCs w:val="18"/>
        </w:rPr>
        <w:t>).</w:t>
      </w:r>
      <w:r w:rsidR="00D220D0" w:rsidRPr="000A721F">
        <w:rPr>
          <w:rFonts w:cs="Arial"/>
          <w:szCs w:val="18"/>
        </w:rPr>
        <w:t xml:space="preserve"> Although the energy consumption and the environmental impact of desalination processes </w:t>
      </w:r>
      <w:r w:rsidR="000239ED">
        <w:rPr>
          <w:rFonts w:cs="Arial"/>
          <w:szCs w:val="18"/>
        </w:rPr>
        <w:t>are</w:t>
      </w:r>
      <w:r w:rsidR="00D220D0" w:rsidRPr="000A721F">
        <w:rPr>
          <w:rFonts w:cs="Arial"/>
          <w:szCs w:val="18"/>
        </w:rPr>
        <w:t xml:space="preserve"> minimal compared to that of hydrogen production, conventional desalination plant</w:t>
      </w:r>
      <w:r w:rsidR="001931DC">
        <w:rPr>
          <w:rFonts w:cs="Arial"/>
          <w:szCs w:val="18"/>
        </w:rPr>
        <w:t>s</w:t>
      </w:r>
      <w:r w:rsidR="00D220D0" w:rsidRPr="000A721F">
        <w:rPr>
          <w:rFonts w:cs="Arial"/>
          <w:szCs w:val="18"/>
        </w:rPr>
        <w:t xml:space="preserve"> are energy-intensive and present potential for mitigation</w:t>
      </w:r>
      <w:r w:rsidR="00D220D0">
        <w:rPr>
          <w:rFonts w:cs="Arial"/>
          <w:szCs w:val="18"/>
        </w:rPr>
        <w:t xml:space="preserve"> (Bamba et al 2024)</w:t>
      </w:r>
      <w:r w:rsidR="00D220D0" w:rsidRPr="000A721F">
        <w:rPr>
          <w:rFonts w:cs="Arial"/>
          <w:szCs w:val="18"/>
        </w:rPr>
        <w:t>.</w:t>
      </w:r>
      <w:r w:rsidR="00D220D0">
        <w:rPr>
          <w:rFonts w:cs="Arial"/>
          <w:szCs w:val="18"/>
        </w:rPr>
        <w:t xml:space="preserve"> </w:t>
      </w:r>
      <w:r w:rsidR="00846A54">
        <w:rPr>
          <w:rFonts w:cs="Arial"/>
          <w:szCs w:val="18"/>
        </w:rPr>
        <w:lastRenderedPageBreak/>
        <w:t xml:space="preserve">As </w:t>
      </w:r>
      <w:r w:rsidR="003D729E">
        <w:rPr>
          <w:rFonts w:cs="Arial"/>
          <w:szCs w:val="18"/>
        </w:rPr>
        <w:t>per</w:t>
      </w:r>
      <w:r w:rsidR="00846A54">
        <w:rPr>
          <w:rFonts w:cs="Arial"/>
          <w:szCs w:val="18"/>
        </w:rPr>
        <w:t xml:space="preserve"> the authors</w:t>
      </w:r>
      <w:r w:rsidR="003D729E">
        <w:rPr>
          <w:rFonts w:cs="Arial"/>
          <w:szCs w:val="18"/>
        </w:rPr>
        <w:t>’</w:t>
      </w:r>
      <w:r w:rsidR="00846A54">
        <w:rPr>
          <w:rFonts w:cs="Arial"/>
          <w:szCs w:val="18"/>
        </w:rPr>
        <w:t xml:space="preserve"> knowledge, t</w:t>
      </w:r>
      <w:r w:rsidR="00201B90">
        <w:rPr>
          <w:rFonts w:cs="Arial"/>
          <w:szCs w:val="18"/>
        </w:rPr>
        <w:t>he</w:t>
      </w:r>
      <w:r w:rsidR="00BB1478">
        <w:rPr>
          <w:rFonts w:cs="Arial"/>
          <w:szCs w:val="18"/>
        </w:rPr>
        <w:t xml:space="preserve"> environmental and economical aspects of</w:t>
      </w:r>
      <w:r w:rsidR="00201B90">
        <w:rPr>
          <w:rFonts w:cs="Arial"/>
          <w:szCs w:val="18"/>
        </w:rPr>
        <w:t xml:space="preserve"> coupling </w:t>
      </w:r>
      <w:r w:rsidR="002347A0">
        <w:rPr>
          <w:rFonts w:cs="Arial"/>
          <w:szCs w:val="18"/>
        </w:rPr>
        <w:t>seawater purification system and PEM</w:t>
      </w:r>
      <w:r w:rsidR="00045867">
        <w:rPr>
          <w:rFonts w:cs="Arial"/>
          <w:szCs w:val="18"/>
        </w:rPr>
        <w:t xml:space="preserve"> </w:t>
      </w:r>
      <w:r w:rsidR="002347A0">
        <w:rPr>
          <w:rFonts w:cs="Arial"/>
          <w:szCs w:val="18"/>
        </w:rPr>
        <w:t>or AEM electrodialysis</w:t>
      </w:r>
      <w:r w:rsidR="00BB1478">
        <w:rPr>
          <w:rFonts w:cs="Arial"/>
          <w:szCs w:val="18"/>
        </w:rPr>
        <w:t xml:space="preserve"> </w:t>
      </w:r>
      <w:r w:rsidR="00FF3B7F">
        <w:rPr>
          <w:rFonts w:cs="Arial"/>
          <w:szCs w:val="18"/>
        </w:rPr>
        <w:t xml:space="preserve">has been studied </w:t>
      </w:r>
      <w:r w:rsidR="007C71C9">
        <w:rPr>
          <w:rFonts w:cs="Arial"/>
          <w:szCs w:val="18"/>
        </w:rPr>
        <w:t xml:space="preserve">by </w:t>
      </w:r>
      <w:r w:rsidR="00FF3B7F">
        <w:rPr>
          <w:rFonts w:cs="Arial"/>
          <w:szCs w:val="18"/>
        </w:rPr>
        <w:t xml:space="preserve">only </w:t>
      </w:r>
      <w:r w:rsidR="007C71C9">
        <w:rPr>
          <w:rFonts w:cs="Arial"/>
          <w:szCs w:val="18"/>
        </w:rPr>
        <w:t xml:space="preserve">a </w:t>
      </w:r>
      <w:r w:rsidR="00FF3B7F">
        <w:rPr>
          <w:rFonts w:cs="Arial"/>
          <w:szCs w:val="18"/>
        </w:rPr>
        <w:t xml:space="preserve">few authors in the recent literature. </w:t>
      </w:r>
      <w:r w:rsidR="003D2A7F">
        <w:rPr>
          <w:rFonts w:cs="Arial"/>
          <w:szCs w:val="18"/>
        </w:rPr>
        <w:t>Khan et al</w:t>
      </w:r>
      <w:r w:rsidR="009B6B42">
        <w:rPr>
          <w:rFonts w:cs="Arial"/>
          <w:szCs w:val="18"/>
        </w:rPr>
        <w:t xml:space="preserve">., </w:t>
      </w:r>
      <w:r w:rsidR="007859C6">
        <w:rPr>
          <w:rFonts w:cs="Arial"/>
          <w:szCs w:val="18"/>
        </w:rPr>
        <w:t xml:space="preserve">(2021) </w:t>
      </w:r>
      <w:r w:rsidR="00C93C69">
        <w:rPr>
          <w:rFonts w:cs="Arial"/>
          <w:szCs w:val="18"/>
        </w:rPr>
        <w:t xml:space="preserve">evaluated the </w:t>
      </w:r>
      <w:r w:rsidR="00331857">
        <w:rPr>
          <w:rFonts w:cs="Arial"/>
          <w:szCs w:val="18"/>
        </w:rPr>
        <w:t>emission</w:t>
      </w:r>
      <w:r w:rsidR="00F8492B">
        <w:rPr>
          <w:rFonts w:cs="Arial"/>
          <w:szCs w:val="18"/>
        </w:rPr>
        <w:t>s</w:t>
      </w:r>
      <w:r w:rsidR="00331857">
        <w:rPr>
          <w:rFonts w:cs="Arial"/>
          <w:szCs w:val="18"/>
        </w:rPr>
        <w:t xml:space="preserve"> in terms of CO</w:t>
      </w:r>
      <w:r w:rsidR="00331857" w:rsidRPr="00331857">
        <w:rPr>
          <w:rFonts w:cs="Arial"/>
          <w:szCs w:val="18"/>
          <w:vertAlign w:val="subscript"/>
        </w:rPr>
        <w:t>2eq</w:t>
      </w:r>
      <w:r w:rsidR="00331857">
        <w:rPr>
          <w:rFonts w:cs="Arial"/>
          <w:szCs w:val="18"/>
        </w:rPr>
        <w:t>/kg</w:t>
      </w:r>
      <w:r w:rsidR="00331857" w:rsidRPr="00331857">
        <w:rPr>
          <w:rFonts w:cs="Arial"/>
          <w:szCs w:val="18"/>
          <w:vertAlign w:val="subscript"/>
        </w:rPr>
        <w:t>H2</w:t>
      </w:r>
      <w:r w:rsidR="00331857">
        <w:rPr>
          <w:rFonts w:cs="Arial"/>
          <w:szCs w:val="18"/>
        </w:rPr>
        <w:t xml:space="preserve"> and the levelized cost of hydrogen </w:t>
      </w:r>
      <w:r w:rsidR="007041F5">
        <w:rPr>
          <w:rFonts w:cs="Arial"/>
          <w:szCs w:val="18"/>
        </w:rPr>
        <w:t>for a system composed of a seawater reverse osmosis plant and a PEM electrolyzer</w:t>
      </w:r>
      <w:r w:rsidR="00045867">
        <w:rPr>
          <w:rFonts w:cs="Arial"/>
          <w:szCs w:val="18"/>
        </w:rPr>
        <w:t xml:space="preserve">, </w:t>
      </w:r>
      <w:r w:rsidR="005052BC">
        <w:rPr>
          <w:rFonts w:cs="Arial"/>
          <w:szCs w:val="18"/>
        </w:rPr>
        <w:t>with a production rate of</w:t>
      </w:r>
      <w:r w:rsidR="00045867">
        <w:rPr>
          <w:rFonts w:cs="Arial"/>
          <w:szCs w:val="18"/>
        </w:rPr>
        <w:t xml:space="preserve"> 50 tons of hydrogen per day.</w:t>
      </w:r>
      <w:r w:rsidR="001810CE">
        <w:rPr>
          <w:rFonts w:cs="Arial"/>
          <w:szCs w:val="18"/>
        </w:rPr>
        <w:t xml:space="preserve"> </w:t>
      </w:r>
      <w:r w:rsidR="00460DD9">
        <w:rPr>
          <w:rFonts w:cs="Arial"/>
          <w:szCs w:val="18"/>
        </w:rPr>
        <w:t>D</w:t>
      </w:r>
      <w:r w:rsidR="00B13C07">
        <w:rPr>
          <w:rFonts w:cs="Arial"/>
          <w:szCs w:val="18"/>
        </w:rPr>
        <w:t>o</w:t>
      </w:r>
      <w:r w:rsidR="00460DD9">
        <w:rPr>
          <w:rFonts w:cs="Arial"/>
          <w:szCs w:val="18"/>
        </w:rPr>
        <w:t>khani et al., (2023)</w:t>
      </w:r>
      <w:r w:rsidR="004B11C6">
        <w:rPr>
          <w:rFonts w:cs="Arial"/>
          <w:szCs w:val="18"/>
        </w:rPr>
        <w:t xml:space="preserve"> </w:t>
      </w:r>
      <w:r w:rsidR="00460DD9">
        <w:rPr>
          <w:rFonts w:cs="Arial"/>
          <w:szCs w:val="18"/>
        </w:rPr>
        <w:t xml:space="preserve">proposed a techno-economic evaluation </w:t>
      </w:r>
      <w:r w:rsidR="005126BB">
        <w:rPr>
          <w:rFonts w:cs="Arial"/>
          <w:szCs w:val="18"/>
        </w:rPr>
        <w:t xml:space="preserve">of </w:t>
      </w:r>
      <w:r w:rsidR="009257BE">
        <w:rPr>
          <w:rFonts w:cs="Arial"/>
          <w:szCs w:val="18"/>
        </w:rPr>
        <w:t xml:space="preserve">PEM electrolyzer fed with seawater treated through </w:t>
      </w:r>
      <w:r w:rsidR="005126BB">
        <w:rPr>
          <w:rFonts w:cs="Arial"/>
          <w:szCs w:val="18"/>
        </w:rPr>
        <w:t>a single or double</w:t>
      </w:r>
      <w:r w:rsidR="00EA173D">
        <w:rPr>
          <w:rFonts w:cs="Arial"/>
          <w:szCs w:val="18"/>
        </w:rPr>
        <w:t>-</w:t>
      </w:r>
      <w:r w:rsidR="009257BE">
        <w:rPr>
          <w:rFonts w:cs="Arial"/>
          <w:szCs w:val="18"/>
        </w:rPr>
        <w:t>stage</w:t>
      </w:r>
      <w:r w:rsidR="005126BB">
        <w:rPr>
          <w:rFonts w:cs="Arial"/>
          <w:szCs w:val="18"/>
        </w:rPr>
        <w:t xml:space="preserve"> reverse osmosis </w:t>
      </w:r>
      <w:r w:rsidR="009257BE">
        <w:rPr>
          <w:rFonts w:cs="Arial"/>
          <w:szCs w:val="18"/>
        </w:rPr>
        <w:t xml:space="preserve">process. </w:t>
      </w:r>
      <w:r w:rsidR="003205FE">
        <w:rPr>
          <w:rFonts w:cs="Arial"/>
          <w:szCs w:val="18"/>
        </w:rPr>
        <w:t xml:space="preserve">The economic </w:t>
      </w:r>
      <w:r w:rsidR="00D0010B">
        <w:rPr>
          <w:rFonts w:cs="Arial"/>
          <w:szCs w:val="18"/>
        </w:rPr>
        <w:t xml:space="preserve">assessment </w:t>
      </w:r>
      <w:r w:rsidR="00EA173D">
        <w:rPr>
          <w:rFonts w:cs="Arial"/>
          <w:szCs w:val="18"/>
        </w:rPr>
        <w:t xml:space="preserve">also </w:t>
      </w:r>
      <w:r w:rsidR="00D0010B">
        <w:rPr>
          <w:rFonts w:cs="Arial"/>
          <w:szCs w:val="18"/>
        </w:rPr>
        <w:t>encompass</w:t>
      </w:r>
      <w:r w:rsidR="00EA173D">
        <w:rPr>
          <w:rFonts w:cs="Arial"/>
          <w:szCs w:val="18"/>
        </w:rPr>
        <w:t>es</w:t>
      </w:r>
      <w:r w:rsidR="00D0010B">
        <w:rPr>
          <w:rFonts w:cs="Arial"/>
          <w:szCs w:val="18"/>
        </w:rPr>
        <w:t xml:space="preserve"> </w:t>
      </w:r>
      <w:r w:rsidR="00D31657">
        <w:rPr>
          <w:rFonts w:cs="Arial"/>
          <w:szCs w:val="18"/>
        </w:rPr>
        <w:t xml:space="preserve">the recourse to different energy sources like grid electricity, </w:t>
      </w:r>
      <w:r w:rsidR="00264B7E">
        <w:rPr>
          <w:rFonts w:cs="Arial"/>
          <w:szCs w:val="18"/>
        </w:rPr>
        <w:t>photovoltaic (</w:t>
      </w:r>
      <w:r w:rsidR="00DE1290">
        <w:rPr>
          <w:rFonts w:cs="Arial"/>
          <w:szCs w:val="18"/>
        </w:rPr>
        <w:t>PV</w:t>
      </w:r>
      <w:r w:rsidR="00264B7E">
        <w:rPr>
          <w:rFonts w:cs="Arial"/>
          <w:szCs w:val="18"/>
        </w:rPr>
        <w:t>)</w:t>
      </w:r>
      <w:r w:rsidR="00DE1290">
        <w:rPr>
          <w:rFonts w:cs="Arial"/>
          <w:szCs w:val="18"/>
        </w:rPr>
        <w:t xml:space="preserve"> or wind </w:t>
      </w:r>
      <w:r w:rsidR="009D62E5">
        <w:rPr>
          <w:rFonts w:cs="Arial"/>
          <w:szCs w:val="18"/>
        </w:rPr>
        <w:t xml:space="preserve">and a combination among them with or without the use of battery storage. </w:t>
      </w:r>
    </w:p>
    <w:p w14:paraId="7893813A" w14:textId="67635510" w:rsidR="001D517C" w:rsidRDefault="00A92CBD" w:rsidP="000A721F">
      <w:pPr>
        <w:rPr>
          <w:rFonts w:cs="Arial"/>
          <w:szCs w:val="18"/>
        </w:rPr>
      </w:pPr>
      <w:r>
        <w:rPr>
          <w:rFonts w:cs="Arial"/>
          <w:szCs w:val="18"/>
        </w:rPr>
        <w:t>The present work</w:t>
      </w:r>
      <w:r w:rsidR="0068491B">
        <w:rPr>
          <w:rFonts w:cs="Arial"/>
          <w:szCs w:val="18"/>
        </w:rPr>
        <w:t>, therefore,</w:t>
      </w:r>
      <w:r>
        <w:rPr>
          <w:rFonts w:cs="Arial"/>
          <w:szCs w:val="18"/>
        </w:rPr>
        <w:t xml:space="preserve"> </w:t>
      </w:r>
      <w:r w:rsidR="000628C8">
        <w:rPr>
          <w:rFonts w:cs="Arial"/>
          <w:szCs w:val="18"/>
        </w:rPr>
        <w:t>evaluate</w:t>
      </w:r>
      <w:r w:rsidR="0053282C">
        <w:rPr>
          <w:rFonts w:cs="Arial"/>
          <w:szCs w:val="18"/>
        </w:rPr>
        <w:t>s</w:t>
      </w:r>
      <w:r w:rsidR="000628C8">
        <w:rPr>
          <w:rFonts w:cs="Arial"/>
          <w:szCs w:val="18"/>
        </w:rPr>
        <w:t xml:space="preserve"> the </w:t>
      </w:r>
      <w:r w:rsidR="00B84B4A">
        <w:rPr>
          <w:rFonts w:cs="Arial"/>
          <w:szCs w:val="18"/>
        </w:rPr>
        <w:t>G</w:t>
      </w:r>
      <w:r w:rsidR="000628C8">
        <w:rPr>
          <w:rFonts w:cs="Arial"/>
          <w:szCs w:val="18"/>
        </w:rPr>
        <w:t xml:space="preserve">WP and the LCOH </w:t>
      </w:r>
      <w:r w:rsidR="00B74FF9">
        <w:rPr>
          <w:rFonts w:cs="Arial"/>
          <w:szCs w:val="18"/>
        </w:rPr>
        <w:t xml:space="preserve">of a PEM and AEM electrolysis plant </w:t>
      </w:r>
      <w:r w:rsidR="00161A2A">
        <w:rPr>
          <w:rFonts w:cs="Arial"/>
          <w:szCs w:val="18"/>
        </w:rPr>
        <w:t xml:space="preserve">exclusively </w:t>
      </w:r>
      <w:r w:rsidR="00FB6A56">
        <w:rPr>
          <w:rFonts w:cs="Arial"/>
          <w:szCs w:val="18"/>
        </w:rPr>
        <w:t xml:space="preserve">fed with ultra-pure water </w:t>
      </w:r>
      <w:r w:rsidR="00CA5DA2">
        <w:rPr>
          <w:rFonts w:cs="Arial"/>
          <w:szCs w:val="18"/>
        </w:rPr>
        <w:t>produced from a seawater treatment system.</w:t>
      </w:r>
      <w:r w:rsidR="0055627A">
        <w:rPr>
          <w:rFonts w:cs="Arial"/>
          <w:szCs w:val="18"/>
        </w:rPr>
        <w:t xml:space="preserve"> The aim is to </w:t>
      </w:r>
      <w:r w:rsidR="00664FA9">
        <w:rPr>
          <w:rFonts w:cs="Arial"/>
          <w:szCs w:val="18"/>
        </w:rPr>
        <w:t>assess</w:t>
      </w:r>
      <w:r w:rsidR="0055627A">
        <w:rPr>
          <w:rFonts w:cs="Arial"/>
          <w:szCs w:val="18"/>
        </w:rPr>
        <w:t xml:space="preserve"> </w:t>
      </w:r>
      <w:r w:rsidR="00D12388">
        <w:rPr>
          <w:rFonts w:cs="Arial"/>
          <w:szCs w:val="18"/>
        </w:rPr>
        <w:t>the feasibility</w:t>
      </w:r>
      <w:r w:rsidR="00B80A50">
        <w:rPr>
          <w:rFonts w:cs="Arial"/>
          <w:szCs w:val="18"/>
        </w:rPr>
        <w:t xml:space="preserve"> of</w:t>
      </w:r>
      <w:r w:rsidR="00D36146">
        <w:rPr>
          <w:rFonts w:cs="Arial"/>
          <w:szCs w:val="18"/>
        </w:rPr>
        <w:t xml:space="preserve"> </w:t>
      </w:r>
      <w:r w:rsidR="00664FA9">
        <w:rPr>
          <w:rFonts w:cs="Arial"/>
          <w:szCs w:val="18"/>
        </w:rPr>
        <w:t>employing</w:t>
      </w:r>
      <w:r w:rsidR="00D36146">
        <w:rPr>
          <w:rFonts w:cs="Arial"/>
          <w:szCs w:val="18"/>
        </w:rPr>
        <w:t xml:space="preserve"> </w:t>
      </w:r>
      <w:r w:rsidR="003C356D">
        <w:rPr>
          <w:rFonts w:cs="Arial"/>
          <w:szCs w:val="18"/>
        </w:rPr>
        <w:t xml:space="preserve">purified </w:t>
      </w:r>
      <w:r w:rsidR="00D36146">
        <w:rPr>
          <w:rFonts w:cs="Arial"/>
          <w:szCs w:val="18"/>
        </w:rPr>
        <w:t>sea</w:t>
      </w:r>
      <w:r w:rsidR="003C356D">
        <w:rPr>
          <w:rFonts w:cs="Arial"/>
          <w:szCs w:val="18"/>
        </w:rPr>
        <w:t xml:space="preserve">water </w:t>
      </w:r>
      <w:r w:rsidR="00B80A50">
        <w:rPr>
          <w:rFonts w:cs="Arial"/>
          <w:szCs w:val="18"/>
        </w:rPr>
        <w:t>for</w:t>
      </w:r>
      <w:r w:rsidR="003C356D">
        <w:rPr>
          <w:rFonts w:cs="Arial"/>
          <w:szCs w:val="18"/>
        </w:rPr>
        <w:t xml:space="preserve"> hydrogen production</w:t>
      </w:r>
      <w:r w:rsidR="00B80A50">
        <w:rPr>
          <w:rFonts w:cs="Arial"/>
          <w:szCs w:val="18"/>
        </w:rPr>
        <w:t xml:space="preserve"> by evaluating the impact of </w:t>
      </w:r>
      <w:r w:rsidR="00DC24F3">
        <w:rPr>
          <w:rFonts w:cs="Arial"/>
          <w:szCs w:val="18"/>
        </w:rPr>
        <w:t>t</w:t>
      </w:r>
      <w:r w:rsidR="00E75135">
        <w:rPr>
          <w:rFonts w:cs="Arial"/>
          <w:szCs w:val="18"/>
        </w:rPr>
        <w:t xml:space="preserve">he water treatment system </w:t>
      </w:r>
      <w:r w:rsidR="00DC24F3">
        <w:rPr>
          <w:rFonts w:cs="Arial"/>
          <w:szCs w:val="18"/>
        </w:rPr>
        <w:t xml:space="preserve">on the overall hydrogen </w:t>
      </w:r>
      <w:r w:rsidR="00815105">
        <w:rPr>
          <w:rFonts w:cs="Arial"/>
          <w:szCs w:val="18"/>
        </w:rPr>
        <w:t>generation</w:t>
      </w:r>
      <w:r w:rsidR="00DC24F3">
        <w:rPr>
          <w:rFonts w:cs="Arial"/>
          <w:szCs w:val="18"/>
        </w:rPr>
        <w:t>.</w:t>
      </w:r>
      <w:r w:rsidR="00815105">
        <w:rPr>
          <w:rFonts w:cs="Arial"/>
          <w:szCs w:val="18"/>
        </w:rPr>
        <w:t xml:space="preserve"> </w:t>
      </w:r>
    </w:p>
    <w:p w14:paraId="776951EC" w14:textId="39371EBB" w:rsidR="001D517C" w:rsidRDefault="00F600F4" w:rsidP="00F600F4">
      <w:pPr>
        <w:pStyle w:val="CETHeading1"/>
      </w:pPr>
      <w:r>
        <w:t xml:space="preserve">Materials and methods </w:t>
      </w:r>
    </w:p>
    <w:p w14:paraId="339F6F73" w14:textId="4F22F799" w:rsidR="003A4D14" w:rsidRDefault="0070221D" w:rsidP="007F6B62">
      <w:pPr>
        <w:pStyle w:val="CETheadingx"/>
      </w:pPr>
      <w:r>
        <w:t>Goal and scope</w:t>
      </w:r>
    </w:p>
    <w:p w14:paraId="5B05F0EE" w14:textId="2B476F57" w:rsidR="000764D5" w:rsidRPr="006F4A80" w:rsidRDefault="003A0F2F" w:rsidP="007F6B62">
      <w:pPr>
        <w:pStyle w:val="CETBodytext"/>
      </w:pPr>
      <w:r w:rsidRPr="003A0F2F">
        <w:t>The functional unit is defined as the production of 1 kg of hydrogen, and the analysis adopts a cradle-to-gate system boundary</w:t>
      </w:r>
      <w:r w:rsidR="005410B7">
        <w:t>.</w:t>
      </w:r>
      <w:r w:rsidRPr="003A0F2F">
        <w:t xml:space="preserve"> </w:t>
      </w:r>
      <w:r w:rsidR="005410B7">
        <w:t>E</w:t>
      </w:r>
      <w:r w:rsidRPr="003A0F2F">
        <w:t>nvironmental burdens are therefore accounted for from raw-material extraction and plant construction up to the point at which the hydrogen leaves the electrolysis facility</w:t>
      </w:r>
      <w:r w:rsidR="00843B90" w:rsidRPr="003A0F2F">
        <w:t>.</w:t>
      </w:r>
      <w:r w:rsidR="00F1139B" w:rsidRPr="003A0F2F">
        <w:t xml:space="preserve"> </w:t>
      </w:r>
      <w:r w:rsidR="00BA342F">
        <w:t xml:space="preserve">Electrolyzer size </w:t>
      </w:r>
      <w:r w:rsidR="005410B7">
        <w:t>was</w:t>
      </w:r>
      <w:r w:rsidR="00BA342F">
        <w:t xml:space="preserve"> </w:t>
      </w:r>
      <w:r w:rsidR="00364FBC">
        <w:t>s</w:t>
      </w:r>
      <w:r w:rsidR="00BA342F">
        <w:t>et equal to 1 MW</w:t>
      </w:r>
      <w:r w:rsidR="00364FBC">
        <w:t>, while the water purification system</w:t>
      </w:r>
      <w:r w:rsidR="002F7074" w:rsidRPr="003A0F2F">
        <w:t xml:space="preserve"> </w:t>
      </w:r>
      <w:r w:rsidR="00732BD6">
        <w:t>can treat approximately 1,000 m</w:t>
      </w:r>
      <w:r w:rsidR="00732BD6" w:rsidRPr="00732BD6">
        <w:rPr>
          <w:vertAlign w:val="superscript"/>
        </w:rPr>
        <w:t>3</w:t>
      </w:r>
      <w:r w:rsidR="001B7085">
        <w:t>/</w:t>
      </w:r>
      <w:r w:rsidR="00732BD6">
        <w:t>h</w:t>
      </w:r>
      <w:r w:rsidR="006E05E9">
        <w:t xml:space="preserve">, since it was assumed that it can </w:t>
      </w:r>
      <w:r w:rsidR="00766B59">
        <w:t xml:space="preserve">supply </w:t>
      </w:r>
      <w:r w:rsidR="006E05E9">
        <w:t>ultrapure water to other industrial activities</w:t>
      </w:r>
      <w:r w:rsidR="00B4584B">
        <w:t xml:space="preserve">. </w:t>
      </w:r>
      <w:r w:rsidR="00B44E73" w:rsidRPr="00B44E73">
        <w:t>Two water-use scenarios are assessed for hydrogen production. (1) Stoichiometric water—the ultrapure water actually consumed in electrolysis—amounts to 10 L kg</w:t>
      </w:r>
      <w:r w:rsidR="00B44E73" w:rsidRPr="00B44E73">
        <w:rPr>
          <w:rFonts w:ascii="Cambria Math" w:hAnsi="Cambria Math" w:cs="Cambria Math"/>
        </w:rPr>
        <w:t>⁻</w:t>
      </w:r>
      <w:r w:rsidR="00B44E73" w:rsidRPr="00B44E73">
        <w:rPr>
          <w:rFonts w:cs="Arial"/>
        </w:rPr>
        <w:t>¹</w:t>
      </w:r>
      <w:r w:rsidR="00B44E73" w:rsidRPr="00B44E73">
        <w:t xml:space="preserve"> H</w:t>
      </w:r>
      <w:r w:rsidR="00B44E73" w:rsidRPr="00B44E73">
        <w:rPr>
          <w:rFonts w:ascii="Cambria Math" w:hAnsi="Cambria Math" w:cs="Cambria Math"/>
        </w:rPr>
        <w:t>₂</w:t>
      </w:r>
      <w:r w:rsidR="00B44E73" w:rsidRPr="00B44E73">
        <w:t>. (2) Total water withdrawal comprises stoichiometric water plus cooling water. For this second scenario, IRENA (2023) reports 19.5 L kg</w:t>
      </w:r>
      <w:r w:rsidR="00B44E73" w:rsidRPr="00B44E73">
        <w:rPr>
          <w:rFonts w:ascii="Cambria Math" w:hAnsi="Cambria Math" w:cs="Cambria Math"/>
        </w:rPr>
        <w:t>⁻</w:t>
      </w:r>
      <w:r w:rsidR="00B44E73" w:rsidRPr="00B44E73">
        <w:rPr>
          <w:rFonts w:cs="Arial"/>
        </w:rPr>
        <w:t>¹</w:t>
      </w:r>
      <w:r w:rsidR="00B44E73" w:rsidRPr="00B44E73">
        <w:t xml:space="preserve"> H</w:t>
      </w:r>
      <w:r w:rsidR="00B44E73" w:rsidRPr="00B44E73">
        <w:rPr>
          <w:rFonts w:ascii="Cambria Math" w:hAnsi="Cambria Math" w:cs="Cambria Math"/>
        </w:rPr>
        <w:t>₂</w:t>
      </w:r>
      <w:r w:rsidR="00B44E73" w:rsidRPr="00B44E73">
        <w:t xml:space="preserve"> of make-up water required by the evaporative cooling system (14.6 L evaporated, 4.9 L discharged). Thus, the total withdrawal reaches 29.5 L kg</w:t>
      </w:r>
      <w:r w:rsidR="00B44E73" w:rsidRPr="00B44E73">
        <w:rPr>
          <w:rFonts w:ascii="Cambria Math" w:hAnsi="Cambria Math" w:cs="Cambria Math"/>
        </w:rPr>
        <w:t>⁻</w:t>
      </w:r>
      <w:r w:rsidR="00B44E73" w:rsidRPr="00B44E73">
        <w:rPr>
          <w:rFonts w:cs="Arial"/>
        </w:rPr>
        <w:t>¹</w:t>
      </w:r>
      <w:r w:rsidR="00B44E73" w:rsidRPr="00B44E73">
        <w:t xml:space="preserve"> H</w:t>
      </w:r>
      <w:r w:rsidR="00B44E73" w:rsidRPr="00B44E73">
        <w:rPr>
          <w:rFonts w:ascii="Cambria Math" w:hAnsi="Cambria Math" w:cs="Cambria Math"/>
        </w:rPr>
        <w:t>₂</w:t>
      </w:r>
      <w:r w:rsidR="00B44E73" w:rsidRPr="00B44E73">
        <w:t>.</w:t>
      </w:r>
    </w:p>
    <w:p w14:paraId="19690844" w14:textId="77777777" w:rsidR="000764D5" w:rsidRDefault="000764D5" w:rsidP="007F6B62">
      <w:pPr>
        <w:pStyle w:val="CETBodytext"/>
      </w:pPr>
    </w:p>
    <w:p w14:paraId="3BA9FCBE" w14:textId="77777777" w:rsidR="000764D5" w:rsidRDefault="000764D5" w:rsidP="000764D5">
      <w:pPr>
        <w:pStyle w:val="CETheadingx"/>
      </w:pPr>
      <w:r>
        <w:t>Life cycle inventory</w:t>
      </w:r>
    </w:p>
    <w:p w14:paraId="503C5C2D" w14:textId="2F4C73A0" w:rsidR="003E36DF" w:rsidRDefault="00325378" w:rsidP="003E19B8">
      <w:pPr>
        <w:pStyle w:val="CETheadingx"/>
        <w:numPr>
          <w:ilvl w:val="0"/>
          <w:numId w:val="0"/>
        </w:numPr>
      </w:pPr>
      <w:r>
        <w:t xml:space="preserve">2.2.1 </w:t>
      </w:r>
      <w:r w:rsidR="006155AD">
        <w:t>Water purification system</w:t>
      </w:r>
    </w:p>
    <w:p w14:paraId="565079C1" w14:textId="4797DD21" w:rsidR="00DC008C" w:rsidRPr="00446546" w:rsidRDefault="00DC008C" w:rsidP="00DC008C">
      <w:pPr>
        <w:pStyle w:val="CETBodytext"/>
      </w:pPr>
      <w:r w:rsidRPr="00446546">
        <w:t>An innovative desalination plant has been developed to produce ultra-pure water from seawater, specifically intended for hydrogen production.</w:t>
      </w:r>
      <w:r>
        <w:t xml:space="preserve"> This process scheme stands out for the high quality of the produced water, combined with low specific costs and energy consumption.</w:t>
      </w:r>
      <w:r w:rsidRPr="00446546">
        <w:t xml:space="preserve"> After developing simulation models for different system configurations in </w:t>
      </w:r>
      <w:proofErr w:type="spellStart"/>
      <w:r w:rsidRPr="00446546">
        <w:t>gPROMS</w:t>
      </w:r>
      <w:proofErr w:type="spellEnd"/>
      <w:r w:rsidRPr="00446546">
        <w:t xml:space="preserve">®, a simulation campaign was conducted to identify the best configuration for the plant, analyzing the implementation of different technologies and operating conditions and their impact on the final water quality and production cost. The scheme in </w:t>
      </w:r>
      <w:r w:rsidRPr="00804756">
        <w:t xml:space="preserve">Figure </w:t>
      </w:r>
      <w:r>
        <w:t>1</w:t>
      </w:r>
      <w:r w:rsidRPr="00446546">
        <w:t xml:space="preserve"> emerged as the most suitable solution, with the best water resistivity and specific production cost. The designed plant comprises the following processes: </w:t>
      </w:r>
      <w:proofErr w:type="spellStart"/>
      <w:r w:rsidRPr="00446546">
        <w:t>i</w:t>
      </w:r>
      <w:proofErr w:type="spellEnd"/>
      <w:r w:rsidRPr="00446546">
        <w:t xml:space="preserve">) a pretreatment step for the removal of organic matter, ii) a </w:t>
      </w:r>
      <w:proofErr w:type="spellStart"/>
      <w:r w:rsidRPr="00446546">
        <w:t>SeaWater</w:t>
      </w:r>
      <w:proofErr w:type="spellEnd"/>
      <w:r w:rsidRPr="00446546">
        <w:t xml:space="preserve"> Reverse Osmosis (SWRO) step, iii) a Brackish Water Reverse Osmosis (BWRO) step, and iv) an </w:t>
      </w:r>
      <w:proofErr w:type="spellStart"/>
      <w:r w:rsidRPr="00446546">
        <w:t>electrodeionization</w:t>
      </w:r>
      <w:proofErr w:type="spellEnd"/>
      <w:r w:rsidRPr="00446546">
        <w:t xml:space="preserve"> step for further salt removal.</w:t>
      </w:r>
    </w:p>
    <w:p w14:paraId="47B75F46" w14:textId="77777777" w:rsidR="002C50A0" w:rsidRDefault="002C50A0" w:rsidP="002C50A0">
      <w:pPr>
        <w:pStyle w:val="CETBodytext"/>
        <w:keepNext/>
      </w:pPr>
      <w:r>
        <w:rPr>
          <w:noProof/>
        </w:rPr>
        <w:drawing>
          <wp:inline distT="0" distB="0" distL="0" distR="0" wp14:anchorId="29B551F9" wp14:editId="2C1691D4">
            <wp:extent cx="5579745" cy="2118995"/>
            <wp:effectExtent l="0" t="0" r="1905" b="0"/>
            <wp:docPr id="15629530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2118995"/>
                    </a:xfrm>
                    <a:prstGeom prst="rect">
                      <a:avLst/>
                    </a:prstGeom>
                    <a:noFill/>
                    <a:ln>
                      <a:noFill/>
                    </a:ln>
                  </pic:spPr>
                </pic:pic>
              </a:graphicData>
            </a:graphic>
          </wp:inline>
        </w:drawing>
      </w:r>
    </w:p>
    <w:p w14:paraId="60CEDE50" w14:textId="77777777" w:rsidR="002C50A0" w:rsidRDefault="002C50A0" w:rsidP="00394DA4">
      <w:pPr>
        <w:pStyle w:val="CETCaption"/>
        <w:spacing w:before="0"/>
      </w:pPr>
      <w:r>
        <w:t xml:space="preserve">Figure </w:t>
      </w:r>
      <w:r>
        <w:fldChar w:fldCharType="begin"/>
      </w:r>
      <w:r>
        <w:instrText xml:space="preserve"> SEQ Figure \* ARABIC </w:instrText>
      </w:r>
      <w:r>
        <w:fldChar w:fldCharType="separate"/>
      </w:r>
      <w:r>
        <w:rPr>
          <w:noProof/>
        </w:rPr>
        <w:t>1</w:t>
      </w:r>
      <w:r>
        <w:fldChar w:fldCharType="end"/>
      </w:r>
      <w:r>
        <w:t xml:space="preserve"> Conceptual scheme of the designed desalination plant for ultra-pure water production from seawater.</w:t>
      </w:r>
    </w:p>
    <w:p w14:paraId="6101CF61" w14:textId="77777777" w:rsidR="001A33A0" w:rsidRPr="00446546" w:rsidRDefault="001A33A0" w:rsidP="001A33A0">
      <w:pPr>
        <w:pStyle w:val="CETBodytext"/>
      </w:pPr>
      <w:r w:rsidRPr="00446546">
        <w:t xml:space="preserve">For the Reverse Osmosis (RO) technology, a lumped-parameters model was developed for a single module housed within a pressure vessel. The RO model validation was performed using the Wave database. Pretreatment and </w:t>
      </w:r>
      <w:proofErr w:type="spellStart"/>
      <w:r w:rsidRPr="00446546">
        <w:t>electrodeionization</w:t>
      </w:r>
      <w:proofErr w:type="spellEnd"/>
      <w:r w:rsidRPr="00446546">
        <w:t xml:space="preserve"> steps were modelled using black-box approaches, using empirical </w:t>
      </w:r>
      <w:r w:rsidRPr="00446546">
        <w:lastRenderedPageBreak/>
        <w:t xml:space="preserve">correlations from the literature for the pretreatment process and simulation data generated with the </w:t>
      </w:r>
      <w:proofErr w:type="spellStart"/>
      <w:r w:rsidRPr="00446546">
        <w:t>Winflows</w:t>
      </w:r>
      <w:proofErr w:type="spellEnd"/>
      <w:r w:rsidRPr="00446546">
        <w:t xml:space="preserve">® software for </w:t>
      </w:r>
      <w:proofErr w:type="spellStart"/>
      <w:r w:rsidRPr="00446546">
        <w:t>electrodeionization</w:t>
      </w:r>
      <w:proofErr w:type="spellEnd"/>
      <w:r w:rsidRPr="00446546">
        <w:t>.</w:t>
      </w:r>
    </w:p>
    <w:p w14:paraId="1D7DB09B" w14:textId="77777777" w:rsidR="001A33A0" w:rsidRPr="00446546" w:rsidRDefault="001A33A0" w:rsidP="001A33A0">
      <w:pPr>
        <w:pStyle w:val="CETBodytext"/>
      </w:pPr>
      <w:r w:rsidRPr="00446546">
        <w:t>The feed stream was assumed to be Mediterranean seawater, with a TDS of 35 g L</w:t>
      </w:r>
      <w:r w:rsidRPr="00E1531E">
        <w:rPr>
          <w:vertAlign w:val="superscript"/>
        </w:rPr>
        <w:t>-1</w:t>
      </w:r>
      <w:r w:rsidRPr="00446546">
        <w:t>. The productivity of the plant was fixed at 1,000 m</w:t>
      </w:r>
      <w:r w:rsidRPr="00E1531E">
        <w:rPr>
          <w:vertAlign w:val="superscript"/>
        </w:rPr>
        <w:t>3</w:t>
      </w:r>
      <w:r w:rsidRPr="00446546">
        <w:t xml:space="preserve"> h</w:t>
      </w:r>
      <w:r w:rsidRPr="00E1531E">
        <w:rPr>
          <w:vertAlign w:val="superscript"/>
        </w:rPr>
        <w:t>-1</w:t>
      </w:r>
      <w:r w:rsidRPr="00446546">
        <w:t xml:space="preserve"> of ultra-pure water with an electrical resistivity of 16 MΩ cm. Water recovery values were set at 89% for the pretreatment, and 50% and 82.5% for the SWRO and BWRO steps, respectively. The global water recovery of the chain was calculated as the ratio between the ultra-pure water produced and the seawater intake flowrate, resulting in 39.3%. The seawater intake was approximately 2,500 m3 h</w:t>
      </w:r>
      <w:r w:rsidRPr="00E1531E">
        <w:rPr>
          <w:vertAlign w:val="superscript"/>
        </w:rPr>
        <w:t>-1</w:t>
      </w:r>
      <w:r w:rsidRPr="00446546">
        <w:t>, while the produced waste brine had a flowrate of about 1,200 m3 h</w:t>
      </w:r>
      <w:r w:rsidRPr="00E1531E">
        <w:rPr>
          <w:vertAlign w:val="superscript"/>
        </w:rPr>
        <w:t>-1</w:t>
      </w:r>
      <w:r w:rsidRPr="00446546">
        <w:t xml:space="preserve"> with a concentration of 58 g L</w:t>
      </w:r>
      <w:r w:rsidRPr="00E1531E">
        <w:rPr>
          <w:vertAlign w:val="superscript"/>
        </w:rPr>
        <w:t>-1</w:t>
      </w:r>
      <w:r w:rsidRPr="00446546">
        <w:t>. The water production cost was calculated considering the annualized capital cost for equipment, including the intake structures and pumping systems, and the annual operational costs, divided by the total yearly production volume of ultra-pure water. The water production cost obtained was 1.43 € m</w:t>
      </w:r>
      <w:r w:rsidRPr="00E1531E">
        <w:rPr>
          <w:vertAlign w:val="superscript"/>
        </w:rPr>
        <w:t>-3</w:t>
      </w:r>
      <w:r>
        <w:t>, with a total specific energy consumption of 4.2 kWh m</w:t>
      </w:r>
      <w:r w:rsidRPr="00E1531E">
        <w:rPr>
          <w:vertAlign w:val="superscript"/>
        </w:rPr>
        <w:t>-3</w:t>
      </w:r>
      <w:r w:rsidRPr="00446546">
        <w:t>.</w:t>
      </w:r>
    </w:p>
    <w:p w14:paraId="1BBFBE9D" w14:textId="6C51AB6B" w:rsidR="006A5561" w:rsidRDefault="00E2650F" w:rsidP="007F6B62">
      <w:pPr>
        <w:pStyle w:val="CETBodytext"/>
        <w:rPr>
          <w:lang w:val="en-GB"/>
        </w:rPr>
      </w:pPr>
      <w:r>
        <w:rPr>
          <w:lang w:val="en-GB"/>
        </w:rPr>
        <w:t xml:space="preserve">While data </w:t>
      </w:r>
      <w:r w:rsidR="001C302C">
        <w:rPr>
          <w:lang w:val="en-GB"/>
        </w:rPr>
        <w:t xml:space="preserve">for the operational phase are taken from the model, </w:t>
      </w:r>
      <w:r w:rsidR="008B023E">
        <w:rPr>
          <w:lang w:val="en-GB"/>
        </w:rPr>
        <w:t xml:space="preserve">published literature </w:t>
      </w:r>
      <w:r w:rsidR="001B70C4">
        <w:rPr>
          <w:lang w:val="en-GB"/>
        </w:rPr>
        <w:t>was</w:t>
      </w:r>
      <w:r w:rsidR="008B023E">
        <w:rPr>
          <w:lang w:val="en-GB"/>
        </w:rPr>
        <w:t xml:space="preserve"> used to account for the production step.</w:t>
      </w:r>
      <w:r w:rsidR="001C302C">
        <w:rPr>
          <w:lang w:val="en-GB"/>
        </w:rPr>
        <w:t xml:space="preserve"> </w:t>
      </w:r>
      <w:r w:rsidR="001B70C4">
        <w:rPr>
          <w:lang w:val="en-GB"/>
        </w:rPr>
        <w:t>As reported in different papers</w:t>
      </w:r>
      <w:r w:rsidR="002040C7">
        <w:rPr>
          <w:lang w:val="en-GB"/>
        </w:rPr>
        <w:t>,</w:t>
      </w:r>
      <w:r w:rsidR="00EA56E5">
        <w:rPr>
          <w:lang w:val="en-GB"/>
        </w:rPr>
        <w:t xml:space="preserve"> the </w:t>
      </w:r>
      <w:r w:rsidR="00D16E1B">
        <w:rPr>
          <w:lang w:val="en-GB"/>
        </w:rPr>
        <w:t>share of</w:t>
      </w:r>
      <w:r w:rsidR="002040C7">
        <w:rPr>
          <w:lang w:val="en-GB"/>
        </w:rPr>
        <w:t xml:space="preserve"> </w:t>
      </w:r>
      <w:r w:rsidR="00145195">
        <w:rPr>
          <w:lang w:val="en-GB"/>
        </w:rPr>
        <w:t xml:space="preserve">GWP </w:t>
      </w:r>
      <w:r w:rsidR="00D16E1B">
        <w:rPr>
          <w:lang w:val="en-GB"/>
        </w:rPr>
        <w:t xml:space="preserve">associated to </w:t>
      </w:r>
      <w:r w:rsidR="00145195">
        <w:rPr>
          <w:lang w:val="en-GB"/>
        </w:rPr>
        <w:t xml:space="preserve">plant </w:t>
      </w:r>
      <w:r w:rsidR="00F53B11">
        <w:rPr>
          <w:lang w:val="en-GB"/>
        </w:rPr>
        <w:t>operation</w:t>
      </w:r>
      <w:r w:rsidR="00145195">
        <w:rPr>
          <w:lang w:val="en-GB"/>
        </w:rPr>
        <w:t xml:space="preserve"> for the RO and the ED</w:t>
      </w:r>
      <w:r w:rsidR="00ED6951">
        <w:rPr>
          <w:lang w:val="en-GB"/>
        </w:rPr>
        <w:t>I</w:t>
      </w:r>
      <w:r w:rsidR="00145195">
        <w:rPr>
          <w:lang w:val="en-GB"/>
        </w:rPr>
        <w:t xml:space="preserve"> unit </w:t>
      </w:r>
      <w:r w:rsidR="00757C1E">
        <w:rPr>
          <w:lang w:val="en-GB"/>
        </w:rPr>
        <w:t xml:space="preserve">account for </w:t>
      </w:r>
      <w:r w:rsidR="00F53B11">
        <w:rPr>
          <w:lang w:val="en-GB"/>
        </w:rPr>
        <w:t>more than 95</w:t>
      </w:r>
      <w:r w:rsidR="00757C1E">
        <w:rPr>
          <w:lang w:val="en-GB"/>
        </w:rPr>
        <w:t>%</w:t>
      </w:r>
      <w:r w:rsidR="00F53B11">
        <w:rPr>
          <w:lang w:val="en-GB"/>
        </w:rPr>
        <w:t xml:space="preserve">, while </w:t>
      </w:r>
      <w:r w:rsidR="000B68AA">
        <w:rPr>
          <w:lang w:val="en-GB"/>
        </w:rPr>
        <w:t xml:space="preserve">the construction phase is marginal, contributing in most of </w:t>
      </w:r>
      <w:r w:rsidR="00F50E2A">
        <w:rPr>
          <w:lang w:val="en-GB"/>
        </w:rPr>
        <w:t>cases</w:t>
      </w:r>
      <w:r w:rsidR="000B68AA">
        <w:rPr>
          <w:lang w:val="en-GB"/>
        </w:rPr>
        <w:t xml:space="preserve"> for less than </w:t>
      </w:r>
      <w:r w:rsidR="00783BE1">
        <w:rPr>
          <w:lang w:val="en-GB"/>
        </w:rPr>
        <w:t>2%</w:t>
      </w:r>
      <w:r w:rsidR="00757C1E">
        <w:rPr>
          <w:lang w:val="en-GB"/>
        </w:rPr>
        <w:t xml:space="preserve">. </w:t>
      </w:r>
      <w:proofErr w:type="spellStart"/>
      <w:r w:rsidR="00B15A70">
        <w:rPr>
          <w:lang w:val="en-GB"/>
        </w:rPr>
        <w:t>Raluy</w:t>
      </w:r>
      <w:proofErr w:type="spellEnd"/>
      <w:r w:rsidR="00B15A70">
        <w:rPr>
          <w:lang w:val="en-GB"/>
        </w:rPr>
        <w:t xml:space="preserve"> et al., (2006) </w:t>
      </w:r>
      <w:r w:rsidR="00A863AC">
        <w:rPr>
          <w:lang w:val="en-GB"/>
        </w:rPr>
        <w:t xml:space="preserve">reported that the contribute of </w:t>
      </w:r>
      <w:r w:rsidR="00107E86">
        <w:rPr>
          <w:lang w:val="en-GB"/>
        </w:rPr>
        <w:t xml:space="preserve">RO </w:t>
      </w:r>
      <w:r w:rsidR="00A863AC">
        <w:rPr>
          <w:lang w:val="en-GB"/>
        </w:rPr>
        <w:t xml:space="preserve">plant construction </w:t>
      </w:r>
      <w:r w:rsidR="00156EEB">
        <w:rPr>
          <w:lang w:val="en-GB"/>
        </w:rPr>
        <w:t xml:space="preserve">is between 0.95% and 2.4% of the overall GWP </w:t>
      </w:r>
      <w:r w:rsidR="00A86C7A">
        <w:rPr>
          <w:lang w:val="en-GB"/>
        </w:rPr>
        <w:t>for the production of 1 m</w:t>
      </w:r>
      <w:r w:rsidR="00A86C7A" w:rsidRPr="0026496D">
        <w:rPr>
          <w:vertAlign w:val="superscript"/>
          <w:lang w:val="en-GB"/>
        </w:rPr>
        <w:t>3</w:t>
      </w:r>
      <w:r w:rsidR="00A86C7A">
        <w:rPr>
          <w:lang w:val="en-GB"/>
        </w:rPr>
        <w:t xml:space="preserve"> of potable water from seawater</w:t>
      </w:r>
      <w:r w:rsidR="00A64649">
        <w:rPr>
          <w:lang w:val="en-GB"/>
        </w:rPr>
        <w:t>, while</w:t>
      </w:r>
      <w:r w:rsidR="00A86C7A">
        <w:rPr>
          <w:lang w:val="en-GB"/>
        </w:rPr>
        <w:t xml:space="preserve"> </w:t>
      </w:r>
      <w:r w:rsidR="004B1A54">
        <w:rPr>
          <w:lang w:val="en-GB"/>
        </w:rPr>
        <w:t>Shababi</w:t>
      </w:r>
      <w:r w:rsidR="000E198D">
        <w:rPr>
          <w:lang w:val="en-GB"/>
        </w:rPr>
        <w:t xml:space="preserve"> et al., (201</w:t>
      </w:r>
      <w:r w:rsidR="004B1A54">
        <w:rPr>
          <w:lang w:val="en-GB"/>
        </w:rPr>
        <w:t>4</w:t>
      </w:r>
      <w:r w:rsidR="000E198D">
        <w:rPr>
          <w:lang w:val="en-GB"/>
        </w:rPr>
        <w:t>)</w:t>
      </w:r>
      <w:r w:rsidR="00527209">
        <w:rPr>
          <w:lang w:val="en-GB"/>
        </w:rPr>
        <w:t xml:space="preserve"> reported emission</w:t>
      </w:r>
      <w:r w:rsidR="0026496D">
        <w:rPr>
          <w:lang w:val="en-GB"/>
        </w:rPr>
        <w:t>s of 0.0754 kg</w:t>
      </w:r>
      <w:r w:rsidR="0026496D" w:rsidRPr="00573D97">
        <w:rPr>
          <w:vertAlign w:val="subscript"/>
          <w:lang w:val="en-GB"/>
        </w:rPr>
        <w:t>CO2eq</w:t>
      </w:r>
      <w:r w:rsidR="0026496D">
        <w:rPr>
          <w:lang w:val="en-GB"/>
        </w:rPr>
        <w:t>/m</w:t>
      </w:r>
      <w:r w:rsidR="0026496D" w:rsidRPr="00573D97">
        <w:rPr>
          <w:vertAlign w:val="superscript"/>
          <w:lang w:val="en-GB"/>
        </w:rPr>
        <w:t>3</w:t>
      </w:r>
      <w:r w:rsidR="0026496D">
        <w:rPr>
          <w:lang w:val="en-GB"/>
        </w:rPr>
        <w:t xml:space="preserve"> </w:t>
      </w:r>
      <w:r w:rsidR="00573D97">
        <w:rPr>
          <w:lang w:val="en-GB"/>
        </w:rPr>
        <w:t>of desalinated seawater</w:t>
      </w:r>
      <w:r w:rsidR="00815FD6">
        <w:rPr>
          <w:lang w:val="en-GB"/>
        </w:rPr>
        <w:t>, correspond</w:t>
      </w:r>
      <w:r w:rsidR="003E6FAD">
        <w:rPr>
          <w:lang w:val="en-GB"/>
        </w:rPr>
        <w:t>ing</w:t>
      </w:r>
      <w:r w:rsidR="00815FD6">
        <w:rPr>
          <w:lang w:val="en-GB"/>
        </w:rPr>
        <w:t xml:space="preserve"> to an overall impact of less than 2% on the global GWP</w:t>
      </w:r>
      <w:r w:rsidR="00056DAF">
        <w:rPr>
          <w:lang w:val="en-GB"/>
        </w:rPr>
        <w:t xml:space="preserve">. </w:t>
      </w:r>
      <w:r w:rsidR="0082703C">
        <w:rPr>
          <w:lang w:val="en-GB"/>
        </w:rPr>
        <w:t xml:space="preserve">Goga et al. (2019) </w:t>
      </w:r>
      <w:r w:rsidR="00EC736F">
        <w:rPr>
          <w:lang w:val="en-GB"/>
        </w:rPr>
        <w:t>found</w:t>
      </w:r>
      <w:r w:rsidR="00AA4CD9">
        <w:rPr>
          <w:lang w:val="en-GB"/>
        </w:rPr>
        <w:t xml:space="preserve"> </w:t>
      </w:r>
      <w:r w:rsidR="00783BE1">
        <w:rPr>
          <w:lang w:val="en-GB"/>
        </w:rPr>
        <w:t xml:space="preserve">that approximately 95% of the GWP is </w:t>
      </w:r>
      <w:r w:rsidR="00506A83">
        <w:rPr>
          <w:lang w:val="en-GB"/>
        </w:rPr>
        <w:t xml:space="preserve">due electricity consumption, while less than 1% is </w:t>
      </w:r>
      <w:r w:rsidR="005A72DF">
        <w:rPr>
          <w:lang w:val="en-GB"/>
        </w:rPr>
        <w:t xml:space="preserve">attributable to plant construction. Similarly, </w:t>
      </w:r>
      <w:r w:rsidR="00A7046B">
        <w:rPr>
          <w:lang w:val="en-GB"/>
        </w:rPr>
        <w:t>Yuan et al., (2023)</w:t>
      </w:r>
      <w:r w:rsidR="00056435">
        <w:rPr>
          <w:lang w:val="en-GB"/>
        </w:rPr>
        <w:t xml:space="preserve"> </w:t>
      </w:r>
      <w:r w:rsidR="004847B0">
        <w:rPr>
          <w:lang w:val="en-GB"/>
        </w:rPr>
        <w:t xml:space="preserve">reported that more than 99% of the GWP associated to </w:t>
      </w:r>
      <w:r w:rsidR="00E46D20">
        <w:rPr>
          <w:lang w:val="en-GB"/>
        </w:rPr>
        <w:t>electro deionization process is associated to the operation phase</w:t>
      </w:r>
      <w:r w:rsidR="00473C24">
        <w:rPr>
          <w:lang w:val="en-GB"/>
        </w:rPr>
        <w:t xml:space="preserve">. </w:t>
      </w:r>
      <w:r w:rsidR="002C20AF">
        <w:rPr>
          <w:lang w:val="en-GB"/>
        </w:rPr>
        <w:t>He</w:t>
      </w:r>
      <w:r w:rsidR="00E269E7">
        <w:rPr>
          <w:lang w:val="en-GB"/>
        </w:rPr>
        <w:t>re</w:t>
      </w:r>
      <w:r w:rsidR="002C20AF">
        <w:rPr>
          <w:lang w:val="en-GB"/>
        </w:rPr>
        <w:t xml:space="preserve">, </w:t>
      </w:r>
      <w:r w:rsidR="00E9233A">
        <w:rPr>
          <w:lang w:val="en-GB"/>
        </w:rPr>
        <w:t xml:space="preserve">impacts associated to plant construction were taken </w:t>
      </w:r>
      <w:r w:rsidR="00F91788">
        <w:rPr>
          <w:lang w:val="en-GB"/>
        </w:rPr>
        <w:t xml:space="preserve">from </w:t>
      </w:r>
      <w:bookmarkStart w:id="1" w:name="_Hlk199319267"/>
      <w:r w:rsidR="00F91788">
        <w:rPr>
          <w:lang w:val="en-GB"/>
        </w:rPr>
        <w:t xml:space="preserve">Shahabi et al. (2014), while </w:t>
      </w:r>
      <w:proofErr w:type="spellStart"/>
      <w:r w:rsidR="001D524B">
        <w:rPr>
          <w:lang w:val="en-GB"/>
        </w:rPr>
        <w:t>electrodeionization</w:t>
      </w:r>
      <w:proofErr w:type="spellEnd"/>
      <w:r w:rsidR="00F91788">
        <w:rPr>
          <w:lang w:val="en-GB"/>
        </w:rPr>
        <w:t xml:space="preserve"> from Yuan et al., (2023)</w:t>
      </w:r>
      <w:bookmarkEnd w:id="1"/>
      <w:r w:rsidR="001D524B">
        <w:rPr>
          <w:lang w:val="en-GB"/>
        </w:rPr>
        <w:t>.</w:t>
      </w:r>
      <w:r w:rsidR="00EC736F">
        <w:rPr>
          <w:lang w:val="en-GB"/>
        </w:rPr>
        <w:t xml:space="preserve"> </w:t>
      </w:r>
    </w:p>
    <w:p w14:paraId="2FB99E03" w14:textId="77777777" w:rsidR="008D28E5" w:rsidRDefault="008D28E5" w:rsidP="007F6B62">
      <w:pPr>
        <w:pStyle w:val="CETBodytext"/>
        <w:rPr>
          <w:lang w:val="en-GB"/>
        </w:rPr>
      </w:pPr>
    </w:p>
    <w:p w14:paraId="10B16BAD" w14:textId="060C7F54" w:rsidR="007861F0" w:rsidRPr="00F61407" w:rsidRDefault="00F61407" w:rsidP="00F61407">
      <w:pPr>
        <w:pStyle w:val="CETheadingx"/>
        <w:numPr>
          <w:ilvl w:val="0"/>
          <w:numId w:val="0"/>
        </w:numPr>
      </w:pPr>
      <w:r>
        <w:t xml:space="preserve">2.2.2 </w:t>
      </w:r>
      <w:r w:rsidR="000D1070">
        <w:t>Hydrogen production plant</w:t>
      </w:r>
    </w:p>
    <w:p w14:paraId="5C79B843" w14:textId="7E9B1466" w:rsidR="0002098F" w:rsidRDefault="009E3235" w:rsidP="00600535">
      <w:pPr>
        <w:pStyle w:val="CETBodytext"/>
      </w:pPr>
      <w:r>
        <w:t xml:space="preserve">A </w:t>
      </w:r>
      <w:r w:rsidR="00D760CE">
        <w:t xml:space="preserve">1 MW electrolysis plant was proposed. </w:t>
      </w:r>
      <w:r w:rsidR="00BD2008">
        <w:t xml:space="preserve">Data </w:t>
      </w:r>
      <w:r w:rsidR="005564C0">
        <w:t>for</w:t>
      </w:r>
      <w:r w:rsidR="00BA58CF">
        <w:t xml:space="preserve"> the</w:t>
      </w:r>
      <w:r w:rsidR="00BD2008">
        <w:t xml:space="preserve"> PEM and AEM </w:t>
      </w:r>
      <w:proofErr w:type="spellStart"/>
      <w:r w:rsidR="001064EC">
        <w:t>electrolyzer</w:t>
      </w:r>
      <w:r w:rsidR="00B255FC">
        <w:t>s</w:t>
      </w:r>
      <w:proofErr w:type="spellEnd"/>
      <w:r w:rsidR="00BD2008">
        <w:t xml:space="preserve"> </w:t>
      </w:r>
      <w:r w:rsidR="001064EC">
        <w:t xml:space="preserve">were taken from </w:t>
      </w:r>
      <w:r w:rsidR="003A2845">
        <w:t xml:space="preserve">the </w:t>
      </w:r>
      <w:r w:rsidR="00D4035C">
        <w:t>work of Wei et al., (2024)</w:t>
      </w:r>
      <w:r w:rsidR="0030240B">
        <w:t xml:space="preserve">, which reports updated </w:t>
      </w:r>
      <w:r w:rsidR="00491DB0">
        <w:t>values</w:t>
      </w:r>
      <w:r w:rsidR="0030240B">
        <w:t xml:space="preserve"> </w:t>
      </w:r>
      <w:r w:rsidR="00A9277E">
        <w:t xml:space="preserve">for energy consumption and emissions </w:t>
      </w:r>
      <w:r w:rsidR="00BF76CB">
        <w:t xml:space="preserve">for </w:t>
      </w:r>
      <w:r w:rsidR="008869E4">
        <w:t>both plant production and operation.</w:t>
      </w:r>
      <w:r w:rsidR="00085A38">
        <w:t xml:space="preserve"> </w:t>
      </w:r>
      <w:r w:rsidR="009D6EAA">
        <w:t xml:space="preserve">Impacts associated </w:t>
      </w:r>
      <w:r w:rsidR="00E7593C">
        <w:t>with</w:t>
      </w:r>
      <w:r w:rsidR="009D6EAA">
        <w:t xml:space="preserve"> p</w:t>
      </w:r>
      <w:r w:rsidR="0002098F">
        <w:t xml:space="preserve">lant construction account </w:t>
      </w:r>
      <w:r w:rsidR="00BA49B7">
        <w:t>for less than 3% for both systems</w:t>
      </w:r>
      <w:r w:rsidR="00E551B7">
        <w:rPr>
          <w:lang w:val="en-GB"/>
        </w:rPr>
        <w:t xml:space="preserve">. </w:t>
      </w:r>
      <w:r w:rsidR="006D03DC">
        <w:rPr>
          <w:lang w:val="en-GB"/>
        </w:rPr>
        <w:t xml:space="preserve">Specific energy consumption </w:t>
      </w:r>
      <w:r w:rsidR="00E7593C">
        <w:rPr>
          <w:lang w:val="en-GB"/>
        </w:rPr>
        <w:t>was</w:t>
      </w:r>
      <w:r w:rsidR="008B64E8">
        <w:rPr>
          <w:lang w:val="en-GB"/>
        </w:rPr>
        <w:t xml:space="preserve"> considered equal to </w:t>
      </w:r>
      <w:r w:rsidR="00F133E7">
        <w:rPr>
          <w:lang w:val="en-GB"/>
        </w:rPr>
        <w:t>49.42 kWh/kg</w:t>
      </w:r>
      <w:r w:rsidR="00F133E7" w:rsidRPr="00F133E7">
        <w:rPr>
          <w:vertAlign w:val="subscript"/>
          <w:lang w:val="en-GB"/>
        </w:rPr>
        <w:t>H2</w:t>
      </w:r>
      <w:r w:rsidR="00F133E7">
        <w:rPr>
          <w:lang w:val="en-GB"/>
        </w:rPr>
        <w:t xml:space="preserve"> and 53.45 kWh/kg</w:t>
      </w:r>
      <w:r w:rsidR="00F133E7" w:rsidRPr="00F133E7">
        <w:rPr>
          <w:vertAlign w:val="subscript"/>
          <w:lang w:val="en-GB"/>
        </w:rPr>
        <w:t>H2</w:t>
      </w:r>
      <w:r w:rsidR="00F133E7">
        <w:rPr>
          <w:lang w:val="en-GB"/>
        </w:rPr>
        <w:t xml:space="preserve">, respectively for PEM and AEM electrolyzer. </w:t>
      </w:r>
      <w:r w:rsidR="00E63E4A">
        <w:rPr>
          <w:lang w:val="en-GB"/>
        </w:rPr>
        <w:t>The contribut</w:t>
      </w:r>
      <w:r w:rsidR="007B7E98">
        <w:rPr>
          <w:lang w:val="en-GB"/>
        </w:rPr>
        <w:t>ion</w:t>
      </w:r>
      <w:r w:rsidR="00E63E4A">
        <w:rPr>
          <w:lang w:val="en-GB"/>
        </w:rPr>
        <w:t xml:space="preserve"> from plant construction </w:t>
      </w:r>
      <w:r w:rsidR="004745C2">
        <w:rPr>
          <w:lang w:val="en-GB"/>
        </w:rPr>
        <w:t xml:space="preserve">was directly added </w:t>
      </w:r>
      <w:r w:rsidR="00AF15CC">
        <w:rPr>
          <w:lang w:val="en-GB"/>
        </w:rPr>
        <w:t xml:space="preserve">on top of the GWP coming from the operational phase. </w:t>
      </w:r>
    </w:p>
    <w:p w14:paraId="765A94B8" w14:textId="1DEF665A" w:rsidR="003A4D14" w:rsidRDefault="002C3D9F" w:rsidP="00600535">
      <w:pPr>
        <w:pStyle w:val="CETBodytext"/>
        <w:rPr>
          <w:lang w:val="en-GB"/>
        </w:rPr>
      </w:pPr>
      <w:r w:rsidRPr="002C3D9F">
        <w:rPr>
          <w:lang w:val="en-GB"/>
        </w:rPr>
        <w:t xml:space="preserve">As </w:t>
      </w:r>
      <w:r>
        <w:rPr>
          <w:lang w:val="en-GB"/>
        </w:rPr>
        <w:t xml:space="preserve">introduced in </w:t>
      </w:r>
      <w:r w:rsidR="00E713DA">
        <w:rPr>
          <w:lang w:val="en-GB"/>
        </w:rPr>
        <w:t>paragraph 2.1,</w:t>
      </w:r>
      <w:r w:rsidRPr="002C3D9F">
        <w:rPr>
          <w:lang w:val="en-GB"/>
        </w:rPr>
        <w:t xml:space="preserve"> hydrogen electrolysis consumes 10 L kg</w:t>
      </w:r>
      <w:r w:rsidRPr="002C3D9F">
        <w:rPr>
          <w:rFonts w:ascii="Cambria Math" w:hAnsi="Cambria Math" w:cs="Cambria Math"/>
          <w:lang w:val="en-GB"/>
        </w:rPr>
        <w:t>⁻</w:t>
      </w:r>
      <w:r w:rsidRPr="002C3D9F">
        <w:rPr>
          <w:rFonts w:cs="Arial"/>
          <w:lang w:val="en-GB"/>
        </w:rPr>
        <w:t>¹</w:t>
      </w:r>
      <w:r w:rsidRPr="002C3D9F">
        <w:rPr>
          <w:lang w:val="en-GB"/>
        </w:rPr>
        <w:t xml:space="preserve"> H</w:t>
      </w:r>
      <w:r w:rsidRPr="002C3D9F">
        <w:rPr>
          <w:rFonts w:ascii="Cambria Math" w:hAnsi="Cambria Math" w:cs="Cambria Math"/>
          <w:lang w:val="en-GB"/>
        </w:rPr>
        <w:t>₂</w:t>
      </w:r>
      <w:r w:rsidRPr="002C3D9F">
        <w:rPr>
          <w:lang w:val="en-GB"/>
        </w:rPr>
        <w:t xml:space="preserve"> of ultrapure (stoichiometric) water. </w:t>
      </w:r>
      <w:r w:rsidR="00653FEC" w:rsidRPr="00653FEC">
        <w:rPr>
          <w:lang w:val="en-GB"/>
        </w:rPr>
        <w:t>In addition to the 10 L kg</w:t>
      </w:r>
      <w:r w:rsidR="00653FEC" w:rsidRPr="00653FEC">
        <w:rPr>
          <w:rFonts w:ascii="Cambria Math" w:hAnsi="Cambria Math" w:cs="Cambria Math"/>
          <w:lang w:val="en-GB"/>
        </w:rPr>
        <w:t>⁻</w:t>
      </w:r>
      <w:r w:rsidR="00653FEC" w:rsidRPr="00653FEC">
        <w:rPr>
          <w:rFonts w:cs="Arial"/>
          <w:lang w:val="en-GB"/>
        </w:rPr>
        <w:t>¹</w:t>
      </w:r>
      <w:r w:rsidR="00653FEC" w:rsidRPr="00653FEC">
        <w:rPr>
          <w:lang w:val="en-GB"/>
        </w:rPr>
        <w:t xml:space="preserve"> H</w:t>
      </w:r>
      <w:r w:rsidR="00653FEC" w:rsidRPr="00653FEC">
        <w:rPr>
          <w:rFonts w:ascii="Cambria Math" w:hAnsi="Cambria Math" w:cs="Cambria Math"/>
          <w:lang w:val="en-GB"/>
        </w:rPr>
        <w:t>₂</w:t>
      </w:r>
      <w:r w:rsidR="00653FEC" w:rsidRPr="00653FEC">
        <w:rPr>
          <w:lang w:val="en-GB"/>
        </w:rPr>
        <w:t xml:space="preserve"> of stoichiometric ultrapure water consumed in electrolysis, the closed-loop evaporative cooler withdraws 19.5 L kg</w:t>
      </w:r>
      <w:r w:rsidR="00653FEC" w:rsidRPr="00653FEC">
        <w:rPr>
          <w:rFonts w:ascii="Cambria Math" w:hAnsi="Cambria Math" w:cs="Cambria Math"/>
          <w:lang w:val="en-GB"/>
        </w:rPr>
        <w:t>⁻</w:t>
      </w:r>
      <w:r w:rsidR="00653FEC" w:rsidRPr="00653FEC">
        <w:rPr>
          <w:rFonts w:cs="Arial"/>
          <w:lang w:val="en-GB"/>
        </w:rPr>
        <w:t>¹</w:t>
      </w:r>
      <w:r w:rsidR="00653FEC" w:rsidRPr="00653FEC">
        <w:rPr>
          <w:lang w:val="en-GB"/>
        </w:rPr>
        <w:t xml:space="preserve"> H</w:t>
      </w:r>
      <w:r w:rsidR="00653FEC" w:rsidRPr="00653FEC">
        <w:rPr>
          <w:rFonts w:ascii="Cambria Math" w:hAnsi="Cambria Math" w:cs="Cambria Math"/>
          <w:lang w:val="en-GB"/>
        </w:rPr>
        <w:t>₂</w:t>
      </w:r>
      <w:r w:rsidR="00653FEC" w:rsidRPr="00653FEC">
        <w:rPr>
          <w:lang w:val="en-GB"/>
        </w:rPr>
        <w:t xml:space="preserve"> of make-up water to replace evaporative</w:t>
      </w:r>
      <w:r w:rsidR="00653FEC">
        <w:rPr>
          <w:lang w:val="en-GB"/>
        </w:rPr>
        <w:t xml:space="preserve"> (14.6 L)</w:t>
      </w:r>
      <w:r w:rsidR="00653FEC" w:rsidRPr="00653FEC">
        <w:rPr>
          <w:lang w:val="en-GB"/>
        </w:rPr>
        <w:t xml:space="preserve"> and blow-down losses</w:t>
      </w:r>
      <w:r w:rsidR="00B2492E">
        <w:rPr>
          <w:lang w:val="en-GB"/>
        </w:rPr>
        <w:t xml:space="preserve"> (4.9 L)</w:t>
      </w:r>
      <w:r w:rsidR="00653FEC" w:rsidRPr="00653FEC">
        <w:rPr>
          <w:lang w:val="en-GB"/>
        </w:rPr>
        <w:t xml:space="preserve">; the much larger volume that continuously circulates inside the cooling loop is reused and therefore is not counted as water </w:t>
      </w:r>
      <w:proofErr w:type="spellStart"/>
      <w:r w:rsidR="00653FEC" w:rsidRPr="00653FEC">
        <w:rPr>
          <w:lang w:val="en-GB"/>
        </w:rPr>
        <w:t>withdrawa</w:t>
      </w:r>
      <w:proofErr w:type="spellEnd"/>
      <w:r w:rsidRPr="002C3D9F">
        <w:rPr>
          <w:lang w:val="en-GB"/>
        </w:rPr>
        <w:t xml:space="preserve"> (IRENA 2023). If the entire water demand</w:t>
      </w:r>
      <w:r w:rsidRPr="002C3D9F">
        <w:rPr>
          <w:rFonts w:cs="Arial"/>
          <w:lang w:val="en-GB"/>
        </w:rPr>
        <w:t>—</w:t>
      </w:r>
      <w:r w:rsidRPr="002C3D9F">
        <w:rPr>
          <w:lang w:val="en-GB"/>
        </w:rPr>
        <w:t>including cooling make-up</w:t>
      </w:r>
      <w:r w:rsidRPr="002C3D9F">
        <w:rPr>
          <w:rFonts w:cs="Arial"/>
          <w:lang w:val="en-GB"/>
        </w:rPr>
        <w:t>—</w:t>
      </w:r>
      <w:r w:rsidRPr="002C3D9F">
        <w:rPr>
          <w:lang w:val="en-GB"/>
        </w:rPr>
        <w:t>comes from a seawater desalination plant, the total water withdrawal is 29.5 L kg</w:t>
      </w:r>
      <w:r w:rsidRPr="002C3D9F">
        <w:rPr>
          <w:rFonts w:ascii="Cambria Math" w:hAnsi="Cambria Math" w:cs="Cambria Math"/>
          <w:lang w:val="en-GB"/>
        </w:rPr>
        <w:t>⁻</w:t>
      </w:r>
      <w:r w:rsidRPr="002C3D9F">
        <w:rPr>
          <w:rFonts w:cs="Arial"/>
          <w:lang w:val="en-GB"/>
        </w:rPr>
        <w:t>¹</w:t>
      </w:r>
      <w:r w:rsidRPr="002C3D9F">
        <w:rPr>
          <w:lang w:val="en-GB"/>
        </w:rPr>
        <w:t xml:space="preserve"> H</w:t>
      </w:r>
      <w:r w:rsidRPr="002C3D9F">
        <w:rPr>
          <w:rFonts w:ascii="Cambria Math" w:hAnsi="Cambria Math" w:cs="Cambria Math"/>
          <w:lang w:val="en-GB"/>
        </w:rPr>
        <w:t>₂</w:t>
      </w:r>
      <w:r w:rsidRPr="002C3D9F">
        <w:rPr>
          <w:lang w:val="en-GB"/>
        </w:rPr>
        <w:t xml:space="preserve">. </w:t>
      </w:r>
      <w:r w:rsidR="00D011BC">
        <w:rPr>
          <w:lang w:val="en-GB"/>
        </w:rPr>
        <w:t xml:space="preserve">However, in order to </w:t>
      </w:r>
      <w:r w:rsidR="00F41A36">
        <w:rPr>
          <w:lang w:val="en-GB"/>
        </w:rPr>
        <w:t xml:space="preserve">consider the </w:t>
      </w:r>
      <w:r w:rsidR="005E3803">
        <w:rPr>
          <w:lang w:val="en-GB"/>
        </w:rPr>
        <w:t>possible</w:t>
      </w:r>
      <w:r w:rsidR="00F41A36">
        <w:rPr>
          <w:lang w:val="en-GB"/>
        </w:rPr>
        <w:t xml:space="preserve"> recourse to tap water for the co</w:t>
      </w:r>
      <w:r w:rsidR="00BC1EEC">
        <w:rPr>
          <w:lang w:val="en-GB"/>
        </w:rPr>
        <w:t>o</w:t>
      </w:r>
      <w:r w:rsidR="00F41A36">
        <w:rPr>
          <w:lang w:val="en-GB"/>
        </w:rPr>
        <w:t xml:space="preserve">ling step, </w:t>
      </w:r>
      <w:r w:rsidR="00B53A46">
        <w:rPr>
          <w:lang w:val="en-GB"/>
        </w:rPr>
        <w:t>the</w:t>
      </w:r>
      <w:r w:rsidR="005E3803">
        <w:rPr>
          <w:lang w:val="en-GB"/>
        </w:rPr>
        <w:t xml:space="preserve"> conditions </w:t>
      </w:r>
      <w:r w:rsidR="00B53A46">
        <w:rPr>
          <w:lang w:val="en-GB"/>
        </w:rPr>
        <w:t>with</w:t>
      </w:r>
      <w:r w:rsidR="005E3803">
        <w:rPr>
          <w:lang w:val="en-GB"/>
        </w:rPr>
        <w:t xml:space="preserve"> only stoichiometric water and </w:t>
      </w:r>
      <w:r w:rsidR="00476577">
        <w:rPr>
          <w:lang w:val="en-GB"/>
        </w:rPr>
        <w:t>total water withdrawal</w:t>
      </w:r>
      <w:r w:rsidR="00B53A46">
        <w:rPr>
          <w:lang w:val="en-GB"/>
        </w:rPr>
        <w:t xml:space="preserve"> were considered</w:t>
      </w:r>
      <w:r w:rsidR="00476577">
        <w:rPr>
          <w:lang w:val="en-GB"/>
        </w:rPr>
        <w:t>.</w:t>
      </w:r>
      <w:r w:rsidR="00AF4CE5">
        <w:rPr>
          <w:lang w:val="en-GB"/>
        </w:rPr>
        <w:t xml:space="preserve"> </w:t>
      </w:r>
      <w:r w:rsidR="00A94894" w:rsidRPr="00A94894">
        <w:rPr>
          <w:lang w:val="en-GB"/>
        </w:rPr>
        <w:t xml:space="preserve">Although the </w:t>
      </w:r>
      <w:r w:rsidR="005958CE">
        <w:rPr>
          <w:lang w:val="en-GB"/>
        </w:rPr>
        <w:t xml:space="preserve">water purification </w:t>
      </w:r>
      <w:r w:rsidR="00A94894" w:rsidRPr="00A94894">
        <w:rPr>
          <w:lang w:val="en-GB"/>
        </w:rPr>
        <w:t xml:space="preserve">plant was designed for a </w:t>
      </w:r>
      <w:r w:rsidR="005958CE">
        <w:rPr>
          <w:lang w:val="en-GB"/>
        </w:rPr>
        <w:t xml:space="preserve">significantly </w:t>
      </w:r>
      <w:r w:rsidR="00A94894" w:rsidRPr="00A94894">
        <w:rPr>
          <w:lang w:val="en-GB"/>
        </w:rPr>
        <w:t>higher flow rate, the assumption is sound, as it could likewise provide ultra-pure feed water to local industry in water-stressed regions.</w:t>
      </w:r>
    </w:p>
    <w:p w14:paraId="7B47AC64" w14:textId="77777777" w:rsidR="009A5F07" w:rsidRDefault="009A5F07" w:rsidP="00600535">
      <w:pPr>
        <w:pStyle w:val="CETBodytext"/>
        <w:rPr>
          <w:lang w:val="en-GB"/>
        </w:rPr>
      </w:pPr>
    </w:p>
    <w:p w14:paraId="206828E0" w14:textId="017B98F2" w:rsidR="00B53A46" w:rsidRDefault="001120EA" w:rsidP="001120EA">
      <w:pPr>
        <w:pStyle w:val="CETheadingx"/>
      </w:pPr>
      <w:r w:rsidRPr="001120EA">
        <w:t xml:space="preserve">Impact assessment </w:t>
      </w:r>
      <w:r w:rsidR="009C4BDC">
        <w:t>and cost of hydrogen</w:t>
      </w:r>
    </w:p>
    <w:p w14:paraId="1722091B" w14:textId="77777777" w:rsidR="00206ECB" w:rsidRDefault="00A67011" w:rsidP="00206ECB">
      <w:pPr>
        <w:pStyle w:val="CETBodytext"/>
      </w:pPr>
      <w:r>
        <w:t xml:space="preserve">The GWP and LCOH were calculated </w:t>
      </w:r>
      <w:r w:rsidR="00C1755A">
        <w:t>for four different scenario</w:t>
      </w:r>
      <w:r w:rsidR="007E0654">
        <w:t>s</w:t>
      </w:r>
      <w:r w:rsidR="00F00D06">
        <w:t>. Scenario</w:t>
      </w:r>
      <w:r w:rsidR="00F64F8A">
        <w:t>s</w:t>
      </w:r>
      <w:r w:rsidR="00F00D06">
        <w:t xml:space="preserve"> 1 and 2 consider stoichiometric </w:t>
      </w:r>
      <w:r w:rsidR="00DB2114">
        <w:t>water consumption and the use of</w:t>
      </w:r>
      <w:r w:rsidR="003F7C12">
        <w:t xml:space="preserve"> </w:t>
      </w:r>
      <w:r w:rsidR="00DB2114">
        <w:t>grid energy o</w:t>
      </w:r>
      <w:r w:rsidR="00C44E69">
        <w:t>r</w:t>
      </w:r>
      <w:r w:rsidR="00DB2114">
        <w:t xml:space="preserve"> </w:t>
      </w:r>
      <w:r w:rsidR="008C52CC">
        <w:t>a f</w:t>
      </w:r>
      <w:proofErr w:type="spellStart"/>
      <w:r w:rsidR="008C52CC" w:rsidRPr="008C52CC">
        <w:rPr>
          <w:lang w:val="en-GB"/>
        </w:rPr>
        <w:t>ully</w:t>
      </w:r>
      <w:proofErr w:type="spellEnd"/>
      <w:r w:rsidR="008C52CC" w:rsidRPr="008C52CC">
        <w:rPr>
          <w:lang w:val="en-GB"/>
        </w:rPr>
        <w:t xml:space="preserve"> renewable supply comprising 50 % photovoltaic and 50 % wind </w:t>
      </w:r>
      <w:r w:rsidR="008C52CC">
        <w:rPr>
          <w:lang w:val="en-GB"/>
        </w:rPr>
        <w:t>energy</w:t>
      </w:r>
      <w:r w:rsidR="001B29AD">
        <w:t>. Scenario</w:t>
      </w:r>
      <w:r w:rsidR="00F64F8A">
        <w:t>s</w:t>
      </w:r>
      <w:r w:rsidR="001B29AD">
        <w:t xml:space="preserve"> 3 and 4 </w:t>
      </w:r>
      <w:r w:rsidR="00BB21F8">
        <w:t>consider the consumption of the total wi</w:t>
      </w:r>
      <w:r w:rsidR="000D4E38">
        <w:t>thdraw</w:t>
      </w:r>
      <w:r w:rsidR="002B1511">
        <w:t>n</w:t>
      </w:r>
      <w:r w:rsidR="000D4E38">
        <w:t xml:space="preserve"> water, </w:t>
      </w:r>
      <w:r w:rsidR="00D71368">
        <w:t>with</w:t>
      </w:r>
      <w:r w:rsidR="000D4E38">
        <w:t xml:space="preserve"> the same energy condition</w:t>
      </w:r>
      <w:r w:rsidR="002B1511">
        <w:t>s</w:t>
      </w:r>
      <w:r w:rsidR="000D4E38">
        <w:t xml:space="preserve"> as before.</w:t>
      </w:r>
      <w:r w:rsidR="001B29AD">
        <w:t xml:space="preserve"> </w:t>
      </w:r>
      <w:r w:rsidR="00206ECB">
        <w:t>The Global Warming Potential per kilogram of hydrogen is calculated as the sum of two contributions. (</w:t>
      </w:r>
      <w:proofErr w:type="spellStart"/>
      <w:r w:rsidR="00206ECB">
        <w:t>i</w:t>
      </w:r>
      <w:proofErr w:type="spellEnd"/>
      <w:r w:rsidR="00206ECB">
        <w:t xml:space="preserve">) Operation covers the carbon intensity of the electricity consumed by electrolysis, pumping and desalination, as well as all minor operational inputs (chemicals for membrane cleaning, routine maintenance, component replacement, brine disposal). A screening analysis showed that these non-energy inputs account for &lt; 1 % of the total impact and have therefore been aggregated into the operation contribution for brevity. (ii) Plant construction accounts for the materials and manufacturing of the </w:t>
      </w:r>
      <w:proofErr w:type="spellStart"/>
      <w:r w:rsidR="00206ECB">
        <w:t>electrolysers</w:t>
      </w:r>
      <w:proofErr w:type="spellEnd"/>
      <w:r w:rsidR="00206ECB">
        <w:t>, desalination unit and auxiliaries, following the shares reported by Shahabi et al. (2014) and Yuan et al. (2023); this component represents ≈ 2 % of the overall GWP.</w:t>
      </w:r>
    </w:p>
    <w:p w14:paraId="274D4724" w14:textId="77777777" w:rsidR="00206ECB" w:rsidRDefault="00206ECB" w:rsidP="00206ECB">
      <w:pPr>
        <w:pStyle w:val="CETBodytext"/>
      </w:pPr>
      <w:r>
        <w:t xml:space="preserve">Electricity inventories for the Italian medium-voltage grid, photovoltaic (PV) and wind energy were taken from the </w:t>
      </w:r>
      <w:proofErr w:type="spellStart"/>
      <w:r>
        <w:t>Ecoinvent</w:t>
      </w:r>
      <w:proofErr w:type="spellEnd"/>
      <w:r>
        <w:t xml:space="preserve"> database (v3.x), and impact factors were calculated with the </w:t>
      </w:r>
      <w:proofErr w:type="spellStart"/>
      <w:r>
        <w:t>ReCiPe</w:t>
      </w:r>
      <w:proofErr w:type="spellEnd"/>
      <w:r>
        <w:t xml:space="preserve"> 2016 Midpoint (H) method.</w:t>
      </w:r>
    </w:p>
    <w:p w14:paraId="4E169F3D" w14:textId="5BCECAF7" w:rsidR="00482EEC" w:rsidRDefault="00C7286D" w:rsidP="00206ECB">
      <w:pPr>
        <w:pStyle w:val="CETBodytext"/>
        <w:rPr>
          <w:lang w:val="en-GB"/>
        </w:rPr>
      </w:pPr>
      <w:r>
        <w:rPr>
          <w:lang w:val="en-GB"/>
        </w:rPr>
        <w:t>The L</w:t>
      </w:r>
      <w:r w:rsidR="00482EEC">
        <w:rPr>
          <w:lang w:val="en-GB"/>
        </w:rPr>
        <w:t xml:space="preserve">COH was calculated by using the following </w:t>
      </w:r>
      <w:r w:rsidR="006B1A44">
        <w:rPr>
          <w:lang w:val="en-GB"/>
        </w:rPr>
        <w:t>equation</w:t>
      </w:r>
      <w:r w:rsidR="00482EEC">
        <w:rPr>
          <w:lang w:val="en-GB"/>
        </w:rPr>
        <w:t xml:space="preserve">: </w:t>
      </w:r>
    </w:p>
    <w:p w14:paraId="36791F1C" w14:textId="664F19D0" w:rsidR="003A4D14" w:rsidRPr="006B1A44" w:rsidRDefault="008112E1" w:rsidP="009A5F07">
      <w:pPr>
        <w:pStyle w:val="CETEquation"/>
        <w:jc w:val="center"/>
      </w:pPr>
      <m:oMath>
        <m:r>
          <w:rPr>
            <w:rFonts w:ascii="Cambria Math" w:hAnsi="Cambria Math"/>
          </w:rPr>
          <w:lastRenderedPageBreak/>
          <m:t>LCOH</m:t>
        </m:r>
        <m:r>
          <m:rPr>
            <m:sty m:val="p"/>
          </m:rPr>
          <w:rPr>
            <w:rFonts w:ascii="Cambria Math" w:hAnsi="Cambria Math"/>
          </w:rPr>
          <m:t xml:space="preserve">= </m:t>
        </m:r>
        <m:f>
          <m:fPr>
            <m:ctrlPr>
              <w:rPr>
                <w:rFonts w:ascii="Cambria Math" w:hAnsi="Cambria Math"/>
              </w:rPr>
            </m:ctrlPr>
          </m:fPr>
          <m:num>
            <m:r>
              <w:rPr>
                <w:rFonts w:ascii="Cambria Math" w:hAnsi="Cambria Math"/>
              </w:rPr>
              <m:t>CAPEX</m:t>
            </m:r>
            <m:r>
              <m:rPr>
                <m:sty m:val="p"/>
              </m:rPr>
              <w:rPr>
                <w:rFonts w:ascii="Cambria Math" w:hAnsi="Cambria Math"/>
              </w:rPr>
              <m:t xml:space="preserve">+ </m:t>
            </m:r>
            <m:nary>
              <m:naryPr>
                <m:chr m:val="∑"/>
                <m:limLoc m:val="subSup"/>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f>
                  <m:fPr>
                    <m:ctrlPr>
                      <w:rPr>
                        <w:rFonts w:ascii="Cambria Math" w:hAnsi="Cambria Math"/>
                      </w:rPr>
                    </m:ctrlPr>
                  </m:fPr>
                  <m:num>
                    <m:r>
                      <w:rPr>
                        <w:rFonts w:ascii="Cambria Math" w:hAnsi="Cambria Math"/>
                      </w:rPr>
                      <m:t>OPEX</m:t>
                    </m:r>
                  </m:num>
                  <m:den>
                    <m:sSup>
                      <m:sSupPr>
                        <m:ctrlPr>
                          <w:rPr>
                            <w:rFonts w:ascii="Cambria Math" w:hAnsi="Cambria Math"/>
                          </w:rPr>
                        </m:ctrlPr>
                      </m:sSupPr>
                      <m:e>
                        <m:r>
                          <m:rPr>
                            <m:sty m:val="p"/>
                          </m:rPr>
                          <w:rPr>
                            <w:rFonts w:ascii="Cambria Math" w:hAnsi="Cambria Math"/>
                          </w:rPr>
                          <m:t>(1+</m:t>
                        </m:r>
                        <m:r>
                          <w:rPr>
                            <w:rFonts w:ascii="Cambria Math" w:hAnsi="Cambria Math"/>
                          </w:rPr>
                          <m:t>r</m:t>
                        </m:r>
                        <m:r>
                          <m:rPr>
                            <m:sty m:val="p"/>
                          </m:rPr>
                          <w:rPr>
                            <w:rFonts w:ascii="Cambria Math" w:hAnsi="Cambria Math"/>
                          </w:rPr>
                          <m:t>)</m:t>
                        </m:r>
                      </m:e>
                      <m:sup>
                        <m:r>
                          <w:rPr>
                            <w:rFonts w:ascii="Cambria Math" w:hAnsi="Cambria Math"/>
                          </w:rPr>
                          <m:t>t</m:t>
                        </m:r>
                      </m:sup>
                    </m:sSup>
                  </m:den>
                </m:f>
              </m:e>
            </m:nary>
          </m:num>
          <m:den>
            <m:nary>
              <m:naryPr>
                <m:chr m:val="∑"/>
                <m:limLoc m:val="subSup"/>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Sub>
                  </m:num>
                  <m:den>
                    <m:sSup>
                      <m:sSupPr>
                        <m:ctrlPr>
                          <w:rPr>
                            <w:rFonts w:ascii="Cambria Math" w:hAnsi="Cambria Math"/>
                          </w:rPr>
                        </m:ctrlPr>
                      </m:sSupPr>
                      <m:e>
                        <m:r>
                          <m:rPr>
                            <m:sty m:val="p"/>
                          </m:rPr>
                          <w:rPr>
                            <w:rFonts w:ascii="Cambria Math" w:hAnsi="Cambria Math"/>
                          </w:rPr>
                          <m:t>(1+</m:t>
                        </m:r>
                        <m:r>
                          <w:rPr>
                            <w:rFonts w:ascii="Cambria Math" w:hAnsi="Cambria Math"/>
                          </w:rPr>
                          <m:t>r</m:t>
                        </m:r>
                        <m:r>
                          <m:rPr>
                            <m:sty m:val="p"/>
                          </m:rPr>
                          <w:rPr>
                            <w:rFonts w:ascii="Cambria Math" w:hAnsi="Cambria Math"/>
                          </w:rPr>
                          <m:t>)</m:t>
                        </m:r>
                      </m:e>
                      <m:sup>
                        <m:r>
                          <w:rPr>
                            <w:rFonts w:ascii="Cambria Math" w:hAnsi="Cambria Math"/>
                          </w:rPr>
                          <m:t>t</m:t>
                        </m:r>
                      </m:sup>
                    </m:sSup>
                  </m:den>
                </m:f>
              </m:e>
            </m:nary>
          </m:den>
        </m:f>
      </m:oMath>
      <w:r w:rsidR="00862EF3" w:rsidRPr="006B1A44">
        <w:t xml:space="preserve">      </w:t>
      </w:r>
      <w:r w:rsidR="006B1A44" w:rsidRPr="006B1A44">
        <w:t xml:space="preserve">                                                                                                  </w:t>
      </w:r>
      <w:r w:rsidR="00862EF3" w:rsidRPr="006B1A44">
        <w:t xml:space="preserve">  </w:t>
      </w:r>
      <w:r w:rsidR="006B1A44">
        <w:t xml:space="preserve">               </w:t>
      </w:r>
      <w:r w:rsidR="006B1A44" w:rsidRPr="006B1A44">
        <w:t>(</w:t>
      </w:r>
      <w:r w:rsidR="006B1A44">
        <w:t>1)</w:t>
      </w:r>
    </w:p>
    <w:p w14:paraId="5139843F" w14:textId="0E394551" w:rsidR="00C21E46" w:rsidRDefault="00C21E46" w:rsidP="00600535">
      <w:pPr>
        <w:pStyle w:val="CETBodytext"/>
        <w:rPr>
          <w:lang w:val="en-GB"/>
        </w:rPr>
      </w:pPr>
      <w:r>
        <w:rPr>
          <w:lang w:val="en-GB"/>
        </w:rPr>
        <w:t>Where</w:t>
      </w:r>
      <w:r w:rsidR="00CA536E">
        <w:rPr>
          <w:lang w:val="en-GB"/>
        </w:rPr>
        <w:t>,</w:t>
      </w:r>
      <w:r>
        <w:rPr>
          <w:lang w:val="en-GB"/>
        </w:rPr>
        <w:t xml:space="preserve"> </w:t>
      </w:r>
      <w:r w:rsidR="00497207">
        <w:rPr>
          <w:lang w:val="en-GB"/>
        </w:rPr>
        <w:t xml:space="preserve">CAPEX and OPEX are respectively the </w:t>
      </w:r>
      <w:r w:rsidR="006A2686">
        <w:rPr>
          <w:lang w:val="en-GB"/>
        </w:rPr>
        <w:t>capital and operative cost</w:t>
      </w:r>
      <w:r w:rsidR="00CD0E7C">
        <w:rPr>
          <w:lang w:val="en-GB"/>
        </w:rPr>
        <w:t>s</w:t>
      </w:r>
      <w:r w:rsidR="006A2686">
        <w:rPr>
          <w:lang w:val="en-GB"/>
        </w:rPr>
        <w:t xml:space="preserve"> of investment</w:t>
      </w:r>
      <w:r w:rsidR="00CA536E">
        <w:rPr>
          <w:lang w:val="en-GB"/>
        </w:rPr>
        <w:t>, P</w:t>
      </w:r>
      <w:r w:rsidR="00CA536E" w:rsidRPr="00CA536E">
        <w:rPr>
          <w:vertAlign w:val="subscript"/>
          <w:lang w:val="en-GB"/>
        </w:rPr>
        <w:t>H2</w:t>
      </w:r>
      <w:r w:rsidR="00CA536E">
        <w:rPr>
          <w:lang w:val="en-GB"/>
        </w:rPr>
        <w:t xml:space="preserve"> is the amount of produced hydrogen, </w:t>
      </w:r>
      <w:r w:rsidR="008D64C9">
        <w:rPr>
          <w:lang w:val="en-GB"/>
        </w:rPr>
        <w:t>t is the number of year</w:t>
      </w:r>
      <w:r w:rsidR="00CD0E7C">
        <w:rPr>
          <w:lang w:val="en-GB"/>
        </w:rPr>
        <w:t>s</w:t>
      </w:r>
      <w:r w:rsidR="008D64C9">
        <w:rPr>
          <w:lang w:val="en-GB"/>
        </w:rPr>
        <w:t xml:space="preserve"> and r is the discount rate. </w:t>
      </w:r>
      <w:r w:rsidR="009331E8">
        <w:rPr>
          <w:lang w:val="en-GB"/>
        </w:rPr>
        <w:t xml:space="preserve">The following table reports all the input data </w:t>
      </w:r>
      <w:r w:rsidR="00250EA7">
        <w:rPr>
          <w:lang w:val="en-GB"/>
        </w:rPr>
        <w:t>to define plant production</w:t>
      </w:r>
      <w:r w:rsidR="009D28D8">
        <w:rPr>
          <w:lang w:val="en-GB"/>
        </w:rPr>
        <w:t>, CAPEX and OPEX.</w:t>
      </w:r>
      <w:r w:rsidR="008414EE">
        <w:rPr>
          <w:lang w:val="en-GB"/>
        </w:rPr>
        <w:t xml:space="preserve"> </w:t>
      </w:r>
      <w:r w:rsidR="00D253D8">
        <w:rPr>
          <w:lang w:val="en-GB"/>
        </w:rPr>
        <w:t>Cost</w:t>
      </w:r>
      <w:r w:rsidR="00071062">
        <w:rPr>
          <w:lang w:val="en-GB"/>
        </w:rPr>
        <w:t>s</w:t>
      </w:r>
      <w:r w:rsidR="00D253D8">
        <w:rPr>
          <w:lang w:val="en-GB"/>
        </w:rPr>
        <w:t xml:space="preserve"> for stack,</w:t>
      </w:r>
      <w:r w:rsidR="003F29F5">
        <w:rPr>
          <w:lang w:val="en-GB"/>
        </w:rPr>
        <w:t xml:space="preserve"> </w:t>
      </w:r>
      <w:r w:rsidR="006E0FBE">
        <w:rPr>
          <w:lang w:val="en-GB"/>
        </w:rPr>
        <w:t>Balance of Plant</w:t>
      </w:r>
      <w:r w:rsidR="00D253D8">
        <w:rPr>
          <w:lang w:val="en-GB"/>
        </w:rPr>
        <w:t xml:space="preserve"> </w:t>
      </w:r>
      <w:r w:rsidR="006E0FBE">
        <w:rPr>
          <w:lang w:val="en-GB"/>
        </w:rPr>
        <w:t>(</w:t>
      </w:r>
      <w:proofErr w:type="spellStart"/>
      <w:r w:rsidR="00D253D8">
        <w:rPr>
          <w:lang w:val="en-GB"/>
        </w:rPr>
        <w:t>BoP</w:t>
      </w:r>
      <w:proofErr w:type="spellEnd"/>
      <w:r w:rsidR="006E0FBE">
        <w:rPr>
          <w:lang w:val="en-GB"/>
        </w:rPr>
        <w:t>)</w:t>
      </w:r>
      <w:r w:rsidR="005A5B3E">
        <w:rPr>
          <w:lang w:val="en-GB"/>
        </w:rPr>
        <w:t xml:space="preserve">, material and labour were taken from Kim et al., (2024), </w:t>
      </w:r>
      <w:r w:rsidR="00F95761">
        <w:rPr>
          <w:lang w:val="en-GB"/>
        </w:rPr>
        <w:t>considering the equivalence of 1$</w:t>
      </w:r>
      <w:r w:rsidR="00316768">
        <w:rPr>
          <w:lang w:val="en-GB"/>
        </w:rPr>
        <w:t xml:space="preserve"> </w:t>
      </w:r>
      <w:r w:rsidR="00F95761">
        <w:rPr>
          <w:lang w:val="en-GB"/>
        </w:rPr>
        <w:t>=</w:t>
      </w:r>
      <w:r w:rsidR="00316768">
        <w:rPr>
          <w:lang w:val="en-GB"/>
        </w:rPr>
        <w:t xml:space="preserve"> </w:t>
      </w:r>
      <w:r w:rsidR="0095667B">
        <w:rPr>
          <w:lang w:val="en-GB"/>
        </w:rPr>
        <w:t>1</w:t>
      </w:r>
      <w:r w:rsidR="00F95761">
        <w:rPr>
          <w:lang w:val="en-GB"/>
        </w:rPr>
        <w:t>€.</w:t>
      </w:r>
      <w:r w:rsidR="00D253D8">
        <w:rPr>
          <w:lang w:val="en-GB"/>
        </w:rPr>
        <w:t xml:space="preserve"> </w:t>
      </w:r>
      <w:r w:rsidR="006930BE">
        <w:rPr>
          <w:lang w:val="en-GB"/>
        </w:rPr>
        <w:t xml:space="preserve">The price of electricity was considered the same both for grid electricity and </w:t>
      </w:r>
      <w:r w:rsidR="00520FE2">
        <w:rPr>
          <w:lang w:val="en-GB"/>
        </w:rPr>
        <w:t xml:space="preserve">renewable electricity. </w:t>
      </w:r>
      <w:r w:rsidR="00FA614C">
        <w:rPr>
          <w:lang w:val="en-GB"/>
        </w:rPr>
        <w:t>The cost of ultra-pure water comes from the model introduced in paragraph 2.2.1.</w:t>
      </w:r>
      <w:r w:rsidR="004B6A58">
        <w:rPr>
          <w:lang w:val="en-GB"/>
        </w:rPr>
        <w:t xml:space="preserve"> </w:t>
      </w:r>
      <w:r w:rsidR="00893FAC">
        <w:rPr>
          <w:lang w:val="en-GB"/>
        </w:rPr>
        <w:t>T</w:t>
      </w:r>
      <w:r w:rsidR="004B6A58">
        <w:rPr>
          <w:lang w:val="en-GB"/>
        </w:rPr>
        <w:t xml:space="preserve">he calculation of the overall CAPEX (not reported in the table) </w:t>
      </w:r>
      <w:r w:rsidR="00807BBC" w:rsidRPr="00807BBC">
        <w:rPr>
          <w:lang w:val="en-GB"/>
        </w:rPr>
        <w:t>includes the initial investment costs for the electrolyzer and balance of plant, as well as the annualized cost of all necessary stack replacements over the plant's operational lifetime, considering their respective lifespans.</w:t>
      </w:r>
    </w:p>
    <w:p w14:paraId="4B871520" w14:textId="77777777" w:rsidR="009D28D8" w:rsidRDefault="009D28D8" w:rsidP="00600535">
      <w:pPr>
        <w:pStyle w:val="CETBodytext"/>
        <w:rPr>
          <w:lang w:val="en-GB"/>
        </w:rPr>
      </w:pP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276"/>
        <w:gridCol w:w="1134"/>
      </w:tblGrid>
      <w:tr w:rsidR="00DD1B4C" w:rsidRPr="00B57B36" w14:paraId="206ED7DA" w14:textId="1D98967E" w:rsidTr="00B831A4">
        <w:trPr>
          <w:jc w:val="center"/>
        </w:trPr>
        <w:tc>
          <w:tcPr>
            <w:tcW w:w="6379" w:type="dxa"/>
            <w:gridSpan w:val="3"/>
            <w:tcBorders>
              <w:top w:val="single" w:sz="12" w:space="0" w:color="008000"/>
              <w:bottom w:val="single" w:sz="6" w:space="0" w:color="008000"/>
            </w:tcBorders>
            <w:shd w:val="clear" w:color="auto" w:fill="FFFFFF"/>
            <w:vAlign w:val="center"/>
          </w:tcPr>
          <w:p w14:paraId="01D222D7" w14:textId="29302B6F" w:rsidR="00DD1B4C" w:rsidRDefault="00DD1B4C" w:rsidP="00DD1B4C">
            <w:pPr>
              <w:pStyle w:val="CETBodytext"/>
              <w:jc w:val="center"/>
              <w:rPr>
                <w:lang w:val="en-GB"/>
              </w:rPr>
            </w:pPr>
            <w:r>
              <w:rPr>
                <w:lang w:val="en-GB"/>
              </w:rPr>
              <w:t>Input data</w:t>
            </w:r>
          </w:p>
        </w:tc>
      </w:tr>
      <w:tr w:rsidR="00A12102" w:rsidRPr="00B57B36" w14:paraId="40724C8B" w14:textId="77777777" w:rsidTr="00B831A4">
        <w:trPr>
          <w:jc w:val="center"/>
        </w:trPr>
        <w:tc>
          <w:tcPr>
            <w:tcW w:w="3969" w:type="dxa"/>
            <w:shd w:val="clear" w:color="auto" w:fill="FFFFFF"/>
          </w:tcPr>
          <w:p w14:paraId="5F004D96" w14:textId="33665493" w:rsidR="00A12102" w:rsidRDefault="00F84C8B" w:rsidP="00B831A4">
            <w:pPr>
              <w:pStyle w:val="CETBodytext"/>
            </w:pPr>
            <w:r>
              <w:t>Electrolyzer size</w:t>
            </w:r>
          </w:p>
        </w:tc>
        <w:tc>
          <w:tcPr>
            <w:tcW w:w="1276" w:type="dxa"/>
            <w:shd w:val="clear" w:color="auto" w:fill="FFFFFF"/>
          </w:tcPr>
          <w:p w14:paraId="29AD5D25" w14:textId="77C76158" w:rsidR="00A12102" w:rsidRPr="00C4676E" w:rsidRDefault="00F84C8B" w:rsidP="00B831A4">
            <w:pPr>
              <w:pStyle w:val="CETBodytext"/>
              <w:jc w:val="center"/>
            </w:pPr>
            <w:r>
              <w:t>1</w:t>
            </w:r>
          </w:p>
        </w:tc>
        <w:tc>
          <w:tcPr>
            <w:tcW w:w="1134" w:type="dxa"/>
            <w:shd w:val="clear" w:color="auto" w:fill="FFFFFF"/>
          </w:tcPr>
          <w:p w14:paraId="7ADB0C42" w14:textId="70164E63" w:rsidR="00A12102" w:rsidRPr="00C4676E" w:rsidRDefault="00F84C8B" w:rsidP="00B831A4">
            <w:pPr>
              <w:pStyle w:val="CETBodytext"/>
              <w:jc w:val="center"/>
            </w:pPr>
            <w:r>
              <w:t>MW</w:t>
            </w:r>
          </w:p>
        </w:tc>
      </w:tr>
      <w:tr w:rsidR="00B831A4" w:rsidRPr="00B57B36" w14:paraId="32627180" w14:textId="0A12DD08" w:rsidTr="00B831A4">
        <w:trPr>
          <w:jc w:val="center"/>
        </w:trPr>
        <w:tc>
          <w:tcPr>
            <w:tcW w:w="3969" w:type="dxa"/>
            <w:shd w:val="clear" w:color="auto" w:fill="FFFFFF"/>
          </w:tcPr>
          <w:p w14:paraId="575B7AA5" w14:textId="2CF630E2" w:rsidR="00B831A4" w:rsidRPr="00B57B36" w:rsidRDefault="000D1D90" w:rsidP="00B831A4">
            <w:pPr>
              <w:pStyle w:val="CETBodytext"/>
              <w:rPr>
                <w:lang w:val="en-GB"/>
              </w:rPr>
            </w:pPr>
            <w:r>
              <w:t>H</w:t>
            </w:r>
            <w:r w:rsidR="00B831A4" w:rsidRPr="00C4676E">
              <w:t>ourly production</w:t>
            </w:r>
          </w:p>
        </w:tc>
        <w:tc>
          <w:tcPr>
            <w:tcW w:w="1276" w:type="dxa"/>
            <w:shd w:val="clear" w:color="auto" w:fill="FFFFFF"/>
          </w:tcPr>
          <w:p w14:paraId="6B7CEB79" w14:textId="68A9D798" w:rsidR="00B831A4" w:rsidRPr="00B57B36" w:rsidRDefault="00B831A4" w:rsidP="00B831A4">
            <w:pPr>
              <w:pStyle w:val="CETBodytext"/>
              <w:jc w:val="center"/>
              <w:rPr>
                <w:lang w:val="en-GB"/>
              </w:rPr>
            </w:pPr>
            <w:r w:rsidRPr="00C4676E">
              <w:t xml:space="preserve"> 19 </w:t>
            </w:r>
          </w:p>
        </w:tc>
        <w:tc>
          <w:tcPr>
            <w:tcW w:w="1134" w:type="dxa"/>
            <w:shd w:val="clear" w:color="auto" w:fill="FFFFFF"/>
          </w:tcPr>
          <w:p w14:paraId="10B63B00" w14:textId="56C0BF0E" w:rsidR="00B831A4" w:rsidRDefault="00B831A4" w:rsidP="00B831A4">
            <w:pPr>
              <w:pStyle w:val="CETBodytext"/>
              <w:jc w:val="center"/>
              <w:rPr>
                <w:lang w:val="en-GB"/>
              </w:rPr>
            </w:pPr>
            <w:r w:rsidRPr="00C4676E">
              <w:t>kg</w:t>
            </w:r>
            <w:r w:rsidRPr="006A6437">
              <w:rPr>
                <w:vertAlign w:val="subscript"/>
              </w:rPr>
              <w:t>H2</w:t>
            </w:r>
            <w:r w:rsidRPr="00C4676E">
              <w:t>/h</w:t>
            </w:r>
          </w:p>
        </w:tc>
      </w:tr>
      <w:tr w:rsidR="00B831A4" w:rsidRPr="00B57B36" w14:paraId="530C22CE" w14:textId="23BB47F2" w:rsidTr="00B831A4">
        <w:trPr>
          <w:jc w:val="center"/>
        </w:trPr>
        <w:tc>
          <w:tcPr>
            <w:tcW w:w="3969" w:type="dxa"/>
            <w:shd w:val="clear" w:color="auto" w:fill="FFFFFF"/>
          </w:tcPr>
          <w:p w14:paraId="05A90EC0" w14:textId="4776EC96" w:rsidR="00B831A4" w:rsidRPr="00B57B36" w:rsidRDefault="000D1D90" w:rsidP="00B831A4">
            <w:pPr>
              <w:pStyle w:val="CETBodytext"/>
              <w:rPr>
                <w:lang w:val="en-GB"/>
              </w:rPr>
            </w:pPr>
            <w:r>
              <w:t>D</w:t>
            </w:r>
            <w:r w:rsidR="00B831A4" w:rsidRPr="00C4676E">
              <w:t>aily working hours</w:t>
            </w:r>
          </w:p>
        </w:tc>
        <w:tc>
          <w:tcPr>
            <w:tcW w:w="1276" w:type="dxa"/>
            <w:shd w:val="clear" w:color="auto" w:fill="FFFFFF"/>
          </w:tcPr>
          <w:p w14:paraId="41A787A9" w14:textId="79D986B3" w:rsidR="00B831A4" w:rsidRPr="00B57B36" w:rsidRDefault="00B831A4" w:rsidP="00B831A4">
            <w:pPr>
              <w:pStyle w:val="CETBodytext"/>
              <w:jc w:val="center"/>
              <w:rPr>
                <w:lang w:val="en-GB"/>
              </w:rPr>
            </w:pPr>
            <w:r w:rsidRPr="00C4676E">
              <w:t xml:space="preserve"> 16 </w:t>
            </w:r>
          </w:p>
        </w:tc>
        <w:tc>
          <w:tcPr>
            <w:tcW w:w="1134" w:type="dxa"/>
            <w:shd w:val="clear" w:color="auto" w:fill="FFFFFF"/>
          </w:tcPr>
          <w:p w14:paraId="62C3D1F9" w14:textId="29118727" w:rsidR="00B831A4" w:rsidRDefault="00B831A4" w:rsidP="00B831A4">
            <w:pPr>
              <w:pStyle w:val="CETBodytext"/>
              <w:jc w:val="center"/>
              <w:rPr>
                <w:lang w:val="en-GB"/>
              </w:rPr>
            </w:pPr>
            <w:r w:rsidRPr="00C4676E">
              <w:t>h/d</w:t>
            </w:r>
          </w:p>
        </w:tc>
      </w:tr>
      <w:tr w:rsidR="00B831A4" w:rsidRPr="00B57B36" w14:paraId="7B8B9AC7" w14:textId="4A4B51BA" w:rsidTr="00B831A4">
        <w:trPr>
          <w:jc w:val="center"/>
        </w:trPr>
        <w:tc>
          <w:tcPr>
            <w:tcW w:w="3969" w:type="dxa"/>
            <w:shd w:val="clear" w:color="auto" w:fill="FFFFFF"/>
          </w:tcPr>
          <w:p w14:paraId="13A00C75" w14:textId="3366CE84" w:rsidR="00B831A4" w:rsidRPr="00B57B36" w:rsidRDefault="000D1D90" w:rsidP="00B831A4">
            <w:pPr>
              <w:pStyle w:val="CETBodytext"/>
              <w:ind w:right="-1"/>
              <w:rPr>
                <w:rFonts w:cs="Arial"/>
                <w:szCs w:val="18"/>
                <w:lang w:val="en-GB"/>
              </w:rPr>
            </w:pPr>
            <w:r>
              <w:t>W</w:t>
            </w:r>
            <w:r w:rsidR="00B831A4" w:rsidRPr="00C4676E">
              <w:t>orking days per year</w:t>
            </w:r>
          </w:p>
        </w:tc>
        <w:tc>
          <w:tcPr>
            <w:tcW w:w="1276" w:type="dxa"/>
            <w:shd w:val="clear" w:color="auto" w:fill="FFFFFF"/>
          </w:tcPr>
          <w:p w14:paraId="7E0AB340" w14:textId="11B8A36D" w:rsidR="00B831A4" w:rsidRPr="00B57B36" w:rsidRDefault="00B831A4" w:rsidP="00B831A4">
            <w:pPr>
              <w:pStyle w:val="CETBodytext"/>
              <w:ind w:right="-1"/>
              <w:jc w:val="center"/>
              <w:rPr>
                <w:rFonts w:cs="Arial"/>
                <w:szCs w:val="18"/>
                <w:lang w:val="en-GB"/>
              </w:rPr>
            </w:pPr>
            <w:r w:rsidRPr="00C4676E">
              <w:t xml:space="preserve"> 350 </w:t>
            </w:r>
          </w:p>
        </w:tc>
        <w:tc>
          <w:tcPr>
            <w:tcW w:w="1134" w:type="dxa"/>
            <w:shd w:val="clear" w:color="auto" w:fill="FFFFFF"/>
          </w:tcPr>
          <w:p w14:paraId="468B3B17" w14:textId="736240F8" w:rsidR="00B831A4" w:rsidRDefault="00B831A4" w:rsidP="00B831A4">
            <w:pPr>
              <w:pStyle w:val="CETBodytext"/>
              <w:ind w:right="-1"/>
              <w:jc w:val="center"/>
              <w:rPr>
                <w:rFonts w:cs="Arial"/>
                <w:szCs w:val="18"/>
                <w:lang w:val="en-GB"/>
              </w:rPr>
            </w:pPr>
            <w:r w:rsidRPr="00C4676E">
              <w:t>d/y</w:t>
            </w:r>
          </w:p>
        </w:tc>
      </w:tr>
      <w:tr w:rsidR="00B831A4" w:rsidRPr="00B57B36" w14:paraId="1773C171" w14:textId="77777777" w:rsidTr="00B831A4">
        <w:trPr>
          <w:jc w:val="center"/>
        </w:trPr>
        <w:tc>
          <w:tcPr>
            <w:tcW w:w="3969" w:type="dxa"/>
            <w:shd w:val="clear" w:color="auto" w:fill="FFFFFF"/>
          </w:tcPr>
          <w:p w14:paraId="09F8C795" w14:textId="1DAAE819" w:rsidR="00B831A4" w:rsidRPr="00F604AA" w:rsidRDefault="000D1D90" w:rsidP="00B831A4">
            <w:pPr>
              <w:pStyle w:val="CETBodytext"/>
              <w:ind w:right="-1"/>
              <w:rPr>
                <w:rFonts w:cs="Arial"/>
                <w:szCs w:val="18"/>
                <w:lang w:val="en-GB"/>
              </w:rPr>
            </w:pPr>
            <w:r>
              <w:t>D</w:t>
            </w:r>
            <w:r w:rsidR="00B831A4" w:rsidRPr="00C4676E">
              <w:t>aily H</w:t>
            </w:r>
            <w:r w:rsidR="00B831A4" w:rsidRPr="00F84C8B">
              <w:rPr>
                <w:vertAlign w:val="subscript"/>
              </w:rPr>
              <w:t>2</w:t>
            </w:r>
            <w:r w:rsidR="00B831A4" w:rsidRPr="00C4676E">
              <w:t xml:space="preserve"> production</w:t>
            </w:r>
          </w:p>
        </w:tc>
        <w:tc>
          <w:tcPr>
            <w:tcW w:w="1276" w:type="dxa"/>
            <w:shd w:val="clear" w:color="auto" w:fill="FFFFFF"/>
          </w:tcPr>
          <w:p w14:paraId="280D5AEC" w14:textId="4FC0D9A1" w:rsidR="00B831A4" w:rsidRDefault="00B831A4" w:rsidP="00B831A4">
            <w:pPr>
              <w:pStyle w:val="CETBodytext"/>
              <w:ind w:right="-1"/>
              <w:jc w:val="center"/>
              <w:rPr>
                <w:rFonts w:cs="Arial"/>
                <w:szCs w:val="18"/>
                <w:lang w:val="en-GB"/>
              </w:rPr>
            </w:pPr>
            <w:r w:rsidRPr="00C4676E">
              <w:t xml:space="preserve"> 303 </w:t>
            </w:r>
          </w:p>
        </w:tc>
        <w:tc>
          <w:tcPr>
            <w:tcW w:w="1134" w:type="dxa"/>
            <w:shd w:val="clear" w:color="auto" w:fill="FFFFFF"/>
          </w:tcPr>
          <w:p w14:paraId="2365E7A1" w14:textId="704859FC" w:rsidR="00B831A4" w:rsidRDefault="006A6437" w:rsidP="00B831A4">
            <w:pPr>
              <w:pStyle w:val="CETBodytext"/>
              <w:ind w:right="-1"/>
              <w:jc w:val="center"/>
              <w:rPr>
                <w:rFonts w:cs="Arial"/>
                <w:szCs w:val="18"/>
                <w:lang w:val="en-GB"/>
              </w:rPr>
            </w:pPr>
            <w:r w:rsidRPr="00C4676E">
              <w:t>kg</w:t>
            </w:r>
            <w:r w:rsidRPr="006A6437">
              <w:rPr>
                <w:vertAlign w:val="subscript"/>
              </w:rPr>
              <w:t>H2</w:t>
            </w:r>
            <w:r w:rsidR="00B831A4" w:rsidRPr="00C4676E">
              <w:t>/d</w:t>
            </w:r>
          </w:p>
        </w:tc>
      </w:tr>
      <w:tr w:rsidR="00B831A4" w:rsidRPr="00B57B36" w14:paraId="715E4689" w14:textId="77777777" w:rsidTr="00B831A4">
        <w:trPr>
          <w:jc w:val="center"/>
        </w:trPr>
        <w:tc>
          <w:tcPr>
            <w:tcW w:w="3969" w:type="dxa"/>
            <w:shd w:val="clear" w:color="auto" w:fill="FFFFFF"/>
          </w:tcPr>
          <w:p w14:paraId="0122BCB3" w14:textId="72DE81D7" w:rsidR="00B831A4" w:rsidRPr="00F604AA" w:rsidRDefault="000D1D90" w:rsidP="00B831A4">
            <w:pPr>
              <w:pStyle w:val="CETBodytext"/>
              <w:ind w:right="-1"/>
              <w:rPr>
                <w:rFonts w:cs="Arial"/>
                <w:szCs w:val="18"/>
                <w:lang w:val="en-GB"/>
              </w:rPr>
            </w:pPr>
            <w:r>
              <w:t>D</w:t>
            </w:r>
            <w:r w:rsidR="00B831A4" w:rsidRPr="00C4676E">
              <w:t>aily water consumption (</w:t>
            </w:r>
            <w:proofErr w:type="spellStart"/>
            <w:r w:rsidR="00B831A4" w:rsidRPr="00C4676E">
              <w:t>stechiom</w:t>
            </w:r>
            <w:proofErr w:type="spellEnd"/>
            <w:r w:rsidR="00B831A4" w:rsidRPr="00C4676E">
              <w:t>)</w:t>
            </w:r>
          </w:p>
        </w:tc>
        <w:tc>
          <w:tcPr>
            <w:tcW w:w="1276" w:type="dxa"/>
            <w:shd w:val="clear" w:color="auto" w:fill="FFFFFF"/>
          </w:tcPr>
          <w:p w14:paraId="2CADD6B3" w14:textId="21ACFDE1" w:rsidR="00B831A4" w:rsidRDefault="00B831A4" w:rsidP="00B831A4">
            <w:pPr>
              <w:pStyle w:val="CETBodytext"/>
              <w:ind w:right="-1"/>
              <w:jc w:val="center"/>
              <w:rPr>
                <w:rFonts w:cs="Arial"/>
                <w:szCs w:val="18"/>
                <w:lang w:val="en-GB"/>
              </w:rPr>
            </w:pPr>
            <w:r w:rsidRPr="00C4676E">
              <w:t xml:space="preserve"> 3 </w:t>
            </w:r>
          </w:p>
        </w:tc>
        <w:tc>
          <w:tcPr>
            <w:tcW w:w="1134" w:type="dxa"/>
            <w:shd w:val="clear" w:color="auto" w:fill="FFFFFF"/>
          </w:tcPr>
          <w:p w14:paraId="2412694C" w14:textId="04946AB2" w:rsidR="00B831A4" w:rsidRDefault="00B831A4" w:rsidP="00B831A4">
            <w:pPr>
              <w:pStyle w:val="CETBodytext"/>
              <w:ind w:right="-1"/>
              <w:jc w:val="center"/>
              <w:rPr>
                <w:rFonts w:cs="Arial"/>
                <w:szCs w:val="18"/>
                <w:lang w:val="en-GB"/>
              </w:rPr>
            </w:pPr>
            <w:r w:rsidRPr="00C4676E">
              <w:t>m</w:t>
            </w:r>
            <w:r w:rsidRPr="006A6437">
              <w:rPr>
                <w:vertAlign w:val="superscript"/>
              </w:rPr>
              <w:t xml:space="preserve">3 </w:t>
            </w:r>
            <w:r w:rsidRPr="006A6437">
              <w:rPr>
                <w:vertAlign w:val="subscript"/>
              </w:rPr>
              <w:t>H2O</w:t>
            </w:r>
            <w:r w:rsidRPr="00C4676E">
              <w:t>/d</w:t>
            </w:r>
          </w:p>
        </w:tc>
      </w:tr>
      <w:tr w:rsidR="00B831A4" w:rsidRPr="00B57B36" w14:paraId="4647CC86" w14:textId="77777777" w:rsidTr="00B831A4">
        <w:trPr>
          <w:jc w:val="center"/>
        </w:trPr>
        <w:tc>
          <w:tcPr>
            <w:tcW w:w="3969" w:type="dxa"/>
            <w:shd w:val="clear" w:color="auto" w:fill="FFFFFF"/>
          </w:tcPr>
          <w:p w14:paraId="3E76026F" w14:textId="6519D134" w:rsidR="00B831A4" w:rsidRPr="00F604AA" w:rsidRDefault="000D1D90" w:rsidP="00B831A4">
            <w:pPr>
              <w:pStyle w:val="CETBodytext"/>
              <w:ind w:right="-1"/>
              <w:rPr>
                <w:rFonts w:cs="Arial"/>
                <w:szCs w:val="18"/>
                <w:lang w:val="en-GB"/>
              </w:rPr>
            </w:pPr>
            <w:r>
              <w:t>A</w:t>
            </w:r>
            <w:r w:rsidR="00B831A4" w:rsidRPr="00C4676E">
              <w:t>nnual H</w:t>
            </w:r>
            <w:r w:rsidR="00B831A4" w:rsidRPr="00F84C8B">
              <w:rPr>
                <w:vertAlign w:val="subscript"/>
              </w:rPr>
              <w:t>2</w:t>
            </w:r>
            <w:r w:rsidR="00B831A4" w:rsidRPr="00C4676E">
              <w:t xml:space="preserve"> production</w:t>
            </w:r>
          </w:p>
        </w:tc>
        <w:tc>
          <w:tcPr>
            <w:tcW w:w="1276" w:type="dxa"/>
            <w:shd w:val="clear" w:color="auto" w:fill="FFFFFF"/>
          </w:tcPr>
          <w:p w14:paraId="50483B2F" w14:textId="13045E42" w:rsidR="00B831A4" w:rsidRDefault="00B831A4" w:rsidP="00B831A4">
            <w:pPr>
              <w:pStyle w:val="CETBodytext"/>
              <w:ind w:right="-1"/>
              <w:jc w:val="center"/>
              <w:rPr>
                <w:rFonts w:cs="Arial"/>
                <w:szCs w:val="18"/>
                <w:lang w:val="en-GB"/>
              </w:rPr>
            </w:pPr>
            <w:r w:rsidRPr="00C4676E">
              <w:t xml:space="preserve"> 106,061 </w:t>
            </w:r>
          </w:p>
        </w:tc>
        <w:tc>
          <w:tcPr>
            <w:tcW w:w="1134" w:type="dxa"/>
            <w:shd w:val="clear" w:color="auto" w:fill="FFFFFF"/>
          </w:tcPr>
          <w:p w14:paraId="7E135243" w14:textId="7BA576CF" w:rsidR="00B831A4" w:rsidRDefault="006A6437" w:rsidP="00B831A4">
            <w:pPr>
              <w:pStyle w:val="CETBodytext"/>
              <w:ind w:right="-1"/>
              <w:jc w:val="center"/>
              <w:rPr>
                <w:rFonts w:cs="Arial"/>
                <w:szCs w:val="18"/>
                <w:lang w:val="en-GB"/>
              </w:rPr>
            </w:pPr>
            <w:r w:rsidRPr="00C4676E">
              <w:t>kg</w:t>
            </w:r>
            <w:r w:rsidRPr="006A6437">
              <w:rPr>
                <w:vertAlign w:val="subscript"/>
              </w:rPr>
              <w:t>H2</w:t>
            </w:r>
            <w:r w:rsidR="00B831A4" w:rsidRPr="00C4676E">
              <w:t>/year</w:t>
            </w:r>
          </w:p>
        </w:tc>
      </w:tr>
      <w:tr w:rsidR="00B831A4" w:rsidRPr="00B57B36" w14:paraId="140584F3" w14:textId="77777777" w:rsidTr="00B831A4">
        <w:trPr>
          <w:jc w:val="center"/>
        </w:trPr>
        <w:tc>
          <w:tcPr>
            <w:tcW w:w="3969" w:type="dxa"/>
            <w:shd w:val="clear" w:color="auto" w:fill="FFFFFF"/>
          </w:tcPr>
          <w:p w14:paraId="3DFDF666" w14:textId="651BFBDE" w:rsidR="00B831A4" w:rsidRPr="00F604AA" w:rsidRDefault="000D1D90" w:rsidP="00B831A4">
            <w:pPr>
              <w:pStyle w:val="CETBodytext"/>
              <w:ind w:right="-1"/>
              <w:rPr>
                <w:rFonts w:cs="Arial"/>
                <w:szCs w:val="18"/>
                <w:lang w:val="en-GB"/>
              </w:rPr>
            </w:pPr>
            <w:r>
              <w:t>S</w:t>
            </w:r>
            <w:r w:rsidR="00B831A4" w:rsidRPr="00C4676E">
              <w:t xml:space="preserve">tack </w:t>
            </w:r>
            <w:proofErr w:type="spellStart"/>
            <w:r w:rsidR="00B831A4" w:rsidRPr="00C4676E">
              <w:t>lifetime_PEM</w:t>
            </w:r>
            <w:proofErr w:type="spellEnd"/>
          </w:p>
        </w:tc>
        <w:tc>
          <w:tcPr>
            <w:tcW w:w="1276" w:type="dxa"/>
            <w:shd w:val="clear" w:color="auto" w:fill="FFFFFF"/>
          </w:tcPr>
          <w:p w14:paraId="52E26B77" w14:textId="14BEB7DC" w:rsidR="00B831A4" w:rsidRDefault="00B831A4" w:rsidP="00B831A4">
            <w:pPr>
              <w:pStyle w:val="CETBodytext"/>
              <w:ind w:right="-1"/>
              <w:jc w:val="center"/>
              <w:rPr>
                <w:rFonts w:cs="Arial"/>
                <w:szCs w:val="18"/>
                <w:lang w:val="en-GB"/>
              </w:rPr>
            </w:pPr>
            <w:r w:rsidRPr="00C4676E">
              <w:t xml:space="preserve"> 50,000 </w:t>
            </w:r>
          </w:p>
        </w:tc>
        <w:tc>
          <w:tcPr>
            <w:tcW w:w="1134" w:type="dxa"/>
            <w:shd w:val="clear" w:color="auto" w:fill="FFFFFF"/>
          </w:tcPr>
          <w:p w14:paraId="534187D9" w14:textId="73A01FF3" w:rsidR="00B831A4" w:rsidRDefault="00B831A4" w:rsidP="00B831A4">
            <w:pPr>
              <w:pStyle w:val="CETBodytext"/>
              <w:ind w:right="-1"/>
              <w:jc w:val="center"/>
              <w:rPr>
                <w:rFonts w:cs="Arial"/>
                <w:szCs w:val="18"/>
                <w:lang w:val="en-GB"/>
              </w:rPr>
            </w:pPr>
            <w:r w:rsidRPr="00C4676E">
              <w:t>h</w:t>
            </w:r>
          </w:p>
        </w:tc>
      </w:tr>
      <w:tr w:rsidR="00B831A4" w:rsidRPr="00B57B36" w14:paraId="36EE94BF" w14:textId="77777777" w:rsidTr="00B831A4">
        <w:trPr>
          <w:jc w:val="center"/>
        </w:trPr>
        <w:tc>
          <w:tcPr>
            <w:tcW w:w="3969" w:type="dxa"/>
            <w:shd w:val="clear" w:color="auto" w:fill="FFFFFF"/>
          </w:tcPr>
          <w:p w14:paraId="7DE4F152" w14:textId="2478DC20" w:rsidR="00B831A4" w:rsidRPr="00F604AA" w:rsidRDefault="000D1D90" w:rsidP="00B831A4">
            <w:pPr>
              <w:pStyle w:val="CETBodytext"/>
              <w:ind w:right="-1"/>
              <w:rPr>
                <w:rFonts w:cs="Arial"/>
                <w:szCs w:val="18"/>
                <w:lang w:val="en-GB"/>
              </w:rPr>
            </w:pPr>
            <w:r>
              <w:t>S</w:t>
            </w:r>
            <w:r w:rsidR="00B831A4" w:rsidRPr="00C4676E">
              <w:t xml:space="preserve">tack </w:t>
            </w:r>
            <w:proofErr w:type="spellStart"/>
            <w:r w:rsidR="00B831A4" w:rsidRPr="00C4676E">
              <w:t>lifetime_AEM</w:t>
            </w:r>
            <w:proofErr w:type="spellEnd"/>
          </w:p>
        </w:tc>
        <w:tc>
          <w:tcPr>
            <w:tcW w:w="1276" w:type="dxa"/>
            <w:shd w:val="clear" w:color="auto" w:fill="FFFFFF"/>
          </w:tcPr>
          <w:p w14:paraId="530ABF63" w14:textId="735E6E5C" w:rsidR="00B831A4" w:rsidRDefault="00B831A4" w:rsidP="00B831A4">
            <w:pPr>
              <w:pStyle w:val="CETBodytext"/>
              <w:ind w:right="-1"/>
              <w:jc w:val="center"/>
              <w:rPr>
                <w:rFonts w:cs="Arial"/>
                <w:szCs w:val="18"/>
                <w:lang w:val="en-GB"/>
              </w:rPr>
            </w:pPr>
            <w:r w:rsidRPr="00C4676E">
              <w:t xml:space="preserve"> 30,000 </w:t>
            </w:r>
          </w:p>
        </w:tc>
        <w:tc>
          <w:tcPr>
            <w:tcW w:w="1134" w:type="dxa"/>
            <w:shd w:val="clear" w:color="auto" w:fill="FFFFFF"/>
          </w:tcPr>
          <w:p w14:paraId="5E5D28AE" w14:textId="08BCBA28" w:rsidR="00B831A4" w:rsidRDefault="00B831A4" w:rsidP="00B831A4">
            <w:pPr>
              <w:pStyle w:val="CETBodytext"/>
              <w:ind w:right="-1"/>
              <w:jc w:val="center"/>
              <w:rPr>
                <w:rFonts w:cs="Arial"/>
                <w:szCs w:val="18"/>
                <w:lang w:val="en-GB"/>
              </w:rPr>
            </w:pPr>
            <w:r w:rsidRPr="00C4676E">
              <w:t>h</w:t>
            </w:r>
          </w:p>
        </w:tc>
      </w:tr>
      <w:tr w:rsidR="00B831A4" w:rsidRPr="00B57B36" w14:paraId="7797F813" w14:textId="77777777" w:rsidTr="00B831A4">
        <w:trPr>
          <w:jc w:val="center"/>
        </w:trPr>
        <w:tc>
          <w:tcPr>
            <w:tcW w:w="3969" w:type="dxa"/>
            <w:shd w:val="clear" w:color="auto" w:fill="FFFFFF"/>
          </w:tcPr>
          <w:p w14:paraId="473EDD6B" w14:textId="0EB86687" w:rsidR="00B831A4" w:rsidRPr="00F604AA" w:rsidRDefault="000D1D90" w:rsidP="00B831A4">
            <w:pPr>
              <w:pStyle w:val="CETBodytext"/>
              <w:ind w:right="-1"/>
              <w:rPr>
                <w:rFonts w:cs="Arial"/>
                <w:szCs w:val="18"/>
                <w:lang w:val="en-GB"/>
              </w:rPr>
            </w:pPr>
            <w:r>
              <w:t>N</w:t>
            </w:r>
            <w:r w:rsidR="00B831A4" w:rsidRPr="00C4676E">
              <w:t xml:space="preserve">. stack substitution in 20 </w:t>
            </w:r>
            <w:proofErr w:type="spellStart"/>
            <w:r w:rsidR="00B831A4" w:rsidRPr="00C4676E">
              <w:t>years_PEM</w:t>
            </w:r>
            <w:proofErr w:type="spellEnd"/>
          </w:p>
        </w:tc>
        <w:tc>
          <w:tcPr>
            <w:tcW w:w="1276" w:type="dxa"/>
            <w:shd w:val="clear" w:color="auto" w:fill="FFFFFF"/>
          </w:tcPr>
          <w:p w14:paraId="51C13886" w14:textId="31D1AF39" w:rsidR="00B831A4" w:rsidRDefault="00B831A4" w:rsidP="00B831A4">
            <w:pPr>
              <w:pStyle w:val="CETBodytext"/>
              <w:ind w:right="-1"/>
              <w:jc w:val="center"/>
              <w:rPr>
                <w:rFonts w:cs="Arial"/>
                <w:szCs w:val="18"/>
                <w:lang w:val="en-GB"/>
              </w:rPr>
            </w:pPr>
            <w:r w:rsidRPr="00C4676E">
              <w:t xml:space="preserve"> 2 </w:t>
            </w:r>
          </w:p>
        </w:tc>
        <w:tc>
          <w:tcPr>
            <w:tcW w:w="1134" w:type="dxa"/>
            <w:shd w:val="clear" w:color="auto" w:fill="FFFFFF"/>
          </w:tcPr>
          <w:p w14:paraId="7CA240AC" w14:textId="77777777" w:rsidR="00B831A4" w:rsidRDefault="00B831A4" w:rsidP="00B831A4">
            <w:pPr>
              <w:pStyle w:val="CETBodytext"/>
              <w:ind w:right="-1"/>
              <w:jc w:val="center"/>
              <w:rPr>
                <w:rFonts w:cs="Arial"/>
                <w:szCs w:val="18"/>
                <w:lang w:val="en-GB"/>
              </w:rPr>
            </w:pPr>
          </w:p>
        </w:tc>
      </w:tr>
      <w:tr w:rsidR="00B831A4" w:rsidRPr="00B57B36" w14:paraId="7497D974" w14:textId="77777777" w:rsidTr="00B831A4">
        <w:trPr>
          <w:jc w:val="center"/>
        </w:trPr>
        <w:tc>
          <w:tcPr>
            <w:tcW w:w="3969" w:type="dxa"/>
            <w:shd w:val="clear" w:color="auto" w:fill="FFFFFF"/>
          </w:tcPr>
          <w:p w14:paraId="52AC1BD7" w14:textId="2821EDBA" w:rsidR="00B831A4" w:rsidRPr="00F604AA" w:rsidRDefault="000D1D90" w:rsidP="00B831A4">
            <w:pPr>
              <w:pStyle w:val="CETBodytext"/>
              <w:ind w:right="-1"/>
              <w:rPr>
                <w:rFonts w:cs="Arial"/>
                <w:szCs w:val="18"/>
                <w:lang w:val="en-GB"/>
              </w:rPr>
            </w:pPr>
            <w:r>
              <w:t>N</w:t>
            </w:r>
            <w:r w:rsidR="00B831A4" w:rsidRPr="00C4676E">
              <w:t xml:space="preserve">. stack substitution in 20 </w:t>
            </w:r>
            <w:proofErr w:type="spellStart"/>
            <w:r w:rsidR="00B831A4" w:rsidRPr="00C4676E">
              <w:t>years_AEM</w:t>
            </w:r>
            <w:proofErr w:type="spellEnd"/>
          </w:p>
        </w:tc>
        <w:tc>
          <w:tcPr>
            <w:tcW w:w="1276" w:type="dxa"/>
            <w:shd w:val="clear" w:color="auto" w:fill="FFFFFF"/>
          </w:tcPr>
          <w:p w14:paraId="2FB4F939" w14:textId="1A4156CB" w:rsidR="00B831A4" w:rsidRDefault="00B831A4" w:rsidP="00B831A4">
            <w:pPr>
              <w:pStyle w:val="CETBodytext"/>
              <w:ind w:right="-1"/>
              <w:jc w:val="center"/>
              <w:rPr>
                <w:rFonts w:cs="Arial"/>
                <w:szCs w:val="18"/>
                <w:lang w:val="en-GB"/>
              </w:rPr>
            </w:pPr>
            <w:r w:rsidRPr="00C4676E">
              <w:t xml:space="preserve"> 4 </w:t>
            </w:r>
          </w:p>
        </w:tc>
        <w:tc>
          <w:tcPr>
            <w:tcW w:w="1134" w:type="dxa"/>
            <w:shd w:val="clear" w:color="auto" w:fill="FFFFFF"/>
          </w:tcPr>
          <w:p w14:paraId="4CC9CBAF" w14:textId="77777777" w:rsidR="00B831A4" w:rsidRDefault="00B831A4" w:rsidP="00B831A4">
            <w:pPr>
              <w:pStyle w:val="CETBodytext"/>
              <w:ind w:right="-1"/>
              <w:jc w:val="center"/>
              <w:rPr>
                <w:rFonts w:cs="Arial"/>
                <w:szCs w:val="18"/>
                <w:lang w:val="en-GB"/>
              </w:rPr>
            </w:pPr>
          </w:p>
        </w:tc>
      </w:tr>
      <w:tr w:rsidR="001131D5" w:rsidRPr="00B57B36" w14:paraId="75BCF683" w14:textId="77777777" w:rsidTr="003D025E">
        <w:trPr>
          <w:jc w:val="center"/>
        </w:trPr>
        <w:tc>
          <w:tcPr>
            <w:tcW w:w="6379" w:type="dxa"/>
            <w:gridSpan w:val="3"/>
            <w:tcBorders>
              <w:top w:val="single" w:sz="12" w:space="0" w:color="008000"/>
              <w:bottom w:val="single" w:sz="6" w:space="0" w:color="008000"/>
            </w:tcBorders>
            <w:shd w:val="clear" w:color="auto" w:fill="FFFFFF"/>
            <w:vAlign w:val="center"/>
          </w:tcPr>
          <w:p w14:paraId="31DFE766" w14:textId="746B9DE0" w:rsidR="001131D5" w:rsidRDefault="001131D5" w:rsidP="003D025E">
            <w:pPr>
              <w:pStyle w:val="CETBodytext"/>
              <w:jc w:val="center"/>
              <w:rPr>
                <w:lang w:val="en-GB"/>
              </w:rPr>
            </w:pPr>
            <w:r>
              <w:rPr>
                <w:lang w:val="en-GB"/>
              </w:rPr>
              <w:t xml:space="preserve">CAPEX </w:t>
            </w:r>
          </w:p>
        </w:tc>
      </w:tr>
      <w:tr w:rsidR="001131D5" w:rsidRPr="00B57B36" w14:paraId="701D5F5A" w14:textId="77777777" w:rsidTr="00B831A4">
        <w:trPr>
          <w:jc w:val="center"/>
        </w:trPr>
        <w:tc>
          <w:tcPr>
            <w:tcW w:w="3969" w:type="dxa"/>
            <w:shd w:val="clear" w:color="auto" w:fill="FFFFFF"/>
          </w:tcPr>
          <w:p w14:paraId="30618A9F" w14:textId="651F61A5" w:rsidR="001131D5" w:rsidRPr="00C4676E" w:rsidRDefault="000D1D90" w:rsidP="001131D5">
            <w:pPr>
              <w:pStyle w:val="CETBodytext"/>
              <w:ind w:right="-1"/>
            </w:pPr>
            <w:r>
              <w:t>S</w:t>
            </w:r>
            <w:r w:rsidR="001131D5" w:rsidRPr="001A31F9">
              <w:t>tack</w:t>
            </w:r>
          </w:p>
        </w:tc>
        <w:tc>
          <w:tcPr>
            <w:tcW w:w="1276" w:type="dxa"/>
            <w:shd w:val="clear" w:color="auto" w:fill="FFFFFF"/>
          </w:tcPr>
          <w:p w14:paraId="290FD4B3" w14:textId="72E9D742" w:rsidR="001131D5" w:rsidRPr="00C4676E" w:rsidRDefault="001131D5" w:rsidP="001131D5">
            <w:pPr>
              <w:pStyle w:val="CETBodytext"/>
              <w:ind w:right="-1"/>
              <w:jc w:val="center"/>
            </w:pPr>
            <w:r w:rsidRPr="001A31F9">
              <w:t xml:space="preserve"> 210 </w:t>
            </w:r>
          </w:p>
        </w:tc>
        <w:tc>
          <w:tcPr>
            <w:tcW w:w="1134" w:type="dxa"/>
            <w:shd w:val="clear" w:color="auto" w:fill="FFFFFF"/>
          </w:tcPr>
          <w:p w14:paraId="5F5F8FD2" w14:textId="0FF3ECE6" w:rsidR="001131D5" w:rsidRDefault="001131D5" w:rsidP="001131D5">
            <w:pPr>
              <w:pStyle w:val="CETBodytext"/>
              <w:ind w:right="-1"/>
              <w:jc w:val="center"/>
              <w:rPr>
                <w:rFonts w:cs="Arial"/>
                <w:szCs w:val="18"/>
                <w:lang w:val="en-GB"/>
              </w:rPr>
            </w:pPr>
            <w:r w:rsidRPr="001A31F9">
              <w:t>€/kWh</w:t>
            </w:r>
          </w:p>
        </w:tc>
      </w:tr>
      <w:tr w:rsidR="001131D5" w:rsidRPr="00B57B36" w14:paraId="17466595" w14:textId="77777777" w:rsidTr="00B831A4">
        <w:trPr>
          <w:jc w:val="center"/>
        </w:trPr>
        <w:tc>
          <w:tcPr>
            <w:tcW w:w="3969" w:type="dxa"/>
            <w:shd w:val="clear" w:color="auto" w:fill="FFFFFF"/>
          </w:tcPr>
          <w:p w14:paraId="3FED022E" w14:textId="1BD3F904" w:rsidR="001131D5" w:rsidRPr="00C4676E" w:rsidRDefault="001131D5" w:rsidP="001131D5">
            <w:pPr>
              <w:pStyle w:val="CETBodytext"/>
              <w:ind w:right="-1"/>
            </w:pPr>
            <w:proofErr w:type="spellStart"/>
            <w:r w:rsidRPr="001A31F9">
              <w:t>BoP</w:t>
            </w:r>
            <w:proofErr w:type="spellEnd"/>
          </w:p>
        </w:tc>
        <w:tc>
          <w:tcPr>
            <w:tcW w:w="1276" w:type="dxa"/>
            <w:shd w:val="clear" w:color="auto" w:fill="FFFFFF"/>
          </w:tcPr>
          <w:p w14:paraId="02797D80" w14:textId="2E04D08B" w:rsidR="001131D5" w:rsidRPr="00C4676E" w:rsidRDefault="001131D5" w:rsidP="001131D5">
            <w:pPr>
              <w:pStyle w:val="CETBodytext"/>
              <w:ind w:right="-1"/>
              <w:jc w:val="center"/>
            </w:pPr>
            <w:r w:rsidRPr="001A31F9">
              <w:t xml:space="preserve"> 258 </w:t>
            </w:r>
          </w:p>
        </w:tc>
        <w:tc>
          <w:tcPr>
            <w:tcW w:w="1134" w:type="dxa"/>
            <w:shd w:val="clear" w:color="auto" w:fill="FFFFFF"/>
          </w:tcPr>
          <w:p w14:paraId="09D04DD4" w14:textId="09C11FEB" w:rsidR="001131D5" w:rsidRDefault="001131D5" w:rsidP="001131D5">
            <w:pPr>
              <w:pStyle w:val="CETBodytext"/>
              <w:ind w:right="-1"/>
              <w:jc w:val="center"/>
              <w:rPr>
                <w:rFonts w:cs="Arial"/>
                <w:szCs w:val="18"/>
                <w:lang w:val="en-GB"/>
              </w:rPr>
            </w:pPr>
            <w:r w:rsidRPr="001A31F9">
              <w:t>€/kWh</w:t>
            </w:r>
          </w:p>
        </w:tc>
      </w:tr>
      <w:tr w:rsidR="008F2BFB" w:rsidRPr="00B57B36" w14:paraId="1943AFC0" w14:textId="77777777" w:rsidTr="003D025E">
        <w:trPr>
          <w:jc w:val="center"/>
        </w:trPr>
        <w:tc>
          <w:tcPr>
            <w:tcW w:w="6379" w:type="dxa"/>
            <w:gridSpan w:val="3"/>
            <w:tcBorders>
              <w:top w:val="single" w:sz="12" w:space="0" w:color="008000"/>
              <w:bottom w:val="single" w:sz="6" w:space="0" w:color="008000"/>
            </w:tcBorders>
            <w:shd w:val="clear" w:color="auto" w:fill="FFFFFF"/>
            <w:vAlign w:val="center"/>
          </w:tcPr>
          <w:p w14:paraId="380E579B" w14:textId="649FD82D" w:rsidR="008F2BFB" w:rsidRDefault="008F2BFB" w:rsidP="003D025E">
            <w:pPr>
              <w:pStyle w:val="CETBodytext"/>
              <w:jc w:val="center"/>
              <w:rPr>
                <w:lang w:val="en-GB"/>
              </w:rPr>
            </w:pPr>
            <w:r>
              <w:rPr>
                <w:lang w:val="en-GB"/>
              </w:rPr>
              <w:t xml:space="preserve">OPEX </w:t>
            </w:r>
          </w:p>
        </w:tc>
      </w:tr>
      <w:tr w:rsidR="00706529" w:rsidRPr="00B57B36" w14:paraId="38D551AD" w14:textId="77777777" w:rsidTr="003D025E">
        <w:trPr>
          <w:jc w:val="center"/>
        </w:trPr>
        <w:tc>
          <w:tcPr>
            <w:tcW w:w="3969" w:type="dxa"/>
            <w:shd w:val="clear" w:color="auto" w:fill="FFFFFF"/>
          </w:tcPr>
          <w:p w14:paraId="54BA1571" w14:textId="7BC3903D" w:rsidR="00706529" w:rsidRPr="00C4676E" w:rsidRDefault="000D1D90" w:rsidP="00706529">
            <w:pPr>
              <w:pStyle w:val="CETBodytext"/>
              <w:ind w:right="-1"/>
            </w:pPr>
            <w:r>
              <w:t>E</w:t>
            </w:r>
            <w:r w:rsidR="00706529" w:rsidRPr="009E3A27">
              <w:t>lectric energy price</w:t>
            </w:r>
          </w:p>
        </w:tc>
        <w:tc>
          <w:tcPr>
            <w:tcW w:w="1276" w:type="dxa"/>
            <w:shd w:val="clear" w:color="auto" w:fill="FFFFFF"/>
          </w:tcPr>
          <w:p w14:paraId="01D56ED7" w14:textId="73A065A9" w:rsidR="00706529" w:rsidRPr="00C4676E" w:rsidRDefault="00706529" w:rsidP="00706529">
            <w:pPr>
              <w:pStyle w:val="CETBodytext"/>
              <w:ind w:right="-1"/>
              <w:jc w:val="center"/>
            </w:pPr>
            <w:r w:rsidRPr="009E3A27">
              <w:t xml:space="preserve"> 0.10 </w:t>
            </w:r>
          </w:p>
        </w:tc>
        <w:tc>
          <w:tcPr>
            <w:tcW w:w="1134" w:type="dxa"/>
            <w:shd w:val="clear" w:color="auto" w:fill="FFFFFF"/>
          </w:tcPr>
          <w:p w14:paraId="7409D8F6" w14:textId="32C062EC" w:rsidR="00706529" w:rsidRDefault="00706529" w:rsidP="00706529">
            <w:pPr>
              <w:pStyle w:val="CETBodytext"/>
              <w:ind w:right="-1"/>
              <w:jc w:val="center"/>
              <w:rPr>
                <w:rFonts w:cs="Arial"/>
                <w:szCs w:val="18"/>
                <w:lang w:val="en-GB"/>
              </w:rPr>
            </w:pPr>
            <w:r w:rsidRPr="009E3A27">
              <w:t>€/kWh</w:t>
            </w:r>
          </w:p>
        </w:tc>
      </w:tr>
      <w:tr w:rsidR="00706529" w:rsidRPr="00B57B36" w14:paraId="230557F5" w14:textId="77777777" w:rsidTr="003D025E">
        <w:trPr>
          <w:jc w:val="center"/>
        </w:trPr>
        <w:tc>
          <w:tcPr>
            <w:tcW w:w="3969" w:type="dxa"/>
            <w:shd w:val="clear" w:color="auto" w:fill="FFFFFF"/>
          </w:tcPr>
          <w:p w14:paraId="6AAB3170" w14:textId="371AFF66" w:rsidR="00706529" w:rsidRPr="00C4676E" w:rsidRDefault="000D1D90" w:rsidP="00706529">
            <w:pPr>
              <w:pStyle w:val="CETBodytext"/>
              <w:ind w:right="-1"/>
            </w:pPr>
            <w:r>
              <w:t>U</w:t>
            </w:r>
            <w:r w:rsidR="00706529" w:rsidRPr="009E3A27">
              <w:t>ltra</w:t>
            </w:r>
            <w:r w:rsidR="00706529">
              <w:t>-</w:t>
            </w:r>
            <w:r w:rsidR="00706529" w:rsidRPr="009E3A27">
              <w:t>pure water price</w:t>
            </w:r>
          </w:p>
        </w:tc>
        <w:tc>
          <w:tcPr>
            <w:tcW w:w="1276" w:type="dxa"/>
            <w:shd w:val="clear" w:color="auto" w:fill="FFFFFF"/>
          </w:tcPr>
          <w:p w14:paraId="44947C7D" w14:textId="11269A61" w:rsidR="00706529" w:rsidRPr="00C4676E" w:rsidRDefault="00C41D0C" w:rsidP="00706529">
            <w:pPr>
              <w:pStyle w:val="CETBodytext"/>
              <w:ind w:right="-1"/>
              <w:jc w:val="center"/>
            </w:pPr>
            <w:r>
              <w:t>1.4</w:t>
            </w:r>
          </w:p>
        </w:tc>
        <w:tc>
          <w:tcPr>
            <w:tcW w:w="1134" w:type="dxa"/>
            <w:shd w:val="clear" w:color="auto" w:fill="FFFFFF"/>
          </w:tcPr>
          <w:p w14:paraId="0F78A958" w14:textId="2D80ACA0" w:rsidR="00706529" w:rsidRDefault="00706529" w:rsidP="00706529">
            <w:pPr>
              <w:pStyle w:val="CETBodytext"/>
              <w:ind w:right="-1"/>
              <w:jc w:val="center"/>
              <w:rPr>
                <w:rFonts w:cs="Arial"/>
                <w:szCs w:val="18"/>
                <w:lang w:val="en-GB"/>
              </w:rPr>
            </w:pPr>
            <w:r w:rsidRPr="009E3A27">
              <w:t>€/m3</w:t>
            </w:r>
          </w:p>
        </w:tc>
      </w:tr>
      <w:tr w:rsidR="00706529" w:rsidRPr="00B57B36" w14:paraId="13E64378" w14:textId="77777777" w:rsidTr="003D025E">
        <w:trPr>
          <w:jc w:val="center"/>
        </w:trPr>
        <w:tc>
          <w:tcPr>
            <w:tcW w:w="3969" w:type="dxa"/>
            <w:shd w:val="clear" w:color="auto" w:fill="FFFFFF"/>
          </w:tcPr>
          <w:p w14:paraId="1815FABE" w14:textId="12EBEAC2" w:rsidR="00706529" w:rsidRPr="001A31F9" w:rsidRDefault="000D1D90" w:rsidP="00706529">
            <w:pPr>
              <w:pStyle w:val="CETBodytext"/>
              <w:ind w:right="-1"/>
            </w:pPr>
            <w:r>
              <w:t>M</w:t>
            </w:r>
            <w:r w:rsidR="00706529" w:rsidRPr="009E3A27">
              <w:t>aterials</w:t>
            </w:r>
          </w:p>
        </w:tc>
        <w:tc>
          <w:tcPr>
            <w:tcW w:w="1276" w:type="dxa"/>
            <w:shd w:val="clear" w:color="auto" w:fill="FFFFFF"/>
          </w:tcPr>
          <w:p w14:paraId="1E40F8F5" w14:textId="2330895F" w:rsidR="00706529" w:rsidRPr="001A31F9" w:rsidRDefault="00706529" w:rsidP="00706529">
            <w:pPr>
              <w:pStyle w:val="CETBodytext"/>
              <w:ind w:right="-1"/>
              <w:jc w:val="center"/>
            </w:pPr>
            <w:r w:rsidRPr="009E3A27">
              <w:t xml:space="preserve">2.5% of </w:t>
            </w:r>
            <w:r>
              <w:t>dcc</w:t>
            </w:r>
          </w:p>
        </w:tc>
        <w:tc>
          <w:tcPr>
            <w:tcW w:w="1134" w:type="dxa"/>
            <w:shd w:val="clear" w:color="auto" w:fill="FFFFFF"/>
          </w:tcPr>
          <w:p w14:paraId="3D9B8FBE" w14:textId="08EA0F28" w:rsidR="00706529" w:rsidRPr="001A31F9" w:rsidRDefault="00706529" w:rsidP="00706529">
            <w:pPr>
              <w:pStyle w:val="CETBodytext"/>
              <w:ind w:right="-1"/>
              <w:jc w:val="center"/>
            </w:pPr>
            <w:r w:rsidRPr="009E3A27">
              <w:t>€</w:t>
            </w:r>
          </w:p>
        </w:tc>
      </w:tr>
      <w:tr w:rsidR="00706529" w:rsidRPr="00B57B36" w14:paraId="4D575004" w14:textId="77777777" w:rsidTr="003D025E">
        <w:trPr>
          <w:jc w:val="center"/>
        </w:trPr>
        <w:tc>
          <w:tcPr>
            <w:tcW w:w="3969" w:type="dxa"/>
            <w:shd w:val="clear" w:color="auto" w:fill="FFFFFF"/>
          </w:tcPr>
          <w:p w14:paraId="4553BE77" w14:textId="1654289B" w:rsidR="00706529" w:rsidRPr="001A31F9" w:rsidRDefault="00706529" w:rsidP="00706529">
            <w:pPr>
              <w:pStyle w:val="CETBodytext"/>
              <w:ind w:right="-1"/>
            </w:pPr>
            <w:r w:rsidRPr="009E3A27">
              <w:t>Labor</w:t>
            </w:r>
          </w:p>
        </w:tc>
        <w:tc>
          <w:tcPr>
            <w:tcW w:w="1276" w:type="dxa"/>
            <w:shd w:val="clear" w:color="auto" w:fill="FFFFFF"/>
          </w:tcPr>
          <w:p w14:paraId="38BEA75C" w14:textId="4694D049" w:rsidR="00706529" w:rsidRPr="001A31F9" w:rsidRDefault="00706529" w:rsidP="00706529">
            <w:pPr>
              <w:pStyle w:val="CETBodytext"/>
              <w:ind w:right="-1"/>
              <w:jc w:val="center"/>
            </w:pPr>
            <w:r w:rsidRPr="009E3A27">
              <w:t xml:space="preserve"> 5% of d</w:t>
            </w:r>
            <w:r>
              <w:t>cc</w:t>
            </w:r>
            <w:r w:rsidRPr="009E3A27">
              <w:t xml:space="preserve"> </w:t>
            </w:r>
          </w:p>
        </w:tc>
        <w:tc>
          <w:tcPr>
            <w:tcW w:w="1134" w:type="dxa"/>
            <w:shd w:val="clear" w:color="auto" w:fill="FFFFFF"/>
          </w:tcPr>
          <w:p w14:paraId="05273CE2" w14:textId="50E9F032" w:rsidR="00706529" w:rsidRPr="001A31F9" w:rsidRDefault="00706529" w:rsidP="00706529">
            <w:pPr>
              <w:pStyle w:val="CETBodytext"/>
              <w:ind w:right="-1"/>
              <w:jc w:val="center"/>
            </w:pPr>
            <w:r w:rsidRPr="009E3A27">
              <w:t>€</w:t>
            </w:r>
          </w:p>
        </w:tc>
      </w:tr>
      <w:tr w:rsidR="00706529" w:rsidRPr="00B57B36" w14:paraId="538E6BD5" w14:textId="77777777" w:rsidTr="003D025E">
        <w:trPr>
          <w:jc w:val="center"/>
        </w:trPr>
        <w:tc>
          <w:tcPr>
            <w:tcW w:w="3969" w:type="dxa"/>
            <w:shd w:val="clear" w:color="auto" w:fill="FFFFFF"/>
          </w:tcPr>
          <w:p w14:paraId="546087C7" w14:textId="499B8D2F" w:rsidR="00706529" w:rsidRPr="001A31F9" w:rsidRDefault="000D1D90" w:rsidP="00706529">
            <w:pPr>
              <w:pStyle w:val="CETBodytext"/>
              <w:ind w:right="-1"/>
            </w:pPr>
            <w:r>
              <w:t>D</w:t>
            </w:r>
            <w:r w:rsidR="00706529" w:rsidRPr="009E3A27">
              <w:t>iscount rate</w:t>
            </w:r>
          </w:p>
        </w:tc>
        <w:tc>
          <w:tcPr>
            <w:tcW w:w="1276" w:type="dxa"/>
            <w:shd w:val="clear" w:color="auto" w:fill="FFFFFF"/>
          </w:tcPr>
          <w:p w14:paraId="1645D050" w14:textId="4552B50B" w:rsidR="00706529" w:rsidRPr="001A31F9" w:rsidRDefault="00706529" w:rsidP="00706529">
            <w:pPr>
              <w:pStyle w:val="CETBodytext"/>
              <w:ind w:right="-1"/>
              <w:jc w:val="center"/>
            </w:pPr>
            <w:r w:rsidRPr="009E3A27">
              <w:t>10%</w:t>
            </w:r>
          </w:p>
        </w:tc>
        <w:tc>
          <w:tcPr>
            <w:tcW w:w="1134" w:type="dxa"/>
            <w:shd w:val="clear" w:color="auto" w:fill="FFFFFF"/>
          </w:tcPr>
          <w:p w14:paraId="0F553993" w14:textId="77777777" w:rsidR="00706529" w:rsidRPr="001A31F9" w:rsidRDefault="00706529" w:rsidP="00862EF3">
            <w:pPr>
              <w:pStyle w:val="CETBodytext"/>
              <w:keepNext/>
              <w:ind w:right="-1"/>
              <w:jc w:val="center"/>
            </w:pPr>
          </w:p>
        </w:tc>
      </w:tr>
    </w:tbl>
    <w:p w14:paraId="6BF9B0CC" w14:textId="13E04057" w:rsidR="00B73D5E" w:rsidRDefault="00862EF3" w:rsidP="00394DA4">
      <w:pPr>
        <w:pStyle w:val="CETTabletitle"/>
        <w:spacing w:before="0"/>
        <w:jc w:val="center"/>
      </w:pPr>
      <w:r>
        <w:t xml:space="preserve">Table </w:t>
      </w:r>
      <w:r>
        <w:fldChar w:fldCharType="begin"/>
      </w:r>
      <w:r>
        <w:instrText xml:space="preserve"> SEQ Table \* ARABIC </w:instrText>
      </w:r>
      <w:r>
        <w:fldChar w:fldCharType="separate"/>
      </w:r>
      <w:r w:rsidR="00D61244">
        <w:rPr>
          <w:noProof/>
        </w:rPr>
        <w:t>1</w:t>
      </w:r>
      <w:r>
        <w:fldChar w:fldCharType="end"/>
      </w:r>
      <w:r>
        <w:t>. Input data for techno-economic evaluation</w:t>
      </w:r>
    </w:p>
    <w:p w14:paraId="66793DA8" w14:textId="0BCAEFE0" w:rsidR="00F02E64" w:rsidRDefault="00F02E64" w:rsidP="00F02E64">
      <w:pPr>
        <w:pStyle w:val="CETHeading1"/>
        <w:tabs>
          <w:tab w:val="clear" w:pos="360"/>
          <w:tab w:val="right" w:pos="7100"/>
        </w:tabs>
        <w:jc w:val="both"/>
        <w:rPr>
          <w:lang w:val="en-GB"/>
        </w:rPr>
      </w:pPr>
      <w:r>
        <w:rPr>
          <w:lang w:val="en-GB"/>
        </w:rPr>
        <w:t xml:space="preserve">Results </w:t>
      </w:r>
    </w:p>
    <w:p w14:paraId="7FEBAF96" w14:textId="6F778507" w:rsidR="00D31A20" w:rsidRDefault="00106739" w:rsidP="00D31A20">
      <w:pPr>
        <w:pStyle w:val="CETBodytext"/>
        <w:rPr>
          <w:lang w:val="en-GB"/>
        </w:rPr>
      </w:pPr>
      <w:r>
        <w:rPr>
          <w:lang w:val="en-GB"/>
        </w:rPr>
        <w:t>T</w:t>
      </w:r>
      <w:r w:rsidR="00092F0E">
        <w:rPr>
          <w:lang w:val="en-GB"/>
        </w:rPr>
        <w:t xml:space="preserve">able </w:t>
      </w:r>
      <w:r w:rsidR="0076762C">
        <w:rPr>
          <w:lang w:val="en-GB"/>
        </w:rPr>
        <w:t>2</w:t>
      </w:r>
      <w:r w:rsidR="00CE5795">
        <w:rPr>
          <w:lang w:val="en-GB"/>
        </w:rPr>
        <w:t xml:space="preserve"> and Figure 2 </w:t>
      </w:r>
      <w:r w:rsidR="00092F0E">
        <w:rPr>
          <w:lang w:val="en-GB"/>
        </w:rPr>
        <w:t xml:space="preserve">report </w:t>
      </w:r>
      <w:r w:rsidR="00737940">
        <w:rPr>
          <w:lang w:val="en-GB"/>
        </w:rPr>
        <w:t>t</w:t>
      </w:r>
      <w:r>
        <w:rPr>
          <w:lang w:val="en-GB"/>
        </w:rPr>
        <w:t xml:space="preserve">he results </w:t>
      </w:r>
      <w:r w:rsidR="005C1E18">
        <w:rPr>
          <w:lang w:val="en-GB"/>
        </w:rPr>
        <w:t xml:space="preserve">of the </w:t>
      </w:r>
      <w:r w:rsidR="00524718">
        <w:rPr>
          <w:lang w:val="en-GB"/>
        </w:rPr>
        <w:t xml:space="preserve">GWP </w:t>
      </w:r>
      <w:r w:rsidR="005C1E18">
        <w:rPr>
          <w:lang w:val="en-GB"/>
        </w:rPr>
        <w:t>analysis</w:t>
      </w:r>
      <w:r w:rsidR="00403D19">
        <w:rPr>
          <w:lang w:val="en-GB"/>
        </w:rPr>
        <w:t>.</w:t>
      </w:r>
      <w:r w:rsidR="00092F0E">
        <w:rPr>
          <w:lang w:val="en-GB"/>
        </w:rPr>
        <w:t xml:space="preserve"> </w:t>
      </w:r>
      <w:r w:rsidR="00FE6246" w:rsidRPr="00FE6246">
        <w:rPr>
          <w:lang w:val="en-GB"/>
        </w:rPr>
        <w:t>Table 2 presents the absolute global</w:t>
      </w:r>
      <w:r w:rsidR="00524718">
        <w:rPr>
          <w:lang w:val="en-GB"/>
        </w:rPr>
        <w:t xml:space="preserve"> </w:t>
      </w:r>
      <w:r w:rsidR="00FE6246" w:rsidRPr="00FE6246">
        <w:rPr>
          <w:lang w:val="en-GB"/>
        </w:rPr>
        <w:t>warming</w:t>
      </w:r>
      <w:r w:rsidR="00524718">
        <w:rPr>
          <w:lang w:val="en-GB"/>
        </w:rPr>
        <w:t xml:space="preserve"> </w:t>
      </w:r>
      <w:r w:rsidR="00FE6246" w:rsidRPr="00FE6246">
        <w:rPr>
          <w:lang w:val="en-GB"/>
        </w:rPr>
        <w:t>potential values for each technology–scenario combination, whereas Figure 2 breaks down the contributions by process stage, from seawater purification through hydrogen production.</w:t>
      </w:r>
      <w:r w:rsidR="00C45DFD">
        <w:rPr>
          <w:lang w:val="en-GB"/>
        </w:rPr>
        <w:t xml:space="preserve"> From</w:t>
      </w:r>
      <w:r w:rsidR="00D31A20">
        <w:rPr>
          <w:lang w:val="en-GB"/>
        </w:rPr>
        <w:t xml:space="preserve"> Table 2</w:t>
      </w:r>
      <w:r w:rsidR="00680E38">
        <w:rPr>
          <w:lang w:val="en-GB"/>
        </w:rPr>
        <w:t>,</w:t>
      </w:r>
      <w:r w:rsidR="00D31A20">
        <w:rPr>
          <w:lang w:val="en-GB"/>
        </w:rPr>
        <w:t xml:space="preserve"> </w:t>
      </w:r>
      <w:r w:rsidR="00C45DFD">
        <w:rPr>
          <w:lang w:val="en-GB"/>
        </w:rPr>
        <w:t>it can be seen</w:t>
      </w:r>
      <w:r w:rsidR="00D31A20">
        <w:rPr>
          <w:lang w:val="en-GB"/>
        </w:rPr>
        <w:t xml:space="preserve"> </w:t>
      </w:r>
      <w:r w:rsidR="00D31A20" w:rsidRPr="00D31A20">
        <w:rPr>
          <w:lang w:val="en-GB"/>
        </w:rPr>
        <w:t>that the difference between the use of sto</w:t>
      </w:r>
      <w:r w:rsidR="00680E38">
        <w:rPr>
          <w:lang w:val="en-GB"/>
        </w:rPr>
        <w:t>i</w:t>
      </w:r>
      <w:r w:rsidR="00D31A20" w:rsidRPr="00D31A20">
        <w:rPr>
          <w:lang w:val="en-GB"/>
        </w:rPr>
        <w:t>chiometric water and total water including the cooling purposes is minimal, accounting only for an increment of about 0.3% in the global value. Hydrogen produced through AEM s</w:t>
      </w:r>
      <w:r w:rsidR="00D31A20">
        <w:rPr>
          <w:lang w:val="en-GB"/>
        </w:rPr>
        <w:t>ystems present</w:t>
      </w:r>
      <w:r w:rsidR="004A7B6C">
        <w:rPr>
          <w:lang w:val="en-GB"/>
        </w:rPr>
        <w:t>s</w:t>
      </w:r>
      <w:r w:rsidR="00D31A20">
        <w:rPr>
          <w:lang w:val="en-GB"/>
        </w:rPr>
        <w:t xml:space="preserve"> approximately </w:t>
      </w:r>
      <w:r w:rsidR="00D31A20" w:rsidRPr="004E4774">
        <w:rPr>
          <w:lang w:val="en-GB"/>
        </w:rPr>
        <w:t>5%</w:t>
      </w:r>
      <w:r w:rsidR="00D31A20">
        <w:rPr>
          <w:lang w:val="en-GB"/>
        </w:rPr>
        <w:t xml:space="preserve"> lower impact than PEM, due to the reduced specific energy consumption.</w:t>
      </w:r>
      <w:r w:rsidR="00D31A20" w:rsidRPr="00EC548E">
        <w:rPr>
          <w:color w:val="FF0000"/>
          <w:lang w:val="en-GB"/>
        </w:rPr>
        <w:t xml:space="preserve"> </w:t>
      </w:r>
      <w:r w:rsidR="00D31A20">
        <w:rPr>
          <w:lang w:val="en-GB"/>
        </w:rPr>
        <w:t xml:space="preserve">When energy is supplied by the national grid, the use phase with stoichiometric water </w:t>
      </w:r>
      <w:r w:rsidR="00A51FF9">
        <w:rPr>
          <w:lang w:val="en-GB"/>
        </w:rPr>
        <w:t>for</w:t>
      </w:r>
      <w:r w:rsidR="00D31A20">
        <w:rPr>
          <w:lang w:val="en-GB"/>
        </w:rPr>
        <w:t xml:space="preserve"> PEM and AEM present</w:t>
      </w:r>
      <w:r w:rsidR="003E4B1A">
        <w:rPr>
          <w:lang w:val="en-GB"/>
        </w:rPr>
        <w:t>s</w:t>
      </w:r>
      <w:r w:rsidR="00D31A20">
        <w:rPr>
          <w:lang w:val="en-GB"/>
        </w:rPr>
        <w:t xml:space="preserve">, respectively, a global warming potential </w:t>
      </w:r>
      <w:r w:rsidR="00D31A20" w:rsidRPr="009F5AF4">
        <w:rPr>
          <w:lang w:val="en-GB"/>
        </w:rPr>
        <w:t>of 22.</w:t>
      </w:r>
      <w:r w:rsidR="00D31A20">
        <w:rPr>
          <w:lang w:val="en-GB"/>
        </w:rPr>
        <w:t>10</w:t>
      </w:r>
      <w:r w:rsidR="00D31A20" w:rsidRPr="000D3890">
        <w:rPr>
          <w:lang w:val="en-GB"/>
        </w:rPr>
        <w:t xml:space="preserve"> </w:t>
      </w:r>
      <w:r w:rsidR="00D31A20">
        <w:rPr>
          <w:lang w:val="en-GB"/>
        </w:rPr>
        <w:t>kg</w:t>
      </w:r>
      <w:r w:rsidR="00D31A20" w:rsidRPr="000D3890">
        <w:rPr>
          <w:vertAlign w:val="subscript"/>
          <w:lang w:val="en-GB"/>
        </w:rPr>
        <w:t>CO2eq</w:t>
      </w:r>
      <w:r w:rsidR="00D31A20">
        <w:rPr>
          <w:lang w:val="en-GB"/>
        </w:rPr>
        <w:t>/kg</w:t>
      </w:r>
      <w:r w:rsidR="00D31A20" w:rsidRPr="000D3890">
        <w:rPr>
          <w:vertAlign w:val="subscript"/>
          <w:lang w:val="en-GB"/>
        </w:rPr>
        <w:t>H2</w:t>
      </w:r>
      <w:r w:rsidR="00D31A20">
        <w:rPr>
          <w:lang w:val="en-GB"/>
        </w:rPr>
        <w:t xml:space="preserve"> </w:t>
      </w:r>
      <w:r w:rsidR="00D31A20" w:rsidRPr="0033749C">
        <w:rPr>
          <w:lang w:val="en-GB"/>
        </w:rPr>
        <w:t>and 21.04</w:t>
      </w:r>
      <w:r w:rsidR="00D31A20">
        <w:rPr>
          <w:lang w:val="en-GB"/>
        </w:rPr>
        <w:t xml:space="preserve"> kg</w:t>
      </w:r>
      <w:r w:rsidR="00D31A20" w:rsidRPr="000D3890">
        <w:rPr>
          <w:vertAlign w:val="subscript"/>
          <w:lang w:val="en-GB"/>
        </w:rPr>
        <w:t>CO2eq</w:t>
      </w:r>
      <w:r w:rsidR="00D31A20">
        <w:rPr>
          <w:lang w:val="en-GB"/>
        </w:rPr>
        <w:t>/kg</w:t>
      </w:r>
      <w:r w:rsidR="00D31A20" w:rsidRPr="000D3890">
        <w:rPr>
          <w:vertAlign w:val="subscript"/>
          <w:lang w:val="en-GB"/>
        </w:rPr>
        <w:t>H2</w:t>
      </w:r>
      <w:r w:rsidR="00D31A20">
        <w:rPr>
          <w:lang w:val="en-GB"/>
        </w:rPr>
        <w:t xml:space="preserve">. The use of renewable energy decrease the GWP to </w:t>
      </w:r>
      <w:r w:rsidR="00D31A20" w:rsidRPr="0033749C">
        <w:rPr>
          <w:lang w:val="en-GB"/>
        </w:rPr>
        <w:t>2.85 kg</w:t>
      </w:r>
      <w:r w:rsidR="00D31A20" w:rsidRPr="0033749C">
        <w:rPr>
          <w:vertAlign w:val="subscript"/>
          <w:lang w:val="en-GB"/>
        </w:rPr>
        <w:t>CO2eq</w:t>
      </w:r>
      <w:r w:rsidR="00D31A20" w:rsidRPr="0033749C">
        <w:rPr>
          <w:lang w:val="en-GB"/>
        </w:rPr>
        <w:t>/kg</w:t>
      </w:r>
      <w:r w:rsidR="00D31A20" w:rsidRPr="0033749C">
        <w:rPr>
          <w:vertAlign w:val="subscript"/>
          <w:lang w:val="en-GB"/>
        </w:rPr>
        <w:t>H2</w:t>
      </w:r>
      <w:r w:rsidR="00D31A20" w:rsidRPr="0033749C">
        <w:rPr>
          <w:lang w:val="en-GB"/>
        </w:rPr>
        <w:t xml:space="preserve"> and 2.71 kg</w:t>
      </w:r>
      <w:r w:rsidR="00D31A20" w:rsidRPr="0033749C">
        <w:rPr>
          <w:vertAlign w:val="subscript"/>
          <w:lang w:val="en-GB"/>
        </w:rPr>
        <w:t>CO2eq</w:t>
      </w:r>
      <w:r w:rsidR="00D31A20">
        <w:rPr>
          <w:lang w:val="en-GB"/>
        </w:rPr>
        <w:t>/kg</w:t>
      </w:r>
      <w:r w:rsidR="00D31A20" w:rsidRPr="000D3890">
        <w:rPr>
          <w:vertAlign w:val="subscript"/>
          <w:lang w:val="en-GB"/>
        </w:rPr>
        <w:t>H2</w:t>
      </w:r>
      <w:r w:rsidR="00D31A20">
        <w:rPr>
          <w:lang w:val="en-GB"/>
        </w:rPr>
        <w:t xml:space="preserve">. </w:t>
      </w:r>
      <w:r w:rsidR="00A51FF9">
        <w:rPr>
          <w:lang w:val="en-GB"/>
        </w:rPr>
        <w:t xml:space="preserve">From </w:t>
      </w:r>
      <w:r w:rsidR="00D31A20" w:rsidRPr="005B4491">
        <w:rPr>
          <w:lang w:val="en-GB"/>
        </w:rPr>
        <w:t>Figure 3</w:t>
      </w:r>
      <w:r w:rsidR="00374885">
        <w:rPr>
          <w:lang w:val="en-GB"/>
        </w:rPr>
        <w:t>, i</w:t>
      </w:r>
      <w:r w:rsidR="00D31A20">
        <w:rPr>
          <w:lang w:val="en-GB"/>
        </w:rPr>
        <w:t xml:space="preserve">t can clearly be seen that the vast majority of the GWP is associated to the phase use of the electrolyzer, which range from </w:t>
      </w:r>
      <w:r w:rsidR="00D31A20" w:rsidRPr="00AC051A">
        <w:rPr>
          <w:lang w:val="en-GB"/>
        </w:rPr>
        <w:t>94.1%</w:t>
      </w:r>
      <w:r w:rsidR="00D31A20">
        <w:rPr>
          <w:lang w:val="en-GB"/>
        </w:rPr>
        <w:t xml:space="preserve"> (PEM_S4) to </w:t>
      </w:r>
      <w:r w:rsidR="00D31A20" w:rsidRPr="00AC051A">
        <w:rPr>
          <w:lang w:val="en-GB"/>
        </w:rPr>
        <w:t>99.2%</w:t>
      </w:r>
      <w:r w:rsidR="00D31A20">
        <w:rPr>
          <w:lang w:val="en-GB"/>
        </w:rPr>
        <w:t xml:space="preserve"> (AEM_S1), while the second highest contribution is associated to electrolyzer construction which account </w:t>
      </w:r>
      <w:r w:rsidR="00D31A20" w:rsidRPr="00D235ED">
        <w:rPr>
          <w:lang w:val="en-GB"/>
        </w:rPr>
        <w:t>from 0.71% (AEM_S3) to 5.71%</w:t>
      </w:r>
      <w:r w:rsidR="00D31A20">
        <w:rPr>
          <w:lang w:val="en-GB"/>
        </w:rPr>
        <w:t xml:space="preserve"> (PEM_S2). On average, the water purification system impact for less than 0.3%, ranging from </w:t>
      </w:r>
      <w:r w:rsidR="00D31A20" w:rsidRPr="00317919">
        <w:rPr>
          <w:lang w:val="en-GB"/>
        </w:rPr>
        <w:t>0.062% (1.69*10</w:t>
      </w:r>
      <w:r w:rsidR="00D31A20" w:rsidRPr="00317919">
        <w:rPr>
          <w:vertAlign w:val="superscript"/>
          <w:lang w:val="en-GB"/>
        </w:rPr>
        <w:t>-3</w:t>
      </w:r>
      <w:r w:rsidR="00D31A20">
        <w:rPr>
          <w:lang w:val="en-GB"/>
        </w:rPr>
        <w:t xml:space="preserve"> kg</w:t>
      </w:r>
      <w:r w:rsidR="00D31A20" w:rsidRPr="000D3890">
        <w:rPr>
          <w:vertAlign w:val="subscript"/>
          <w:lang w:val="en-GB"/>
        </w:rPr>
        <w:t>CO2eq</w:t>
      </w:r>
      <w:r w:rsidR="00D31A20">
        <w:rPr>
          <w:lang w:val="en-GB"/>
        </w:rPr>
        <w:t>/kg</w:t>
      </w:r>
      <w:r w:rsidR="00D31A20" w:rsidRPr="000D3890">
        <w:rPr>
          <w:vertAlign w:val="subscript"/>
          <w:lang w:val="en-GB"/>
        </w:rPr>
        <w:t>H2</w:t>
      </w:r>
      <w:r w:rsidR="00D31A20">
        <w:rPr>
          <w:vertAlign w:val="subscript"/>
          <w:lang w:val="en-GB"/>
        </w:rPr>
        <w:t xml:space="preserve"> </w:t>
      </w:r>
      <w:r w:rsidR="00D31A20" w:rsidRPr="002C2B95">
        <w:rPr>
          <w:lang w:val="en-GB"/>
        </w:rPr>
        <w:t>for</w:t>
      </w:r>
      <w:r w:rsidR="00D31A20">
        <w:rPr>
          <w:lang w:val="en-GB"/>
        </w:rPr>
        <w:t xml:space="preserve"> PEM_S2) to </w:t>
      </w:r>
      <w:r w:rsidR="00D31A20" w:rsidRPr="00483277">
        <w:rPr>
          <w:lang w:val="en-GB"/>
        </w:rPr>
        <w:t>0.22% (4.3*10</w:t>
      </w:r>
      <w:r w:rsidR="00D31A20" w:rsidRPr="00483277">
        <w:rPr>
          <w:vertAlign w:val="superscript"/>
          <w:lang w:val="en-GB"/>
        </w:rPr>
        <w:t>-2</w:t>
      </w:r>
      <w:r w:rsidR="00D31A20">
        <w:rPr>
          <w:lang w:val="en-GB"/>
        </w:rPr>
        <w:t xml:space="preserve"> kg</w:t>
      </w:r>
      <w:r w:rsidR="00D31A20" w:rsidRPr="000D3890">
        <w:rPr>
          <w:vertAlign w:val="subscript"/>
          <w:lang w:val="en-GB"/>
        </w:rPr>
        <w:t>CO2eq</w:t>
      </w:r>
      <w:r w:rsidR="00D31A20">
        <w:rPr>
          <w:lang w:val="en-GB"/>
        </w:rPr>
        <w:t>/kg</w:t>
      </w:r>
      <w:r w:rsidR="00D31A20" w:rsidRPr="000D3890">
        <w:rPr>
          <w:vertAlign w:val="subscript"/>
          <w:lang w:val="en-GB"/>
        </w:rPr>
        <w:t>H2</w:t>
      </w:r>
      <w:r w:rsidR="00D31A20">
        <w:rPr>
          <w:lang w:val="en-GB"/>
        </w:rPr>
        <w:t xml:space="preserve"> </w:t>
      </w:r>
      <w:r w:rsidR="00D31A20" w:rsidRPr="001C623A">
        <w:rPr>
          <w:lang w:val="en-GB"/>
        </w:rPr>
        <w:t>for AEM_S3)</w:t>
      </w:r>
      <w:r w:rsidR="00D31A20">
        <w:rPr>
          <w:lang w:val="en-GB"/>
        </w:rPr>
        <w:t>.</w:t>
      </w:r>
    </w:p>
    <w:p w14:paraId="796DA8D9" w14:textId="6E74005E" w:rsidR="00ED2944" w:rsidRPr="00B57B36" w:rsidRDefault="00ED2944" w:rsidP="00A8476F">
      <w:pPr>
        <w:pStyle w:val="CETTabletitle"/>
        <w:spacing w:before="0"/>
        <w:jc w:val="center"/>
      </w:pPr>
      <w:r>
        <w:t>T</w:t>
      </w:r>
      <w:r w:rsidRPr="00B57B36">
        <w:t xml:space="preserve">able </w:t>
      </w:r>
      <w:r w:rsidR="00963582">
        <w:t>2</w:t>
      </w:r>
      <w:r w:rsidRPr="00B57B36">
        <w:t xml:space="preserve">: </w:t>
      </w:r>
      <w:r>
        <w:t>GWP of hydrogen production</w:t>
      </w:r>
    </w:p>
    <w:tbl>
      <w:tblPr>
        <w:tblW w:w="3727"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374"/>
        <w:gridCol w:w="1072"/>
        <w:gridCol w:w="1368"/>
        <w:gridCol w:w="1035"/>
      </w:tblGrid>
      <w:tr w:rsidR="00ED2944" w:rsidRPr="00B57B36" w14:paraId="2B62C72E" w14:textId="77777777" w:rsidTr="004A6535">
        <w:trPr>
          <w:jc w:val="center"/>
        </w:trPr>
        <w:tc>
          <w:tcPr>
            <w:tcW w:w="1298" w:type="pct"/>
            <w:tcBorders>
              <w:top w:val="single" w:sz="12" w:space="0" w:color="008000"/>
              <w:bottom w:val="single" w:sz="6" w:space="0" w:color="008000"/>
            </w:tcBorders>
            <w:shd w:val="clear" w:color="auto" w:fill="FFFFFF"/>
          </w:tcPr>
          <w:p w14:paraId="7EF38FE1" w14:textId="77777777" w:rsidR="00ED2944" w:rsidRPr="00B57B36" w:rsidRDefault="00ED2944" w:rsidP="003D025E">
            <w:pPr>
              <w:pStyle w:val="CETBodytext"/>
              <w:rPr>
                <w:lang w:val="en-GB"/>
              </w:rPr>
            </w:pPr>
          </w:p>
        </w:tc>
        <w:tc>
          <w:tcPr>
            <w:tcW w:w="1049" w:type="pct"/>
            <w:tcBorders>
              <w:top w:val="single" w:sz="12" w:space="0" w:color="008000"/>
              <w:bottom w:val="single" w:sz="6" w:space="0" w:color="008000"/>
            </w:tcBorders>
            <w:shd w:val="clear" w:color="auto" w:fill="FFFFFF"/>
          </w:tcPr>
          <w:p w14:paraId="60E3AAA4" w14:textId="77777777" w:rsidR="00ED2944" w:rsidRPr="00B57B36" w:rsidRDefault="00ED2944" w:rsidP="003D025E">
            <w:pPr>
              <w:pStyle w:val="CETBodytext"/>
              <w:jc w:val="center"/>
              <w:rPr>
                <w:lang w:val="en-GB"/>
              </w:rPr>
            </w:pPr>
            <w:r>
              <w:rPr>
                <w:lang w:val="en-GB"/>
              </w:rPr>
              <w:t>S1</w:t>
            </w:r>
          </w:p>
        </w:tc>
        <w:tc>
          <w:tcPr>
            <w:tcW w:w="818" w:type="pct"/>
            <w:tcBorders>
              <w:top w:val="single" w:sz="12" w:space="0" w:color="008000"/>
              <w:bottom w:val="single" w:sz="6" w:space="0" w:color="008000"/>
            </w:tcBorders>
            <w:shd w:val="clear" w:color="auto" w:fill="FFFFFF"/>
          </w:tcPr>
          <w:p w14:paraId="191631D1" w14:textId="77777777" w:rsidR="00ED2944" w:rsidRPr="00B57B36" w:rsidRDefault="00ED2944" w:rsidP="003D025E">
            <w:pPr>
              <w:pStyle w:val="CETBodytext"/>
              <w:jc w:val="center"/>
              <w:rPr>
                <w:lang w:val="en-GB"/>
              </w:rPr>
            </w:pPr>
            <w:r>
              <w:rPr>
                <w:lang w:val="en-GB"/>
              </w:rPr>
              <w:t>S2</w:t>
            </w:r>
          </w:p>
        </w:tc>
        <w:tc>
          <w:tcPr>
            <w:tcW w:w="1044" w:type="pct"/>
            <w:tcBorders>
              <w:top w:val="single" w:sz="12" w:space="0" w:color="008000"/>
              <w:bottom w:val="single" w:sz="6" w:space="0" w:color="008000"/>
            </w:tcBorders>
            <w:shd w:val="clear" w:color="auto" w:fill="FFFFFF"/>
          </w:tcPr>
          <w:p w14:paraId="0381E969" w14:textId="77777777" w:rsidR="00ED2944" w:rsidRDefault="00ED2944" w:rsidP="003D025E">
            <w:pPr>
              <w:pStyle w:val="CETBodytext"/>
              <w:jc w:val="center"/>
              <w:rPr>
                <w:lang w:val="en-GB"/>
              </w:rPr>
            </w:pPr>
            <w:r>
              <w:rPr>
                <w:lang w:val="en-GB"/>
              </w:rPr>
              <w:t>S3</w:t>
            </w:r>
          </w:p>
        </w:tc>
        <w:tc>
          <w:tcPr>
            <w:tcW w:w="790" w:type="pct"/>
            <w:tcBorders>
              <w:top w:val="single" w:sz="12" w:space="0" w:color="008000"/>
              <w:bottom w:val="single" w:sz="6" w:space="0" w:color="008000"/>
            </w:tcBorders>
            <w:shd w:val="clear" w:color="auto" w:fill="FFFFFF"/>
          </w:tcPr>
          <w:p w14:paraId="29E40363" w14:textId="77777777" w:rsidR="00ED2944" w:rsidRDefault="00ED2944" w:rsidP="003D025E">
            <w:pPr>
              <w:pStyle w:val="CETBodytext"/>
              <w:jc w:val="center"/>
              <w:rPr>
                <w:lang w:val="en-GB"/>
              </w:rPr>
            </w:pPr>
            <w:r>
              <w:rPr>
                <w:lang w:val="en-GB"/>
              </w:rPr>
              <w:t>S4</w:t>
            </w:r>
          </w:p>
        </w:tc>
      </w:tr>
      <w:tr w:rsidR="004A6535" w:rsidRPr="00B57B36" w14:paraId="026D9337" w14:textId="77777777" w:rsidTr="004A6535">
        <w:trPr>
          <w:jc w:val="center"/>
        </w:trPr>
        <w:tc>
          <w:tcPr>
            <w:tcW w:w="1298" w:type="pct"/>
            <w:shd w:val="clear" w:color="auto" w:fill="FFFFFF"/>
          </w:tcPr>
          <w:p w14:paraId="077FFDDD" w14:textId="77777777" w:rsidR="004A6535" w:rsidRPr="00B57B36" w:rsidRDefault="004A6535" w:rsidP="004A6535">
            <w:pPr>
              <w:pStyle w:val="CETBodytext"/>
              <w:rPr>
                <w:lang w:val="en-GB"/>
              </w:rPr>
            </w:pPr>
            <w:r>
              <w:rPr>
                <w:lang w:val="en-GB"/>
              </w:rPr>
              <w:t>PEM [kg</w:t>
            </w:r>
            <w:r w:rsidRPr="009F5EE1">
              <w:rPr>
                <w:vertAlign w:val="subscript"/>
                <w:lang w:val="en-GB"/>
              </w:rPr>
              <w:t>CO2eq</w:t>
            </w:r>
            <w:r>
              <w:rPr>
                <w:lang w:val="en-GB"/>
              </w:rPr>
              <w:t>/kg</w:t>
            </w:r>
            <w:r w:rsidRPr="009F5EE1">
              <w:rPr>
                <w:vertAlign w:val="subscript"/>
                <w:lang w:val="en-GB"/>
              </w:rPr>
              <w:t>H2</w:t>
            </w:r>
            <w:r>
              <w:rPr>
                <w:lang w:val="en-GB"/>
              </w:rPr>
              <w:t>]</w:t>
            </w:r>
          </w:p>
        </w:tc>
        <w:tc>
          <w:tcPr>
            <w:tcW w:w="1049" w:type="pct"/>
            <w:shd w:val="clear" w:color="auto" w:fill="FFFFFF"/>
          </w:tcPr>
          <w:p w14:paraId="543ACC12" w14:textId="779AA1AE" w:rsidR="004A6535" w:rsidRPr="00B57B36" w:rsidRDefault="004A6535" w:rsidP="004A6535">
            <w:pPr>
              <w:pStyle w:val="CETBodytext"/>
              <w:jc w:val="center"/>
              <w:rPr>
                <w:lang w:val="en-GB"/>
              </w:rPr>
            </w:pPr>
            <w:r w:rsidRPr="00AC1577">
              <w:t>22.29</w:t>
            </w:r>
          </w:p>
        </w:tc>
        <w:tc>
          <w:tcPr>
            <w:tcW w:w="818" w:type="pct"/>
            <w:shd w:val="clear" w:color="auto" w:fill="FFFFFF"/>
          </w:tcPr>
          <w:p w14:paraId="6EB39EA3" w14:textId="76FB51F1" w:rsidR="004A6535" w:rsidRPr="00B57B36" w:rsidRDefault="004A6535" w:rsidP="004A6535">
            <w:pPr>
              <w:pStyle w:val="CETBodytext"/>
              <w:jc w:val="center"/>
              <w:rPr>
                <w:lang w:val="en-GB"/>
              </w:rPr>
            </w:pPr>
            <w:r w:rsidRPr="00AC1577">
              <w:t>3.02</w:t>
            </w:r>
          </w:p>
        </w:tc>
        <w:tc>
          <w:tcPr>
            <w:tcW w:w="1044" w:type="pct"/>
            <w:shd w:val="clear" w:color="auto" w:fill="FFFFFF"/>
          </w:tcPr>
          <w:p w14:paraId="7BD9B3B8" w14:textId="2A862157" w:rsidR="004A6535" w:rsidRDefault="004A6535" w:rsidP="004A6535">
            <w:pPr>
              <w:pStyle w:val="CETBodytext"/>
              <w:jc w:val="center"/>
              <w:rPr>
                <w:lang w:val="en-GB"/>
              </w:rPr>
            </w:pPr>
            <w:r w:rsidRPr="00AC1577">
              <w:t>22.35</w:t>
            </w:r>
          </w:p>
        </w:tc>
        <w:tc>
          <w:tcPr>
            <w:tcW w:w="790" w:type="pct"/>
            <w:shd w:val="clear" w:color="auto" w:fill="FFFFFF"/>
          </w:tcPr>
          <w:p w14:paraId="69D0983F" w14:textId="51CABF45" w:rsidR="004A6535" w:rsidRDefault="004A6535" w:rsidP="004A6535">
            <w:pPr>
              <w:pStyle w:val="CETBodytext"/>
              <w:jc w:val="center"/>
              <w:rPr>
                <w:lang w:val="en-GB"/>
              </w:rPr>
            </w:pPr>
            <w:r w:rsidRPr="00AC1577">
              <w:t>3.03</w:t>
            </w:r>
          </w:p>
        </w:tc>
      </w:tr>
      <w:tr w:rsidR="004A6535" w:rsidRPr="00B57B36" w14:paraId="3FB73CA4" w14:textId="77777777" w:rsidTr="004A6535">
        <w:trPr>
          <w:jc w:val="center"/>
        </w:trPr>
        <w:tc>
          <w:tcPr>
            <w:tcW w:w="1298" w:type="pct"/>
            <w:shd w:val="clear" w:color="auto" w:fill="FFFFFF"/>
          </w:tcPr>
          <w:p w14:paraId="40B54ECA" w14:textId="77777777" w:rsidR="004A6535" w:rsidRPr="00B57B36" w:rsidRDefault="004A6535" w:rsidP="004A6535">
            <w:pPr>
              <w:pStyle w:val="CETBodytext"/>
              <w:rPr>
                <w:lang w:val="en-GB"/>
              </w:rPr>
            </w:pPr>
            <w:r>
              <w:rPr>
                <w:lang w:val="en-GB"/>
              </w:rPr>
              <w:t>AEM [kg</w:t>
            </w:r>
            <w:r w:rsidRPr="009F5EE1">
              <w:rPr>
                <w:vertAlign w:val="subscript"/>
                <w:lang w:val="en-GB"/>
              </w:rPr>
              <w:t>CO2eq</w:t>
            </w:r>
            <w:r>
              <w:rPr>
                <w:lang w:val="en-GB"/>
              </w:rPr>
              <w:t>/kg</w:t>
            </w:r>
            <w:r w:rsidRPr="009F5EE1">
              <w:rPr>
                <w:vertAlign w:val="subscript"/>
                <w:lang w:val="en-GB"/>
              </w:rPr>
              <w:t>H2</w:t>
            </w:r>
            <w:r>
              <w:rPr>
                <w:lang w:val="en-GB"/>
              </w:rPr>
              <w:t>]</w:t>
            </w:r>
          </w:p>
        </w:tc>
        <w:tc>
          <w:tcPr>
            <w:tcW w:w="1049" w:type="pct"/>
            <w:shd w:val="clear" w:color="auto" w:fill="FFFFFF"/>
          </w:tcPr>
          <w:p w14:paraId="069C82DD" w14:textId="4C61F7C8" w:rsidR="004A6535" w:rsidRPr="00B57B36" w:rsidRDefault="004A6535" w:rsidP="004A6535">
            <w:pPr>
              <w:pStyle w:val="CETBodytext"/>
              <w:jc w:val="center"/>
              <w:rPr>
                <w:lang w:val="en-GB"/>
              </w:rPr>
            </w:pPr>
            <w:r w:rsidRPr="00AC1577">
              <w:t>21.21</w:t>
            </w:r>
          </w:p>
        </w:tc>
        <w:tc>
          <w:tcPr>
            <w:tcW w:w="818" w:type="pct"/>
            <w:shd w:val="clear" w:color="auto" w:fill="FFFFFF"/>
          </w:tcPr>
          <w:p w14:paraId="3D551CD8" w14:textId="6859E73D" w:rsidR="004A6535" w:rsidRPr="00B57B36" w:rsidRDefault="004A6535" w:rsidP="004A6535">
            <w:pPr>
              <w:pStyle w:val="CETBodytext"/>
              <w:jc w:val="center"/>
              <w:rPr>
                <w:lang w:val="en-GB"/>
              </w:rPr>
            </w:pPr>
            <w:r w:rsidRPr="00AC1577">
              <w:t>2.87</w:t>
            </w:r>
          </w:p>
        </w:tc>
        <w:tc>
          <w:tcPr>
            <w:tcW w:w="1044" w:type="pct"/>
            <w:shd w:val="clear" w:color="auto" w:fill="FFFFFF"/>
          </w:tcPr>
          <w:p w14:paraId="05406C07" w14:textId="6265B70B" w:rsidR="004A6535" w:rsidRDefault="004A6535" w:rsidP="004A6535">
            <w:pPr>
              <w:pStyle w:val="CETBodytext"/>
              <w:jc w:val="center"/>
              <w:rPr>
                <w:lang w:val="en-GB"/>
              </w:rPr>
            </w:pPr>
            <w:r w:rsidRPr="00AC1577">
              <w:t>21.28</w:t>
            </w:r>
          </w:p>
        </w:tc>
        <w:tc>
          <w:tcPr>
            <w:tcW w:w="790" w:type="pct"/>
            <w:shd w:val="clear" w:color="auto" w:fill="FFFFFF"/>
          </w:tcPr>
          <w:p w14:paraId="137D0F0E" w14:textId="7A0BEC5C" w:rsidR="004A6535" w:rsidRDefault="004A6535" w:rsidP="004A6535">
            <w:pPr>
              <w:pStyle w:val="CETBodytext"/>
              <w:jc w:val="center"/>
              <w:rPr>
                <w:lang w:val="en-GB"/>
              </w:rPr>
            </w:pPr>
            <w:r w:rsidRPr="00AC1577">
              <w:t>2.88</w:t>
            </w:r>
          </w:p>
        </w:tc>
      </w:tr>
    </w:tbl>
    <w:p w14:paraId="739E2E06" w14:textId="77777777" w:rsidR="00ED2944" w:rsidRDefault="00ED2944" w:rsidP="00ED2944">
      <w:pPr>
        <w:pStyle w:val="CETBodytext"/>
        <w:rPr>
          <w:lang w:val="en-GB"/>
        </w:rPr>
      </w:pPr>
    </w:p>
    <w:p w14:paraId="7FD4A3D0" w14:textId="722E0FDE" w:rsidR="00655920" w:rsidRDefault="00037950" w:rsidP="00963582">
      <w:pPr>
        <w:pStyle w:val="CETBodytext"/>
        <w:keepNext/>
        <w:jc w:val="center"/>
      </w:pPr>
      <w:r>
        <w:rPr>
          <w:noProof/>
        </w:rPr>
        <w:lastRenderedPageBreak/>
        <w:drawing>
          <wp:inline distT="0" distB="0" distL="0" distR="0" wp14:anchorId="6C239F6C" wp14:editId="00543B6E">
            <wp:extent cx="5721350" cy="2438400"/>
            <wp:effectExtent l="0" t="0" r="12700" b="0"/>
            <wp:docPr id="1985073441" name="Grafico 1">
              <a:extLst xmlns:a="http://schemas.openxmlformats.org/drawingml/2006/main">
                <a:ext uri="{FF2B5EF4-FFF2-40B4-BE49-F238E27FC236}">
                  <a16:creationId xmlns:a16="http://schemas.microsoft.com/office/drawing/2014/main" id="{FE93DCDE-1D72-8C1C-E5B6-47AE2E540F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C97FF6" w14:textId="3B1D979F" w:rsidR="00A8476F" w:rsidRDefault="00655920" w:rsidP="00277933">
      <w:pPr>
        <w:pStyle w:val="CETCaption"/>
        <w:spacing w:before="0" w:after="0"/>
        <w:jc w:val="center"/>
      </w:pPr>
      <w:r>
        <w:t xml:space="preserve">Figure </w:t>
      </w:r>
      <w:r w:rsidR="00963582">
        <w:t>2</w:t>
      </w:r>
      <w:r>
        <w:t>. GWP impact share for the selected scenarios</w:t>
      </w:r>
    </w:p>
    <w:p w14:paraId="0499A245" w14:textId="2AC2FD20" w:rsidR="00472747" w:rsidRDefault="00D94A82" w:rsidP="00472747">
      <w:pPr>
        <w:pStyle w:val="CETBodytext"/>
      </w:pPr>
      <w:r w:rsidRPr="00D94A82">
        <w:t>Table 3 summarizes the levelized cost of hydrogen (LCOH) for AEM and PEM electrolysis under two water-use scenarios: (</w:t>
      </w:r>
      <w:proofErr w:type="spellStart"/>
      <w:r w:rsidRPr="00D94A82">
        <w:t>i</w:t>
      </w:r>
      <w:proofErr w:type="spellEnd"/>
      <w:r w:rsidRPr="00D94A82">
        <w:t>) stoichiometric feedwater only and (ii) stoichiometric feedwater plus the extra water required for cooling. It also disaggregates the overall LCOH into capital expenditures (CAPEX), operating expenditures (OPEX), and the portion of OPEX attributable specifically to water production.</w:t>
      </w:r>
      <w:r w:rsidR="00344B9F">
        <w:rPr>
          <w:lang w:val="en-GB"/>
        </w:rPr>
        <w:t xml:space="preserve"> </w:t>
      </w:r>
      <w:r w:rsidR="002D533B">
        <w:rPr>
          <w:lang w:val="en-GB"/>
        </w:rPr>
        <w:t xml:space="preserve">As can be seen, AEM presents a </w:t>
      </w:r>
      <w:r w:rsidR="00C559BD">
        <w:rPr>
          <w:lang w:val="en-GB"/>
        </w:rPr>
        <w:t>5.5% higher LCOH</w:t>
      </w:r>
      <w:r w:rsidR="00A518D6">
        <w:rPr>
          <w:lang w:val="en-GB"/>
        </w:rPr>
        <w:t>,</w:t>
      </w:r>
      <w:r w:rsidR="00735CB8">
        <w:rPr>
          <w:lang w:val="en-GB"/>
        </w:rPr>
        <w:t xml:space="preserve"> which is </w:t>
      </w:r>
      <w:r w:rsidR="00735CB8" w:rsidRPr="00735CB8">
        <w:rPr>
          <w:lang w:val="en-GB"/>
        </w:rPr>
        <w:t>primarily driven by its significantly larger CAPEX contribution, which accounts for approximately 20.78% of the total LCOH for AEM, versus 16.43% for PEM.</w:t>
      </w:r>
      <w:r w:rsidR="00A518D6">
        <w:rPr>
          <w:lang w:val="en-GB"/>
        </w:rPr>
        <w:t xml:space="preserve"> </w:t>
      </w:r>
      <w:r w:rsidR="000929F0">
        <w:rPr>
          <w:lang w:val="en-GB"/>
        </w:rPr>
        <w:t xml:space="preserve">This condition </w:t>
      </w:r>
      <w:r w:rsidR="000929F0" w:rsidRPr="000929F0">
        <w:rPr>
          <w:lang w:val="en-GB"/>
        </w:rPr>
        <w:t>is a direct consequence of the lower expected lifetime of its stack, necessitating a double</w:t>
      </w:r>
      <w:r w:rsidR="001729AD">
        <w:rPr>
          <w:lang w:val="en-GB"/>
        </w:rPr>
        <w:t>d</w:t>
      </w:r>
      <w:r w:rsidR="000929F0" w:rsidRPr="000929F0">
        <w:rPr>
          <w:lang w:val="en-GB"/>
        </w:rPr>
        <w:t xml:space="preserve"> number of stack substitutions over the plant's operational lifetime compared to PEM. The aggregated cost of these initial and subsequent stack investments is incorporated within the CAPEX component in our LCOH calculation</w:t>
      </w:r>
      <w:r w:rsidR="000929F0">
        <w:rPr>
          <w:lang w:val="en-GB"/>
        </w:rPr>
        <w:t xml:space="preserve">. </w:t>
      </w:r>
      <w:r w:rsidR="00287201">
        <w:rPr>
          <w:lang w:val="en-GB"/>
        </w:rPr>
        <w:t xml:space="preserve">The impact </w:t>
      </w:r>
      <w:r w:rsidR="00ED07DF">
        <w:rPr>
          <w:lang w:val="en-GB"/>
        </w:rPr>
        <w:t>of water purification on the final hydrogen price range</w:t>
      </w:r>
      <w:r w:rsidR="00E27054">
        <w:rPr>
          <w:lang w:val="en-GB"/>
        </w:rPr>
        <w:t>s</w:t>
      </w:r>
      <w:r w:rsidR="00ED07DF">
        <w:rPr>
          <w:lang w:val="en-GB"/>
        </w:rPr>
        <w:t xml:space="preserve"> from approximately 0.</w:t>
      </w:r>
      <w:r w:rsidR="00A17530">
        <w:rPr>
          <w:lang w:val="en-GB"/>
        </w:rPr>
        <w:t>2</w:t>
      </w:r>
      <w:r w:rsidR="00ED07DF">
        <w:rPr>
          <w:lang w:val="en-GB"/>
        </w:rPr>
        <w:t xml:space="preserve">% </w:t>
      </w:r>
      <w:r w:rsidR="00937921">
        <w:rPr>
          <w:lang w:val="en-GB"/>
        </w:rPr>
        <w:t>(0.0</w:t>
      </w:r>
      <w:r w:rsidR="00BF6EA2">
        <w:rPr>
          <w:lang w:val="en-GB"/>
        </w:rPr>
        <w:t>14</w:t>
      </w:r>
      <w:r w:rsidR="00937921">
        <w:rPr>
          <w:lang w:val="en-GB"/>
        </w:rPr>
        <w:t xml:space="preserve"> €/kg</w:t>
      </w:r>
      <w:r w:rsidR="00937921" w:rsidRPr="00A3012A">
        <w:rPr>
          <w:vertAlign w:val="subscript"/>
          <w:lang w:val="en-GB"/>
        </w:rPr>
        <w:t>H2</w:t>
      </w:r>
      <w:r w:rsidR="00937921">
        <w:rPr>
          <w:lang w:val="en-GB"/>
        </w:rPr>
        <w:t xml:space="preserve">) to </w:t>
      </w:r>
      <w:r w:rsidR="009C0F62">
        <w:rPr>
          <w:lang w:val="en-GB"/>
        </w:rPr>
        <w:t>0.65</w:t>
      </w:r>
      <w:r w:rsidR="00937921">
        <w:rPr>
          <w:lang w:val="en-GB"/>
        </w:rPr>
        <w:t>% (</w:t>
      </w:r>
      <w:r w:rsidR="00A3012A">
        <w:rPr>
          <w:lang w:val="en-GB"/>
        </w:rPr>
        <w:t>0.0</w:t>
      </w:r>
      <w:r w:rsidR="00BF6EA2">
        <w:rPr>
          <w:lang w:val="en-GB"/>
        </w:rPr>
        <w:t>41</w:t>
      </w:r>
      <w:r w:rsidR="00A3012A">
        <w:rPr>
          <w:lang w:val="en-GB"/>
        </w:rPr>
        <w:t xml:space="preserve"> €/kg</w:t>
      </w:r>
      <w:r w:rsidR="00A3012A" w:rsidRPr="00A3012A">
        <w:rPr>
          <w:vertAlign w:val="subscript"/>
          <w:lang w:val="en-GB"/>
        </w:rPr>
        <w:t>H2</w:t>
      </w:r>
      <w:r w:rsidR="00A3012A" w:rsidRPr="00A3012A">
        <w:rPr>
          <w:lang w:val="en-GB"/>
        </w:rPr>
        <w:t>)</w:t>
      </w:r>
      <w:r w:rsidR="00D16E9B">
        <w:rPr>
          <w:lang w:val="en-GB"/>
        </w:rPr>
        <w:t xml:space="preserve">, when considering only stoichiometric water or </w:t>
      </w:r>
      <w:r w:rsidR="00DE7329">
        <w:rPr>
          <w:lang w:val="en-GB"/>
        </w:rPr>
        <w:t xml:space="preserve">also </w:t>
      </w:r>
      <w:r w:rsidR="00E27054">
        <w:rPr>
          <w:lang w:val="en-GB"/>
        </w:rPr>
        <w:t>its</w:t>
      </w:r>
      <w:r w:rsidR="00230E45">
        <w:rPr>
          <w:lang w:val="en-GB"/>
        </w:rPr>
        <w:t xml:space="preserve"> use for the</w:t>
      </w:r>
      <w:r w:rsidR="00DE7329">
        <w:rPr>
          <w:lang w:val="en-GB"/>
        </w:rPr>
        <w:t xml:space="preserve"> cooling system. </w:t>
      </w:r>
      <w:r w:rsidR="007E7691">
        <w:rPr>
          <w:lang w:val="en-GB"/>
        </w:rPr>
        <w:t>For both technologies, the vast majority of the cost is associated to electricity con</w:t>
      </w:r>
      <w:r w:rsidR="008E64C9">
        <w:rPr>
          <w:lang w:val="en-GB"/>
        </w:rPr>
        <w:t xml:space="preserve">sumption, which significantly impact on the final hydrogen price. </w:t>
      </w:r>
      <w:r w:rsidR="003661EB">
        <w:rPr>
          <w:lang w:val="en-GB"/>
        </w:rPr>
        <w:t xml:space="preserve">A reduction in the price of energy to 0.05 €/kWh </w:t>
      </w:r>
      <w:r w:rsidR="00020593">
        <w:rPr>
          <w:lang w:val="en-GB"/>
        </w:rPr>
        <w:t>could result in a</w:t>
      </w:r>
      <w:r w:rsidR="00107F5A">
        <w:rPr>
          <w:lang w:val="en-GB"/>
        </w:rPr>
        <w:t xml:space="preserve"> hydrogen</w:t>
      </w:r>
      <w:r w:rsidR="00020593">
        <w:rPr>
          <w:lang w:val="en-GB"/>
        </w:rPr>
        <w:t xml:space="preserve"> price drop for PEM and AEM </w:t>
      </w:r>
      <w:r w:rsidR="00AB7FB9">
        <w:rPr>
          <w:lang w:val="en-GB"/>
        </w:rPr>
        <w:t xml:space="preserve">of </w:t>
      </w:r>
      <w:r w:rsidR="00837728">
        <w:rPr>
          <w:lang w:val="en-GB"/>
        </w:rPr>
        <w:t>39% and 37%</w:t>
      </w:r>
      <w:r w:rsidR="00AB7FB9">
        <w:rPr>
          <w:lang w:val="en-GB"/>
        </w:rPr>
        <w:t>, respectively.</w:t>
      </w:r>
      <w:r w:rsidR="00F4440E">
        <w:rPr>
          <w:lang w:val="en-GB"/>
        </w:rPr>
        <w:t xml:space="preserve"> </w:t>
      </w:r>
      <w:r w:rsidR="005F5F74">
        <w:rPr>
          <w:lang w:val="en-GB"/>
        </w:rPr>
        <w:t xml:space="preserve">An evaluation of hydrogen price according to different cost of electricity is reported in Table 4. </w:t>
      </w:r>
      <w:r w:rsidR="003D40A7">
        <w:rPr>
          <w:lang w:val="en-GB"/>
        </w:rPr>
        <w:t xml:space="preserve">The results of the obtained LCOH </w:t>
      </w:r>
      <w:r w:rsidR="00904088">
        <w:rPr>
          <w:lang w:val="en-GB"/>
        </w:rPr>
        <w:t>are in line with what</w:t>
      </w:r>
      <w:r w:rsidR="00A458E2">
        <w:rPr>
          <w:lang w:val="en-GB"/>
        </w:rPr>
        <w:t xml:space="preserve"> is</w:t>
      </w:r>
      <w:r w:rsidR="00904088">
        <w:rPr>
          <w:lang w:val="en-GB"/>
        </w:rPr>
        <w:t xml:space="preserve"> reported by </w:t>
      </w:r>
      <w:proofErr w:type="spellStart"/>
      <w:r w:rsidR="00904088">
        <w:rPr>
          <w:lang w:val="en-GB"/>
        </w:rPr>
        <w:t>Bloomeberg</w:t>
      </w:r>
      <w:r w:rsidR="00617DA6">
        <w:rPr>
          <w:lang w:val="en-GB"/>
        </w:rPr>
        <w:t>NEF</w:t>
      </w:r>
      <w:proofErr w:type="spellEnd"/>
      <w:r w:rsidR="008E1F17">
        <w:rPr>
          <w:lang w:val="en-GB"/>
        </w:rPr>
        <w:t xml:space="preserve">, </w:t>
      </w:r>
      <w:r w:rsidR="00A65FCF">
        <w:rPr>
          <w:lang w:val="en-GB"/>
        </w:rPr>
        <w:t>which define</w:t>
      </w:r>
      <w:r w:rsidR="00A458E2">
        <w:rPr>
          <w:lang w:val="en-GB"/>
        </w:rPr>
        <w:t>s</w:t>
      </w:r>
      <w:r w:rsidR="00A65FCF">
        <w:rPr>
          <w:lang w:val="en-GB"/>
        </w:rPr>
        <w:t xml:space="preserve"> </w:t>
      </w:r>
      <w:r w:rsidR="00B40492">
        <w:rPr>
          <w:lang w:val="en-GB"/>
        </w:rPr>
        <w:t xml:space="preserve">the range of hydrogen cost between 4.5 </w:t>
      </w:r>
      <w:r w:rsidR="00AD4D44">
        <w:rPr>
          <w:lang w:val="en-GB"/>
        </w:rPr>
        <w:t>$/kg</w:t>
      </w:r>
      <w:r w:rsidR="00AD4D44" w:rsidRPr="00AD4D44">
        <w:rPr>
          <w:vertAlign w:val="subscript"/>
          <w:lang w:val="en-GB"/>
        </w:rPr>
        <w:t>H2</w:t>
      </w:r>
      <w:r w:rsidR="00AD4D44">
        <w:rPr>
          <w:vertAlign w:val="subscript"/>
          <w:lang w:val="en-GB"/>
        </w:rPr>
        <w:t xml:space="preserve"> </w:t>
      </w:r>
      <w:r w:rsidR="00B40492">
        <w:rPr>
          <w:lang w:val="en-GB"/>
        </w:rPr>
        <w:t>and 12 $/kg</w:t>
      </w:r>
      <w:r w:rsidR="00B40492" w:rsidRPr="00AD4D44">
        <w:rPr>
          <w:vertAlign w:val="subscript"/>
          <w:lang w:val="en-GB"/>
        </w:rPr>
        <w:t>H2</w:t>
      </w:r>
      <w:r w:rsidR="00DE59B5">
        <w:rPr>
          <w:lang w:val="en-GB"/>
        </w:rPr>
        <w:t xml:space="preserve">, with an average </w:t>
      </w:r>
      <w:r w:rsidR="007D4FB1">
        <w:rPr>
          <w:lang w:val="en-GB"/>
        </w:rPr>
        <w:t xml:space="preserve">LCOH of </w:t>
      </w:r>
      <w:r w:rsidR="00AD4D44">
        <w:rPr>
          <w:lang w:val="en-GB"/>
        </w:rPr>
        <w:t>6.4 $/kg</w:t>
      </w:r>
      <w:r w:rsidR="00AD4D44" w:rsidRPr="00AD4D44">
        <w:rPr>
          <w:vertAlign w:val="subscript"/>
          <w:lang w:val="en-GB"/>
        </w:rPr>
        <w:t>H2</w:t>
      </w:r>
      <w:r w:rsidR="005B16E5">
        <w:rPr>
          <w:vertAlign w:val="subscript"/>
          <w:lang w:val="en-GB"/>
        </w:rPr>
        <w:t xml:space="preserve"> </w:t>
      </w:r>
      <w:r w:rsidR="005B16E5">
        <w:rPr>
          <w:lang w:val="en-GB"/>
        </w:rPr>
        <w:t>(</w:t>
      </w:r>
      <w:proofErr w:type="spellStart"/>
      <w:r w:rsidR="005B16E5">
        <w:rPr>
          <w:lang w:val="en-GB"/>
        </w:rPr>
        <w:t>BloombergNEF</w:t>
      </w:r>
      <w:proofErr w:type="spellEnd"/>
      <w:r w:rsidR="005B16E5">
        <w:rPr>
          <w:lang w:val="en-GB"/>
        </w:rPr>
        <w:t>, 2023)</w:t>
      </w:r>
      <w:r w:rsidR="00AD4D44">
        <w:rPr>
          <w:lang w:val="en-GB"/>
        </w:rPr>
        <w:t>.</w:t>
      </w:r>
    </w:p>
    <w:p w14:paraId="3628C6EF" w14:textId="77777777" w:rsidR="00BA6F10" w:rsidRDefault="00BA6F10" w:rsidP="001768B1">
      <w:pPr>
        <w:pStyle w:val="CETBodytext"/>
      </w:pPr>
    </w:p>
    <w:tbl>
      <w:tblPr>
        <w:tblW w:w="3549"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5"/>
        <w:gridCol w:w="2689"/>
        <w:gridCol w:w="709"/>
        <w:gridCol w:w="1134"/>
      </w:tblGrid>
      <w:tr w:rsidR="00381DFF" w:rsidRPr="00B57B36" w14:paraId="27EF0DC0" w14:textId="77777777" w:rsidTr="00381DFF">
        <w:trPr>
          <w:jc w:val="center"/>
        </w:trPr>
        <w:tc>
          <w:tcPr>
            <w:tcW w:w="1367" w:type="pct"/>
            <w:tcBorders>
              <w:top w:val="single" w:sz="12" w:space="0" w:color="008000"/>
              <w:bottom w:val="single" w:sz="6" w:space="0" w:color="008000"/>
            </w:tcBorders>
            <w:shd w:val="clear" w:color="auto" w:fill="FFFFFF"/>
          </w:tcPr>
          <w:p w14:paraId="20304147" w14:textId="77777777" w:rsidR="00B5738D" w:rsidRPr="00B57B36" w:rsidRDefault="00B5738D" w:rsidP="003D025E">
            <w:pPr>
              <w:pStyle w:val="CETBodytext"/>
              <w:rPr>
                <w:lang w:val="en-GB"/>
              </w:rPr>
            </w:pPr>
          </w:p>
        </w:tc>
        <w:tc>
          <w:tcPr>
            <w:tcW w:w="2156" w:type="pct"/>
            <w:tcBorders>
              <w:top w:val="single" w:sz="12" w:space="0" w:color="008000"/>
              <w:bottom w:val="single" w:sz="6" w:space="0" w:color="008000"/>
            </w:tcBorders>
            <w:shd w:val="clear" w:color="auto" w:fill="FFFFFF"/>
          </w:tcPr>
          <w:p w14:paraId="764507BF" w14:textId="3718EA55" w:rsidR="00B5738D" w:rsidRPr="00B57B36" w:rsidRDefault="00B5738D" w:rsidP="003D025E">
            <w:pPr>
              <w:pStyle w:val="CETBodytext"/>
              <w:jc w:val="center"/>
              <w:rPr>
                <w:lang w:val="en-GB"/>
              </w:rPr>
            </w:pPr>
          </w:p>
        </w:tc>
        <w:tc>
          <w:tcPr>
            <w:tcW w:w="568" w:type="pct"/>
            <w:tcBorders>
              <w:top w:val="single" w:sz="12" w:space="0" w:color="008000"/>
              <w:bottom w:val="single" w:sz="6" w:space="0" w:color="008000"/>
            </w:tcBorders>
            <w:shd w:val="clear" w:color="auto" w:fill="FFFFFF"/>
          </w:tcPr>
          <w:p w14:paraId="324DD3C6" w14:textId="34E4D189" w:rsidR="00B5738D" w:rsidRDefault="00B5738D" w:rsidP="003D025E">
            <w:pPr>
              <w:pStyle w:val="CETBodytext"/>
              <w:jc w:val="center"/>
              <w:rPr>
                <w:lang w:val="en-GB"/>
              </w:rPr>
            </w:pPr>
            <w:r>
              <w:rPr>
                <w:lang w:val="en-GB"/>
              </w:rPr>
              <w:t>PEM</w:t>
            </w:r>
          </w:p>
        </w:tc>
        <w:tc>
          <w:tcPr>
            <w:tcW w:w="909" w:type="pct"/>
            <w:tcBorders>
              <w:top w:val="single" w:sz="12" w:space="0" w:color="008000"/>
              <w:bottom w:val="single" w:sz="6" w:space="0" w:color="008000"/>
            </w:tcBorders>
            <w:shd w:val="clear" w:color="auto" w:fill="FFFFFF"/>
          </w:tcPr>
          <w:p w14:paraId="6EC21D68" w14:textId="33AA1EF4" w:rsidR="00B5738D" w:rsidRDefault="00B5738D" w:rsidP="003D025E">
            <w:pPr>
              <w:pStyle w:val="CETBodytext"/>
              <w:jc w:val="center"/>
              <w:rPr>
                <w:lang w:val="en-GB"/>
              </w:rPr>
            </w:pPr>
            <w:r>
              <w:rPr>
                <w:lang w:val="en-GB"/>
              </w:rPr>
              <w:t>AEM</w:t>
            </w:r>
          </w:p>
        </w:tc>
      </w:tr>
      <w:tr w:rsidR="009F35F5" w:rsidRPr="00B57B36" w14:paraId="78076E4F" w14:textId="77777777" w:rsidTr="00857656">
        <w:trPr>
          <w:jc w:val="center"/>
        </w:trPr>
        <w:tc>
          <w:tcPr>
            <w:tcW w:w="1367" w:type="pct"/>
            <w:vMerge w:val="restart"/>
            <w:shd w:val="clear" w:color="auto" w:fill="FFFFFF"/>
            <w:vAlign w:val="center"/>
          </w:tcPr>
          <w:p w14:paraId="18EF590B" w14:textId="2582D065" w:rsidR="009F35F5" w:rsidRPr="00B57B36" w:rsidRDefault="009F35F5" w:rsidP="00EA4CB5">
            <w:pPr>
              <w:pStyle w:val="CETBodytext"/>
              <w:jc w:val="center"/>
              <w:rPr>
                <w:lang w:val="en-GB"/>
              </w:rPr>
            </w:pPr>
            <w:r>
              <w:rPr>
                <w:lang w:val="en-GB"/>
              </w:rPr>
              <w:t>Stochiometric water consumption</w:t>
            </w:r>
          </w:p>
        </w:tc>
        <w:tc>
          <w:tcPr>
            <w:tcW w:w="2156" w:type="pct"/>
            <w:shd w:val="clear" w:color="auto" w:fill="FFFFFF"/>
            <w:vAlign w:val="bottom"/>
          </w:tcPr>
          <w:p w14:paraId="3137A9C1" w14:textId="679921A9" w:rsidR="009F35F5" w:rsidRPr="00B57B36" w:rsidRDefault="009F35F5" w:rsidP="00EA4CB5">
            <w:pPr>
              <w:pStyle w:val="CETBodytext"/>
              <w:jc w:val="center"/>
              <w:rPr>
                <w:lang w:val="en-GB"/>
              </w:rPr>
            </w:pPr>
            <w:r>
              <w:rPr>
                <w:lang w:val="en-GB"/>
              </w:rPr>
              <w:t>CAPEX</w:t>
            </w:r>
          </w:p>
        </w:tc>
        <w:tc>
          <w:tcPr>
            <w:tcW w:w="568" w:type="pct"/>
            <w:shd w:val="clear" w:color="auto" w:fill="FFFFFF"/>
            <w:vAlign w:val="bottom"/>
          </w:tcPr>
          <w:p w14:paraId="7C4ECFC3" w14:textId="2461C701" w:rsidR="009F35F5" w:rsidRDefault="009F35F5" w:rsidP="00EA4CB5">
            <w:pPr>
              <w:pStyle w:val="CETBodytext"/>
              <w:jc w:val="center"/>
              <w:rPr>
                <w:lang w:val="en-GB"/>
              </w:rPr>
            </w:pPr>
            <w:r w:rsidRPr="00EA4CB5">
              <w:rPr>
                <w:lang w:val="en-GB"/>
              </w:rPr>
              <w:t>16.40%</w:t>
            </w:r>
          </w:p>
        </w:tc>
        <w:tc>
          <w:tcPr>
            <w:tcW w:w="909" w:type="pct"/>
            <w:shd w:val="clear" w:color="auto" w:fill="FFFFFF"/>
            <w:vAlign w:val="bottom"/>
          </w:tcPr>
          <w:p w14:paraId="76856F30" w14:textId="561C4103" w:rsidR="009F35F5" w:rsidRDefault="009F35F5" w:rsidP="00EA4CB5">
            <w:pPr>
              <w:pStyle w:val="CETBodytext"/>
              <w:jc w:val="center"/>
              <w:rPr>
                <w:lang w:val="en-GB"/>
              </w:rPr>
            </w:pPr>
            <w:r w:rsidRPr="00EA4CB5">
              <w:rPr>
                <w:lang w:val="en-GB"/>
              </w:rPr>
              <w:t>20.74%</w:t>
            </w:r>
          </w:p>
        </w:tc>
      </w:tr>
      <w:tr w:rsidR="009F35F5" w:rsidRPr="00B57B36" w14:paraId="0CC7FD37" w14:textId="77777777" w:rsidTr="00857656">
        <w:trPr>
          <w:jc w:val="center"/>
        </w:trPr>
        <w:tc>
          <w:tcPr>
            <w:tcW w:w="1367" w:type="pct"/>
            <w:vMerge/>
            <w:shd w:val="clear" w:color="auto" w:fill="FFFFFF"/>
          </w:tcPr>
          <w:p w14:paraId="76698C9E" w14:textId="77777777" w:rsidR="009F35F5" w:rsidRDefault="009F35F5" w:rsidP="00EA4CB5">
            <w:pPr>
              <w:pStyle w:val="CETBodytext"/>
              <w:rPr>
                <w:lang w:val="en-GB"/>
              </w:rPr>
            </w:pPr>
          </w:p>
        </w:tc>
        <w:tc>
          <w:tcPr>
            <w:tcW w:w="2156" w:type="pct"/>
            <w:shd w:val="clear" w:color="auto" w:fill="FFFFFF"/>
            <w:vAlign w:val="bottom"/>
          </w:tcPr>
          <w:p w14:paraId="4A448448" w14:textId="32A1A663" w:rsidR="009F35F5" w:rsidRPr="00E90A1B" w:rsidRDefault="009F35F5" w:rsidP="00EA4CB5">
            <w:pPr>
              <w:pStyle w:val="CETBodytext"/>
              <w:jc w:val="center"/>
              <w:rPr>
                <w:lang w:val="en-GB"/>
              </w:rPr>
            </w:pPr>
            <w:r>
              <w:rPr>
                <w:lang w:val="en-GB"/>
              </w:rPr>
              <w:t>OPEX_tot</w:t>
            </w:r>
          </w:p>
        </w:tc>
        <w:tc>
          <w:tcPr>
            <w:tcW w:w="568" w:type="pct"/>
            <w:shd w:val="clear" w:color="auto" w:fill="FFFFFF"/>
            <w:vAlign w:val="bottom"/>
          </w:tcPr>
          <w:p w14:paraId="419393CD" w14:textId="14F6ED27" w:rsidR="009F35F5" w:rsidRPr="00E90A1B" w:rsidRDefault="009F35F5" w:rsidP="00EA4CB5">
            <w:pPr>
              <w:pStyle w:val="CETBodytext"/>
              <w:jc w:val="center"/>
              <w:rPr>
                <w:lang w:val="en-GB"/>
              </w:rPr>
            </w:pPr>
            <w:r w:rsidRPr="00EA4CB5">
              <w:rPr>
                <w:lang w:val="en-GB"/>
              </w:rPr>
              <w:t>83.60%</w:t>
            </w:r>
          </w:p>
        </w:tc>
        <w:tc>
          <w:tcPr>
            <w:tcW w:w="909" w:type="pct"/>
            <w:shd w:val="clear" w:color="auto" w:fill="FFFFFF"/>
            <w:vAlign w:val="bottom"/>
          </w:tcPr>
          <w:p w14:paraId="5599EA8D" w14:textId="5FF4BB92" w:rsidR="009F35F5" w:rsidRPr="00E90A1B" w:rsidRDefault="009F35F5" w:rsidP="00EA4CB5">
            <w:pPr>
              <w:pStyle w:val="CETBodytext"/>
              <w:jc w:val="center"/>
              <w:rPr>
                <w:lang w:val="en-GB"/>
              </w:rPr>
            </w:pPr>
            <w:r w:rsidRPr="00EA4CB5">
              <w:rPr>
                <w:lang w:val="en-GB"/>
              </w:rPr>
              <w:t>79.26%</w:t>
            </w:r>
          </w:p>
        </w:tc>
      </w:tr>
      <w:tr w:rsidR="009F35F5" w:rsidRPr="00B57B36" w14:paraId="47913B8C" w14:textId="77777777" w:rsidTr="00857656">
        <w:trPr>
          <w:jc w:val="center"/>
        </w:trPr>
        <w:tc>
          <w:tcPr>
            <w:tcW w:w="1367" w:type="pct"/>
            <w:vMerge/>
            <w:shd w:val="clear" w:color="auto" w:fill="FFFFFF"/>
          </w:tcPr>
          <w:p w14:paraId="5A7F25C2" w14:textId="77777777" w:rsidR="009F35F5" w:rsidRDefault="009F35F5" w:rsidP="00EA4CB5">
            <w:pPr>
              <w:pStyle w:val="CETBodytext"/>
              <w:rPr>
                <w:lang w:val="en-GB"/>
              </w:rPr>
            </w:pPr>
          </w:p>
        </w:tc>
        <w:tc>
          <w:tcPr>
            <w:tcW w:w="2156" w:type="pct"/>
            <w:shd w:val="clear" w:color="auto" w:fill="FFFFFF"/>
            <w:vAlign w:val="bottom"/>
          </w:tcPr>
          <w:p w14:paraId="5AD87CDC" w14:textId="2894E519" w:rsidR="009F35F5" w:rsidRPr="00E90A1B" w:rsidRDefault="009F35F5" w:rsidP="00EA4CB5">
            <w:pPr>
              <w:pStyle w:val="CETBodytext"/>
              <w:jc w:val="center"/>
              <w:rPr>
                <w:lang w:val="en-GB"/>
              </w:rPr>
            </w:pPr>
            <w:r>
              <w:rPr>
                <w:lang w:val="en-GB"/>
              </w:rPr>
              <w:t>OPEX_only water</w:t>
            </w:r>
          </w:p>
        </w:tc>
        <w:tc>
          <w:tcPr>
            <w:tcW w:w="568" w:type="pct"/>
            <w:shd w:val="clear" w:color="auto" w:fill="FFFFFF"/>
            <w:vAlign w:val="bottom"/>
          </w:tcPr>
          <w:p w14:paraId="3E3AE7A7" w14:textId="46DFEFB6" w:rsidR="009F35F5" w:rsidRPr="00E90A1B" w:rsidRDefault="009F35F5" w:rsidP="00EA4CB5">
            <w:pPr>
              <w:pStyle w:val="CETBodytext"/>
              <w:jc w:val="center"/>
              <w:rPr>
                <w:lang w:val="en-GB"/>
              </w:rPr>
            </w:pPr>
            <w:r w:rsidRPr="00EA4CB5">
              <w:rPr>
                <w:lang w:val="en-GB"/>
              </w:rPr>
              <w:t>0.</w:t>
            </w:r>
            <w:r w:rsidR="00843919">
              <w:rPr>
                <w:lang w:val="en-GB"/>
              </w:rPr>
              <w:t>22</w:t>
            </w:r>
            <w:r w:rsidRPr="00EA4CB5">
              <w:rPr>
                <w:lang w:val="en-GB"/>
              </w:rPr>
              <w:t>%</w:t>
            </w:r>
          </w:p>
        </w:tc>
        <w:tc>
          <w:tcPr>
            <w:tcW w:w="909" w:type="pct"/>
            <w:shd w:val="clear" w:color="auto" w:fill="FFFFFF"/>
            <w:vAlign w:val="bottom"/>
          </w:tcPr>
          <w:p w14:paraId="74D5C270" w14:textId="1150156E" w:rsidR="009F35F5" w:rsidRPr="00E90A1B" w:rsidRDefault="009F35F5" w:rsidP="00EA4CB5">
            <w:pPr>
              <w:pStyle w:val="CETBodytext"/>
              <w:jc w:val="center"/>
              <w:rPr>
                <w:lang w:val="en-GB"/>
              </w:rPr>
            </w:pPr>
            <w:r w:rsidRPr="00EA4CB5">
              <w:rPr>
                <w:lang w:val="en-GB"/>
              </w:rPr>
              <w:t>0.</w:t>
            </w:r>
            <w:r w:rsidR="00843919">
              <w:rPr>
                <w:lang w:val="en-GB"/>
              </w:rPr>
              <w:t>21</w:t>
            </w:r>
            <w:r w:rsidRPr="00EA4CB5">
              <w:rPr>
                <w:lang w:val="en-GB"/>
              </w:rPr>
              <w:t>%</w:t>
            </w:r>
          </w:p>
        </w:tc>
      </w:tr>
      <w:tr w:rsidR="009F35F5" w:rsidRPr="00B57B36" w14:paraId="7223CE07" w14:textId="77777777" w:rsidTr="00857656">
        <w:trPr>
          <w:jc w:val="center"/>
        </w:trPr>
        <w:tc>
          <w:tcPr>
            <w:tcW w:w="1367" w:type="pct"/>
            <w:vMerge/>
            <w:shd w:val="clear" w:color="auto" w:fill="FFFFFF"/>
          </w:tcPr>
          <w:p w14:paraId="580A890F" w14:textId="77777777" w:rsidR="009F35F5" w:rsidRDefault="009F35F5" w:rsidP="00EA4CB5">
            <w:pPr>
              <w:pStyle w:val="CETBodytext"/>
              <w:rPr>
                <w:lang w:val="en-GB"/>
              </w:rPr>
            </w:pPr>
          </w:p>
        </w:tc>
        <w:tc>
          <w:tcPr>
            <w:tcW w:w="2156" w:type="pct"/>
            <w:shd w:val="clear" w:color="auto" w:fill="FFFFFF"/>
            <w:vAlign w:val="bottom"/>
          </w:tcPr>
          <w:p w14:paraId="2738EE2D" w14:textId="5F9EE760" w:rsidR="009F35F5" w:rsidRDefault="009F35F5" w:rsidP="00EA4CB5">
            <w:pPr>
              <w:pStyle w:val="CETBodytext"/>
              <w:jc w:val="center"/>
              <w:rPr>
                <w:lang w:val="en-GB"/>
              </w:rPr>
            </w:pPr>
            <w:r>
              <w:rPr>
                <w:lang w:val="en-GB"/>
              </w:rPr>
              <w:t>LCOH</w:t>
            </w:r>
          </w:p>
        </w:tc>
        <w:tc>
          <w:tcPr>
            <w:tcW w:w="568" w:type="pct"/>
            <w:shd w:val="clear" w:color="auto" w:fill="FFFFFF"/>
            <w:vAlign w:val="bottom"/>
          </w:tcPr>
          <w:p w14:paraId="4E15F323" w14:textId="24ABC17D" w:rsidR="009F35F5" w:rsidRPr="00EA4CB5" w:rsidRDefault="00424747" w:rsidP="00EA4CB5">
            <w:pPr>
              <w:pStyle w:val="CETBodytext"/>
              <w:jc w:val="center"/>
              <w:rPr>
                <w:lang w:val="en-GB"/>
              </w:rPr>
            </w:pPr>
            <w:r>
              <w:rPr>
                <w:lang w:val="en-GB"/>
              </w:rPr>
              <w:t>6.3</w:t>
            </w:r>
            <w:r w:rsidR="00D00980">
              <w:rPr>
                <w:lang w:val="en-GB"/>
              </w:rPr>
              <w:t>3</w:t>
            </w:r>
            <w:r>
              <w:rPr>
                <w:lang w:val="en-GB"/>
              </w:rPr>
              <w:t xml:space="preserve"> €</w:t>
            </w:r>
          </w:p>
        </w:tc>
        <w:tc>
          <w:tcPr>
            <w:tcW w:w="909" w:type="pct"/>
            <w:shd w:val="clear" w:color="auto" w:fill="FFFFFF"/>
            <w:vAlign w:val="bottom"/>
          </w:tcPr>
          <w:p w14:paraId="3B1D67CC" w14:textId="38EBE220" w:rsidR="009F35F5" w:rsidRPr="00EA4CB5" w:rsidRDefault="00424747" w:rsidP="00EA4CB5">
            <w:pPr>
              <w:pStyle w:val="CETBodytext"/>
              <w:jc w:val="center"/>
              <w:rPr>
                <w:lang w:val="en-GB"/>
              </w:rPr>
            </w:pPr>
            <w:r>
              <w:rPr>
                <w:lang w:val="en-GB"/>
              </w:rPr>
              <w:t>6.6</w:t>
            </w:r>
            <w:r w:rsidR="00D00980">
              <w:rPr>
                <w:lang w:val="en-GB"/>
              </w:rPr>
              <w:t>7</w:t>
            </w:r>
            <w:r>
              <w:rPr>
                <w:lang w:val="en-GB"/>
              </w:rPr>
              <w:t xml:space="preserve"> €</w:t>
            </w:r>
          </w:p>
        </w:tc>
      </w:tr>
      <w:tr w:rsidR="0064470D" w:rsidRPr="00B57B36" w14:paraId="519954DD" w14:textId="77777777" w:rsidTr="00196D33">
        <w:trPr>
          <w:trHeight w:val="20"/>
          <w:jc w:val="center"/>
        </w:trPr>
        <w:tc>
          <w:tcPr>
            <w:tcW w:w="1367" w:type="pct"/>
            <w:shd w:val="clear" w:color="auto" w:fill="FFFFFF"/>
            <w:vAlign w:val="center"/>
          </w:tcPr>
          <w:p w14:paraId="23B3E716" w14:textId="77777777" w:rsidR="0064470D" w:rsidRDefault="0064470D" w:rsidP="00EA4CB5">
            <w:pPr>
              <w:pStyle w:val="CETBodytext"/>
              <w:jc w:val="center"/>
              <w:rPr>
                <w:lang w:val="en-GB"/>
              </w:rPr>
            </w:pPr>
          </w:p>
        </w:tc>
        <w:tc>
          <w:tcPr>
            <w:tcW w:w="2156" w:type="pct"/>
            <w:shd w:val="clear" w:color="auto" w:fill="FFFFFF"/>
            <w:vAlign w:val="bottom"/>
          </w:tcPr>
          <w:p w14:paraId="47B4FE06" w14:textId="77777777" w:rsidR="0064470D" w:rsidRDefault="0064470D" w:rsidP="00EA4CB5">
            <w:pPr>
              <w:pStyle w:val="CETBodytext"/>
              <w:jc w:val="center"/>
              <w:rPr>
                <w:lang w:val="en-GB"/>
              </w:rPr>
            </w:pPr>
          </w:p>
        </w:tc>
        <w:tc>
          <w:tcPr>
            <w:tcW w:w="568" w:type="pct"/>
            <w:shd w:val="clear" w:color="auto" w:fill="FFFFFF"/>
            <w:vAlign w:val="bottom"/>
          </w:tcPr>
          <w:p w14:paraId="05820D84" w14:textId="77777777" w:rsidR="0064470D" w:rsidRPr="00EA4CB5" w:rsidRDefault="0064470D" w:rsidP="00EA4CB5">
            <w:pPr>
              <w:pStyle w:val="CETBodytext"/>
              <w:jc w:val="center"/>
              <w:rPr>
                <w:lang w:val="en-GB"/>
              </w:rPr>
            </w:pPr>
          </w:p>
        </w:tc>
        <w:tc>
          <w:tcPr>
            <w:tcW w:w="909" w:type="pct"/>
            <w:shd w:val="clear" w:color="auto" w:fill="FFFFFF"/>
            <w:vAlign w:val="bottom"/>
          </w:tcPr>
          <w:p w14:paraId="694D328E" w14:textId="77777777" w:rsidR="0064470D" w:rsidRPr="00EA4CB5" w:rsidRDefault="0064470D" w:rsidP="00EA4CB5">
            <w:pPr>
              <w:pStyle w:val="CETBodytext"/>
              <w:jc w:val="center"/>
              <w:rPr>
                <w:lang w:val="en-GB"/>
              </w:rPr>
            </w:pPr>
          </w:p>
        </w:tc>
      </w:tr>
      <w:tr w:rsidR="00424747" w:rsidRPr="00B57B36" w14:paraId="0D0BE6B8" w14:textId="77777777" w:rsidTr="00857656">
        <w:trPr>
          <w:jc w:val="center"/>
        </w:trPr>
        <w:tc>
          <w:tcPr>
            <w:tcW w:w="1367" w:type="pct"/>
            <w:vMerge w:val="restart"/>
            <w:shd w:val="clear" w:color="auto" w:fill="FFFFFF"/>
            <w:vAlign w:val="center"/>
          </w:tcPr>
          <w:p w14:paraId="55CEA6A1" w14:textId="303374A9" w:rsidR="00424747" w:rsidRDefault="00424747" w:rsidP="00EA4CB5">
            <w:pPr>
              <w:pStyle w:val="CETBodytext"/>
              <w:jc w:val="center"/>
              <w:rPr>
                <w:lang w:val="en-GB"/>
              </w:rPr>
            </w:pPr>
            <w:r>
              <w:rPr>
                <w:lang w:val="en-GB"/>
              </w:rPr>
              <w:t>Stochiometric + cooling water</w:t>
            </w:r>
          </w:p>
        </w:tc>
        <w:tc>
          <w:tcPr>
            <w:tcW w:w="2156" w:type="pct"/>
            <w:shd w:val="clear" w:color="auto" w:fill="FFFFFF"/>
            <w:vAlign w:val="bottom"/>
          </w:tcPr>
          <w:p w14:paraId="73DB4301" w14:textId="5353B0E5" w:rsidR="00424747" w:rsidRPr="00E90A1B" w:rsidRDefault="00424747" w:rsidP="00EA4CB5">
            <w:pPr>
              <w:pStyle w:val="CETBodytext"/>
              <w:jc w:val="center"/>
              <w:rPr>
                <w:lang w:val="en-GB"/>
              </w:rPr>
            </w:pPr>
            <w:r>
              <w:rPr>
                <w:lang w:val="en-GB"/>
              </w:rPr>
              <w:t>CAPEX</w:t>
            </w:r>
          </w:p>
        </w:tc>
        <w:tc>
          <w:tcPr>
            <w:tcW w:w="568" w:type="pct"/>
            <w:shd w:val="clear" w:color="auto" w:fill="FFFFFF"/>
            <w:vAlign w:val="bottom"/>
          </w:tcPr>
          <w:p w14:paraId="3DA6795F" w14:textId="37CC38DF" w:rsidR="00424747" w:rsidRPr="00E90A1B" w:rsidRDefault="00424747" w:rsidP="00EA4CB5">
            <w:pPr>
              <w:pStyle w:val="CETBodytext"/>
              <w:jc w:val="center"/>
              <w:rPr>
                <w:lang w:val="en-GB"/>
              </w:rPr>
            </w:pPr>
            <w:r w:rsidRPr="00EA4CB5">
              <w:rPr>
                <w:lang w:val="en-GB"/>
              </w:rPr>
              <w:t>16.27%</w:t>
            </w:r>
          </w:p>
        </w:tc>
        <w:tc>
          <w:tcPr>
            <w:tcW w:w="909" w:type="pct"/>
            <w:shd w:val="clear" w:color="auto" w:fill="FFFFFF"/>
            <w:vAlign w:val="bottom"/>
          </w:tcPr>
          <w:p w14:paraId="368AFCAA" w14:textId="30AE8B52" w:rsidR="00424747" w:rsidRPr="00E90A1B" w:rsidRDefault="00424747" w:rsidP="00EA4CB5">
            <w:pPr>
              <w:pStyle w:val="CETBodytext"/>
              <w:jc w:val="center"/>
              <w:rPr>
                <w:lang w:val="en-GB"/>
              </w:rPr>
            </w:pPr>
            <w:r w:rsidRPr="00EA4CB5">
              <w:rPr>
                <w:lang w:val="en-GB"/>
              </w:rPr>
              <w:t>20.59%</w:t>
            </w:r>
          </w:p>
        </w:tc>
      </w:tr>
      <w:tr w:rsidR="00424747" w:rsidRPr="00B57B36" w14:paraId="67AB7F55" w14:textId="77777777" w:rsidTr="00857656">
        <w:trPr>
          <w:jc w:val="center"/>
        </w:trPr>
        <w:tc>
          <w:tcPr>
            <w:tcW w:w="1367" w:type="pct"/>
            <w:vMerge/>
            <w:shd w:val="clear" w:color="auto" w:fill="FFFFFF"/>
          </w:tcPr>
          <w:p w14:paraId="50D78B15" w14:textId="1DB3C037" w:rsidR="00424747" w:rsidRDefault="00424747" w:rsidP="00EA4CB5">
            <w:pPr>
              <w:pStyle w:val="CETBodytext"/>
              <w:rPr>
                <w:lang w:val="en-GB"/>
              </w:rPr>
            </w:pPr>
          </w:p>
        </w:tc>
        <w:tc>
          <w:tcPr>
            <w:tcW w:w="2156" w:type="pct"/>
            <w:shd w:val="clear" w:color="auto" w:fill="FFFFFF"/>
            <w:vAlign w:val="bottom"/>
          </w:tcPr>
          <w:p w14:paraId="77FF8E80" w14:textId="4CB62E23" w:rsidR="00424747" w:rsidRPr="00E90A1B" w:rsidRDefault="00424747" w:rsidP="00EA4CB5">
            <w:pPr>
              <w:pStyle w:val="CETBodytext"/>
              <w:jc w:val="center"/>
              <w:rPr>
                <w:lang w:val="en-GB"/>
              </w:rPr>
            </w:pPr>
            <w:r>
              <w:rPr>
                <w:lang w:val="en-GB"/>
              </w:rPr>
              <w:t>OPEX_tot</w:t>
            </w:r>
          </w:p>
        </w:tc>
        <w:tc>
          <w:tcPr>
            <w:tcW w:w="568" w:type="pct"/>
            <w:shd w:val="clear" w:color="auto" w:fill="FFFFFF"/>
            <w:vAlign w:val="bottom"/>
          </w:tcPr>
          <w:p w14:paraId="220AB798" w14:textId="33238721" w:rsidR="00424747" w:rsidRPr="00E90A1B" w:rsidRDefault="00424747" w:rsidP="00EA4CB5">
            <w:pPr>
              <w:pStyle w:val="CETBodytext"/>
              <w:jc w:val="center"/>
              <w:rPr>
                <w:lang w:val="en-GB"/>
              </w:rPr>
            </w:pPr>
            <w:r w:rsidRPr="00EA4CB5">
              <w:rPr>
                <w:lang w:val="en-GB"/>
              </w:rPr>
              <w:t>83.73%</w:t>
            </w:r>
          </w:p>
        </w:tc>
        <w:tc>
          <w:tcPr>
            <w:tcW w:w="909" w:type="pct"/>
            <w:shd w:val="clear" w:color="auto" w:fill="FFFFFF"/>
            <w:vAlign w:val="bottom"/>
          </w:tcPr>
          <w:p w14:paraId="1031F5B3" w14:textId="7503DB9F" w:rsidR="00424747" w:rsidRPr="00E90A1B" w:rsidRDefault="00424747" w:rsidP="00EA4CB5">
            <w:pPr>
              <w:pStyle w:val="CETBodytext"/>
              <w:jc w:val="center"/>
              <w:rPr>
                <w:lang w:val="en-GB"/>
              </w:rPr>
            </w:pPr>
            <w:r w:rsidRPr="00EA4CB5">
              <w:rPr>
                <w:lang w:val="en-GB"/>
              </w:rPr>
              <w:t>79.41%</w:t>
            </w:r>
          </w:p>
        </w:tc>
      </w:tr>
      <w:tr w:rsidR="00424747" w:rsidRPr="00B57B36" w14:paraId="2267A883" w14:textId="77777777" w:rsidTr="00857656">
        <w:trPr>
          <w:jc w:val="center"/>
        </w:trPr>
        <w:tc>
          <w:tcPr>
            <w:tcW w:w="1367" w:type="pct"/>
            <w:vMerge/>
            <w:shd w:val="clear" w:color="auto" w:fill="FFFFFF"/>
          </w:tcPr>
          <w:p w14:paraId="501FBFDD" w14:textId="579FCA33" w:rsidR="00424747" w:rsidRPr="00B57B36" w:rsidRDefault="00424747" w:rsidP="00EA4CB5">
            <w:pPr>
              <w:pStyle w:val="CETBodytext"/>
              <w:rPr>
                <w:lang w:val="en-GB"/>
              </w:rPr>
            </w:pPr>
          </w:p>
        </w:tc>
        <w:tc>
          <w:tcPr>
            <w:tcW w:w="2156" w:type="pct"/>
            <w:shd w:val="clear" w:color="auto" w:fill="FFFFFF"/>
            <w:vAlign w:val="bottom"/>
          </w:tcPr>
          <w:p w14:paraId="6D10622A" w14:textId="2DE02847" w:rsidR="00424747" w:rsidRPr="00B57B36" w:rsidRDefault="00424747" w:rsidP="00EA4CB5">
            <w:pPr>
              <w:pStyle w:val="CETBodytext"/>
              <w:jc w:val="center"/>
              <w:rPr>
                <w:lang w:val="en-GB"/>
              </w:rPr>
            </w:pPr>
            <w:r>
              <w:rPr>
                <w:lang w:val="en-GB"/>
              </w:rPr>
              <w:t>OPEX_only water</w:t>
            </w:r>
          </w:p>
        </w:tc>
        <w:tc>
          <w:tcPr>
            <w:tcW w:w="568" w:type="pct"/>
            <w:shd w:val="clear" w:color="auto" w:fill="FFFFFF"/>
            <w:vAlign w:val="bottom"/>
          </w:tcPr>
          <w:p w14:paraId="25AD9AB9" w14:textId="5D7AD08C" w:rsidR="00424747" w:rsidRDefault="00A17530" w:rsidP="00EA4CB5">
            <w:pPr>
              <w:pStyle w:val="CETBodytext"/>
              <w:jc w:val="center"/>
              <w:rPr>
                <w:lang w:val="en-GB"/>
              </w:rPr>
            </w:pPr>
            <w:r>
              <w:rPr>
                <w:lang w:val="en-GB"/>
              </w:rPr>
              <w:t>0.6</w:t>
            </w:r>
            <w:r w:rsidR="00424747" w:rsidRPr="00EA4CB5">
              <w:rPr>
                <w:lang w:val="en-GB"/>
              </w:rPr>
              <w:t>5%</w:t>
            </w:r>
          </w:p>
        </w:tc>
        <w:tc>
          <w:tcPr>
            <w:tcW w:w="909" w:type="pct"/>
            <w:shd w:val="clear" w:color="auto" w:fill="FFFFFF"/>
            <w:vAlign w:val="bottom"/>
          </w:tcPr>
          <w:p w14:paraId="1015764A" w14:textId="5CF7B9C5" w:rsidR="00424747" w:rsidRDefault="00A17530" w:rsidP="0064470D">
            <w:pPr>
              <w:pStyle w:val="CETBodytext"/>
              <w:keepNext/>
              <w:jc w:val="center"/>
              <w:rPr>
                <w:lang w:val="en-GB"/>
              </w:rPr>
            </w:pPr>
            <w:r>
              <w:rPr>
                <w:lang w:val="en-GB"/>
              </w:rPr>
              <w:t>0</w:t>
            </w:r>
            <w:r w:rsidR="00424747" w:rsidRPr="00EA4CB5">
              <w:rPr>
                <w:lang w:val="en-GB"/>
              </w:rPr>
              <w:t>.</w:t>
            </w:r>
            <w:r>
              <w:rPr>
                <w:lang w:val="en-GB"/>
              </w:rPr>
              <w:t>61</w:t>
            </w:r>
            <w:r w:rsidR="00424747" w:rsidRPr="00EA4CB5">
              <w:rPr>
                <w:lang w:val="en-GB"/>
              </w:rPr>
              <w:t>%</w:t>
            </w:r>
          </w:p>
        </w:tc>
      </w:tr>
      <w:tr w:rsidR="00424747" w:rsidRPr="00B57B36" w14:paraId="77D5DBC6" w14:textId="77777777" w:rsidTr="00857656">
        <w:trPr>
          <w:jc w:val="center"/>
        </w:trPr>
        <w:tc>
          <w:tcPr>
            <w:tcW w:w="1367" w:type="pct"/>
            <w:vMerge/>
            <w:shd w:val="clear" w:color="auto" w:fill="FFFFFF"/>
          </w:tcPr>
          <w:p w14:paraId="52950BD9" w14:textId="77777777" w:rsidR="00424747" w:rsidRPr="00B57B36" w:rsidRDefault="00424747" w:rsidP="00EA4CB5">
            <w:pPr>
              <w:pStyle w:val="CETBodytext"/>
              <w:rPr>
                <w:lang w:val="en-GB"/>
              </w:rPr>
            </w:pPr>
          </w:p>
        </w:tc>
        <w:tc>
          <w:tcPr>
            <w:tcW w:w="2156" w:type="pct"/>
            <w:shd w:val="clear" w:color="auto" w:fill="FFFFFF"/>
            <w:vAlign w:val="bottom"/>
          </w:tcPr>
          <w:p w14:paraId="3AF473C7" w14:textId="21D89651" w:rsidR="00424747" w:rsidRDefault="00424747" w:rsidP="00EA4CB5">
            <w:pPr>
              <w:pStyle w:val="CETBodytext"/>
              <w:jc w:val="center"/>
              <w:rPr>
                <w:lang w:val="en-GB"/>
              </w:rPr>
            </w:pPr>
            <w:r>
              <w:rPr>
                <w:lang w:val="en-GB"/>
              </w:rPr>
              <w:t>LCOH</w:t>
            </w:r>
          </w:p>
        </w:tc>
        <w:tc>
          <w:tcPr>
            <w:tcW w:w="568" w:type="pct"/>
            <w:shd w:val="clear" w:color="auto" w:fill="FFFFFF"/>
            <w:vAlign w:val="bottom"/>
          </w:tcPr>
          <w:p w14:paraId="4F0A5B01" w14:textId="4EA89C2A" w:rsidR="00424747" w:rsidRPr="00EA4CB5" w:rsidRDefault="00D87000" w:rsidP="00EA4CB5">
            <w:pPr>
              <w:pStyle w:val="CETBodytext"/>
              <w:jc w:val="center"/>
              <w:rPr>
                <w:lang w:val="en-GB"/>
              </w:rPr>
            </w:pPr>
            <w:r>
              <w:rPr>
                <w:lang w:val="en-GB"/>
              </w:rPr>
              <w:t>6.3</w:t>
            </w:r>
            <w:r w:rsidR="00AB7FB9">
              <w:rPr>
                <w:lang w:val="en-GB"/>
              </w:rPr>
              <w:t>8</w:t>
            </w:r>
            <w:r>
              <w:rPr>
                <w:lang w:val="en-GB"/>
              </w:rPr>
              <w:t xml:space="preserve"> €</w:t>
            </w:r>
          </w:p>
        </w:tc>
        <w:tc>
          <w:tcPr>
            <w:tcW w:w="909" w:type="pct"/>
            <w:shd w:val="clear" w:color="auto" w:fill="FFFFFF"/>
            <w:vAlign w:val="bottom"/>
          </w:tcPr>
          <w:p w14:paraId="5B521AAA" w14:textId="6C14069A" w:rsidR="00424747" w:rsidRPr="00EA4CB5" w:rsidRDefault="00D87000" w:rsidP="0064470D">
            <w:pPr>
              <w:pStyle w:val="CETBodytext"/>
              <w:keepNext/>
              <w:jc w:val="center"/>
              <w:rPr>
                <w:lang w:val="en-GB"/>
              </w:rPr>
            </w:pPr>
            <w:r>
              <w:rPr>
                <w:lang w:val="en-GB"/>
              </w:rPr>
              <w:t>6.7</w:t>
            </w:r>
            <w:r w:rsidR="00AB7FB9">
              <w:rPr>
                <w:lang w:val="en-GB"/>
              </w:rPr>
              <w:t>2</w:t>
            </w:r>
            <w:r>
              <w:rPr>
                <w:lang w:val="en-GB"/>
              </w:rPr>
              <w:t xml:space="preserve"> €</w:t>
            </w:r>
          </w:p>
        </w:tc>
      </w:tr>
    </w:tbl>
    <w:p w14:paraId="0E9F3515" w14:textId="7D3E68AF" w:rsidR="000269D9" w:rsidRDefault="0064470D" w:rsidP="00D61244">
      <w:pPr>
        <w:pStyle w:val="CETTabletitle"/>
        <w:spacing w:before="0"/>
        <w:jc w:val="center"/>
      </w:pPr>
      <w:r w:rsidRPr="0064470D">
        <w:t xml:space="preserve">Table </w:t>
      </w:r>
      <w:r w:rsidR="00963582">
        <w:t>3</w:t>
      </w:r>
      <w:r w:rsidRPr="0064470D">
        <w:t>. Share of CAPEX, OPEX and water production on the final LCOH</w:t>
      </w:r>
    </w:p>
    <w:p w14:paraId="5E8C86B9" w14:textId="77777777" w:rsidR="00A8476F" w:rsidRDefault="00A8476F" w:rsidP="00D61244">
      <w:pPr>
        <w:pStyle w:val="CETTabletitle"/>
        <w:spacing w:before="0"/>
        <w:jc w:val="center"/>
      </w:pPr>
    </w:p>
    <w:tbl>
      <w:tblPr>
        <w:tblW w:w="4840" w:type="pct"/>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276"/>
        <w:gridCol w:w="567"/>
        <w:gridCol w:w="567"/>
        <w:gridCol w:w="567"/>
        <w:gridCol w:w="567"/>
        <w:gridCol w:w="566"/>
        <w:gridCol w:w="566"/>
        <w:gridCol w:w="566"/>
        <w:gridCol w:w="566"/>
        <w:gridCol w:w="566"/>
        <w:gridCol w:w="566"/>
        <w:gridCol w:w="566"/>
      </w:tblGrid>
      <w:tr w:rsidR="001638C2" w:rsidRPr="00B57B36" w14:paraId="5A052DD8" w14:textId="1D11B13C" w:rsidTr="0013011C">
        <w:trPr>
          <w:jc w:val="center"/>
        </w:trPr>
        <w:tc>
          <w:tcPr>
            <w:tcW w:w="1337" w:type="pct"/>
            <w:tcBorders>
              <w:top w:val="single" w:sz="12" w:space="0" w:color="008000"/>
              <w:bottom w:val="single" w:sz="6" w:space="0" w:color="008000"/>
            </w:tcBorders>
            <w:shd w:val="clear" w:color="auto" w:fill="FFFFFF"/>
            <w:vAlign w:val="center"/>
          </w:tcPr>
          <w:p w14:paraId="395810FF" w14:textId="79292FAC" w:rsidR="00C02310" w:rsidRPr="00B57B36" w:rsidRDefault="00846561" w:rsidP="001D615B">
            <w:pPr>
              <w:pStyle w:val="CETBodytext"/>
              <w:jc w:val="left"/>
              <w:rPr>
                <w:lang w:val="en-GB"/>
              </w:rPr>
            </w:pPr>
            <w:proofErr w:type="spellStart"/>
            <w:r>
              <w:rPr>
                <w:rFonts w:cs="Arial"/>
                <w:color w:val="000000"/>
                <w:szCs w:val="18"/>
                <w:lang w:val="it-IT" w:eastAsia="it-IT"/>
              </w:rPr>
              <w:t>Electricity</w:t>
            </w:r>
            <w:proofErr w:type="spellEnd"/>
            <w:r w:rsidR="00C02310" w:rsidRPr="00343358">
              <w:rPr>
                <w:rFonts w:cs="Arial"/>
                <w:color w:val="000000"/>
                <w:szCs w:val="18"/>
                <w:lang w:val="it-IT" w:eastAsia="it-IT"/>
              </w:rPr>
              <w:t xml:space="preserve"> price [€/kWh]</w:t>
            </w:r>
          </w:p>
        </w:tc>
        <w:tc>
          <w:tcPr>
            <w:tcW w:w="333" w:type="pct"/>
            <w:tcBorders>
              <w:top w:val="single" w:sz="12" w:space="0" w:color="008000"/>
              <w:bottom w:val="single" w:sz="6" w:space="0" w:color="008000"/>
            </w:tcBorders>
            <w:shd w:val="clear" w:color="auto" w:fill="DBE5F1" w:themeFill="accent1" w:themeFillTint="33"/>
            <w:vAlign w:val="center"/>
          </w:tcPr>
          <w:p w14:paraId="0290D098" w14:textId="2ADEAEF2" w:rsidR="00C02310" w:rsidRDefault="00C02310" w:rsidP="001D615B">
            <w:pPr>
              <w:pStyle w:val="CETBodytext"/>
              <w:jc w:val="center"/>
              <w:rPr>
                <w:lang w:val="en-GB"/>
              </w:rPr>
            </w:pPr>
            <w:r w:rsidRPr="00343358">
              <w:rPr>
                <w:rFonts w:cs="Arial"/>
                <w:color w:val="000000"/>
                <w:szCs w:val="18"/>
                <w:lang w:val="it-IT" w:eastAsia="it-IT"/>
              </w:rPr>
              <w:t>0.05</w:t>
            </w:r>
          </w:p>
        </w:tc>
        <w:tc>
          <w:tcPr>
            <w:tcW w:w="333" w:type="pct"/>
            <w:tcBorders>
              <w:top w:val="single" w:sz="12" w:space="0" w:color="008000"/>
              <w:bottom w:val="single" w:sz="6" w:space="0" w:color="008000"/>
            </w:tcBorders>
            <w:shd w:val="clear" w:color="auto" w:fill="C6D9F1" w:themeFill="text2" w:themeFillTint="33"/>
            <w:vAlign w:val="center"/>
          </w:tcPr>
          <w:p w14:paraId="089F156A" w14:textId="24FE22EC" w:rsidR="00C02310" w:rsidRDefault="00C02310" w:rsidP="001D615B">
            <w:pPr>
              <w:pStyle w:val="CETBodytext"/>
              <w:jc w:val="center"/>
              <w:rPr>
                <w:lang w:val="en-GB"/>
              </w:rPr>
            </w:pPr>
            <w:r w:rsidRPr="00343358">
              <w:rPr>
                <w:rFonts w:cs="Arial"/>
                <w:color w:val="000000"/>
                <w:szCs w:val="18"/>
                <w:lang w:val="it-IT" w:eastAsia="it-IT"/>
              </w:rPr>
              <w:t>0.06</w:t>
            </w:r>
          </w:p>
        </w:tc>
        <w:tc>
          <w:tcPr>
            <w:tcW w:w="333" w:type="pct"/>
            <w:tcBorders>
              <w:top w:val="single" w:sz="12" w:space="0" w:color="008000"/>
              <w:bottom w:val="single" w:sz="6" w:space="0" w:color="008000"/>
            </w:tcBorders>
            <w:shd w:val="clear" w:color="auto" w:fill="C6D9F1" w:themeFill="text2" w:themeFillTint="33"/>
            <w:vAlign w:val="center"/>
          </w:tcPr>
          <w:p w14:paraId="7A5FBEDF" w14:textId="448E6BE2" w:rsidR="00C02310" w:rsidRDefault="00C02310" w:rsidP="001D615B">
            <w:pPr>
              <w:pStyle w:val="CETBodytext"/>
              <w:jc w:val="center"/>
              <w:rPr>
                <w:lang w:val="en-GB"/>
              </w:rPr>
            </w:pPr>
            <w:r w:rsidRPr="00343358">
              <w:rPr>
                <w:rFonts w:cs="Arial"/>
                <w:color w:val="000000"/>
                <w:szCs w:val="18"/>
                <w:lang w:val="it-IT" w:eastAsia="it-IT"/>
              </w:rPr>
              <w:t>0.07</w:t>
            </w:r>
          </w:p>
        </w:tc>
        <w:tc>
          <w:tcPr>
            <w:tcW w:w="333" w:type="pct"/>
            <w:tcBorders>
              <w:top w:val="single" w:sz="12" w:space="0" w:color="008000"/>
              <w:bottom w:val="single" w:sz="6" w:space="0" w:color="008000"/>
            </w:tcBorders>
            <w:shd w:val="clear" w:color="auto" w:fill="8DB3E2" w:themeFill="text2" w:themeFillTint="66"/>
            <w:vAlign w:val="center"/>
          </w:tcPr>
          <w:p w14:paraId="74FBD92D" w14:textId="26CDA721" w:rsidR="00C02310" w:rsidRDefault="00C02310" w:rsidP="001D615B">
            <w:pPr>
              <w:pStyle w:val="CETBodytext"/>
              <w:jc w:val="center"/>
              <w:rPr>
                <w:lang w:val="en-GB"/>
              </w:rPr>
            </w:pPr>
            <w:r w:rsidRPr="00343358">
              <w:rPr>
                <w:rFonts w:cs="Arial"/>
                <w:color w:val="000000"/>
                <w:szCs w:val="18"/>
                <w:lang w:val="it-IT" w:eastAsia="it-IT"/>
              </w:rPr>
              <w:t>0.08</w:t>
            </w:r>
          </w:p>
        </w:tc>
        <w:tc>
          <w:tcPr>
            <w:tcW w:w="333" w:type="pct"/>
            <w:tcBorders>
              <w:top w:val="single" w:sz="12" w:space="0" w:color="008000"/>
              <w:bottom w:val="single" w:sz="6" w:space="0" w:color="008000"/>
            </w:tcBorders>
            <w:shd w:val="clear" w:color="auto" w:fill="8DB3E2" w:themeFill="text2" w:themeFillTint="66"/>
            <w:vAlign w:val="center"/>
          </w:tcPr>
          <w:p w14:paraId="7758561C" w14:textId="3A91514A" w:rsidR="00C02310" w:rsidRDefault="00C02310" w:rsidP="001D615B">
            <w:pPr>
              <w:pStyle w:val="CETBodytext"/>
              <w:jc w:val="center"/>
              <w:rPr>
                <w:lang w:val="en-GB"/>
              </w:rPr>
            </w:pPr>
            <w:r w:rsidRPr="00343358">
              <w:rPr>
                <w:rFonts w:cs="Arial"/>
                <w:color w:val="000000"/>
                <w:szCs w:val="18"/>
                <w:lang w:val="it-IT" w:eastAsia="it-IT"/>
              </w:rPr>
              <w:t>0.09</w:t>
            </w:r>
          </w:p>
        </w:tc>
        <w:tc>
          <w:tcPr>
            <w:tcW w:w="333" w:type="pct"/>
            <w:tcBorders>
              <w:top w:val="single" w:sz="12" w:space="0" w:color="008000"/>
              <w:bottom w:val="single" w:sz="6" w:space="0" w:color="008000"/>
            </w:tcBorders>
            <w:shd w:val="clear" w:color="auto" w:fill="548DD4" w:themeFill="text2" w:themeFillTint="99"/>
            <w:vAlign w:val="center"/>
          </w:tcPr>
          <w:p w14:paraId="72172CAE" w14:textId="73E8557A" w:rsidR="00C02310" w:rsidRDefault="00C02310" w:rsidP="001D615B">
            <w:pPr>
              <w:pStyle w:val="CETBodytext"/>
              <w:jc w:val="center"/>
              <w:rPr>
                <w:lang w:val="en-GB"/>
              </w:rPr>
            </w:pPr>
            <w:r w:rsidRPr="00343358">
              <w:rPr>
                <w:rFonts w:cs="Arial"/>
                <w:color w:val="000000"/>
                <w:szCs w:val="18"/>
                <w:lang w:val="it-IT" w:eastAsia="it-IT"/>
              </w:rPr>
              <w:t>0.1</w:t>
            </w:r>
          </w:p>
        </w:tc>
        <w:tc>
          <w:tcPr>
            <w:tcW w:w="333" w:type="pct"/>
            <w:tcBorders>
              <w:top w:val="single" w:sz="12" w:space="0" w:color="008000"/>
              <w:bottom w:val="single" w:sz="6" w:space="0" w:color="008000"/>
            </w:tcBorders>
            <w:shd w:val="clear" w:color="auto" w:fill="D99594" w:themeFill="accent2" w:themeFillTint="99"/>
            <w:vAlign w:val="center"/>
          </w:tcPr>
          <w:p w14:paraId="33AC5438" w14:textId="3324221B" w:rsidR="00C02310" w:rsidRDefault="00C02310" w:rsidP="001D615B">
            <w:pPr>
              <w:pStyle w:val="CETBodytext"/>
              <w:jc w:val="center"/>
              <w:rPr>
                <w:lang w:val="en-GB"/>
              </w:rPr>
            </w:pPr>
            <w:r w:rsidRPr="00343358">
              <w:rPr>
                <w:rFonts w:cs="Arial"/>
                <w:color w:val="000000"/>
                <w:szCs w:val="18"/>
                <w:lang w:val="it-IT" w:eastAsia="it-IT"/>
              </w:rPr>
              <w:t>0.11</w:t>
            </w:r>
          </w:p>
        </w:tc>
        <w:tc>
          <w:tcPr>
            <w:tcW w:w="333" w:type="pct"/>
            <w:tcBorders>
              <w:top w:val="single" w:sz="12" w:space="0" w:color="008000"/>
              <w:bottom w:val="single" w:sz="6" w:space="0" w:color="008000"/>
            </w:tcBorders>
            <w:shd w:val="clear" w:color="auto" w:fill="D99594" w:themeFill="accent2" w:themeFillTint="99"/>
            <w:vAlign w:val="center"/>
          </w:tcPr>
          <w:p w14:paraId="466715EE" w14:textId="0C3D3829" w:rsidR="00C02310" w:rsidRDefault="00C02310" w:rsidP="001D615B">
            <w:pPr>
              <w:pStyle w:val="CETBodytext"/>
              <w:jc w:val="center"/>
              <w:rPr>
                <w:lang w:val="en-GB"/>
              </w:rPr>
            </w:pPr>
            <w:r w:rsidRPr="00343358">
              <w:rPr>
                <w:rFonts w:cs="Arial"/>
                <w:color w:val="000000"/>
                <w:szCs w:val="18"/>
                <w:lang w:val="it-IT" w:eastAsia="it-IT"/>
              </w:rPr>
              <w:t>0.12</w:t>
            </w:r>
          </w:p>
        </w:tc>
        <w:tc>
          <w:tcPr>
            <w:tcW w:w="333" w:type="pct"/>
            <w:tcBorders>
              <w:top w:val="single" w:sz="12" w:space="0" w:color="008000"/>
              <w:bottom w:val="single" w:sz="6" w:space="0" w:color="008000"/>
            </w:tcBorders>
            <w:shd w:val="clear" w:color="auto" w:fill="943634" w:themeFill="accent2" w:themeFillShade="BF"/>
            <w:vAlign w:val="center"/>
          </w:tcPr>
          <w:p w14:paraId="402CD40F" w14:textId="23A021E9" w:rsidR="00C02310" w:rsidRDefault="00C02310" w:rsidP="001D615B">
            <w:pPr>
              <w:pStyle w:val="CETBodytext"/>
              <w:jc w:val="center"/>
              <w:rPr>
                <w:lang w:val="en-GB"/>
              </w:rPr>
            </w:pPr>
            <w:r w:rsidRPr="00343358">
              <w:rPr>
                <w:rFonts w:cs="Arial"/>
                <w:color w:val="000000"/>
                <w:szCs w:val="18"/>
                <w:lang w:val="it-IT" w:eastAsia="it-IT"/>
              </w:rPr>
              <w:t>0.13</w:t>
            </w:r>
          </w:p>
        </w:tc>
        <w:tc>
          <w:tcPr>
            <w:tcW w:w="333" w:type="pct"/>
            <w:tcBorders>
              <w:top w:val="single" w:sz="12" w:space="0" w:color="008000"/>
              <w:bottom w:val="single" w:sz="6" w:space="0" w:color="008000"/>
            </w:tcBorders>
            <w:shd w:val="clear" w:color="auto" w:fill="943634" w:themeFill="accent2" w:themeFillShade="BF"/>
            <w:vAlign w:val="center"/>
          </w:tcPr>
          <w:p w14:paraId="34DB9F34" w14:textId="5141B725" w:rsidR="00C02310" w:rsidRDefault="00C02310" w:rsidP="001D615B">
            <w:pPr>
              <w:pStyle w:val="CETBodytext"/>
              <w:jc w:val="center"/>
              <w:rPr>
                <w:lang w:val="en-GB"/>
              </w:rPr>
            </w:pPr>
            <w:r w:rsidRPr="00343358">
              <w:rPr>
                <w:rFonts w:cs="Arial"/>
                <w:color w:val="000000"/>
                <w:szCs w:val="18"/>
                <w:lang w:val="it-IT" w:eastAsia="it-IT"/>
              </w:rPr>
              <w:t>0.14</w:t>
            </w:r>
          </w:p>
        </w:tc>
        <w:tc>
          <w:tcPr>
            <w:tcW w:w="333" w:type="pct"/>
            <w:tcBorders>
              <w:top w:val="single" w:sz="12" w:space="0" w:color="008000"/>
              <w:bottom w:val="single" w:sz="6" w:space="0" w:color="008000"/>
            </w:tcBorders>
            <w:shd w:val="clear" w:color="auto" w:fill="C00000"/>
            <w:vAlign w:val="center"/>
          </w:tcPr>
          <w:p w14:paraId="4AC91341" w14:textId="611BD590" w:rsidR="00C02310" w:rsidRDefault="00C02310" w:rsidP="001D615B">
            <w:pPr>
              <w:pStyle w:val="CETBodytext"/>
              <w:jc w:val="center"/>
              <w:rPr>
                <w:lang w:val="en-GB"/>
              </w:rPr>
            </w:pPr>
            <w:r w:rsidRPr="00343358">
              <w:rPr>
                <w:rFonts w:cs="Arial"/>
                <w:color w:val="000000"/>
                <w:szCs w:val="18"/>
                <w:lang w:val="it-IT" w:eastAsia="it-IT"/>
              </w:rPr>
              <w:t>0.15</w:t>
            </w:r>
          </w:p>
        </w:tc>
      </w:tr>
      <w:tr w:rsidR="001638C2" w:rsidRPr="00343358" w14:paraId="591186C7" w14:textId="77777777" w:rsidTr="0013011C">
        <w:tblPrEx>
          <w:jc w:val="left"/>
          <w:tblBorders>
            <w:top w:val="none" w:sz="0" w:space="0" w:color="auto"/>
            <w:bottom w:val="none" w:sz="0" w:space="0" w:color="auto"/>
          </w:tblBorders>
          <w:shd w:val="clear" w:color="auto" w:fill="auto"/>
          <w:tblCellMar>
            <w:left w:w="70" w:type="dxa"/>
            <w:right w:w="70" w:type="dxa"/>
          </w:tblCellMar>
          <w:tblLook w:val="04A0" w:firstRow="1" w:lastRow="0" w:firstColumn="1" w:lastColumn="0" w:noHBand="0" w:noVBand="1"/>
        </w:tblPrEx>
        <w:trPr>
          <w:trHeight w:val="288"/>
        </w:trPr>
        <w:tc>
          <w:tcPr>
            <w:tcW w:w="1337" w:type="pct"/>
            <w:tcBorders>
              <w:top w:val="nil"/>
              <w:left w:val="nil"/>
              <w:bottom w:val="nil"/>
              <w:right w:val="nil"/>
            </w:tcBorders>
            <w:shd w:val="clear" w:color="auto" w:fill="auto"/>
            <w:noWrap/>
            <w:vAlign w:val="center"/>
            <w:hideMark/>
          </w:tcPr>
          <w:p w14:paraId="6B7034F3" w14:textId="77777777" w:rsidR="00C02310" w:rsidRPr="00343358" w:rsidRDefault="00C02310" w:rsidP="001D615B">
            <w:pPr>
              <w:tabs>
                <w:tab w:val="clear" w:pos="7100"/>
              </w:tabs>
              <w:spacing w:line="240" w:lineRule="auto"/>
              <w:ind w:left="-72"/>
              <w:jc w:val="left"/>
              <w:rPr>
                <w:rFonts w:cs="Arial"/>
                <w:color w:val="000000"/>
                <w:szCs w:val="18"/>
                <w:lang w:val="it-IT" w:eastAsia="it-IT"/>
              </w:rPr>
            </w:pPr>
            <w:r w:rsidRPr="00343358">
              <w:rPr>
                <w:rFonts w:cs="Arial"/>
                <w:color w:val="000000"/>
                <w:szCs w:val="18"/>
                <w:lang w:val="it-IT" w:eastAsia="it-IT"/>
              </w:rPr>
              <w:t>LCOH_PEM [€/kgH2]</w:t>
            </w:r>
          </w:p>
        </w:tc>
        <w:tc>
          <w:tcPr>
            <w:tcW w:w="333" w:type="pct"/>
            <w:tcBorders>
              <w:top w:val="nil"/>
              <w:left w:val="nil"/>
              <w:bottom w:val="nil"/>
              <w:right w:val="nil"/>
            </w:tcBorders>
            <w:shd w:val="clear" w:color="auto" w:fill="DBE5F1" w:themeFill="accent1" w:themeFillTint="33"/>
            <w:noWrap/>
            <w:vAlign w:val="center"/>
            <w:hideMark/>
          </w:tcPr>
          <w:p w14:paraId="4AAC4723"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3.86</w:t>
            </w:r>
          </w:p>
        </w:tc>
        <w:tc>
          <w:tcPr>
            <w:tcW w:w="333" w:type="pct"/>
            <w:tcBorders>
              <w:top w:val="nil"/>
              <w:left w:val="nil"/>
              <w:bottom w:val="nil"/>
              <w:right w:val="nil"/>
            </w:tcBorders>
            <w:shd w:val="clear" w:color="auto" w:fill="C6D9F1" w:themeFill="text2" w:themeFillTint="33"/>
            <w:noWrap/>
            <w:vAlign w:val="center"/>
            <w:hideMark/>
          </w:tcPr>
          <w:p w14:paraId="4E31E31B"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4.35</w:t>
            </w:r>
          </w:p>
        </w:tc>
        <w:tc>
          <w:tcPr>
            <w:tcW w:w="333" w:type="pct"/>
            <w:tcBorders>
              <w:top w:val="nil"/>
              <w:left w:val="nil"/>
              <w:bottom w:val="nil"/>
              <w:right w:val="nil"/>
            </w:tcBorders>
            <w:shd w:val="clear" w:color="auto" w:fill="C6D9F1" w:themeFill="text2" w:themeFillTint="33"/>
            <w:noWrap/>
            <w:vAlign w:val="center"/>
            <w:hideMark/>
          </w:tcPr>
          <w:p w14:paraId="6AE25108"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4.84</w:t>
            </w:r>
          </w:p>
        </w:tc>
        <w:tc>
          <w:tcPr>
            <w:tcW w:w="333" w:type="pct"/>
            <w:tcBorders>
              <w:top w:val="nil"/>
              <w:left w:val="nil"/>
              <w:bottom w:val="nil"/>
              <w:right w:val="nil"/>
            </w:tcBorders>
            <w:shd w:val="clear" w:color="auto" w:fill="8DB3E2" w:themeFill="text2" w:themeFillTint="66"/>
            <w:noWrap/>
            <w:vAlign w:val="center"/>
            <w:hideMark/>
          </w:tcPr>
          <w:p w14:paraId="074B9207"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5.34</w:t>
            </w:r>
          </w:p>
        </w:tc>
        <w:tc>
          <w:tcPr>
            <w:tcW w:w="333" w:type="pct"/>
            <w:tcBorders>
              <w:top w:val="nil"/>
              <w:left w:val="nil"/>
              <w:bottom w:val="nil"/>
              <w:right w:val="nil"/>
            </w:tcBorders>
            <w:shd w:val="clear" w:color="auto" w:fill="8DB3E2" w:themeFill="text2" w:themeFillTint="66"/>
            <w:noWrap/>
            <w:vAlign w:val="center"/>
            <w:hideMark/>
          </w:tcPr>
          <w:p w14:paraId="792DBC3B"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5.83</w:t>
            </w:r>
          </w:p>
        </w:tc>
        <w:tc>
          <w:tcPr>
            <w:tcW w:w="333" w:type="pct"/>
            <w:tcBorders>
              <w:top w:val="nil"/>
              <w:left w:val="nil"/>
              <w:bottom w:val="nil"/>
              <w:right w:val="nil"/>
            </w:tcBorders>
            <w:shd w:val="clear" w:color="auto" w:fill="548DD4" w:themeFill="text2" w:themeFillTint="99"/>
            <w:noWrap/>
            <w:vAlign w:val="center"/>
            <w:hideMark/>
          </w:tcPr>
          <w:p w14:paraId="6A9B0B48"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6.33</w:t>
            </w:r>
          </w:p>
        </w:tc>
        <w:tc>
          <w:tcPr>
            <w:tcW w:w="333" w:type="pct"/>
            <w:tcBorders>
              <w:top w:val="nil"/>
              <w:left w:val="nil"/>
              <w:bottom w:val="nil"/>
              <w:right w:val="nil"/>
            </w:tcBorders>
            <w:shd w:val="clear" w:color="auto" w:fill="D99594" w:themeFill="accent2" w:themeFillTint="99"/>
            <w:noWrap/>
            <w:vAlign w:val="center"/>
            <w:hideMark/>
          </w:tcPr>
          <w:p w14:paraId="590CC011"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6.82</w:t>
            </w:r>
          </w:p>
        </w:tc>
        <w:tc>
          <w:tcPr>
            <w:tcW w:w="333" w:type="pct"/>
            <w:tcBorders>
              <w:top w:val="nil"/>
              <w:left w:val="nil"/>
              <w:bottom w:val="nil"/>
              <w:right w:val="nil"/>
            </w:tcBorders>
            <w:shd w:val="clear" w:color="auto" w:fill="D99594" w:themeFill="accent2" w:themeFillTint="99"/>
            <w:noWrap/>
            <w:vAlign w:val="center"/>
            <w:hideMark/>
          </w:tcPr>
          <w:p w14:paraId="59313021"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7.31</w:t>
            </w:r>
          </w:p>
        </w:tc>
        <w:tc>
          <w:tcPr>
            <w:tcW w:w="333" w:type="pct"/>
            <w:tcBorders>
              <w:top w:val="nil"/>
              <w:left w:val="nil"/>
              <w:bottom w:val="nil"/>
              <w:right w:val="nil"/>
            </w:tcBorders>
            <w:shd w:val="clear" w:color="auto" w:fill="943634" w:themeFill="accent2" w:themeFillShade="BF"/>
            <w:noWrap/>
            <w:vAlign w:val="center"/>
            <w:hideMark/>
          </w:tcPr>
          <w:p w14:paraId="4F1047AA"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7.81</w:t>
            </w:r>
          </w:p>
        </w:tc>
        <w:tc>
          <w:tcPr>
            <w:tcW w:w="333" w:type="pct"/>
            <w:tcBorders>
              <w:top w:val="nil"/>
              <w:left w:val="nil"/>
              <w:bottom w:val="nil"/>
              <w:right w:val="nil"/>
            </w:tcBorders>
            <w:shd w:val="clear" w:color="auto" w:fill="943634" w:themeFill="accent2" w:themeFillShade="BF"/>
            <w:noWrap/>
            <w:vAlign w:val="center"/>
            <w:hideMark/>
          </w:tcPr>
          <w:p w14:paraId="3E9A3141"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8.30</w:t>
            </w:r>
          </w:p>
        </w:tc>
        <w:tc>
          <w:tcPr>
            <w:tcW w:w="333" w:type="pct"/>
            <w:tcBorders>
              <w:top w:val="nil"/>
              <w:left w:val="nil"/>
              <w:bottom w:val="nil"/>
              <w:right w:val="nil"/>
            </w:tcBorders>
            <w:shd w:val="clear" w:color="auto" w:fill="C00000"/>
            <w:noWrap/>
            <w:vAlign w:val="center"/>
            <w:hideMark/>
          </w:tcPr>
          <w:p w14:paraId="3C60650D" w14:textId="77777777" w:rsidR="00C02310" w:rsidRPr="00343358" w:rsidRDefault="00C02310" w:rsidP="001D615B">
            <w:pPr>
              <w:tabs>
                <w:tab w:val="clear" w:pos="7100"/>
              </w:tabs>
              <w:spacing w:line="240" w:lineRule="auto"/>
              <w:jc w:val="center"/>
              <w:rPr>
                <w:rFonts w:cs="Arial"/>
                <w:color w:val="000000"/>
                <w:szCs w:val="18"/>
                <w:lang w:val="it-IT" w:eastAsia="it-IT"/>
              </w:rPr>
            </w:pPr>
            <w:r w:rsidRPr="00343358">
              <w:rPr>
                <w:rFonts w:cs="Arial"/>
                <w:color w:val="000000"/>
                <w:szCs w:val="18"/>
                <w:lang w:val="it-IT" w:eastAsia="it-IT"/>
              </w:rPr>
              <w:t>8.80</w:t>
            </w:r>
          </w:p>
        </w:tc>
      </w:tr>
      <w:tr w:rsidR="001638C2" w:rsidRPr="00B57B36" w14:paraId="769BE790" w14:textId="73262DAB" w:rsidTr="0013011C">
        <w:trPr>
          <w:jc w:val="center"/>
        </w:trPr>
        <w:tc>
          <w:tcPr>
            <w:tcW w:w="1337" w:type="pct"/>
            <w:shd w:val="clear" w:color="auto" w:fill="FFFFFF"/>
            <w:vAlign w:val="center"/>
          </w:tcPr>
          <w:p w14:paraId="23159467" w14:textId="52F9A4B3" w:rsidR="00C02310" w:rsidRPr="00E90A1B" w:rsidRDefault="00C02310" w:rsidP="001D615B">
            <w:pPr>
              <w:pStyle w:val="CETBodytext"/>
              <w:jc w:val="left"/>
              <w:rPr>
                <w:lang w:val="en-GB"/>
              </w:rPr>
            </w:pPr>
            <w:r w:rsidRPr="00343358">
              <w:rPr>
                <w:rFonts w:cs="Arial"/>
                <w:color w:val="000000"/>
                <w:szCs w:val="18"/>
                <w:lang w:val="it-IT" w:eastAsia="it-IT"/>
              </w:rPr>
              <w:t>LCOH_AEM [€/kgH2]</w:t>
            </w:r>
          </w:p>
        </w:tc>
        <w:tc>
          <w:tcPr>
            <w:tcW w:w="333" w:type="pct"/>
            <w:shd w:val="clear" w:color="auto" w:fill="DBE5F1" w:themeFill="accent1" w:themeFillTint="33"/>
            <w:vAlign w:val="center"/>
          </w:tcPr>
          <w:p w14:paraId="0DEB07DE" w14:textId="4E305373" w:rsidR="00C02310" w:rsidRPr="00E90A1B" w:rsidRDefault="00C02310" w:rsidP="001D615B">
            <w:pPr>
              <w:pStyle w:val="CETBodytext"/>
              <w:jc w:val="center"/>
              <w:rPr>
                <w:lang w:val="en-GB"/>
              </w:rPr>
            </w:pPr>
            <w:r w:rsidRPr="00343358">
              <w:rPr>
                <w:rFonts w:cs="Arial"/>
                <w:color w:val="000000"/>
                <w:szCs w:val="18"/>
                <w:lang w:val="it-IT" w:eastAsia="it-IT"/>
              </w:rPr>
              <w:t>4.20</w:t>
            </w:r>
          </w:p>
        </w:tc>
        <w:tc>
          <w:tcPr>
            <w:tcW w:w="333" w:type="pct"/>
            <w:shd w:val="clear" w:color="auto" w:fill="C6D9F1" w:themeFill="text2" w:themeFillTint="33"/>
            <w:vAlign w:val="center"/>
          </w:tcPr>
          <w:p w14:paraId="0C9977F7" w14:textId="2EFE3640" w:rsidR="00C02310" w:rsidRPr="00E90A1B" w:rsidRDefault="00C02310" w:rsidP="001D615B">
            <w:pPr>
              <w:pStyle w:val="CETBodytext"/>
              <w:jc w:val="center"/>
              <w:rPr>
                <w:lang w:val="en-GB"/>
              </w:rPr>
            </w:pPr>
            <w:r w:rsidRPr="00343358">
              <w:rPr>
                <w:rFonts w:cs="Arial"/>
                <w:color w:val="000000"/>
                <w:szCs w:val="18"/>
                <w:lang w:val="it-IT" w:eastAsia="it-IT"/>
              </w:rPr>
              <w:t>4.70</w:t>
            </w:r>
          </w:p>
        </w:tc>
        <w:tc>
          <w:tcPr>
            <w:tcW w:w="333" w:type="pct"/>
            <w:shd w:val="clear" w:color="auto" w:fill="C6D9F1" w:themeFill="text2" w:themeFillTint="33"/>
            <w:vAlign w:val="center"/>
          </w:tcPr>
          <w:p w14:paraId="3C3C38A3" w14:textId="6973F610" w:rsidR="00C02310" w:rsidRPr="00EA4CB5" w:rsidRDefault="00C02310" w:rsidP="001D615B">
            <w:pPr>
              <w:pStyle w:val="CETBodytext"/>
              <w:jc w:val="center"/>
              <w:rPr>
                <w:lang w:val="en-GB"/>
              </w:rPr>
            </w:pPr>
            <w:r w:rsidRPr="00343358">
              <w:rPr>
                <w:rFonts w:cs="Arial"/>
                <w:color w:val="000000"/>
                <w:szCs w:val="18"/>
                <w:lang w:val="it-IT" w:eastAsia="it-IT"/>
              </w:rPr>
              <w:t>5.19</w:t>
            </w:r>
          </w:p>
        </w:tc>
        <w:tc>
          <w:tcPr>
            <w:tcW w:w="333" w:type="pct"/>
            <w:shd w:val="clear" w:color="auto" w:fill="8DB3E2" w:themeFill="text2" w:themeFillTint="66"/>
            <w:vAlign w:val="center"/>
          </w:tcPr>
          <w:p w14:paraId="67F6093D" w14:textId="20B3A239" w:rsidR="00C02310" w:rsidRPr="00EA4CB5" w:rsidRDefault="00C02310" w:rsidP="001D615B">
            <w:pPr>
              <w:pStyle w:val="CETBodytext"/>
              <w:jc w:val="center"/>
              <w:rPr>
                <w:lang w:val="en-GB"/>
              </w:rPr>
            </w:pPr>
            <w:r w:rsidRPr="00343358">
              <w:rPr>
                <w:rFonts w:cs="Arial"/>
                <w:color w:val="000000"/>
                <w:szCs w:val="18"/>
                <w:lang w:val="it-IT" w:eastAsia="it-IT"/>
              </w:rPr>
              <w:t>5.68</w:t>
            </w:r>
          </w:p>
        </w:tc>
        <w:tc>
          <w:tcPr>
            <w:tcW w:w="333" w:type="pct"/>
            <w:shd w:val="clear" w:color="auto" w:fill="8DB3E2" w:themeFill="text2" w:themeFillTint="66"/>
            <w:vAlign w:val="center"/>
          </w:tcPr>
          <w:p w14:paraId="77157E26" w14:textId="26633974" w:rsidR="00C02310" w:rsidRPr="00EA4CB5" w:rsidRDefault="00C02310" w:rsidP="001D615B">
            <w:pPr>
              <w:pStyle w:val="CETBodytext"/>
              <w:jc w:val="center"/>
              <w:rPr>
                <w:lang w:val="en-GB"/>
              </w:rPr>
            </w:pPr>
            <w:r w:rsidRPr="00343358">
              <w:rPr>
                <w:rFonts w:cs="Arial"/>
                <w:color w:val="000000"/>
                <w:szCs w:val="18"/>
                <w:lang w:val="it-IT" w:eastAsia="it-IT"/>
              </w:rPr>
              <w:t>6.18</w:t>
            </w:r>
          </w:p>
        </w:tc>
        <w:tc>
          <w:tcPr>
            <w:tcW w:w="333" w:type="pct"/>
            <w:shd w:val="clear" w:color="auto" w:fill="548DD4" w:themeFill="text2" w:themeFillTint="99"/>
            <w:vAlign w:val="center"/>
          </w:tcPr>
          <w:p w14:paraId="18B722E4" w14:textId="479FDB53" w:rsidR="00C02310" w:rsidRPr="00EA4CB5" w:rsidRDefault="00C02310" w:rsidP="001D615B">
            <w:pPr>
              <w:pStyle w:val="CETBodytext"/>
              <w:jc w:val="center"/>
              <w:rPr>
                <w:lang w:val="en-GB"/>
              </w:rPr>
            </w:pPr>
            <w:r w:rsidRPr="00343358">
              <w:rPr>
                <w:rFonts w:cs="Arial"/>
                <w:color w:val="000000"/>
                <w:szCs w:val="18"/>
                <w:lang w:val="it-IT" w:eastAsia="it-IT"/>
              </w:rPr>
              <w:t>6.67</w:t>
            </w:r>
          </w:p>
        </w:tc>
        <w:tc>
          <w:tcPr>
            <w:tcW w:w="333" w:type="pct"/>
            <w:shd w:val="clear" w:color="auto" w:fill="D99594" w:themeFill="accent2" w:themeFillTint="99"/>
            <w:vAlign w:val="center"/>
          </w:tcPr>
          <w:p w14:paraId="025ACADF" w14:textId="5AADE43B" w:rsidR="00C02310" w:rsidRPr="00EA4CB5" w:rsidRDefault="00C02310" w:rsidP="001D615B">
            <w:pPr>
              <w:pStyle w:val="CETBodytext"/>
              <w:jc w:val="center"/>
              <w:rPr>
                <w:lang w:val="en-GB"/>
              </w:rPr>
            </w:pPr>
            <w:r w:rsidRPr="00343358">
              <w:rPr>
                <w:rFonts w:cs="Arial"/>
                <w:color w:val="000000"/>
                <w:szCs w:val="18"/>
                <w:lang w:val="it-IT" w:eastAsia="it-IT"/>
              </w:rPr>
              <w:t>7.17</w:t>
            </w:r>
          </w:p>
        </w:tc>
        <w:tc>
          <w:tcPr>
            <w:tcW w:w="333" w:type="pct"/>
            <w:shd w:val="clear" w:color="auto" w:fill="D99594" w:themeFill="accent2" w:themeFillTint="99"/>
            <w:vAlign w:val="center"/>
          </w:tcPr>
          <w:p w14:paraId="44C0FB5C" w14:textId="5C19868C" w:rsidR="00C02310" w:rsidRPr="00EA4CB5" w:rsidRDefault="00C02310" w:rsidP="001D615B">
            <w:pPr>
              <w:pStyle w:val="CETBodytext"/>
              <w:jc w:val="center"/>
              <w:rPr>
                <w:lang w:val="en-GB"/>
              </w:rPr>
            </w:pPr>
            <w:r w:rsidRPr="00343358">
              <w:rPr>
                <w:rFonts w:cs="Arial"/>
                <w:color w:val="000000"/>
                <w:szCs w:val="18"/>
                <w:lang w:val="it-IT" w:eastAsia="it-IT"/>
              </w:rPr>
              <w:t>7.66</w:t>
            </w:r>
          </w:p>
        </w:tc>
        <w:tc>
          <w:tcPr>
            <w:tcW w:w="333" w:type="pct"/>
            <w:shd w:val="clear" w:color="auto" w:fill="943634" w:themeFill="accent2" w:themeFillShade="BF"/>
            <w:vAlign w:val="center"/>
          </w:tcPr>
          <w:p w14:paraId="2AC6972A" w14:textId="5A4B7DE7" w:rsidR="00C02310" w:rsidRPr="00EA4CB5" w:rsidRDefault="00C02310" w:rsidP="001D615B">
            <w:pPr>
              <w:pStyle w:val="CETBodytext"/>
              <w:jc w:val="center"/>
              <w:rPr>
                <w:lang w:val="en-GB"/>
              </w:rPr>
            </w:pPr>
            <w:r w:rsidRPr="00343358">
              <w:rPr>
                <w:rFonts w:cs="Arial"/>
                <w:color w:val="000000"/>
                <w:szCs w:val="18"/>
                <w:lang w:val="it-IT" w:eastAsia="it-IT"/>
              </w:rPr>
              <w:t>8.16</w:t>
            </w:r>
          </w:p>
        </w:tc>
        <w:tc>
          <w:tcPr>
            <w:tcW w:w="333" w:type="pct"/>
            <w:shd w:val="clear" w:color="auto" w:fill="943634" w:themeFill="accent2" w:themeFillShade="BF"/>
            <w:vAlign w:val="center"/>
          </w:tcPr>
          <w:p w14:paraId="10E1127D" w14:textId="1D29E6FA" w:rsidR="00C02310" w:rsidRPr="00EA4CB5" w:rsidRDefault="00C02310" w:rsidP="001D615B">
            <w:pPr>
              <w:pStyle w:val="CETBodytext"/>
              <w:jc w:val="center"/>
              <w:rPr>
                <w:lang w:val="en-GB"/>
              </w:rPr>
            </w:pPr>
            <w:r w:rsidRPr="00343358">
              <w:rPr>
                <w:rFonts w:cs="Arial"/>
                <w:color w:val="000000"/>
                <w:szCs w:val="18"/>
                <w:lang w:val="it-IT" w:eastAsia="it-IT"/>
              </w:rPr>
              <w:t>8.65</w:t>
            </w:r>
          </w:p>
        </w:tc>
        <w:tc>
          <w:tcPr>
            <w:tcW w:w="333" w:type="pct"/>
            <w:shd w:val="clear" w:color="auto" w:fill="C00000"/>
            <w:vAlign w:val="center"/>
          </w:tcPr>
          <w:p w14:paraId="1AB2FA9A" w14:textId="6B8ED969" w:rsidR="00C02310" w:rsidRPr="00EA4CB5" w:rsidRDefault="00C02310" w:rsidP="00D61244">
            <w:pPr>
              <w:pStyle w:val="CETBodytext"/>
              <w:keepNext/>
              <w:jc w:val="center"/>
              <w:rPr>
                <w:lang w:val="en-GB"/>
              </w:rPr>
            </w:pPr>
            <w:r w:rsidRPr="00343358">
              <w:rPr>
                <w:rFonts w:cs="Arial"/>
                <w:color w:val="000000"/>
                <w:szCs w:val="18"/>
                <w:lang w:val="it-IT" w:eastAsia="it-IT"/>
              </w:rPr>
              <w:t>9.14</w:t>
            </w:r>
          </w:p>
        </w:tc>
      </w:tr>
    </w:tbl>
    <w:p w14:paraId="5CF18753" w14:textId="6FFB7F8A" w:rsidR="00343358" w:rsidRPr="00D61244" w:rsidRDefault="00D61244" w:rsidP="00A8476F">
      <w:pPr>
        <w:pStyle w:val="Didascalia"/>
        <w:jc w:val="center"/>
        <w:rPr>
          <w:b w:val="0"/>
          <w:bCs w:val="0"/>
          <w:i/>
          <w:color w:val="auto"/>
          <w:szCs w:val="20"/>
        </w:rPr>
      </w:pPr>
      <w:r w:rsidRPr="00D61244">
        <w:rPr>
          <w:b w:val="0"/>
          <w:bCs w:val="0"/>
          <w:i/>
          <w:color w:val="auto"/>
          <w:szCs w:val="20"/>
        </w:rPr>
        <w:t>Table</w:t>
      </w:r>
      <w:r>
        <w:rPr>
          <w:b w:val="0"/>
          <w:bCs w:val="0"/>
          <w:i/>
          <w:color w:val="auto"/>
          <w:szCs w:val="20"/>
        </w:rPr>
        <w:t xml:space="preserve"> 4</w:t>
      </w:r>
      <w:r w:rsidRPr="00D61244">
        <w:rPr>
          <w:b w:val="0"/>
          <w:bCs w:val="0"/>
          <w:i/>
          <w:color w:val="auto"/>
          <w:szCs w:val="20"/>
        </w:rPr>
        <w:t>. Trend in LCOH according to electric energy price</w:t>
      </w:r>
    </w:p>
    <w:p w14:paraId="440A538C" w14:textId="750E9254" w:rsidR="00D706D0" w:rsidRDefault="0076762C" w:rsidP="0076762C">
      <w:pPr>
        <w:pStyle w:val="CETHeading1"/>
      </w:pPr>
      <w:r>
        <w:t xml:space="preserve">Conclusions </w:t>
      </w:r>
    </w:p>
    <w:p w14:paraId="5D80CE60" w14:textId="5ABE87A4" w:rsidR="00BE7EFF" w:rsidRPr="00BE7EFF" w:rsidRDefault="00BE7EFF" w:rsidP="00BE7EFF">
      <w:pPr>
        <w:pStyle w:val="CETBodytext"/>
        <w:rPr>
          <w:lang w:val="en-GB"/>
        </w:rPr>
      </w:pPr>
      <w:r w:rsidRPr="00BE7EFF">
        <w:rPr>
          <w:lang w:val="en-GB"/>
        </w:rPr>
        <w:t xml:space="preserve">This study quantifies the LCOH and GWP impact of integrating ultra-pure seawater purification with AEM/PEM hydrogen production, </w:t>
      </w:r>
      <w:r w:rsidR="007A49CF">
        <w:rPr>
          <w:lang w:val="en-GB"/>
        </w:rPr>
        <w:t>reducing the reliance on freshwater sources</w:t>
      </w:r>
      <w:r w:rsidRPr="00BE7EFF">
        <w:rPr>
          <w:lang w:val="en-GB"/>
        </w:rPr>
        <w:t xml:space="preserve">. </w:t>
      </w:r>
      <w:r w:rsidR="007A49CF">
        <w:rPr>
          <w:lang w:val="en-GB"/>
        </w:rPr>
        <w:t>The</w:t>
      </w:r>
      <w:r w:rsidRPr="00BE7EFF">
        <w:rPr>
          <w:lang w:val="en-GB"/>
        </w:rPr>
        <w:t xml:space="preserve"> analysis confirms this coupling has a </w:t>
      </w:r>
      <w:r w:rsidRPr="00BE7EFF">
        <w:rPr>
          <w:lang w:val="en-GB"/>
        </w:rPr>
        <w:lastRenderedPageBreak/>
        <w:t xml:space="preserve">negligible effect on sustainability metrics: the treatment unit accounts for merely 0.06–0.20% of overall GWP and 0.20–0.65 % of LCOH, a marginal contribution maintained even when supplying </w:t>
      </w:r>
      <w:r w:rsidR="00E27E35">
        <w:rPr>
          <w:lang w:val="en-GB"/>
        </w:rPr>
        <w:t xml:space="preserve">the </w:t>
      </w:r>
      <w:r w:rsidRPr="00BE7EFF">
        <w:rPr>
          <w:lang w:val="en-GB"/>
        </w:rPr>
        <w:t>cooling</w:t>
      </w:r>
      <w:r w:rsidR="00E27E35">
        <w:rPr>
          <w:lang w:val="en-GB"/>
        </w:rPr>
        <w:t xml:space="preserve"> water</w:t>
      </w:r>
      <w:r w:rsidRPr="00BE7EFF">
        <w:rPr>
          <w:lang w:val="en-GB"/>
        </w:rPr>
        <w:t>. While AEM further mitigates GWP, its LCOH is modestly higher due to increased stack replacement frequency, with associated investment costs included in CAPEX. Future research should assess on-site renewable power to reduce electricity costs and enhance competitiveness.</w:t>
      </w:r>
    </w:p>
    <w:p w14:paraId="24DEFD7B" w14:textId="317A24A0" w:rsidR="00897DFD" w:rsidRDefault="00BE7EFF" w:rsidP="00BE7EFF">
      <w:pPr>
        <w:pStyle w:val="CETBodytext"/>
        <w:rPr>
          <w:lang w:val="en-GB"/>
        </w:rPr>
      </w:pPr>
      <w:r w:rsidRPr="00BE7EFF">
        <w:rPr>
          <w:lang w:val="en-GB"/>
        </w:rPr>
        <w:t xml:space="preserve">Market competitiveness of hydrogen from purified seawater, despite treatment, largely hinges on renewable electricity costs and policy. Key scale-up barriers include high electrolyzer CAPEX and ensuring robust, long-term desalination-electrolysis operation. Future improvements should focus on optimizing energy recovery, </w:t>
      </w:r>
      <w:proofErr w:type="spellStart"/>
      <w:r w:rsidRPr="00BE7EFF">
        <w:rPr>
          <w:lang w:val="en-GB"/>
        </w:rPr>
        <w:t>valorizing</w:t>
      </w:r>
      <w:proofErr w:type="spellEnd"/>
      <w:r w:rsidRPr="00BE7EFF">
        <w:rPr>
          <w:lang w:val="en-GB"/>
        </w:rPr>
        <w:t xml:space="preserve"> brine, and developing compact, modular designs for seamless water-power integration.</w:t>
      </w:r>
    </w:p>
    <w:p w14:paraId="459D05E6" w14:textId="77777777" w:rsidR="00600535" w:rsidRPr="00B57B36" w:rsidRDefault="00600535" w:rsidP="00600535">
      <w:pPr>
        <w:pStyle w:val="CETAcknowledgementstitle"/>
      </w:pPr>
      <w:r w:rsidRPr="00B57B36">
        <w:t>Acknowledgments</w:t>
      </w:r>
    </w:p>
    <w:p w14:paraId="365829A3" w14:textId="77777777" w:rsidR="003A01D3" w:rsidRPr="003A01D3" w:rsidRDefault="003A01D3" w:rsidP="003A01D3">
      <w:pPr>
        <w:pStyle w:val="CETBodytext"/>
      </w:pPr>
      <w:r w:rsidRPr="003A01D3">
        <w:t xml:space="preserve">This work was funded by the Ministry of University and Research (Italy) (MUR), PRIN 2022, within the project “Sustainable low cost seawater </w:t>
      </w:r>
      <w:proofErr w:type="spellStart"/>
      <w:r w:rsidRPr="003A01D3">
        <w:t>Electrolyser</w:t>
      </w:r>
      <w:proofErr w:type="spellEnd"/>
      <w:r w:rsidRPr="003A01D3">
        <w:t xml:space="preserve"> for Advanced “green” H2 production (SEA-H2)”, Nr. 2022CX89Y9</w:t>
      </w:r>
    </w:p>
    <w:p w14:paraId="109395F4" w14:textId="5FBE377C" w:rsidR="00600535" w:rsidRDefault="00F06006" w:rsidP="00FC3E7B">
      <w:pPr>
        <w:pStyle w:val="CETReference"/>
      </w:pPr>
      <w:r>
        <w:t>References</w:t>
      </w:r>
    </w:p>
    <w:p w14:paraId="43831F68" w14:textId="0A8C4F41" w:rsidR="00F06006" w:rsidRPr="00AB10C4" w:rsidRDefault="00AF13B5" w:rsidP="00DA5C2F">
      <w:pPr>
        <w:pStyle w:val="CETReferencetext"/>
      </w:pPr>
      <w:r w:rsidRPr="00AB10C4">
        <w:t xml:space="preserve">Bamba J. N., </w:t>
      </w:r>
      <w:r w:rsidR="00627501" w:rsidRPr="00AB10C4">
        <w:t>Dumlao A. T., Lazaro R. M., Matienzo D. D., Ocon J., 2024</w:t>
      </w:r>
      <w:r w:rsidR="00AB10C4" w:rsidRPr="00AB10C4">
        <w:t>, Green hydrogen from seawat</w:t>
      </w:r>
      <w:r w:rsidR="00AB10C4">
        <w:t xml:space="preserve">er electrolysis: recent development and future perspective, </w:t>
      </w:r>
      <w:r w:rsidR="00805776">
        <w:t>Current Opinion in Electrochemistry, 48, 101592</w:t>
      </w:r>
      <w:r w:rsidR="00F5037A">
        <w:t>.</w:t>
      </w:r>
      <w:r w:rsidR="00805776">
        <w:t xml:space="preserve"> </w:t>
      </w:r>
    </w:p>
    <w:p w14:paraId="01C1E5A3" w14:textId="77777777" w:rsidR="005D5191" w:rsidRDefault="00664B19" w:rsidP="00DA5C2F">
      <w:pPr>
        <w:pStyle w:val="CETReferencetext"/>
      </w:pPr>
      <w:r w:rsidRPr="00664B19">
        <w:t>Becker</w:t>
      </w:r>
      <w:r w:rsidR="00570E9D">
        <w:t xml:space="preserve"> H.</w:t>
      </w:r>
      <w:r w:rsidRPr="00664B19">
        <w:t>, Murawski</w:t>
      </w:r>
      <w:r w:rsidR="00570E9D">
        <w:t xml:space="preserve"> J.</w:t>
      </w:r>
      <w:r w:rsidRPr="00664B19">
        <w:t xml:space="preserve">, Shinde </w:t>
      </w:r>
      <w:r w:rsidR="00570E9D">
        <w:t>D. V.</w:t>
      </w:r>
      <w:r w:rsidRPr="00664B19">
        <w:t xml:space="preserve">, </w:t>
      </w:r>
      <w:r w:rsidR="008D14B8">
        <w:t>S</w:t>
      </w:r>
      <w:r w:rsidRPr="00664B19">
        <w:t xml:space="preserve">tephens </w:t>
      </w:r>
      <w:r w:rsidR="008D14B8">
        <w:t>I. E. L.</w:t>
      </w:r>
      <w:r w:rsidRPr="00664B19">
        <w:t>,</w:t>
      </w:r>
      <w:r w:rsidR="008D14B8">
        <w:t xml:space="preserve"> </w:t>
      </w:r>
      <w:r w:rsidRPr="00664B19">
        <w:t xml:space="preserve">Hinds </w:t>
      </w:r>
      <w:r w:rsidR="008D14B8">
        <w:t>G.</w:t>
      </w:r>
      <w:r w:rsidRPr="00664B19">
        <w:t xml:space="preserve"> and Smith</w:t>
      </w:r>
      <w:r w:rsidR="008D14B8">
        <w:t xml:space="preserve"> G.</w:t>
      </w:r>
      <w:r w:rsidR="00B61133">
        <w:t xml:space="preserve">, 2023, </w:t>
      </w:r>
      <w:r w:rsidR="00B61133" w:rsidRPr="00B61133">
        <w:t>Impact of impurities on water electrolysis: a review</w:t>
      </w:r>
      <w:r w:rsidR="00804646">
        <w:t>, Sustainable Energy Fields,</w:t>
      </w:r>
      <w:r w:rsidR="00154704" w:rsidRPr="00154704">
        <w:rPr>
          <w:b/>
          <w:bCs/>
        </w:rPr>
        <w:t xml:space="preserve"> </w:t>
      </w:r>
      <w:r w:rsidR="00154704" w:rsidRPr="00154704">
        <w:t>7, 1565-1603</w:t>
      </w:r>
      <w:r w:rsidR="00154704">
        <w:t>.</w:t>
      </w:r>
    </w:p>
    <w:p w14:paraId="7973B336" w14:textId="0DE486D0" w:rsidR="008C0C83" w:rsidRPr="00196D33" w:rsidRDefault="008C0C83" w:rsidP="00196D33">
      <w:pPr>
        <w:pStyle w:val="CETReferencetext"/>
      </w:pPr>
      <w:proofErr w:type="spellStart"/>
      <w:r>
        <w:t>BloombergNEF</w:t>
      </w:r>
      <w:proofErr w:type="spellEnd"/>
      <w:r w:rsidR="00C27CAA">
        <w:t>, 2023</w:t>
      </w:r>
      <w:r>
        <w:t xml:space="preserve">. </w:t>
      </w:r>
      <w:r w:rsidRPr="008C0C83">
        <w:t>Green Hydrogen to Undercut Gray Sibling by End of Decade</w:t>
      </w:r>
      <w:r w:rsidR="00196D33">
        <w:t xml:space="preserve">. </w:t>
      </w:r>
      <w:r>
        <w:t xml:space="preserve"> </w:t>
      </w:r>
      <w:r w:rsidR="00F5438F">
        <w:t>&lt;</w:t>
      </w:r>
      <w:r w:rsidR="00196D33" w:rsidRPr="00196D33">
        <w:t>about.bnef.com/blog/green-hydrogen-to-undercut-gray-sibling-by-end-of-decade/</w:t>
      </w:r>
      <w:r w:rsidR="00F5438F">
        <w:t>&gt;</w:t>
      </w:r>
      <w:r w:rsidR="00196D33" w:rsidRPr="00196D33">
        <w:t>.</w:t>
      </w:r>
      <w:r w:rsidR="00196D33">
        <w:t xml:space="preserve"> </w:t>
      </w:r>
      <w:r w:rsidR="00497D07">
        <w:t>Accessed</w:t>
      </w:r>
      <w:r w:rsidR="00196D33">
        <w:t xml:space="preserve"> on </w:t>
      </w:r>
      <w:r w:rsidR="00C27CAA">
        <w:t>May 29, 2025</w:t>
      </w:r>
    </w:p>
    <w:p w14:paraId="02D066B1" w14:textId="3A612A4A" w:rsidR="00A67875" w:rsidRPr="00D36AE8" w:rsidRDefault="00A67875" w:rsidP="00D36AE8">
      <w:pPr>
        <w:pStyle w:val="CETReferencetext"/>
      </w:pPr>
      <w:r w:rsidRPr="00D36AE8">
        <w:t xml:space="preserve">Dokhani S., Assadi M., Pollet B. G., 2023, </w:t>
      </w:r>
      <w:r w:rsidR="00D36AE8">
        <w:t>T</w:t>
      </w:r>
      <w:r w:rsidR="00D36AE8" w:rsidRPr="00D36AE8">
        <w:t>echno-economic assessment of hydrogen</w:t>
      </w:r>
      <w:r w:rsidR="00D36AE8">
        <w:t xml:space="preserve"> </w:t>
      </w:r>
      <w:r w:rsidR="00D36AE8" w:rsidRPr="00D36AE8">
        <w:t>production from seawater</w:t>
      </w:r>
      <w:r w:rsidR="00D36AE8">
        <w:t>, International Journal of Hydrogen Energy</w:t>
      </w:r>
      <w:r w:rsidR="00DC45E0">
        <w:t xml:space="preserve">, 48, 9592-9608. </w:t>
      </w:r>
    </w:p>
    <w:p w14:paraId="4BC07DB4" w14:textId="0D0CB15F" w:rsidR="00F96A80" w:rsidRDefault="00F96A80" w:rsidP="00F96A80">
      <w:pPr>
        <w:pStyle w:val="CETReferencetext"/>
      </w:pPr>
      <w:r>
        <w:t xml:space="preserve">Goga, T., Friedrich, E., Buckley, C.A., 2019, Environmental life cycle assessment for potable water production–a case study of seawater desalination and mine-water reclamation in South Africa, </w:t>
      </w:r>
      <w:proofErr w:type="spellStart"/>
      <w:r>
        <w:t>WaterSA</w:t>
      </w:r>
      <w:proofErr w:type="spellEnd"/>
      <w:r>
        <w:t xml:space="preserve"> 45, 700–709.</w:t>
      </w:r>
    </w:p>
    <w:p w14:paraId="6EAB1365" w14:textId="096A49BE" w:rsidR="00AE3C98" w:rsidRPr="00FA0C2F" w:rsidRDefault="00FA0C2F" w:rsidP="00FA0C2F">
      <w:pPr>
        <w:pStyle w:val="CETReferencetext"/>
      </w:pPr>
      <w:r w:rsidRPr="00FA0C2F">
        <w:t xml:space="preserve">IRENA and </w:t>
      </w:r>
      <w:proofErr w:type="spellStart"/>
      <w:r w:rsidRPr="00FA0C2F">
        <w:t>Bluerisk</w:t>
      </w:r>
      <w:proofErr w:type="spellEnd"/>
      <w:r w:rsidRPr="00FA0C2F">
        <w:t xml:space="preserve"> (2023), Water for hydrogen production, International Renewable Energy Agency,</w:t>
      </w:r>
      <w:r>
        <w:t xml:space="preserve"> </w:t>
      </w:r>
      <w:proofErr w:type="spellStart"/>
      <w:r w:rsidRPr="00FA0C2F">
        <w:t>Bluerisk</w:t>
      </w:r>
      <w:proofErr w:type="spellEnd"/>
      <w:r w:rsidRPr="00FA0C2F">
        <w:t>, Abu Dhabi, United Arab Emirates.</w:t>
      </w:r>
    </w:p>
    <w:p w14:paraId="152CE708" w14:textId="481E148A" w:rsidR="00F5037A" w:rsidRDefault="00F5037A" w:rsidP="00DA5C2F">
      <w:pPr>
        <w:pStyle w:val="CETReferencetext"/>
      </w:pPr>
      <w:r w:rsidRPr="00F5037A">
        <w:t>Khan</w:t>
      </w:r>
      <w:r>
        <w:t xml:space="preserve"> </w:t>
      </w:r>
      <w:r w:rsidRPr="00F5037A">
        <w:t>M. A., Al-Attas</w:t>
      </w:r>
      <w:r w:rsidR="00670F2B">
        <w:t xml:space="preserve"> T.</w:t>
      </w:r>
      <w:r w:rsidRPr="00F5037A">
        <w:t>, Roy</w:t>
      </w:r>
      <w:r w:rsidR="00670F2B">
        <w:t xml:space="preserve"> S.</w:t>
      </w:r>
      <w:r w:rsidRPr="00F5037A">
        <w:t>,</w:t>
      </w:r>
      <w:r w:rsidR="00670F2B">
        <w:t xml:space="preserve"> </w:t>
      </w:r>
      <w:r w:rsidRPr="00F5037A">
        <w:t>Rahman</w:t>
      </w:r>
      <w:r w:rsidR="00670F2B">
        <w:t xml:space="preserve"> M. M.</w:t>
      </w:r>
      <w:r w:rsidRPr="00F5037A">
        <w:t xml:space="preserve">, </w:t>
      </w:r>
      <w:proofErr w:type="spellStart"/>
      <w:r w:rsidRPr="00F5037A">
        <w:t>Ghaffour</w:t>
      </w:r>
      <w:proofErr w:type="spellEnd"/>
      <w:r w:rsidR="00670F2B">
        <w:t xml:space="preserve"> </w:t>
      </w:r>
      <w:proofErr w:type="spellStart"/>
      <w:r w:rsidR="00670F2B">
        <w:t>N.</w:t>
      </w:r>
      <w:r w:rsidRPr="00F5037A">
        <w:t>,Thangadurai</w:t>
      </w:r>
      <w:proofErr w:type="spellEnd"/>
      <w:r w:rsidR="00670F2B">
        <w:t xml:space="preserve"> V.</w:t>
      </w:r>
      <w:r w:rsidRPr="00F5037A">
        <w:t>, Larter</w:t>
      </w:r>
      <w:r w:rsidR="00871474">
        <w:t xml:space="preserve"> S.</w:t>
      </w:r>
      <w:r w:rsidRPr="00F5037A">
        <w:t>, Hu</w:t>
      </w:r>
      <w:r w:rsidR="00871474">
        <w:t xml:space="preserve"> J.</w:t>
      </w:r>
      <w:r w:rsidRPr="00F5037A">
        <w:t>, Ajayan</w:t>
      </w:r>
      <w:r w:rsidR="00871474">
        <w:t xml:space="preserve"> P. M.</w:t>
      </w:r>
      <w:r w:rsidR="00AB35BE">
        <w:t>,</w:t>
      </w:r>
      <w:r w:rsidRPr="00F5037A">
        <w:t xml:space="preserve"> Kibria</w:t>
      </w:r>
      <w:r w:rsidR="00F0001C">
        <w:t xml:space="preserve"> M. G., 2021,</w:t>
      </w:r>
      <w:r w:rsidR="004C5DC0">
        <w:t xml:space="preserve"> Seawater electrolysis for hydrogen production</w:t>
      </w:r>
      <w:r w:rsidR="006024D5">
        <w:t>: a solution looking for a problem?,</w:t>
      </w:r>
      <w:r w:rsidR="00F0001C">
        <w:t xml:space="preserve"> </w:t>
      </w:r>
      <w:r w:rsidR="00747866">
        <w:t xml:space="preserve">Energy and Environmental Science, </w:t>
      </w:r>
      <w:r w:rsidR="004C5DC0">
        <w:t>14, 4831</w:t>
      </w:r>
    </w:p>
    <w:p w14:paraId="7400B7C4" w14:textId="2A7EA1D9" w:rsidR="0095667B" w:rsidRPr="00F5037A" w:rsidRDefault="0095667B" w:rsidP="00E05561">
      <w:pPr>
        <w:pStyle w:val="CETReferencetext"/>
      </w:pPr>
      <w:r>
        <w:t xml:space="preserve">Kim </w:t>
      </w:r>
      <w:r w:rsidR="00A93E1E">
        <w:t xml:space="preserve">M., Lee D., Qi M., Kim J., 2024, </w:t>
      </w:r>
      <w:r w:rsidR="00E05561">
        <w:t xml:space="preserve">Techno-economic analysis of anion exchange membrane electrolysis process for green hydrogen production under uncertainty, Energy Conversion and Management, 302, </w:t>
      </w:r>
      <w:r w:rsidR="00E80CED">
        <w:t xml:space="preserve">118134. </w:t>
      </w:r>
    </w:p>
    <w:p w14:paraId="37A09C1B" w14:textId="249CC2D1" w:rsidR="00B61133" w:rsidRDefault="0001262B" w:rsidP="00DA5C2F">
      <w:pPr>
        <w:pStyle w:val="CETReferencetext"/>
      </w:pPr>
      <w:r>
        <w:t xml:space="preserve">Kumar P., Date </w:t>
      </w:r>
      <w:r w:rsidR="006A7CA5">
        <w:t>A., Mahmood N., Kumar Das R., Shabani B.</w:t>
      </w:r>
      <w:r w:rsidR="006B6B81">
        <w:t>, 2024, Freshwater supply for hydrogen production: an underestimated challenge</w:t>
      </w:r>
      <w:r w:rsidR="00BC4DC5">
        <w:t xml:space="preserve">, International Journal of Hydrogen Energy, 78, 202-217. </w:t>
      </w:r>
      <w:r w:rsidR="00804646">
        <w:t xml:space="preserve"> </w:t>
      </w:r>
    </w:p>
    <w:p w14:paraId="69B23505" w14:textId="69886BE3" w:rsidR="00A15FBC" w:rsidRPr="00A15FBC" w:rsidRDefault="00DA6C46" w:rsidP="00013BC1">
      <w:pPr>
        <w:pStyle w:val="CETReferencetext"/>
      </w:pPr>
      <w:r>
        <w:t>Liu T.</w:t>
      </w:r>
      <w:r w:rsidR="00A15FBC">
        <w:t xml:space="preserve">, </w:t>
      </w:r>
      <w:r w:rsidR="00A15FBC" w:rsidRPr="00A15FBC">
        <w:t>Zhao</w:t>
      </w:r>
      <w:r w:rsidR="00A15FBC">
        <w:t xml:space="preserve"> Z.</w:t>
      </w:r>
      <w:r w:rsidR="00A15FBC" w:rsidRPr="00A15FBC">
        <w:t>,</w:t>
      </w:r>
      <w:r w:rsidR="00A15FBC">
        <w:t xml:space="preserve"> </w:t>
      </w:r>
      <w:r w:rsidR="00A15FBC" w:rsidRPr="00A15FBC">
        <w:t>Tang</w:t>
      </w:r>
      <w:r w:rsidR="006A6C46">
        <w:t xml:space="preserve"> W., </w:t>
      </w:r>
      <w:r w:rsidR="00A15FBC" w:rsidRPr="00A15FBC">
        <w:t>Chen</w:t>
      </w:r>
      <w:r w:rsidR="006A6C46">
        <w:t xml:space="preserve"> Y., </w:t>
      </w:r>
      <w:r w:rsidR="00A15FBC" w:rsidRPr="00A15FBC">
        <w:t xml:space="preserve">Lan </w:t>
      </w:r>
      <w:r w:rsidR="006A6C46">
        <w:t xml:space="preserve">C., </w:t>
      </w:r>
      <w:r w:rsidR="00A15FBC" w:rsidRPr="00A15FBC">
        <w:t>Zhu</w:t>
      </w:r>
      <w:r w:rsidR="006A6C46">
        <w:t xml:space="preserve"> L.</w:t>
      </w:r>
      <w:r w:rsidR="00A15FBC" w:rsidRPr="00A15FBC">
        <w:t>, Jiang</w:t>
      </w:r>
      <w:r w:rsidR="006A6C46">
        <w:t xml:space="preserve"> W.</w:t>
      </w:r>
      <w:r w:rsidR="00A15FBC" w:rsidRPr="00A15FBC">
        <w:t xml:space="preserve">, Wu </w:t>
      </w:r>
      <w:r w:rsidR="006A6C46">
        <w:t>Y.</w:t>
      </w:r>
      <w:r w:rsidR="002D09AA">
        <w:t xml:space="preserve">, </w:t>
      </w:r>
      <w:r w:rsidR="00A15FBC" w:rsidRPr="00A15FBC">
        <w:t>Wang</w:t>
      </w:r>
      <w:r w:rsidR="002D09AA">
        <w:t xml:space="preserve"> Y., </w:t>
      </w:r>
      <w:r w:rsidR="00A15FBC" w:rsidRPr="00A15FBC">
        <w:t>Yang</w:t>
      </w:r>
      <w:r w:rsidR="002D09AA">
        <w:t xml:space="preserve"> Z., </w:t>
      </w:r>
      <w:r w:rsidR="00A15FBC" w:rsidRPr="00A15FBC">
        <w:t>Yang</w:t>
      </w:r>
      <w:r w:rsidR="002D09AA">
        <w:t xml:space="preserve"> D., </w:t>
      </w:r>
      <w:r w:rsidR="00A15FBC" w:rsidRPr="00A15FBC">
        <w:t>Wang</w:t>
      </w:r>
      <w:r w:rsidR="002D09AA">
        <w:t xml:space="preserve"> Q.</w:t>
      </w:r>
      <w:r w:rsidR="00A15FBC" w:rsidRPr="00A15FBC">
        <w:t>,</w:t>
      </w:r>
      <w:r w:rsidR="002D09AA">
        <w:t xml:space="preserve"> </w:t>
      </w:r>
      <w:r w:rsidR="00A15FBC" w:rsidRPr="00A15FBC">
        <w:t>Luo</w:t>
      </w:r>
      <w:r w:rsidR="002D09AA">
        <w:t xml:space="preserve"> L., </w:t>
      </w:r>
      <w:r w:rsidR="00DC71E5" w:rsidRPr="00DC71E5">
        <w:t>Liu</w:t>
      </w:r>
      <w:r w:rsidR="00DC71E5">
        <w:t xml:space="preserve"> T.,</w:t>
      </w:r>
      <w:r w:rsidR="00DC71E5" w:rsidRPr="00DC71E5">
        <w:t xml:space="preserve"> Xie</w:t>
      </w:r>
      <w:r w:rsidR="00DC71E5">
        <w:t xml:space="preserve"> H., 2024</w:t>
      </w:r>
      <w:r w:rsidR="00A15FBC" w:rsidRPr="00A15FBC">
        <w:t>,</w:t>
      </w:r>
      <w:r w:rsidR="00013BC1">
        <w:rPr>
          <w:rFonts w:ascii="Times New Roman" w:hAnsi="Times New Roman"/>
          <w:bCs/>
          <w:kern w:val="36"/>
          <w:sz w:val="48"/>
          <w:szCs w:val="48"/>
          <w:lang w:eastAsia="it-IT"/>
        </w:rPr>
        <w:t xml:space="preserve"> </w:t>
      </w:r>
      <w:r w:rsidR="0028418C" w:rsidRPr="00013BC1">
        <w:t>In-situ direct seawater electrolysis using floating platform in ocean with uncontrollable wave motion</w:t>
      </w:r>
      <w:r w:rsidR="00013BC1">
        <w:rPr>
          <w:b/>
          <w:bCs/>
        </w:rPr>
        <w:t>,</w:t>
      </w:r>
      <w:r w:rsidR="00DC71E5">
        <w:t xml:space="preserve"> Nature Communications, </w:t>
      </w:r>
      <w:r w:rsidR="001B4755">
        <w:t>15, 5305.</w:t>
      </w:r>
    </w:p>
    <w:p w14:paraId="3D1F2700" w14:textId="0B0C30F5" w:rsidR="004E2692" w:rsidRDefault="00B22181" w:rsidP="00C65C96">
      <w:pPr>
        <w:pStyle w:val="CETReferencetext"/>
      </w:pPr>
      <w:proofErr w:type="spellStart"/>
      <w:r w:rsidRPr="00B22181">
        <w:t>Raluy</w:t>
      </w:r>
      <w:proofErr w:type="spellEnd"/>
      <w:r w:rsidRPr="00B22181">
        <w:t xml:space="preserve"> G., Serra L., Uche J., 2006, Life cycle assessment of MSF, MED and RO desalination technologies</w:t>
      </w:r>
      <w:r>
        <w:t xml:space="preserve">, </w:t>
      </w:r>
      <w:r w:rsidR="00C65C96">
        <w:t>Energy, 31(13), 2361-2372.</w:t>
      </w:r>
    </w:p>
    <w:p w14:paraId="5B97E450" w14:textId="774003F1" w:rsidR="004B1A54" w:rsidRPr="008B112B" w:rsidRDefault="00122199" w:rsidP="008B112B">
      <w:pPr>
        <w:pStyle w:val="CETReferencetext"/>
      </w:pPr>
      <w:r w:rsidRPr="008B112B">
        <w:t>Sha</w:t>
      </w:r>
      <w:r w:rsidR="00B82EE5">
        <w:t>h</w:t>
      </w:r>
      <w:r w:rsidRPr="008B112B">
        <w:t xml:space="preserve">abi M. P., McHugh A., Anda M., Ho G., 2014, </w:t>
      </w:r>
      <w:r w:rsidR="008B112B" w:rsidRPr="008B112B">
        <w:t>Environmental life cycle assessment of seawater reverse osmosis</w:t>
      </w:r>
      <w:r w:rsidR="008B112B">
        <w:t xml:space="preserve"> </w:t>
      </w:r>
      <w:r w:rsidR="008B112B" w:rsidRPr="008B112B">
        <w:t>desalination plant powered by renewable energy</w:t>
      </w:r>
      <w:r w:rsidR="008B112B">
        <w:t>, Renewable Energy</w:t>
      </w:r>
      <w:r w:rsidR="00527209">
        <w:t>, 67, 53-58.</w:t>
      </w:r>
    </w:p>
    <w:p w14:paraId="68E1BD5D" w14:textId="7C69533E" w:rsidR="00050770" w:rsidRDefault="00D64C8D" w:rsidP="00B45608">
      <w:pPr>
        <w:pStyle w:val="CETReferencetext"/>
      </w:pPr>
      <w:r>
        <w:t xml:space="preserve">Xie H., Zhao Z., Liu T., Wu Y., Lan C., Jiang W., Zhu L., Wang Y., Yang D., Shao Z., 2022, </w:t>
      </w:r>
      <w:r w:rsidR="00B45608">
        <w:t>A membrane-based seawater electrolyser for hydrogen generation</w:t>
      </w:r>
      <w:r w:rsidR="003F282A">
        <w:t xml:space="preserve">, Nature, 612, 673-678. </w:t>
      </w:r>
    </w:p>
    <w:p w14:paraId="15D6CF79" w14:textId="104F041A" w:rsidR="00473C24" w:rsidRPr="00BB1AA6" w:rsidRDefault="00473C24" w:rsidP="0069568B">
      <w:pPr>
        <w:pStyle w:val="CETReferencetext"/>
      </w:pPr>
      <w:r w:rsidRPr="00BB1AA6">
        <w:t xml:space="preserve">Xue N., Lu J., </w:t>
      </w:r>
      <w:r w:rsidR="001948D8" w:rsidRPr="00BB1AA6">
        <w:t xml:space="preserve">Gu D., Lou Y., Yuan Y., Li G., Kumagai S., </w:t>
      </w:r>
      <w:r w:rsidR="00BB1AA6" w:rsidRPr="00BB1AA6">
        <w:t>Saito Y., Yoshioka</w:t>
      </w:r>
      <w:r w:rsidR="00BB1AA6">
        <w:t xml:space="preserve"> T., Zhang N., 2023, </w:t>
      </w:r>
      <w:r w:rsidR="0069568B">
        <w:t xml:space="preserve">Carbon footprint analysis and carbon neutrality potential of desalination by electrodialysis for different applications, Water Research, 232, 119716. </w:t>
      </w:r>
    </w:p>
    <w:p w14:paraId="056C3AEB" w14:textId="37CEE960" w:rsidR="00FE6243" w:rsidRDefault="009F7497" w:rsidP="00FE6243">
      <w:pPr>
        <w:pStyle w:val="CETReferencetext"/>
      </w:pPr>
      <w:r w:rsidRPr="00FE6243">
        <w:t>Wang Y., Wang M., Yang Y., Kong D., Meng C., Zhang D., Hu H., Wu M., 2023</w:t>
      </w:r>
      <w:r w:rsidR="00FE6243" w:rsidRPr="00FE6243">
        <w:t>, Potential technology for seawater electrolysis: Anion-exchange membrane water electrolysis</w:t>
      </w:r>
      <w:r w:rsidR="00FE6243">
        <w:t xml:space="preserve">, </w:t>
      </w:r>
      <w:r w:rsidR="001D0AFD">
        <w:t>Chem Catalysis</w:t>
      </w:r>
      <w:r w:rsidR="008869BF">
        <w:t xml:space="preserve">, 3(7), 100643. </w:t>
      </w:r>
    </w:p>
    <w:p w14:paraId="37D4D7F7" w14:textId="1E762A1B" w:rsidR="00D4035C" w:rsidRDefault="00372A80" w:rsidP="008438DE">
      <w:pPr>
        <w:pStyle w:val="CETReferencetext"/>
      </w:pPr>
      <w:r>
        <w:t xml:space="preserve">Wei X., Shama S., </w:t>
      </w:r>
      <w:proofErr w:type="spellStart"/>
      <w:r>
        <w:t>Waeber</w:t>
      </w:r>
      <w:proofErr w:type="spellEnd"/>
      <w:r>
        <w:t xml:space="preserve"> A., Wen D., </w:t>
      </w:r>
      <w:proofErr w:type="spellStart"/>
      <w:r>
        <w:t>Nuggehalli</w:t>
      </w:r>
      <w:proofErr w:type="spellEnd"/>
      <w:r>
        <w:t xml:space="preserve"> Sampath</w:t>
      </w:r>
      <w:r w:rsidR="00BA0415">
        <w:t xml:space="preserve">kumar S., </w:t>
      </w:r>
      <w:proofErr w:type="spellStart"/>
      <w:r w:rsidR="00BA0415">
        <w:t>Margini</w:t>
      </w:r>
      <w:proofErr w:type="spellEnd"/>
      <w:r w:rsidR="00BA0415">
        <w:t xml:space="preserve"> M., Mar</w:t>
      </w:r>
      <w:r w:rsidR="00B028D5">
        <w:t xml:space="preserve">échal F., Van </w:t>
      </w:r>
      <w:proofErr w:type="spellStart"/>
      <w:r w:rsidR="00B028D5">
        <w:t>herle</w:t>
      </w:r>
      <w:proofErr w:type="spellEnd"/>
      <w:r w:rsidR="00B028D5">
        <w:t xml:space="preserve"> J., 2024, </w:t>
      </w:r>
      <w:r w:rsidR="008438DE">
        <w:t xml:space="preserve">Comparative life cycle analysis of electrolyzer technologies for hydrogen production: Manufacturing and operations, Joule, </w:t>
      </w:r>
      <w:r w:rsidR="00621FFA">
        <w:t>8, 3347-3372.</w:t>
      </w:r>
    </w:p>
    <w:p w14:paraId="03CEA04C" w14:textId="347B6FB3" w:rsidR="00C52C3C" w:rsidRDefault="00502924" w:rsidP="00E65B91">
      <w:pPr>
        <w:pStyle w:val="CETReferencetext"/>
      </w:pPr>
      <w:r w:rsidRPr="00C21A6E">
        <w:t xml:space="preserve">Yuan Y., </w:t>
      </w:r>
      <w:r w:rsidR="001054E0" w:rsidRPr="00C21A6E">
        <w:t xml:space="preserve">Lu J., Gu D., Lou Y., Xue N., Li G., Liao W., </w:t>
      </w:r>
      <w:r w:rsidR="00C21A6E" w:rsidRPr="00C21A6E">
        <w:t>Zhang N., 2023,</w:t>
      </w:r>
      <w:r w:rsidRPr="00C21A6E">
        <w:t xml:space="preserve"> </w:t>
      </w:r>
      <w:r w:rsidR="00C21A6E" w:rsidRPr="00C21A6E">
        <w:t>Deduction of carbon footprint for membrane desalination processes</w:t>
      </w:r>
      <w:r w:rsidR="00C21A6E">
        <w:t xml:space="preserve"> </w:t>
      </w:r>
      <w:r w:rsidR="00C21A6E" w:rsidRPr="00C21A6E">
        <w:t xml:space="preserve">towards carbon neutrality: A case study on </w:t>
      </w:r>
      <w:proofErr w:type="spellStart"/>
      <w:r w:rsidR="00C21A6E" w:rsidRPr="00C21A6E">
        <w:t>electrodeionization</w:t>
      </w:r>
      <w:proofErr w:type="spellEnd"/>
      <w:r w:rsidR="00C21A6E" w:rsidRPr="00C21A6E">
        <w:t xml:space="preserve"> for</w:t>
      </w:r>
      <w:r w:rsidR="00C21A6E">
        <w:t xml:space="preserve"> </w:t>
      </w:r>
      <w:r w:rsidR="00C21A6E" w:rsidRPr="00C21A6E">
        <w:t>ultrapure water preparation</w:t>
      </w:r>
      <w:r w:rsidR="00C21A6E">
        <w:t xml:space="preserve">, Desalination, </w:t>
      </w:r>
      <w:r w:rsidR="00BF1EEA">
        <w:t>559,</w:t>
      </w:r>
      <w:r w:rsidR="00457005">
        <w:t xml:space="preserve"> 116648.</w:t>
      </w:r>
      <w:r w:rsidR="00C21A6E">
        <w:t xml:space="preserve"> </w:t>
      </w:r>
    </w:p>
    <w:p w14:paraId="6B2EF278" w14:textId="77777777" w:rsidR="00A8476F" w:rsidRPr="00C21A6E" w:rsidRDefault="00A8476F" w:rsidP="00E65B91">
      <w:pPr>
        <w:pStyle w:val="CETReferencetext"/>
      </w:pPr>
    </w:p>
    <w:sectPr w:rsidR="00A8476F" w:rsidRPr="00C21A6E"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C1AD1" w14:textId="77777777" w:rsidR="00926224" w:rsidRDefault="00926224" w:rsidP="004F5E36">
      <w:r>
        <w:separator/>
      </w:r>
    </w:p>
  </w:endnote>
  <w:endnote w:type="continuationSeparator" w:id="0">
    <w:p w14:paraId="42794572" w14:textId="77777777" w:rsidR="00926224" w:rsidRDefault="0092622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E3F6" w14:textId="77777777" w:rsidR="00926224" w:rsidRDefault="00926224" w:rsidP="004F5E36">
      <w:r>
        <w:separator/>
      </w:r>
    </w:p>
  </w:footnote>
  <w:footnote w:type="continuationSeparator" w:id="0">
    <w:p w14:paraId="135F4304" w14:textId="77777777" w:rsidR="00926224" w:rsidRDefault="0092622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9721483"/>
    <w:multiLevelType w:val="hybridMultilevel"/>
    <w:tmpl w:val="315CF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1"/>
  </w:num>
  <w:num w:numId="24" w16cid:durableId="2062897922">
    <w:abstractNumId w:val="12"/>
  </w:num>
  <w:num w:numId="25" w16cid:durableId="1508328665">
    <w:abstractNumId w:val="12"/>
  </w:num>
  <w:num w:numId="26" w16cid:durableId="1220744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30"/>
    <w:rsid w:val="000008D5"/>
    <w:rsid w:val="000027C0"/>
    <w:rsid w:val="000052FB"/>
    <w:rsid w:val="00005A19"/>
    <w:rsid w:val="00007052"/>
    <w:rsid w:val="000117CB"/>
    <w:rsid w:val="00011ED8"/>
    <w:rsid w:val="0001262B"/>
    <w:rsid w:val="00013BC1"/>
    <w:rsid w:val="00013C51"/>
    <w:rsid w:val="00017693"/>
    <w:rsid w:val="00020593"/>
    <w:rsid w:val="0002098F"/>
    <w:rsid w:val="000239ED"/>
    <w:rsid w:val="00026039"/>
    <w:rsid w:val="000269D9"/>
    <w:rsid w:val="0003148D"/>
    <w:rsid w:val="00031EEC"/>
    <w:rsid w:val="0003388C"/>
    <w:rsid w:val="00037741"/>
    <w:rsid w:val="00037950"/>
    <w:rsid w:val="00045867"/>
    <w:rsid w:val="000500FF"/>
    <w:rsid w:val="00050770"/>
    <w:rsid w:val="00051566"/>
    <w:rsid w:val="0005204E"/>
    <w:rsid w:val="00052B79"/>
    <w:rsid w:val="000562A9"/>
    <w:rsid w:val="00056435"/>
    <w:rsid w:val="00056CFB"/>
    <w:rsid w:val="00056DAF"/>
    <w:rsid w:val="00061F5B"/>
    <w:rsid w:val="000628C8"/>
    <w:rsid w:val="00062A9A"/>
    <w:rsid w:val="00064768"/>
    <w:rsid w:val="00064DBF"/>
    <w:rsid w:val="00065058"/>
    <w:rsid w:val="00071062"/>
    <w:rsid w:val="000752DF"/>
    <w:rsid w:val="000764D5"/>
    <w:rsid w:val="00080ACF"/>
    <w:rsid w:val="00081D39"/>
    <w:rsid w:val="00085A38"/>
    <w:rsid w:val="000867C0"/>
    <w:rsid w:val="00086C39"/>
    <w:rsid w:val="000929F0"/>
    <w:rsid w:val="00092F0E"/>
    <w:rsid w:val="0009703D"/>
    <w:rsid w:val="000A03B2"/>
    <w:rsid w:val="000A3B8A"/>
    <w:rsid w:val="000A721F"/>
    <w:rsid w:val="000B04A7"/>
    <w:rsid w:val="000B1DFD"/>
    <w:rsid w:val="000B3CA9"/>
    <w:rsid w:val="000B68AA"/>
    <w:rsid w:val="000B714C"/>
    <w:rsid w:val="000B7A3A"/>
    <w:rsid w:val="000B7C19"/>
    <w:rsid w:val="000D0268"/>
    <w:rsid w:val="000D1070"/>
    <w:rsid w:val="000D1D90"/>
    <w:rsid w:val="000D30B7"/>
    <w:rsid w:val="000D34BE"/>
    <w:rsid w:val="000D3890"/>
    <w:rsid w:val="000D3AC1"/>
    <w:rsid w:val="000D4453"/>
    <w:rsid w:val="000D4E38"/>
    <w:rsid w:val="000D4EE5"/>
    <w:rsid w:val="000D5D09"/>
    <w:rsid w:val="000E0B3C"/>
    <w:rsid w:val="000E102F"/>
    <w:rsid w:val="000E198D"/>
    <w:rsid w:val="000E323F"/>
    <w:rsid w:val="000E36F1"/>
    <w:rsid w:val="000E3A73"/>
    <w:rsid w:val="000E414A"/>
    <w:rsid w:val="000E42C8"/>
    <w:rsid w:val="000E6B9E"/>
    <w:rsid w:val="000E75FD"/>
    <w:rsid w:val="000F05E8"/>
    <w:rsid w:val="000F093C"/>
    <w:rsid w:val="000F15EF"/>
    <w:rsid w:val="000F787B"/>
    <w:rsid w:val="001054E0"/>
    <w:rsid w:val="001064EC"/>
    <w:rsid w:val="00106739"/>
    <w:rsid w:val="00107E86"/>
    <w:rsid w:val="00107F5A"/>
    <w:rsid w:val="001120EA"/>
    <w:rsid w:val="001131D5"/>
    <w:rsid w:val="0011594A"/>
    <w:rsid w:val="00116F2C"/>
    <w:rsid w:val="0012091F"/>
    <w:rsid w:val="00121997"/>
    <w:rsid w:val="00122199"/>
    <w:rsid w:val="0012272B"/>
    <w:rsid w:val="0012447D"/>
    <w:rsid w:val="00126BC2"/>
    <w:rsid w:val="001275E0"/>
    <w:rsid w:val="0013011C"/>
    <w:rsid w:val="001308B6"/>
    <w:rsid w:val="0013121F"/>
    <w:rsid w:val="00131FE6"/>
    <w:rsid w:val="00132504"/>
    <w:rsid w:val="0013263F"/>
    <w:rsid w:val="001331DF"/>
    <w:rsid w:val="00134DE4"/>
    <w:rsid w:val="0014034D"/>
    <w:rsid w:val="00140FE3"/>
    <w:rsid w:val="00144D16"/>
    <w:rsid w:val="00145195"/>
    <w:rsid w:val="00150E59"/>
    <w:rsid w:val="00152DE3"/>
    <w:rsid w:val="001545A3"/>
    <w:rsid w:val="00154704"/>
    <w:rsid w:val="00156EEB"/>
    <w:rsid w:val="001570E3"/>
    <w:rsid w:val="00161126"/>
    <w:rsid w:val="00161A2A"/>
    <w:rsid w:val="00162619"/>
    <w:rsid w:val="001638C2"/>
    <w:rsid w:val="00163D07"/>
    <w:rsid w:val="00164CF9"/>
    <w:rsid w:val="001667A6"/>
    <w:rsid w:val="00170048"/>
    <w:rsid w:val="00170EB5"/>
    <w:rsid w:val="00171E42"/>
    <w:rsid w:val="001729AD"/>
    <w:rsid w:val="001768B1"/>
    <w:rsid w:val="001810CE"/>
    <w:rsid w:val="001812AC"/>
    <w:rsid w:val="0018171E"/>
    <w:rsid w:val="00184AD6"/>
    <w:rsid w:val="0018588D"/>
    <w:rsid w:val="00185C07"/>
    <w:rsid w:val="00187712"/>
    <w:rsid w:val="00190E85"/>
    <w:rsid w:val="001911E7"/>
    <w:rsid w:val="00191D9F"/>
    <w:rsid w:val="001931DC"/>
    <w:rsid w:val="001948D8"/>
    <w:rsid w:val="00196D33"/>
    <w:rsid w:val="00196DC2"/>
    <w:rsid w:val="001A1179"/>
    <w:rsid w:val="001A295D"/>
    <w:rsid w:val="001A2CBB"/>
    <w:rsid w:val="001A33A0"/>
    <w:rsid w:val="001A4AF7"/>
    <w:rsid w:val="001B0349"/>
    <w:rsid w:val="001B0A2D"/>
    <w:rsid w:val="001B0FA7"/>
    <w:rsid w:val="001B1E93"/>
    <w:rsid w:val="001B29AD"/>
    <w:rsid w:val="001B4755"/>
    <w:rsid w:val="001B5D1F"/>
    <w:rsid w:val="001B65C1"/>
    <w:rsid w:val="001B6E90"/>
    <w:rsid w:val="001B7085"/>
    <w:rsid w:val="001B70C4"/>
    <w:rsid w:val="001C1290"/>
    <w:rsid w:val="001C260F"/>
    <w:rsid w:val="001C302C"/>
    <w:rsid w:val="001C5C3A"/>
    <w:rsid w:val="001C623A"/>
    <w:rsid w:val="001C684B"/>
    <w:rsid w:val="001C6C87"/>
    <w:rsid w:val="001D0AFD"/>
    <w:rsid w:val="001D0B88"/>
    <w:rsid w:val="001D0CFB"/>
    <w:rsid w:val="001D21AF"/>
    <w:rsid w:val="001D517C"/>
    <w:rsid w:val="001D524B"/>
    <w:rsid w:val="001D53FC"/>
    <w:rsid w:val="001D615B"/>
    <w:rsid w:val="001D78A9"/>
    <w:rsid w:val="001E3806"/>
    <w:rsid w:val="001E43D2"/>
    <w:rsid w:val="001E4842"/>
    <w:rsid w:val="001E7AD4"/>
    <w:rsid w:val="001F0A61"/>
    <w:rsid w:val="001F42A5"/>
    <w:rsid w:val="001F7B9D"/>
    <w:rsid w:val="002016C9"/>
    <w:rsid w:val="00201B90"/>
    <w:rsid w:val="00201C93"/>
    <w:rsid w:val="002040C7"/>
    <w:rsid w:val="00206ECB"/>
    <w:rsid w:val="00216157"/>
    <w:rsid w:val="002224B4"/>
    <w:rsid w:val="00224ACE"/>
    <w:rsid w:val="00224DC4"/>
    <w:rsid w:val="00225831"/>
    <w:rsid w:val="002269D3"/>
    <w:rsid w:val="00230E45"/>
    <w:rsid w:val="002347A0"/>
    <w:rsid w:val="002447EF"/>
    <w:rsid w:val="00250DC0"/>
    <w:rsid w:val="00250EA7"/>
    <w:rsid w:val="00251550"/>
    <w:rsid w:val="0026160F"/>
    <w:rsid w:val="00262866"/>
    <w:rsid w:val="00263773"/>
    <w:rsid w:val="00263B05"/>
    <w:rsid w:val="002648CA"/>
    <w:rsid w:val="0026496D"/>
    <w:rsid w:val="00264B7E"/>
    <w:rsid w:val="00265E8D"/>
    <w:rsid w:val="002677CF"/>
    <w:rsid w:val="00267B95"/>
    <w:rsid w:val="00270754"/>
    <w:rsid w:val="0027221A"/>
    <w:rsid w:val="00275B61"/>
    <w:rsid w:val="002769DD"/>
    <w:rsid w:val="00277933"/>
    <w:rsid w:val="00280D8F"/>
    <w:rsid w:val="00280FAF"/>
    <w:rsid w:val="00281FA6"/>
    <w:rsid w:val="00282656"/>
    <w:rsid w:val="00283F46"/>
    <w:rsid w:val="0028418C"/>
    <w:rsid w:val="00287201"/>
    <w:rsid w:val="00295076"/>
    <w:rsid w:val="00295F1E"/>
    <w:rsid w:val="00296B83"/>
    <w:rsid w:val="002A30CE"/>
    <w:rsid w:val="002A71AE"/>
    <w:rsid w:val="002A78A6"/>
    <w:rsid w:val="002B0009"/>
    <w:rsid w:val="002B1511"/>
    <w:rsid w:val="002B2159"/>
    <w:rsid w:val="002B4015"/>
    <w:rsid w:val="002B78CE"/>
    <w:rsid w:val="002C20AF"/>
    <w:rsid w:val="002C2B95"/>
    <w:rsid w:val="002C2FB6"/>
    <w:rsid w:val="002C3D9F"/>
    <w:rsid w:val="002C50A0"/>
    <w:rsid w:val="002C7DC4"/>
    <w:rsid w:val="002D09AA"/>
    <w:rsid w:val="002D2D89"/>
    <w:rsid w:val="002D2F93"/>
    <w:rsid w:val="002D388A"/>
    <w:rsid w:val="002D39D1"/>
    <w:rsid w:val="002D533B"/>
    <w:rsid w:val="002D5FB2"/>
    <w:rsid w:val="002D733D"/>
    <w:rsid w:val="002E177C"/>
    <w:rsid w:val="002E5973"/>
    <w:rsid w:val="002E5E72"/>
    <w:rsid w:val="002E5FA7"/>
    <w:rsid w:val="002E6921"/>
    <w:rsid w:val="002F3309"/>
    <w:rsid w:val="002F506D"/>
    <w:rsid w:val="002F6503"/>
    <w:rsid w:val="002F7074"/>
    <w:rsid w:val="002F7076"/>
    <w:rsid w:val="003008CE"/>
    <w:rsid w:val="003009B7"/>
    <w:rsid w:val="00300E56"/>
    <w:rsid w:val="0030152C"/>
    <w:rsid w:val="0030240B"/>
    <w:rsid w:val="0030469C"/>
    <w:rsid w:val="00316768"/>
    <w:rsid w:val="00317919"/>
    <w:rsid w:val="003205FE"/>
    <w:rsid w:val="00321CA6"/>
    <w:rsid w:val="00323763"/>
    <w:rsid w:val="003238FC"/>
    <w:rsid w:val="00323C5F"/>
    <w:rsid w:val="00325378"/>
    <w:rsid w:val="00326C10"/>
    <w:rsid w:val="003306F6"/>
    <w:rsid w:val="003307C9"/>
    <w:rsid w:val="00331857"/>
    <w:rsid w:val="00332CAA"/>
    <w:rsid w:val="00334C09"/>
    <w:rsid w:val="0033749C"/>
    <w:rsid w:val="00343358"/>
    <w:rsid w:val="00344991"/>
    <w:rsid w:val="00344B9F"/>
    <w:rsid w:val="00350456"/>
    <w:rsid w:val="00361EB5"/>
    <w:rsid w:val="0036230B"/>
    <w:rsid w:val="003640FA"/>
    <w:rsid w:val="00364FBC"/>
    <w:rsid w:val="003658EC"/>
    <w:rsid w:val="00365C64"/>
    <w:rsid w:val="003661EB"/>
    <w:rsid w:val="00372065"/>
    <w:rsid w:val="003723D4"/>
    <w:rsid w:val="00372A80"/>
    <w:rsid w:val="00372BAF"/>
    <w:rsid w:val="00372D39"/>
    <w:rsid w:val="00374885"/>
    <w:rsid w:val="0038035A"/>
    <w:rsid w:val="00381905"/>
    <w:rsid w:val="00381CBA"/>
    <w:rsid w:val="00381DFF"/>
    <w:rsid w:val="003840BF"/>
    <w:rsid w:val="00384CC8"/>
    <w:rsid w:val="003850E2"/>
    <w:rsid w:val="003871FD"/>
    <w:rsid w:val="00387A35"/>
    <w:rsid w:val="003904D3"/>
    <w:rsid w:val="0039319A"/>
    <w:rsid w:val="00394DA4"/>
    <w:rsid w:val="00397737"/>
    <w:rsid w:val="003A01D3"/>
    <w:rsid w:val="003A0F2F"/>
    <w:rsid w:val="003A1E30"/>
    <w:rsid w:val="003A2829"/>
    <w:rsid w:val="003A2845"/>
    <w:rsid w:val="003A41A1"/>
    <w:rsid w:val="003A4D14"/>
    <w:rsid w:val="003A6559"/>
    <w:rsid w:val="003A743E"/>
    <w:rsid w:val="003A7D1C"/>
    <w:rsid w:val="003B304B"/>
    <w:rsid w:val="003B3146"/>
    <w:rsid w:val="003B49CD"/>
    <w:rsid w:val="003C2312"/>
    <w:rsid w:val="003C356D"/>
    <w:rsid w:val="003D1E02"/>
    <w:rsid w:val="003D21FA"/>
    <w:rsid w:val="003D2765"/>
    <w:rsid w:val="003D2A7F"/>
    <w:rsid w:val="003D40A7"/>
    <w:rsid w:val="003D6D89"/>
    <w:rsid w:val="003D729E"/>
    <w:rsid w:val="003E19B8"/>
    <w:rsid w:val="003E23E0"/>
    <w:rsid w:val="003E36DF"/>
    <w:rsid w:val="003E3A9B"/>
    <w:rsid w:val="003E4B1A"/>
    <w:rsid w:val="003E6681"/>
    <w:rsid w:val="003E6FAD"/>
    <w:rsid w:val="003F015E"/>
    <w:rsid w:val="003F282A"/>
    <w:rsid w:val="003F29F5"/>
    <w:rsid w:val="003F50E4"/>
    <w:rsid w:val="003F7C12"/>
    <w:rsid w:val="00400414"/>
    <w:rsid w:val="00402B68"/>
    <w:rsid w:val="00403D19"/>
    <w:rsid w:val="00407AFA"/>
    <w:rsid w:val="0041446B"/>
    <w:rsid w:val="00415C27"/>
    <w:rsid w:val="004200BB"/>
    <w:rsid w:val="004216CB"/>
    <w:rsid w:val="00424747"/>
    <w:rsid w:val="00425586"/>
    <w:rsid w:val="004375A6"/>
    <w:rsid w:val="0044071E"/>
    <w:rsid w:val="00441786"/>
    <w:rsid w:val="0044329C"/>
    <w:rsid w:val="00444A0D"/>
    <w:rsid w:val="00453E24"/>
    <w:rsid w:val="00457005"/>
    <w:rsid w:val="00457456"/>
    <w:rsid w:val="004577FE"/>
    <w:rsid w:val="00457B9C"/>
    <w:rsid w:val="00460DD9"/>
    <w:rsid w:val="0046164A"/>
    <w:rsid w:val="00461C0A"/>
    <w:rsid w:val="00461E3B"/>
    <w:rsid w:val="004628D2"/>
    <w:rsid w:val="00462DCD"/>
    <w:rsid w:val="004648AD"/>
    <w:rsid w:val="0046744E"/>
    <w:rsid w:val="004703A9"/>
    <w:rsid w:val="00472747"/>
    <w:rsid w:val="004735CF"/>
    <w:rsid w:val="00473C24"/>
    <w:rsid w:val="004745C2"/>
    <w:rsid w:val="004760DE"/>
    <w:rsid w:val="004763D7"/>
    <w:rsid w:val="00476577"/>
    <w:rsid w:val="00482EEC"/>
    <w:rsid w:val="00483277"/>
    <w:rsid w:val="004847B0"/>
    <w:rsid w:val="004848CE"/>
    <w:rsid w:val="0048751E"/>
    <w:rsid w:val="00491DB0"/>
    <w:rsid w:val="00495044"/>
    <w:rsid w:val="00495FC3"/>
    <w:rsid w:val="00497207"/>
    <w:rsid w:val="00497D07"/>
    <w:rsid w:val="004A004E"/>
    <w:rsid w:val="004A21AF"/>
    <w:rsid w:val="004A24CF"/>
    <w:rsid w:val="004A6535"/>
    <w:rsid w:val="004A7B6C"/>
    <w:rsid w:val="004B11C6"/>
    <w:rsid w:val="004B1A54"/>
    <w:rsid w:val="004B3331"/>
    <w:rsid w:val="004B450D"/>
    <w:rsid w:val="004B6A58"/>
    <w:rsid w:val="004C1153"/>
    <w:rsid w:val="004C12A5"/>
    <w:rsid w:val="004C3140"/>
    <w:rsid w:val="004C3D1D"/>
    <w:rsid w:val="004C3D84"/>
    <w:rsid w:val="004C475E"/>
    <w:rsid w:val="004C5554"/>
    <w:rsid w:val="004C5DC0"/>
    <w:rsid w:val="004C5F10"/>
    <w:rsid w:val="004C7913"/>
    <w:rsid w:val="004E0436"/>
    <w:rsid w:val="004E2692"/>
    <w:rsid w:val="004E2B84"/>
    <w:rsid w:val="004E33C3"/>
    <w:rsid w:val="004E46A6"/>
    <w:rsid w:val="004E4774"/>
    <w:rsid w:val="004E4B30"/>
    <w:rsid w:val="004E4DD6"/>
    <w:rsid w:val="004E5081"/>
    <w:rsid w:val="004E57C5"/>
    <w:rsid w:val="004F55F8"/>
    <w:rsid w:val="004F5E36"/>
    <w:rsid w:val="00502924"/>
    <w:rsid w:val="005052BC"/>
    <w:rsid w:val="00506A83"/>
    <w:rsid w:val="00507B47"/>
    <w:rsid w:val="00507BEF"/>
    <w:rsid w:val="00507CC9"/>
    <w:rsid w:val="0051143C"/>
    <w:rsid w:val="005119A5"/>
    <w:rsid w:val="005126BB"/>
    <w:rsid w:val="00513AF8"/>
    <w:rsid w:val="00520FE2"/>
    <w:rsid w:val="00523D36"/>
    <w:rsid w:val="005245AD"/>
    <w:rsid w:val="00524718"/>
    <w:rsid w:val="00527209"/>
    <w:rsid w:val="005278B7"/>
    <w:rsid w:val="00532016"/>
    <w:rsid w:val="0053282C"/>
    <w:rsid w:val="005346C8"/>
    <w:rsid w:val="0053773C"/>
    <w:rsid w:val="005410B7"/>
    <w:rsid w:val="005420DD"/>
    <w:rsid w:val="005428C8"/>
    <w:rsid w:val="00543E7D"/>
    <w:rsid w:val="005470A7"/>
    <w:rsid w:val="005474A1"/>
    <w:rsid w:val="00547A68"/>
    <w:rsid w:val="005531C9"/>
    <w:rsid w:val="005535A3"/>
    <w:rsid w:val="00554879"/>
    <w:rsid w:val="0055627A"/>
    <w:rsid w:val="005564C0"/>
    <w:rsid w:val="00560DC0"/>
    <w:rsid w:val="00561058"/>
    <w:rsid w:val="005619DD"/>
    <w:rsid w:val="0056222D"/>
    <w:rsid w:val="005660A0"/>
    <w:rsid w:val="00566B29"/>
    <w:rsid w:val="00570C43"/>
    <w:rsid w:val="00570E9D"/>
    <w:rsid w:val="0057122C"/>
    <w:rsid w:val="00573D97"/>
    <w:rsid w:val="00574CF7"/>
    <w:rsid w:val="005778C5"/>
    <w:rsid w:val="005849C0"/>
    <w:rsid w:val="005854AF"/>
    <w:rsid w:val="0058671E"/>
    <w:rsid w:val="005873C1"/>
    <w:rsid w:val="005905A2"/>
    <w:rsid w:val="00592274"/>
    <w:rsid w:val="00593B63"/>
    <w:rsid w:val="005958CE"/>
    <w:rsid w:val="005A2068"/>
    <w:rsid w:val="005A25E1"/>
    <w:rsid w:val="005A444A"/>
    <w:rsid w:val="005A4E53"/>
    <w:rsid w:val="005A5979"/>
    <w:rsid w:val="005A5985"/>
    <w:rsid w:val="005A5B3E"/>
    <w:rsid w:val="005A6728"/>
    <w:rsid w:val="005A72DF"/>
    <w:rsid w:val="005B0E43"/>
    <w:rsid w:val="005B16E5"/>
    <w:rsid w:val="005B2110"/>
    <w:rsid w:val="005B350B"/>
    <w:rsid w:val="005B4491"/>
    <w:rsid w:val="005B5405"/>
    <w:rsid w:val="005B61E6"/>
    <w:rsid w:val="005C1E18"/>
    <w:rsid w:val="005C5244"/>
    <w:rsid w:val="005C77E1"/>
    <w:rsid w:val="005D08AA"/>
    <w:rsid w:val="005D23EE"/>
    <w:rsid w:val="005D3139"/>
    <w:rsid w:val="005D38E4"/>
    <w:rsid w:val="005D4755"/>
    <w:rsid w:val="005D4E19"/>
    <w:rsid w:val="005D5191"/>
    <w:rsid w:val="005D668A"/>
    <w:rsid w:val="005D6A2F"/>
    <w:rsid w:val="005D71F6"/>
    <w:rsid w:val="005E0592"/>
    <w:rsid w:val="005E1A82"/>
    <w:rsid w:val="005E2AC4"/>
    <w:rsid w:val="005E2C55"/>
    <w:rsid w:val="005E3803"/>
    <w:rsid w:val="005E52E3"/>
    <w:rsid w:val="005E794C"/>
    <w:rsid w:val="005F0A28"/>
    <w:rsid w:val="005F0E5E"/>
    <w:rsid w:val="005F1CB7"/>
    <w:rsid w:val="005F3A69"/>
    <w:rsid w:val="005F563C"/>
    <w:rsid w:val="005F579E"/>
    <w:rsid w:val="005F5A07"/>
    <w:rsid w:val="005F5F74"/>
    <w:rsid w:val="00600535"/>
    <w:rsid w:val="006024D5"/>
    <w:rsid w:val="00606D7B"/>
    <w:rsid w:val="00610CD6"/>
    <w:rsid w:val="0061280C"/>
    <w:rsid w:val="006155AD"/>
    <w:rsid w:val="00617DA6"/>
    <w:rsid w:val="006205DD"/>
    <w:rsid w:val="00620DEE"/>
    <w:rsid w:val="006213FC"/>
    <w:rsid w:val="00621F92"/>
    <w:rsid w:val="00621FFA"/>
    <w:rsid w:val="0062280A"/>
    <w:rsid w:val="006231E1"/>
    <w:rsid w:val="00625639"/>
    <w:rsid w:val="00625B64"/>
    <w:rsid w:val="006260E7"/>
    <w:rsid w:val="006265DE"/>
    <w:rsid w:val="00627501"/>
    <w:rsid w:val="00631B33"/>
    <w:rsid w:val="00636A7F"/>
    <w:rsid w:val="0064184D"/>
    <w:rsid w:val="006422CC"/>
    <w:rsid w:val="0064470D"/>
    <w:rsid w:val="006466D7"/>
    <w:rsid w:val="00647709"/>
    <w:rsid w:val="00650186"/>
    <w:rsid w:val="00651D18"/>
    <w:rsid w:val="00652676"/>
    <w:rsid w:val="00653FEC"/>
    <w:rsid w:val="006555F2"/>
    <w:rsid w:val="00655920"/>
    <w:rsid w:val="00656F61"/>
    <w:rsid w:val="00660E3E"/>
    <w:rsid w:val="00662E74"/>
    <w:rsid w:val="00664B19"/>
    <w:rsid w:val="00664FA9"/>
    <w:rsid w:val="00670F2B"/>
    <w:rsid w:val="0067363F"/>
    <w:rsid w:val="006750A4"/>
    <w:rsid w:val="00677F24"/>
    <w:rsid w:val="00680C23"/>
    <w:rsid w:val="00680E38"/>
    <w:rsid w:val="00682FAB"/>
    <w:rsid w:val="006834FC"/>
    <w:rsid w:val="00683E23"/>
    <w:rsid w:val="00683E57"/>
    <w:rsid w:val="0068491B"/>
    <w:rsid w:val="00686F45"/>
    <w:rsid w:val="00690F4B"/>
    <w:rsid w:val="006930BE"/>
    <w:rsid w:val="00693766"/>
    <w:rsid w:val="0069568B"/>
    <w:rsid w:val="0069629F"/>
    <w:rsid w:val="006A02A9"/>
    <w:rsid w:val="006A07DF"/>
    <w:rsid w:val="006A1AE1"/>
    <w:rsid w:val="006A2686"/>
    <w:rsid w:val="006A3281"/>
    <w:rsid w:val="006A3994"/>
    <w:rsid w:val="006A5524"/>
    <w:rsid w:val="006A5561"/>
    <w:rsid w:val="006A6437"/>
    <w:rsid w:val="006A6C46"/>
    <w:rsid w:val="006A6DE5"/>
    <w:rsid w:val="006A7CA5"/>
    <w:rsid w:val="006B1A44"/>
    <w:rsid w:val="006B4888"/>
    <w:rsid w:val="006B61C3"/>
    <w:rsid w:val="006B6B81"/>
    <w:rsid w:val="006C07DA"/>
    <w:rsid w:val="006C13AD"/>
    <w:rsid w:val="006C1C4F"/>
    <w:rsid w:val="006C2E45"/>
    <w:rsid w:val="006C359C"/>
    <w:rsid w:val="006C5579"/>
    <w:rsid w:val="006D03DC"/>
    <w:rsid w:val="006D21F4"/>
    <w:rsid w:val="006D6E8B"/>
    <w:rsid w:val="006D7209"/>
    <w:rsid w:val="006E05E9"/>
    <w:rsid w:val="006E0FBE"/>
    <w:rsid w:val="006E1A23"/>
    <w:rsid w:val="006E4B9A"/>
    <w:rsid w:val="006E4E76"/>
    <w:rsid w:val="006E5D05"/>
    <w:rsid w:val="006E6E3C"/>
    <w:rsid w:val="006E7317"/>
    <w:rsid w:val="006E737D"/>
    <w:rsid w:val="006E7FB8"/>
    <w:rsid w:val="006F3780"/>
    <w:rsid w:val="006F42F5"/>
    <w:rsid w:val="006F4A80"/>
    <w:rsid w:val="0070221D"/>
    <w:rsid w:val="007041F5"/>
    <w:rsid w:val="007057EB"/>
    <w:rsid w:val="007058D3"/>
    <w:rsid w:val="00706529"/>
    <w:rsid w:val="00707DD1"/>
    <w:rsid w:val="007111E5"/>
    <w:rsid w:val="007119F6"/>
    <w:rsid w:val="00713973"/>
    <w:rsid w:val="00720867"/>
    <w:rsid w:val="00720A24"/>
    <w:rsid w:val="007236F4"/>
    <w:rsid w:val="00732386"/>
    <w:rsid w:val="00732BD6"/>
    <w:rsid w:val="0073514D"/>
    <w:rsid w:val="00735AB9"/>
    <w:rsid w:val="00735CB8"/>
    <w:rsid w:val="00737940"/>
    <w:rsid w:val="00740516"/>
    <w:rsid w:val="0074322D"/>
    <w:rsid w:val="007447F3"/>
    <w:rsid w:val="007461F2"/>
    <w:rsid w:val="00746761"/>
    <w:rsid w:val="00746834"/>
    <w:rsid w:val="00747866"/>
    <w:rsid w:val="00747AC4"/>
    <w:rsid w:val="007538DB"/>
    <w:rsid w:val="0075499F"/>
    <w:rsid w:val="00757C1E"/>
    <w:rsid w:val="00761CA3"/>
    <w:rsid w:val="007661C8"/>
    <w:rsid w:val="00766B59"/>
    <w:rsid w:val="0076762C"/>
    <w:rsid w:val="0077098D"/>
    <w:rsid w:val="00770F4A"/>
    <w:rsid w:val="0077711D"/>
    <w:rsid w:val="0078145D"/>
    <w:rsid w:val="00782440"/>
    <w:rsid w:val="00783BE1"/>
    <w:rsid w:val="007859C6"/>
    <w:rsid w:val="00785BF9"/>
    <w:rsid w:val="007861F0"/>
    <w:rsid w:val="00786CAC"/>
    <w:rsid w:val="007879E0"/>
    <w:rsid w:val="007931FA"/>
    <w:rsid w:val="00793D9D"/>
    <w:rsid w:val="00793FE8"/>
    <w:rsid w:val="00794CB1"/>
    <w:rsid w:val="007A0A20"/>
    <w:rsid w:val="007A43C7"/>
    <w:rsid w:val="007A4861"/>
    <w:rsid w:val="007A49CF"/>
    <w:rsid w:val="007A4FCD"/>
    <w:rsid w:val="007A7BBA"/>
    <w:rsid w:val="007B0C50"/>
    <w:rsid w:val="007B48F9"/>
    <w:rsid w:val="007B61A9"/>
    <w:rsid w:val="007B7E98"/>
    <w:rsid w:val="007C1A43"/>
    <w:rsid w:val="007C210E"/>
    <w:rsid w:val="007C48E0"/>
    <w:rsid w:val="007C71C9"/>
    <w:rsid w:val="007D0951"/>
    <w:rsid w:val="007D294C"/>
    <w:rsid w:val="007D4FB1"/>
    <w:rsid w:val="007D610D"/>
    <w:rsid w:val="007D6212"/>
    <w:rsid w:val="007E0654"/>
    <w:rsid w:val="007E4276"/>
    <w:rsid w:val="007E531A"/>
    <w:rsid w:val="007E712B"/>
    <w:rsid w:val="007E7691"/>
    <w:rsid w:val="007F660B"/>
    <w:rsid w:val="007F6B62"/>
    <w:rsid w:val="0080013E"/>
    <w:rsid w:val="008012F1"/>
    <w:rsid w:val="00801759"/>
    <w:rsid w:val="00804646"/>
    <w:rsid w:val="00804756"/>
    <w:rsid w:val="00804BD4"/>
    <w:rsid w:val="0080568E"/>
    <w:rsid w:val="00805776"/>
    <w:rsid w:val="00807BBC"/>
    <w:rsid w:val="008112E1"/>
    <w:rsid w:val="00813288"/>
    <w:rsid w:val="00813F35"/>
    <w:rsid w:val="00814791"/>
    <w:rsid w:val="00815105"/>
    <w:rsid w:val="00815FD6"/>
    <w:rsid w:val="008168FC"/>
    <w:rsid w:val="00816CF5"/>
    <w:rsid w:val="00821420"/>
    <w:rsid w:val="008214ED"/>
    <w:rsid w:val="0082260E"/>
    <w:rsid w:val="00823E47"/>
    <w:rsid w:val="00823F09"/>
    <w:rsid w:val="0082703C"/>
    <w:rsid w:val="00827209"/>
    <w:rsid w:val="00830413"/>
    <w:rsid w:val="00830996"/>
    <w:rsid w:val="008345F1"/>
    <w:rsid w:val="00834A1B"/>
    <w:rsid w:val="00835AE8"/>
    <w:rsid w:val="00837728"/>
    <w:rsid w:val="00837FDB"/>
    <w:rsid w:val="008414EE"/>
    <w:rsid w:val="008438DE"/>
    <w:rsid w:val="00843919"/>
    <w:rsid w:val="00843B90"/>
    <w:rsid w:val="00846561"/>
    <w:rsid w:val="00846A54"/>
    <w:rsid w:val="00852653"/>
    <w:rsid w:val="00855427"/>
    <w:rsid w:val="00855431"/>
    <w:rsid w:val="00862EF3"/>
    <w:rsid w:val="00865B07"/>
    <w:rsid w:val="008667EA"/>
    <w:rsid w:val="00871474"/>
    <w:rsid w:val="00871543"/>
    <w:rsid w:val="00871BE6"/>
    <w:rsid w:val="00871FA7"/>
    <w:rsid w:val="00872BAE"/>
    <w:rsid w:val="00872D0E"/>
    <w:rsid w:val="0087637F"/>
    <w:rsid w:val="00876D6B"/>
    <w:rsid w:val="0087735A"/>
    <w:rsid w:val="00880754"/>
    <w:rsid w:val="008832AA"/>
    <w:rsid w:val="008869BF"/>
    <w:rsid w:val="008869E4"/>
    <w:rsid w:val="00886FCE"/>
    <w:rsid w:val="0089253B"/>
    <w:rsid w:val="00892AD5"/>
    <w:rsid w:val="00893FAC"/>
    <w:rsid w:val="00897DFD"/>
    <w:rsid w:val="008A11DE"/>
    <w:rsid w:val="008A1512"/>
    <w:rsid w:val="008B023E"/>
    <w:rsid w:val="008B112B"/>
    <w:rsid w:val="008B1382"/>
    <w:rsid w:val="008B42DC"/>
    <w:rsid w:val="008B6236"/>
    <w:rsid w:val="008B64E8"/>
    <w:rsid w:val="008C0C83"/>
    <w:rsid w:val="008C52CC"/>
    <w:rsid w:val="008D14B8"/>
    <w:rsid w:val="008D1A88"/>
    <w:rsid w:val="008D28E5"/>
    <w:rsid w:val="008D32B9"/>
    <w:rsid w:val="008D433B"/>
    <w:rsid w:val="008D4A16"/>
    <w:rsid w:val="008D64C9"/>
    <w:rsid w:val="008D6B7E"/>
    <w:rsid w:val="008E12BB"/>
    <w:rsid w:val="008E1F17"/>
    <w:rsid w:val="008E4BA7"/>
    <w:rsid w:val="008E5401"/>
    <w:rsid w:val="008E566E"/>
    <w:rsid w:val="008E64C9"/>
    <w:rsid w:val="008F2BFB"/>
    <w:rsid w:val="008F4D5E"/>
    <w:rsid w:val="00900BC9"/>
    <w:rsid w:val="0090161A"/>
    <w:rsid w:val="0090188C"/>
    <w:rsid w:val="00901EB6"/>
    <w:rsid w:val="00904088"/>
    <w:rsid w:val="009041F8"/>
    <w:rsid w:val="00904C62"/>
    <w:rsid w:val="00910A0A"/>
    <w:rsid w:val="009164C7"/>
    <w:rsid w:val="00917301"/>
    <w:rsid w:val="00922281"/>
    <w:rsid w:val="00922611"/>
    <w:rsid w:val="00922669"/>
    <w:rsid w:val="00922BA8"/>
    <w:rsid w:val="00924DAC"/>
    <w:rsid w:val="009257BE"/>
    <w:rsid w:val="00926224"/>
    <w:rsid w:val="00927058"/>
    <w:rsid w:val="00927305"/>
    <w:rsid w:val="00933179"/>
    <w:rsid w:val="009331E8"/>
    <w:rsid w:val="009373A0"/>
    <w:rsid w:val="00937921"/>
    <w:rsid w:val="00942750"/>
    <w:rsid w:val="009450CE"/>
    <w:rsid w:val="009459BB"/>
    <w:rsid w:val="00947179"/>
    <w:rsid w:val="0095164B"/>
    <w:rsid w:val="0095277C"/>
    <w:rsid w:val="00954090"/>
    <w:rsid w:val="009542AF"/>
    <w:rsid w:val="00954CC2"/>
    <w:rsid w:val="009563D7"/>
    <w:rsid w:val="0095667B"/>
    <w:rsid w:val="009573E7"/>
    <w:rsid w:val="00963582"/>
    <w:rsid w:val="00963E05"/>
    <w:rsid w:val="00964A45"/>
    <w:rsid w:val="00967843"/>
    <w:rsid w:val="00967D54"/>
    <w:rsid w:val="00971028"/>
    <w:rsid w:val="00973EF2"/>
    <w:rsid w:val="00980DCD"/>
    <w:rsid w:val="00983653"/>
    <w:rsid w:val="00985C1C"/>
    <w:rsid w:val="00987037"/>
    <w:rsid w:val="009904C0"/>
    <w:rsid w:val="00993B84"/>
    <w:rsid w:val="00994C6A"/>
    <w:rsid w:val="0099613B"/>
    <w:rsid w:val="00996483"/>
    <w:rsid w:val="00996F5A"/>
    <w:rsid w:val="009A5F07"/>
    <w:rsid w:val="009B041A"/>
    <w:rsid w:val="009B20C2"/>
    <w:rsid w:val="009B3E13"/>
    <w:rsid w:val="009B6B42"/>
    <w:rsid w:val="009B7829"/>
    <w:rsid w:val="009C0F62"/>
    <w:rsid w:val="009C37C3"/>
    <w:rsid w:val="009C49B0"/>
    <w:rsid w:val="009C4BDC"/>
    <w:rsid w:val="009C5664"/>
    <w:rsid w:val="009C6014"/>
    <w:rsid w:val="009C7C86"/>
    <w:rsid w:val="009D1F4E"/>
    <w:rsid w:val="009D28D8"/>
    <w:rsid w:val="009D2FF7"/>
    <w:rsid w:val="009D62E5"/>
    <w:rsid w:val="009D6EAA"/>
    <w:rsid w:val="009D7C9E"/>
    <w:rsid w:val="009E1543"/>
    <w:rsid w:val="009E1E27"/>
    <w:rsid w:val="009E3235"/>
    <w:rsid w:val="009E5CB4"/>
    <w:rsid w:val="009E7884"/>
    <w:rsid w:val="009E788A"/>
    <w:rsid w:val="009F0E08"/>
    <w:rsid w:val="009F3291"/>
    <w:rsid w:val="009F35F5"/>
    <w:rsid w:val="009F5AF4"/>
    <w:rsid w:val="009F7497"/>
    <w:rsid w:val="00A03D9F"/>
    <w:rsid w:val="00A06A2C"/>
    <w:rsid w:val="00A06EAD"/>
    <w:rsid w:val="00A079AE"/>
    <w:rsid w:val="00A12102"/>
    <w:rsid w:val="00A15FBC"/>
    <w:rsid w:val="00A17530"/>
    <w:rsid w:val="00A1763D"/>
    <w:rsid w:val="00A17CEC"/>
    <w:rsid w:val="00A207F8"/>
    <w:rsid w:val="00A24748"/>
    <w:rsid w:val="00A26701"/>
    <w:rsid w:val="00A27EF0"/>
    <w:rsid w:val="00A3012A"/>
    <w:rsid w:val="00A32BB2"/>
    <w:rsid w:val="00A42361"/>
    <w:rsid w:val="00A431DA"/>
    <w:rsid w:val="00A458E2"/>
    <w:rsid w:val="00A50B20"/>
    <w:rsid w:val="00A51390"/>
    <w:rsid w:val="00A518D6"/>
    <w:rsid w:val="00A51FF9"/>
    <w:rsid w:val="00A54315"/>
    <w:rsid w:val="00A55205"/>
    <w:rsid w:val="00A60D13"/>
    <w:rsid w:val="00A61E77"/>
    <w:rsid w:val="00A6454D"/>
    <w:rsid w:val="00A64649"/>
    <w:rsid w:val="00A65067"/>
    <w:rsid w:val="00A65E53"/>
    <w:rsid w:val="00A65FCF"/>
    <w:rsid w:val="00A66F3B"/>
    <w:rsid w:val="00A67011"/>
    <w:rsid w:val="00A67875"/>
    <w:rsid w:val="00A7046B"/>
    <w:rsid w:val="00A7223D"/>
    <w:rsid w:val="00A72745"/>
    <w:rsid w:val="00A76C19"/>
    <w:rsid w:val="00A76E84"/>
    <w:rsid w:val="00A76EFC"/>
    <w:rsid w:val="00A8154C"/>
    <w:rsid w:val="00A820F6"/>
    <w:rsid w:val="00A8476F"/>
    <w:rsid w:val="00A863AC"/>
    <w:rsid w:val="00A86C7A"/>
    <w:rsid w:val="00A87D50"/>
    <w:rsid w:val="00A91010"/>
    <w:rsid w:val="00A91102"/>
    <w:rsid w:val="00A919FE"/>
    <w:rsid w:val="00A9277E"/>
    <w:rsid w:val="00A92CBD"/>
    <w:rsid w:val="00A93E1E"/>
    <w:rsid w:val="00A9482C"/>
    <w:rsid w:val="00A94894"/>
    <w:rsid w:val="00A97F29"/>
    <w:rsid w:val="00AA31FD"/>
    <w:rsid w:val="00AA3DB7"/>
    <w:rsid w:val="00AA4CD9"/>
    <w:rsid w:val="00AA6EBF"/>
    <w:rsid w:val="00AA702E"/>
    <w:rsid w:val="00AA723D"/>
    <w:rsid w:val="00AA7D26"/>
    <w:rsid w:val="00AB0964"/>
    <w:rsid w:val="00AB10C4"/>
    <w:rsid w:val="00AB1F03"/>
    <w:rsid w:val="00AB222C"/>
    <w:rsid w:val="00AB261A"/>
    <w:rsid w:val="00AB35BE"/>
    <w:rsid w:val="00AB5011"/>
    <w:rsid w:val="00AB5E11"/>
    <w:rsid w:val="00AB659C"/>
    <w:rsid w:val="00AB7FB9"/>
    <w:rsid w:val="00AC051A"/>
    <w:rsid w:val="00AC4418"/>
    <w:rsid w:val="00AC53FD"/>
    <w:rsid w:val="00AC7368"/>
    <w:rsid w:val="00AD16B9"/>
    <w:rsid w:val="00AD482B"/>
    <w:rsid w:val="00AD4D44"/>
    <w:rsid w:val="00AE0329"/>
    <w:rsid w:val="00AE1575"/>
    <w:rsid w:val="00AE337E"/>
    <w:rsid w:val="00AE377D"/>
    <w:rsid w:val="00AE3C98"/>
    <w:rsid w:val="00AE5068"/>
    <w:rsid w:val="00AE6FF0"/>
    <w:rsid w:val="00AF017B"/>
    <w:rsid w:val="00AF0EBA"/>
    <w:rsid w:val="00AF13B5"/>
    <w:rsid w:val="00AF15CC"/>
    <w:rsid w:val="00AF2463"/>
    <w:rsid w:val="00AF3807"/>
    <w:rsid w:val="00AF4CE5"/>
    <w:rsid w:val="00AF4E80"/>
    <w:rsid w:val="00AF51C9"/>
    <w:rsid w:val="00AF5DE9"/>
    <w:rsid w:val="00B021FB"/>
    <w:rsid w:val="00B028D5"/>
    <w:rsid w:val="00B02C8A"/>
    <w:rsid w:val="00B03379"/>
    <w:rsid w:val="00B04A14"/>
    <w:rsid w:val="00B12207"/>
    <w:rsid w:val="00B13C07"/>
    <w:rsid w:val="00B152FD"/>
    <w:rsid w:val="00B15688"/>
    <w:rsid w:val="00B15A70"/>
    <w:rsid w:val="00B1792A"/>
    <w:rsid w:val="00B17FBD"/>
    <w:rsid w:val="00B21C21"/>
    <w:rsid w:val="00B22181"/>
    <w:rsid w:val="00B2492E"/>
    <w:rsid w:val="00B255FC"/>
    <w:rsid w:val="00B315A6"/>
    <w:rsid w:val="00B31813"/>
    <w:rsid w:val="00B33365"/>
    <w:rsid w:val="00B35FA2"/>
    <w:rsid w:val="00B3743D"/>
    <w:rsid w:val="00B40492"/>
    <w:rsid w:val="00B41B2C"/>
    <w:rsid w:val="00B44E73"/>
    <w:rsid w:val="00B45608"/>
    <w:rsid w:val="00B4584B"/>
    <w:rsid w:val="00B53A46"/>
    <w:rsid w:val="00B55016"/>
    <w:rsid w:val="00B5738D"/>
    <w:rsid w:val="00B57930"/>
    <w:rsid w:val="00B57B36"/>
    <w:rsid w:val="00B57E6F"/>
    <w:rsid w:val="00B61133"/>
    <w:rsid w:val="00B638FC"/>
    <w:rsid w:val="00B64E60"/>
    <w:rsid w:val="00B658FC"/>
    <w:rsid w:val="00B73D5E"/>
    <w:rsid w:val="00B74FF9"/>
    <w:rsid w:val="00B753C3"/>
    <w:rsid w:val="00B80A50"/>
    <w:rsid w:val="00B82EE5"/>
    <w:rsid w:val="00B831A4"/>
    <w:rsid w:val="00B83E89"/>
    <w:rsid w:val="00B84B4A"/>
    <w:rsid w:val="00B8686D"/>
    <w:rsid w:val="00B93F69"/>
    <w:rsid w:val="00B94803"/>
    <w:rsid w:val="00B95D0F"/>
    <w:rsid w:val="00BA0415"/>
    <w:rsid w:val="00BA0D2A"/>
    <w:rsid w:val="00BA342F"/>
    <w:rsid w:val="00BA49B7"/>
    <w:rsid w:val="00BA58CF"/>
    <w:rsid w:val="00BA6F10"/>
    <w:rsid w:val="00BB1478"/>
    <w:rsid w:val="00BB1AA6"/>
    <w:rsid w:val="00BB1DDC"/>
    <w:rsid w:val="00BB21F8"/>
    <w:rsid w:val="00BB4CB7"/>
    <w:rsid w:val="00BC05D3"/>
    <w:rsid w:val="00BC1EEC"/>
    <w:rsid w:val="00BC30C9"/>
    <w:rsid w:val="00BC4DC5"/>
    <w:rsid w:val="00BC587F"/>
    <w:rsid w:val="00BD077D"/>
    <w:rsid w:val="00BD2008"/>
    <w:rsid w:val="00BD444E"/>
    <w:rsid w:val="00BD6527"/>
    <w:rsid w:val="00BE3E58"/>
    <w:rsid w:val="00BE44E0"/>
    <w:rsid w:val="00BE4522"/>
    <w:rsid w:val="00BE7EFF"/>
    <w:rsid w:val="00BF13CE"/>
    <w:rsid w:val="00BF1EEA"/>
    <w:rsid w:val="00BF6EA2"/>
    <w:rsid w:val="00BF76CB"/>
    <w:rsid w:val="00C01449"/>
    <w:rsid w:val="00C01616"/>
    <w:rsid w:val="00C0162B"/>
    <w:rsid w:val="00C02310"/>
    <w:rsid w:val="00C068ED"/>
    <w:rsid w:val="00C0793A"/>
    <w:rsid w:val="00C11A71"/>
    <w:rsid w:val="00C1755A"/>
    <w:rsid w:val="00C21A6E"/>
    <w:rsid w:val="00C21B04"/>
    <w:rsid w:val="00C21E46"/>
    <w:rsid w:val="00C22E0C"/>
    <w:rsid w:val="00C23F50"/>
    <w:rsid w:val="00C23F96"/>
    <w:rsid w:val="00C27CAA"/>
    <w:rsid w:val="00C27F64"/>
    <w:rsid w:val="00C32C7D"/>
    <w:rsid w:val="00C345B1"/>
    <w:rsid w:val="00C34886"/>
    <w:rsid w:val="00C40142"/>
    <w:rsid w:val="00C41D0C"/>
    <w:rsid w:val="00C42F9E"/>
    <w:rsid w:val="00C437D6"/>
    <w:rsid w:val="00C44E69"/>
    <w:rsid w:val="00C45DFD"/>
    <w:rsid w:val="00C513AB"/>
    <w:rsid w:val="00C52C3C"/>
    <w:rsid w:val="00C559BD"/>
    <w:rsid w:val="00C57182"/>
    <w:rsid w:val="00C57863"/>
    <w:rsid w:val="00C60BEB"/>
    <w:rsid w:val="00C60FE2"/>
    <w:rsid w:val="00C61235"/>
    <w:rsid w:val="00C640AF"/>
    <w:rsid w:val="00C64DFA"/>
    <w:rsid w:val="00C64FCC"/>
    <w:rsid w:val="00C653B0"/>
    <w:rsid w:val="00C655FD"/>
    <w:rsid w:val="00C65C96"/>
    <w:rsid w:val="00C66BCC"/>
    <w:rsid w:val="00C67176"/>
    <w:rsid w:val="00C7286D"/>
    <w:rsid w:val="00C73B67"/>
    <w:rsid w:val="00C75407"/>
    <w:rsid w:val="00C77047"/>
    <w:rsid w:val="00C80405"/>
    <w:rsid w:val="00C81E7D"/>
    <w:rsid w:val="00C82F74"/>
    <w:rsid w:val="00C841C6"/>
    <w:rsid w:val="00C870A8"/>
    <w:rsid w:val="00C879BE"/>
    <w:rsid w:val="00C93C69"/>
    <w:rsid w:val="00C94434"/>
    <w:rsid w:val="00C94934"/>
    <w:rsid w:val="00C95D81"/>
    <w:rsid w:val="00CA0D75"/>
    <w:rsid w:val="00CA1A7E"/>
    <w:rsid w:val="00CA1C95"/>
    <w:rsid w:val="00CA1E8C"/>
    <w:rsid w:val="00CA534A"/>
    <w:rsid w:val="00CA536E"/>
    <w:rsid w:val="00CA5A9C"/>
    <w:rsid w:val="00CA5DA2"/>
    <w:rsid w:val="00CA6EE0"/>
    <w:rsid w:val="00CB4B33"/>
    <w:rsid w:val="00CB6628"/>
    <w:rsid w:val="00CC4C20"/>
    <w:rsid w:val="00CC72C3"/>
    <w:rsid w:val="00CD01BE"/>
    <w:rsid w:val="00CD0522"/>
    <w:rsid w:val="00CD0E7C"/>
    <w:rsid w:val="00CD3517"/>
    <w:rsid w:val="00CD4519"/>
    <w:rsid w:val="00CD5FE2"/>
    <w:rsid w:val="00CE18CE"/>
    <w:rsid w:val="00CE3C1C"/>
    <w:rsid w:val="00CE5795"/>
    <w:rsid w:val="00CE61E5"/>
    <w:rsid w:val="00CE7C68"/>
    <w:rsid w:val="00CF09A3"/>
    <w:rsid w:val="00CF439C"/>
    <w:rsid w:val="00CF50CB"/>
    <w:rsid w:val="00CF5A1D"/>
    <w:rsid w:val="00CF787C"/>
    <w:rsid w:val="00D0010B"/>
    <w:rsid w:val="00D00980"/>
    <w:rsid w:val="00D00AC3"/>
    <w:rsid w:val="00D011BC"/>
    <w:rsid w:val="00D02B4C"/>
    <w:rsid w:val="00D03EB6"/>
    <w:rsid w:val="00D040C4"/>
    <w:rsid w:val="00D04148"/>
    <w:rsid w:val="00D0620C"/>
    <w:rsid w:val="00D07002"/>
    <w:rsid w:val="00D07E85"/>
    <w:rsid w:val="00D11605"/>
    <w:rsid w:val="00D12388"/>
    <w:rsid w:val="00D16E1B"/>
    <w:rsid w:val="00D16E9B"/>
    <w:rsid w:val="00D17E6A"/>
    <w:rsid w:val="00D202BD"/>
    <w:rsid w:val="00D20AD1"/>
    <w:rsid w:val="00D21AD9"/>
    <w:rsid w:val="00D220D0"/>
    <w:rsid w:val="00D235ED"/>
    <w:rsid w:val="00D253D8"/>
    <w:rsid w:val="00D2582C"/>
    <w:rsid w:val="00D31657"/>
    <w:rsid w:val="00D31A20"/>
    <w:rsid w:val="00D3587A"/>
    <w:rsid w:val="00D36146"/>
    <w:rsid w:val="00D36AE8"/>
    <w:rsid w:val="00D4035C"/>
    <w:rsid w:val="00D4482A"/>
    <w:rsid w:val="00D46B7E"/>
    <w:rsid w:val="00D47A0C"/>
    <w:rsid w:val="00D51EDA"/>
    <w:rsid w:val="00D54D2E"/>
    <w:rsid w:val="00D56F00"/>
    <w:rsid w:val="00D57C84"/>
    <w:rsid w:val="00D6057D"/>
    <w:rsid w:val="00D61244"/>
    <w:rsid w:val="00D64AC1"/>
    <w:rsid w:val="00D64C8D"/>
    <w:rsid w:val="00D706D0"/>
    <w:rsid w:val="00D71368"/>
    <w:rsid w:val="00D71640"/>
    <w:rsid w:val="00D7258D"/>
    <w:rsid w:val="00D73FD9"/>
    <w:rsid w:val="00D760CE"/>
    <w:rsid w:val="00D768DC"/>
    <w:rsid w:val="00D836C5"/>
    <w:rsid w:val="00D83F13"/>
    <w:rsid w:val="00D84576"/>
    <w:rsid w:val="00D8684A"/>
    <w:rsid w:val="00D87000"/>
    <w:rsid w:val="00D927C0"/>
    <w:rsid w:val="00D93124"/>
    <w:rsid w:val="00D94A82"/>
    <w:rsid w:val="00D96FE5"/>
    <w:rsid w:val="00D97D2D"/>
    <w:rsid w:val="00DA1399"/>
    <w:rsid w:val="00DA1CF8"/>
    <w:rsid w:val="00DA24C6"/>
    <w:rsid w:val="00DA4D7B"/>
    <w:rsid w:val="00DA5C2F"/>
    <w:rsid w:val="00DA6C46"/>
    <w:rsid w:val="00DB2114"/>
    <w:rsid w:val="00DB382B"/>
    <w:rsid w:val="00DB6CE6"/>
    <w:rsid w:val="00DB7446"/>
    <w:rsid w:val="00DC008C"/>
    <w:rsid w:val="00DC24F3"/>
    <w:rsid w:val="00DC2840"/>
    <w:rsid w:val="00DC323F"/>
    <w:rsid w:val="00DC45E0"/>
    <w:rsid w:val="00DC71E5"/>
    <w:rsid w:val="00DC73EE"/>
    <w:rsid w:val="00DD1600"/>
    <w:rsid w:val="00DD1B4C"/>
    <w:rsid w:val="00DD271C"/>
    <w:rsid w:val="00DD30FC"/>
    <w:rsid w:val="00DD58AB"/>
    <w:rsid w:val="00DD5C9A"/>
    <w:rsid w:val="00DE0002"/>
    <w:rsid w:val="00DE1290"/>
    <w:rsid w:val="00DE264A"/>
    <w:rsid w:val="00DE3457"/>
    <w:rsid w:val="00DE59B5"/>
    <w:rsid w:val="00DE7329"/>
    <w:rsid w:val="00DE737E"/>
    <w:rsid w:val="00DF29E4"/>
    <w:rsid w:val="00DF4125"/>
    <w:rsid w:val="00DF5072"/>
    <w:rsid w:val="00DF7AF5"/>
    <w:rsid w:val="00E010BF"/>
    <w:rsid w:val="00E01274"/>
    <w:rsid w:val="00E0146B"/>
    <w:rsid w:val="00E02D18"/>
    <w:rsid w:val="00E041E7"/>
    <w:rsid w:val="00E05561"/>
    <w:rsid w:val="00E1239E"/>
    <w:rsid w:val="00E13E94"/>
    <w:rsid w:val="00E23CA1"/>
    <w:rsid w:val="00E25AF2"/>
    <w:rsid w:val="00E2650F"/>
    <w:rsid w:val="00E269E7"/>
    <w:rsid w:val="00E27054"/>
    <w:rsid w:val="00E27E35"/>
    <w:rsid w:val="00E32615"/>
    <w:rsid w:val="00E34A85"/>
    <w:rsid w:val="00E372A5"/>
    <w:rsid w:val="00E3783C"/>
    <w:rsid w:val="00E409A8"/>
    <w:rsid w:val="00E42210"/>
    <w:rsid w:val="00E42571"/>
    <w:rsid w:val="00E46D20"/>
    <w:rsid w:val="00E50C12"/>
    <w:rsid w:val="00E551B7"/>
    <w:rsid w:val="00E6079B"/>
    <w:rsid w:val="00E62092"/>
    <w:rsid w:val="00E62EBF"/>
    <w:rsid w:val="00E63E4A"/>
    <w:rsid w:val="00E65B91"/>
    <w:rsid w:val="00E66ACA"/>
    <w:rsid w:val="00E713DA"/>
    <w:rsid w:val="00E7209D"/>
    <w:rsid w:val="00E72825"/>
    <w:rsid w:val="00E72EAD"/>
    <w:rsid w:val="00E75135"/>
    <w:rsid w:val="00E75278"/>
    <w:rsid w:val="00E7593C"/>
    <w:rsid w:val="00E76D3F"/>
    <w:rsid w:val="00E77223"/>
    <w:rsid w:val="00E80CED"/>
    <w:rsid w:val="00E8528B"/>
    <w:rsid w:val="00E85B94"/>
    <w:rsid w:val="00E85C81"/>
    <w:rsid w:val="00E8628F"/>
    <w:rsid w:val="00E86629"/>
    <w:rsid w:val="00E9233A"/>
    <w:rsid w:val="00E93126"/>
    <w:rsid w:val="00E96769"/>
    <w:rsid w:val="00E9696E"/>
    <w:rsid w:val="00E978D0"/>
    <w:rsid w:val="00E97C49"/>
    <w:rsid w:val="00EA173D"/>
    <w:rsid w:val="00EA1A13"/>
    <w:rsid w:val="00EA4613"/>
    <w:rsid w:val="00EA4CB5"/>
    <w:rsid w:val="00EA56E5"/>
    <w:rsid w:val="00EA5E3F"/>
    <w:rsid w:val="00EA7F91"/>
    <w:rsid w:val="00EB1523"/>
    <w:rsid w:val="00EB5451"/>
    <w:rsid w:val="00EB6444"/>
    <w:rsid w:val="00EB7739"/>
    <w:rsid w:val="00EC0E49"/>
    <w:rsid w:val="00EC101F"/>
    <w:rsid w:val="00EC1D9F"/>
    <w:rsid w:val="00EC548E"/>
    <w:rsid w:val="00EC736F"/>
    <w:rsid w:val="00ED07DF"/>
    <w:rsid w:val="00ED1F8A"/>
    <w:rsid w:val="00ED2944"/>
    <w:rsid w:val="00ED5314"/>
    <w:rsid w:val="00ED6951"/>
    <w:rsid w:val="00ED760D"/>
    <w:rsid w:val="00ED7F55"/>
    <w:rsid w:val="00EE0131"/>
    <w:rsid w:val="00EE17B0"/>
    <w:rsid w:val="00EE2BCE"/>
    <w:rsid w:val="00EE2E05"/>
    <w:rsid w:val="00EF06D9"/>
    <w:rsid w:val="00EF3DB9"/>
    <w:rsid w:val="00EF4B90"/>
    <w:rsid w:val="00F0001C"/>
    <w:rsid w:val="00F00D06"/>
    <w:rsid w:val="00F0167D"/>
    <w:rsid w:val="00F02E64"/>
    <w:rsid w:val="00F0393E"/>
    <w:rsid w:val="00F06006"/>
    <w:rsid w:val="00F1139B"/>
    <w:rsid w:val="00F133E7"/>
    <w:rsid w:val="00F22CC6"/>
    <w:rsid w:val="00F236DA"/>
    <w:rsid w:val="00F23C53"/>
    <w:rsid w:val="00F241D9"/>
    <w:rsid w:val="00F259EC"/>
    <w:rsid w:val="00F3049E"/>
    <w:rsid w:val="00F30C64"/>
    <w:rsid w:val="00F30CE1"/>
    <w:rsid w:val="00F32BA2"/>
    <w:rsid w:val="00F32CDB"/>
    <w:rsid w:val="00F348AC"/>
    <w:rsid w:val="00F35579"/>
    <w:rsid w:val="00F41A36"/>
    <w:rsid w:val="00F41EE4"/>
    <w:rsid w:val="00F42414"/>
    <w:rsid w:val="00F4440E"/>
    <w:rsid w:val="00F5037A"/>
    <w:rsid w:val="00F50E2A"/>
    <w:rsid w:val="00F53B11"/>
    <w:rsid w:val="00F5438F"/>
    <w:rsid w:val="00F565FE"/>
    <w:rsid w:val="00F600F4"/>
    <w:rsid w:val="00F604AA"/>
    <w:rsid w:val="00F61407"/>
    <w:rsid w:val="00F630ED"/>
    <w:rsid w:val="00F63A70"/>
    <w:rsid w:val="00F63D8C"/>
    <w:rsid w:val="00F64F32"/>
    <w:rsid w:val="00F64F8A"/>
    <w:rsid w:val="00F667D3"/>
    <w:rsid w:val="00F7534E"/>
    <w:rsid w:val="00F81A21"/>
    <w:rsid w:val="00F81DC1"/>
    <w:rsid w:val="00F82338"/>
    <w:rsid w:val="00F824B7"/>
    <w:rsid w:val="00F83733"/>
    <w:rsid w:val="00F8492B"/>
    <w:rsid w:val="00F84C8B"/>
    <w:rsid w:val="00F86C11"/>
    <w:rsid w:val="00F91788"/>
    <w:rsid w:val="00F91C38"/>
    <w:rsid w:val="00F93EDF"/>
    <w:rsid w:val="00F93F09"/>
    <w:rsid w:val="00F95761"/>
    <w:rsid w:val="00F96A80"/>
    <w:rsid w:val="00FA0C2F"/>
    <w:rsid w:val="00FA1802"/>
    <w:rsid w:val="00FA21D0"/>
    <w:rsid w:val="00FA5F5F"/>
    <w:rsid w:val="00FA614C"/>
    <w:rsid w:val="00FB1D45"/>
    <w:rsid w:val="00FB6A56"/>
    <w:rsid w:val="00FB730C"/>
    <w:rsid w:val="00FB768E"/>
    <w:rsid w:val="00FC0F4C"/>
    <w:rsid w:val="00FC22B9"/>
    <w:rsid w:val="00FC2695"/>
    <w:rsid w:val="00FC3E03"/>
    <w:rsid w:val="00FC3E7B"/>
    <w:rsid w:val="00FC3FC1"/>
    <w:rsid w:val="00FC503B"/>
    <w:rsid w:val="00FD34F6"/>
    <w:rsid w:val="00FD6921"/>
    <w:rsid w:val="00FD77BF"/>
    <w:rsid w:val="00FE3C87"/>
    <w:rsid w:val="00FE4DB7"/>
    <w:rsid w:val="00FE6243"/>
    <w:rsid w:val="00FE6246"/>
    <w:rsid w:val="00FF1340"/>
    <w:rsid w:val="00FF3B7F"/>
    <w:rsid w:val="00FF43D4"/>
    <w:rsid w:val="00FF51A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8112E1"/>
    <w:rPr>
      <w:color w:val="666666"/>
    </w:rPr>
  </w:style>
  <w:style w:type="character" w:styleId="Menzionenonrisolta">
    <w:name w:val="Unresolved Mention"/>
    <w:basedOn w:val="Carpredefinitoparagrafo"/>
    <w:uiPriority w:val="99"/>
    <w:semiHidden/>
    <w:unhideWhenUsed/>
    <w:rsid w:val="00196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828936">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509179108">
      <w:bodyDiv w:val="1"/>
      <w:marLeft w:val="0"/>
      <w:marRight w:val="0"/>
      <w:marTop w:val="0"/>
      <w:marBottom w:val="0"/>
      <w:divBdr>
        <w:top w:val="none" w:sz="0" w:space="0" w:color="auto"/>
        <w:left w:val="none" w:sz="0" w:space="0" w:color="auto"/>
        <w:bottom w:val="none" w:sz="0" w:space="0" w:color="auto"/>
        <w:right w:val="none" w:sz="0" w:space="0" w:color="auto"/>
      </w:divBdr>
    </w:div>
    <w:div w:id="58315022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3935">
      <w:bodyDiv w:val="1"/>
      <w:marLeft w:val="0"/>
      <w:marRight w:val="0"/>
      <w:marTop w:val="0"/>
      <w:marBottom w:val="0"/>
      <w:divBdr>
        <w:top w:val="none" w:sz="0" w:space="0" w:color="auto"/>
        <w:left w:val="none" w:sz="0" w:space="0" w:color="auto"/>
        <w:bottom w:val="none" w:sz="0" w:space="0" w:color="auto"/>
        <w:right w:val="none" w:sz="0" w:space="0" w:color="auto"/>
      </w:divBdr>
    </w:div>
    <w:div w:id="1040788758">
      <w:bodyDiv w:val="1"/>
      <w:marLeft w:val="0"/>
      <w:marRight w:val="0"/>
      <w:marTop w:val="0"/>
      <w:marBottom w:val="0"/>
      <w:divBdr>
        <w:top w:val="none" w:sz="0" w:space="0" w:color="auto"/>
        <w:left w:val="none" w:sz="0" w:space="0" w:color="auto"/>
        <w:bottom w:val="none" w:sz="0" w:space="0" w:color="auto"/>
        <w:right w:val="none" w:sz="0" w:space="0" w:color="auto"/>
      </w:divBdr>
    </w:div>
    <w:div w:id="1128353063">
      <w:bodyDiv w:val="1"/>
      <w:marLeft w:val="0"/>
      <w:marRight w:val="0"/>
      <w:marTop w:val="0"/>
      <w:marBottom w:val="0"/>
      <w:divBdr>
        <w:top w:val="none" w:sz="0" w:space="0" w:color="auto"/>
        <w:left w:val="none" w:sz="0" w:space="0" w:color="auto"/>
        <w:bottom w:val="none" w:sz="0" w:space="0" w:color="auto"/>
        <w:right w:val="none" w:sz="0" w:space="0" w:color="auto"/>
      </w:divBdr>
    </w:div>
    <w:div w:id="1277367774">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8770055">
      <w:bodyDiv w:val="1"/>
      <w:marLeft w:val="0"/>
      <w:marRight w:val="0"/>
      <w:marTop w:val="0"/>
      <w:marBottom w:val="0"/>
      <w:divBdr>
        <w:top w:val="none" w:sz="0" w:space="0" w:color="auto"/>
        <w:left w:val="none" w:sz="0" w:space="0" w:color="auto"/>
        <w:bottom w:val="none" w:sz="0" w:space="0" w:color="auto"/>
        <w:right w:val="none" w:sz="0" w:space="0" w:color="auto"/>
      </w:divBdr>
    </w:div>
    <w:div w:id="158638134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727">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58881385">
      <w:bodyDiv w:val="1"/>
      <w:marLeft w:val="0"/>
      <w:marRight w:val="0"/>
      <w:marTop w:val="0"/>
      <w:marBottom w:val="0"/>
      <w:divBdr>
        <w:top w:val="none" w:sz="0" w:space="0" w:color="auto"/>
        <w:left w:val="none" w:sz="0" w:space="0" w:color="auto"/>
        <w:bottom w:val="none" w:sz="0" w:space="0" w:color="auto"/>
        <w:right w:val="none" w:sz="0" w:space="0" w:color="auto"/>
      </w:divBdr>
    </w:div>
    <w:div w:id="2059626093">
      <w:bodyDiv w:val="1"/>
      <w:marLeft w:val="0"/>
      <w:marRight w:val="0"/>
      <w:marTop w:val="0"/>
      <w:marBottom w:val="0"/>
      <w:divBdr>
        <w:top w:val="none" w:sz="0" w:space="0" w:color="auto"/>
        <w:left w:val="none" w:sz="0" w:space="0" w:color="auto"/>
        <w:bottom w:val="none" w:sz="0" w:space="0" w:color="auto"/>
        <w:right w:val="none" w:sz="0" w:space="0" w:color="auto"/>
      </w:divBdr>
    </w:div>
    <w:div w:id="208591072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7d0051ac525ea27/Desktop/CNR/PRINSea%20H2/papers/LCA%20RO/recap%20lc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'ANALISI PARAMETRICA'!$E$75</c:f>
              <c:strCache>
                <c:ptCount val="1"/>
                <c:pt idx="0">
                  <c:v>pre-treat</c:v>
                </c:pt>
              </c:strCache>
            </c:strRef>
          </c:tx>
          <c:spPr>
            <a:solidFill>
              <a:schemeClr val="accent1"/>
            </a:solidFill>
            <a:ln>
              <a:noFill/>
            </a:ln>
            <a:effectLst/>
          </c:spPr>
          <c:invertIfNegative val="0"/>
          <c:cat>
            <c:strRef>
              <c:f>'ANALISI PARAMETRICA'!$F$74:$M$74</c:f>
              <c:strCache>
                <c:ptCount val="8"/>
                <c:pt idx="0">
                  <c:v>PEM_S1</c:v>
                </c:pt>
                <c:pt idx="1">
                  <c:v>PEM_S2</c:v>
                </c:pt>
                <c:pt idx="2">
                  <c:v>PEM_S3</c:v>
                </c:pt>
                <c:pt idx="3">
                  <c:v>PEM_S4</c:v>
                </c:pt>
                <c:pt idx="4">
                  <c:v>AEM_S1</c:v>
                </c:pt>
                <c:pt idx="5">
                  <c:v>AEM_S2</c:v>
                </c:pt>
                <c:pt idx="6">
                  <c:v>AEM_S3</c:v>
                </c:pt>
                <c:pt idx="7">
                  <c:v>AEM_S4</c:v>
                </c:pt>
              </c:strCache>
            </c:strRef>
          </c:cat>
          <c:val>
            <c:numRef>
              <c:f>'ANALISI PARAMETRICA'!$F$75:$M$75</c:f>
              <c:numCache>
                <c:formatCode>0.00E+00</c:formatCode>
                <c:ptCount val="8"/>
                <c:pt idx="0">
                  <c:v>3.5251200000000001E-3</c:v>
                </c:pt>
                <c:pt idx="1">
                  <c:v>4.5440999999999993E-4</c:v>
                </c:pt>
                <c:pt idx="2">
                  <c:v>1.155456E-2</c:v>
                </c:pt>
                <c:pt idx="3">
                  <c:v>1.4894549999999998E-3</c:v>
                </c:pt>
                <c:pt idx="4">
                  <c:v>3.5251200000000001E-3</c:v>
                </c:pt>
                <c:pt idx="5">
                  <c:v>4.5440999999999993E-4</c:v>
                </c:pt>
                <c:pt idx="6">
                  <c:v>1.155456E-2</c:v>
                </c:pt>
                <c:pt idx="7">
                  <c:v>1.4894549999999998E-3</c:v>
                </c:pt>
              </c:numCache>
            </c:numRef>
          </c:val>
          <c:extLst>
            <c:ext xmlns:c16="http://schemas.microsoft.com/office/drawing/2014/chart" uri="{C3380CC4-5D6E-409C-BE32-E72D297353CC}">
              <c16:uniqueId val="{00000000-3A8E-4330-877C-BB49DA587002}"/>
            </c:ext>
          </c:extLst>
        </c:ser>
        <c:ser>
          <c:idx val="1"/>
          <c:order val="1"/>
          <c:tx>
            <c:strRef>
              <c:f>'ANALISI PARAMETRICA'!$E$76</c:f>
              <c:strCache>
                <c:ptCount val="1"/>
                <c:pt idx="0">
                  <c:v>RO1</c:v>
                </c:pt>
              </c:strCache>
            </c:strRef>
          </c:tx>
          <c:spPr>
            <a:solidFill>
              <a:schemeClr val="accent2"/>
            </a:solidFill>
            <a:ln>
              <a:noFill/>
            </a:ln>
            <a:effectLst/>
          </c:spPr>
          <c:invertIfNegative val="0"/>
          <c:cat>
            <c:strRef>
              <c:f>'ANALISI PARAMETRICA'!$F$74:$M$74</c:f>
              <c:strCache>
                <c:ptCount val="8"/>
                <c:pt idx="0">
                  <c:v>PEM_S1</c:v>
                </c:pt>
                <c:pt idx="1">
                  <c:v>PEM_S2</c:v>
                </c:pt>
                <c:pt idx="2">
                  <c:v>PEM_S3</c:v>
                </c:pt>
                <c:pt idx="3">
                  <c:v>PEM_S4</c:v>
                </c:pt>
                <c:pt idx="4">
                  <c:v>AEM_S1</c:v>
                </c:pt>
                <c:pt idx="5">
                  <c:v>AEM_S2</c:v>
                </c:pt>
                <c:pt idx="6">
                  <c:v>AEM_S3</c:v>
                </c:pt>
                <c:pt idx="7">
                  <c:v>AEM_S4</c:v>
                </c:pt>
              </c:strCache>
            </c:strRef>
          </c:cat>
          <c:val>
            <c:numRef>
              <c:f>'ANALISI PARAMETRICA'!$F$76:$M$76</c:f>
              <c:numCache>
                <c:formatCode>0.00E+00</c:formatCode>
                <c:ptCount val="8"/>
                <c:pt idx="0">
                  <c:v>8.9510399999999987E-3</c:v>
                </c:pt>
                <c:pt idx="1">
                  <c:v>1.1538449999999997E-3</c:v>
                </c:pt>
                <c:pt idx="2">
                  <c:v>2.9339519999999997E-2</c:v>
                </c:pt>
                <c:pt idx="3">
                  <c:v>3.7820474999999995E-3</c:v>
                </c:pt>
                <c:pt idx="4">
                  <c:v>8.9510399999999987E-3</c:v>
                </c:pt>
                <c:pt idx="5">
                  <c:v>1.1538449999999997E-3</c:v>
                </c:pt>
                <c:pt idx="6">
                  <c:v>2.9339519999999997E-2</c:v>
                </c:pt>
                <c:pt idx="7">
                  <c:v>3.7820474999999995E-3</c:v>
                </c:pt>
              </c:numCache>
            </c:numRef>
          </c:val>
          <c:extLst>
            <c:ext xmlns:c16="http://schemas.microsoft.com/office/drawing/2014/chart" uri="{C3380CC4-5D6E-409C-BE32-E72D297353CC}">
              <c16:uniqueId val="{00000001-3A8E-4330-877C-BB49DA587002}"/>
            </c:ext>
          </c:extLst>
        </c:ser>
        <c:ser>
          <c:idx val="2"/>
          <c:order val="2"/>
          <c:tx>
            <c:strRef>
              <c:f>'ANALISI PARAMETRICA'!$E$77</c:f>
              <c:strCache>
                <c:ptCount val="1"/>
                <c:pt idx="0">
                  <c:v>RO2</c:v>
                </c:pt>
              </c:strCache>
            </c:strRef>
          </c:tx>
          <c:spPr>
            <a:solidFill>
              <a:schemeClr val="accent3"/>
            </a:solidFill>
            <a:ln>
              <a:noFill/>
            </a:ln>
            <a:effectLst/>
          </c:spPr>
          <c:invertIfNegative val="0"/>
          <c:cat>
            <c:strRef>
              <c:f>'ANALISI PARAMETRICA'!$F$74:$M$74</c:f>
              <c:strCache>
                <c:ptCount val="8"/>
                <c:pt idx="0">
                  <c:v>PEM_S1</c:v>
                </c:pt>
                <c:pt idx="1">
                  <c:v>PEM_S2</c:v>
                </c:pt>
                <c:pt idx="2">
                  <c:v>PEM_S3</c:v>
                </c:pt>
                <c:pt idx="3">
                  <c:v>PEM_S4</c:v>
                </c:pt>
                <c:pt idx="4">
                  <c:v>AEM_S1</c:v>
                </c:pt>
                <c:pt idx="5">
                  <c:v>AEM_S2</c:v>
                </c:pt>
                <c:pt idx="6">
                  <c:v>AEM_S3</c:v>
                </c:pt>
                <c:pt idx="7">
                  <c:v>AEM_S4</c:v>
                </c:pt>
              </c:strCache>
            </c:strRef>
          </c:cat>
          <c:val>
            <c:numRef>
              <c:f>'ANALISI PARAMETRICA'!$F$77:$M$77</c:f>
              <c:numCache>
                <c:formatCode>0.00E+00</c:formatCode>
                <c:ptCount val="8"/>
                <c:pt idx="0">
                  <c:v>6.5663999999999989E-4</c:v>
                </c:pt>
                <c:pt idx="1">
                  <c:v>8.4644999999999973E-5</c:v>
                </c:pt>
                <c:pt idx="2">
                  <c:v>2.1523199999999997E-3</c:v>
                </c:pt>
                <c:pt idx="3">
                  <c:v>2.7744749999999996E-4</c:v>
                </c:pt>
                <c:pt idx="4">
                  <c:v>6.5663999999999989E-4</c:v>
                </c:pt>
                <c:pt idx="5">
                  <c:v>8.4644999999999973E-5</c:v>
                </c:pt>
                <c:pt idx="6">
                  <c:v>2.1523199999999997E-3</c:v>
                </c:pt>
                <c:pt idx="7">
                  <c:v>2.7744749999999996E-4</c:v>
                </c:pt>
              </c:numCache>
            </c:numRef>
          </c:val>
          <c:extLst>
            <c:ext xmlns:c16="http://schemas.microsoft.com/office/drawing/2014/chart" uri="{C3380CC4-5D6E-409C-BE32-E72D297353CC}">
              <c16:uniqueId val="{00000002-3A8E-4330-877C-BB49DA587002}"/>
            </c:ext>
          </c:extLst>
        </c:ser>
        <c:ser>
          <c:idx val="3"/>
          <c:order val="3"/>
          <c:tx>
            <c:strRef>
              <c:f>'ANALISI PARAMETRICA'!$E$78</c:f>
              <c:strCache>
                <c:ptCount val="1"/>
                <c:pt idx="0">
                  <c:v>ED</c:v>
                </c:pt>
              </c:strCache>
            </c:strRef>
          </c:tx>
          <c:spPr>
            <a:solidFill>
              <a:schemeClr val="accent4"/>
            </a:solidFill>
            <a:ln>
              <a:noFill/>
            </a:ln>
            <a:effectLst/>
          </c:spPr>
          <c:invertIfNegative val="0"/>
          <c:cat>
            <c:strRef>
              <c:f>'ANALISI PARAMETRICA'!$F$74:$M$74</c:f>
              <c:strCache>
                <c:ptCount val="8"/>
                <c:pt idx="0">
                  <c:v>PEM_S1</c:v>
                </c:pt>
                <c:pt idx="1">
                  <c:v>PEM_S2</c:v>
                </c:pt>
                <c:pt idx="2">
                  <c:v>PEM_S3</c:v>
                </c:pt>
                <c:pt idx="3">
                  <c:v>PEM_S4</c:v>
                </c:pt>
                <c:pt idx="4">
                  <c:v>AEM_S1</c:v>
                </c:pt>
                <c:pt idx="5">
                  <c:v>AEM_S2</c:v>
                </c:pt>
                <c:pt idx="6">
                  <c:v>AEM_S3</c:v>
                </c:pt>
                <c:pt idx="7">
                  <c:v>AEM_S4</c:v>
                </c:pt>
              </c:strCache>
            </c:strRef>
          </c:cat>
          <c:val>
            <c:numRef>
              <c:f>'ANALISI PARAMETRICA'!$F$78:$M$78</c:f>
              <c:numCache>
                <c:formatCode>0.00E+00</c:formatCode>
                <c:ptCount val="8"/>
                <c:pt idx="0">
                  <c:v>1.3478399999999999E-3</c:v>
                </c:pt>
                <c:pt idx="1">
                  <c:v>1.7374499999999997E-4</c:v>
                </c:pt>
                <c:pt idx="2">
                  <c:v>4.4179199999999997E-3</c:v>
                </c:pt>
                <c:pt idx="3">
                  <c:v>5.6949749999999993E-4</c:v>
                </c:pt>
                <c:pt idx="4">
                  <c:v>1.3478399999999999E-3</c:v>
                </c:pt>
                <c:pt idx="5">
                  <c:v>1.7374499999999997E-4</c:v>
                </c:pt>
                <c:pt idx="6">
                  <c:v>4.4179199999999997E-3</c:v>
                </c:pt>
                <c:pt idx="7">
                  <c:v>5.6949749999999993E-4</c:v>
                </c:pt>
              </c:numCache>
            </c:numRef>
          </c:val>
          <c:extLst>
            <c:ext xmlns:c16="http://schemas.microsoft.com/office/drawing/2014/chart" uri="{C3380CC4-5D6E-409C-BE32-E72D297353CC}">
              <c16:uniqueId val="{00000003-3A8E-4330-877C-BB49DA587002}"/>
            </c:ext>
          </c:extLst>
        </c:ser>
        <c:ser>
          <c:idx val="4"/>
          <c:order val="4"/>
          <c:tx>
            <c:strRef>
              <c:f>'ANALISI PARAMETRICA'!$E$79</c:f>
              <c:strCache>
                <c:ptCount val="1"/>
                <c:pt idx="0">
                  <c:v>Electrolyz_prod</c:v>
                </c:pt>
              </c:strCache>
            </c:strRef>
          </c:tx>
          <c:spPr>
            <a:solidFill>
              <a:schemeClr val="accent5"/>
            </a:solidFill>
            <a:ln>
              <a:noFill/>
            </a:ln>
            <a:effectLst/>
          </c:spPr>
          <c:invertIfNegative val="0"/>
          <c:cat>
            <c:strRef>
              <c:f>'ANALISI PARAMETRICA'!$F$74:$M$74</c:f>
              <c:strCache>
                <c:ptCount val="8"/>
                <c:pt idx="0">
                  <c:v>PEM_S1</c:v>
                </c:pt>
                <c:pt idx="1">
                  <c:v>PEM_S2</c:v>
                </c:pt>
                <c:pt idx="2">
                  <c:v>PEM_S3</c:v>
                </c:pt>
                <c:pt idx="3">
                  <c:v>PEM_S4</c:v>
                </c:pt>
                <c:pt idx="4">
                  <c:v>AEM_S1</c:v>
                </c:pt>
                <c:pt idx="5">
                  <c:v>AEM_S2</c:v>
                </c:pt>
                <c:pt idx="6">
                  <c:v>AEM_S3</c:v>
                </c:pt>
                <c:pt idx="7">
                  <c:v>AEM_S4</c:v>
                </c:pt>
              </c:strCache>
            </c:strRef>
          </c:cat>
          <c:val>
            <c:numRef>
              <c:f>'ANALISI PARAMETRICA'!$F$79:$M$79</c:f>
              <c:numCache>
                <c:formatCode>0.000</c:formatCode>
                <c:ptCount val="8"/>
                <c:pt idx="0">
                  <c:v>0.17280000000000001</c:v>
                </c:pt>
                <c:pt idx="1">
                  <c:v>0.17280000000000001</c:v>
                </c:pt>
                <c:pt idx="2">
                  <c:v>0.17280000000000001</c:v>
                </c:pt>
                <c:pt idx="3">
                  <c:v>0.17280000000000001</c:v>
                </c:pt>
                <c:pt idx="4" formatCode="0.00E+00">
                  <c:v>0.15240000000000001</c:v>
                </c:pt>
                <c:pt idx="5" formatCode="0.00">
                  <c:v>0.15240000000000001</c:v>
                </c:pt>
                <c:pt idx="6" formatCode="0.00E+00">
                  <c:v>0.15240000000000001</c:v>
                </c:pt>
                <c:pt idx="7">
                  <c:v>0.15240000000000001</c:v>
                </c:pt>
              </c:numCache>
            </c:numRef>
          </c:val>
          <c:extLst>
            <c:ext xmlns:c16="http://schemas.microsoft.com/office/drawing/2014/chart" uri="{C3380CC4-5D6E-409C-BE32-E72D297353CC}">
              <c16:uniqueId val="{00000004-3A8E-4330-877C-BB49DA587002}"/>
            </c:ext>
          </c:extLst>
        </c:ser>
        <c:ser>
          <c:idx val="5"/>
          <c:order val="5"/>
          <c:tx>
            <c:strRef>
              <c:f>'ANALISI PARAMETRICA'!$E$80</c:f>
              <c:strCache>
                <c:ptCount val="1"/>
                <c:pt idx="0">
                  <c:v>Electrolyz_use</c:v>
                </c:pt>
              </c:strCache>
            </c:strRef>
          </c:tx>
          <c:spPr>
            <a:solidFill>
              <a:schemeClr val="accent6"/>
            </a:solidFill>
            <a:ln>
              <a:noFill/>
            </a:ln>
            <a:effectLst/>
          </c:spPr>
          <c:invertIfNegative val="0"/>
          <c:dPt>
            <c:idx val="3"/>
            <c:invertIfNegative val="0"/>
            <c:bubble3D val="0"/>
            <c:spPr>
              <a:solidFill>
                <a:schemeClr val="accent6"/>
              </a:solidFill>
              <a:ln>
                <a:noFill/>
              </a:ln>
              <a:effectLst/>
            </c:spPr>
            <c:extLst>
              <c:ext xmlns:c16="http://schemas.microsoft.com/office/drawing/2014/chart" uri="{C3380CC4-5D6E-409C-BE32-E72D297353CC}">
                <c16:uniqueId val="{00000006-3A8E-4330-877C-BB49DA587002}"/>
              </c:ext>
            </c:extLst>
          </c:dPt>
          <c:cat>
            <c:strRef>
              <c:f>'ANALISI PARAMETRICA'!$F$74:$M$74</c:f>
              <c:strCache>
                <c:ptCount val="8"/>
                <c:pt idx="0">
                  <c:v>PEM_S1</c:v>
                </c:pt>
                <c:pt idx="1">
                  <c:v>PEM_S2</c:v>
                </c:pt>
                <c:pt idx="2">
                  <c:v>PEM_S3</c:v>
                </c:pt>
                <c:pt idx="3">
                  <c:v>PEM_S4</c:v>
                </c:pt>
                <c:pt idx="4">
                  <c:v>AEM_S1</c:v>
                </c:pt>
                <c:pt idx="5">
                  <c:v>AEM_S2</c:v>
                </c:pt>
                <c:pt idx="6">
                  <c:v>AEM_S3</c:v>
                </c:pt>
                <c:pt idx="7">
                  <c:v>AEM_S4</c:v>
                </c:pt>
              </c:strCache>
            </c:strRef>
          </c:cat>
          <c:val>
            <c:numRef>
              <c:f>'ANALISI PARAMETRICA'!$F$80:$M$80</c:f>
              <c:numCache>
                <c:formatCode>0.00</c:formatCode>
                <c:ptCount val="8"/>
                <c:pt idx="0">
                  <c:v>22.099367912727271</c:v>
                </c:pt>
                <c:pt idx="1">
                  <c:v>2.8487466449999994</c:v>
                </c:pt>
                <c:pt idx="2">
                  <c:v>22.132351592727272</c:v>
                </c:pt>
                <c:pt idx="3">
                  <c:v>2.8529984474999996</c:v>
                </c:pt>
                <c:pt idx="4">
                  <c:v>21.043717003636363</c:v>
                </c:pt>
                <c:pt idx="5">
                  <c:v>2.7126666449999997</c:v>
                </c:pt>
                <c:pt idx="6">
                  <c:v>21.076700683636364</c:v>
                </c:pt>
                <c:pt idx="7">
                  <c:v>2.7169184474999999</c:v>
                </c:pt>
              </c:numCache>
            </c:numRef>
          </c:val>
          <c:extLst>
            <c:ext xmlns:c16="http://schemas.microsoft.com/office/drawing/2014/chart" uri="{C3380CC4-5D6E-409C-BE32-E72D297353CC}">
              <c16:uniqueId val="{00000007-3A8E-4330-877C-BB49DA587002}"/>
            </c:ext>
          </c:extLst>
        </c:ser>
        <c:dLbls>
          <c:showLegendKey val="0"/>
          <c:showVal val="0"/>
          <c:showCatName val="0"/>
          <c:showSerName val="0"/>
          <c:showPercent val="0"/>
          <c:showBubbleSize val="0"/>
        </c:dLbls>
        <c:gapWidth val="150"/>
        <c:overlap val="100"/>
        <c:axId val="1031353168"/>
        <c:axId val="1031353648"/>
      </c:barChart>
      <c:catAx>
        <c:axId val="10313531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1031353648"/>
        <c:crosses val="autoZero"/>
        <c:auto val="1"/>
        <c:lblAlgn val="ctr"/>
        <c:lblOffset val="100"/>
        <c:noMultiLvlLbl val="0"/>
      </c:catAx>
      <c:valAx>
        <c:axId val="1031353648"/>
        <c:scaling>
          <c:logBase val="10"/>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1031353168"/>
        <c:crosses val="autoZero"/>
        <c:crossBetween val="between"/>
      </c:valAx>
      <c:spPr>
        <a:noFill/>
        <a:ln>
          <a:solidFill>
            <a:schemeClr val="tx1"/>
          </a:solidFill>
        </a:ln>
        <a:effectLst/>
      </c:spPr>
    </c:plotArea>
    <c:legend>
      <c:legendPos val="r"/>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a:latin typeface="Arial" panose="020B0604020202020204" pitchFamily="34" charset="0"/>
          <a:cs typeface="Arial" panose="020B060402020202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6FC077-7593-4447-B6ED-3AD6EEDA95DD}">
  <we:reference id="wa104382081" version="1.55.1.0" store="it-IT"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3549</Words>
  <Characters>20234</Characters>
  <Application>Microsoft Office Word</Application>
  <DocSecurity>0</DocSecurity>
  <Lines>168</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manfredi maniscalco</cp:lastModifiedBy>
  <cp:revision>11</cp:revision>
  <cp:lastPrinted>2015-05-12T18:31:00Z</cp:lastPrinted>
  <dcterms:created xsi:type="dcterms:W3CDTF">2025-06-24T09:59:00Z</dcterms:created>
  <dcterms:modified xsi:type="dcterms:W3CDTF">2025-06-24T10:24:00Z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