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777F9A" w14:paraId="2A131A54" w14:textId="77777777" w:rsidTr="00A96BEF">
        <w:trPr>
          <w:trHeight w:val="852"/>
          <w:jc w:val="center"/>
        </w:trPr>
        <w:tc>
          <w:tcPr>
            <w:tcW w:w="6940" w:type="dxa"/>
            <w:vMerge w:val="restart"/>
            <w:tcBorders>
              <w:right w:val="single" w:sz="4" w:space="0" w:color="auto"/>
            </w:tcBorders>
          </w:tcPr>
          <w:p w14:paraId="38C3D2BA" w14:textId="77777777" w:rsidR="000A03B2" w:rsidRPr="00777F9A" w:rsidRDefault="000A03B2" w:rsidP="00DE264A">
            <w:pPr>
              <w:tabs>
                <w:tab w:val="left" w:pos="-108"/>
              </w:tabs>
              <w:ind w:left="-108"/>
              <w:jc w:val="left"/>
              <w:rPr>
                <w:rFonts w:cs="Arial"/>
                <w:b/>
                <w:bCs/>
                <w:i/>
                <w:iCs/>
                <w:color w:val="000066"/>
                <w:sz w:val="12"/>
                <w:szCs w:val="12"/>
                <w:lang w:eastAsia="it-IT"/>
              </w:rPr>
            </w:pPr>
            <w:bookmarkStart w:id="0" w:name="_Hlk145068772"/>
            <w:r w:rsidRPr="00777F9A">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777F9A">
              <w:rPr>
                <w:rFonts w:ascii="AdvP6960" w:hAnsi="AdvP6960" w:cs="AdvP6960"/>
                <w:color w:val="241F20"/>
                <w:szCs w:val="18"/>
                <w:lang w:eastAsia="it-IT"/>
              </w:rPr>
              <w:t xml:space="preserve"> </w:t>
            </w:r>
            <w:r w:rsidRPr="00777F9A">
              <w:rPr>
                <w:rFonts w:cs="Arial"/>
                <w:b/>
                <w:bCs/>
                <w:i/>
                <w:iCs/>
                <w:color w:val="000066"/>
                <w:sz w:val="24"/>
                <w:szCs w:val="24"/>
                <w:lang w:eastAsia="it-IT"/>
              </w:rPr>
              <w:t>CHEMICAL ENGINEERING</w:t>
            </w:r>
            <w:r w:rsidRPr="00777F9A">
              <w:rPr>
                <w:rFonts w:cs="Arial"/>
                <w:b/>
                <w:bCs/>
                <w:i/>
                <w:iCs/>
                <w:color w:val="0033FF"/>
                <w:sz w:val="24"/>
                <w:szCs w:val="24"/>
                <w:lang w:eastAsia="it-IT"/>
              </w:rPr>
              <w:t xml:space="preserve"> </w:t>
            </w:r>
            <w:r w:rsidRPr="00777F9A">
              <w:rPr>
                <w:rFonts w:cs="Arial"/>
                <w:b/>
                <w:bCs/>
                <w:i/>
                <w:iCs/>
                <w:color w:val="666666"/>
                <w:sz w:val="24"/>
                <w:szCs w:val="24"/>
                <w:lang w:eastAsia="it-IT"/>
              </w:rPr>
              <w:t>TRANSACTIONS</w:t>
            </w:r>
            <w:r w:rsidRPr="00777F9A">
              <w:rPr>
                <w:color w:val="333333"/>
                <w:sz w:val="24"/>
                <w:szCs w:val="24"/>
                <w:lang w:eastAsia="it-IT"/>
              </w:rPr>
              <w:t xml:space="preserve"> </w:t>
            </w:r>
            <w:r w:rsidRPr="00777F9A">
              <w:rPr>
                <w:rFonts w:cs="Arial"/>
                <w:b/>
                <w:bCs/>
                <w:i/>
                <w:iCs/>
                <w:color w:val="000066"/>
                <w:sz w:val="27"/>
                <w:szCs w:val="27"/>
                <w:lang w:eastAsia="it-IT"/>
              </w:rPr>
              <w:br/>
            </w:r>
          </w:p>
          <w:p w14:paraId="4B780582" w14:textId="47EF826C" w:rsidR="000A03B2" w:rsidRPr="00777F9A" w:rsidRDefault="00A76EFC" w:rsidP="001D21AF">
            <w:pPr>
              <w:tabs>
                <w:tab w:val="left" w:pos="-108"/>
              </w:tabs>
              <w:ind w:left="-108"/>
              <w:rPr>
                <w:rFonts w:cs="Arial"/>
                <w:b/>
                <w:bCs/>
                <w:i/>
                <w:iCs/>
                <w:color w:val="000066"/>
                <w:sz w:val="22"/>
                <w:szCs w:val="22"/>
                <w:lang w:eastAsia="it-IT"/>
              </w:rPr>
            </w:pPr>
            <w:r w:rsidRPr="00777F9A">
              <w:rPr>
                <w:rFonts w:cs="Arial"/>
                <w:b/>
                <w:bCs/>
                <w:i/>
                <w:iCs/>
                <w:color w:val="000066"/>
                <w:sz w:val="22"/>
                <w:szCs w:val="22"/>
                <w:lang w:eastAsia="it-IT"/>
              </w:rPr>
              <w:t>VOL.</w:t>
            </w:r>
            <w:r w:rsidR="00785BF9" w:rsidRPr="00777F9A">
              <w:rPr>
                <w:rFonts w:cs="Arial"/>
                <w:b/>
                <w:bCs/>
                <w:i/>
                <w:iCs/>
                <w:color w:val="000066"/>
                <w:sz w:val="22"/>
                <w:szCs w:val="22"/>
                <w:lang w:eastAsia="it-IT"/>
              </w:rPr>
              <w:t xml:space="preserve"> </w:t>
            </w:r>
            <w:r w:rsidR="00994C6A" w:rsidRPr="00777F9A">
              <w:rPr>
                <w:rFonts w:cs="Arial"/>
                <w:b/>
                <w:bCs/>
                <w:i/>
                <w:iCs/>
                <w:color w:val="000066"/>
                <w:sz w:val="22"/>
                <w:szCs w:val="22"/>
                <w:lang w:eastAsia="it-IT"/>
              </w:rPr>
              <w:t>xxx</w:t>
            </w:r>
            <w:r w:rsidR="007B48F9" w:rsidRPr="00777F9A">
              <w:rPr>
                <w:rFonts w:cs="Arial"/>
                <w:b/>
                <w:bCs/>
                <w:i/>
                <w:iCs/>
                <w:color w:val="000066"/>
                <w:sz w:val="22"/>
                <w:szCs w:val="22"/>
                <w:lang w:eastAsia="it-IT"/>
              </w:rPr>
              <w:t>,</w:t>
            </w:r>
            <w:r w:rsidR="00FA5F5F" w:rsidRPr="00777F9A">
              <w:rPr>
                <w:rFonts w:cs="Arial"/>
                <w:b/>
                <w:bCs/>
                <w:i/>
                <w:iCs/>
                <w:color w:val="000066"/>
                <w:sz w:val="22"/>
                <w:szCs w:val="22"/>
                <w:lang w:eastAsia="it-IT"/>
              </w:rPr>
              <w:t xml:space="preserve"> </w:t>
            </w:r>
            <w:r w:rsidR="0030152C" w:rsidRPr="00777F9A">
              <w:rPr>
                <w:rFonts w:cs="Arial"/>
                <w:b/>
                <w:bCs/>
                <w:i/>
                <w:iCs/>
                <w:color w:val="000066"/>
                <w:sz w:val="22"/>
                <w:szCs w:val="22"/>
                <w:lang w:eastAsia="it-IT"/>
              </w:rPr>
              <w:t>202</w:t>
            </w:r>
            <w:r w:rsidR="00994C6A" w:rsidRPr="00777F9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777F9A" w:rsidRDefault="000A03B2" w:rsidP="00CD5FE2">
            <w:pPr>
              <w:spacing w:line="140" w:lineRule="atLeast"/>
              <w:jc w:val="right"/>
              <w:rPr>
                <w:rFonts w:cs="Arial"/>
                <w:sz w:val="14"/>
                <w:szCs w:val="14"/>
              </w:rPr>
            </w:pPr>
            <w:r w:rsidRPr="00777F9A">
              <w:rPr>
                <w:rFonts w:cs="Arial"/>
                <w:sz w:val="14"/>
                <w:szCs w:val="14"/>
              </w:rPr>
              <w:t>A publication of</w:t>
            </w:r>
          </w:p>
          <w:p w14:paraId="599E5441" w14:textId="77777777" w:rsidR="000A03B2" w:rsidRPr="00777F9A" w:rsidRDefault="000A03B2" w:rsidP="00CD5FE2">
            <w:pPr>
              <w:jc w:val="right"/>
            </w:pPr>
            <w:r w:rsidRPr="00777F9A">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777F9A" w14:paraId="380FA3CD" w14:textId="77777777" w:rsidTr="00A96BEF">
        <w:trPr>
          <w:trHeight w:val="567"/>
          <w:jc w:val="center"/>
        </w:trPr>
        <w:tc>
          <w:tcPr>
            <w:tcW w:w="6940" w:type="dxa"/>
            <w:vMerge/>
            <w:tcBorders>
              <w:right w:val="single" w:sz="4" w:space="0" w:color="auto"/>
            </w:tcBorders>
          </w:tcPr>
          <w:p w14:paraId="39E5E4C1" w14:textId="77777777" w:rsidR="000A03B2" w:rsidRPr="00777F9A"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777F9A" w:rsidRDefault="000A03B2" w:rsidP="00CD5FE2">
            <w:pPr>
              <w:spacing w:line="140" w:lineRule="atLeast"/>
              <w:jc w:val="right"/>
              <w:rPr>
                <w:rFonts w:cs="Arial"/>
                <w:sz w:val="14"/>
                <w:szCs w:val="14"/>
              </w:rPr>
            </w:pPr>
            <w:r w:rsidRPr="00777F9A">
              <w:rPr>
                <w:rFonts w:cs="Arial"/>
                <w:sz w:val="14"/>
                <w:szCs w:val="14"/>
              </w:rPr>
              <w:t>The Italian Association</w:t>
            </w:r>
          </w:p>
          <w:p w14:paraId="7522B1D2" w14:textId="77777777" w:rsidR="000A03B2" w:rsidRPr="00777F9A" w:rsidRDefault="000A03B2" w:rsidP="00CD5FE2">
            <w:pPr>
              <w:spacing w:line="140" w:lineRule="atLeast"/>
              <w:jc w:val="right"/>
              <w:rPr>
                <w:rFonts w:cs="Arial"/>
                <w:sz w:val="14"/>
                <w:szCs w:val="14"/>
              </w:rPr>
            </w:pPr>
            <w:r w:rsidRPr="00777F9A">
              <w:rPr>
                <w:rFonts w:cs="Arial"/>
                <w:sz w:val="14"/>
                <w:szCs w:val="14"/>
              </w:rPr>
              <w:t>of Chemical Engineering</w:t>
            </w:r>
          </w:p>
          <w:p w14:paraId="4F0CC5DE" w14:textId="47FDB2FC" w:rsidR="000A03B2" w:rsidRPr="00777F9A" w:rsidRDefault="000D0268" w:rsidP="00CD5FE2">
            <w:pPr>
              <w:spacing w:line="140" w:lineRule="atLeast"/>
              <w:jc w:val="right"/>
              <w:rPr>
                <w:rFonts w:cs="Arial"/>
                <w:sz w:val="13"/>
                <w:szCs w:val="13"/>
              </w:rPr>
            </w:pPr>
            <w:r w:rsidRPr="00777F9A">
              <w:rPr>
                <w:rFonts w:cs="Arial"/>
                <w:sz w:val="13"/>
                <w:szCs w:val="13"/>
              </w:rPr>
              <w:t>Online at www.cetjournal.it</w:t>
            </w:r>
          </w:p>
        </w:tc>
      </w:tr>
      <w:tr w:rsidR="000A03B2" w:rsidRPr="00777F9A" w14:paraId="2D1B7169" w14:textId="77777777" w:rsidTr="00A96BEF">
        <w:trPr>
          <w:trHeight w:val="68"/>
          <w:jc w:val="center"/>
        </w:trPr>
        <w:tc>
          <w:tcPr>
            <w:tcW w:w="8782" w:type="dxa"/>
            <w:gridSpan w:val="2"/>
          </w:tcPr>
          <w:p w14:paraId="1D8DD3C9" w14:textId="0F721BB9" w:rsidR="00AA7D26" w:rsidRPr="00777F9A" w:rsidRDefault="00AA7D26" w:rsidP="008832AA">
            <w:pPr>
              <w:ind w:left="-107"/>
              <w:outlineLvl w:val="2"/>
              <w:rPr>
                <w:rFonts w:ascii="Aptos" w:eastAsiaTheme="minorHAnsi" w:hAnsi="Aptos" w:cs="Aptos"/>
                <w:sz w:val="22"/>
                <w:szCs w:val="22"/>
                <w:lang w:val="it-IT"/>
                <w14:ligatures w14:val="standardContextual"/>
              </w:rPr>
            </w:pPr>
            <w:r w:rsidRPr="00777F9A">
              <w:rPr>
                <w:rFonts w:ascii="Tahoma" w:hAnsi="Tahoma" w:cs="Tahoma"/>
                <w:iCs/>
                <w:color w:val="333333"/>
                <w:sz w:val="14"/>
                <w:szCs w:val="14"/>
                <w:lang w:val="it-IT" w:eastAsia="it-IT"/>
              </w:rPr>
              <w:t>Guest Editors:</w:t>
            </w:r>
            <w:r w:rsidR="008832AA" w:rsidRPr="00777F9A">
              <w:rPr>
                <w:rFonts w:ascii="Aptos" w:eastAsiaTheme="minorHAnsi" w:hAnsi="Aptos" w:cs="Aptos"/>
                <w:sz w:val="22"/>
                <w:szCs w:val="22"/>
                <w:lang w:val="it-IT"/>
              </w:rPr>
              <w:t xml:space="preserve"> </w:t>
            </w:r>
            <w:r w:rsidR="008832AA" w:rsidRPr="00777F9A">
              <w:rPr>
                <w:rFonts w:ascii="Tahoma" w:eastAsiaTheme="minorHAnsi" w:hAnsi="Tahoma" w:cs="Tahoma"/>
                <w:sz w:val="14"/>
                <w:szCs w:val="14"/>
                <w:lang w:val="it-IT"/>
                <w14:ligatures w14:val="standardContextual"/>
              </w:rPr>
              <w:t>David Bogle, Flavio Manenti, Piero Salatino</w:t>
            </w:r>
          </w:p>
          <w:p w14:paraId="1B0F1814" w14:textId="39433521" w:rsidR="000A03B2" w:rsidRPr="00777F9A" w:rsidRDefault="00AA7D26" w:rsidP="00AA7D26">
            <w:pPr>
              <w:tabs>
                <w:tab w:val="left" w:pos="-108"/>
              </w:tabs>
              <w:spacing w:line="140" w:lineRule="atLeast"/>
              <w:ind w:left="-107"/>
              <w:jc w:val="left"/>
            </w:pPr>
            <w:r w:rsidRPr="00777F9A">
              <w:rPr>
                <w:rFonts w:ascii="Tahoma" w:hAnsi="Tahoma" w:cs="Tahoma"/>
                <w:iCs/>
                <w:color w:val="333333"/>
                <w:sz w:val="14"/>
                <w:szCs w:val="14"/>
                <w:lang w:eastAsia="it-IT"/>
              </w:rPr>
              <w:t>Copyright © 202</w:t>
            </w:r>
            <w:r w:rsidR="00994C6A" w:rsidRPr="00777F9A">
              <w:rPr>
                <w:rFonts w:ascii="Tahoma" w:hAnsi="Tahoma" w:cs="Tahoma"/>
                <w:iCs/>
                <w:color w:val="333333"/>
                <w:sz w:val="14"/>
                <w:szCs w:val="14"/>
                <w:lang w:eastAsia="it-IT"/>
              </w:rPr>
              <w:t>5</w:t>
            </w:r>
            <w:r w:rsidRPr="00777F9A">
              <w:rPr>
                <w:rFonts w:ascii="Tahoma" w:hAnsi="Tahoma" w:cs="Tahoma"/>
                <w:iCs/>
                <w:color w:val="333333"/>
                <w:sz w:val="14"/>
                <w:szCs w:val="14"/>
                <w:lang w:eastAsia="it-IT"/>
              </w:rPr>
              <w:t xml:space="preserve">, AIDIC Servizi </w:t>
            </w:r>
            <w:proofErr w:type="spellStart"/>
            <w:r w:rsidRPr="00777F9A">
              <w:rPr>
                <w:rFonts w:ascii="Tahoma" w:hAnsi="Tahoma" w:cs="Tahoma"/>
                <w:iCs/>
                <w:color w:val="333333"/>
                <w:sz w:val="14"/>
                <w:szCs w:val="14"/>
                <w:lang w:eastAsia="it-IT"/>
              </w:rPr>
              <w:t>S.r.l</w:t>
            </w:r>
            <w:proofErr w:type="spellEnd"/>
            <w:r w:rsidRPr="00777F9A">
              <w:rPr>
                <w:rFonts w:ascii="Tahoma" w:hAnsi="Tahoma" w:cs="Tahoma"/>
                <w:iCs/>
                <w:color w:val="333333"/>
                <w:sz w:val="14"/>
                <w:szCs w:val="14"/>
                <w:lang w:eastAsia="it-IT"/>
              </w:rPr>
              <w:t>.</w:t>
            </w:r>
            <w:r w:rsidRPr="00777F9A">
              <w:rPr>
                <w:rFonts w:ascii="Tahoma" w:hAnsi="Tahoma" w:cs="Tahoma"/>
                <w:iCs/>
                <w:color w:val="333333"/>
                <w:sz w:val="14"/>
                <w:szCs w:val="14"/>
                <w:lang w:eastAsia="it-IT"/>
              </w:rPr>
              <w:br/>
            </w:r>
            <w:r w:rsidRPr="00777F9A">
              <w:rPr>
                <w:rFonts w:ascii="Tahoma" w:hAnsi="Tahoma" w:cs="Tahoma"/>
                <w:b/>
                <w:iCs/>
                <w:color w:val="000000"/>
                <w:sz w:val="14"/>
                <w:szCs w:val="14"/>
                <w:lang w:eastAsia="it-IT"/>
              </w:rPr>
              <w:t>ISBN</w:t>
            </w:r>
            <w:r w:rsidRPr="00777F9A">
              <w:rPr>
                <w:rFonts w:ascii="Tahoma" w:hAnsi="Tahoma" w:cs="Tahoma"/>
                <w:iCs/>
                <w:color w:val="000000"/>
                <w:sz w:val="14"/>
                <w:szCs w:val="14"/>
                <w:lang w:eastAsia="it-IT"/>
              </w:rPr>
              <w:t xml:space="preserve"> </w:t>
            </w:r>
            <w:r w:rsidR="003B49CD" w:rsidRPr="00777F9A">
              <w:rPr>
                <w:rFonts w:ascii="Tahoma" w:hAnsi="Tahoma" w:cs="Tahoma"/>
                <w:sz w:val="14"/>
                <w:szCs w:val="14"/>
              </w:rPr>
              <w:t>979-12-81206-</w:t>
            </w:r>
            <w:r w:rsidR="003904D3" w:rsidRPr="00777F9A">
              <w:rPr>
                <w:rFonts w:ascii="Tahoma" w:hAnsi="Tahoma" w:cs="Tahoma"/>
                <w:sz w:val="14"/>
                <w:szCs w:val="14"/>
              </w:rPr>
              <w:t>21</w:t>
            </w:r>
            <w:r w:rsidR="003B49CD" w:rsidRPr="00777F9A">
              <w:rPr>
                <w:rFonts w:ascii="Tahoma" w:hAnsi="Tahoma" w:cs="Tahoma"/>
                <w:sz w:val="14"/>
                <w:szCs w:val="14"/>
              </w:rPr>
              <w:t>-</w:t>
            </w:r>
            <w:r w:rsidR="003904D3" w:rsidRPr="00777F9A">
              <w:rPr>
                <w:rFonts w:ascii="Tahoma" w:hAnsi="Tahoma" w:cs="Tahoma"/>
                <w:sz w:val="14"/>
                <w:szCs w:val="14"/>
              </w:rPr>
              <w:t>2</w:t>
            </w:r>
            <w:r w:rsidRPr="00777F9A">
              <w:rPr>
                <w:rFonts w:ascii="Tahoma" w:hAnsi="Tahoma" w:cs="Tahoma"/>
                <w:iCs/>
                <w:color w:val="333333"/>
                <w:sz w:val="14"/>
                <w:szCs w:val="14"/>
                <w:lang w:eastAsia="it-IT"/>
              </w:rPr>
              <w:t xml:space="preserve">; </w:t>
            </w:r>
            <w:r w:rsidRPr="00777F9A">
              <w:rPr>
                <w:rFonts w:ascii="Tahoma" w:hAnsi="Tahoma" w:cs="Tahoma"/>
                <w:b/>
                <w:iCs/>
                <w:color w:val="333333"/>
                <w:sz w:val="14"/>
                <w:szCs w:val="14"/>
                <w:lang w:eastAsia="it-IT"/>
              </w:rPr>
              <w:t>ISSN</w:t>
            </w:r>
            <w:r w:rsidRPr="00777F9A">
              <w:rPr>
                <w:rFonts w:ascii="Tahoma" w:hAnsi="Tahoma" w:cs="Tahoma"/>
                <w:iCs/>
                <w:color w:val="333333"/>
                <w:sz w:val="14"/>
                <w:szCs w:val="14"/>
                <w:lang w:eastAsia="it-IT"/>
              </w:rPr>
              <w:t xml:space="preserve"> 2283-9216</w:t>
            </w:r>
          </w:p>
        </w:tc>
      </w:tr>
    </w:tbl>
    <w:bookmarkEnd w:id="0"/>
    <w:p w14:paraId="2E667253" w14:textId="557A51D4" w:rsidR="00E978D0" w:rsidRPr="00777F9A" w:rsidRDefault="00A96BEF" w:rsidP="00E978D0">
      <w:pPr>
        <w:pStyle w:val="CETTitle"/>
      </w:pPr>
      <w:r w:rsidRPr="00777F9A">
        <w:t>Modelling of Lithium-</w:t>
      </w:r>
      <w:r w:rsidR="00617F77" w:rsidRPr="00777F9A">
        <w:t>I</w:t>
      </w:r>
      <w:r w:rsidRPr="00777F9A">
        <w:t xml:space="preserve">on </w:t>
      </w:r>
      <w:r w:rsidR="00617F77" w:rsidRPr="00777F9A">
        <w:t>B</w:t>
      </w:r>
      <w:r w:rsidRPr="00777F9A">
        <w:t xml:space="preserve">attery </w:t>
      </w:r>
      <w:r w:rsidR="00617F77" w:rsidRPr="00777F9A">
        <w:t>P</w:t>
      </w:r>
      <w:r w:rsidRPr="00777F9A">
        <w:t>ack</w:t>
      </w:r>
      <w:r w:rsidR="00792A62" w:rsidRPr="00777F9A">
        <w:t>s</w:t>
      </w:r>
      <w:r w:rsidRPr="00777F9A">
        <w:t xml:space="preserve"> for the </w:t>
      </w:r>
      <w:r w:rsidR="00617F77" w:rsidRPr="00777F9A">
        <w:t>P</w:t>
      </w:r>
      <w:r w:rsidRPr="00777F9A">
        <w:t>rediction of the</w:t>
      </w:r>
      <w:r w:rsidR="00792A62" w:rsidRPr="00777F9A">
        <w:t>ir</w:t>
      </w:r>
      <w:r w:rsidRPr="00777F9A">
        <w:t xml:space="preserve"> </w:t>
      </w:r>
      <w:r w:rsidR="00617F77" w:rsidRPr="00777F9A">
        <w:t>T</w:t>
      </w:r>
      <w:r w:rsidRPr="00777F9A">
        <w:t xml:space="preserve">hermal </w:t>
      </w:r>
      <w:r w:rsidR="00617F77" w:rsidRPr="00777F9A">
        <w:t>D</w:t>
      </w:r>
      <w:r w:rsidRPr="00777F9A">
        <w:t xml:space="preserve">egradation under </w:t>
      </w:r>
      <w:r w:rsidR="00617F77" w:rsidRPr="00777F9A">
        <w:t>D</w:t>
      </w:r>
      <w:r w:rsidRPr="00777F9A">
        <w:t>ifferent C-</w:t>
      </w:r>
      <w:r w:rsidR="00617F77" w:rsidRPr="00777F9A">
        <w:t>R</w:t>
      </w:r>
      <w:r w:rsidRPr="00777F9A">
        <w:t xml:space="preserve">ates </w:t>
      </w:r>
    </w:p>
    <w:p w14:paraId="0488FED2" w14:textId="61552F70" w:rsidR="00B57E6F" w:rsidRPr="00777F9A" w:rsidRDefault="00A96BEF" w:rsidP="00A96BEF">
      <w:pPr>
        <w:pStyle w:val="CETAuthors"/>
        <w:rPr>
          <w:vertAlign w:val="superscript"/>
          <w:lang w:val="it-IT"/>
        </w:rPr>
      </w:pPr>
      <w:r w:rsidRPr="00777F9A">
        <w:rPr>
          <w:lang w:val="it-IT"/>
        </w:rPr>
        <w:t>Girolama</w:t>
      </w:r>
      <w:r w:rsidR="003933F2" w:rsidRPr="00777F9A">
        <w:rPr>
          <w:lang w:val="it-IT"/>
        </w:rPr>
        <w:t xml:space="preserve"> Airò Farulla</w:t>
      </w:r>
      <w:r w:rsidRPr="00777F9A">
        <w:rPr>
          <w:vertAlign w:val="superscript"/>
          <w:lang w:val="it-IT"/>
        </w:rPr>
        <w:t>a</w:t>
      </w:r>
      <w:r w:rsidRPr="00777F9A">
        <w:rPr>
          <w:lang w:val="it-IT"/>
        </w:rPr>
        <w:t xml:space="preserve">, </w:t>
      </w:r>
      <w:r w:rsidR="003933F2" w:rsidRPr="00777F9A">
        <w:rPr>
          <w:lang w:val="it-IT"/>
        </w:rPr>
        <w:t xml:space="preserve">Luigi </w:t>
      </w:r>
      <w:r w:rsidRPr="00777F9A">
        <w:rPr>
          <w:lang w:val="it-IT"/>
        </w:rPr>
        <w:t>Gurreri</w:t>
      </w:r>
      <w:r w:rsidRPr="00777F9A">
        <w:rPr>
          <w:vertAlign w:val="superscript"/>
          <w:lang w:val="it-IT"/>
        </w:rPr>
        <w:t>b</w:t>
      </w:r>
      <w:r w:rsidRPr="00777F9A">
        <w:rPr>
          <w:lang w:val="it-IT"/>
        </w:rPr>
        <w:t xml:space="preserve">, </w:t>
      </w:r>
      <w:r w:rsidR="003933F2" w:rsidRPr="00777F9A">
        <w:rPr>
          <w:lang w:val="it-IT"/>
        </w:rPr>
        <w:t xml:space="preserve">Giuseppe </w:t>
      </w:r>
      <w:r w:rsidRPr="00777F9A">
        <w:rPr>
          <w:lang w:val="it-IT"/>
        </w:rPr>
        <w:t xml:space="preserve">Marsala </w:t>
      </w:r>
      <w:r w:rsidRPr="00777F9A">
        <w:rPr>
          <w:vertAlign w:val="superscript"/>
          <w:lang w:val="it-IT"/>
        </w:rPr>
        <w:t>c,*</w:t>
      </w:r>
      <w:r w:rsidRPr="00777F9A">
        <w:rPr>
          <w:lang w:val="it-IT"/>
        </w:rPr>
        <w:t xml:space="preserve">, </w:t>
      </w:r>
      <w:r w:rsidR="003933F2" w:rsidRPr="00777F9A">
        <w:rPr>
          <w:lang w:val="it-IT"/>
        </w:rPr>
        <w:t xml:space="preserve">Davide </w:t>
      </w:r>
      <w:r w:rsidRPr="00777F9A">
        <w:rPr>
          <w:lang w:val="it-IT"/>
        </w:rPr>
        <w:t>Aloisio</w:t>
      </w:r>
      <w:r w:rsidRPr="00777F9A">
        <w:rPr>
          <w:vertAlign w:val="superscript"/>
          <w:lang w:val="it-IT"/>
        </w:rPr>
        <w:t>d</w:t>
      </w:r>
    </w:p>
    <w:p w14:paraId="6B2D21B3" w14:textId="1C09CEB4" w:rsidR="00B57E6F" w:rsidRPr="00777F9A" w:rsidRDefault="00B57E6F" w:rsidP="00B57E6F">
      <w:pPr>
        <w:pStyle w:val="CETAddress"/>
        <w:rPr>
          <w:lang w:val="it-IT"/>
        </w:rPr>
      </w:pPr>
      <w:r w:rsidRPr="00777F9A">
        <w:rPr>
          <w:vertAlign w:val="superscript"/>
          <w:lang w:val="it-IT"/>
        </w:rPr>
        <w:t>a</w:t>
      </w:r>
      <w:r w:rsidRPr="00777F9A">
        <w:rPr>
          <w:lang w:val="it-IT"/>
        </w:rPr>
        <w:t xml:space="preserve"> </w:t>
      </w:r>
      <w:r w:rsidR="00A96BEF" w:rsidRPr="00777F9A">
        <w:rPr>
          <w:lang w:val="it-IT"/>
        </w:rPr>
        <w:t xml:space="preserve">CNR-ITAE: Istituto di Tecnologie Avanzate per l’Energia “Nicola Giordano”, </w:t>
      </w:r>
      <w:r w:rsidR="003933F2" w:rsidRPr="00777F9A">
        <w:rPr>
          <w:lang w:val="it-IT"/>
        </w:rPr>
        <w:t xml:space="preserve">Viale delle Scienze ed. 6, </w:t>
      </w:r>
      <w:r w:rsidR="00A96BEF" w:rsidRPr="00777F9A">
        <w:rPr>
          <w:lang w:val="it-IT"/>
        </w:rPr>
        <w:t>90128, Palermo, Italy</w:t>
      </w:r>
    </w:p>
    <w:p w14:paraId="3D72B0B0" w14:textId="5256C8C3" w:rsidR="00B57E6F" w:rsidRPr="00777F9A" w:rsidRDefault="00B57E6F" w:rsidP="00B57E6F">
      <w:pPr>
        <w:pStyle w:val="CETAddress"/>
        <w:rPr>
          <w:lang w:val="it-IT"/>
        </w:rPr>
      </w:pPr>
      <w:r w:rsidRPr="00777F9A">
        <w:rPr>
          <w:vertAlign w:val="superscript"/>
          <w:lang w:val="it-IT"/>
        </w:rPr>
        <w:t>b</w:t>
      </w:r>
      <w:r w:rsidR="00A96BEF" w:rsidRPr="00777F9A">
        <w:rPr>
          <w:lang w:val="it-IT"/>
        </w:rPr>
        <w:t xml:space="preserve"> Dipartimento di Ingegneria Elettrica, Elettronica e Informatica, Università di Catania, </w:t>
      </w:r>
      <w:r w:rsidR="003933F2" w:rsidRPr="00777F9A">
        <w:rPr>
          <w:lang w:val="it-IT"/>
        </w:rPr>
        <w:t xml:space="preserve">Viale Andrea Doria 6, </w:t>
      </w:r>
      <w:r w:rsidR="00A96BEF" w:rsidRPr="00777F9A">
        <w:rPr>
          <w:lang w:val="it-IT"/>
        </w:rPr>
        <w:t>95125, Catania, Italy</w:t>
      </w:r>
      <w:r w:rsidRPr="00777F9A">
        <w:rPr>
          <w:lang w:val="it-IT"/>
        </w:rPr>
        <w:t xml:space="preserve"> </w:t>
      </w:r>
    </w:p>
    <w:p w14:paraId="317A61A4" w14:textId="3F4BA243" w:rsidR="00A96BEF" w:rsidRPr="00777F9A" w:rsidRDefault="00A96BEF" w:rsidP="00A96BEF">
      <w:pPr>
        <w:pStyle w:val="CETAddress"/>
        <w:rPr>
          <w:lang w:val="it-IT"/>
        </w:rPr>
      </w:pPr>
      <w:r w:rsidRPr="00777F9A">
        <w:rPr>
          <w:vertAlign w:val="superscript"/>
          <w:lang w:val="it-IT"/>
        </w:rPr>
        <w:t>c</w:t>
      </w:r>
      <w:r w:rsidRPr="00777F9A">
        <w:rPr>
          <w:lang w:val="it-IT"/>
        </w:rPr>
        <w:t xml:space="preserve"> CNR-INM: Istituto di Ingegneria del Mare, Via Ugo La Malfa 153,</w:t>
      </w:r>
      <w:r w:rsidR="003933F2" w:rsidRPr="00777F9A">
        <w:rPr>
          <w:lang w:val="it-IT"/>
        </w:rPr>
        <w:t xml:space="preserve"> 90146,</w:t>
      </w:r>
      <w:r w:rsidRPr="00777F9A">
        <w:rPr>
          <w:lang w:val="it-IT"/>
        </w:rPr>
        <w:t xml:space="preserve"> Palermo, Italy</w:t>
      </w:r>
    </w:p>
    <w:p w14:paraId="563AE0B5" w14:textId="539CBA22" w:rsidR="00A96BEF" w:rsidRPr="00777F9A" w:rsidRDefault="00A96BEF" w:rsidP="00A96BEF">
      <w:pPr>
        <w:pStyle w:val="CETAddress"/>
        <w:rPr>
          <w:lang w:val="it-IT"/>
        </w:rPr>
      </w:pPr>
      <w:r w:rsidRPr="00777F9A">
        <w:rPr>
          <w:vertAlign w:val="superscript"/>
          <w:lang w:val="it-IT"/>
        </w:rPr>
        <w:t>d</w:t>
      </w:r>
      <w:r w:rsidRPr="00777F9A">
        <w:rPr>
          <w:lang w:val="it-IT"/>
        </w:rPr>
        <w:t xml:space="preserve"> CNR-ITAE: Istituto di Tecnologie Avanzate per l’Energia “Nicola Giordano”, </w:t>
      </w:r>
      <w:r w:rsidR="003933F2" w:rsidRPr="00777F9A">
        <w:rPr>
          <w:lang w:val="it-IT"/>
        </w:rPr>
        <w:t xml:space="preserve">Salita Santa Lucia Sopra Contesse 5, </w:t>
      </w:r>
      <w:r w:rsidRPr="00777F9A">
        <w:rPr>
          <w:lang w:val="it-IT"/>
        </w:rPr>
        <w:t>98126, Messina, Italy</w:t>
      </w:r>
    </w:p>
    <w:p w14:paraId="6893AF25" w14:textId="636F7680" w:rsidR="00600535" w:rsidRPr="00777F9A" w:rsidRDefault="00A96BEF" w:rsidP="00A96BEF">
      <w:pPr>
        <w:pStyle w:val="CETemail"/>
      </w:pPr>
      <w:r w:rsidRPr="00777F9A">
        <w:t xml:space="preserve">giuseppe.marsala@cnr.it </w:t>
      </w:r>
    </w:p>
    <w:p w14:paraId="20CD23E8" w14:textId="330F5117" w:rsidR="00A96BEF" w:rsidRPr="00777F9A" w:rsidRDefault="00337545" w:rsidP="00337545">
      <w:pPr>
        <w:pStyle w:val="CETBodytext"/>
        <w:rPr>
          <w:szCs w:val="22"/>
        </w:rPr>
      </w:pPr>
      <w:r w:rsidRPr="00777F9A">
        <w:rPr>
          <w:lang w:val="en-GB"/>
        </w:rPr>
        <w:t>Th</w:t>
      </w:r>
      <w:r w:rsidR="00403441" w:rsidRPr="00777F9A">
        <w:rPr>
          <w:lang w:val="en-GB"/>
        </w:rPr>
        <w:t>is study</w:t>
      </w:r>
      <w:r w:rsidRPr="00777F9A">
        <w:rPr>
          <w:lang w:val="en-GB"/>
        </w:rPr>
        <w:t xml:space="preserve"> aim</w:t>
      </w:r>
      <w:r w:rsidR="00403441" w:rsidRPr="00777F9A">
        <w:rPr>
          <w:lang w:val="en-GB"/>
        </w:rPr>
        <w:t>ed</w:t>
      </w:r>
      <w:r w:rsidRPr="00777F9A">
        <w:rPr>
          <w:lang w:val="en-GB"/>
        </w:rPr>
        <w:t xml:space="preserve"> to develop a multi-physical model of Lithium-ion battery packs to </w:t>
      </w:r>
      <w:r w:rsidR="00403441" w:rsidRPr="00777F9A">
        <w:rPr>
          <w:lang w:val="en-GB"/>
        </w:rPr>
        <w:t xml:space="preserve">assess their </w:t>
      </w:r>
      <w:r w:rsidRPr="00777F9A">
        <w:rPr>
          <w:lang w:val="en-GB"/>
        </w:rPr>
        <w:t xml:space="preserve">thermal performance and aging </w:t>
      </w:r>
      <w:r w:rsidR="00403441" w:rsidRPr="00777F9A">
        <w:rPr>
          <w:lang w:val="en-GB"/>
        </w:rPr>
        <w:t xml:space="preserve">behaviour </w:t>
      </w:r>
      <w:r w:rsidRPr="00777F9A">
        <w:rPr>
          <w:lang w:val="en-GB"/>
        </w:rPr>
        <w:t xml:space="preserve">under various charge/discharge rates and environmental conditions, including ambient temperature and </w:t>
      </w:r>
      <w:r w:rsidR="00403441" w:rsidRPr="00777F9A">
        <w:rPr>
          <w:lang w:val="en-GB"/>
        </w:rPr>
        <w:t xml:space="preserve">convective </w:t>
      </w:r>
      <w:r w:rsidRPr="00777F9A">
        <w:rPr>
          <w:lang w:val="en-GB"/>
        </w:rPr>
        <w:t xml:space="preserve">heat transfer coefficient. The Taguchi method was applied to identify </w:t>
      </w:r>
      <w:r w:rsidR="00403441" w:rsidRPr="00777F9A">
        <w:rPr>
          <w:lang w:val="en-GB"/>
        </w:rPr>
        <w:t xml:space="preserve">the most critical </w:t>
      </w:r>
      <w:r w:rsidRPr="00777F9A">
        <w:rPr>
          <w:lang w:val="en-GB"/>
        </w:rPr>
        <w:t xml:space="preserve">operating conditions that influence </w:t>
      </w:r>
      <w:r w:rsidR="00403441" w:rsidRPr="00777F9A">
        <w:rPr>
          <w:lang w:val="en-GB"/>
        </w:rPr>
        <w:t xml:space="preserve">the </w:t>
      </w:r>
      <w:r w:rsidRPr="00777F9A">
        <w:rPr>
          <w:lang w:val="en-GB"/>
        </w:rPr>
        <w:t xml:space="preserve">thermal degradation and </w:t>
      </w:r>
      <w:r w:rsidR="006F3874" w:rsidRPr="00777F9A">
        <w:rPr>
          <w:lang w:val="en-GB"/>
        </w:rPr>
        <w:t>assess the</w:t>
      </w:r>
      <w:r w:rsidRPr="00777F9A">
        <w:rPr>
          <w:lang w:val="en-GB"/>
        </w:rPr>
        <w:t xml:space="preserve"> impact on battery capacity. The mathematical model was implemented in MATLAB/Simulink environment. The thermal performance and aging were evaluated based on the maximum temperature reached and the state of health, respectively. According to standard ISO 12405-2, the battery was considered to have reached the end of its life when its capacity declined to 80% of the initial value. The model predictions are consistent with expectations, </w:t>
      </w:r>
      <w:r w:rsidR="00AB0D7F" w:rsidRPr="00777F9A">
        <w:rPr>
          <w:lang w:val="en-GB"/>
        </w:rPr>
        <w:t xml:space="preserve">demonstrating the capability </w:t>
      </w:r>
      <w:r w:rsidR="00777F9A" w:rsidRPr="00777F9A">
        <w:rPr>
          <w:lang w:val="en-GB"/>
        </w:rPr>
        <w:t>to describe the problem's physics qualitatively</w:t>
      </w:r>
      <w:r w:rsidR="006F3874" w:rsidRPr="00777F9A">
        <w:rPr>
          <w:lang w:val="en-GB"/>
        </w:rPr>
        <w:t>.</w:t>
      </w:r>
      <w:r w:rsidRPr="00777F9A">
        <w:rPr>
          <w:lang w:val="en-GB"/>
        </w:rPr>
        <w:t xml:space="preserve"> The results highlight the necessity of avoiding high ambient temperatures and excessive current rates to mitigate the risk of thermal runaway. </w:t>
      </w:r>
      <w:r w:rsidR="00D6493D" w:rsidRPr="00777F9A">
        <w:rPr>
          <w:lang w:val="en-GB"/>
        </w:rPr>
        <w:t>Implementing</w:t>
      </w:r>
      <w:r w:rsidRPr="00777F9A">
        <w:rPr>
          <w:lang w:val="en-GB"/>
        </w:rPr>
        <w:t xml:space="preserve"> appropriate thermal management systems</w:t>
      </w:r>
      <w:r w:rsidR="00D6493D" w:rsidRPr="00777F9A">
        <w:rPr>
          <w:lang w:val="en-GB"/>
        </w:rPr>
        <w:t>,</w:t>
      </w:r>
      <w:r w:rsidR="00380DC3" w:rsidRPr="00777F9A">
        <w:rPr>
          <w:lang w:val="en-GB"/>
        </w:rPr>
        <w:t xml:space="preserve"> </w:t>
      </w:r>
      <w:r w:rsidRPr="00777F9A">
        <w:rPr>
          <w:lang w:val="en-GB"/>
        </w:rPr>
        <w:t>along with maintaining moderate charge/discharge rates</w:t>
      </w:r>
      <w:r w:rsidR="00D6493D" w:rsidRPr="00777F9A">
        <w:rPr>
          <w:lang w:val="en-GB"/>
        </w:rPr>
        <w:t>,</w:t>
      </w:r>
      <w:r w:rsidRPr="00777F9A">
        <w:rPr>
          <w:lang w:val="en-GB"/>
        </w:rPr>
        <w:t xml:space="preserve"> </w:t>
      </w:r>
      <w:r w:rsidR="00D6493D" w:rsidRPr="00777F9A">
        <w:rPr>
          <w:lang w:val="en-GB"/>
        </w:rPr>
        <w:t>is</w:t>
      </w:r>
      <w:r w:rsidRPr="00777F9A">
        <w:rPr>
          <w:lang w:val="en-GB"/>
        </w:rPr>
        <w:t xml:space="preserve"> recommended to extend </w:t>
      </w:r>
      <w:r w:rsidR="00380DC3" w:rsidRPr="00777F9A">
        <w:rPr>
          <w:lang w:val="en-GB"/>
        </w:rPr>
        <w:t xml:space="preserve">the </w:t>
      </w:r>
      <w:r w:rsidRPr="00777F9A">
        <w:rPr>
          <w:lang w:val="en-GB"/>
        </w:rPr>
        <w:t>battery’s lifespan.</w:t>
      </w:r>
    </w:p>
    <w:p w14:paraId="476B2F2E" w14:textId="52B36035" w:rsidR="00600535" w:rsidRPr="00777F9A" w:rsidRDefault="00600535" w:rsidP="00600535">
      <w:pPr>
        <w:pStyle w:val="CETHeading1"/>
        <w:rPr>
          <w:lang w:val="en-GB"/>
        </w:rPr>
      </w:pPr>
      <w:r w:rsidRPr="00777F9A">
        <w:rPr>
          <w:lang w:val="en-GB"/>
        </w:rPr>
        <w:t>Introduction</w:t>
      </w:r>
    </w:p>
    <w:p w14:paraId="72A71CA6" w14:textId="1FF37A5B" w:rsidR="00803690" w:rsidRPr="00777F9A" w:rsidRDefault="00B447C6" w:rsidP="00803690">
      <w:pPr>
        <w:pStyle w:val="CETBodytext"/>
      </w:pPr>
      <w:r w:rsidRPr="00777F9A">
        <w:t xml:space="preserve">Nowadays, Li-ion batteries (LiBs) are widely dominating the rechargeable battery market for electric storage and are considered the most promising technologies to be employed in electric vehicle (EV) applications as a secondary source of power </w:t>
      </w:r>
      <w:r w:rsidRPr="00777F9A">
        <w:fldChar w:fldCharType="begin" w:fldLock="1"/>
      </w:r>
      <w:r w:rsidR="008E1F87" w:rsidRPr="00777F9A">
        <w:instrText>ADDIN CSL_CITATION {"citationItems":[{"id":"ITEM-1","itemData":{"DOI":"10.1016/J.ISCI.2022.103744","ISSN":"2589-0042","abstract":"Vehicle electrification has always been a hot topic and gradually become a major role in the automobile manufacturing industry over the last two decades. This paper presented comprehensive discussions and insightful evaluations of both conventional electric vehicle (EV) batteries (such as lead-acid, nickel-based, lithium-ion batteries, etc.) and the state-of-the-art battery technologies (such as all-solid-state, silicon-based, lithium-sulphur, metal-air batteries, etc.). Battery major component materials, operating characteristics, theoretical models, manufacturing processes, and end-of-life management were thoroughly reviewed. Different from other reviews focusing on theoretical studies, this review emphasized the key aspects of battery technologies, commercial applications, and lifecycle management. Useful battery managing technologies such as health prediction, charging and discharging, as well as thermal runaway prevention were thoroughly discussed. Two novel hexagon radar charts of all-round evaluations of most reigning and potential EV battery technologies were created to predict the development trend of the EV battery technologies. It showed that lithium-ion batteries (3.9 points) would be still the dominant product for the current commercial EV power battery market in a short term. However, some cutting-edge technologies such as an all-solid-state battery (3.55 points) and silicon-based battery (3.3 points) are highly likely to be the next-generation EV onboard batteries with both higher specific power and better safety performance.","author":[{"dropping-particle":"","family":"Zhao","given":"Gang","non-dropping-particle":"","parse-names":false,"suffix":""},{"dropping-particle":"","family":"Wang","given":"Xiaolin","non-dropping-particle":"","parse-names":false,"suffix":""},{"dropping-particle":"","family":"Negnevitsky","given":"Michael","non-dropping-particle":"","parse-names":false,"suffix":""}],"container-title":"iScience","id":"ITEM-1","issue":"2","issued":{"date-parts":[["2022","2"]]},"page":"103744","publisher":"Elsevier","title":"Connecting battery technologies for electric vehicles from battery materials to management","type":"article-journal","volume":"25"},"uris":["http://www.mendeley.com/documents/?uuid=69bcaa5f-6391-3980-a649-aee817b9dea8","http://www.mendeley.com/documents/?uuid=9ea2d09c-8989-4f48-94a0-7b900a5d7b00"]}],"mendeley":{"formattedCitation":"(Zhao et al., 2022)","plainTextFormattedCitation":"(Zhao et al., 2022)","previouslyFormattedCitation":"(Zhao et al., 2022)"},"properties":{"noteIndex":0},"schema":"https://github.com/citation-style-language/schema/raw/master/csl-citation.json"}</w:instrText>
      </w:r>
      <w:r w:rsidRPr="00777F9A">
        <w:fldChar w:fldCharType="separate"/>
      </w:r>
      <w:r w:rsidR="00D94655" w:rsidRPr="00777F9A">
        <w:rPr>
          <w:noProof/>
        </w:rPr>
        <w:t>(Zhao et al., 2022)</w:t>
      </w:r>
      <w:r w:rsidRPr="00777F9A">
        <w:fldChar w:fldCharType="end"/>
      </w:r>
      <w:r w:rsidR="00E7295F" w:rsidRPr="00777F9A">
        <w:t xml:space="preserve">. </w:t>
      </w:r>
      <w:r w:rsidR="00E7295F" w:rsidRPr="00777F9A">
        <w:rPr>
          <w:lang w:val="en-GB"/>
        </w:rPr>
        <w:t>Li-</w:t>
      </w:r>
      <w:r w:rsidR="006F3874" w:rsidRPr="00777F9A">
        <w:rPr>
          <w:lang w:val="en-GB"/>
        </w:rPr>
        <w:t>Bs</w:t>
      </w:r>
      <w:r w:rsidR="00E7295F" w:rsidRPr="00777F9A">
        <w:rPr>
          <w:lang w:val="en-GB"/>
        </w:rPr>
        <w:t xml:space="preserve"> perform poorly when operated under extreme temperatures, whether excessively high </w:t>
      </w:r>
      <w:r w:rsidR="006F3874" w:rsidRPr="00777F9A">
        <w:rPr>
          <w:lang w:val="en-GB"/>
        </w:rPr>
        <w:t>(</w:t>
      </w:r>
      <w:r w:rsidR="00E7295F" w:rsidRPr="00777F9A">
        <w:t>T &gt; 60 °C</w:t>
      </w:r>
      <w:r w:rsidR="006F3874" w:rsidRPr="00777F9A">
        <w:t>)</w:t>
      </w:r>
      <w:r w:rsidR="00E7295F" w:rsidRPr="00777F9A">
        <w:t xml:space="preserve"> </w:t>
      </w:r>
      <w:r w:rsidR="00E7295F" w:rsidRPr="00777F9A">
        <w:rPr>
          <w:lang w:val="en-GB"/>
        </w:rPr>
        <w:t xml:space="preserve">or low </w:t>
      </w:r>
      <w:r w:rsidR="006F3874" w:rsidRPr="00777F9A">
        <w:rPr>
          <w:lang w:val="en-GB"/>
        </w:rPr>
        <w:t>(</w:t>
      </w:r>
      <w:r w:rsidR="00E7295F" w:rsidRPr="00777F9A">
        <w:t xml:space="preserve">T &lt; 5 </w:t>
      </w:r>
      <w:r w:rsidR="006F3874" w:rsidRPr="00777F9A">
        <w:t>°</w:t>
      </w:r>
      <w:r w:rsidR="00E7295F" w:rsidRPr="00777F9A">
        <w:t>C</w:t>
      </w:r>
      <w:r w:rsidR="006F3874" w:rsidRPr="00777F9A">
        <w:t>)</w:t>
      </w:r>
      <w:r w:rsidR="00D94655" w:rsidRPr="00777F9A">
        <w:t>.</w:t>
      </w:r>
      <w:r w:rsidR="00E7295F" w:rsidRPr="00777F9A">
        <w:t xml:space="preserve"> </w:t>
      </w:r>
      <w:r w:rsidR="00E7295F" w:rsidRPr="00777F9A">
        <w:rPr>
          <w:lang w:val="en-GB"/>
        </w:rPr>
        <w:t>During the charging and discharging process</w:t>
      </w:r>
      <w:r w:rsidR="006F3874" w:rsidRPr="00777F9A">
        <w:rPr>
          <w:lang w:val="en-GB"/>
        </w:rPr>
        <w:t>,</w:t>
      </w:r>
      <w:r w:rsidR="00E7295F" w:rsidRPr="00777F9A">
        <w:rPr>
          <w:lang w:val="en-GB"/>
        </w:rPr>
        <w:t xml:space="preserve"> the battery temperature </w:t>
      </w:r>
      <w:r w:rsidR="006F3874" w:rsidRPr="00777F9A">
        <w:rPr>
          <w:lang w:val="en-GB"/>
        </w:rPr>
        <w:t>increase</w:t>
      </w:r>
      <w:r w:rsidR="0022526C" w:rsidRPr="00777F9A">
        <w:rPr>
          <w:lang w:val="en-GB"/>
        </w:rPr>
        <w:t>s,</w:t>
      </w:r>
      <w:r w:rsidR="00E7295F" w:rsidRPr="00777F9A">
        <w:rPr>
          <w:lang w:val="en-GB"/>
        </w:rPr>
        <w:t xml:space="preserve"> </w:t>
      </w:r>
      <w:r w:rsidR="0022526C" w:rsidRPr="00777F9A">
        <w:rPr>
          <w:lang w:val="en-GB"/>
        </w:rPr>
        <w:t xml:space="preserve">even </w:t>
      </w:r>
      <w:r w:rsidR="00E7295F" w:rsidRPr="00777F9A">
        <w:rPr>
          <w:lang w:val="en-GB"/>
        </w:rPr>
        <w:t>induc</w:t>
      </w:r>
      <w:r w:rsidR="0022526C" w:rsidRPr="00777F9A">
        <w:rPr>
          <w:lang w:val="en-GB"/>
        </w:rPr>
        <w:t>ing</w:t>
      </w:r>
      <w:r w:rsidR="00E7295F" w:rsidRPr="00777F9A">
        <w:rPr>
          <w:lang w:val="en-GB"/>
        </w:rPr>
        <w:t xml:space="preserve"> the thermal runaway of the system </w:t>
      </w:r>
      <w:r w:rsidR="00E7295F" w:rsidRPr="00777F9A">
        <w:rPr>
          <w:lang w:val="en-GB"/>
        </w:rPr>
        <w:fldChar w:fldCharType="begin" w:fldLock="1"/>
      </w:r>
      <w:r w:rsidR="008E1F87" w:rsidRPr="00777F9A">
        <w:rPr>
          <w:lang w:val="en-GB"/>
        </w:rPr>
        <w:instrText>ADDIN CSL_CITATION {"citationItems":[{"id":"ITEM-1","itemData":{"DOI":"10.1016/j.psep.2024.03.077","ISSN":"09575820","abstract":"Safety issues associated with thermal runaway (TR) in batteries have attracted extensive research attention. However, understanding and predicting TR encounter significant challenges due to the complexities of chemical reactions, venting events, thermal stratification, multiphase interactions, and variable boundary conditions. These challenges are further complicated by intrinsic battery degradation, a phenomenon often insufficiently characterized and governed by multiple mechanisms. These primarily include the depletion of electrolyte and active materials, thickening of the solid-electrolyte-interphase (SEI), and formation of lithium plating and dendrites. Such degradation alters the battery's materials and structure, directly causing electrochemical performance penalties and potentially affecting its TR behavior. This study examines the TR behavior of commercial 18,650 cells with lithium nickel manganese cobalt oxide (NMC) cathodes, focusing on degradation associated typical usage scenarios: long-term cycling, low-temperature cycling, dynamic cycling with calendar aging. We employ Electrochemical Impedance Spectroscopy (EIS) to probe internal changes in the electrochemical properties of aged cells compared to fresh counterparts. The EIS results reveal pronounced SEI impedance and substantially increased charge transfer impedance in long-term cycled cells. TR tests were conducted using an Accelerating Rate Calorimeter (EV+ ARC, Thermal Hazard Technology) following the heat-wait-seek (HWS) strategy. Our findings indicate a significant impact of aging mechanisms on second-life battery safety. Specifically, cells subjected to low-temperature cycling demonstrated a considerably lower onset temperature for exothermic reactions, and shorter TR delay time, despite all aged cells showing similar state of health (SOH). Furthermore, the temperature corresponding to the cell voltage drop is consistently much lower for aged cells with dynamic cycling and calendar aging.","author":[{"dropping-particle":"","family":"Zhang","given":"Liwen","non-dropping-particle":"","parse-names":false,"suffix":""},{"dropping-particle":"","family":"Liu","given":"Lu","non-dropping-particle":"","parse-names":false,"suffix":""},{"dropping-particle":"","family":"Terekhov","given":"Alexander","non-dropping-particle":"","parse-names":false,"suffix":""},{"dropping-particle":"","family":"Warnberg","given":"Douglas","non-dropping-particle":"","parse-names":false,"suffix":""},{"dropping-particle":"","family":"Zhao","given":"Peng","non-dropping-particle":"","parse-names":false,"suffix":""}],"container-title":"Process Safety and Environmental Protection","id":"ITEM-1","issue":"March","issued":{"date-parts":[["2024"]]},"page":"910-917","publisher":"Elsevier Ltd","title":"Thermal runaway of Li-ion battery with different aging histories","type":"article-journal","volume":"185"},"uris":["http://www.mendeley.com/documents/?uuid=4c0dc099-52a4-442d-bdb4-3e46bc66e8b6","http://www.mendeley.com/documents/?uuid=2a595dd8-03e7-4cac-a24b-6f77af8ecbd5"]}],"mendeley":{"formattedCitation":"(Zhang et al., 2024)","plainTextFormattedCitation":"(Zhang et al., 2024)","previouslyFormattedCitation":"(Zhang et al., 2024)"},"properties":{"noteIndex":0},"schema":"https://github.com/citation-style-language/schema/raw/master/csl-citation.json"}</w:instrText>
      </w:r>
      <w:r w:rsidR="00E7295F" w:rsidRPr="00777F9A">
        <w:rPr>
          <w:lang w:val="en-GB"/>
        </w:rPr>
        <w:fldChar w:fldCharType="separate"/>
      </w:r>
      <w:r w:rsidR="00D94655" w:rsidRPr="00777F9A">
        <w:rPr>
          <w:noProof/>
          <w:lang w:val="en-GB"/>
        </w:rPr>
        <w:t>(Zhang et al., 2024)</w:t>
      </w:r>
      <w:r w:rsidR="00E7295F" w:rsidRPr="00777F9A">
        <w:fldChar w:fldCharType="end"/>
      </w:r>
      <w:r w:rsidR="008E1F87" w:rsidRPr="00777F9A">
        <w:t>.</w:t>
      </w:r>
      <w:r w:rsidR="008E1F87" w:rsidRPr="00777F9A">
        <w:rPr>
          <w:lang w:val="en-GB"/>
        </w:rPr>
        <w:t xml:space="preserve"> </w:t>
      </w:r>
      <w:r w:rsidR="000C224D" w:rsidRPr="00777F9A">
        <w:rPr>
          <w:lang w:val="en-GB"/>
        </w:rPr>
        <w:t xml:space="preserve">Thermal runaway is a critical safety issue where exothermic reactions lead to uncontrollable temperature rise, potentially resulting in fire or explosion </w:t>
      </w:r>
      <w:r w:rsidR="000C224D" w:rsidRPr="00777F9A">
        <w:rPr>
          <w:lang w:val="en-GB"/>
        </w:rPr>
        <w:fldChar w:fldCharType="begin" w:fldLock="1"/>
      </w:r>
      <w:r w:rsidR="000C224D" w:rsidRPr="00777F9A">
        <w:rPr>
          <w:lang w:val="en-GB"/>
        </w:rPr>
        <w:instrText>ADDIN CSL_CITATION {"citationItems":[{"id":"ITEM-1","itemData":{"DOI":"https://doi.org/10.1016/j.xinn.2024.100624","ISSN":"2666-6758","abstract":"The broader application of lithium-ion batteries (LIBs) is constrained by safety concerns arising from thermal runaway (TR). Accurate prediction of TR is essential to comprehend its underlying mechanisms, expedite battery design, and enhance safety protocols, thereby significantly promoting the safer use of LIBs. The complex, nonlinear nature of LIB systems presents substantial challenges in TR modeling, stemming from the need to address multiscale simulations, multiphysics coupling, and computing efficiency issues. This paper provides an extensive review and outlook on TR modeling technologies, focusing on recent advances, current challenges, and potential future directions. We begin with an overview of the evolutionary processes and underlying mechanisms of TR from multiscale perspectives, laying the foundation for TR modeling. Following a comprehensive understanding of TR phenomena and mechanisms, we introduce a multiphysics coupling model framework to encapsulate these aspects. Within this framework, we detail four fundamental physics modeling approaches: thermal, electrical, mechanical, and fluid dynamic models, highlighting the primary challenges in developing and integrating these models. To address the intrinsic trade-off between computational accuracy and efficiency, we discuss several promising modeling strategies to accelerate TR simulations and explore the role of AI in advancing next-generation TR models. Last, we discuss challenges related to data availability, model scalability, and safety standards and regulations.","author":[{"dropping-particle":"","family":"Wang","given":"Gongquan","non-dropping-particle":"","parse-names":false,"suffix":""},{"dropping-particle":"","family":"Ping","given":"Ping","non-dropping-particle":"","parse-names":false,"suffix":""},{"dropping-particle":"","family":"Kong","given":"Depeng","non-dropping-particle":"","parse-names":false,"suffix":""},{"dropping-particle":"","family":"Peng","given":"Rongqi","non-dropping-particle":"","parse-names":false,"suffix":""},{"dropping-particle":"","family":"He","given":"Xu","non-dropping-particle":"","parse-names":false,"suffix":""},{"dropping-particle":"","family":"Zhang","given":"Yue","non-dropping-particle":"","parse-names":false,"suffix":""},{"dropping-particle":"","family":"Dai","given":"Xinyi","non-dropping-particle":"","parse-names":false,"suffix":""},{"dropping-particle":"","family":"Wen","given":"Jennifer","non-dropping-particle":"","parse-names":false,"suffix":""}],"container-title":"The Innovation","id":"ITEM-1","issue":"4","issued":{"date-parts":[["2024"]]},"page":"100624","title":"Advances and challenges in thermal runaway modeling of lithium-ion batteries","type":"article-journal","volume":"5"},"uris":["http://www.mendeley.com/documents/?uuid=8df5a407-2d45-4611-b556-b155a63dddfd"]}],"mendeley":{"formattedCitation":"(Wang et al., 2024)","plainTextFormattedCitation":"(Wang et al., 2024)","previouslyFormattedCitation":"(Wang et al., 2024)"},"properties":{"noteIndex":0},"schema":"https://github.com/citation-style-language/schema/raw/master/csl-citation.json"}</w:instrText>
      </w:r>
      <w:r w:rsidR="000C224D" w:rsidRPr="00777F9A">
        <w:rPr>
          <w:lang w:val="en-GB"/>
        </w:rPr>
        <w:fldChar w:fldCharType="separate"/>
      </w:r>
      <w:r w:rsidR="000C224D" w:rsidRPr="00777F9A">
        <w:rPr>
          <w:noProof/>
          <w:lang w:val="en-GB"/>
        </w:rPr>
        <w:t>(Wang et al., 2024)</w:t>
      </w:r>
      <w:r w:rsidR="000C224D" w:rsidRPr="00777F9A">
        <w:rPr>
          <w:lang w:val="en-GB"/>
        </w:rPr>
        <w:fldChar w:fldCharType="end"/>
      </w:r>
      <w:r w:rsidR="000C224D" w:rsidRPr="00777F9A">
        <w:rPr>
          <w:lang w:val="en-GB"/>
        </w:rPr>
        <w:t xml:space="preserve">. The operative temperature is among the main factors affecting safety conditions and is strictly correlated to the cycle aging degradation mechanism </w:t>
      </w:r>
      <w:r w:rsidR="000C224D" w:rsidRPr="00777F9A">
        <w:rPr>
          <w:lang w:val="en-GB"/>
        </w:rPr>
        <w:fldChar w:fldCharType="begin" w:fldLock="1"/>
      </w:r>
      <w:r w:rsidR="000C224D" w:rsidRPr="00777F9A">
        <w:rPr>
          <w:lang w:val="en-GB"/>
        </w:rPr>
        <w:instrText>ADDIN CSL_CITATION {"citationItems":[{"id":"ITEM-1","itemData":{"DOI":"10.3390/batteries10110374","ISSN":"23130105","abstract":"Electrochemical battery cells have been a focus of attention due to their numerous advantages in distinct applications recently, such as electric vehicles. A limiting factor for adaptation by the industry is related to the aging of batteries over time. Characteristics of battery aging vary depending on many factors such as battery type, electrochemical reactions, and operation conditions. Aging could be considered in two sections according to its type: calendar and cycling. We examine the stress factors affecting these two types of aging in detail under subheadings and review the battery aging literature with a comprehensive approach. This article presents a review of empirical and semi-empirical modeling techniques and aging studies, focusing on the trends observed between different studies and highlighting the limitations and challenges of the various models.","author":[{"dropping-particle":"","family":"Yarimca","given":"Gulsah","non-dropping-particle":"","parse-names":false,"suffix":""},{"dropping-particle":"","family":"Cetkin","given":"Erdal","non-dropping-particle":"","parse-names":false,"suffix":""}],"container-title":"Batteries","id":"ITEM-1","issue":"11","issued":{"date-parts":[["2024"]]},"title":"Review of Cell Level Battery (Calendar and Cycling) Aging Models: Electric Vehicles","type":"article-journal","volume":"10"},"uris":["http://www.mendeley.com/documents/?uuid=6c9a709d-65c6-4f4d-b95a-9233a13c72db"]}],"mendeley":{"formattedCitation":"(Yarimca and Cetkin, 2024)","plainTextFormattedCitation":"(Yarimca and Cetkin, 2024)","previouslyFormattedCitation":"(Yarimca and Cetkin, 2024)"},"properties":{"noteIndex":0},"schema":"https://github.com/citation-style-language/schema/raw/master/csl-citation.json"}</w:instrText>
      </w:r>
      <w:r w:rsidR="000C224D" w:rsidRPr="00777F9A">
        <w:rPr>
          <w:lang w:val="en-GB"/>
        </w:rPr>
        <w:fldChar w:fldCharType="separate"/>
      </w:r>
      <w:r w:rsidR="000C224D" w:rsidRPr="00777F9A">
        <w:rPr>
          <w:noProof/>
          <w:lang w:val="en-GB"/>
        </w:rPr>
        <w:t>(Yarimca and Cetkin, 2024)</w:t>
      </w:r>
      <w:r w:rsidR="000C224D" w:rsidRPr="00777F9A">
        <w:rPr>
          <w:lang w:val="en-GB"/>
        </w:rPr>
        <w:fldChar w:fldCharType="end"/>
      </w:r>
      <w:r w:rsidR="000C224D" w:rsidRPr="00777F9A">
        <w:rPr>
          <w:lang w:val="en-GB"/>
        </w:rPr>
        <w:t xml:space="preserve">. It refers to the gradual degradation of a battery's performance and capacity due to repeated charge and discharge cycles over time. It is usually quantified in terms of a reduction in the battery capacity (energy fade) or an increase in the internal resistance (power fade) </w:t>
      </w:r>
      <w:r w:rsidR="000C224D" w:rsidRPr="00777F9A">
        <w:rPr>
          <w:lang w:val="en-GB"/>
        </w:rPr>
        <w:fldChar w:fldCharType="begin" w:fldLock="1"/>
      </w:r>
      <w:r w:rsidR="000C224D" w:rsidRPr="00777F9A">
        <w:rPr>
          <w:lang w:val="en-GB"/>
        </w:rPr>
        <w:instrText>ADDIN CSL_CITATION {"citationItems":[{"id":"ITEM-1","itemData":{"DOI":"10.1149/1945-7111/ad1b7c","ISSN":"0013-4651","abstract":"Calendar aging of Li-ion batteries with Si/graphite electrodes was investigated within this study. A total of 121 single-layer pouch full cells with either graphite or Si/graphite (3.0 wt−%, 5.8 wt−% and 20.8 wt−% Si) anodes and NMC622 cathodes with the same N/P ratio were built on pilot-scale. Calendar aging was studied at SoC 30%, 60%, and 100%, as well as temperature (25 °C, 45 °C, 60 °C) and time dependence. The aging data was analyzed in terms of capacity fade and a square-root behavior was observed. Differential voltage analysis (DVA) has been performed as a function of aging time. The observed temperature and time dependence is best described by time dependent, 3D Arrhenius plots. Post-Mortem analysis (SEM, EDX, GD-OES) is applied to investigate the changes on electrode and material level. Conclusions are drawn on the main aging mechanisms for calendar aging of Li-ion cells with Si/graphite anodes and differences between Si/graphite and pure graphite anodes are discussed. The Si-containing cells show a combination of lithium inventory loss and a loss of accessible Si active material, both caused by SEI growth.","author":[{"dropping-particle":"","family":"Bischof","given":"Katharina","non-dropping-particle":"","parse-names":false,"suffix":""},{"dropping-particle":"","family":"Flügel","given":"Marius","non-dropping-particle":"","parse-names":false,"suffix":""},{"dropping-particle":"","family":"Hölzle","given":"Markus","non-dropping-particle":"","parse-names":false,"suffix":""},{"dropping-particle":"","family":"Wohlfahrt-Mehrens","given":"Margret","non-dropping-particle":"","parse-names":false,"suffix":""},{"dropping-particle":"","family":"Waldmann","given":"Thomas","non-dropping-particle":"","parse-names":false,"suffix":""}],"container-title":"Journal of The Electrochemical Society","id":"ITEM-1","issue":"1","issued":{"date-parts":[["2024"]]},"page":"010510","title":"Aging Mechanism For Calendar Aging of Li-Ion Cells With Si/Graphite Anodes","type":"article-journal","volume":"171"},"uris":["http://www.mendeley.com/documents/?uuid=7b55d417-b707-4af3-b4cd-4a06911855c1","http://www.mendeley.com/documents/?uuid=b7bb7b81-6ebc-47a6-bd21-5af3c24bc7d8"]}],"mendeley":{"formattedCitation":"(Bischof et al., 2024)","plainTextFormattedCitation":"(Bischof et al., 2024)","previouslyFormattedCitation":"(Bischof et al., 2024)"},"properties":{"noteIndex":0},"schema":"https://github.com/citation-style-language/schema/raw/master/csl-citation.json"}</w:instrText>
      </w:r>
      <w:r w:rsidR="000C224D" w:rsidRPr="00777F9A">
        <w:rPr>
          <w:lang w:val="en-GB"/>
        </w:rPr>
        <w:fldChar w:fldCharType="separate"/>
      </w:r>
      <w:r w:rsidR="000C224D" w:rsidRPr="00777F9A">
        <w:rPr>
          <w:noProof/>
          <w:lang w:val="en-GB"/>
        </w:rPr>
        <w:t>(Bischof et al., 2024)</w:t>
      </w:r>
      <w:r w:rsidR="000C224D" w:rsidRPr="00777F9A">
        <w:fldChar w:fldCharType="end"/>
      </w:r>
      <w:r w:rsidR="000C224D" w:rsidRPr="00777F9A">
        <w:t>.</w:t>
      </w:r>
      <w:r w:rsidR="000C224D" w:rsidRPr="00777F9A">
        <w:rPr>
          <w:lang w:val="en-GB"/>
        </w:rPr>
        <w:t xml:space="preserve"> Estimating the state of charge and understanding the aging process of LiBs are crucial for their widespread application in the market. </w:t>
      </w:r>
      <w:r w:rsidR="00803690" w:rsidRPr="00777F9A">
        <w:rPr>
          <w:lang w:val="en-GB"/>
        </w:rPr>
        <w:t xml:space="preserve">That is why </w:t>
      </w:r>
      <w:r w:rsidR="00803690" w:rsidRPr="00777F9A">
        <w:t xml:space="preserve">several studies have </w:t>
      </w:r>
      <w:proofErr w:type="spellStart"/>
      <w:r w:rsidR="00803690" w:rsidRPr="00777F9A">
        <w:t>analysed</w:t>
      </w:r>
      <w:proofErr w:type="spellEnd"/>
      <w:r w:rsidR="00803690" w:rsidRPr="00777F9A">
        <w:t xml:space="preserve"> </w:t>
      </w:r>
      <w:r w:rsidR="00803690" w:rsidRPr="00777F9A">
        <w:rPr>
          <w:lang w:val="en-GB"/>
        </w:rPr>
        <w:t>a</w:t>
      </w:r>
      <w:proofErr w:type="spellStart"/>
      <w:r w:rsidR="00803690" w:rsidRPr="00777F9A">
        <w:t>ging</w:t>
      </w:r>
      <w:proofErr w:type="spellEnd"/>
      <w:r w:rsidR="00803690" w:rsidRPr="00777F9A">
        <w:t xml:space="preserve"> phenomena. For instance, </w:t>
      </w:r>
      <w:r w:rsidR="00803690" w:rsidRPr="00777F9A">
        <w:fldChar w:fldCharType="begin" w:fldLock="1"/>
      </w:r>
      <w:r w:rsidR="00803690" w:rsidRPr="00777F9A">
        <w:instrText>ADDIN CSL_CITATION {"citationItems":[{"id":"ITEM-1","itemData":{"DOI":"10.1088/1742-6596/2788/1/012042","author":[{"dropping-particle":"","family":"Cui","given":"Yugang","non-dropping-particle":"","parse-names":false,"suffix":""},{"dropping-particle":"","family":"Wang","given":"Xiao","non-dropping-particle":"","parse-names":false,"suffix":""},{"dropping-particle":"","family":"Zou","given":"Shibo","non-dropping-particle":"","parse-names":false,"suffix":""},{"dropping-particle":"","family":"Wang","given":"Qian","non-dropping-particle":"","parse-names":false,"suffix":""},{"dropping-particle":"","family":"Kang","given":"Jianqiang","non-dropping-particle":"","parse-names":false,"suffix":""}],"id":"ITEM-1","issued":{"date-parts":[["2024"]]},"title":"The aging pattern of lithium-ion batteries based on experiments at different temperatures The aging pattern of lithium-ion batteries based on experiments at different temperatures","type":"article-journal"},"uris":["http://www.mendeley.com/documents/?uuid=8a6e3f93-01fd-491b-8a8f-c30dfef96e10","http://www.mendeley.com/documents/?uuid=8c487099-8434-4eff-be4b-2d37022b9ff4"]}],"mendeley":{"formattedCitation":"(Cui et al., 2024)","manualFormatting":"Cui et al. (2024)","plainTextFormattedCitation":"(Cui et al., 2024)","previouslyFormattedCitation":"(Cui et al., 2024)"},"properties":{"noteIndex":0},"schema":"https://github.com/citation-style-language/schema/raw/master/csl-citation.json"}</w:instrText>
      </w:r>
      <w:r w:rsidR="00803690" w:rsidRPr="00777F9A">
        <w:fldChar w:fldCharType="separate"/>
      </w:r>
      <w:r w:rsidR="00803690" w:rsidRPr="00777F9A">
        <w:rPr>
          <w:noProof/>
        </w:rPr>
        <w:t>Cui et al. (2024)</w:t>
      </w:r>
      <w:r w:rsidR="00803690" w:rsidRPr="00777F9A">
        <w:fldChar w:fldCharType="end"/>
      </w:r>
      <w:r w:rsidR="00803690" w:rsidRPr="00777F9A">
        <w:t xml:space="preserve"> investigated the aging patterns and mechanisms of an 18650-type LiFePO</w:t>
      </w:r>
      <w:r w:rsidR="00803690" w:rsidRPr="00777F9A">
        <w:rPr>
          <w:vertAlign w:val="subscript"/>
        </w:rPr>
        <w:t>4</w:t>
      </w:r>
      <w:r w:rsidR="00803690" w:rsidRPr="00777F9A">
        <w:t xml:space="preserve"> battery based on experiments at 2C and different temperatures. The results showed that the cycle life improved </w:t>
      </w:r>
      <w:r w:rsidR="006266F4" w:rsidRPr="00777F9A">
        <w:t>by reducing</w:t>
      </w:r>
      <w:r w:rsidR="00803690" w:rsidRPr="00777F9A">
        <w:t xml:space="preserve"> the </w:t>
      </w:r>
      <w:r w:rsidR="00AC25ED" w:rsidRPr="00777F9A">
        <w:t>operating</w:t>
      </w:r>
      <w:r w:rsidR="00803690" w:rsidRPr="00777F9A">
        <w:t xml:space="preserve"> temperature.</w:t>
      </w:r>
    </w:p>
    <w:p w14:paraId="17A81CD1" w14:textId="77A7C49A" w:rsidR="00DB1613" w:rsidRPr="00777F9A" w:rsidRDefault="008E1F87" w:rsidP="00803690">
      <w:pPr>
        <w:pStyle w:val="CETBodytext"/>
        <w:rPr>
          <w:lang w:val="en-GB"/>
        </w:rPr>
      </w:pPr>
      <w:r w:rsidRPr="00777F9A">
        <w:rPr>
          <w:lang w:val="en-GB"/>
        </w:rPr>
        <w:t>Model</w:t>
      </w:r>
      <w:r w:rsidR="00803690" w:rsidRPr="00777F9A">
        <w:rPr>
          <w:lang w:val="en-GB"/>
        </w:rPr>
        <w:t>s that predict</w:t>
      </w:r>
      <w:r w:rsidRPr="00777F9A">
        <w:rPr>
          <w:lang w:val="en-GB"/>
        </w:rPr>
        <w:t xml:space="preserve"> </w:t>
      </w:r>
      <w:r w:rsidR="00803690" w:rsidRPr="00777F9A">
        <w:rPr>
          <w:lang w:val="en-GB"/>
        </w:rPr>
        <w:t xml:space="preserve">battery thermal degradation are powerful tools. However, the development of reliable models is quite challenging due to the need to capture </w:t>
      </w:r>
      <w:r w:rsidR="007F1EEE" w:rsidRPr="00777F9A">
        <w:rPr>
          <w:lang w:val="en-GB"/>
        </w:rPr>
        <w:t xml:space="preserve">the </w:t>
      </w:r>
      <w:r w:rsidR="00803690" w:rsidRPr="00777F9A">
        <w:rPr>
          <w:lang w:val="en-GB"/>
        </w:rPr>
        <w:t>complex interplay of numerous thermal</w:t>
      </w:r>
      <w:r w:rsidR="008621F0" w:rsidRPr="00777F9A">
        <w:rPr>
          <w:lang w:val="en-GB"/>
        </w:rPr>
        <w:t xml:space="preserve"> and</w:t>
      </w:r>
      <w:r w:rsidR="00803690" w:rsidRPr="00777F9A">
        <w:rPr>
          <w:lang w:val="en-GB"/>
        </w:rPr>
        <w:t xml:space="preserve"> electrochemical processes</w:t>
      </w:r>
      <w:r w:rsidRPr="00777F9A">
        <w:rPr>
          <w:lang w:val="en-GB"/>
        </w:rPr>
        <w:t xml:space="preserve">. </w:t>
      </w:r>
      <w:r w:rsidR="00C36CBB" w:rsidRPr="00777F9A">
        <w:rPr>
          <w:lang w:val="en-GB"/>
        </w:rPr>
        <w:t>F</w:t>
      </w:r>
      <w:proofErr w:type="spellStart"/>
      <w:r w:rsidR="00C36CBB" w:rsidRPr="00777F9A">
        <w:t>ocusing</w:t>
      </w:r>
      <w:proofErr w:type="spellEnd"/>
      <w:r w:rsidR="00C36CBB" w:rsidRPr="00777F9A">
        <w:t xml:space="preserve"> on multiscale methodologies, </w:t>
      </w:r>
      <w:r w:rsidR="000C224D" w:rsidRPr="00777F9A">
        <w:fldChar w:fldCharType="begin" w:fldLock="1"/>
      </w:r>
      <w:r w:rsidR="000C224D" w:rsidRPr="00777F9A">
        <w:instrText>ADDIN CSL_CITATION {"citationItems":[{"id":"ITEM-1","itemData":{"DOI":"10.3390/batteries9090434","ISSN":"23130105","abstract":"Lithium-ion batteries (LIBs) are leading the energy storage market. Significant efforts are being made to widely adopt LIBs due to their inherent performance benefits and reduced environmental impact for transportation electrification. However, achieving this widespread adoption still requires overcoming critical technological constraints impacting battery aging and safety. Battery aging, an inevitable consequence of battery function, might lead to premature performance losses and exacerbated safety concerns if effective thermo-electrical battery management strategies are not implemented. Battery aging effects must be better understood and mitigated, leveraging the predictive power of aging modelling methods. This review paper presents a comprehensive overview of the most recent aging modelling methods. Furthermore, a multiscale approach is adopted, reviewing these methods at the particle, cell, and battery pack scales, along with corresponding opportunities for future research in LIB aging modelling across these scales. Battery testing strategies are also reviewed to illustrate how current numerical aging models are validated, thereby providing a holistic aging modelling strategy. Finally, this paper proposes a combined multiphysics- and data-based modelling framework to achieve accurate and computationally efficient LIB aging simulations.","author":[{"dropping-particle":"","family":"Ali","given":"Mir A.","non-dropping-particle":"","parse-names":false,"suffix":""},{"dropping-particle":"","family":"Silva","given":"Carlos M.","non-dropping-particle":"Da","parse-names":false,"suffix":""},{"dropping-particle":"","family":"Amon","given":"Cristina H.","non-dropping-particle":"","parse-names":false,"suffix":""}],"container-title":"Batteries","id":"ITEM-1","issue":"9","issued":{"date-parts":[["2023"]]},"page":"1-37","title":"Multiscale Modelling Methodologies of Lithium-Ion Battery Aging: A Review of Most Recent Developments","type":"article-journal","volume":"9"},"uris":["http://www.mendeley.com/documents/?uuid=2bff18a8-02a0-4178-abeb-c2887924507a","http://www.mendeley.com/documents/?uuid=da703882-64cc-478c-ba43-4edcb530f5f3"]}],"mendeley":{"formattedCitation":"(Ali et al., 2023)","manualFormatting":"Ali et al. (2023)","plainTextFormattedCitation":"(Ali et al., 2023)","previouslyFormattedCitation":"(Ali et al., 2023)"},"properties":{"noteIndex":0},"schema":"https://github.com/citation-style-language/schema/raw/master/csl-citation.json"}</w:instrText>
      </w:r>
      <w:r w:rsidR="000C224D" w:rsidRPr="00777F9A">
        <w:fldChar w:fldCharType="separate"/>
      </w:r>
      <w:r w:rsidR="000C224D" w:rsidRPr="00777F9A">
        <w:rPr>
          <w:noProof/>
        </w:rPr>
        <w:t>Ali et al. (2023)</w:t>
      </w:r>
      <w:r w:rsidR="000C224D" w:rsidRPr="00777F9A">
        <w:fldChar w:fldCharType="end"/>
      </w:r>
      <w:r w:rsidR="000C224D" w:rsidRPr="00777F9A">
        <w:t xml:space="preserve"> provided a comprehensive overview of aging modelling methods</w:t>
      </w:r>
      <w:r w:rsidR="00803690" w:rsidRPr="00777F9A">
        <w:t xml:space="preserve">. </w:t>
      </w:r>
      <w:r w:rsidR="00DB1613" w:rsidRPr="00777F9A">
        <w:rPr>
          <w:lang w:val="en-GB"/>
        </w:rPr>
        <w:t xml:space="preserve">Empirical, </w:t>
      </w:r>
      <w:r w:rsidR="00C36CBB" w:rsidRPr="00777F9A">
        <w:rPr>
          <w:lang w:val="en-GB"/>
        </w:rPr>
        <w:t>semi-empirical</w:t>
      </w:r>
      <w:r w:rsidR="00DB1613" w:rsidRPr="00777F9A">
        <w:rPr>
          <w:lang w:val="en-GB"/>
        </w:rPr>
        <w:t xml:space="preserve">, physics-based, and machine learning modelling are the most </w:t>
      </w:r>
      <w:r w:rsidR="00DB1613" w:rsidRPr="00777F9A">
        <w:rPr>
          <w:lang w:val="en-GB"/>
        </w:rPr>
        <w:lastRenderedPageBreak/>
        <w:t xml:space="preserve">common approaches </w:t>
      </w:r>
      <w:r w:rsidR="00803690" w:rsidRPr="00777F9A">
        <w:rPr>
          <w:lang w:val="en-GB"/>
        </w:rPr>
        <w:t xml:space="preserve">available in the literature </w:t>
      </w:r>
      <w:r w:rsidR="00DB1613" w:rsidRPr="00777F9A">
        <w:rPr>
          <w:lang w:val="en-GB"/>
        </w:rPr>
        <w:t xml:space="preserve">to simulate battery aging. </w:t>
      </w:r>
      <w:r w:rsidR="00FB509C" w:rsidRPr="00777F9A">
        <w:rPr>
          <w:lang w:val="en-GB"/>
        </w:rPr>
        <w:t xml:space="preserve">For example, </w:t>
      </w:r>
      <w:r w:rsidR="00536B05" w:rsidRPr="00777F9A">
        <w:fldChar w:fldCharType="begin" w:fldLock="1"/>
      </w:r>
      <w:r w:rsidRPr="00777F9A">
        <w:instrText>ADDIN CSL_CITATION {"citationItems":[{"id":"ITEM-1","itemData":{"DOI":"10.1016/j.applthermaleng.2023.122128","ISSN":"13594311","abstract":"Numerous interrelated coupled aging mechanisms contribute to the degradation of lithium-ion batteries (LIBs), making it challenging to confirm the influence of aging effects on the performance and state of health (SOH). Inspired by electrochemical impedance spectroscopy (EIS) analysis and observed morphological changes, this paper considers double layer resistance increase, solid electrolyte interface (SEI) film growth, and cathode aggregate crack propagation as the main aging effects, and the influence of temperature is considered, leading to development of an electrochemical-thermal-aging coupled model. The model achieves high-precision simulation for different temperature and aging conditions by updating the model parameters based on the aging effects and internal temperature. Compared with experimental data, the relative error of voltage simulation is within 1%. Additionally, the aging effects parameters exhibit a consistent trend with data analysis and mechanism inference, and this strong correlation is beneficial for estimating SOH. The estimation error of SOH based on four linear regression methods is less than 0.5%. This novel electrochemical-thermal-aging effects coupling model addresses two major challenges in battery management system (BMS): performance simulation and SOH estimation under real-world operating conditions.","author":[{"dropping-particle":"","family":"Chen","given":"Shiqin","non-dropping-particle":"","parse-names":false,"suffix":""},{"dropping-particle":"","family":"Zhang","given":"Qi","non-dropping-particle":"","parse-names":false,"suffix":""},{"dropping-particle":"","family":"Wang","given":"Facheng","non-dropping-particle":"","parse-names":false,"suffix":""},{"dropping-particle":"","family":"Wang","given":"Dafang","non-dropping-particle":"","parse-names":false,"suffix":""},{"dropping-particle":"","family":"He","given":"Ziqi","non-dropping-particle":"","parse-names":false,"suffix":""}],"container-title":"Applied Thermal Engineering","id":"ITEM-1","issue":"November 2023","issued":{"date-parts":[["2024"]]},"page":"122128","publisher":"Elsevier Ltd","title":"An electrochemical-thermal-aging effects coupled model for lithium-ion batteries performance simulation and state of health estimation","type":"article-journal","volume":"239"},"uris":["http://www.mendeley.com/documents/?uuid=882b31df-7a82-4aef-adcf-9a54d7c65488","http://www.mendeley.com/documents/?uuid=e647098f-8129-4de8-bb03-f65f39817678"]}],"mendeley":{"formattedCitation":"(Chen et al., 2024)","manualFormatting":"Chen et al. (2024)","plainTextFormattedCitation":"(Chen et al., 2024)","previouslyFormattedCitation":"(Chen et al., 2024)"},"properties":{"noteIndex":0},"schema":"https://github.com/citation-style-language/schema/raw/master/csl-citation.json"}</w:instrText>
      </w:r>
      <w:r w:rsidR="00536B05" w:rsidRPr="00777F9A">
        <w:fldChar w:fldCharType="separate"/>
      </w:r>
      <w:r w:rsidR="00D94655" w:rsidRPr="00777F9A">
        <w:rPr>
          <w:noProof/>
        </w:rPr>
        <w:t>Chen et al. (2024)</w:t>
      </w:r>
      <w:r w:rsidR="00536B05" w:rsidRPr="00777F9A">
        <w:fldChar w:fldCharType="end"/>
      </w:r>
      <w:r w:rsidR="00536B05" w:rsidRPr="00777F9A">
        <w:t xml:space="preserve"> proposed a novel electrochemical-thermal-aging effects coupled model to estimate the state of health under different temperature conditions. </w:t>
      </w:r>
      <w:r w:rsidR="00E22343" w:rsidRPr="00777F9A">
        <w:rPr>
          <w:lang w:val="en-GB"/>
        </w:rPr>
        <w:t>Compared to c</w:t>
      </w:r>
      <w:r w:rsidRPr="00777F9A">
        <w:rPr>
          <w:lang w:val="en-GB"/>
        </w:rPr>
        <w:t xml:space="preserve">onventional analytical models frequently plagued by inaccuracies, machine learning methods can serve as a practical substitute for traditional models and offer a valuable means to analyse </w:t>
      </w:r>
      <w:r w:rsidR="00DB1613" w:rsidRPr="00777F9A">
        <w:rPr>
          <w:lang w:val="en-GB"/>
        </w:rPr>
        <w:t xml:space="preserve">the </w:t>
      </w:r>
      <w:r w:rsidRPr="00777F9A">
        <w:rPr>
          <w:lang w:val="en-GB"/>
        </w:rPr>
        <w:t xml:space="preserve">battery behavior </w:t>
      </w:r>
      <w:r w:rsidRPr="00777F9A">
        <w:rPr>
          <w:lang w:val="en-GB"/>
        </w:rPr>
        <w:fldChar w:fldCharType="begin" w:fldLock="1"/>
      </w:r>
      <w:r w:rsidR="00F6063A" w:rsidRPr="00777F9A">
        <w:rPr>
          <w:lang w:val="en-GB"/>
        </w:rPr>
        <w:instrText>ADDIN CSL_CITATION {"citationItems":[{"id":"ITEM-1","itemData":{"DOI":"10.21014/acta_imeko.v10i2.1043","author":[{"dropping-particle":"","family":"Aloisio","given":"Davide","non-dropping-particle":"","parse-names":false,"suffix":""},{"dropping-particle":"","family":"Campobello","given":"Giuseppe","non-dropping-particle":"","parse-names":false,"suffix":""},{"dropping-particle":"","family":"Leonardi","given":"Salvatore","non-dropping-particle":"","parse-names":false,"suffix":""},{"dropping-particle":"","family":"Sergi","given":"F","non-dropping-particle":"","parse-names":false,"suffix":""},{"dropping-particle":"","family":"Brunaccini","given":"Giovanni","non-dropping-particle":"","parse-names":false,"suffix":""},{"dropping-particle":"","family":"Ferraro","given":"M","non-dropping-particle":"","parse-names":false,"suffix":""},{"dropping-particle":"","family":"Antonucci","given":"Vincenzo","non-dropping-particle":"","parse-names":false,"suffix":""},{"dropping-particle":"","family":"Segreto","given":"Antonino","non-dropping-particle":"","parse-names":false,"suffix":""},{"dropping-particle":"","family":"Donato","given":"Nicola","non-dropping-particle":"","parse-names":false,"suffix":""}],"container-title":"ACTA IMEKO","id":"ITEM-1","issued":{"date-parts":[["2021"]]},"page":"80","title":"Comparison of machine learning techniques for SoC and SoH evaluation from impedance data of an aged lithium ion battery","type":"article-journal","volume":"10"},"uris":["http://www.mendeley.com/documents/?uuid=1cc7dba6-fa91-4a9c-a4ae-5af9d48067c2"]}],"mendeley":{"formattedCitation":"(Aloisio et al., 2021)","plainTextFormattedCitation":"(Aloisio et al., 2021)","previouslyFormattedCitation":"(Aloisio et al., 2021)"},"properties":{"noteIndex":0},"schema":"https://github.com/citation-style-language/schema/raw/master/csl-citation.json"}</w:instrText>
      </w:r>
      <w:r w:rsidRPr="00777F9A">
        <w:rPr>
          <w:lang w:val="en-GB"/>
        </w:rPr>
        <w:fldChar w:fldCharType="separate"/>
      </w:r>
      <w:r w:rsidRPr="00777F9A">
        <w:rPr>
          <w:noProof/>
          <w:lang w:val="en-GB"/>
        </w:rPr>
        <w:t>(Aloisio et al., 2021)</w:t>
      </w:r>
      <w:r w:rsidRPr="00777F9A">
        <w:rPr>
          <w:lang w:val="en-GB"/>
        </w:rPr>
        <w:fldChar w:fldCharType="end"/>
      </w:r>
      <w:r w:rsidRPr="00777F9A">
        <w:rPr>
          <w:lang w:val="en-GB"/>
        </w:rPr>
        <w:t>.</w:t>
      </w:r>
    </w:p>
    <w:p w14:paraId="4767D3DC" w14:textId="7E4D2D8D" w:rsidR="00B447C6" w:rsidRPr="00777F9A" w:rsidRDefault="00F62111" w:rsidP="00536B05">
      <w:pPr>
        <w:pStyle w:val="CETBodytext"/>
      </w:pPr>
      <w:r w:rsidRPr="00777F9A">
        <w:t>Th</w:t>
      </w:r>
      <w:r w:rsidR="00231212" w:rsidRPr="00777F9A">
        <w:t xml:space="preserve">is study aims to develop a multi-physical model and </w:t>
      </w:r>
      <w:r w:rsidRPr="00777F9A">
        <w:t>investigate the thermal</w:t>
      </w:r>
      <w:r w:rsidR="00F81D63" w:rsidRPr="00777F9A">
        <w:t>-electrical</w:t>
      </w:r>
      <w:r w:rsidRPr="00777F9A">
        <w:t xml:space="preserve"> and aging performances</w:t>
      </w:r>
      <w:r w:rsidR="000328FB" w:rsidRPr="00777F9A">
        <w:t xml:space="preserve"> of a commercial </w:t>
      </w:r>
      <w:r w:rsidR="00C82780" w:rsidRPr="00777F9A">
        <w:t xml:space="preserve">Li-ion </w:t>
      </w:r>
      <w:r w:rsidR="000328FB" w:rsidRPr="00777F9A">
        <w:t>battery</w:t>
      </w:r>
      <w:r w:rsidRPr="00777F9A">
        <w:t xml:space="preserve"> </w:t>
      </w:r>
      <w:r w:rsidR="00803690" w:rsidRPr="00777F9A">
        <w:t xml:space="preserve">pack </w:t>
      </w:r>
      <w:r w:rsidRPr="00777F9A">
        <w:t xml:space="preserve">under different conditions. </w:t>
      </w:r>
      <w:r w:rsidR="00F81D63" w:rsidRPr="00777F9A">
        <w:rPr>
          <w:lang w:val="en-GB"/>
        </w:rPr>
        <w:t xml:space="preserve">Parametric simulations were conducted to evaluate the impact of ambient temperature, heat transfer coefficient, and high and fluctuating charge/discharge rates. The Taguchi </w:t>
      </w:r>
      <w:r w:rsidR="00231212" w:rsidRPr="00777F9A">
        <w:rPr>
          <w:lang w:val="en-GB"/>
        </w:rPr>
        <w:t xml:space="preserve">approach </w:t>
      </w:r>
      <w:r w:rsidR="00F81D63" w:rsidRPr="00777F9A">
        <w:rPr>
          <w:lang w:val="en-GB"/>
        </w:rPr>
        <w:t xml:space="preserve">was employed to </w:t>
      </w:r>
      <w:r w:rsidR="00231212" w:rsidRPr="00777F9A">
        <w:rPr>
          <w:lang w:val="en-GB"/>
        </w:rPr>
        <w:t>minimise the simulation scenarios</w:t>
      </w:r>
      <w:r w:rsidR="00930249" w:rsidRPr="00777F9A">
        <w:rPr>
          <w:lang w:val="en-GB"/>
        </w:rPr>
        <w:t xml:space="preserve">, </w:t>
      </w:r>
      <w:r w:rsidR="00F81D63" w:rsidRPr="00777F9A">
        <w:rPr>
          <w:lang w:val="en-GB"/>
        </w:rPr>
        <w:t xml:space="preserve">identify the </w:t>
      </w:r>
      <w:r w:rsidR="00930249" w:rsidRPr="00777F9A">
        <w:rPr>
          <w:lang w:val="en-GB"/>
        </w:rPr>
        <w:t>most influential factors for</w:t>
      </w:r>
      <w:r w:rsidR="00F81D63" w:rsidRPr="00777F9A">
        <w:rPr>
          <w:lang w:val="en-GB"/>
        </w:rPr>
        <w:t xml:space="preserve"> thermal degradation</w:t>
      </w:r>
      <w:r w:rsidR="00930249" w:rsidRPr="00777F9A">
        <w:rPr>
          <w:lang w:val="en-GB"/>
        </w:rPr>
        <w:t xml:space="preserve">, and capture the interplay of electrical and thermal parameters in determining the </w:t>
      </w:r>
      <w:r w:rsidR="00F81D63" w:rsidRPr="00777F9A">
        <w:rPr>
          <w:lang w:val="en-GB"/>
        </w:rPr>
        <w:t xml:space="preserve">proper functioning and capacity of the battery. Once the optimal </w:t>
      </w:r>
      <w:r w:rsidR="00B25E2D" w:rsidRPr="00777F9A">
        <w:rPr>
          <w:lang w:val="en-GB"/>
        </w:rPr>
        <w:t xml:space="preserve">conditions </w:t>
      </w:r>
      <w:r w:rsidR="00F81D63" w:rsidRPr="00777F9A">
        <w:rPr>
          <w:lang w:val="en-GB"/>
        </w:rPr>
        <w:t xml:space="preserve">for ensuring thermal safety </w:t>
      </w:r>
      <w:r w:rsidR="00B25E2D" w:rsidRPr="00777F9A">
        <w:rPr>
          <w:lang w:val="en-GB"/>
        </w:rPr>
        <w:t xml:space="preserve">were </w:t>
      </w:r>
      <w:r w:rsidR="00F81D63" w:rsidRPr="00777F9A">
        <w:rPr>
          <w:lang w:val="en-GB"/>
        </w:rPr>
        <w:t>determined, the aging process of the battery was examined.</w:t>
      </w:r>
    </w:p>
    <w:p w14:paraId="0C2AF549" w14:textId="29CD1E08" w:rsidR="00476FCE" w:rsidRPr="00777F9A" w:rsidRDefault="00476FCE" w:rsidP="00476FCE">
      <w:pPr>
        <w:pStyle w:val="CETHeading1"/>
        <w:rPr>
          <w:lang w:val="en-GB"/>
        </w:rPr>
      </w:pPr>
      <w:r w:rsidRPr="00777F9A">
        <w:rPr>
          <w:lang w:val="en-GB"/>
        </w:rPr>
        <w:t xml:space="preserve">Methodology </w:t>
      </w:r>
    </w:p>
    <w:p w14:paraId="6AF2D017" w14:textId="157FDA01" w:rsidR="00B447C6" w:rsidRPr="00777F9A" w:rsidRDefault="00C82780" w:rsidP="00F6063A">
      <w:pPr>
        <w:pStyle w:val="CETBodytext"/>
      </w:pPr>
      <w:r w:rsidRPr="00777F9A">
        <w:t xml:space="preserve">The simulated battery </w:t>
      </w:r>
      <w:r w:rsidR="00D717DF" w:rsidRPr="00777F9A">
        <w:t>wa</w:t>
      </w:r>
      <w:r w:rsidRPr="00777F9A">
        <w:t>s a commercial Li-ion pack (37</w:t>
      </w:r>
      <w:r w:rsidR="007B0093" w:rsidRPr="00777F9A">
        <w:t xml:space="preserve"> </w:t>
      </w:r>
      <w:r w:rsidRPr="00777F9A">
        <w:t>V</w:t>
      </w:r>
      <w:r w:rsidR="007B0093" w:rsidRPr="00777F9A">
        <w:t xml:space="preserve"> </w:t>
      </w:r>
      <w:r w:rsidRPr="00777F9A">
        <w:t>-</w:t>
      </w:r>
      <w:r w:rsidR="007B0093" w:rsidRPr="00777F9A">
        <w:t xml:space="preserve"> </w:t>
      </w:r>
      <w:r w:rsidRPr="00777F9A">
        <w:t xml:space="preserve">13 Ah, 18650 type, 10s6p) whose technical specifications were provided by the manufacturer. </w:t>
      </w:r>
      <w:r w:rsidR="00F6063A" w:rsidRPr="00777F9A">
        <w:t>The model</w:t>
      </w:r>
      <w:r w:rsidR="00D717DF" w:rsidRPr="00777F9A">
        <w:t>,</w:t>
      </w:r>
      <w:r w:rsidR="00F6063A" w:rsidRPr="00777F9A">
        <w:t xml:space="preserve"> implemented in the MATLAB/Simulink environment</w:t>
      </w:r>
      <w:r w:rsidR="00D717DF" w:rsidRPr="00777F9A">
        <w:t>,</w:t>
      </w:r>
      <w:r w:rsidR="00F6063A" w:rsidRPr="00777F9A">
        <w:t xml:space="preserve"> can be divided into three sub-models: electric, thermal, and aging. The electric dynamic behaviour was modelled with an equivalent circuit based on Shepherd’s equation. The thermal behaviour was modelled with an electric equivalent model, and the power loss was estimated with Bernardi’s equation </w:t>
      </w:r>
      <w:r w:rsidR="00F6063A" w:rsidRPr="00777F9A">
        <w:fldChar w:fldCharType="begin" w:fldLock="1"/>
      </w:r>
      <w:r w:rsidR="00971408" w:rsidRPr="00777F9A">
        <w:instrText>ADDIN CSL_CITATION {"citationItems":[{"id":"ITEM-1","itemData":{"DOI":"10.1016/J.APPLTHERMALENG.2021.117794","ISSN":"1359-4311","abstract":"Accurate prediction of heat generation in Li-ion batteries during real driving conditions is essential for an efficient thermal management system. In this study, we verify the applicability of a commonly-used heat generation estimator (i.e., Bernardi equation) in Li-ion batteries. The real-world drive cycles comprise of intermittent discharge pulses as opposed to continuous discharge. Therefore, we consider both continuous and pulse-discharge protocols, and compare the heat generation evaluated through Bernardi equation and direct in-situ measurements. It is observed that for continuous discharge, Bernardi equation predicts the heat generation rate with reasonable accuracy. However, the equation substantially overestimates the heat generation under pulse-discharge protocol (realistic scenarios). The heat generation analysis is performed on two leading Li-ion battery chemistries, i.e., LiFePO4 (LFP) and LiNi0.8Mn0.1Co0.1O2 (NMC). Direct measurement shows deviations from the Bernardi equation to be as high as 26% and 49% for LFP and NMC cells, respectively, under high-rate discharge pulses. For the sake of accurate measurement of heat generation, specific heat capacities of Li-ion cells are evaluated with a combined experimental–numerical approach. The heat generation is examined at different cell temperatures and depth of discharge (DoD) levels, and their individual effects on heat generation are analyzed.","author":[{"dropping-particle":"","family":"Jindal","given":"Puneet","non-dropping-particle":"","parse-names":false,"suffix":""},{"dropping-particle":"","family":"Katiyar","given":"Raunak","non-dropping-particle":"","parse-names":false,"suffix":""},{"dropping-particle":"","family":"Bhattacharya","given":"Jishnu","non-dropping-particle":"","parse-names":false,"suffix":""}],"container-title":"Applied Thermal Engineering","id":"ITEM-1","issued":{"date-parts":[["2022","1"]]},"page":"117794","publisher":"Pergamon","title":"Evaluation of accuracy for Bernardi equation in estimating heat generation rate for continuous and pulse-discharge protocols in LFP and NMC based Li-ion batteries","type":"article-journal","volume":"201"},"uris":["http://www.mendeley.com/documents/?uuid=6580f757-e97a-3efd-9295-aa9497150f95","http://www.mendeley.com/documents/?uuid=b4dd2842-c1fa-4160-be09-04a38299f752"]}],"mendeley":{"formattedCitation":"(Jindal et al., 2022)","plainTextFormattedCitation":"(Jindal et al., 2022)","previouslyFormattedCitation":"(Jindal et al., 2022)"},"properties":{"noteIndex":0},"schema":"https://github.com/citation-style-language/schema/raw/master/csl-citation.json"}</w:instrText>
      </w:r>
      <w:r w:rsidR="00F6063A" w:rsidRPr="00777F9A">
        <w:fldChar w:fldCharType="separate"/>
      </w:r>
      <w:r w:rsidR="00F6063A" w:rsidRPr="00777F9A">
        <w:rPr>
          <w:noProof/>
        </w:rPr>
        <w:t>(Jindal et al., 2022)</w:t>
      </w:r>
      <w:r w:rsidR="00F6063A" w:rsidRPr="00777F9A">
        <w:fldChar w:fldCharType="end"/>
      </w:r>
      <w:r w:rsidR="00F6063A" w:rsidRPr="00777F9A">
        <w:t xml:space="preserve">. Battery aging </w:t>
      </w:r>
      <w:r w:rsidR="00CF7AF5" w:rsidRPr="00777F9A">
        <w:t xml:space="preserve">due </w:t>
      </w:r>
      <w:r w:rsidR="00F6063A" w:rsidRPr="00777F9A">
        <w:t>to cycling is analogous to material degradation due to cumulative stress</w:t>
      </w:r>
      <w:r w:rsidR="00DE3D55" w:rsidRPr="00777F9A">
        <w:t>; hence,</w:t>
      </w:r>
      <w:r w:rsidR="00F6063A" w:rsidRPr="00777F9A">
        <w:t xml:space="preserve"> the aging sub-model was derived from fatigue theory and equivalent cycle counting </w:t>
      </w:r>
      <w:r w:rsidR="00F6063A" w:rsidRPr="00777F9A">
        <w:fldChar w:fldCharType="begin" w:fldLock="1"/>
      </w:r>
      <w:r w:rsidR="00971408" w:rsidRPr="00777F9A">
        <w:instrText>ADDIN CSL_CITATION {"citationItems":[{"id":"ITEM-1","itemData":{"DOI":"10.1109/OJIES.2020.3015396","ISSN":"26441284","abstract":"This paper proposes a cycle life model for lithium-ion batteries. The main objective of this work is to facilitate the electrical simulation of lithium-ion battery aging (due to cycling), and its impact on battery capacity and internal resistance. Most of the reported cycle life models are either: A) physics based, with parameters difficult to retrieve or b) semi-empirical, where the parameter identification process requires large amount of experimental data, huge manpower and test duration lasting from months to years. Moreover, these models tend to be valid only for the underlying battery and not for other battery types. This makes the simulation of lithium-ion batteries cycling effects, difficult to achieve, expensive and time consuming. The model proposed in this paper is based on simple physical equations from fatigue theory and equivalent cycle counting. The parameter identification process is straightforward and requires only few data from battery datasheets and limited (or short duration) cycling experiments. The proposed model is generic and able to represent the impact of common cycle life factors such as: depth-of-discharge (DoD), temperature and C-rate. The model is validated using two lithium-ion battery types (LFP-LiFePO{4} and NMC-LiNiMnCoO{2}) and simulation results are close to reality with an error within \\pm 1.5% compared to experimental results.","author":[{"dropping-particle":"","family":"Motapon","given":"Souleman N.","non-dropping-particle":"","parse-names":false,"suffix":""},{"dropping-particle":"","family":"Lachance","given":"Enric","non-dropping-particle":"","parse-names":false,"suffix":""},{"dropping-particle":"","family":"Dessaint","given":"Louis A.","non-dropping-particle":"","parse-names":false,"suffix":""},{"dropping-particle":"","family":"Al-Haddad","given":"Kamal","non-dropping-particle":"","parse-names":false,"suffix":""}],"container-title":"IEEE Open Journal of the Industrial Electronics Society","id":"ITEM-1","issue":"June","issued":{"date-parts":[["2020"]]},"page":"207-217","title":"A Generic cycle life model for lithium-ion batteries based on fatigue theory and equivalent cycle counting","type":"article-journal","volume":"1"},"uris":["http://www.mendeley.com/documents/?uuid=17a37c4a-1849-49df-92c6-34942f1893f6","http://www.mendeley.com/documents/?uuid=e7d57442-14cd-4c7f-818f-b94811db805d"]}],"mendeley":{"formattedCitation":"(Motapon et al., 2020)","plainTextFormattedCitation":"(Motapon et al., 2020)","previouslyFormattedCitation":"(Motapon et al., 2020)"},"properties":{"noteIndex":0},"schema":"https://github.com/citation-style-language/schema/raw/master/csl-citation.json"}</w:instrText>
      </w:r>
      <w:r w:rsidR="00F6063A" w:rsidRPr="00777F9A">
        <w:fldChar w:fldCharType="separate"/>
      </w:r>
      <w:r w:rsidR="00F6063A" w:rsidRPr="00777F9A">
        <w:rPr>
          <w:noProof/>
        </w:rPr>
        <w:t>(Motapon et al., 2020)</w:t>
      </w:r>
      <w:r w:rsidR="00F6063A" w:rsidRPr="00777F9A">
        <w:fldChar w:fldCharType="end"/>
      </w:r>
      <w:r w:rsidR="00F6063A" w:rsidRPr="00777F9A">
        <w:t>.</w:t>
      </w:r>
      <w:r w:rsidR="00971408" w:rsidRPr="00777F9A">
        <w:t xml:space="preserve"> The model</w:t>
      </w:r>
      <w:r w:rsidR="00782822" w:rsidRPr="00777F9A">
        <w:t>ling approach</w:t>
      </w:r>
      <w:r w:rsidR="00971408" w:rsidRPr="00777F9A">
        <w:t xml:space="preserve"> </w:t>
      </w:r>
      <w:r w:rsidR="00782822" w:rsidRPr="00777F9A">
        <w:t>is</w:t>
      </w:r>
      <w:r w:rsidR="00971408" w:rsidRPr="00777F9A">
        <w:t xml:space="preserve"> depicted in </w:t>
      </w:r>
      <w:r w:rsidR="00971408" w:rsidRPr="00777F9A">
        <w:fldChar w:fldCharType="begin"/>
      </w:r>
      <w:r w:rsidR="00971408" w:rsidRPr="00777F9A">
        <w:instrText xml:space="preserve"> REF _Ref195980897 \h </w:instrText>
      </w:r>
      <w:r w:rsidR="00777F9A">
        <w:instrText xml:space="preserve"> \* MERGEFORMAT </w:instrText>
      </w:r>
      <w:r w:rsidR="00971408" w:rsidRPr="00777F9A">
        <w:fldChar w:fldCharType="separate"/>
      </w:r>
      <w:r w:rsidR="00CB14E7" w:rsidRPr="00777F9A">
        <w:t xml:space="preserve">Figure </w:t>
      </w:r>
      <w:r w:rsidR="00CB14E7" w:rsidRPr="00777F9A">
        <w:rPr>
          <w:noProof/>
        </w:rPr>
        <w:t>1</w:t>
      </w:r>
      <w:r w:rsidR="00971408" w:rsidRPr="00777F9A">
        <w:fldChar w:fldCharType="end"/>
      </w:r>
      <w:r w:rsidR="00971408" w:rsidRPr="00777F9A">
        <w:t xml:space="preserve">. </w:t>
      </w:r>
      <w:r w:rsidR="009B32EE" w:rsidRPr="00777F9A">
        <w:t xml:space="preserve">A dynamic model </w:t>
      </w:r>
      <w:r w:rsidR="006A75B6" w:rsidRPr="00777F9A">
        <w:t xml:space="preserve">with lumped parameters was implemented. </w:t>
      </w:r>
      <w:r w:rsidR="002C34EF" w:rsidRPr="00777F9A">
        <w:t>The o</w:t>
      </w:r>
      <w:r w:rsidR="001B7CFA" w:rsidRPr="00777F9A">
        <w:t>perating conditions</w:t>
      </w:r>
      <w:r w:rsidR="0028344A" w:rsidRPr="00777F9A">
        <w:t xml:space="preserve">, i.e., ambient temperature and </w:t>
      </w:r>
      <w:r w:rsidR="005C0BD8" w:rsidRPr="00777F9A">
        <w:t>charge/discharge current</w:t>
      </w:r>
      <w:r w:rsidR="001C560B" w:rsidRPr="00777F9A">
        <w:t xml:space="preserve">, </w:t>
      </w:r>
      <w:r w:rsidR="00870403" w:rsidRPr="00777F9A">
        <w:t>alo</w:t>
      </w:r>
      <w:r w:rsidR="00075F5D" w:rsidRPr="00777F9A">
        <w:t>n</w:t>
      </w:r>
      <w:r w:rsidR="00870403" w:rsidRPr="00777F9A">
        <w:t>g with the convective heat transfer coefficient</w:t>
      </w:r>
      <w:r w:rsidR="00075F5D" w:rsidRPr="00777F9A">
        <w:t>,</w:t>
      </w:r>
      <w:r w:rsidR="00617867" w:rsidRPr="00777F9A">
        <w:t xml:space="preserve"> represent the model's input parameters</w:t>
      </w:r>
      <w:r w:rsidR="0028344A" w:rsidRPr="00777F9A">
        <w:t>.</w:t>
      </w:r>
      <w:r w:rsidR="001D3AD2" w:rsidRPr="00777F9A">
        <w:t xml:space="preserve"> T</w:t>
      </w:r>
      <w:r w:rsidR="00C92345" w:rsidRPr="00777F9A">
        <w:t xml:space="preserve">he electrical sub-model </w:t>
      </w:r>
      <w:r w:rsidR="00BD12D0" w:rsidRPr="00777F9A">
        <w:t>calculates</w:t>
      </w:r>
      <w:r w:rsidR="00C92345" w:rsidRPr="00777F9A">
        <w:t xml:space="preserve"> the battery voltage and state of charge (SOC)</w:t>
      </w:r>
      <w:r w:rsidR="004925DE" w:rsidRPr="00777F9A">
        <w:t xml:space="preserve">, the thermal sub-model </w:t>
      </w:r>
      <w:r w:rsidR="00BD12D0" w:rsidRPr="00777F9A">
        <w:t>predicts the cell temperature, and the aging sub-model estimates the maximum capacity</w:t>
      </w:r>
      <w:r w:rsidR="00AE58EC" w:rsidRPr="00777F9A">
        <w:t xml:space="preserve">, </w:t>
      </w:r>
      <w:r w:rsidR="0032535E" w:rsidRPr="00777F9A">
        <w:t xml:space="preserve">the </w:t>
      </w:r>
      <w:r w:rsidR="00AE58EC" w:rsidRPr="00777F9A">
        <w:t xml:space="preserve">aging factor and </w:t>
      </w:r>
      <w:r w:rsidR="0032535E" w:rsidRPr="00777F9A">
        <w:t xml:space="preserve">the </w:t>
      </w:r>
      <w:r w:rsidR="00AE58EC" w:rsidRPr="00777F9A">
        <w:t xml:space="preserve">state of health. The sub-models are </w:t>
      </w:r>
      <w:r w:rsidR="00864D35" w:rsidRPr="00777F9A">
        <w:t>linked</w:t>
      </w:r>
      <w:r w:rsidR="00AE58EC" w:rsidRPr="00777F9A">
        <w:t xml:space="preserve"> </w:t>
      </w:r>
      <w:r w:rsidR="00864D35" w:rsidRPr="00777F9A">
        <w:t>by</w:t>
      </w:r>
      <w:r w:rsidR="00AE58EC" w:rsidRPr="00777F9A">
        <w:t xml:space="preserve"> multiple </w:t>
      </w:r>
      <w:r w:rsidR="00864D35" w:rsidRPr="00777F9A">
        <w:t>interconnections</w:t>
      </w:r>
      <w:r w:rsidR="00AE58EC" w:rsidRPr="00777F9A">
        <w:t xml:space="preserve"> </w:t>
      </w:r>
      <w:r w:rsidR="00061112" w:rsidRPr="00777F9A">
        <w:t>(</w:t>
      </w:r>
      <w:r w:rsidR="00D820E8" w:rsidRPr="00777F9A">
        <w:t>as</w:t>
      </w:r>
      <w:r w:rsidR="00CC3BFB" w:rsidRPr="00777F9A">
        <w:t xml:space="preserve"> illustrated in Figure 1</w:t>
      </w:r>
      <w:r w:rsidR="00061112" w:rsidRPr="00777F9A">
        <w:t>). Therefore,</w:t>
      </w:r>
      <w:r w:rsidR="00CC3BFB" w:rsidRPr="00777F9A">
        <w:t xml:space="preserve"> </w:t>
      </w:r>
      <w:r w:rsidR="00061112" w:rsidRPr="00777F9A">
        <w:t>a</w:t>
      </w:r>
      <w:r w:rsidR="00CC3BFB" w:rsidRPr="00777F9A">
        <w:t xml:space="preserve">n iterative procedure is </w:t>
      </w:r>
      <w:r w:rsidR="00D160BC" w:rsidRPr="00777F9A">
        <w:t xml:space="preserve">applied for the </w:t>
      </w:r>
      <w:r w:rsidR="00864D35" w:rsidRPr="00777F9A">
        <w:t>computation</w:t>
      </w:r>
      <w:r w:rsidR="00061112" w:rsidRPr="00777F9A">
        <w:t>.</w:t>
      </w:r>
    </w:p>
    <w:p w14:paraId="4909EA10" w14:textId="3D71FAA7" w:rsidR="00B447C6" w:rsidRPr="00777F9A" w:rsidRDefault="000F6196" w:rsidP="000F6196">
      <w:pPr>
        <w:pStyle w:val="CETCaption"/>
      </w:pPr>
      <w:r w:rsidRPr="00777F9A">
        <w:rPr>
          <w:noProof/>
        </w:rPr>
        <w:drawing>
          <wp:inline distT="0" distB="0" distL="0" distR="0" wp14:anchorId="14AAF64D" wp14:editId="3565AF4B">
            <wp:extent cx="4320000" cy="2742510"/>
            <wp:effectExtent l="0" t="0" r="4445" b="1270"/>
            <wp:docPr id="197687442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0000" cy="2742510"/>
                    </a:xfrm>
                    <a:prstGeom prst="rect">
                      <a:avLst/>
                    </a:prstGeom>
                    <a:solidFill>
                      <a:schemeClr val="bg1"/>
                    </a:solidFill>
                  </pic:spPr>
                </pic:pic>
              </a:graphicData>
            </a:graphic>
          </wp:inline>
        </w:drawing>
      </w:r>
    </w:p>
    <w:p w14:paraId="647F9799" w14:textId="5B610AC6" w:rsidR="00971408" w:rsidRPr="00777F9A" w:rsidRDefault="00971408" w:rsidP="00971408">
      <w:pPr>
        <w:pStyle w:val="CETCaption"/>
      </w:pPr>
      <w:bookmarkStart w:id="1" w:name="_Ref195980897"/>
      <w:r w:rsidRPr="00777F9A">
        <w:t xml:space="preserve">Figure </w:t>
      </w:r>
      <w:r w:rsidRPr="00777F9A">
        <w:fldChar w:fldCharType="begin"/>
      </w:r>
      <w:r w:rsidRPr="00777F9A">
        <w:instrText xml:space="preserve"> SEQ Figure \* ARABIC </w:instrText>
      </w:r>
      <w:r w:rsidRPr="00777F9A">
        <w:fldChar w:fldCharType="separate"/>
      </w:r>
      <w:r w:rsidR="00CB14E7" w:rsidRPr="00777F9A">
        <w:rPr>
          <w:noProof/>
        </w:rPr>
        <w:t>1</w:t>
      </w:r>
      <w:r w:rsidRPr="00777F9A">
        <w:fldChar w:fldCharType="end"/>
      </w:r>
      <w:bookmarkEnd w:id="1"/>
      <w:r w:rsidRPr="00777F9A">
        <w:rPr>
          <w:rStyle w:val="CETCaptionCarattere"/>
          <w:i/>
        </w:rPr>
        <w:t xml:space="preserve">: </w:t>
      </w:r>
      <w:r w:rsidRPr="00777F9A">
        <w:t>Modelling methodology</w:t>
      </w:r>
      <w:r w:rsidR="0030265F" w:rsidRPr="00777F9A">
        <w:t xml:space="preserve"> implemented for the simulation of LiB</w:t>
      </w:r>
      <w:r w:rsidR="005E2CB7" w:rsidRPr="00777F9A">
        <w:t xml:space="preserve"> packs</w:t>
      </w:r>
      <w:r w:rsidRPr="00777F9A">
        <w:t>.</w:t>
      </w:r>
    </w:p>
    <w:p w14:paraId="24AC5B13" w14:textId="28705C53" w:rsidR="00971408" w:rsidRPr="00777F9A" w:rsidRDefault="00971408" w:rsidP="00971408">
      <w:pPr>
        <w:pStyle w:val="CETBodytext"/>
      </w:pPr>
      <w:r w:rsidRPr="00777F9A">
        <w:t xml:space="preserve">The following reasonable assumptions were made </w:t>
      </w:r>
      <w:r w:rsidR="00F1132A" w:rsidRPr="00777F9A">
        <w:t>according to</w:t>
      </w:r>
      <w:r w:rsidRPr="00777F9A">
        <w:t xml:space="preserve"> previous studies</w:t>
      </w:r>
      <w:r w:rsidR="00F1132A" w:rsidRPr="00777F9A">
        <w:t>:</w:t>
      </w:r>
    </w:p>
    <w:p w14:paraId="032EAF63" w14:textId="79929399" w:rsidR="00971408" w:rsidRPr="00777F9A" w:rsidRDefault="00971408" w:rsidP="00971408">
      <w:pPr>
        <w:pStyle w:val="CETListbullets"/>
        <w:rPr>
          <w:lang w:val="en-US"/>
        </w:rPr>
      </w:pPr>
      <w:r w:rsidRPr="00777F9A">
        <w:rPr>
          <w:lang w:val="en-US"/>
        </w:rPr>
        <w:t>•</w:t>
      </w:r>
      <w:r w:rsidRPr="00777F9A">
        <w:rPr>
          <w:lang w:val="en-US"/>
        </w:rPr>
        <w:tab/>
        <w:t>Peukert’s effect and self-discharge</w:t>
      </w:r>
      <w:r w:rsidR="00F1132A" w:rsidRPr="00777F9A">
        <w:rPr>
          <w:lang w:val="en-US"/>
        </w:rPr>
        <w:t xml:space="preserve"> were neglected</w:t>
      </w:r>
      <w:r w:rsidRPr="00777F9A">
        <w:rPr>
          <w:lang w:val="en-US"/>
        </w:rPr>
        <w:t>.</w:t>
      </w:r>
    </w:p>
    <w:p w14:paraId="310B2762" w14:textId="07353E4F" w:rsidR="00971408" w:rsidRPr="00777F9A" w:rsidRDefault="00971408" w:rsidP="00971408">
      <w:pPr>
        <w:pStyle w:val="CETListbullets"/>
        <w:rPr>
          <w:lang w:val="en-US"/>
        </w:rPr>
      </w:pPr>
      <w:r w:rsidRPr="00777F9A">
        <w:rPr>
          <w:lang w:val="en-US"/>
        </w:rPr>
        <w:t>•</w:t>
      </w:r>
      <w:r w:rsidRPr="00777F9A">
        <w:rPr>
          <w:lang w:val="en-US"/>
        </w:rPr>
        <w:tab/>
      </w:r>
      <w:r w:rsidR="00F1132A" w:rsidRPr="00777F9A">
        <w:rPr>
          <w:lang w:val="en-US"/>
        </w:rPr>
        <w:t xml:space="preserve">The </w:t>
      </w:r>
      <w:r w:rsidRPr="00777F9A">
        <w:rPr>
          <w:lang w:val="en-US"/>
        </w:rPr>
        <w:t>memory effect</w:t>
      </w:r>
      <w:r w:rsidR="00F1132A" w:rsidRPr="00777F9A">
        <w:rPr>
          <w:lang w:val="en-US"/>
        </w:rPr>
        <w:t xml:space="preserve"> was neglected</w:t>
      </w:r>
      <w:r w:rsidRPr="00777F9A">
        <w:rPr>
          <w:lang w:val="en-US"/>
        </w:rPr>
        <w:t>.</w:t>
      </w:r>
    </w:p>
    <w:p w14:paraId="13F299D9" w14:textId="20A41B91" w:rsidR="00971408" w:rsidRPr="00777F9A" w:rsidRDefault="00971408" w:rsidP="00971408">
      <w:pPr>
        <w:pStyle w:val="CETListbullets"/>
        <w:rPr>
          <w:lang w:val="en-US"/>
        </w:rPr>
      </w:pPr>
      <w:r w:rsidRPr="00777F9A">
        <w:rPr>
          <w:lang w:val="en-US"/>
        </w:rPr>
        <w:t>•</w:t>
      </w:r>
      <w:r w:rsidRPr="00777F9A">
        <w:rPr>
          <w:lang w:val="en-US"/>
        </w:rPr>
        <w:tab/>
      </w:r>
      <w:r w:rsidR="00FD5511" w:rsidRPr="00777F9A">
        <w:rPr>
          <w:lang w:val="en-US"/>
        </w:rPr>
        <w:t>Shepherd</w:t>
      </w:r>
      <w:r w:rsidRPr="00777F9A">
        <w:rPr>
          <w:lang w:val="en-US"/>
        </w:rPr>
        <w:t xml:space="preserve">’s parameters </w:t>
      </w:r>
      <w:r w:rsidR="00F1132A" w:rsidRPr="00777F9A">
        <w:rPr>
          <w:lang w:val="en-US"/>
        </w:rPr>
        <w:t xml:space="preserve">were equal </w:t>
      </w:r>
      <w:r w:rsidRPr="00777F9A">
        <w:rPr>
          <w:lang w:val="en-US"/>
        </w:rPr>
        <w:t>for charging and discharging.</w:t>
      </w:r>
    </w:p>
    <w:p w14:paraId="5D04C9A3" w14:textId="00F0D5A6" w:rsidR="00971408" w:rsidRPr="00777F9A" w:rsidRDefault="00971408" w:rsidP="00971408">
      <w:pPr>
        <w:pStyle w:val="CETListbullets"/>
        <w:rPr>
          <w:lang w:val="en-US"/>
        </w:rPr>
      </w:pPr>
      <w:r w:rsidRPr="00777F9A">
        <w:rPr>
          <w:lang w:val="en-US"/>
        </w:rPr>
        <w:t>•</w:t>
      </w:r>
      <w:r w:rsidRPr="00777F9A">
        <w:rPr>
          <w:lang w:val="en-US"/>
        </w:rPr>
        <w:tab/>
      </w:r>
      <w:r w:rsidR="00F1132A" w:rsidRPr="00777F9A">
        <w:rPr>
          <w:lang w:val="en-US"/>
        </w:rPr>
        <w:t>The m</w:t>
      </w:r>
      <w:r w:rsidRPr="00777F9A">
        <w:rPr>
          <w:lang w:val="en-US"/>
        </w:rPr>
        <w:t xml:space="preserve">odel’s </w:t>
      </w:r>
      <w:r w:rsidR="001C748C" w:rsidRPr="00777F9A">
        <w:rPr>
          <w:lang w:val="en-US"/>
        </w:rPr>
        <w:t>parameters were</w:t>
      </w:r>
      <w:r w:rsidR="00F1132A" w:rsidRPr="00777F9A">
        <w:rPr>
          <w:lang w:val="en-US"/>
        </w:rPr>
        <w:t xml:space="preserve"> </w:t>
      </w:r>
      <w:r w:rsidRPr="00777F9A">
        <w:rPr>
          <w:lang w:val="en-US"/>
        </w:rPr>
        <w:t>temperature</w:t>
      </w:r>
      <w:r w:rsidR="00F1132A" w:rsidRPr="00777F9A">
        <w:rPr>
          <w:lang w:val="en-US"/>
        </w:rPr>
        <w:t>-</w:t>
      </w:r>
      <w:r w:rsidRPr="00777F9A">
        <w:rPr>
          <w:lang w:val="en-US"/>
        </w:rPr>
        <w:t xml:space="preserve"> and aging</w:t>
      </w:r>
      <w:r w:rsidR="00F1132A" w:rsidRPr="00777F9A">
        <w:rPr>
          <w:lang w:val="en-US"/>
        </w:rPr>
        <w:t>-dependent</w:t>
      </w:r>
      <w:r w:rsidRPr="00777F9A">
        <w:rPr>
          <w:lang w:val="en-US"/>
        </w:rPr>
        <w:t>.</w:t>
      </w:r>
    </w:p>
    <w:p w14:paraId="1BB847B6" w14:textId="0C677E87" w:rsidR="00971408" w:rsidRPr="00777F9A" w:rsidRDefault="00971408" w:rsidP="00971408">
      <w:pPr>
        <w:pStyle w:val="CETListbullets"/>
        <w:rPr>
          <w:lang w:val="en-US"/>
        </w:rPr>
      </w:pPr>
      <w:r w:rsidRPr="00777F9A">
        <w:rPr>
          <w:lang w:val="en-US"/>
        </w:rPr>
        <w:t>•</w:t>
      </w:r>
      <w:r w:rsidRPr="00777F9A">
        <w:rPr>
          <w:lang w:val="en-US"/>
        </w:rPr>
        <w:tab/>
      </w:r>
      <w:r w:rsidR="00F1132A" w:rsidRPr="00777F9A">
        <w:rPr>
          <w:lang w:val="en-US"/>
        </w:rPr>
        <w:t>The s</w:t>
      </w:r>
      <w:r w:rsidRPr="00777F9A">
        <w:rPr>
          <w:lang w:val="en-US"/>
        </w:rPr>
        <w:t xml:space="preserve">pecific heat capacity </w:t>
      </w:r>
      <w:r w:rsidR="00F1132A" w:rsidRPr="00777F9A">
        <w:rPr>
          <w:lang w:val="en-US"/>
        </w:rPr>
        <w:t>was independent of</w:t>
      </w:r>
      <w:r w:rsidRPr="00777F9A">
        <w:rPr>
          <w:lang w:val="en-US"/>
        </w:rPr>
        <w:t xml:space="preserve"> temperature.</w:t>
      </w:r>
    </w:p>
    <w:p w14:paraId="07A3CE43" w14:textId="796DCB6F" w:rsidR="00971408" w:rsidRPr="00777F9A" w:rsidRDefault="00971408" w:rsidP="00971408">
      <w:pPr>
        <w:pStyle w:val="CETListbullets"/>
        <w:rPr>
          <w:lang w:val="en-US"/>
        </w:rPr>
      </w:pPr>
      <w:r w:rsidRPr="00777F9A">
        <w:rPr>
          <w:lang w:val="en-US"/>
        </w:rPr>
        <w:t>•</w:t>
      </w:r>
      <w:r w:rsidRPr="00777F9A">
        <w:rPr>
          <w:lang w:val="en-US"/>
        </w:rPr>
        <w:tab/>
      </w:r>
      <w:r w:rsidR="00F1132A" w:rsidRPr="00777F9A">
        <w:rPr>
          <w:lang w:val="en-US"/>
        </w:rPr>
        <w:t xml:space="preserve">The </w:t>
      </w:r>
      <w:r w:rsidRPr="00777F9A">
        <w:rPr>
          <w:lang w:val="en-US"/>
        </w:rPr>
        <w:t>temperature distribution</w:t>
      </w:r>
      <w:r w:rsidR="00F1132A" w:rsidRPr="00777F9A">
        <w:rPr>
          <w:lang w:val="en-US"/>
        </w:rPr>
        <w:t xml:space="preserve"> was uniform</w:t>
      </w:r>
      <w:r w:rsidRPr="00777F9A">
        <w:rPr>
          <w:lang w:val="en-US"/>
        </w:rPr>
        <w:t>.</w:t>
      </w:r>
    </w:p>
    <w:p w14:paraId="322C9C35" w14:textId="3922BD66" w:rsidR="00971408" w:rsidRPr="00777F9A" w:rsidRDefault="00971408" w:rsidP="00971408">
      <w:pPr>
        <w:pStyle w:val="CETListbullets"/>
        <w:rPr>
          <w:lang w:val="en-US"/>
        </w:rPr>
      </w:pPr>
      <w:r w:rsidRPr="00777F9A">
        <w:rPr>
          <w:lang w:val="en-US"/>
        </w:rPr>
        <w:lastRenderedPageBreak/>
        <w:t>•</w:t>
      </w:r>
      <w:r w:rsidRPr="00777F9A">
        <w:rPr>
          <w:lang w:val="en-US"/>
        </w:rPr>
        <w:tab/>
      </w:r>
      <w:r w:rsidR="00F1132A" w:rsidRPr="00777F9A">
        <w:rPr>
          <w:lang w:val="en-US"/>
        </w:rPr>
        <w:t>The d</w:t>
      </w:r>
      <w:r w:rsidRPr="00777F9A">
        <w:rPr>
          <w:lang w:val="en-US"/>
        </w:rPr>
        <w:t xml:space="preserve">issipated thermal power </w:t>
      </w:r>
      <w:r w:rsidR="00F1132A" w:rsidRPr="00777F9A">
        <w:rPr>
          <w:lang w:val="en-US"/>
        </w:rPr>
        <w:t xml:space="preserve">was simulated </w:t>
      </w:r>
      <w:r w:rsidRPr="00777F9A">
        <w:rPr>
          <w:lang w:val="en-US"/>
        </w:rPr>
        <w:t xml:space="preserve">as a </w:t>
      </w:r>
      <w:r w:rsidR="00F1132A" w:rsidRPr="00777F9A">
        <w:rPr>
          <w:lang w:val="en-US"/>
        </w:rPr>
        <w:t xml:space="preserve">distributed </w:t>
      </w:r>
      <w:r w:rsidRPr="00777F9A">
        <w:rPr>
          <w:lang w:val="en-US"/>
        </w:rPr>
        <w:t xml:space="preserve">heat </w:t>
      </w:r>
      <w:r w:rsidR="00F1132A" w:rsidRPr="00777F9A">
        <w:rPr>
          <w:lang w:val="en-US"/>
        </w:rPr>
        <w:t>sink</w:t>
      </w:r>
      <w:r w:rsidRPr="00777F9A">
        <w:rPr>
          <w:lang w:val="en-US"/>
        </w:rPr>
        <w:t>.</w:t>
      </w:r>
    </w:p>
    <w:p w14:paraId="74717C1C" w14:textId="262EC2C5" w:rsidR="00971408" w:rsidRPr="00777F9A" w:rsidRDefault="00971408" w:rsidP="00971408">
      <w:pPr>
        <w:pStyle w:val="CETListbullets"/>
        <w:rPr>
          <w:lang w:val="en-US"/>
        </w:rPr>
      </w:pPr>
      <w:r w:rsidRPr="00777F9A">
        <w:rPr>
          <w:lang w:val="en-US"/>
        </w:rPr>
        <w:t>•</w:t>
      </w:r>
      <w:r w:rsidRPr="00777F9A">
        <w:rPr>
          <w:lang w:val="en-US"/>
        </w:rPr>
        <w:tab/>
        <w:t xml:space="preserve">Heat conduction from cell to cell </w:t>
      </w:r>
      <w:r w:rsidR="00F1132A" w:rsidRPr="00777F9A">
        <w:rPr>
          <w:lang w:val="en-US"/>
        </w:rPr>
        <w:t xml:space="preserve">was </w:t>
      </w:r>
      <w:r w:rsidRPr="00777F9A">
        <w:rPr>
          <w:lang w:val="en-US"/>
        </w:rPr>
        <w:t>negl</w:t>
      </w:r>
      <w:r w:rsidR="00F1132A" w:rsidRPr="00777F9A">
        <w:rPr>
          <w:lang w:val="en-US"/>
        </w:rPr>
        <w:t>ected</w:t>
      </w:r>
      <w:r w:rsidRPr="00777F9A">
        <w:rPr>
          <w:lang w:val="en-US"/>
        </w:rPr>
        <w:t xml:space="preserve"> (cells with the same temperature). </w:t>
      </w:r>
    </w:p>
    <w:p w14:paraId="75914CD5" w14:textId="09669683" w:rsidR="00B447C6" w:rsidRPr="00777F9A" w:rsidRDefault="00971408" w:rsidP="000F6196">
      <w:pPr>
        <w:pStyle w:val="CETListbullets"/>
        <w:rPr>
          <w:lang w:val="en-US"/>
        </w:rPr>
      </w:pPr>
      <w:r w:rsidRPr="00777F9A">
        <w:rPr>
          <w:lang w:val="en-US"/>
        </w:rPr>
        <w:t>•</w:t>
      </w:r>
      <w:r w:rsidRPr="00777F9A">
        <w:rPr>
          <w:lang w:val="en-US"/>
        </w:rPr>
        <w:tab/>
      </w:r>
      <w:r w:rsidR="00F1132A" w:rsidRPr="00777F9A">
        <w:rPr>
          <w:lang w:val="en-US"/>
        </w:rPr>
        <w:t>The r</w:t>
      </w:r>
      <w:r w:rsidRPr="00777F9A">
        <w:rPr>
          <w:lang w:val="en-US"/>
        </w:rPr>
        <w:t xml:space="preserve">adiative heat transfer </w:t>
      </w:r>
      <w:r w:rsidR="00F1132A" w:rsidRPr="00777F9A">
        <w:rPr>
          <w:lang w:val="en-US"/>
        </w:rPr>
        <w:t xml:space="preserve">was </w:t>
      </w:r>
      <w:r w:rsidRPr="00777F9A">
        <w:rPr>
          <w:lang w:val="en-US"/>
        </w:rPr>
        <w:t>negl</w:t>
      </w:r>
      <w:r w:rsidR="00F1132A" w:rsidRPr="00777F9A">
        <w:rPr>
          <w:lang w:val="en-US"/>
        </w:rPr>
        <w:t>ected</w:t>
      </w:r>
      <w:r w:rsidRPr="00777F9A">
        <w:rPr>
          <w:lang w:val="en-US"/>
        </w:rPr>
        <w:t xml:space="preserve">. </w:t>
      </w:r>
    </w:p>
    <w:p w14:paraId="5A85AB6E" w14:textId="3B061AF9" w:rsidR="00E307F0" w:rsidRPr="00777F9A" w:rsidRDefault="007B0093" w:rsidP="00B110C6">
      <w:pPr>
        <w:pStyle w:val="CETheadingx"/>
      </w:pPr>
      <w:r w:rsidRPr="00777F9A">
        <w:t xml:space="preserve">Model </w:t>
      </w:r>
      <w:r w:rsidR="00E307F0" w:rsidRPr="00777F9A">
        <w:t>equations</w:t>
      </w:r>
    </w:p>
    <w:p w14:paraId="6C1BB2E4" w14:textId="7445A848" w:rsidR="008C1159" w:rsidRPr="00777F9A" w:rsidRDefault="001A5796" w:rsidP="008C1159">
      <w:pPr>
        <w:pStyle w:val="CETBodytext"/>
        <w:rPr>
          <w:lang w:val="en-GB"/>
        </w:rPr>
      </w:pPr>
      <w:r w:rsidRPr="00777F9A">
        <w:t xml:space="preserve">The electric behaviour of the battery was modelled with a Thevenin equivalent electric circuit consisting of a controlled voltage source and a resistor </w:t>
      </w:r>
      <w:r w:rsidR="00EC10B7" w:rsidRPr="00777F9A">
        <w:t xml:space="preserve">in series, </w:t>
      </w:r>
      <w:r w:rsidRPr="00777F9A">
        <w:t xml:space="preserve">representing the open circuit voltage (OCV) and the internal resistance of the battery </w:t>
      </w:r>
      <w:r w:rsidR="00EC10B7" w:rsidRPr="00777F9A">
        <w:t>(</w:t>
      </w:r>
      <w:r w:rsidRPr="00777F9A">
        <w:rPr>
          <w:i/>
          <w:iCs/>
        </w:rPr>
        <w:t>R</w:t>
      </w:r>
      <w:r w:rsidR="00EC10B7" w:rsidRPr="00777F9A">
        <w:t>)</w:t>
      </w:r>
      <w:r w:rsidR="002901F7" w:rsidRPr="00777F9A">
        <w:t xml:space="preserve">, </w:t>
      </w:r>
      <w:r w:rsidRPr="00777F9A">
        <w:t>respectively</w:t>
      </w:r>
      <w:r w:rsidR="008C1159" w:rsidRPr="00777F9A">
        <w:rPr>
          <w:lang w:val="en-GB"/>
        </w:rPr>
        <w:t>:</w:t>
      </w:r>
    </w:p>
    <w:tbl>
      <w:tblPr>
        <w:tblW w:w="5000" w:type="pct"/>
        <w:tblLook w:val="04A0" w:firstRow="1" w:lastRow="0" w:firstColumn="1" w:lastColumn="0" w:noHBand="0" w:noVBand="1"/>
      </w:tblPr>
      <w:tblGrid>
        <w:gridCol w:w="8012"/>
        <w:gridCol w:w="775"/>
      </w:tblGrid>
      <w:tr w:rsidR="00A727DC" w:rsidRPr="00777F9A" w14:paraId="2E501778" w14:textId="77777777" w:rsidTr="00E307F0">
        <w:tc>
          <w:tcPr>
            <w:tcW w:w="8012" w:type="dxa"/>
            <w:shd w:val="clear" w:color="auto" w:fill="auto"/>
            <w:vAlign w:val="center"/>
          </w:tcPr>
          <w:p w14:paraId="5127974D" w14:textId="303CEDEC" w:rsidR="00A727DC" w:rsidRPr="00777F9A" w:rsidRDefault="00777F9A" w:rsidP="008829EF">
            <w:pPr>
              <w:pStyle w:val="CETEquation"/>
              <w:rPr>
                <w:rFonts w:cs="Arial"/>
              </w:rPr>
            </w:pPr>
            <m:oMathPara>
              <m:oMath>
                <m:sSub>
                  <m:sSubPr>
                    <m:ctrlPr>
                      <w:rPr>
                        <w:rFonts w:ascii="Cambria Math" w:hAnsi="Cambria Math"/>
                        <w:i/>
                      </w:rPr>
                    </m:ctrlPr>
                  </m:sSubPr>
                  <m:e>
                    <m:r>
                      <w:rPr>
                        <w:rFonts w:ascii="Cambria Math" w:hAnsi="Cambria Math"/>
                      </w:rPr>
                      <m:t>V</m:t>
                    </m:r>
                  </m:e>
                  <m:sub>
                    <m:r>
                      <w:rPr>
                        <w:rFonts w:ascii="Cambria Math" w:hAnsi="Cambria Math"/>
                      </w:rPr>
                      <m:t>bat</m:t>
                    </m:r>
                  </m:sub>
                </m:sSub>
                <m:r>
                  <w:rPr>
                    <w:rFonts w:ascii="Cambria Math" w:hAnsi="Cambria Math"/>
                  </w:rPr>
                  <m:t>=</m:t>
                </m:r>
                <m:r>
                  <w:rPr>
                    <w:rFonts w:ascii="Cambria Math" w:hAnsi="Cambria Math"/>
                  </w:rPr>
                  <m:t>OCV</m:t>
                </m:r>
                <m:r>
                  <w:rPr>
                    <w:rFonts w:ascii="Cambria Math" w:hAnsi="Cambria Math"/>
                  </w:rPr>
                  <m:t>-</m:t>
                </m:r>
                <m:r>
                  <w:rPr>
                    <w:rFonts w:ascii="Cambria Math" w:hAnsi="Cambria Math"/>
                  </w:rPr>
                  <m:t>iR</m:t>
                </m:r>
              </m:oMath>
            </m:oMathPara>
          </w:p>
        </w:tc>
        <w:tc>
          <w:tcPr>
            <w:tcW w:w="775" w:type="dxa"/>
            <w:shd w:val="clear" w:color="auto" w:fill="auto"/>
            <w:vAlign w:val="center"/>
          </w:tcPr>
          <w:p w14:paraId="76E445A1" w14:textId="77777777" w:rsidR="00A727DC" w:rsidRPr="00777F9A" w:rsidRDefault="00A727DC" w:rsidP="008829EF">
            <w:pPr>
              <w:pStyle w:val="CETEquation"/>
              <w:jc w:val="right"/>
              <w:rPr>
                <w:rFonts w:cs="Arial"/>
              </w:rPr>
            </w:pPr>
            <w:r w:rsidRPr="00777F9A">
              <w:rPr>
                <w:rFonts w:cs="Arial"/>
              </w:rPr>
              <w:t>(1)</w:t>
            </w:r>
          </w:p>
        </w:tc>
      </w:tr>
    </w:tbl>
    <w:p w14:paraId="718C7A5E" w14:textId="46D90AC8" w:rsidR="00971408" w:rsidRPr="00777F9A" w:rsidRDefault="00695B70" w:rsidP="00600535">
      <w:pPr>
        <w:pStyle w:val="CETBodytext"/>
        <w:rPr>
          <w:lang w:val="en-GB"/>
        </w:rPr>
      </w:pPr>
      <w:r w:rsidRPr="00777F9A">
        <w:t xml:space="preserve">The </w:t>
      </w:r>
      <w:r w:rsidR="00641DAA" w:rsidRPr="00777F9A">
        <w:t>OCV</w:t>
      </w:r>
      <w:r w:rsidRPr="00777F9A">
        <w:rPr>
          <w:lang w:val="en-GB"/>
        </w:rPr>
        <w:t xml:space="preserve"> </w:t>
      </w:r>
      <w:r w:rsidRPr="00777F9A">
        <w:t>is given by</w:t>
      </w:r>
      <w:r w:rsidR="00955885" w:rsidRPr="00777F9A">
        <w:t xml:space="preserve"> a modified</w:t>
      </w:r>
      <w:r w:rsidRPr="00777F9A">
        <w:t xml:space="preserve"> </w:t>
      </w:r>
      <w:r w:rsidRPr="00777F9A">
        <w:rPr>
          <w:lang w:val="en-GB"/>
        </w:rPr>
        <w:t xml:space="preserve">Shepherd’s equation </w:t>
      </w:r>
      <w:r w:rsidRPr="00777F9A">
        <w:rPr>
          <w:lang w:val="en-GB"/>
        </w:rPr>
        <w:fldChar w:fldCharType="begin" w:fldLock="1"/>
      </w:r>
      <w:r w:rsidRPr="00777F9A">
        <w:rPr>
          <w:lang w:val="en-GB"/>
        </w:rPr>
        <w:instrText>ADDIN CSL_CITATION {"citationItems":[{"id":"ITEM-1","itemData":{"ISBN":"9788885741317","ISSN":"23052139","abstract":"In this paper, the effect of environment parameters on the Lithium ion (Li-ion) battery behaviour is studied. In fact, the experimental database collected from a Lithium-ion battery is used to study its dynamic behaviour and then propose a dynamic battery model who can describe the relationship between the Open Circuit Voltage (OCV ), the State Of Charge (SOC) and the ambient temperature (Ta ). The proposed Shepherd model of a Li-ion open circuit battery voltage OCV is adjusted by using the experimental database of the CALCE battery group CALCE and then this model is implemented and simulated by using MATLAB/Simulink tools.","author":[{"dropping-particle":"","family":"Hemi","given":"Hanane","non-dropping-particle":"","parse-names":false,"suffix":""},{"dropping-particle":"","family":"M’sirdi","given":"Nacer K.","non-dropping-particle":"","parse-names":false,"suffix":""},{"dropping-particle":"","family":"Naamane","given":"Aziz","non-dropping-particle":"","parse-names":false,"suffix":""}],"container-title":"International Conference on Integrated Modeling and Analysis in Applied Control and Automation","id":"ITEM-1","issued":{"date-parts":[["2019"]]},"page":"83-92","title":"A new proposed shepherd model of a li-ion open circuit battery based on data fitting","type":"article-journal"},"uris":["http://www.mendeley.com/documents/?uuid=b3580ba6-dd25-4018-9570-54b9eac9cb57"]}],"mendeley":{"formattedCitation":"(Hemi et al., 2019)","plainTextFormattedCitation":"(Hemi et al., 2019)","previouslyFormattedCitation":"(Hemi et al., 2019)"},"properties":{"noteIndex":0},"schema":"https://github.com/citation-style-language/schema/raw/master/csl-citation.json"}</w:instrText>
      </w:r>
      <w:r w:rsidRPr="00777F9A">
        <w:rPr>
          <w:lang w:val="en-GB"/>
        </w:rPr>
        <w:fldChar w:fldCharType="separate"/>
      </w:r>
      <w:r w:rsidRPr="00777F9A">
        <w:rPr>
          <w:noProof/>
          <w:lang w:val="en-GB"/>
        </w:rPr>
        <w:t>(Hemi et al., 2019)</w:t>
      </w:r>
      <w:r w:rsidRPr="00777F9A">
        <w:rPr>
          <w:lang w:val="en-GB"/>
        </w:rPr>
        <w:fldChar w:fldCharType="end"/>
      </w:r>
      <w:r w:rsidR="00242DCF" w:rsidRPr="00777F9A">
        <w:rPr>
          <w:lang w:val="en-GB"/>
        </w:rPr>
        <w:t>:</w:t>
      </w:r>
      <w:r w:rsidR="00E307F0" w:rsidRPr="00777F9A">
        <w:t xml:space="preserve"> </w:t>
      </w:r>
    </w:p>
    <w:tbl>
      <w:tblPr>
        <w:tblW w:w="5000" w:type="pct"/>
        <w:tblLook w:val="04A0" w:firstRow="1" w:lastRow="0" w:firstColumn="1" w:lastColumn="0" w:noHBand="0" w:noVBand="1"/>
      </w:tblPr>
      <w:tblGrid>
        <w:gridCol w:w="8012"/>
        <w:gridCol w:w="775"/>
      </w:tblGrid>
      <w:tr w:rsidR="00695B70" w:rsidRPr="00777F9A" w14:paraId="6A8B030F" w14:textId="77777777" w:rsidTr="008829EF">
        <w:tc>
          <w:tcPr>
            <w:tcW w:w="8012" w:type="dxa"/>
            <w:shd w:val="clear" w:color="auto" w:fill="auto"/>
            <w:vAlign w:val="center"/>
          </w:tcPr>
          <w:p w14:paraId="3C12C0ED" w14:textId="19AAF64A" w:rsidR="00695B70" w:rsidRPr="00777F9A" w:rsidRDefault="00777F9A" w:rsidP="008829EF">
            <w:pPr>
              <w:pStyle w:val="CETEquation"/>
              <w:rPr>
                <w:rFonts w:ascii="Cambria Math" w:hAnsi="Cambria Math"/>
                <w:oMath/>
              </w:rPr>
            </w:pPr>
            <m:oMathPara>
              <m:oMath>
                <m:d>
                  <m:dPr>
                    <m:begChr m:val="{"/>
                    <m:endChr m:val=""/>
                    <m:ctrlPr>
                      <w:rPr>
                        <w:rFonts w:ascii="Cambria Math" w:hAnsi="Cambria Math"/>
                        <w:i/>
                      </w:rPr>
                    </m:ctrlPr>
                  </m:dPr>
                  <m:e>
                    <m:eqArr>
                      <m:eqArrPr>
                        <m:ctrlPr>
                          <w:rPr>
                            <w:rFonts w:ascii="Cambria Math" w:hAnsi="Cambria Math"/>
                            <w:i/>
                          </w:rPr>
                        </m:ctrlPr>
                      </m:eqArrPr>
                      <m:e>
                        <m:eqArr>
                          <m:eqArrPr>
                            <m:ctrlPr>
                              <w:rPr>
                                <w:rFonts w:ascii="Cambria Math" w:hAnsi="Cambria Math"/>
                                <w:i/>
                              </w:rPr>
                            </m:ctrlPr>
                          </m:eqArrPr>
                          <m:e>
                            <m:r>
                              <w:rPr>
                                <w:rFonts w:ascii="Cambria Math" w:hAnsi="Cambria Math"/>
                              </w:rPr>
                              <m:t>Disc</m:t>
                            </m:r>
                            <m:r>
                              <w:rPr>
                                <w:rFonts w:ascii="Cambria Math" w:hAnsi="Cambria Math"/>
                              </w:rPr>
                              <m:t>h</m:t>
                            </m:r>
                            <m:r>
                              <w:rPr>
                                <w:rFonts w:ascii="Cambria Math" w:hAnsi="Cambria Math"/>
                              </w:rPr>
                              <m:t>arge</m:t>
                            </m:r>
                            <m:r>
                              <w:rPr>
                                <w:rFonts w:ascii="Cambria Math" w:hAnsi="Cambria Math"/>
                              </w:rPr>
                              <m:t xml:space="preserve"> </m:t>
                            </m:r>
                            <m:d>
                              <m:dPr>
                                <m:ctrlPr>
                                  <w:rPr>
                                    <w:rFonts w:ascii="Cambria Math" w:hAnsi="Cambria Math"/>
                                    <w:i/>
                                  </w:rPr>
                                </m:ctrlPr>
                              </m:dPr>
                              <m:e>
                                <m:r>
                                  <w:rPr>
                                    <w:rFonts w:ascii="Cambria Math" w:hAnsi="Cambria Math"/>
                                  </w:rPr>
                                  <m:t>i</m:t>
                                </m:r>
                                <m:r>
                                  <w:rPr>
                                    <w:rFonts w:ascii="Cambria Math" w:hAnsi="Cambria Math"/>
                                  </w:rPr>
                                  <m:t>&gt;0</m:t>
                                </m:r>
                              </m:e>
                            </m:d>
                            <m:r>
                              <w:rPr>
                                <w:rFonts w:ascii="Cambria Math" w:hAnsi="Cambria Math"/>
                              </w:rPr>
                              <m:t xml:space="preserve">: </m:t>
                            </m:r>
                            <m:r>
                              <w:rPr>
                                <w:rFonts w:ascii="Cambria Math" w:hAnsi="Cambria Math"/>
                              </w:rPr>
                              <m:t>OCV</m:t>
                            </m:r>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m:t>
                            </m:r>
                            <m:r>
                              <w:rPr>
                                <w:rFonts w:ascii="Cambria Math" w:hAnsi="Cambria Math"/>
                              </w:rPr>
                              <m:t>K</m:t>
                            </m:r>
                            <m:f>
                              <m:fPr>
                                <m:ctrlPr>
                                  <w:rPr>
                                    <w:rFonts w:ascii="Cambria Math" w:hAnsi="Cambria Math"/>
                                    <w:i/>
                                  </w:rPr>
                                </m:ctrlPr>
                              </m:fPr>
                              <m:num>
                                <m:r>
                                  <w:rPr>
                                    <w:rFonts w:ascii="Cambria Math" w:hAnsi="Cambria Math"/>
                                  </w:rPr>
                                  <m:t>Q</m:t>
                                </m:r>
                              </m:num>
                              <m:den>
                                <m:r>
                                  <w:rPr>
                                    <w:rFonts w:ascii="Cambria Math" w:hAnsi="Cambria Math"/>
                                  </w:rPr>
                                  <m:t>Q</m:t>
                                </m:r>
                                <m:r>
                                  <w:rPr>
                                    <w:rFonts w:ascii="Cambria Math" w:hAnsi="Cambria Math"/>
                                  </w:rPr>
                                  <m:t>-</m:t>
                                </m:r>
                                <m:r>
                                  <w:rPr>
                                    <w:rFonts w:ascii="Cambria Math" w:hAnsi="Cambria Math"/>
                                  </w:rPr>
                                  <m:t>q</m:t>
                                </m:r>
                              </m:den>
                            </m:f>
                            <m:d>
                              <m:dPr>
                                <m:ctrlPr>
                                  <w:rPr>
                                    <w:rFonts w:ascii="Cambria Math" w:hAnsi="Cambria Math"/>
                                    <w:i/>
                                  </w:rPr>
                                </m:ctrlPr>
                              </m:dPr>
                              <m:e>
                                <m:r>
                                  <w:rPr>
                                    <w:rFonts w:ascii="Cambria Math" w:hAnsi="Cambria Math"/>
                                  </w:rPr>
                                  <m:t>i</m:t>
                                </m:r>
                                <m:r>
                                  <w:rPr>
                                    <w:rFonts w:ascii="Cambria Math" w:hAnsi="Cambria Math"/>
                                  </w:rPr>
                                  <m:t>+</m:t>
                                </m:r>
                                <m:r>
                                  <w:rPr>
                                    <w:rFonts w:ascii="Cambria Math" w:hAnsi="Cambria Math"/>
                                  </w:rPr>
                                  <m:t>q</m:t>
                                </m:r>
                              </m:e>
                            </m:d>
                            <m:r>
                              <w:rPr>
                                <w:rFonts w:ascii="Cambria Math" w:hAnsi="Cambria Math"/>
                              </w:rPr>
                              <m:t>+</m:t>
                            </m:r>
                            <m:r>
                              <w:rPr>
                                <w:rFonts w:ascii="Cambria Math" w:hAnsi="Cambria Math"/>
                              </w:rPr>
                              <m:t>A</m:t>
                            </m:r>
                            <m:r>
                              <w:rPr>
                                <w:rFonts w:ascii="Cambria Math" w:hAnsi="Cambria Math"/>
                              </w:rPr>
                              <m:t xml:space="preserve"> </m:t>
                            </m:r>
                            <m:r>
                              <w:rPr>
                                <w:rFonts w:ascii="Cambria Math" w:hAnsi="Cambria Math"/>
                              </w:rPr>
                              <m:t>exp</m:t>
                            </m:r>
                            <m:d>
                              <m:dPr>
                                <m:ctrlPr>
                                  <w:rPr>
                                    <w:rFonts w:ascii="Cambria Math" w:hAnsi="Cambria Math"/>
                                    <w:i/>
                                  </w:rPr>
                                </m:ctrlPr>
                              </m:dPr>
                              <m:e>
                                <m:r>
                                  <w:rPr>
                                    <w:rFonts w:ascii="Cambria Math" w:hAnsi="Cambria Math"/>
                                  </w:rPr>
                                  <m:t>-</m:t>
                                </m:r>
                                <m:r>
                                  <w:rPr>
                                    <w:rFonts w:ascii="Cambria Math" w:hAnsi="Cambria Math"/>
                                  </w:rPr>
                                  <m:t>B</m:t>
                                </m:r>
                                <m:r>
                                  <w:rPr>
                                    <w:rFonts w:ascii="Cambria Math" w:hAnsi="Cambria Math"/>
                                  </w:rPr>
                                  <m:t>∙</m:t>
                                </m:r>
                                <m:r>
                                  <w:rPr>
                                    <w:rFonts w:ascii="Cambria Math" w:hAnsi="Cambria Math"/>
                                  </w:rPr>
                                  <m:t>q</m:t>
                                </m:r>
                              </m:e>
                            </m:d>
                            <m:r>
                              <w:rPr>
                                <w:rFonts w:ascii="Cambria Math" w:hAnsi="Cambria Math"/>
                              </w:rPr>
                              <m:t>-</m:t>
                            </m:r>
                            <m:r>
                              <w:rPr>
                                <w:rFonts w:ascii="Cambria Math" w:hAnsi="Cambria Math"/>
                              </w:rPr>
                              <m:t xml:space="preserve"> </m:t>
                            </m:r>
                            <m:r>
                              <w:rPr>
                                <w:rFonts w:ascii="Cambria Math" w:hAnsi="Cambria Math"/>
                              </w:rPr>
                              <m:t>C</m:t>
                            </m:r>
                            <m:r>
                              <w:rPr>
                                <w:rFonts w:ascii="Cambria Math" w:hAnsi="Cambria Math"/>
                              </w:rPr>
                              <m:t>∙</m:t>
                            </m:r>
                            <m:r>
                              <w:rPr>
                                <w:rFonts w:ascii="Cambria Math" w:hAnsi="Cambria Math"/>
                              </w:rPr>
                              <m:t>q</m:t>
                            </m:r>
                          </m:e>
                          <m:e>
                            <m:r>
                              <w:rPr>
                                <w:rFonts w:ascii="Cambria Math" w:hAnsi="Cambria Math"/>
                              </w:rPr>
                              <m:t>C</m:t>
                            </m:r>
                            <m:r>
                              <w:rPr>
                                <w:rFonts w:ascii="Cambria Math" w:hAnsi="Cambria Math"/>
                              </w:rPr>
                              <m:t>h</m:t>
                            </m:r>
                            <m:r>
                              <w:rPr>
                                <w:rFonts w:ascii="Cambria Math" w:hAnsi="Cambria Math"/>
                              </w:rPr>
                              <m:t>arge</m:t>
                            </m:r>
                            <m:r>
                              <w:rPr>
                                <w:rFonts w:ascii="Cambria Math" w:hAnsi="Cambria Math"/>
                              </w:rPr>
                              <m:t xml:space="preserve"> </m:t>
                            </m:r>
                            <m:d>
                              <m:dPr>
                                <m:ctrlPr>
                                  <w:rPr>
                                    <w:rFonts w:ascii="Cambria Math" w:hAnsi="Cambria Math"/>
                                    <w:i/>
                                  </w:rPr>
                                </m:ctrlPr>
                              </m:dPr>
                              <m:e>
                                <m:r>
                                  <w:rPr>
                                    <w:rFonts w:ascii="Cambria Math" w:hAnsi="Cambria Math"/>
                                  </w:rPr>
                                  <m:t>i</m:t>
                                </m:r>
                                <m:r>
                                  <w:rPr>
                                    <w:rFonts w:ascii="Cambria Math" w:hAnsi="Cambria Math"/>
                                  </w:rPr>
                                  <m:t>&lt;0</m:t>
                                </m:r>
                              </m:e>
                            </m:d>
                            <m:r>
                              <w:rPr>
                                <w:rFonts w:ascii="Cambria Math" w:hAnsi="Cambria Math"/>
                              </w:rPr>
                              <m:t xml:space="preserve">: </m:t>
                            </m:r>
                            <m:r>
                              <w:rPr>
                                <w:rFonts w:ascii="Cambria Math" w:hAnsi="Cambria Math"/>
                              </w:rPr>
                              <m:t>OCV</m:t>
                            </m:r>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m:t>
                            </m:r>
                            <m:r>
                              <w:rPr>
                                <w:rFonts w:ascii="Cambria Math" w:hAnsi="Cambria Math"/>
                              </w:rPr>
                              <m:t>K</m:t>
                            </m:r>
                            <m:f>
                              <m:fPr>
                                <m:ctrlPr>
                                  <w:rPr>
                                    <w:rFonts w:ascii="Cambria Math" w:hAnsi="Cambria Math"/>
                                    <w:i/>
                                  </w:rPr>
                                </m:ctrlPr>
                              </m:fPr>
                              <m:num>
                                <m:r>
                                  <w:rPr>
                                    <w:rFonts w:ascii="Cambria Math" w:hAnsi="Cambria Math"/>
                                  </w:rPr>
                                  <m:t>Q</m:t>
                                </m:r>
                              </m:num>
                              <m:den>
                                <m:r>
                                  <w:rPr>
                                    <w:rFonts w:ascii="Cambria Math" w:hAnsi="Cambria Math"/>
                                  </w:rPr>
                                  <m:t>q</m:t>
                                </m:r>
                                <m:r>
                                  <w:rPr>
                                    <w:rFonts w:ascii="Cambria Math" w:hAnsi="Cambria Math"/>
                                  </w:rPr>
                                  <m:t>-</m:t>
                                </m:r>
                                <m:r>
                                  <w:rPr>
                                    <w:rFonts w:ascii="Cambria Math" w:hAnsi="Cambria Math"/>
                                  </w:rPr>
                                  <m:t>0.1</m:t>
                                </m:r>
                                <m:r>
                                  <w:rPr>
                                    <w:rFonts w:ascii="Cambria Math" w:hAnsi="Cambria Math"/>
                                  </w:rPr>
                                  <m:t>Q</m:t>
                                </m:r>
                              </m:den>
                            </m:f>
                            <m:r>
                              <w:rPr>
                                <w:rFonts w:ascii="Cambria Math" w:hAnsi="Cambria Math"/>
                              </w:rPr>
                              <m:t>i</m:t>
                            </m:r>
                            <m:r>
                              <w:rPr>
                                <w:rFonts w:ascii="Cambria Math" w:hAnsi="Cambria Math"/>
                              </w:rPr>
                              <m:t>-</m:t>
                            </m:r>
                            <m:r>
                              <w:rPr>
                                <w:rFonts w:ascii="Cambria Math" w:hAnsi="Cambria Math"/>
                              </w:rPr>
                              <m:t>K</m:t>
                            </m:r>
                            <m:f>
                              <m:fPr>
                                <m:ctrlPr>
                                  <w:rPr>
                                    <w:rFonts w:ascii="Cambria Math" w:hAnsi="Cambria Math"/>
                                    <w:i/>
                                  </w:rPr>
                                </m:ctrlPr>
                              </m:fPr>
                              <m:num>
                                <m:r>
                                  <w:rPr>
                                    <w:rFonts w:ascii="Cambria Math" w:hAnsi="Cambria Math"/>
                                  </w:rPr>
                                  <m:t>Q</m:t>
                                </m:r>
                              </m:num>
                              <m:den>
                                <m:r>
                                  <w:rPr>
                                    <w:rFonts w:ascii="Cambria Math" w:hAnsi="Cambria Math"/>
                                  </w:rPr>
                                  <m:t>Q</m:t>
                                </m:r>
                                <m:r>
                                  <w:rPr>
                                    <w:rFonts w:ascii="Cambria Math" w:hAnsi="Cambria Math"/>
                                  </w:rPr>
                                  <m:t>-</m:t>
                                </m:r>
                                <m:r>
                                  <w:rPr>
                                    <w:rFonts w:ascii="Cambria Math" w:hAnsi="Cambria Math"/>
                                  </w:rPr>
                                  <m:t>q</m:t>
                                </m:r>
                              </m:den>
                            </m:f>
                            <m:r>
                              <w:rPr>
                                <w:rFonts w:ascii="Cambria Math" w:hAnsi="Cambria Math"/>
                              </w:rPr>
                              <m:t>q</m:t>
                            </m:r>
                            <m:r>
                              <w:rPr>
                                <w:rFonts w:ascii="Cambria Math" w:hAnsi="Cambria Math"/>
                              </w:rPr>
                              <m:t>+</m:t>
                            </m:r>
                            <m:r>
                              <w:rPr>
                                <w:rFonts w:ascii="Cambria Math" w:hAnsi="Cambria Math"/>
                              </w:rPr>
                              <m:t>A</m:t>
                            </m:r>
                            <m:r>
                              <w:rPr>
                                <w:rFonts w:ascii="Cambria Math" w:hAnsi="Cambria Math"/>
                              </w:rPr>
                              <m:t xml:space="preserve"> </m:t>
                            </m:r>
                            <m:r>
                              <w:rPr>
                                <w:rFonts w:ascii="Cambria Math" w:hAnsi="Cambria Math"/>
                              </w:rPr>
                              <m:t>exp</m:t>
                            </m:r>
                            <m:d>
                              <m:dPr>
                                <m:ctrlPr>
                                  <w:rPr>
                                    <w:rFonts w:ascii="Cambria Math" w:hAnsi="Cambria Math"/>
                                    <w:i/>
                                  </w:rPr>
                                </m:ctrlPr>
                              </m:dPr>
                              <m:e>
                                <m:r>
                                  <w:rPr>
                                    <w:rFonts w:ascii="Cambria Math" w:hAnsi="Cambria Math"/>
                                  </w:rPr>
                                  <m:t>-</m:t>
                                </m:r>
                                <m:r>
                                  <w:rPr>
                                    <w:rFonts w:ascii="Cambria Math" w:hAnsi="Cambria Math"/>
                                  </w:rPr>
                                  <m:t>B</m:t>
                                </m:r>
                                <m:r>
                                  <w:rPr>
                                    <w:rFonts w:ascii="Cambria Math" w:hAnsi="Cambria Math"/>
                                  </w:rPr>
                                  <m:t>∙</m:t>
                                </m:r>
                                <m:r>
                                  <w:rPr>
                                    <w:rFonts w:ascii="Cambria Math" w:hAnsi="Cambria Math"/>
                                  </w:rPr>
                                  <m:t>q</m:t>
                                </m:r>
                              </m:e>
                            </m:d>
                            <m:r>
                              <w:rPr>
                                <w:rFonts w:ascii="Cambria Math" w:hAnsi="Cambria Math"/>
                              </w:rPr>
                              <m:t>-</m:t>
                            </m:r>
                            <m:r>
                              <w:rPr>
                                <w:rFonts w:ascii="Cambria Math" w:hAnsi="Cambria Math"/>
                              </w:rPr>
                              <m:t xml:space="preserve"> </m:t>
                            </m:r>
                            <m:r>
                              <w:rPr>
                                <w:rFonts w:ascii="Cambria Math" w:hAnsi="Cambria Math"/>
                              </w:rPr>
                              <m:t>C</m:t>
                            </m:r>
                            <m:r>
                              <w:rPr>
                                <w:rFonts w:ascii="Cambria Math" w:hAnsi="Cambria Math"/>
                              </w:rPr>
                              <m:t>∙</m:t>
                            </m:r>
                            <m:r>
                              <w:rPr>
                                <w:rFonts w:ascii="Cambria Math" w:hAnsi="Cambria Math"/>
                              </w:rPr>
                              <m:t>q</m:t>
                            </m:r>
                          </m:e>
                        </m:eqArr>
                      </m:e>
                      <m:e>
                        <m:r>
                          <w:rPr>
                            <w:rFonts w:ascii="Cambria Math" w:hAnsi="Cambria Math"/>
                          </w:rPr>
                          <m:t>q</m:t>
                        </m:r>
                        <m:r>
                          <w:rPr>
                            <w:rFonts w:ascii="Cambria Math" w:hAnsi="Cambria Math"/>
                          </w:rPr>
                          <m:t>=</m:t>
                        </m:r>
                        <m:nary>
                          <m:naryPr>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i</m:t>
                            </m:r>
                            <m:r>
                              <w:rPr>
                                <w:rFonts w:ascii="Cambria Math" w:hAnsi="Cambria Math"/>
                              </w:rPr>
                              <m:t>(</m:t>
                            </m:r>
                            <m:r>
                              <w:rPr>
                                <w:rFonts w:ascii="Cambria Math" w:hAnsi="Cambria Math"/>
                              </w:rPr>
                              <m:t>t</m:t>
                            </m:r>
                            <m:r>
                              <w:rPr>
                                <w:rFonts w:ascii="Cambria Math" w:hAnsi="Cambria Math"/>
                              </w:rPr>
                              <m:t xml:space="preserve">) </m:t>
                            </m:r>
                            <m:r>
                              <w:rPr>
                                <w:rFonts w:ascii="Cambria Math" w:hAnsi="Cambria Math"/>
                              </w:rPr>
                              <m:t>dt</m:t>
                            </m:r>
                          </m:e>
                        </m:nary>
                      </m:e>
                    </m:eqArr>
                  </m:e>
                </m:d>
              </m:oMath>
            </m:oMathPara>
          </w:p>
        </w:tc>
        <w:tc>
          <w:tcPr>
            <w:tcW w:w="775" w:type="dxa"/>
            <w:shd w:val="clear" w:color="auto" w:fill="auto"/>
            <w:vAlign w:val="center"/>
          </w:tcPr>
          <w:p w14:paraId="368013F9" w14:textId="42CC43FD" w:rsidR="00695B70" w:rsidRPr="00777F9A" w:rsidRDefault="00695B70" w:rsidP="008829EF">
            <w:pPr>
              <w:pStyle w:val="CETEquation"/>
              <w:jc w:val="right"/>
              <w:rPr>
                <w:rFonts w:cs="Arial"/>
              </w:rPr>
            </w:pPr>
            <w:r w:rsidRPr="00777F9A">
              <w:rPr>
                <w:rFonts w:cs="Arial"/>
              </w:rPr>
              <w:t>(2)</w:t>
            </w:r>
          </w:p>
        </w:tc>
      </w:tr>
    </w:tbl>
    <w:p w14:paraId="4042182D" w14:textId="2B96D326" w:rsidR="00D619A3" w:rsidRPr="00777F9A" w:rsidRDefault="008F03FA" w:rsidP="00D619A3">
      <w:pPr>
        <w:pStyle w:val="CETBodytext"/>
      </w:pPr>
      <w:r w:rsidRPr="00777F9A">
        <w:t>w</w:t>
      </w:r>
      <w:r w:rsidR="00695B70" w:rsidRPr="00777F9A">
        <w:t>here</w:t>
      </w:r>
      <w:r w:rsidR="002901F7" w:rsidRPr="00777F9A">
        <w:t xml:space="preserve"> </w:t>
      </w:r>
      <w:r w:rsidR="00294E96" w:rsidRPr="00777F9A">
        <w:rPr>
          <w:i/>
          <w:iCs/>
        </w:rPr>
        <w:t>i</w:t>
      </w:r>
      <w:r w:rsidR="002901F7" w:rsidRPr="00777F9A">
        <w:t xml:space="preserve"> is the current,</w:t>
      </w:r>
      <w:r w:rsidR="00695B70" w:rsidRPr="00777F9A">
        <w:t xml:space="preserve"> </w:t>
      </w:r>
      <m:oMath>
        <m:sSub>
          <m:sSubPr>
            <m:ctrlPr>
              <w:rPr>
                <w:rFonts w:ascii="Cambria Math" w:hAnsi="Cambria Math"/>
              </w:rPr>
            </m:ctrlPr>
          </m:sSubPr>
          <m:e>
            <m:r>
              <w:rPr>
                <w:rFonts w:ascii="Cambria Math" w:hAnsi="Cambria Math"/>
              </w:rPr>
              <m:t>E</m:t>
            </m:r>
          </m:e>
          <m:sub>
            <m:r>
              <w:rPr>
                <w:rFonts w:ascii="Cambria Math" w:hAnsi="Cambria Math"/>
              </w:rPr>
              <m:t>0</m:t>
            </m:r>
          </m:sub>
        </m:sSub>
      </m:oMath>
      <w:r w:rsidR="00695B70" w:rsidRPr="00777F9A">
        <w:t xml:space="preserve"> </w:t>
      </w:r>
      <w:r w:rsidR="00294E96" w:rsidRPr="00777F9A">
        <w:t xml:space="preserve">is </w:t>
      </w:r>
      <w:r w:rsidR="00695B70" w:rsidRPr="00777F9A">
        <w:t>the thermodynamic voltage</w:t>
      </w:r>
      <w:r w:rsidR="002901F7" w:rsidRPr="00777F9A">
        <w:t xml:space="preserve">, </w:t>
      </w:r>
      <w:r w:rsidR="00695B70" w:rsidRPr="00777F9A">
        <w:rPr>
          <w:i/>
          <w:iCs/>
        </w:rPr>
        <w:t>K</w:t>
      </w:r>
      <w:r w:rsidR="00695B70" w:rsidRPr="00777F9A">
        <w:t xml:space="preserve"> </w:t>
      </w:r>
      <w:r w:rsidR="00294E96" w:rsidRPr="00777F9A">
        <w:t xml:space="preserve">is </w:t>
      </w:r>
      <w:r w:rsidR="00695B70" w:rsidRPr="00777F9A">
        <w:t>the polarization constant</w:t>
      </w:r>
      <w:r w:rsidR="002901F7" w:rsidRPr="00777F9A">
        <w:t xml:space="preserve">, </w:t>
      </w:r>
      <w:r w:rsidR="00695B70" w:rsidRPr="00777F9A">
        <w:rPr>
          <w:i/>
          <w:iCs/>
        </w:rPr>
        <w:t>Q</w:t>
      </w:r>
      <w:r w:rsidR="00695B70" w:rsidRPr="00777F9A">
        <w:t xml:space="preserve"> </w:t>
      </w:r>
      <w:r w:rsidR="00294E96" w:rsidRPr="00777F9A">
        <w:t xml:space="preserve">is </w:t>
      </w:r>
      <w:r w:rsidR="00695B70" w:rsidRPr="00777F9A">
        <w:t>the maximum battery’s capacity</w:t>
      </w:r>
      <w:r w:rsidR="001A1953" w:rsidRPr="00777F9A">
        <w:t xml:space="preserve"> (which reduces cycle by cycle)</w:t>
      </w:r>
      <w:r w:rsidR="002901F7" w:rsidRPr="00777F9A">
        <w:t xml:space="preserve">, </w:t>
      </w:r>
      <w:r w:rsidR="00582FAB" w:rsidRPr="00777F9A">
        <w:rPr>
          <w:i/>
          <w:iCs/>
        </w:rPr>
        <w:t>q</w:t>
      </w:r>
      <w:r w:rsidR="00695B70" w:rsidRPr="00777F9A">
        <w:t xml:space="preserve"> </w:t>
      </w:r>
      <w:r w:rsidR="00294E96" w:rsidRPr="00777F9A">
        <w:t xml:space="preserve">is </w:t>
      </w:r>
      <w:r w:rsidR="00695B70" w:rsidRPr="00777F9A">
        <w:t>the extracted capacity</w:t>
      </w:r>
      <w:r w:rsidR="002901F7" w:rsidRPr="00777F9A">
        <w:t xml:space="preserve">, </w:t>
      </w:r>
      <w:r w:rsidR="00695B70" w:rsidRPr="00777F9A">
        <w:rPr>
          <w:i/>
          <w:iCs/>
        </w:rPr>
        <w:t>A</w:t>
      </w:r>
      <w:r w:rsidR="00695B70" w:rsidRPr="00777F9A">
        <w:t xml:space="preserve"> </w:t>
      </w:r>
      <w:r w:rsidR="00294E96" w:rsidRPr="00777F9A">
        <w:t xml:space="preserve">is </w:t>
      </w:r>
      <w:r w:rsidR="00695B70" w:rsidRPr="00777F9A">
        <w:t>the exponential zone amplitude</w:t>
      </w:r>
      <w:r w:rsidR="002901F7" w:rsidRPr="00777F9A">
        <w:t xml:space="preserve">, </w:t>
      </w:r>
      <w:r w:rsidR="00695B70" w:rsidRPr="00777F9A">
        <w:rPr>
          <w:i/>
          <w:iCs/>
        </w:rPr>
        <w:t>B</w:t>
      </w:r>
      <w:r w:rsidR="00695B70" w:rsidRPr="00777F9A">
        <w:t xml:space="preserve"> </w:t>
      </w:r>
      <w:r w:rsidR="00294E96" w:rsidRPr="00777F9A">
        <w:t xml:space="preserve">is </w:t>
      </w:r>
      <w:r w:rsidR="00695B70" w:rsidRPr="00777F9A">
        <w:t>the exponential capacity</w:t>
      </w:r>
      <w:r w:rsidR="002901F7" w:rsidRPr="00777F9A">
        <w:t xml:space="preserve">, </w:t>
      </w:r>
      <w:r w:rsidR="00695B70" w:rsidRPr="00777F9A">
        <w:rPr>
          <w:i/>
          <w:iCs/>
        </w:rPr>
        <w:t>C</w:t>
      </w:r>
      <w:r w:rsidR="00695B70" w:rsidRPr="00777F9A">
        <w:t xml:space="preserve"> </w:t>
      </w:r>
      <w:r w:rsidR="00294E96" w:rsidRPr="00777F9A">
        <w:t xml:space="preserve">is </w:t>
      </w:r>
      <w:r w:rsidR="00695B70" w:rsidRPr="00777F9A">
        <w:t>the nominal discharge curve slope,</w:t>
      </w:r>
      <w:r w:rsidR="00C57113" w:rsidRPr="00777F9A">
        <w:t xml:space="preserve"> and </w:t>
      </w:r>
      <w:r w:rsidR="00C57113" w:rsidRPr="00777F9A">
        <w:rPr>
          <w:i/>
          <w:iCs/>
        </w:rPr>
        <w:t>t</w:t>
      </w:r>
      <w:r w:rsidR="00C57113" w:rsidRPr="00777F9A">
        <w:t xml:space="preserve"> is the time</w:t>
      </w:r>
      <w:r w:rsidR="002901F7" w:rsidRPr="00777F9A">
        <w:t xml:space="preserve">. </w:t>
      </w:r>
      <m:oMath>
        <m:sSub>
          <m:sSubPr>
            <m:ctrlPr>
              <w:rPr>
                <w:rFonts w:ascii="Cambria Math" w:hAnsi="Cambria Math"/>
              </w:rPr>
            </m:ctrlPr>
          </m:sSubPr>
          <m:e>
            <m:r>
              <w:rPr>
                <w:rFonts w:ascii="Cambria Math" w:hAnsi="Cambria Math"/>
              </w:rPr>
              <m:t>E</m:t>
            </m:r>
          </m:e>
          <m:sub>
            <m:r>
              <w:rPr>
                <w:rFonts w:ascii="Cambria Math" w:hAnsi="Cambria Math"/>
              </w:rPr>
              <m:t>0</m:t>
            </m:r>
          </m:sub>
        </m:sSub>
      </m:oMath>
      <w:r w:rsidR="00695B70" w:rsidRPr="00777F9A">
        <w:t xml:space="preserve">, </w:t>
      </w:r>
      <w:r w:rsidR="00695B70" w:rsidRPr="00777F9A">
        <w:rPr>
          <w:i/>
          <w:iCs/>
        </w:rPr>
        <w:t>K</w:t>
      </w:r>
      <w:r w:rsidR="00695B70" w:rsidRPr="00777F9A">
        <w:t xml:space="preserve">, </w:t>
      </w:r>
      <w:r w:rsidR="00695B70" w:rsidRPr="00777F9A">
        <w:rPr>
          <w:i/>
          <w:iCs/>
        </w:rPr>
        <w:t>A</w:t>
      </w:r>
      <w:r w:rsidR="00695B70" w:rsidRPr="00777F9A">
        <w:t xml:space="preserve">, </w:t>
      </w:r>
      <w:r w:rsidR="00695B70" w:rsidRPr="00777F9A">
        <w:rPr>
          <w:i/>
          <w:iCs/>
        </w:rPr>
        <w:t>B</w:t>
      </w:r>
      <w:r w:rsidR="00695B70" w:rsidRPr="00777F9A">
        <w:t xml:space="preserve">, </w:t>
      </w:r>
      <w:r w:rsidR="00695B70" w:rsidRPr="00777F9A">
        <w:rPr>
          <w:i/>
          <w:iCs/>
        </w:rPr>
        <w:t>C</w:t>
      </w:r>
      <w:r w:rsidR="00695B70" w:rsidRPr="00777F9A">
        <w:t xml:space="preserve"> were obtained </w:t>
      </w:r>
      <w:r w:rsidR="002901F7" w:rsidRPr="00777F9A">
        <w:t xml:space="preserve">by </w:t>
      </w:r>
      <w:r w:rsidR="00695B70" w:rsidRPr="00777F9A">
        <w:t xml:space="preserve">fitting the datasheet curves </w:t>
      </w:r>
      <w:r w:rsidR="00294E96" w:rsidRPr="00777F9A">
        <w:t>with the</w:t>
      </w:r>
      <w:r w:rsidR="002901F7" w:rsidRPr="00777F9A">
        <w:t xml:space="preserve"> Levenberg-Ma</w:t>
      </w:r>
      <w:r w:rsidR="002901F7" w:rsidRPr="00777F9A">
        <w:rPr>
          <w:lang w:val="en-GB"/>
        </w:rPr>
        <w:t>rquardt algorithm.</w:t>
      </w:r>
      <w:r w:rsidR="002901F7" w:rsidRPr="00777F9A">
        <w:t xml:space="preserve"> </w:t>
      </w:r>
      <w:r w:rsidR="00D619A3" w:rsidRPr="00777F9A">
        <w:t xml:space="preserve">The state of charge was calculated </w:t>
      </w:r>
      <w:r w:rsidR="000547EC" w:rsidRPr="00777F9A">
        <w:t>as</w:t>
      </w:r>
      <w:r w:rsidR="002901F7" w:rsidRPr="00777F9A">
        <w:t xml:space="preserve"> a</w:t>
      </w:r>
      <w:r w:rsidR="000547EC" w:rsidRPr="00777F9A">
        <w:t xml:space="preserve"> function of the nominal battery’s capacity </w:t>
      </w:r>
      <m:oMath>
        <m:sSub>
          <m:sSubPr>
            <m:ctrlPr>
              <w:rPr>
                <w:rFonts w:ascii="Cambria Math" w:hAnsi="Cambria Math"/>
              </w:rPr>
            </m:ctrlPr>
          </m:sSubPr>
          <m:e>
            <m:r>
              <w:rPr>
                <w:rFonts w:ascii="Cambria Math" w:hAnsi="Cambria Math"/>
              </w:rPr>
              <m:t>Q</m:t>
            </m:r>
          </m:e>
          <m:sub>
            <m:r>
              <w:rPr>
                <w:rFonts w:ascii="Cambria Math" w:hAnsi="Cambria Math"/>
              </w:rPr>
              <m:t>nom</m:t>
            </m:r>
          </m:sub>
        </m:sSub>
      </m:oMath>
      <w:r w:rsidR="000547EC" w:rsidRPr="00777F9A">
        <w:t xml:space="preserve"> </w:t>
      </w:r>
      <w:r w:rsidR="00D619A3" w:rsidRPr="00777F9A">
        <w:t xml:space="preserve"> </w:t>
      </w:r>
      <w:r w:rsidR="00D619A3" w:rsidRPr="00777F9A">
        <w:fldChar w:fldCharType="begin" w:fldLock="1"/>
      </w:r>
      <w:r w:rsidR="00F65F54" w:rsidRPr="00777F9A">
        <w:instrText>ADDIN CSL_CITATION {"citationItems":[{"id":"ITEM-1","itemData":{"DOI":"10.20508/ijrer.v8i1.6686.g7292","ISSN":"13090127","abstract":"Considering the expanding use of embedded devices equipped with rechargeable batteries, especially Li-ion batteries that have higher power and energy density, the battery management system is becoming increasingly important. In fact, the estimation accuracy of the amount of the remaining charges is critical as it affects the device operational autonomy. Therefore, the battery State-Of-Charge (SOC) is defined to indicate its estimated available charge. In this paper, a solution is proposed for Li-ion battery SOC estimation based on an enhanced Coulomb-counting algorithm to be implemented for multimedia applications. However, the Coulomb-counting algorithm suffers from cumulative errors due to the initial SOC and the errors of measurements uncertainties, therefore to overcome these limitations, we use the Open-Circuit Voltage (OCV), thus having a piecewise linear SOC-OCV relationship and performing periodic re-calibration of the battery capacity. This solution is implemented and validated on a hardware platform based on the PIC18F MCU family. The measured results are correlated with the theoretical ones; they have shown a reliable estimation since accuracy is less than 2%.","author":[{"dropping-particle":"","family":"Baccouche","given":"Ines","non-dropping-particle":"","parse-names":false,"suffix":""},{"dropping-particle":"","family":"Jemmali","given":"Sabeur","non-dropping-particle":"","parse-names":false,"suffix":""},{"dropping-particle":"","family":"Mlayah","given":"Asma","non-dropping-particle":"","parse-names":false,"suffix":""},{"dropping-particle":"","family":"Manai","given":"Bilal","non-dropping-particle":"","parse-names":false,"suffix":""},{"dropping-particle":"Ben","family":"Amara","given":"Najoua Essoukri","non-dropping-particle":"","parse-names":false,"suffix":""}],"container-title":"International Journal of Renewable Energy Research","id":"ITEM-1","issue":"v8i1","issued":{"date-parts":[["2018"]]},"page":"178-187","title":"Implementation of an improved Coulomb-Counting Algorithm Based on a Piecewise SOC-OCV Relationship for SOC Estimation of Li-Ion Battery","type":"article-journal","volume":"8"},"uris":["http://www.mendeley.com/documents/?uuid=537a26f0-5c1f-463e-ae44-19d97e766947","http://www.mendeley.com/documents/?uuid=d725d632-fa77-4812-9edc-d0e0951e1a2b"]}],"mendeley":{"formattedCitation":"(Baccouche et al., 2018)","plainTextFormattedCitation":"(Baccouche et al., 2018)","previouslyFormattedCitation":"(Baccouche et al., 2018)"},"properties":{"noteIndex":0},"schema":"https://github.com/citation-style-language/schema/raw/master/csl-citation.json"}</w:instrText>
      </w:r>
      <w:r w:rsidR="00D619A3" w:rsidRPr="00777F9A">
        <w:fldChar w:fldCharType="separate"/>
      </w:r>
      <w:r w:rsidR="00D619A3" w:rsidRPr="00777F9A">
        <w:rPr>
          <w:noProof/>
        </w:rPr>
        <w:t>(Baccouche et al., 2018)</w:t>
      </w:r>
      <w:r w:rsidR="00D619A3" w:rsidRPr="00777F9A">
        <w:fldChar w:fldCharType="end"/>
      </w:r>
      <w:r w:rsidR="00D619A3" w:rsidRPr="00777F9A">
        <w:t>:</w:t>
      </w:r>
    </w:p>
    <w:tbl>
      <w:tblPr>
        <w:tblW w:w="5000" w:type="pct"/>
        <w:tblLook w:val="04A0" w:firstRow="1" w:lastRow="0" w:firstColumn="1" w:lastColumn="0" w:noHBand="0" w:noVBand="1"/>
      </w:tblPr>
      <w:tblGrid>
        <w:gridCol w:w="8012"/>
        <w:gridCol w:w="775"/>
      </w:tblGrid>
      <w:tr w:rsidR="00D619A3" w:rsidRPr="00777F9A" w14:paraId="2051480D" w14:textId="77777777" w:rsidTr="002E68D8">
        <w:tc>
          <w:tcPr>
            <w:tcW w:w="8012" w:type="dxa"/>
            <w:shd w:val="clear" w:color="auto" w:fill="auto"/>
            <w:vAlign w:val="center"/>
          </w:tcPr>
          <w:p w14:paraId="35A2010F" w14:textId="5228CE3E" w:rsidR="00D619A3" w:rsidRPr="00777F9A" w:rsidRDefault="00D619A3" w:rsidP="002E68D8">
            <w:pPr>
              <w:pStyle w:val="CETEquation"/>
              <w:rPr>
                <w:rFonts w:cs="Arial"/>
              </w:rPr>
            </w:pPr>
            <m:oMathPara>
              <m:oMath>
                <m:r>
                  <w:rPr>
                    <w:rFonts w:ascii="Cambria Math" w:hAnsi="Cambria Math"/>
                  </w:rPr>
                  <m:t>SOC=1-</m:t>
                </m:r>
                <m:f>
                  <m:fPr>
                    <m:ctrlPr>
                      <w:rPr>
                        <w:rFonts w:ascii="Cambria Math" w:hAnsi="Cambria Math"/>
                      </w:rPr>
                    </m:ctrlPr>
                  </m:fPr>
                  <m:num>
                    <m:r>
                      <w:rPr>
                        <w:rFonts w:ascii="Cambria Math" w:hAnsi="Cambria Math"/>
                      </w:rPr>
                      <m:t>q</m:t>
                    </m:r>
                  </m:num>
                  <m:den>
                    <m:sSub>
                      <m:sSubPr>
                        <m:ctrlPr>
                          <w:rPr>
                            <w:rFonts w:ascii="Cambria Math" w:hAnsi="Cambria Math"/>
                          </w:rPr>
                        </m:ctrlPr>
                      </m:sSubPr>
                      <m:e>
                        <m:r>
                          <w:rPr>
                            <w:rFonts w:ascii="Cambria Math" w:hAnsi="Cambria Math"/>
                          </w:rPr>
                          <m:t>Q</m:t>
                        </m:r>
                      </m:e>
                      <m:sub>
                        <m:r>
                          <w:rPr>
                            <w:rFonts w:ascii="Cambria Math" w:hAnsi="Cambria Math"/>
                          </w:rPr>
                          <m:t>nom</m:t>
                        </m:r>
                      </m:sub>
                    </m:sSub>
                  </m:den>
                </m:f>
              </m:oMath>
            </m:oMathPara>
          </w:p>
        </w:tc>
        <w:tc>
          <w:tcPr>
            <w:tcW w:w="775" w:type="dxa"/>
            <w:shd w:val="clear" w:color="auto" w:fill="auto"/>
            <w:vAlign w:val="center"/>
          </w:tcPr>
          <w:p w14:paraId="230F62E2" w14:textId="64242FAF" w:rsidR="00D619A3" w:rsidRPr="00777F9A" w:rsidRDefault="00D619A3" w:rsidP="002E68D8">
            <w:pPr>
              <w:pStyle w:val="CETEquation"/>
              <w:jc w:val="right"/>
              <w:rPr>
                <w:rFonts w:cs="Arial"/>
              </w:rPr>
            </w:pPr>
            <w:r w:rsidRPr="00777F9A">
              <w:rPr>
                <w:rFonts w:cs="Arial"/>
              </w:rPr>
              <w:t>(</w:t>
            </w:r>
            <w:r w:rsidR="00191112" w:rsidRPr="00777F9A">
              <w:rPr>
                <w:rFonts w:cs="Arial"/>
              </w:rPr>
              <w:t>3</w:t>
            </w:r>
            <w:r w:rsidRPr="00777F9A">
              <w:rPr>
                <w:rFonts w:cs="Arial"/>
              </w:rPr>
              <w:t>)</w:t>
            </w:r>
          </w:p>
        </w:tc>
      </w:tr>
    </w:tbl>
    <w:p w14:paraId="5D848B94" w14:textId="4B072AD0" w:rsidR="00971408" w:rsidRPr="00777F9A" w:rsidRDefault="007D55A8" w:rsidP="002901F7">
      <w:pPr>
        <w:pStyle w:val="CETBodytext"/>
        <w:rPr>
          <w:lang w:val="en-GB"/>
        </w:rPr>
      </w:pPr>
      <w:r w:rsidRPr="00777F9A">
        <w:t>In the thermal sub-model, t</w:t>
      </w:r>
      <w:r w:rsidR="0077705F" w:rsidRPr="00777F9A">
        <w:t xml:space="preserve">he energy balance of </w:t>
      </w:r>
      <w:r w:rsidR="002A6717" w:rsidRPr="00777F9A">
        <w:t>the LiB</w:t>
      </w:r>
      <w:r w:rsidR="0077705F" w:rsidRPr="00777F9A">
        <w:t xml:space="preserve"> packs was </w:t>
      </w:r>
      <w:r w:rsidR="002A6717" w:rsidRPr="00777F9A">
        <w:t xml:space="preserve">computed </w:t>
      </w:r>
      <w:r w:rsidR="0077705F" w:rsidRPr="00777F9A">
        <w:t xml:space="preserve">as </w:t>
      </w:r>
      <w:r w:rsidR="002901F7" w:rsidRPr="00777F9A">
        <w:fldChar w:fldCharType="begin" w:fldLock="1"/>
      </w:r>
      <w:r w:rsidR="002901F7" w:rsidRPr="00777F9A">
        <w:instrText>ADDIN CSL_CITATION {"citationItems":[{"id":"ITEM-1","itemData":{"ISBN":"9781604138795","ISSN":"08628408","PMID":"26047380","abstract":"The most common etiology of non-syndromic monogenic obesity are mutations in gene for the Melanocortin-4 receptor (MC485, with variable prevalence in different countries (1.2-6.3% of obese children)v. The aim of our study was 1. to search for MC4R mutations in obese children in Slovakia and compare their prevalence with other European Countries, and 2. to describe the phenotype of the mutation carriers. DNA analysis by direct Sanger sequencing of the coding exons and intron/exon boundaries of the MC4R gene was performed in 268 unrelated Slovak children and adolescents with body mass index above the 97(th) percentile for age and sex and obesity onset up to 11 years (mean 4.3+/-2.8 years). Two different previously described heterozygous loss of function MC4R variants (i.e. p.Ser19Alafs*34, p.Ser127Leu) were identified in 2 obese probands, and one obese (p.Ser19Alafs*34), and one lean (p.Ser127Leu) adult family relatives. No loss of function variants were found in lean controls. The prevalence of loss-of-function MC4R variants in obese Slovak children was 0.7%, what is one of the lowest frequencies in Europe.","author":[{"dropping-particle":"","family":"Incropera","given":"Frank P","non-dropping-particle":"","parse-names":false,"suffix":""}],"container-title":"Physiological Research","id":"ITEM-1","issued":{"date-parts":[["2015"]]},"title":"Incropera - EN - Fundamentals of Heat and Mass Transfer","type":"book"},"uris":["http://www.mendeley.com/documents/?uuid=c0e5ce3f-f47e-4eba-899e-4c4e199c7417","http://www.mendeley.com/documents/?uuid=f4760700-a7a8-4ada-9934-ac7ff7db52de"]}],"mendeley":{"formattedCitation":"(Incropera, 2015)","plainTextFormattedCitation":"(Incropera, 2015)","previouslyFormattedCitation":"(Incropera, 2015)"},"properties":{"noteIndex":0},"schema":"https://github.com/citation-style-language/schema/raw/master/csl-citation.json"}</w:instrText>
      </w:r>
      <w:r w:rsidR="002901F7" w:rsidRPr="00777F9A">
        <w:fldChar w:fldCharType="separate"/>
      </w:r>
      <w:r w:rsidR="002901F7" w:rsidRPr="00777F9A">
        <w:rPr>
          <w:noProof/>
        </w:rPr>
        <w:t>(Incropera, 2015)</w:t>
      </w:r>
      <w:r w:rsidR="002901F7" w:rsidRPr="00777F9A">
        <w:fldChar w:fldCharType="end"/>
      </w:r>
      <w:r w:rsidR="002901F7" w:rsidRPr="00777F9A">
        <w:t>:</w:t>
      </w:r>
      <w:r w:rsidR="0077705F" w:rsidRPr="00777F9A">
        <w:t xml:space="preserve"> </w:t>
      </w:r>
    </w:p>
    <w:tbl>
      <w:tblPr>
        <w:tblW w:w="5000" w:type="pct"/>
        <w:tblLook w:val="04A0" w:firstRow="1" w:lastRow="0" w:firstColumn="1" w:lastColumn="0" w:noHBand="0" w:noVBand="1"/>
      </w:tblPr>
      <w:tblGrid>
        <w:gridCol w:w="8012"/>
        <w:gridCol w:w="775"/>
      </w:tblGrid>
      <w:tr w:rsidR="0077705F" w:rsidRPr="00777F9A" w14:paraId="265FB553" w14:textId="77777777" w:rsidTr="002E68D8">
        <w:tc>
          <w:tcPr>
            <w:tcW w:w="8012" w:type="dxa"/>
            <w:shd w:val="clear" w:color="auto" w:fill="auto"/>
            <w:vAlign w:val="center"/>
          </w:tcPr>
          <w:p w14:paraId="6CBE9D88" w14:textId="36165D19" w:rsidR="0077705F" w:rsidRPr="00777F9A" w:rsidRDefault="0077705F" w:rsidP="002E68D8">
            <w:pPr>
              <w:pStyle w:val="CETEquation"/>
              <w:rPr>
                <w:rFonts w:cs="Arial"/>
              </w:rPr>
            </w:pPr>
            <m:oMathPara>
              <m:oMath>
                <m:r>
                  <w:rPr>
                    <w:rFonts w:ascii="Cambria Math" w:hAnsi="Cambria Math"/>
                  </w:rPr>
                  <m:t>mc</m:t>
                </m:r>
                <m:f>
                  <m:fPr>
                    <m:ctrlPr>
                      <w:rPr>
                        <w:rFonts w:ascii="Cambria Math" w:hAnsi="Cambria Math"/>
                      </w:rPr>
                    </m:ctrlPr>
                  </m:fPr>
                  <m:num>
                    <m:r>
                      <w:rPr>
                        <w:rFonts w:ascii="Cambria Math" w:hAnsi="Cambria Math"/>
                      </w:rPr>
                      <m:t>dT</m:t>
                    </m:r>
                  </m:num>
                  <m:den>
                    <m:r>
                      <w:rPr>
                        <w:rFonts w:ascii="Cambria Math" w:hAnsi="Cambria Math"/>
                      </w:rPr>
                      <m:t>dt</m:t>
                    </m:r>
                  </m:den>
                </m:f>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loss</m:t>
                    </m:r>
                  </m:sub>
                </m:sSub>
                <m:r>
                  <w:rPr>
                    <w:rFonts w:ascii="Cambria Math" w:hAnsi="Cambria Math"/>
                  </w:rPr>
                  <m:t xml:space="preserve">-h S </m:t>
                </m:r>
                <m:d>
                  <m:dPr>
                    <m:ctrlPr>
                      <w:rPr>
                        <w:rFonts w:ascii="Cambria Math" w:hAnsi="Cambria Math"/>
                      </w:rPr>
                    </m:ctrlPr>
                  </m:dPr>
                  <m:e>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air</m:t>
                        </m:r>
                      </m:sub>
                    </m:sSub>
                  </m:e>
                </m:d>
              </m:oMath>
            </m:oMathPara>
          </w:p>
        </w:tc>
        <w:tc>
          <w:tcPr>
            <w:tcW w:w="775" w:type="dxa"/>
            <w:shd w:val="clear" w:color="auto" w:fill="auto"/>
            <w:vAlign w:val="center"/>
          </w:tcPr>
          <w:p w14:paraId="67AE5780" w14:textId="30477F22" w:rsidR="0077705F" w:rsidRPr="00777F9A" w:rsidRDefault="0077705F" w:rsidP="002E68D8">
            <w:pPr>
              <w:pStyle w:val="CETEquation"/>
              <w:jc w:val="right"/>
              <w:rPr>
                <w:rFonts w:cs="Arial"/>
              </w:rPr>
            </w:pPr>
            <w:r w:rsidRPr="00777F9A">
              <w:rPr>
                <w:rFonts w:cs="Arial"/>
              </w:rPr>
              <w:t>(</w:t>
            </w:r>
            <w:r w:rsidR="00191112" w:rsidRPr="00777F9A">
              <w:rPr>
                <w:rFonts w:cs="Arial"/>
              </w:rPr>
              <w:t>4</w:t>
            </w:r>
            <w:r w:rsidRPr="00777F9A">
              <w:rPr>
                <w:rFonts w:cs="Arial"/>
              </w:rPr>
              <w:t>)</w:t>
            </w:r>
          </w:p>
        </w:tc>
      </w:tr>
    </w:tbl>
    <w:p w14:paraId="276F5048" w14:textId="0338E843" w:rsidR="00971408" w:rsidRPr="00777F9A" w:rsidRDefault="0077705F" w:rsidP="00600535">
      <w:pPr>
        <w:pStyle w:val="CETBodytext"/>
        <w:rPr>
          <w:lang w:val="en-GB"/>
        </w:rPr>
      </w:pPr>
      <w:r w:rsidRPr="00777F9A">
        <w:rPr>
          <w:lang w:val="en-GB"/>
        </w:rPr>
        <w:t xml:space="preserve">where </w:t>
      </w:r>
      <w:r w:rsidRPr="00777F9A">
        <w:rPr>
          <w:i/>
          <w:iCs/>
          <w:lang w:val="en-GB"/>
        </w:rPr>
        <w:t>m</w:t>
      </w:r>
      <w:r w:rsidRPr="00777F9A">
        <w:rPr>
          <w:lang w:val="en-GB"/>
        </w:rPr>
        <w:t xml:space="preserve"> is the </w:t>
      </w:r>
      <w:r w:rsidR="006964BB" w:rsidRPr="00777F9A">
        <w:rPr>
          <w:lang w:val="en-GB"/>
        </w:rPr>
        <w:t xml:space="preserve">LiB pack </w:t>
      </w:r>
      <w:r w:rsidRPr="00777F9A">
        <w:rPr>
          <w:lang w:val="en-GB"/>
        </w:rPr>
        <w:t xml:space="preserve">mass, </w:t>
      </w:r>
      <w:r w:rsidRPr="00777F9A">
        <w:rPr>
          <w:i/>
          <w:iCs/>
          <w:lang w:val="en-GB"/>
        </w:rPr>
        <w:t>c</w:t>
      </w:r>
      <w:r w:rsidRPr="00777F9A">
        <w:rPr>
          <w:lang w:val="en-GB"/>
        </w:rPr>
        <w:t xml:space="preserve"> </w:t>
      </w:r>
      <w:r w:rsidR="00294E96" w:rsidRPr="00777F9A">
        <w:rPr>
          <w:lang w:val="en-GB"/>
        </w:rPr>
        <w:t xml:space="preserve">is </w:t>
      </w:r>
      <w:r w:rsidR="006964BB" w:rsidRPr="00777F9A">
        <w:rPr>
          <w:lang w:val="en-GB"/>
        </w:rPr>
        <w:t xml:space="preserve">its </w:t>
      </w:r>
      <w:r w:rsidRPr="00777F9A">
        <w:rPr>
          <w:lang w:val="en-GB"/>
        </w:rPr>
        <w:t>specific heat capacity</w:t>
      </w:r>
      <w:r w:rsidR="002901F7" w:rsidRPr="00777F9A">
        <w:rPr>
          <w:lang w:val="en-GB"/>
        </w:rPr>
        <w:t>,</w:t>
      </w:r>
      <w:r w:rsidR="00D02312" w:rsidRPr="00777F9A">
        <w:rPr>
          <w:lang w:val="en-GB"/>
        </w:rPr>
        <w:t xml:space="preserve"> </w:t>
      </w:r>
      <w:r w:rsidR="00D02312" w:rsidRPr="00777F9A">
        <w:rPr>
          <w:i/>
          <w:iCs/>
          <w:lang w:val="en-GB"/>
        </w:rPr>
        <w:t>T</w:t>
      </w:r>
      <w:r w:rsidR="00D02312" w:rsidRPr="00777F9A">
        <w:rPr>
          <w:lang w:val="en-GB"/>
        </w:rPr>
        <w:t xml:space="preserve"> is the cell temperature,</w:t>
      </w:r>
      <w:r w:rsidR="002901F7" w:rsidRPr="00777F9A">
        <w:rPr>
          <w:lang w:val="en-GB"/>
        </w:rPr>
        <w:t xml:space="preserve">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loss</m:t>
            </m:r>
          </m:sub>
        </m:sSub>
      </m:oMath>
      <w:r w:rsidRPr="00777F9A">
        <w:rPr>
          <w:lang w:val="en-GB"/>
        </w:rPr>
        <w:t xml:space="preserve"> </w:t>
      </w:r>
      <w:r w:rsidR="00294E96" w:rsidRPr="00777F9A">
        <w:rPr>
          <w:lang w:val="en-GB"/>
        </w:rPr>
        <w:t xml:space="preserve">is </w:t>
      </w:r>
      <w:r w:rsidRPr="00777F9A">
        <w:rPr>
          <w:lang w:val="en-GB"/>
        </w:rPr>
        <w:t>the thermal dissipation</w:t>
      </w:r>
      <w:r w:rsidR="002901F7" w:rsidRPr="00777F9A">
        <w:rPr>
          <w:lang w:val="en-GB"/>
        </w:rPr>
        <w:t xml:space="preserve">, </w:t>
      </w:r>
      <w:r w:rsidR="002901F7" w:rsidRPr="00777F9A">
        <w:rPr>
          <w:i/>
          <w:iCs/>
          <w:lang w:val="en-GB"/>
        </w:rPr>
        <w:t>h</w:t>
      </w:r>
      <w:r w:rsidR="002901F7" w:rsidRPr="00777F9A">
        <w:rPr>
          <w:lang w:val="en-GB"/>
        </w:rPr>
        <w:t xml:space="preserve"> </w:t>
      </w:r>
      <w:r w:rsidR="00294E96" w:rsidRPr="00777F9A">
        <w:rPr>
          <w:lang w:val="en-GB"/>
        </w:rPr>
        <w:t xml:space="preserve">is </w:t>
      </w:r>
      <w:r w:rsidR="002901F7" w:rsidRPr="00777F9A">
        <w:rPr>
          <w:lang w:val="en-GB"/>
        </w:rPr>
        <w:t xml:space="preserve">the convective heat transfer coefficient, </w:t>
      </w:r>
      <w:r w:rsidR="002901F7" w:rsidRPr="00777F9A">
        <w:rPr>
          <w:i/>
          <w:iCs/>
          <w:lang w:val="en-GB"/>
        </w:rPr>
        <w:t>S</w:t>
      </w:r>
      <w:r w:rsidR="002901F7" w:rsidRPr="00777F9A">
        <w:rPr>
          <w:lang w:val="en-GB"/>
        </w:rPr>
        <w:t xml:space="preserve"> </w:t>
      </w:r>
      <w:r w:rsidR="00294E96" w:rsidRPr="00777F9A">
        <w:rPr>
          <w:lang w:val="en-GB"/>
        </w:rPr>
        <w:t xml:space="preserve">is </w:t>
      </w:r>
      <w:r w:rsidR="002901F7" w:rsidRPr="00777F9A">
        <w:rPr>
          <w:lang w:val="en-GB"/>
        </w:rPr>
        <w:t xml:space="preserve">the external surface in contact with air,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air</m:t>
            </m:r>
          </m:sub>
        </m:sSub>
      </m:oMath>
      <w:r w:rsidR="002901F7" w:rsidRPr="00777F9A">
        <w:rPr>
          <w:lang w:val="en-GB"/>
        </w:rPr>
        <w:t xml:space="preserve"> </w:t>
      </w:r>
      <w:r w:rsidR="004550F7" w:rsidRPr="00777F9A">
        <w:rPr>
          <w:lang w:val="en-GB"/>
        </w:rPr>
        <w:t xml:space="preserve">is </w:t>
      </w:r>
      <w:r w:rsidR="002901F7" w:rsidRPr="00777F9A">
        <w:rPr>
          <w:lang w:val="en-GB"/>
        </w:rPr>
        <w:t xml:space="preserve">the air temperature. </w:t>
      </w:r>
      <w:r w:rsidR="00790D3F" w:rsidRPr="00777F9A">
        <w:rPr>
          <w:lang w:val="en-GB"/>
        </w:rPr>
        <w:t>The t</w:t>
      </w:r>
      <w:r w:rsidRPr="00777F9A">
        <w:rPr>
          <w:lang w:val="en-GB"/>
        </w:rPr>
        <w:t xml:space="preserve">hermal dissipation, due to the complex phenomena resulting from electrochemical reactions taking place during charging/discharging cycles, was evaluated with Bernardi’s equation </w:t>
      </w:r>
      <w:r w:rsidRPr="00777F9A">
        <w:rPr>
          <w:lang w:val="en-GB"/>
        </w:rPr>
        <w:fldChar w:fldCharType="begin" w:fldLock="1"/>
      </w:r>
      <w:r w:rsidRPr="00777F9A">
        <w:rPr>
          <w:lang w:val="en-GB"/>
        </w:rPr>
        <w:instrText>ADDIN CSL_CITATION {"citationItems":[{"id":"ITEM-1","itemData":{"DOI":"10.1016/J.APPLTHERMALENG.2021.117794","ISSN":"1359-4311","abstract":"Accurate prediction of heat generation in Li-ion batteries during real driving conditions is essential for an efficient thermal management system. In this study, we verify the applicability of a commonly-used heat generation estimator (i.e., Bernardi equation) in Li-ion batteries. The real-world drive cycles comprise of intermittent discharge pulses as opposed to continuous discharge. Therefore, we consider both continuous and pulse-discharge protocols, and compare the heat generation evaluated through Bernardi equation and direct in-situ measurements. It is observed that for continuous discharge, Bernardi equation predicts the heat generation rate with reasonable accuracy. However, the equation substantially overestimates the heat generation under pulse-discharge protocol (realistic scenarios). The heat generation analysis is performed on two leading Li-ion battery chemistries, i.e., LiFePO4 (LFP) and LiNi0.8Mn0.1Co0.1O2 (NMC). Direct measurement shows deviations from the Bernardi equation to be as high as 26% and 49% for LFP and NMC cells, respectively, under high-rate discharge pulses. For the sake of accurate measurement of heat generation, specific heat capacities of Li-ion cells are evaluated with a combined experimental–numerical approach. The heat generation is examined at different cell temperatures and depth of discharge (DoD) levels, and their individual effects on heat generation are analyzed.","author":[{"dropping-particle":"","family":"Jindal","given":"Puneet","non-dropping-particle":"","parse-names":false,"suffix":""},{"dropping-particle":"","family":"Katiyar","given":"Raunak","non-dropping-particle":"","parse-names":false,"suffix":""},{"dropping-particle":"","family":"Bhattacharya","given":"Jishnu","non-dropping-particle":"","parse-names":false,"suffix":""}],"container-title":"Applied Thermal Engineering","id":"ITEM-1","issued":{"date-parts":[["2022","1"]]},"page":"117794","publisher":"Pergamon","title":"Evaluation of accuracy for Bernardi equation in estimating heat generation rate for continuous and pulse-discharge protocols in LFP and NMC based Li-ion batteries","type":"article-journal","volume":"201"},"uris":["http://www.mendeley.com/documents/?uuid=b4dd2842-c1fa-4160-be09-04a38299f752","http://www.mendeley.com/documents/?uuid=6580f757-e97a-3efd-9295-aa9497150f95"]}],"mendeley":{"formattedCitation":"(Jindal et al., 2022)","plainTextFormattedCitation":"(Jindal et al., 2022)","previouslyFormattedCitation":"(Jindal et al., 2022)"},"properties":{"noteIndex":0},"schema":"https://github.com/citation-style-language/schema/raw/master/csl-citation.json"}</w:instrText>
      </w:r>
      <w:r w:rsidRPr="00777F9A">
        <w:rPr>
          <w:lang w:val="en-GB"/>
        </w:rPr>
        <w:fldChar w:fldCharType="separate"/>
      </w:r>
      <w:r w:rsidRPr="00777F9A">
        <w:rPr>
          <w:noProof/>
          <w:lang w:val="en-GB"/>
        </w:rPr>
        <w:t>(Jindal et al., 2022)</w:t>
      </w:r>
      <w:r w:rsidRPr="00777F9A">
        <w:fldChar w:fldCharType="end"/>
      </w:r>
      <w:r w:rsidRPr="00777F9A">
        <w:t>:</w:t>
      </w:r>
    </w:p>
    <w:tbl>
      <w:tblPr>
        <w:tblW w:w="5000" w:type="pct"/>
        <w:tblLook w:val="04A0" w:firstRow="1" w:lastRow="0" w:firstColumn="1" w:lastColumn="0" w:noHBand="0" w:noVBand="1"/>
      </w:tblPr>
      <w:tblGrid>
        <w:gridCol w:w="8012"/>
        <w:gridCol w:w="775"/>
      </w:tblGrid>
      <w:tr w:rsidR="002901F7" w:rsidRPr="00777F9A" w14:paraId="5F2CEBDB" w14:textId="77777777" w:rsidTr="002901F7">
        <w:tc>
          <w:tcPr>
            <w:tcW w:w="8012" w:type="dxa"/>
            <w:shd w:val="clear" w:color="auto" w:fill="auto"/>
            <w:vAlign w:val="center"/>
          </w:tcPr>
          <w:p w14:paraId="3243979C" w14:textId="2E796BB1" w:rsidR="002901F7" w:rsidRPr="00777F9A" w:rsidRDefault="00777F9A" w:rsidP="002E68D8">
            <w:pPr>
              <w:pStyle w:val="CETEquation"/>
              <w:rPr>
                <w:rFonts w:ascii="Cambria Math" w:hAnsi="Cambria Math"/>
                <w:oMath/>
              </w:rPr>
            </w:pPr>
            <m:oMathPara>
              <m:oMath>
                <m:sSub>
                  <m:sSubPr>
                    <m:ctrlPr>
                      <w:rPr>
                        <w:rFonts w:ascii="Cambria Math" w:hAnsi="Cambria Math"/>
                      </w:rPr>
                    </m:ctrlPr>
                  </m:sSubPr>
                  <m:e>
                    <m:r>
                      <w:rPr>
                        <w:rFonts w:ascii="Cambria Math" w:hAnsi="Cambria Math"/>
                      </w:rPr>
                      <m:t>P</m:t>
                    </m:r>
                  </m:e>
                  <m:sub>
                    <m:r>
                      <w:rPr>
                        <w:rFonts w:ascii="Cambria Math" w:hAnsi="Cambria Math"/>
                      </w:rPr>
                      <m:t>loss</m:t>
                    </m:r>
                  </m:sub>
                </m:sSub>
                <m:r>
                  <w:rPr>
                    <w:rFonts w:ascii="Cambria Math" w:hAnsi="Cambria Math"/>
                  </w:rPr>
                  <m:t>=</m:t>
                </m:r>
                <m:r>
                  <w:rPr>
                    <w:rFonts w:ascii="Cambria Math" w:hAnsi="Cambria Math"/>
                  </w:rPr>
                  <m:t>i</m:t>
                </m:r>
                <m:r>
                  <w:rPr>
                    <w:rFonts w:ascii="Cambria Math" w:hAnsi="Cambria Math"/>
                  </w:rPr>
                  <m:t xml:space="preserve"> </m:t>
                </m:r>
                <m:d>
                  <m:dPr>
                    <m:ctrlPr>
                      <w:rPr>
                        <w:rFonts w:ascii="Cambria Math" w:hAnsi="Cambria Math"/>
                      </w:rPr>
                    </m:ctrlPr>
                  </m:dPr>
                  <m:e>
                    <m:r>
                      <w:rPr>
                        <w:rFonts w:ascii="Cambria Math" w:hAnsi="Cambria Math"/>
                      </w:rPr>
                      <m:t>OCV</m:t>
                    </m:r>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bat</m:t>
                        </m:r>
                      </m:sub>
                    </m:sSub>
                  </m:e>
                </m:d>
                <m:r>
                  <w:rPr>
                    <w:rFonts w:ascii="Cambria Math" w:hAnsi="Cambria Math"/>
                  </w:rPr>
                  <m:t>-</m:t>
                </m:r>
                <m:r>
                  <w:rPr>
                    <w:rFonts w:ascii="Cambria Math" w:hAnsi="Cambria Math"/>
                  </w:rPr>
                  <m:t>iT</m:t>
                </m:r>
                <m:f>
                  <m:fPr>
                    <m:ctrlPr>
                      <w:rPr>
                        <w:rFonts w:ascii="Cambria Math" w:hAnsi="Cambria Math"/>
                      </w:rPr>
                    </m:ctrlPr>
                  </m:fPr>
                  <m:num>
                    <m:r>
                      <w:rPr>
                        <w:rFonts w:ascii="Cambria Math" w:hAnsi="Cambria Math"/>
                      </w:rPr>
                      <m:t>d</m:t>
                    </m:r>
                    <m:r>
                      <w:rPr>
                        <w:rFonts w:ascii="Cambria Math" w:hAnsi="Cambria Math"/>
                      </w:rPr>
                      <m:t>O</m:t>
                    </m:r>
                    <m:r>
                      <w:rPr>
                        <w:rFonts w:ascii="Cambria Math" w:hAnsi="Cambria Math"/>
                      </w:rPr>
                      <m:t>CV</m:t>
                    </m:r>
                  </m:num>
                  <m:den>
                    <m:r>
                      <w:rPr>
                        <w:rFonts w:ascii="Cambria Math" w:hAnsi="Cambria Math"/>
                      </w:rPr>
                      <m:t>dT</m:t>
                    </m:r>
                  </m:den>
                </m:f>
              </m:oMath>
            </m:oMathPara>
          </w:p>
        </w:tc>
        <w:tc>
          <w:tcPr>
            <w:tcW w:w="775" w:type="dxa"/>
            <w:shd w:val="clear" w:color="auto" w:fill="auto"/>
            <w:vAlign w:val="center"/>
          </w:tcPr>
          <w:p w14:paraId="661C1A61" w14:textId="4C1EBF9E" w:rsidR="002901F7" w:rsidRPr="00777F9A" w:rsidRDefault="002901F7" w:rsidP="002E68D8">
            <w:pPr>
              <w:pStyle w:val="CETEquation"/>
              <w:jc w:val="right"/>
              <w:rPr>
                <w:rFonts w:cs="Arial"/>
              </w:rPr>
            </w:pPr>
            <w:r w:rsidRPr="00777F9A">
              <w:rPr>
                <w:rFonts w:cs="Arial"/>
              </w:rPr>
              <w:t>(</w:t>
            </w:r>
            <w:r w:rsidR="001722A3" w:rsidRPr="00777F9A">
              <w:rPr>
                <w:rFonts w:cs="Arial"/>
              </w:rPr>
              <w:t>5</w:t>
            </w:r>
            <w:r w:rsidRPr="00777F9A">
              <w:rPr>
                <w:rFonts w:cs="Arial"/>
              </w:rPr>
              <w:t>)</w:t>
            </w:r>
          </w:p>
        </w:tc>
      </w:tr>
    </w:tbl>
    <w:p w14:paraId="379E4B5E" w14:textId="774A5F63" w:rsidR="00971408" w:rsidRPr="00777F9A" w:rsidRDefault="00F65F54" w:rsidP="002901F7">
      <w:pPr>
        <w:pStyle w:val="CETBodytext"/>
      </w:pPr>
      <w:r w:rsidRPr="00777F9A">
        <w:t xml:space="preserve">The impact of cycle aging on capacity reduction (energy fade) was evaluated as </w:t>
      </w:r>
      <w:r w:rsidRPr="00777F9A">
        <w:fldChar w:fldCharType="begin" w:fldLock="1"/>
      </w:r>
      <w:r w:rsidR="00346478" w:rsidRPr="00777F9A">
        <w:instrText>ADDIN CSL_CITATION {"citationItems":[{"id":"ITEM-1","itemData":{"DOI":"10.1109/OJIES.2020.3015396","ISSN":"26441284","abstract":"This paper proposes a cycle life model for lithium-ion batteries. The main objective of this work is to facilitate the electrical simulation of lithium-ion battery aging (due to cycling), and its impact on battery capacity and internal resistance. Most of the reported cycle life models are either: A) physics based, with parameters difficult to retrieve or b) semi-empirical, where the parameter identification process requires large amount of experimental data, huge manpower and test duration lasting from months to years. Moreover, these models tend to be valid only for the underlying battery and not for other battery types. This makes the simulation of lithium-ion batteries cycling effects, difficult to achieve, expensive and time consuming. The model proposed in this paper is based on simple physical equations from fatigue theory and equivalent cycle counting. The parameter identification process is straightforward and requires only few data from battery datasheets and limited (or short duration) cycling experiments. The proposed model is generic and able to represent the impact of common cycle life factors such as: depth-of-discharge (DoD), temperature and C-rate. The model is validated using two lithium-ion battery types (LFP-LiFePO{4} and NMC-LiNiMnCoO{2}) and simulation results are close to reality with an error within \\pm 1.5% compared to experimental results.","author":[{"dropping-particle":"","family":"Motapon","given":"Souleman N.","non-dropping-particle":"","parse-names":false,"suffix":""},{"dropping-particle":"","family":"Lachance","given":"Enric","non-dropping-particle":"","parse-names":false,"suffix":""},{"dropping-particle":"","family":"Dessaint","given":"Louis A.","non-dropping-particle":"","parse-names":false,"suffix":""},{"dropping-particle":"","family":"Al-Haddad","given":"Kamal","non-dropping-particle":"","parse-names":false,"suffix":""}],"container-title":"IEEE Open Journal of the Industrial Electronics Society","id":"ITEM-1","issue":"June","issued":{"date-parts":[["2020"]]},"page":"207-217","title":"A Generic cycle life model for lithium-ion batteries based on fatigue theory and equivalent cycle counting","type":"article-journal","volume":"1"},"uris":["http://www.mendeley.com/documents/?uuid=e7d57442-14cd-4c7f-818f-b94811db805d","http://www.mendeley.com/documents/?uuid=17a37c4a-1849-49df-92c6-34942f1893f6"]}],"mendeley":{"formattedCitation":"(Motapon et al., 2020)","plainTextFormattedCitation":"(Motapon et al., 2020)","previouslyFormattedCitation":"(Motapon et al., 2020)"},"properties":{"noteIndex":0},"schema":"https://github.com/citation-style-language/schema/raw/master/csl-citation.json"}</w:instrText>
      </w:r>
      <w:r w:rsidRPr="00777F9A">
        <w:fldChar w:fldCharType="separate"/>
      </w:r>
      <w:r w:rsidRPr="00777F9A">
        <w:rPr>
          <w:noProof/>
        </w:rPr>
        <w:t>(Motapon et al., 2020)</w:t>
      </w:r>
      <w:r w:rsidRPr="00777F9A">
        <w:fldChar w:fldCharType="end"/>
      </w:r>
      <w:r w:rsidRPr="00777F9A">
        <w:t xml:space="preserve">: </w:t>
      </w:r>
    </w:p>
    <w:tbl>
      <w:tblPr>
        <w:tblW w:w="5000" w:type="pct"/>
        <w:tblLook w:val="04A0" w:firstRow="1" w:lastRow="0" w:firstColumn="1" w:lastColumn="0" w:noHBand="0" w:noVBand="1"/>
      </w:tblPr>
      <w:tblGrid>
        <w:gridCol w:w="8012"/>
        <w:gridCol w:w="775"/>
      </w:tblGrid>
      <w:tr w:rsidR="001722A3" w:rsidRPr="00777F9A" w14:paraId="181B9FA3" w14:textId="77777777" w:rsidTr="002E68D8">
        <w:tc>
          <w:tcPr>
            <w:tcW w:w="8012" w:type="dxa"/>
            <w:shd w:val="clear" w:color="auto" w:fill="auto"/>
            <w:vAlign w:val="center"/>
          </w:tcPr>
          <w:p w14:paraId="40083B6A" w14:textId="5C6E46BB" w:rsidR="001722A3" w:rsidRPr="00777F9A" w:rsidRDefault="001722A3" w:rsidP="001722A3">
            <w:pPr>
              <w:pStyle w:val="CETEquation"/>
              <w:rPr>
                <w:rFonts w:ascii="Cambria Math" w:hAnsi="Cambria Math"/>
                <w:oMath/>
              </w:rPr>
            </w:pPr>
            <m:oMathPara>
              <m:oMath>
                <m:r>
                  <w:rPr>
                    <w:rFonts w:ascii="Cambria Math" w:hAnsi="Cambria Math" w:cs="Arial"/>
                  </w:rPr>
                  <m:t>Q</m:t>
                </m:r>
                <m:d>
                  <m:dPr>
                    <m:ctrlPr>
                      <w:rPr>
                        <w:rFonts w:ascii="Cambria Math" w:hAnsi="Cambria Math" w:cs="Arial"/>
                      </w:rPr>
                    </m:ctrlPr>
                  </m:dPr>
                  <m:e>
                    <m:r>
                      <w:rPr>
                        <w:rFonts w:ascii="Cambria Math" w:hAnsi="Cambria Math" w:cs="Arial"/>
                      </w:rPr>
                      <m:t>n</m:t>
                    </m:r>
                  </m:e>
                </m:d>
                <m:r>
                  <w:rPr>
                    <w:rFonts w:ascii="Cambria Math" w:hAnsi="Cambria Math" w:cs="Arial"/>
                  </w:rPr>
                  <m:t>=</m:t>
                </m:r>
                <m:sSub>
                  <m:sSubPr>
                    <m:ctrlPr>
                      <w:rPr>
                        <w:rFonts w:ascii="Cambria Math" w:hAnsi="Cambria Math" w:cs="Arial"/>
                      </w:rPr>
                    </m:ctrlPr>
                  </m:sSubPr>
                  <m:e>
                    <m:r>
                      <w:rPr>
                        <w:rFonts w:ascii="Cambria Math" w:hAnsi="Cambria Math" w:cs="Arial"/>
                      </w:rPr>
                      <m:t>Q</m:t>
                    </m:r>
                  </m:e>
                  <m:sub>
                    <m:r>
                      <w:rPr>
                        <w:rFonts w:ascii="Cambria Math" w:hAnsi="Cambria Math" w:cs="Arial"/>
                      </w:rPr>
                      <m:t>BOL</m:t>
                    </m:r>
                  </m:sub>
                </m:sSub>
                <m:r>
                  <m:rPr>
                    <m:sty m:val="p"/>
                  </m:rPr>
                  <w:rPr>
                    <w:rFonts w:ascii="Cambria Math" w:hAnsi="Cambria Math" w:cs="Arial"/>
                  </w:rPr>
                  <m:t>-</m:t>
                </m:r>
                <m:r>
                  <w:rPr>
                    <w:rFonts w:ascii="Cambria Math" w:hAnsi="Cambria Math" w:cs="Arial"/>
                  </w:rPr>
                  <m:t>ε</m:t>
                </m:r>
                <m:d>
                  <m:dPr>
                    <m:ctrlPr>
                      <w:rPr>
                        <w:rFonts w:ascii="Cambria Math" w:hAnsi="Cambria Math" w:cs="Arial"/>
                      </w:rPr>
                    </m:ctrlPr>
                  </m:dPr>
                  <m:e>
                    <m:r>
                      <w:rPr>
                        <w:rFonts w:ascii="Cambria Math" w:hAnsi="Cambria Math" w:cs="Arial"/>
                      </w:rPr>
                      <m:t>n</m:t>
                    </m:r>
                  </m:e>
                </m:d>
                <m:d>
                  <m:dPr>
                    <m:ctrlPr>
                      <w:rPr>
                        <w:rFonts w:ascii="Cambria Math" w:hAnsi="Cambria Math" w:cs="Arial"/>
                      </w:rPr>
                    </m:ctrlPr>
                  </m:dPr>
                  <m:e>
                    <m:sSub>
                      <m:sSubPr>
                        <m:ctrlPr>
                          <w:rPr>
                            <w:rFonts w:ascii="Cambria Math" w:hAnsi="Cambria Math" w:cs="Arial"/>
                          </w:rPr>
                        </m:ctrlPr>
                      </m:sSubPr>
                      <m:e>
                        <m:r>
                          <w:rPr>
                            <w:rFonts w:ascii="Cambria Math" w:hAnsi="Cambria Math" w:cs="Arial"/>
                          </w:rPr>
                          <m:t>Q</m:t>
                        </m:r>
                      </m:e>
                      <m:sub>
                        <m:r>
                          <w:rPr>
                            <w:rFonts w:ascii="Cambria Math" w:hAnsi="Cambria Math" w:cs="Arial"/>
                          </w:rPr>
                          <m:t>BOL</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Q</m:t>
                        </m:r>
                      </m:e>
                      <m:sub>
                        <m:r>
                          <w:rPr>
                            <w:rFonts w:ascii="Cambria Math" w:hAnsi="Cambria Math" w:cs="Arial"/>
                          </w:rPr>
                          <m:t>EOL</m:t>
                        </m:r>
                      </m:sub>
                    </m:sSub>
                  </m:e>
                </m:d>
              </m:oMath>
            </m:oMathPara>
          </w:p>
        </w:tc>
        <w:tc>
          <w:tcPr>
            <w:tcW w:w="775" w:type="dxa"/>
            <w:shd w:val="clear" w:color="auto" w:fill="auto"/>
            <w:vAlign w:val="center"/>
          </w:tcPr>
          <w:p w14:paraId="16DC2F9F" w14:textId="5ADF7F97" w:rsidR="001722A3" w:rsidRPr="00777F9A" w:rsidRDefault="001722A3" w:rsidP="001722A3">
            <w:pPr>
              <w:pStyle w:val="CETEquation"/>
              <w:jc w:val="right"/>
              <w:rPr>
                <w:rFonts w:cs="Arial"/>
              </w:rPr>
            </w:pPr>
            <w:r w:rsidRPr="00777F9A">
              <w:rPr>
                <w:rFonts w:cs="Arial"/>
              </w:rPr>
              <w:t>(6)</w:t>
            </w:r>
          </w:p>
        </w:tc>
      </w:tr>
    </w:tbl>
    <w:p w14:paraId="71D2896F" w14:textId="18865CD3" w:rsidR="00971408" w:rsidRPr="00777F9A" w:rsidRDefault="00F65F54" w:rsidP="00600535">
      <w:pPr>
        <w:pStyle w:val="CETBodytext"/>
        <w:rPr>
          <w:lang w:val="en-GB"/>
        </w:rPr>
      </w:pPr>
      <w:r w:rsidRPr="00777F9A">
        <w:t xml:space="preserve">where </w:t>
      </w:r>
      <m:oMath>
        <m:sSub>
          <m:sSubPr>
            <m:ctrlPr>
              <w:rPr>
                <w:rFonts w:ascii="Cambria Math" w:hAnsi="Cambria Math"/>
                <w:i/>
              </w:rPr>
            </m:ctrlPr>
          </m:sSubPr>
          <m:e>
            <m:r>
              <w:rPr>
                <w:rFonts w:ascii="Cambria Math" w:hAnsi="Cambria Math"/>
              </w:rPr>
              <m:t>Q</m:t>
            </m:r>
          </m:e>
          <m:sub>
            <m:r>
              <w:rPr>
                <w:rFonts w:ascii="Cambria Math" w:hAnsi="Cambria Math"/>
              </w:rPr>
              <m:t>BOL</m:t>
            </m:r>
          </m:sub>
        </m:sSub>
      </m:oMath>
      <w:r w:rsidRPr="00777F9A">
        <w:rPr>
          <w:i/>
          <w:iCs/>
        </w:rPr>
        <w:t xml:space="preserve"> </w:t>
      </w:r>
      <w:r w:rsidR="00294E96" w:rsidRPr="00777F9A">
        <w:t xml:space="preserve">and </w:t>
      </w:r>
      <m:oMath>
        <m:sSub>
          <m:sSubPr>
            <m:ctrlPr>
              <w:rPr>
                <w:rFonts w:ascii="Cambria Math" w:hAnsi="Cambria Math"/>
                <w:i/>
              </w:rPr>
            </m:ctrlPr>
          </m:sSubPr>
          <m:e>
            <m:r>
              <w:rPr>
                <w:rFonts w:ascii="Cambria Math" w:hAnsi="Cambria Math"/>
              </w:rPr>
              <m:t>Q</m:t>
            </m:r>
          </m:e>
          <m:sub>
            <m:r>
              <w:rPr>
                <w:rFonts w:ascii="Cambria Math" w:hAnsi="Cambria Math"/>
              </w:rPr>
              <m:t>EOL</m:t>
            </m:r>
          </m:sub>
        </m:sSub>
      </m:oMath>
      <w:r w:rsidR="00294E96" w:rsidRPr="00777F9A">
        <w:t xml:space="preserve"> are</w:t>
      </w:r>
      <w:r w:rsidRPr="00777F9A">
        <w:t xml:space="preserve"> the maximum capacity at the beginning</w:t>
      </w:r>
      <w:r w:rsidR="00294E96" w:rsidRPr="00777F9A">
        <w:t xml:space="preserve"> and </w:t>
      </w:r>
      <w:r w:rsidRPr="00777F9A">
        <w:t>end of life,</w:t>
      </w:r>
      <w:r w:rsidR="00294E96" w:rsidRPr="00777F9A">
        <w:t xml:space="preserve"> respectively,</w:t>
      </w:r>
      <w:r w:rsidR="00294E96" w:rsidRPr="00777F9A">
        <w:rPr>
          <w:i/>
          <w:iCs/>
        </w:rPr>
        <w:t xml:space="preserve"> </w:t>
      </w:r>
      <w:r w:rsidR="001C748C" w:rsidRPr="00777F9A">
        <w:rPr>
          <w:i/>
          <w:iCs/>
        </w:rPr>
        <w:t>n</w:t>
      </w:r>
      <w:r w:rsidR="001C748C" w:rsidRPr="00777F9A">
        <w:t xml:space="preserve"> the number of transitions from charge to discharge and vice versa, </w:t>
      </w:r>
      <w:r w:rsidR="00294E96" w:rsidRPr="00777F9A">
        <w:t>and</w:t>
      </w:r>
      <w:r w:rsidRPr="00777F9A">
        <w:t xml:space="preserve"> </w:t>
      </w:r>
      <m:oMath>
        <m:r>
          <m:rPr>
            <m:sty m:val="p"/>
          </m:rPr>
          <w:rPr>
            <w:rFonts w:ascii="Cambria Math" w:hAnsi="Cambria Math"/>
            <w:lang w:val="en-GB"/>
          </w:rPr>
          <m:t>ε</m:t>
        </m:r>
      </m:oMath>
      <w:r w:rsidRPr="00777F9A">
        <w:rPr>
          <w:lang w:val="en-GB"/>
        </w:rPr>
        <w:t xml:space="preserve"> </w:t>
      </w:r>
      <w:r w:rsidR="003F13A0" w:rsidRPr="00777F9A">
        <w:rPr>
          <w:lang w:val="en-GB"/>
        </w:rPr>
        <w:t xml:space="preserve">is </w:t>
      </w:r>
      <w:r w:rsidR="001722A3" w:rsidRPr="00777F9A">
        <w:rPr>
          <w:lang w:val="en-GB"/>
        </w:rPr>
        <w:t>the aging factor</w:t>
      </w:r>
      <w:r w:rsidR="00EA0CD9" w:rsidRPr="00777F9A">
        <w:rPr>
          <w:lang w:val="en-GB"/>
        </w:rPr>
        <w:t>, defined as:</w:t>
      </w:r>
    </w:p>
    <w:tbl>
      <w:tblPr>
        <w:tblW w:w="5000" w:type="pct"/>
        <w:tblLook w:val="04A0" w:firstRow="1" w:lastRow="0" w:firstColumn="1" w:lastColumn="0" w:noHBand="0" w:noVBand="1"/>
      </w:tblPr>
      <w:tblGrid>
        <w:gridCol w:w="8012"/>
        <w:gridCol w:w="775"/>
      </w:tblGrid>
      <w:tr w:rsidR="001722A3" w:rsidRPr="00777F9A" w14:paraId="70054DAE" w14:textId="77777777" w:rsidTr="002E68D8">
        <w:tc>
          <w:tcPr>
            <w:tcW w:w="8012" w:type="dxa"/>
            <w:shd w:val="clear" w:color="auto" w:fill="auto"/>
            <w:vAlign w:val="center"/>
          </w:tcPr>
          <w:p w14:paraId="279687E6" w14:textId="27D38DB7" w:rsidR="001722A3" w:rsidRPr="00777F9A" w:rsidRDefault="001722A3" w:rsidP="002E68D8">
            <w:pPr>
              <w:pStyle w:val="CETEquation"/>
              <w:rPr>
                <w:rFonts w:ascii="Cambria Math" w:hAnsi="Cambria Math"/>
                <w:oMath/>
              </w:rPr>
            </w:pPr>
            <m:oMathPara>
              <m:oMath>
                <m:r>
                  <w:rPr>
                    <w:rFonts w:ascii="Cambria Math" w:hAnsi="Cambria Math" w:cs="Arial"/>
                  </w:rPr>
                  <m:t>ε</m:t>
                </m:r>
                <m:d>
                  <m:dPr>
                    <m:ctrlPr>
                      <w:rPr>
                        <w:rFonts w:ascii="Cambria Math" w:hAnsi="Cambria Math" w:cs="Arial"/>
                      </w:rPr>
                    </m:ctrlPr>
                  </m:dPr>
                  <m:e>
                    <m:r>
                      <w:rPr>
                        <w:rFonts w:ascii="Cambria Math" w:hAnsi="Cambria Math" w:cs="Arial"/>
                      </w:rPr>
                      <m:t>n</m:t>
                    </m:r>
                  </m:e>
                </m:d>
                <m:r>
                  <w:rPr>
                    <w:rFonts w:ascii="Cambria Math" w:hAnsi="Cambria Math" w:cs="Arial"/>
                  </w:rPr>
                  <m:t>=ε</m:t>
                </m:r>
                <m:d>
                  <m:dPr>
                    <m:ctrlPr>
                      <w:rPr>
                        <w:rFonts w:ascii="Cambria Math" w:hAnsi="Cambria Math" w:cs="Arial"/>
                      </w:rPr>
                    </m:ctrlPr>
                  </m:dPr>
                  <m:e>
                    <m:r>
                      <w:rPr>
                        <w:rFonts w:ascii="Cambria Math" w:hAnsi="Cambria Math" w:cs="Arial"/>
                      </w:rPr>
                      <m:t>n</m:t>
                    </m:r>
                    <m:r>
                      <m:rPr>
                        <m:sty m:val="p"/>
                      </m:rPr>
                      <w:rPr>
                        <w:rFonts w:ascii="Cambria Math" w:hAnsi="Cambria Math" w:cs="Arial"/>
                      </w:rPr>
                      <m:t>-1</m:t>
                    </m:r>
                  </m:e>
                </m:d>
                <m:r>
                  <m:rPr>
                    <m:sty m:val="p"/>
                  </m:rPr>
                  <w:rPr>
                    <w:rFonts w:ascii="Cambria Math" w:hAnsi="Cambria Math" w:cs="Arial"/>
                  </w:rPr>
                  <m:t>+</m:t>
                </m:r>
                <m:f>
                  <m:fPr>
                    <m:ctrlPr>
                      <w:rPr>
                        <w:rFonts w:ascii="Cambria Math" w:hAnsi="Cambria Math" w:cs="Arial"/>
                      </w:rPr>
                    </m:ctrlPr>
                  </m:fPr>
                  <m:num>
                    <m:r>
                      <w:rPr>
                        <w:rFonts w:ascii="Cambria Math" w:hAnsi="Cambria Math" w:cs="Arial"/>
                      </w:rPr>
                      <m:t>0.5</m:t>
                    </m:r>
                    <m:d>
                      <m:dPr>
                        <m:ctrlPr>
                          <w:rPr>
                            <w:rFonts w:ascii="Cambria Math" w:hAnsi="Cambria Math" w:cs="Arial"/>
                            <w:i/>
                            <w:iCs/>
                          </w:rPr>
                        </m:ctrlPr>
                      </m:dPr>
                      <m:e>
                        <m:r>
                          <w:rPr>
                            <w:rFonts w:ascii="Cambria Math" w:hAnsi="Cambria Math" w:cs="Arial"/>
                          </w:rPr>
                          <m:t>2-</m:t>
                        </m:r>
                        <m:f>
                          <m:fPr>
                            <m:ctrlPr>
                              <w:rPr>
                                <w:rFonts w:ascii="Cambria Math" w:hAnsi="Cambria Math" w:cs="Arial"/>
                                <w:i/>
                                <w:iCs/>
                              </w:rPr>
                            </m:ctrlPr>
                          </m:fPr>
                          <m:num>
                            <m:r>
                              <w:rPr>
                                <w:rFonts w:ascii="Cambria Math" w:hAnsi="Cambria Math" w:cs="Arial"/>
                              </w:rPr>
                              <m:t>DOD</m:t>
                            </m:r>
                            <m:d>
                              <m:dPr>
                                <m:ctrlPr>
                                  <w:rPr>
                                    <w:rFonts w:ascii="Cambria Math" w:hAnsi="Cambria Math" w:cs="Arial"/>
                                    <w:i/>
                                    <w:iCs/>
                                  </w:rPr>
                                </m:ctrlPr>
                              </m:dPr>
                              <m:e>
                                <m:r>
                                  <w:rPr>
                                    <w:rFonts w:ascii="Cambria Math" w:hAnsi="Cambria Math" w:cs="Arial"/>
                                  </w:rPr>
                                  <m:t>n</m:t>
                                </m:r>
                              </m:e>
                            </m:d>
                            <m:r>
                              <w:rPr>
                                <w:rFonts w:ascii="Cambria Math" w:hAnsi="Cambria Math" w:cs="Arial"/>
                              </w:rPr>
                              <m:t>+DOD</m:t>
                            </m:r>
                            <m:d>
                              <m:dPr>
                                <m:ctrlPr>
                                  <w:rPr>
                                    <w:rFonts w:ascii="Cambria Math" w:hAnsi="Cambria Math" w:cs="Arial"/>
                                    <w:i/>
                                  </w:rPr>
                                </m:ctrlPr>
                              </m:dPr>
                              <m:e>
                                <m:r>
                                  <w:rPr>
                                    <w:rFonts w:ascii="Cambria Math" w:hAnsi="Cambria Math" w:cs="Arial"/>
                                  </w:rPr>
                                  <m:t>n-2</m:t>
                                </m:r>
                              </m:e>
                            </m:d>
                          </m:num>
                          <m:den>
                            <m:r>
                              <w:rPr>
                                <w:rFonts w:ascii="Cambria Math" w:hAnsi="Cambria Math" w:cs="Arial"/>
                              </w:rPr>
                              <m:t>DOD</m:t>
                            </m:r>
                            <m:d>
                              <m:dPr>
                                <m:ctrlPr>
                                  <w:rPr>
                                    <w:rFonts w:ascii="Cambria Math" w:hAnsi="Cambria Math" w:cs="Arial"/>
                                    <w:i/>
                                  </w:rPr>
                                </m:ctrlPr>
                              </m:dPr>
                              <m:e>
                                <m:r>
                                  <w:rPr>
                                    <w:rFonts w:ascii="Cambria Math" w:hAnsi="Cambria Math" w:cs="Arial"/>
                                  </w:rPr>
                                  <m:t>n-1</m:t>
                                </m:r>
                              </m:e>
                            </m:d>
                          </m:den>
                        </m:f>
                      </m:e>
                    </m:d>
                  </m:num>
                  <m:den>
                    <m:sSub>
                      <m:sSubPr>
                        <m:ctrlPr>
                          <w:rPr>
                            <w:rFonts w:ascii="Cambria Math" w:hAnsi="Cambria Math"/>
                            <w:iCs/>
                          </w:rPr>
                        </m:ctrlPr>
                      </m:sSubPr>
                      <m:e>
                        <m:r>
                          <w:rPr>
                            <w:rFonts w:ascii="Cambria Math" w:hAnsi="Cambria Math"/>
                          </w:rPr>
                          <m:t>N</m:t>
                        </m:r>
                      </m:e>
                      <m:sub>
                        <m:r>
                          <w:rPr>
                            <w:rFonts w:ascii="Cambria Math" w:hAnsi="Cambria Math"/>
                          </w:rPr>
                          <m:t>C</m:t>
                        </m:r>
                        <m:r>
                          <m:rPr>
                            <m:sty m:val="p"/>
                          </m:rPr>
                          <w:rPr>
                            <w:rFonts w:ascii="Cambria Math" w:hAnsi="Cambria Math"/>
                          </w:rPr>
                          <m:t>_</m:t>
                        </m:r>
                        <m:r>
                          <w:rPr>
                            <w:rFonts w:ascii="Cambria Math" w:hAnsi="Cambria Math"/>
                          </w:rPr>
                          <m:t>ref</m:t>
                        </m:r>
                      </m:sub>
                    </m:sSub>
                  </m:den>
                </m:f>
                <m:r>
                  <w:rPr>
                    <w:rFonts w:ascii="Cambria Math" w:hAnsi="Cambria Math" w:cs="Arial"/>
                  </w:rPr>
                  <m:t>θ(n)</m:t>
                </m:r>
              </m:oMath>
            </m:oMathPara>
          </w:p>
        </w:tc>
        <w:tc>
          <w:tcPr>
            <w:tcW w:w="775" w:type="dxa"/>
            <w:shd w:val="clear" w:color="auto" w:fill="auto"/>
            <w:vAlign w:val="center"/>
          </w:tcPr>
          <w:p w14:paraId="54E854AD" w14:textId="58E2AAA0" w:rsidR="001722A3" w:rsidRPr="00777F9A" w:rsidRDefault="001722A3" w:rsidP="002E68D8">
            <w:pPr>
              <w:pStyle w:val="CETEquation"/>
              <w:jc w:val="right"/>
              <w:rPr>
                <w:rFonts w:cs="Arial"/>
              </w:rPr>
            </w:pPr>
            <w:r w:rsidRPr="00777F9A">
              <w:rPr>
                <w:rFonts w:cs="Arial"/>
              </w:rPr>
              <w:t>(7)</w:t>
            </w:r>
          </w:p>
        </w:tc>
      </w:tr>
    </w:tbl>
    <w:p w14:paraId="245337A7" w14:textId="4CA04ED3" w:rsidR="00880BEC" w:rsidRPr="00777F9A" w:rsidRDefault="00880BEC" w:rsidP="00600535">
      <w:pPr>
        <w:pStyle w:val="CETBodytext"/>
      </w:pPr>
      <w:r w:rsidRPr="00777F9A">
        <w:rPr>
          <w:iCs/>
        </w:rPr>
        <w:t>where</w:t>
      </w:r>
      <w:r w:rsidRPr="00777F9A">
        <w:rPr>
          <w:lang w:val="en-GB"/>
        </w:rPr>
        <w:t xml:space="preserve">, </w:t>
      </w:r>
      <m:oMath>
        <m:r>
          <w:rPr>
            <w:rFonts w:ascii="Cambria Math" w:hAnsi="Cambria Math"/>
            <w:lang w:val="en-GB"/>
          </w:rPr>
          <m:t>DOD</m:t>
        </m:r>
      </m:oMath>
      <w:r w:rsidR="000F6196" w:rsidRPr="00777F9A">
        <w:rPr>
          <w:lang w:val="en-GB"/>
        </w:rPr>
        <w:t xml:space="preserve"> is</w:t>
      </w:r>
      <w:r w:rsidRPr="00777F9A">
        <w:rPr>
          <w:lang w:val="en-GB"/>
        </w:rPr>
        <w:t xml:space="preserve"> the </w:t>
      </w:r>
      <w:r w:rsidRPr="00777F9A">
        <w:rPr>
          <w:iCs/>
          <w:lang w:val="en-GB"/>
        </w:rPr>
        <w:t>depth</w:t>
      </w:r>
      <w:r w:rsidR="000F6196" w:rsidRPr="00777F9A">
        <w:rPr>
          <w:iCs/>
          <w:lang w:val="en-GB"/>
        </w:rPr>
        <w:t xml:space="preserve"> </w:t>
      </w:r>
      <w:r w:rsidRPr="00777F9A">
        <w:rPr>
          <w:iCs/>
          <w:lang w:val="en-GB"/>
        </w:rPr>
        <w:t>of discharge (%)</w:t>
      </w:r>
      <w:r w:rsidR="000F6196" w:rsidRPr="00777F9A">
        <w:rPr>
          <w:iCs/>
          <w:lang w:val="en-GB"/>
        </w:rPr>
        <w:t xml:space="preserve">, </w:t>
      </w:r>
      <m:oMath>
        <m:sSub>
          <m:sSubPr>
            <m:ctrlPr>
              <w:rPr>
                <w:rFonts w:ascii="Cambria Math" w:hAnsi="Cambria Math"/>
                <w:iCs/>
                <w:lang w:val="en-GB"/>
              </w:rPr>
            </m:ctrlPr>
          </m:sSubPr>
          <m:e>
            <m:r>
              <w:rPr>
                <w:rFonts w:ascii="Cambria Math" w:hAnsi="Cambria Math"/>
                <w:lang w:val="en-GB"/>
              </w:rPr>
              <m:t>N</m:t>
            </m:r>
          </m:e>
          <m:sub>
            <m:r>
              <w:rPr>
                <w:rFonts w:ascii="Cambria Math" w:hAnsi="Cambria Math"/>
                <w:lang w:val="en-GB"/>
              </w:rPr>
              <m:t>C</m:t>
            </m:r>
            <m:r>
              <m:rPr>
                <m:sty m:val="p"/>
              </m:rPr>
              <w:rPr>
                <w:rFonts w:ascii="Cambria Math" w:hAnsi="Cambria Math"/>
                <w:lang w:val="en-GB"/>
              </w:rPr>
              <m:t>_</m:t>
            </m:r>
            <m:r>
              <w:rPr>
                <w:rFonts w:ascii="Cambria Math" w:hAnsi="Cambria Math"/>
                <w:lang w:val="en-GB"/>
              </w:rPr>
              <m:t>ref</m:t>
            </m:r>
          </m:sub>
        </m:sSub>
      </m:oMath>
      <w:r w:rsidRPr="00777F9A">
        <w:rPr>
          <w:iCs/>
          <w:lang w:val="en-GB"/>
        </w:rPr>
        <w:t xml:space="preserve"> is the maximum number of cycles when the battery is subjected to repetitive charge/discharge cycle</w:t>
      </w:r>
      <w:r w:rsidR="00DA5442" w:rsidRPr="00777F9A">
        <w:rPr>
          <w:iCs/>
          <w:lang w:val="en-GB"/>
        </w:rPr>
        <w:t>s</w:t>
      </w:r>
      <w:r w:rsidRPr="00777F9A">
        <w:rPr>
          <w:iCs/>
          <w:lang w:val="en-GB"/>
        </w:rPr>
        <w:t xml:space="preserve"> under the reference conditions</w:t>
      </w:r>
      <w:r w:rsidR="00EA0CD9" w:rsidRPr="00777F9A">
        <w:rPr>
          <w:iCs/>
          <w:lang w:val="en-GB"/>
        </w:rPr>
        <w:t xml:space="preserve">, and </w:t>
      </w:r>
      <m:oMath>
        <m:r>
          <w:rPr>
            <w:rFonts w:ascii="Cambria Math" w:hAnsi="Cambria Math" w:cs="Arial"/>
          </w:rPr>
          <m:t>θ(n)</m:t>
        </m:r>
      </m:oMath>
      <w:r w:rsidR="00EA0CD9" w:rsidRPr="00777F9A">
        <w:t xml:space="preserve"> is </w:t>
      </w:r>
      <w:r w:rsidR="00464947" w:rsidRPr="00777F9A">
        <w:t>the stress facto</w:t>
      </w:r>
      <w:r w:rsidR="001C748C" w:rsidRPr="00777F9A">
        <w:t xml:space="preserve">r. </w:t>
      </w:r>
      <w:r w:rsidRPr="00777F9A">
        <w:rPr>
          <w:iCs/>
          <w:lang w:val="en-GB"/>
        </w:rPr>
        <w:t xml:space="preserve"> </w:t>
      </w:r>
    </w:p>
    <w:tbl>
      <w:tblPr>
        <w:tblW w:w="5000" w:type="pct"/>
        <w:tblLook w:val="04A0" w:firstRow="1" w:lastRow="0" w:firstColumn="1" w:lastColumn="0" w:noHBand="0" w:noVBand="1"/>
      </w:tblPr>
      <w:tblGrid>
        <w:gridCol w:w="8012"/>
        <w:gridCol w:w="775"/>
      </w:tblGrid>
      <w:tr w:rsidR="00880BEC" w:rsidRPr="00777F9A" w14:paraId="74C38F9A" w14:textId="77777777" w:rsidTr="002E68D8">
        <w:tc>
          <w:tcPr>
            <w:tcW w:w="8012" w:type="dxa"/>
            <w:shd w:val="clear" w:color="auto" w:fill="auto"/>
            <w:vAlign w:val="center"/>
          </w:tcPr>
          <w:p w14:paraId="54DED266" w14:textId="53FE9825" w:rsidR="00880BEC" w:rsidRPr="00777F9A" w:rsidRDefault="00880BEC" w:rsidP="002E68D8">
            <w:pPr>
              <w:pStyle w:val="CETEquation"/>
              <w:rPr>
                <w:rFonts w:cs="Arial"/>
              </w:rPr>
            </w:pPr>
            <m:oMathPara>
              <m:oMath>
                <m:r>
                  <w:rPr>
                    <w:rStyle w:val="equazCarattere"/>
                    <w:rFonts w:eastAsia="Cambria Math"/>
                  </w:rPr>
                  <m:t>θ</m:t>
                </m:r>
                <m:d>
                  <m:dPr>
                    <m:ctrlPr>
                      <w:rPr>
                        <w:rStyle w:val="equazCarattere"/>
                        <w:i w:val="0"/>
                      </w:rPr>
                    </m:ctrlPr>
                  </m:dPr>
                  <m:e>
                    <m:r>
                      <w:rPr>
                        <w:rStyle w:val="equazCarattere"/>
                        <w:rFonts w:eastAsia="Cambria Math"/>
                      </w:rPr>
                      <m:t>n</m:t>
                    </m:r>
                  </m:e>
                </m:d>
                <m:r>
                  <w:rPr>
                    <w:rStyle w:val="equazCarattere"/>
                    <w:rFonts w:eastAsia="Cambria Math"/>
                  </w:rPr>
                  <m:t>=</m:t>
                </m:r>
                <m:sSup>
                  <m:sSupPr>
                    <m:ctrlPr>
                      <w:rPr>
                        <w:rFonts w:ascii="Cambria Math" w:eastAsia="Cambria Math" w:hAnsi="Cambria Math" w:cs="Cambria Math"/>
                        <w:i/>
                        <w:iCs/>
                        <w:szCs w:val="18"/>
                      </w:rPr>
                    </m:ctrlPr>
                  </m:sSupPr>
                  <m:e>
                    <m:d>
                      <m:dPr>
                        <m:ctrlPr>
                          <w:rPr>
                            <w:rFonts w:ascii="Cambria Math" w:eastAsia="Cambria Math" w:hAnsi="Cambria Math" w:cs="Cambria Math"/>
                            <w:i/>
                            <w:iCs/>
                            <w:szCs w:val="18"/>
                          </w:rPr>
                        </m:ctrlPr>
                      </m:dPr>
                      <m:e>
                        <m:f>
                          <m:fPr>
                            <m:ctrlPr>
                              <w:rPr>
                                <w:rFonts w:ascii="Cambria Math" w:eastAsia="Cambria Math" w:hAnsi="Cambria Math" w:cs="Cambria Math"/>
                                <w:i/>
                                <w:iCs/>
                                <w:szCs w:val="18"/>
                              </w:rPr>
                            </m:ctrlPr>
                          </m:fPr>
                          <m:num>
                            <m:r>
                              <w:rPr>
                                <w:rFonts w:ascii="Cambria Math" w:eastAsia="Cambria Math" w:cs="Cambria Math"/>
                                <w:szCs w:val="18"/>
                              </w:rPr>
                              <m:t>DOD (n)</m:t>
                            </m:r>
                          </m:num>
                          <m:den>
                            <m:r>
                              <w:rPr>
                                <w:rFonts w:ascii="Cambria Math" w:eastAsia="Cambria Math" w:cs="Cambria Math"/>
                                <w:szCs w:val="18"/>
                              </w:rPr>
                              <m:t>DOD_ref</m:t>
                            </m:r>
                          </m:den>
                        </m:f>
                      </m:e>
                    </m:d>
                  </m:e>
                  <m:sup>
                    <m:r>
                      <w:rPr>
                        <w:rFonts w:ascii="Cambria Math" w:eastAsia="Cambria Math" w:cs="Cambria Math"/>
                        <w:szCs w:val="18"/>
                      </w:rPr>
                      <m:t>ξ</m:t>
                    </m:r>
                  </m:sup>
                </m:sSup>
                <m:r>
                  <w:rPr>
                    <w:rStyle w:val="equazCarattere"/>
                    <w:rFonts w:eastAsia="Cambria Math"/>
                  </w:rPr>
                  <m:t>∙</m:t>
                </m:r>
                <m:sSup>
                  <m:sSupPr>
                    <m:ctrlPr>
                      <w:rPr>
                        <w:rFonts w:ascii="Cambria Math" w:eastAsia="Cambria Math" w:hAnsi="Cambria Math" w:cs="Cambria Math"/>
                        <w:i/>
                        <w:iCs/>
                        <w:szCs w:val="18"/>
                      </w:rPr>
                    </m:ctrlPr>
                  </m:sSupPr>
                  <m:e>
                    <m:d>
                      <m:dPr>
                        <m:ctrlPr>
                          <w:rPr>
                            <w:rFonts w:ascii="Cambria Math" w:eastAsia="Cambria Math" w:hAnsi="Cambria Math" w:cs="Cambria Math"/>
                            <w:i/>
                            <w:iCs/>
                            <w:szCs w:val="18"/>
                          </w:rPr>
                        </m:ctrlPr>
                      </m:dPr>
                      <m:e>
                        <m:f>
                          <m:fPr>
                            <m:ctrlPr>
                              <w:rPr>
                                <w:rFonts w:ascii="Cambria Math" w:eastAsia="Cambria Math" w:hAnsi="Cambria Math" w:cs="Cambria Math"/>
                                <w:i/>
                                <w:iCs/>
                                <w:szCs w:val="18"/>
                              </w:rPr>
                            </m:ctrlPr>
                          </m:fPr>
                          <m:num>
                            <m:sSub>
                              <m:sSubPr>
                                <m:ctrlPr>
                                  <w:rPr>
                                    <w:rFonts w:ascii="Cambria Math" w:eastAsia="Cambria Math" w:hAnsi="Cambria Math" w:cs="Cambria Math"/>
                                    <w:i/>
                                    <w:iCs/>
                                    <w:szCs w:val="18"/>
                                  </w:rPr>
                                </m:ctrlPr>
                              </m:sSubPr>
                              <m:e>
                                <m:r>
                                  <w:rPr>
                                    <w:rFonts w:ascii="Cambria Math" w:eastAsia="Cambria Math" w:cs="Cambria Math"/>
                                    <w:szCs w:val="18"/>
                                  </w:rPr>
                                  <m:t>i</m:t>
                                </m:r>
                              </m:e>
                              <m:sub>
                                <m:r>
                                  <w:rPr>
                                    <w:rFonts w:ascii="Cambria Math" w:eastAsia="Cambria Math" w:cs="Cambria Math"/>
                                    <w:szCs w:val="18"/>
                                  </w:rPr>
                                  <m:t>d_ave</m:t>
                                </m:r>
                              </m:sub>
                            </m:sSub>
                            <m:r>
                              <w:rPr>
                                <w:rFonts w:ascii="Cambria Math" w:eastAsia="Cambria Math" w:cs="Cambria Math"/>
                                <w:szCs w:val="18"/>
                              </w:rPr>
                              <m:t xml:space="preserve"> (n)</m:t>
                            </m:r>
                          </m:num>
                          <m:den>
                            <m:sSub>
                              <m:sSubPr>
                                <m:ctrlPr>
                                  <w:rPr>
                                    <w:rFonts w:ascii="Cambria Math" w:eastAsia="Cambria Math" w:hAnsi="Cambria Math" w:cs="Cambria Math"/>
                                    <w:i/>
                                    <w:iCs/>
                                    <w:szCs w:val="18"/>
                                  </w:rPr>
                                </m:ctrlPr>
                              </m:sSubPr>
                              <m:e>
                                <m:r>
                                  <w:rPr>
                                    <w:rFonts w:ascii="Cambria Math" w:eastAsia="Cambria Math" w:cs="Cambria Math"/>
                                    <w:szCs w:val="18"/>
                                  </w:rPr>
                                  <m:t>i</m:t>
                                </m:r>
                              </m:e>
                              <m:sub>
                                <m:r>
                                  <w:rPr>
                                    <w:rFonts w:ascii="Cambria Math" w:eastAsia="Cambria Math" w:cs="Cambria Math"/>
                                    <w:szCs w:val="18"/>
                                  </w:rPr>
                                  <m:t>d_ref</m:t>
                                </m:r>
                              </m:sub>
                            </m:sSub>
                          </m:den>
                        </m:f>
                      </m:e>
                    </m:d>
                  </m:e>
                  <m:sup>
                    <m:sSub>
                      <m:sSubPr>
                        <m:ctrlPr>
                          <w:rPr>
                            <w:rFonts w:ascii="Cambria Math" w:eastAsia="Cambria Math" w:hAnsi="Cambria Math" w:cs="Cambria Math"/>
                            <w:i/>
                            <w:szCs w:val="18"/>
                          </w:rPr>
                        </m:ctrlPr>
                      </m:sSubPr>
                      <m:e>
                        <m:r>
                          <w:rPr>
                            <w:rFonts w:ascii="Cambria Math" w:eastAsia="Cambria Math" w:cs="Cambria Math"/>
                            <w:szCs w:val="18"/>
                          </w:rPr>
                          <m:t>γ</m:t>
                        </m:r>
                      </m:e>
                      <m:sub>
                        <m:r>
                          <w:rPr>
                            <w:rFonts w:ascii="Cambria Math" w:eastAsia="Cambria Math" w:cs="Cambria Math"/>
                            <w:szCs w:val="18"/>
                          </w:rPr>
                          <m:t>1</m:t>
                        </m:r>
                      </m:sub>
                    </m:sSub>
                  </m:sup>
                </m:sSup>
                <m:r>
                  <w:rPr>
                    <w:rStyle w:val="equazCarattere"/>
                    <w:rFonts w:eastAsia="Cambria Math"/>
                  </w:rPr>
                  <m:t>∙</m:t>
                </m:r>
                <m:sSup>
                  <m:sSupPr>
                    <m:ctrlPr>
                      <w:rPr>
                        <w:rFonts w:ascii="Cambria Math" w:eastAsia="Cambria Math" w:hAnsi="Cambria Math" w:cs="Cambria Math"/>
                        <w:i/>
                        <w:iCs/>
                        <w:szCs w:val="18"/>
                      </w:rPr>
                    </m:ctrlPr>
                  </m:sSupPr>
                  <m:e>
                    <m:d>
                      <m:dPr>
                        <m:ctrlPr>
                          <w:rPr>
                            <w:rFonts w:ascii="Cambria Math" w:eastAsia="Cambria Math" w:hAnsi="Cambria Math" w:cs="Cambria Math"/>
                            <w:i/>
                            <w:iCs/>
                            <w:szCs w:val="18"/>
                          </w:rPr>
                        </m:ctrlPr>
                      </m:dPr>
                      <m:e>
                        <m:f>
                          <m:fPr>
                            <m:ctrlPr>
                              <w:rPr>
                                <w:rFonts w:ascii="Cambria Math" w:eastAsia="Cambria Math" w:hAnsi="Cambria Math" w:cs="Cambria Math"/>
                                <w:i/>
                                <w:iCs/>
                                <w:szCs w:val="18"/>
                              </w:rPr>
                            </m:ctrlPr>
                          </m:fPr>
                          <m:num>
                            <m:sSub>
                              <m:sSubPr>
                                <m:ctrlPr>
                                  <w:rPr>
                                    <w:rFonts w:ascii="Cambria Math" w:eastAsia="Cambria Math" w:hAnsi="Cambria Math" w:cs="Cambria Math"/>
                                    <w:i/>
                                    <w:iCs/>
                                    <w:szCs w:val="18"/>
                                  </w:rPr>
                                </m:ctrlPr>
                              </m:sSubPr>
                              <m:e>
                                <m:r>
                                  <w:rPr>
                                    <w:rFonts w:ascii="Cambria Math" w:eastAsia="Cambria Math" w:cs="Cambria Math"/>
                                    <w:szCs w:val="18"/>
                                  </w:rPr>
                                  <m:t>i</m:t>
                                </m:r>
                              </m:e>
                              <m:sub>
                                <m:r>
                                  <w:rPr>
                                    <w:rFonts w:ascii="Cambria Math" w:eastAsia="Cambria Math" w:cs="Cambria Math"/>
                                    <w:szCs w:val="18"/>
                                  </w:rPr>
                                  <m:t>c_ave</m:t>
                                </m:r>
                              </m:sub>
                            </m:sSub>
                            <m:r>
                              <w:rPr>
                                <w:rFonts w:ascii="Cambria Math" w:eastAsia="Cambria Math" w:cs="Cambria Math"/>
                                <w:szCs w:val="18"/>
                              </w:rPr>
                              <m:t xml:space="preserve"> (n)</m:t>
                            </m:r>
                          </m:num>
                          <m:den>
                            <m:sSub>
                              <m:sSubPr>
                                <m:ctrlPr>
                                  <w:rPr>
                                    <w:rFonts w:ascii="Cambria Math" w:eastAsia="Cambria Math" w:hAnsi="Cambria Math" w:cs="Cambria Math"/>
                                    <w:i/>
                                    <w:iCs/>
                                    <w:szCs w:val="18"/>
                                  </w:rPr>
                                </m:ctrlPr>
                              </m:sSubPr>
                              <m:e>
                                <m:r>
                                  <w:rPr>
                                    <w:rFonts w:ascii="Cambria Math" w:eastAsia="Cambria Math" w:cs="Cambria Math"/>
                                    <w:szCs w:val="18"/>
                                  </w:rPr>
                                  <m:t>i</m:t>
                                </m:r>
                              </m:e>
                              <m:sub>
                                <m:r>
                                  <w:rPr>
                                    <w:rFonts w:ascii="Cambria Math" w:eastAsia="Cambria Math" w:cs="Cambria Math"/>
                                    <w:szCs w:val="18"/>
                                  </w:rPr>
                                  <m:t>c_ref</m:t>
                                </m:r>
                              </m:sub>
                            </m:sSub>
                          </m:den>
                        </m:f>
                      </m:e>
                    </m:d>
                  </m:e>
                  <m:sup>
                    <m:sSub>
                      <m:sSubPr>
                        <m:ctrlPr>
                          <w:rPr>
                            <w:rFonts w:ascii="Cambria Math" w:eastAsia="Cambria Math" w:hAnsi="Cambria Math" w:cs="Cambria Math"/>
                            <w:i/>
                            <w:szCs w:val="18"/>
                          </w:rPr>
                        </m:ctrlPr>
                      </m:sSubPr>
                      <m:e>
                        <m:r>
                          <w:rPr>
                            <w:rFonts w:ascii="Cambria Math" w:eastAsia="Cambria Math" w:cs="Cambria Math"/>
                            <w:szCs w:val="18"/>
                          </w:rPr>
                          <m:t>γ</m:t>
                        </m:r>
                      </m:e>
                      <m:sub>
                        <m:r>
                          <w:rPr>
                            <w:rFonts w:ascii="Cambria Math" w:eastAsia="Cambria Math" w:cs="Cambria Math"/>
                            <w:szCs w:val="18"/>
                          </w:rPr>
                          <m:t>2</m:t>
                        </m:r>
                      </m:sub>
                    </m:sSub>
                  </m:sup>
                </m:sSup>
                <m:r>
                  <w:rPr>
                    <w:rStyle w:val="equazCarattere"/>
                    <w:rFonts w:eastAsia="Cambria Math"/>
                  </w:rPr>
                  <m:t>∙</m:t>
                </m:r>
                <m:r>
                  <w:rPr>
                    <w:rFonts w:ascii="Cambria Math" w:eastAsia="Cambria Math" w:cs="Cambria Math"/>
                    <w:szCs w:val="18"/>
                  </w:rPr>
                  <m:t>exp</m:t>
                </m:r>
                <m:d>
                  <m:dPr>
                    <m:begChr m:val="["/>
                    <m:endChr m:val="]"/>
                    <m:ctrlPr>
                      <w:rPr>
                        <w:rFonts w:ascii="Cambria Math" w:eastAsia="Cambria Math" w:hAnsi="Cambria Math" w:cs="Cambria Math"/>
                        <w:i/>
                        <w:iCs/>
                        <w:szCs w:val="18"/>
                      </w:rPr>
                    </m:ctrlPr>
                  </m:dPr>
                  <m:e>
                    <m:r>
                      <w:rPr>
                        <w:rFonts w:ascii="Cambria Math" w:eastAsia="Cambria Math" w:cs="Cambria Math"/>
                        <w:szCs w:val="18"/>
                      </w:rPr>
                      <m:t>-</m:t>
                    </m:r>
                    <m:r>
                      <w:rPr>
                        <w:rFonts w:ascii="Cambria Math" w:eastAsia="Cambria Math" w:cs="Cambria Math"/>
                        <w:szCs w:val="18"/>
                      </w:rPr>
                      <m:t xml:space="preserve">ψ </m:t>
                    </m:r>
                    <m:d>
                      <m:dPr>
                        <m:ctrlPr>
                          <w:rPr>
                            <w:rFonts w:ascii="Cambria Math" w:eastAsia="Cambria Math" w:hAnsi="Cambria Math" w:cs="Cambria Math"/>
                            <w:i/>
                            <w:iCs/>
                            <w:szCs w:val="18"/>
                          </w:rPr>
                        </m:ctrlPr>
                      </m:dPr>
                      <m:e>
                        <m:f>
                          <m:fPr>
                            <m:ctrlPr>
                              <w:rPr>
                                <w:rFonts w:ascii="Cambria Math" w:eastAsia="Cambria Math" w:hAnsi="Cambria Math" w:cs="Cambria Math"/>
                                <w:i/>
                                <w:iCs/>
                                <w:szCs w:val="18"/>
                              </w:rPr>
                            </m:ctrlPr>
                          </m:fPr>
                          <m:num>
                            <m:r>
                              <w:rPr>
                                <w:rFonts w:ascii="Cambria Math" w:eastAsia="Cambria Math" w:cs="Cambria Math"/>
                                <w:szCs w:val="18"/>
                              </w:rPr>
                              <m:t>1</m:t>
                            </m:r>
                          </m:num>
                          <m:den>
                            <m:r>
                              <w:rPr>
                                <w:rFonts w:ascii="Cambria Math" w:eastAsia="Cambria Math" w:hAnsi="Cambria Math" w:cs="Cambria Math"/>
                                <w:szCs w:val="18"/>
                              </w:rPr>
                              <m:t>T</m:t>
                            </m:r>
                            <m:r>
                              <w:rPr>
                                <w:rFonts w:ascii="Cambria Math" w:eastAsia="Cambria Math" w:cs="Cambria Math"/>
                                <w:szCs w:val="18"/>
                              </w:rPr>
                              <m:t>(n)</m:t>
                            </m:r>
                          </m:den>
                        </m:f>
                        <m:r>
                          <w:rPr>
                            <w:rFonts w:ascii="Cambria Math" w:eastAsia="Cambria Math" w:cs="Cambria Math"/>
                            <w:szCs w:val="18"/>
                          </w:rPr>
                          <m:t>-</m:t>
                        </m:r>
                        <m:f>
                          <m:fPr>
                            <m:ctrlPr>
                              <w:rPr>
                                <w:rFonts w:ascii="Cambria Math" w:eastAsia="Cambria Math" w:hAnsi="Cambria Math" w:cs="Cambria Math"/>
                                <w:i/>
                                <w:iCs/>
                                <w:szCs w:val="18"/>
                              </w:rPr>
                            </m:ctrlPr>
                          </m:fPr>
                          <m:num>
                            <m:r>
                              <w:rPr>
                                <w:rFonts w:ascii="Cambria Math" w:eastAsia="Cambria Math" w:cs="Cambria Math"/>
                                <w:szCs w:val="18"/>
                              </w:rPr>
                              <m:t>1</m:t>
                            </m:r>
                          </m:num>
                          <m:den>
                            <m:sSub>
                              <m:sSubPr>
                                <m:ctrlPr>
                                  <w:rPr>
                                    <w:rFonts w:ascii="Cambria Math" w:eastAsia="Cambria Math" w:hAnsi="Cambria Math" w:cs="Cambria Math"/>
                                    <w:i/>
                                    <w:iCs/>
                                    <w:szCs w:val="18"/>
                                  </w:rPr>
                                </m:ctrlPr>
                              </m:sSubPr>
                              <m:e>
                                <m:r>
                                  <w:rPr>
                                    <w:rFonts w:ascii="Cambria Math" w:eastAsia="Cambria Math" w:cs="Cambria Math"/>
                                    <w:szCs w:val="18"/>
                                  </w:rPr>
                                  <m:t>T</m:t>
                                </m:r>
                              </m:e>
                              <m:sub>
                                <m:r>
                                  <w:rPr>
                                    <w:rFonts w:ascii="Cambria Math" w:eastAsia="Cambria Math" w:cs="Cambria Math"/>
                                    <w:szCs w:val="18"/>
                                  </w:rPr>
                                  <m:t>ref</m:t>
                                </m:r>
                              </m:sub>
                            </m:sSub>
                          </m:den>
                        </m:f>
                      </m:e>
                    </m:d>
                  </m:e>
                </m:d>
              </m:oMath>
            </m:oMathPara>
          </w:p>
        </w:tc>
        <w:tc>
          <w:tcPr>
            <w:tcW w:w="775" w:type="dxa"/>
            <w:shd w:val="clear" w:color="auto" w:fill="auto"/>
            <w:vAlign w:val="center"/>
          </w:tcPr>
          <w:p w14:paraId="033A75BD" w14:textId="672CED17" w:rsidR="00880BEC" w:rsidRPr="00777F9A" w:rsidRDefault="00880BEC" w:rsidP="002E68D8">
            <w:pPr>
              <w:pStyle w:val="CETEquation"/>
              <w:jc w:val="right"/>
              <w:rPr>
                <w:rFonts w:cs="Arial"/>
              </w:rPr>
            </w:pPr>
            <w:r w:rsidRPr="00777F9A">
              <w:rPr>
                <w:rFonts w:cs="Arial"/>
              </w:rPr>
              <w:t>(</w:t>
            </w:r>
            <w:r w:rsidR="001722A3" w:rsidRPr="00777F9A">
              <w:rPr>
                <w:rFonts w:cs="Arial"/>
              </w:rPr>
              <w:t>8</w:t>
            </w:r>
            <w:r w:rsidRPr="00777F9A">
              <w:rPr>
                <w:rFonts w:cs="Arial"/>
              </w:rPr>
              <w:t>)</w:t>
            </w:r>
          </w:p>
        </w:tc>
      </w:tr>
    </w:tbl>
    <w:p w14:paraId="02D52089" w14:textId="33FCD818" w:rsidR="00346478" w:rsidRPr="00777F9A" w:rsidRDefault="001C748C" w:rsidP="00346478">
      <w:pPr>
        <w:pStyle w:val="CETBodytext"/>
      </w:pPr>
      <w:r w:rsidRPr="00777F9A">
        <w:rPr>
          <w:lang w:val="en-GB"/>
        </w:rPr>
        <w:t xml:space="preserve">The subscripts </w:t>
      </w:r>
      <w:r w:rsidRPr="00777F9A">
        <w:rPr>
          <w:i/>
          <w:iCs/>
          <w:lang w:val="en-GB"/>
        </w:rPr>
        <w:t>c</w:t>
      </w:r>
      <w:r w:rsidRPr="00777F9A">
        <w:rPr>
          <w:lang w:val="en-GB"/>
        </w:rPr>
        <w:t xml:space="preserve"> and </w:t>
      </w:r>
      <w:r w:rsidRPr="00777F9A">
        <w:rPr>
          <w:i/>
          <w:iCs/>
          <w:lang w:val="en-GB"/>
        </w:rPr>
        <w:t xml:space="preserve">d </w:t>
      </w:r>
      <w:r w:rsidRPr="00777F9A">
        <w:rPr>
          <w:lang w:val="en-GB"/>
        </w:rPr>
        <w:t>stand for charge and discharge, respectively.</w:t>
      </w:r>
      <w:r w:rsidR="00F57907" w:rsidRPr="00777F9A">
        <w:rPr>
          <w:lang w:val="en-GB"/>
        </w:rPr>
        <w:t xml:space="preserve"> </w:t>
      </w:r>
      <w:r w:rsidR="00880BEC" w:rsidRPr="00777F9A">
        <w:t>The aging parameters (</w:t>
      </w:r>
      <m:oMath>
        <m:r>
          <m:rPr>
            <m:sty m:val="p"/>
          </m:rPr>
          <w:rPr>
            <w:rFonts w:ascii="Cambria Math" w:hAnsi="Cambria Math"/>
          </w:rPr>
          <m:t xml:space="preserve">ξ , </m:t>
        </m:r>
        <m:r>
          <w:rPr>
            <w:rFonts w:ascii="Cambria Math" w:hAnsi="Cambria Math"/>
          </w:rPr>
          <m:t>ψ ,</m:t>
        </m: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r>
          <w:rPr>
            <w:rFonts w:ascii="Cambria Math" w:hAnsi="Cambria Math"/>
          </w:rPr>
          <m:t>)</m:t>
        </m:r>
      </m:oMath>
      <w:r w:rsidR="00880BEC" w:rsidRPr="00777F9A">
        <w:t xml:space="preserve"> were obtained by fitting the life cycle curves provided by the manufacturer.</w:t>
      </w:r>
      <w:r w:rsidRPr="00777F9A">
        <w:t xml:space="preserve"> </w:t>
      </w:r>
      <w:r w:rsidRPr="00777F9A">
        <w:rPr>
          <w:iCs/>
        </w:rPr>
        <w:t>T</w:t>
      </w:r>
      <w:r w:rsidR="00346478" w:rsidRPr="00777F9A">
        <w:rPr>
          <w:iCs/>
        </w:rPr>
        <w:t xml:space="preserve">he state of health was </w:t>
      </w:r>
      <w:r w:rsidR="001834AF" w:rsidRPr="00777F9A">
        <w:rPr>
          <w:iCs/>
        </w:rPr>
        <w:t xml:space="preserve">calculated </w:t>
      </w:r>
      <w:r w:rsidR="00346478" w:rsidRPr="00777F9A">
        <w:rPr>
          <w:iCs/>
        </w:rPr>
        <w:t>as</w:t>
      </w:r>
      <w:r w:rsidR="008F03FA" w:rsidRPr="00777F9A">
        <w:rPr>
          <w:iCs/>
        </w:rPr>
        <w:t>:</w:t>
      </w:r>
    </w:p>
    <w:tbl>
      <w:tblPr>
        <w:tblW w:w="5000" w:type="pct"/>
        <w:tblLook w:val="04A0" w:firstRow="1" w:lastRow="0" w:firstColumn="1" w:lastColumn="0" w:noHBand="0" w:noVBand="1"/>
      </w:tblPr>
      <w:tblGrid>
        <w:gridCol w:w="8012"/>
        <w:gridCol w:w="775"/>
      </w:tblGrid>
      <w:tr w:rsidR="00346478" w:rsidRPr="00777F9A" w14:paraId="63A6EBFB" w14:textId="77777777" w:rsidTr="002E68D8">
        <w:tc>
          <w:tcPr>
            <w:tcW w:w="8012" w:type="dxa"/>
            <w:shd w:val="clear" w:color="auto" w:fill="auto"/>
            <w:vAlign w:val="center"/>
          </w:tcPr>
          <w:p w14:paraId="79753068" w14:textId="49227EF3" w:rsidR="00346478" w:rsidRPr="00777F9A" w:rsidRDefault="00346478" w:rsidP="002E68D8">
            <w:pPr>
              <w:pStyle w:val="CETEquation"/>
              <w:rPr>
                <w:rFonts w:cs="Arial"/>
              </w:rPr>
            </w:pPr>
            <m:oMathPara>
              <m:oMath>
                <m:r>
                  <w:rPr>
                    <w:rFonts w:ascii="Cambria Math" w:hAnsi="Cambria Math"/>
                  </w:rPr>
                  <m:t>SOH=</m:t>
                </m:r>
                <m:f>
                  <m:fPr>
                    <m:ctrlPr>
                      <w:rPr>
                        <w:rFonts w:ascii="Cambria Math" w:hAnsi="Cambria Math"/>
                        <w:i/>
                      </w:rPr>
                    </m:ctrlPr>
                  </m:fPr>
                  <m:num>
                    <m:r>
                      <w:rPr>
                        <w:rFonts w:ascii="Cambria Math" w:hAnsi="Cambria Math"/>
                      </w:rPr>
                      <m:t>Q(n)</m:t>
                    </m:r>
                  </m:num>
                  <m:den>
                    <m:sSub>
                      <m:sSubPr>
                        <m:ctrlPr>
                          <w:rPr>
                            <w:rFonts w:ascii="Cambria Math" w:hAnsi="Cambria Math"/>
                            <w:i/>
                          </w:rPr>
                        </m:ctrlPr>
                      </m:sSubPr>
                      <m:e>
                        <m:r>
                          <w:rPr>
                            <w:rFonts w:ascii="Cambria Math" w:hAnsi="Cambria Math"/>
                          </w:rPr>
                          <m:t>Q</m:t>
                        </m:r>
                      </m:e>
                      <m:sub>
                        <m:r>
                          <w:rPr>
                            <w:rFonts w:ascii="Cambria Math" w:hAnsi="Cambria Math"/>
                          </w:rPr>
                          <m:t>BOL</m:t>
                        </m:r>
                      </m:sub>
                    </m:sSub>
                  </m:den>
                </m:f>
              </m:oMath>
            </m:oMathPara>
          </w:p>
        </w:tc>
        <w:tc>
          <w:tcPr>
            <w:tcW w:w="775" w:type="dxa"/>
            <w:shd w:val="clear" w:color="auto" w:fill="auto"/>
            <w:vAlign w:val="center"/>
          </w:tcPr>
          <w:p w14:paraId="1FCF02B0" w14:textId="5CFCB006" w:rsidR="00346478" w:rsidRPr="00777F9A" w:rsidRDefault="00346478" w:rsidP="002E68D8">
            <w:pPr>
              <w:pStyle w:val="CETEquation"/>
              <w:jc w:val="right"/>
              <w:rPr>
                <w:rFonts w:cs="Arial"/>
              </w:rPr>
            </w:pPr>
            <w:r w:rsidRPr="00777F9A">
              <w:rPr>
                <w:rFonts w:cs="Arial"/>
              </w:rPr>
              <w:t>(</w:t>
            </w:r>
            <w:r w:rsidR="001722A3" w:rsidRPr="00777F9A">
              <w:rPr>
                <w:rFonts w:cs="Arial"/>
              </w:rPr>
              <w:t>9</w:t>
            </w:r>
            <w:r w:rsidRPr="00777F9A">
              <w:rPr>
                <w:rFonts w:cs="Arial"/>
              </w:rPr>
              <w:t>)</w:t>
            </w:r>
          </w:p>
        </w:tc>
      </w:tr>
    </w:tbl>
    <w:p w14:paraId="7B276C2A" w14:textId="78320BF3" w:rsidR="00B110C6" w:rsidRPr="00777F9A" w:rsidRDefault="00B110C6" w:rsidP="00B110C6">
      <w:pPr>
        <w:pStyle w:val="CETheadingx"/>
      </w:pPr>
      <w:r w:rsidRPr="00777F9A">
        <w:lastRenderedPageBreak/>
        <w:t>Design of simulations</w:t>
      </w:r>
    </w:p>
    <w:p w14:paraId="015E3D4A" w14:textId="437E34B4" w:rsidR="00016CC7" w:rsidRPr="00777F9A" w:rsidRDefault="00B110C6" w:rsidP="00B110C6">
      <w:pPr>
        <w:pStyle w:val="CETBodytext"/>
        <w:rPr>
          <w:lang w:val="en-GB"/>
        </w:rPr>
      </w:pPr>
      <w:r w:rsidRPr="00777F9A">
        <w:t xml:space="preserve">The model contains parameters that characterize the specific behaviour of real batteries and whose values have been provisionally fixed based on open literature and pre-built Simulink packages. The minimum number of scenarios was identified through the Taguchi optimization algorithm </w:t>
      </w:r>
      <w:r w:rsidRPr="00777F9A">
        <w:rPr>
          <w:lang w:val="en-GB"/>
        </w:rPr>
        <w:fldChar w:fldCharType="begin" w:fldLock="1"/>
      </w:r>
      <w:r w:rsidRPr="00777F9A">
        <w:rPr>
          <w:lang w:val="en-GB"/>
        </w:rPr>
        <w:instrText>ADDIN CSL_CITATION {"citationItems":[{"id":"ITEM-1","itemData":{"DOI":"10.1016/j.tsep.2023.101862","ISSN":"24519049","abstract":"The market of electric storage systems is widely dominated by Lithium ion batteries, whose peculiarity is the need for a thermal management system, whose proper design is complicated by the interaction. among different design and operating parameters. A specific methodology for carrying out the task is still lacking. In this context, the present paper proposes a systematic framework for the design of passive and hybrid thermal management systems (TMSs) of Li-ion batteries. Thermal tests were carried out on Lithium-Titanate-Oxide cells under realistic operating conditions in a controlled environment to characterize the electrical and thermal behaviour. A thermofluid dynamics model of the battery was implemented in COMSOL Multiphysics. The experimentally validated model was used to evaluate the influence of different design and operating parameters (ambient temperature, charge/discharge current, phase change material thickness and melting temperature) using the Taguchi method (orthogonal arrays), and discussing inter-related effects of the studied parameters via interaction plots. Air temperature (45 °C) and/or discharge current (69–92 A) were identified as critical operating conditions beyond which thermal runaway issues occur. Starting from the optimal design conditions for a passive TMS, the same methodology was used to assess a hybrid PCM-liquid cooling system as an alternative configuration. The results indicate that, compared to the baseline case of natural cooling, the optimal designs of standalone PCM and hybrid cooling system led to a reduction in maximum cell temperature of 11 and 22 °C, respectively, showing the high potential of these TMSs.","author":[{"dropping-particle":"","family":"Airò Farulla","given":"Girolama","non-dropping-particle":"","parse-names":false,"suffix":""},{"dropping-particle":"","family":"Palomba","given":"Valeria","non-dropping-particle":"","parse-names":false,"suffix":""},{"dropping-particle":"","family":"Alosio","given":"Davide","non-dropping-particle":"","parse-names":false,"suffix":""},{"dropping-particle":"","family":"Brunaccini","given":"Giovanni","non-dropping-particle":"","parse-names":false,"suffix":""},{"dropping-particle":"","family":"Ferraro","given":"Marco","non-dropping-particle":"","parse-names":false,"suffix":""},{"dropping-particle":"","family":"Frazzica","given":"Andrea","non-dropping-particle":"","parse-names":false,"suffix":""},{"dropping-particle":"","family":"Sergi","given":"Francesco","non-dropping-particle":"","parse-names":false,"suffix":""}],"container-title":"Thermal Science and Engineering Progress","id":"ITEM-1","issue":"January","issued":{"date-parts":[["2023"]]},"title":"Optimal design of lithium ion battery thermal management systems based on phase change material at high current and high environmental temperature","type":"article-journal","volume":"42"},"uris":["http://www.mendeley.com/documents/?uuid=a02f9fa4-c3d1-425e-8f4c-1e091b14a3b1"]}],"mendeley":{"formattedCitation":"(Airò Farulla et al., 2023)","plainTextFormattedCitation":"(Airò Farulla et al., 2023)","previouslyFormattedCitation":"(Airò Farulla et al., 2023)"},"properties":{"noteIndex":0},"schema":"https://github.com/citation-style-language/schema/raw/master/csl-citation.json"}</w:instrText>
      </w:r>
      <w:r w:rsidRPr="00777F9A">
        <w:rPr>
          <w:lang w:val="en-GB"/>
        </w:rPr>
        <w:fldChar w:fldCharType="separate"/>
      </w:r>
      <w:r w:rsidRPr="00777F9A">
        <w:rPr>
          <w:noProof/>
          <w:lang w:val="en-GB"/>
        </w:rPr>
        <w:t>(Airò Farulla et al., 2023)</w:t>
      </w:r>
      <w:r w:rsidRPr="00777F9A">
        <w:rPr>
          <w:lang w:val="en-GB"/>
        </w:rPr>
        <w:fldChar w:fldCharType="end"/>
      </w:r>
      <w:r w:rsidRPr="00777F9A">
        <w:t xml:space="preserve">. </w:t>
      </w:r>
      <w:r w:rsidRPr="00777F9A">
        <w:rPr>
          <w:lang w:val="en-GB"/>
        </w:rPr>
        <w:t xml:space="preserve">Its primary feature is the identification of an appropriate orthogonal array to evaluate how specific combinations of parameters affect performance. The </w:t>
      </w:r>
      <w:r w:rsidR="006C653B" w:rsidRPr="00777F9A">
        <w:rPr>
          <w:lang w:val="en-GB"/>
        </w:rPr>
        <w:t xml:space="preserve">examined </w:t>
      </w:r>
      <w:r w:rsidRPr="00777F9A">
        <w:rPr>
          <w:lang w:val="en-GB"/>
        </w:rPr>
        <w:t>parameters</w:t>
      </w:r>
      <w:r w:rsidR="006C653B" w:rsidRPr="00777F9A">
        <w:rPr>
          <w:lang w:val="en-GB"/>
        </w:rPr>
        <w:t xml:space="preserve"> and </w:t>
      </w:r>
      <w:r w:rsidRPr="00777F9A">
        <w:rPr>
          <w:lang w:val="en-GB"/>
        </w:rPr>
        <w:t>their values are referred to as Factors (</w:t>
      </w:r>
      <w:r w:rsidRPr="00777F9A">
        <w:rPr>
          <w:i/>
          <w:iCs/>
          <w:lang w:val="en-GB"/>
        </w:rPr>
        <w:t>F</w:t>
      </w:r>
      <w:r w:rsidRPr="00777F9A">
        <w:rPr>
          <w:lang w:val="en-GB"/>
        </w:rPr>
        <w:t>) and Levels (</w:t>
      </w:r>
      <w:r w:rsidRPr="00777F9A">
        <w:rPr>
          <w:i/>
          <w:iCs/>
          <w:lang w:val="en-GB"/>
        </w:rPr>
        <w:t>L</w:t>
      </w:r>
      <w:r w:rsidRPr="00777F9A">
        <w:rPr>
          <w:lang w:val="en-GB"/>
        </w:rPr>
        <w:t xml:space="preserve">), respectively. The orthogonal array is designed to ensure that every level of </w:t>
      </w:r>
      <w:r w:rsidR="009A4127" w:rsidRPr="00777F9A">
        <w:rPr>
          <w:lang w:val="en-GB"/>
        </w:rPr>
        <w:t>each factor</w:t>
      </w:r>
      <w:r w:rsidRPr="00777F9A">
        <w:rPr>
          <w:lang w:val="en-GB"/>
        </w:rPr>
        <w:t xml:space="preserve"> is tested at least once against all </w:t>
      </w:r>
      <w:r w:rsidRPr="00777F9A">
        <w:rPr>
          <w:i/>
          <w:iCs/>
          <w:lang w:val="en-GB"/>
        </w:rPr>
        <w:t>L</w:t>
      </w:r>
      <w:r w:rsidRPr="00777F9A">
        <w:rPr>
          <w:lang w:val="en-GB"/>
        </w:rPr>
        <w:t xml:space="preserve"> levels of the </w:t>
      </w:r>
      <w:r w:rsidR="0068057B" w:rsidRPr="00777F9A">
        <w:rPr>
          <w:lang w:val="en-GB"/>
        </w:rPr>
        <w:t>other</w:t>
      </w:r>
      <w:r w:rsidRPr="00777F9A">
        <w:rPr>
          <w:lang w:val="en-GB"/>
        </w:rPr>
        <w:t xml:space="preserve"> </w:t>
      </w:r>
      <w:r w:rsidR="003A31FF" w:rsidRPr="00777F9A">
        <w:rPr>
          <w:lang w:val="en-GB"/>
        </w:rPr>
        <w:t>factors</w:t>
      </w:r>
      <w:r w:rsidRPr="00777F9A">
        <w:rPr>
          <w:lang w:val="en-GB"/>
        </w:rPr>
        <w:t xml:space="preserve">. This approach significantly decreases the number of simulations required, reducing it from </w:t>
      </w:r>
      <w:r w:rsidRPr="00777F9A">
        <w:rPr>
          <w:i/>
          <w:iCs/>
          <w:lang w:val="en-GB"/>
        </w:rPr>
        <w:t>L</w:t>
      </w:r>
      <w:r w:rsidRPr="00777F9A">
        <w:rPr>
          <w:i/>
          <w:iCs/>
          <w:vertAlign w:val="superscript"/>
          <w:lang w:val="en-GB"/>
        </w:rPr>
        <w:t>F</w:t>
      </w:r>
      <w:r w:rsidRPr="00777F9A">
        <w:rPr>
          <w:lang w:val="en-GB"/>
        </w:rPr>
        <w:t xml:space="preserve"> to the number of rows in the array. </w:t>
      </w:r>
      <w:r w:rsidR="001077AE" w:rsidRPr="00777F9A">
        <w:rPr>
          <w:lang w:val="en-GB"/>
        </w:rPr>
        <w:t>The</w:t>
      </w:r>
      <w:r w:rsidR="0027242D" w:rsidRPr="00777F9A">
        <w:rPr>
          <w:lang w:val="en-GB"/>
        </w:rPr>
        <w:t xml:space="preserve"> factors </w:t>
      </w:r>
      <w:r w:rsidR="00561D8B" w:rsidRPr="00777F9A">
        <w:rPr>
          <w:lang w:val="en-GB"/>
        </w:rPr>
        <w:t xml:space="preserve">of the present simulation campaign were the </w:t>
      </w:r>
      <w:r w:rsidR="00302CEC" w:rsidRPr="00777F9A">
        <w:rPr>
          <w:lang w:val="en-GB"/>
        </w:rPr>
        <w:t xml:space="preserve">main </w:t>
      </w:r>
      <w:r w:rsidR="00561D8B" w:rsidRPr="00777F9A">
        <w:rPr>
          <w:lang w:val="en-GB"/>
        </w:rPr>
        <w:t>input parameters of the model</w:t>
      </w:r>
      <w:r w:rsidR="00976542" w:rsidRPr="00777F9A">
        <w:rPr>
          <w:lang w:val="en-GB"/>
        </w:rPr>
        <w:t xml:space="preserve">, namely the air temperature, the heat transfer coefficient, the </w:t>
      </w:r>
      <w:r w:rsidR="00920481" w:rsidRPr="00777F9A">
        <w:rPr>
          <w:lang w:val="en-GB"/>
        </w:rPr>
        <w:t>charge current and the discharge current. The</w:t>
      </w:r>
      <w:r w:rsidR="00B507FC" w:rsidRPr="00777F9A">
        <w:rPr>
          <w:lang w:val="en-GB"/>
        </w:rPr>
        <w:t>y were let to vary on three levels</w:t>
      </w:r>
      <w:r w:rsidR="00E1187F" w:rsidRPr="00777F9A">
        <w:rPr>
          <w:lang w:val="en-GB"/>
        </w:rPr>
        <w:t xml:space="preserve">: 25, 35, and 45 °C for </w:t>
      </w:r>
      <w:r w:rsidR="00CD7CDB" w:rsidRPr="00777F9A">
        <w:rPr>
          <w:i/>
          <w:iCs/>
          <w:lang w:val="en-GB"/>
        </w:rPr>
        <w:t>T</w:t>
      </w:r>
      <w:r w:rsidR="00CD7CDB" w:rsidRPr="00777F9A">
        <w:rPr>
          <w:i/>
          <w:iCs/>
          <w:vertAlign w:val="subscript"/>
          <w:lang w:val="en-GB"/>
        </w:rPr>
        <w:t>air</w:t>
      </w:r>
      <w:r w:rsidR="00D4337B" w:rsidRPr="00777F9A">
        <w:rPr>
          <w:lang w:val="en-GB"/>
        </w:rPr>
        <w:t>;</w:t>
      </w:r>
      <w:r w:rsidR="00E1187F" w:rsidRPr="00777F9A">
        <w:rPr>
          <w:lang w:val="en-GB"/>
        </w:rPr>
        <w:t xml:space="preserve"> </w:t>
      </w:r>
      <w:r w:rsidR="00AA57A0" w:rsidRPr="00777F9A">
        <w:rPr>
          <w:lang w:val="en-GB"/>
        </w:rPr>
        <w:t>5, 30 and 50 W/m</w:t>
      </w:r>
      <w:r w:rsidR="00AA57A0" w:rsidRPr="00777F9A">
        <w:rPr>
          <w:vertAlign w:val="superscript"/>
          <w:lang w:val="en-GB"/>
        </w:rPr>
        <w:t>2</w:t>
      </w:r>
      <w:r w:rsidR="00AA57A0" w:rsidRPr="00777F9A">
        <w:rPr>
          <w:lang w:val="en-GB"/>
        </w:rPr>
        <w:t xml:space="preserve">/K for </w:t>
      </w:r>
      <w:r w:rsidR="00C649F6" w:rsidRPr="00777F9A">
        <w:rPr>
          <w:i/>
          <w:iCs/>
          <w:lang w:val="en-GB"/>
        </w:rPr>
        <w:t>h</w:t>
      </w:r>
      <w:r w:rsidR="00D4337B" w:rsidRPr="00777F9A">
        <w:rPr>
          <w:lang w:val="en-GB"/>
        </w:rPr>
        <w:t>; 0.5 C, 1 C, and a time-dependent rate (</w:t>
      </w:r>
      <w:r w:rsidR="00D4337B" w:rsidRPr="00777F9A">
        <w:rPr>
          <w:rFonts w:cs="Arial"/>
          <w:lang w:val="en-GB"/>
        </w:rPr>
        <w:t>~</w:t>
      </w:r>
      <w:r w:rsidR="00D4337B" w:rsidRPr="00777F9A">
        <w:rPr>
          <w:lang w:val="en-GB"/>
        </w:rPr>
        <w:t>0.25 C on average) for t</w:t>
      </w:r>
      <w:r w:rsidR="00975B90" w:rsidRPr="00777F9A">
        <w:rPr>
          <w:lang w:val="en-GB"/>
        </w:rPr>
        <w:t xml:space="preserve">he electric current </w:t>
      </w:r>
      <w:r w:rsidR="007042F6" w:rsidRPr="00777F9A">
        <w:rPr>
          <w:lang w:val="en-GB"/>
        </w:rPr>
        <w:t>(</w:t>
      </w:r>
      <w:r w:rsidR="00D4337B" w:rsidRPr="00777F9A">
        <w:rPr>
          <w:lang w:val="en-GB"/>
        </w:rPr>
        <w:t>in</w:t>
      </w:r>
      <w:r w:rsidR="007042F6" w:rsidRPr="00777F9A">
        <w:rPr>
          <w:lang w:val="en-GB"/>
        </w:rPr>
        <w:t xml:space="preserve"> both charge and discharge phases) </w:t>
      </w:r>
      <w:r w:rsidR="00B754C6" w:rsidRPr="00777F9A">
        <w:fldChar w:fldCharType="begin" w:fldLock="1"/>
      </w:r>
      <w:r w:rsidR="00B754C6" w:rsidRPr="00777F9A">
        <w:instrText>ADDIN CSL_CITATION {"citationItems":[{"id":"ITEM-1","itemData":{"DOI":"https://doi.org/10.1016/j.est.2021.102904","ISSN":"2352-152X","abstract":"Lithium-ion batteries are increasingly used for the power network stabilization since renewable energy sources are massively exploited. Since the operating load profile has a strong impact on the degradation of lithium-ion cells, dedicated experimental tests can provide important information in this regard. Herein, a commercial high power 18,650-type LiCoO2-LiNiCoMnO2/Graphite cell was aged according to a standardized endurance test from IEC 61,427–2), which profile is formulated to simulate the primary frequency regulation service. In addition, accelerated ageing was obtained by increasing the ambient temperature to 45 °C. Then, a deep investigation was performed to assess the main degradation phenomena induced by the operating profile. For this purpose, incremental capacity (IC) and differential voltage (DV) analysis as well as electrochemical impedance spectroscopy (EIS) were performed at different state of health (SoH) of the cell. Moreover, in order to estimate the effects induced by the frequency regulation profile in comparison to the degradation phenomena caused by a typical full charge/discharge profile, an identical cell was also aged under this condition. Experimental evidences indicate that the operation under primary frequency regulation is less detrimental for the cell by capacity loss point of view, while larger internal impedance increase was observed in comparison to the typical full charge/discharge profile. Finally, a thermal acceleration coefficient was extrapolated to describe the cell capacity loss at room temperature under frequency regulation profile.","author":[{"dropping-particle":"","family":"Leonardi","given":"S G","non-dropping-particle":"","parse-names":false,"suffix":""},{"dropping-particle":"","family":"Aloisio","given":"D","non-dropping-particle":"","parse-names":false,"suffix":""},{"dropping-particle":"","family":"Brunaccini","given":"G","non-dropping-particle":"","parse-names":false,"suffix":""},{"dropping-particle":"","family":"Stassi","given":"A","non-dropping-particle":"","parse-names":false,"suffix":""},{"dropping-particle":"","family":"Ferraro","given":"M","non-dropping-particle":"","parse-names":false,"suffix":""},{"dropping-particle":"","family":"Antonucci","given":"V","non-dropping-particle":"","parse-names":false,"suffix":""},{"dropping-particle":"","family":"Sergi","given":"F","non-dropping-particle":"","parse-names":false,"suffix":""}],"container-title":"Journal of Energy Storage","id":"ITEM-1","issued":{"date-parts":[["2021"]]},"page":"102904","title":"Investigation on the ageing mechanism for a lithium-ion cell under accelerated tests: The case of primary frequency regulation service","type":"article-journal","volume":"41"},"uris":["http://www.mendeley.com/documents/?uuid=f54ecfbe-29c3-46eb-9954-f0aa821a3fb9"]}],"mendeley":{"formattedCitation":"(Leonardi et al., 2021)","plainTextFormattedCitation":"(Leonardi et al., 2021)","previouslyFormattedCitation":"(Leonardi et al., 2021)"},"properties":{"noteIndex":0},"schema":"https://github.com/citation-style-language/schema/raw/master/csl-citation.json"}</w:instrText>
      </w:r>
      <w:r w:rsidR="00B754C6" w:rsidRPr="00777F9A">
        <w:fldChar w:fldCharType="separate"/>
      </w:r>
      <w:r w:rsidR="00B754C6" w:rsidRPr="00777F9A">
        <w:rPr>
          <w:noProof/>
        </w:rPr>
        <w:t>(Leonardi et al., 2021)</w:t>
      </w:r>
      <w:r w:rsidR="00B754C6" w:rsidRPr="00777F9A">
        <w:fldChar w:fldCharType="end"/>
      </w:r>
      <w:r w:rsidR="009815C8" w:rsidRPr="00777F9A">
        <w:rPr>
          <w:lang w:val="en-GB"/>
        </w:rPr>
        <w:t xml:space="preserve">. </w:t>
      </w:r>
      <w:r w:rsidR="003F6282" w:rsidRPr="00777F9A">
        <w:rPr>
          <w:lang w:val="en-GB"/>
        </w:rPr>
        <w:t xml:space="preserve">The selected array of simulations is </w:t>
      </w:r>
      <w:r w:rsidR="00016CC7" w:rsidRPr="00777F9A">
        <w:rPr>
          <w:lang w:val="en-GB"/>
        </w:rPr>
        <w:t>reported in Table 1.</w:t>
      </w:r>
      <w:r w:rsidR="00417A94" w:rsidRPr="00777F9A">
        <w:rPr>
          <w:lang w:val="en-GB"/>
        </w:rPr>
        <w:t xml:space="preserve"> </w:t>
      </w:r>
      <w:r w:rsidR="00F555BB" w:rsidRPr="00777F9A">
        <w:rPr>
          <w:lang w:val="en-GB"/>
        </w:rPr>
        <w:t xml:space="preserve">The simulated time </w:t>
      </w:r>
      <w:r w:rsidR="0091208F" w:rsidRPr="00777F9A">
        <w:rPr>
          <w:lang w:val="en-GB"/>
        </w:rPr>
        <w:t xml:space="preserve">of battery operation </w:t>
      </w:r>
      <w:r w:rsidR="00F555BB" w:rsidRPr="00777F9A">
        <w:rPr>
          <w:lang w:val="en-GB"/>
        </w:rPr>
        <w:t>was 100 h.</w:t>
      </w:r>
    </w:p>
    <w:p w14:paraId="330165BC" w14:textId="19C7A4AC" w:rsidR="00B110C6" w:rsidRPr="00777F9A" w:rsidRDefault="0080744A" w:rsidP="00B110C6">
      <w:pPr>
        <w:pStyle w:val="CETBodytext"/>
        <w:rPr>
          <w:lang w:val="en-GB"/>
        </w:rPr>
      </w:pPr>
      <w:r w:rsidRPr="00777F9A">
        <w:rPr>
          <w:lang w:val="en-GB"/>
        </w:rPr>
        <w:t>To measure</w:t>
      </w:r>
      <w:r w:rsidR="00B110C6" w:rsidRPr="00777F9A">
        <w:rPr>
          <w:lang w:val="en-GB"/>
        </w:rPr>
        <w:t xml:space="preserve"> quality </w:t>
      </w:r>
      <w:r w:rsidRPr="00777F9A">
        <w:rPr>
          <w:lang w:val="en-GB"/>
        </w:rPr>
        <w:t xml:space="preserve">and robustness, </w:t>
      </w:r>
      <w:r w:rsidR="00B110C6" w:rsidRPr="00777F9A">
        <w:rPr>
          <w:lang w:val="en-GB"/>
        </w:rPr>
        <w:t xml:space="preserve">the </w:t>
      </w:r>
      <w:r w:rsidR="00DA1D2F" w:rsidRPr="00777F9A">
        <w:rPr>
          <w:lang w:val="en-GB"/>
        </w:rPr>
        <w:t>signal-to-noise</w:t>
      </w:r>
      <w:r w:rsidR="00B110C6" w:rsidRPr="00777F9A">
        <w:rPr>
          <w:lang w:val="en-GB"/>
        </w:rPr>
        <w:t xml:space="preserve"> (</w:t>
      </w:r>
      <w:r w:rsidR="00DA1D2F" w:rsidRPr="00777F9A">
        <w:rPr>
          <w:lang w:val="en-GB"/>
        </w:rPr>
        <w:t>S/</w:t>
      </w:r>
      <w:r w:rsidR="00B110C6" w:rsidRPr="00777F9A">
        <w:rPr>
          <w:lang w:val="en-GB"/>
        </w:rPr>
        <w:t>N) ratio</w:t>
      </w:r>
      <w:r w:rsidR="00D82775" w:rsidRPr="00777F9A">
        <w:rPr>
          <w:lang w:val="en-GB"/>
        </w:rPr>
        <w:t xml:space="preserve"> for the </w:t>
      </w:r>
      <w:r w:rsidR="005A4F33" w:rsidRPr="00777F9A">
        <w:rPr>
          <w:lang w:val="en-GB"/>
        </w:rPr>
        <w:t xml:space="preserve">model outcome represented by the cell </w:t>
      </w:r>
      <w:r w:rsidR="00B23627" w:rsidRPr="00777F9A">
        <w:rPr>
          <w:lang w:val="en-GB"/>
        </w:rPr>
        <w:t>temperature</w:t>
      </w:r>
      <w:r w:rsidR="00034576" w:rsidRPr="00777F9A">
        <w:rPr>
          <w:lang w:val="en-GB"/>
        </w:rPr>
        <w:t xml:space="preserve"> was analysed</w:t>
      </w:r>
      <w:r w:rsidR="00B110C6" w:rsidRPr="00777F9A">
        <w:rPr>
          <w:lang w:val="en-GB"/>
        </w:rPr>
        <w:t xml:space="preserve">. </w:t>
      </w:r>
      <w:r w:rsidR="005A4F33" w:rsidRPr="00777F9A">
        <w:rPr>
          <w:lang w:val="en-GB"/>
        </w:rPr>
        <w:t>Hence</w:t>
      </w:r>
      <w:r w:rsidR="00B110C6" w:rsidRPr="00777F9A">
        <w:rPr>
          <w:lang w:val="en-GB"/>
        </w:rPr>
        <w:t xml:space="preserve">, </w:t>
      </w:r>
      <w:r w:rsidR="00B110C6" w:rsidRPr="00777F9A">
        <w:rPr>
          <w:i/>
          <w:iCs/>
          <w:lang w:val="en-GB"/>
        </w:rPr>
        <w:t>the smaller the better</w:t>
      </w:r>
      <w:r w:rsidR="00B110C6" w:rsidRPr="00777F9A">
        <w:rPr>
          <w:lang w:val="en-GB"/>
        </w:rPr>
        <w:t xml:space="preserve"> criterion </w:t>
      </w:r>
      <w:r w:rsidR="00006A83" w:rsidRPr="00777F9A">
        <w:rPr>
          <w:lang w:val="en-GB"/>
        </w:rPr>
        <w:t xml:space="preserve">was </w:t>
      </w:r>
      <w:r w:rsidR="008B35BA" w:rsidRPr="00777F9A">
        <w:rPr>
          <w:lang w:val="en-GB"/>
        </w:rPr>
        <w:t>applie</w:t>
      </w:r>
      <w:r w:rsidR="00006A83" w:rsidRPr="00777F9A">
        <w:rPr>
          <w:lang w:val="en-GB"/>
        </w:rPr>
        <w:t>d</w:t>
      </w:r>
      <w:r w:rsidR="00BC14AB" w:rsidRPr="00777F9A">
        <w:rPr>
          <w:lang w:val="en-GB"/>
        </w:rPr>
        <w:t>.</w:t>
      </w:r>
    </w:p>
    <w:p w14:paraId="70350877" w14:textId="4806ECED" w:rsidR="00AD506A" w:rsidRPr="00777F9A" w:rsidRDefault="00AD506A" w:rsidP="00AD506A">
      <w:pPr>
        <w:pStyle w:val="CETTabletitle"/>
      </w:pPr>
      <w:r w:rsidRPr="00777F9A">
        <w:t xml:space="preserve">Table </w:t>
      </w:r>
      <w:r w:rsidRPr="00777F9A">
        <w:fldChar w:fldCharType="begin"/>
      </w:r>
      <w:r w:rsidRPr="00777F9A">
        <w:instrText xml:space="preserve"> SEQ Table \* ARABIC </w:instrText>
      </w:r>
      <w:r w:rsidRPr="00777F9A">
        <w:fldChar w:fldCharType="separate"/>
      </w:r>
      <w:r w:rsidRPr="00777F9A">
        <w:rPr>
          <w:noProof/>
        </w:rPr>
        <w:t>1</w:t>
      </w:r>
      <w:r w:rsidRPr="00777F9A">
        <w:fldChar w:fldCharType="end"/>
      </w:r>
      <w:r w:rsidRPr="00777F9A">
        <w:t>: Taguchi orthogonal array for the simulations</w:t>
      </w:r>
      <w:r w:rsidR="00ED4EF4" w:rsidRPr="00777F9A">
        <w:t xml:space="preserve"> with </w:t>
      </w:r>
      <w:r w:rsidR="005A7846" w:rsidRPr="00777F9A">
        <w:t>4 factors and 3 levels</w:t>
      </w:r>
      <w:r w:rsidRPr="00777F9A">
        <w:t>.</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851"/>
        <w:gridCol w:w="1134"/>
        <w:gridCol w:w="709"/>
        <w:gridCol w:w="567"/>
      </w:tblGrid>
      <w:tr w:rsidR="005F7F71" w:rsidRPr="00777F9A" w14:paraId="275EFCD5" w14:textId="77777777" w:rsidTr="00743D4D">
        <w:tc>
          <w:tcPr>
            <w:tcW w:w="1134" w:type="dxa"/>
            <w:tcBorders>
              <w:top w:val="single" w:sz="12" w:space="0" w:color="008000"/>
              <w:bottom w:val="single" w:sz="6" w:space="0" w:color="008000"/>
            </w:tcBorders>
            <w:shd w:val="clear" w:color="auto" w:fill="FFFFFF"/>
          </w:tcPr>
          <w:p w14:paraId="3D92A0E3" w14:textId="5E26E2FF" w:rsidR="005F7F71" w:rsidRPr="00777F9A" w:rsidRDefault="005F7F71" w:rsidP="006F7DDA">
            <w:pPr>
              <w:pStyle w:val="CETBodytext"/>
              <w:rPr>
                <w:lang w:val="en-GB"/>
              </w:rPr>
            </w:pPr>
            <w:r w:rsidRPr="00777F9A">
              <w:rPr>
                <w:b/>
                <w:bCs/>
              </w:rPr>
              <w:t>Simulation</w:t>
            </w:r>
          </w:p>
        </w:tc>
        <w:tc>
          <w:tcPr>
            <w:tcW w:w="851" w:type="dxa"/>
            <w:tcBorders>
              <w:top w:val="single" w:sz="12" w:space="0" w:color="008000"/>
              <w:bottom w:val="single" w:sz="6" w:space="0" w:color="008000"/>
            </w:tcBorders>
            <w:shd w:val="clear" w:color="auto" w:fill="FFFFFF"/>
            <w:vAlign w:val="center"/>
          </w:tcPr>
          <w:p w14:paraId="3D32F9CF" w14:textId="77777777" w:rsidR="005F7F71" w:rsidRPr="00777F9A" w:rsidRDefault="005F7F71" w:rsidP="006F7DDA">
            <w:pPr>
              <w:pStyle w:val="CETBodytext"/>
              <w:rPr>
                <w:lang w:val="en-GB"/>
              </w:rPr>
            </w:pPr>
            <w:r w:rsidRPr="00777F9A">
              <w:rPr>
                <w:b/>
                <w:bCs/>
              </w:rPr>
              <w:t>T</w:t>
            </w:r>
            <w:r w:rsidRPr="00777F9A">
              <w:rPr>
                <w:b/>
                <w:bCs/>
                <w:vertAlign w:val="subscript"/>
              </w:rPr>
              <w:t>air</w:t>
            </w:r>
            <w:r w:rsidRPr="00777F9A">
              <w:rPr>
                <w:b/>
                <w:bCs/>
              </w:rPr>
              <w:t xml:space="preserve"> [°C]</w:t>
            </w:r>
          </w:p>
        </w:tc>
        <w:tc>
          <w:tcPr>
            <w:tcW w:w="1134" w:type="dxa"/>
            <w:tcBorders>
              <w:top w:val="single" w:sz="12" w:space="0" w:color="008000"/>
              <w:bottom w:val="single" w:sz="6" w:space="0" w:color="008000"/>
            </w:tcBorders>
            <w:shd w:val="clear" w:color="auto" w:fill="FFFFFF"/>
            <w:vAlign w:val="center"/>
          </w:tcPr>
          <w:p w14:paraId="67A64FC4" w14:textId="68034081" w:rsidR="005F7F71" w:rsidRPr="00777F9A" w:rsidRDefault="005F7F71" w:rsidP="006F7DDA">
            <w:pPr>
              <w:pStyle w:val="CETBodytext"/>
              <w:rPr>
                <w:lang w:val="en-GB"/>
              </w:rPr>
            </w:pPr>
            <w:r w:rsidRPr="00777F9A">
              <w:rPr>
                <w:b/>
                <w:bCs/>
              </w:rPr>
              <w:t>h [W/m</w:t>
            </w:r>
            <w:r w:rsidRPr="00777F9A">
              <w:rPr>
                <w:b/>
                <w:bCs/>
                <w:vertAlign w:val="superscript"/>
              </w:rPr>
              <w:t>2</w:t>
            </w:r>
            <w:r w:rsidR="006620CC" w:rsidRPr="00777F9A">
              <w:rPr>
                <w:b/>
                <w:bCs/>
              </w:rPr>
              <w:t>/</w:t>
            </w:r>
            <w:r w:rsidRPr="00777F9A">
              <w:rPr>
                <w:b/>
                <w:bCs/>
              </w:rPr>
              <w:t>K]</w:t>
            </w:r>
          </w:p>
        </w:tc>
        <w:tc>
          <w:tcPr>
            <w:tcW w:w="709" w:type="dxa"/>
            <w:tcBorders>
              <w:top w:val="single" w:sz="12" w:space="0" w:color="008000"/>
              <w:bottom w:val="single" w:sz="6" w:space="0" w:color="008000"/>
            </w:tcBorders>
            <w:shd w:val="clear" w:color="auto" w:fill="FFFFFF"/>
            <w:vAlign w:val="center"/>
          </w:tcPr>
          <w:p w14:paraId="724EFCAC" w14:textId="6A3FCB6F" w:rsidR="005F7F71" w:rsidRPr="00777F9A" w:rsidRDefault="0059356F" w:rsidP="006F7DDA">
            <w:pPr>
              <w:pStyle w:val="CETBodytext"/>
              <w:ind w:right="-1"/>
              <w:rPr>
                <w:rFonts w:cs="Arial"/>
                <w:szCs w:val="18"/>
                <w:lang w:val="en-GB"/>
              </w:rPr>
            </w:pPr>
            <w:r w:rsidRPr="00777F9A">
              <w:rPr>
                <w:b/>
                <w:bCs/>
              </w:rPr>
              <w:t>i</w:t>
            </w:r>
            <w:r w:rsidR="005F7F71" w:rsidRPr="00777F9A">
              <w:rPr>
                <w:b/>
                <w:bCs/>
                <w:vertAlign w:val="subscript"/>
              </w:rPr>
              <w:t xml:space="preserve">c </w:t>
            </w:r>
            <w:r w:rsidR="005F7F71" w:rsidRPr="00777F9A">
              <w:rPr>
                <w:b/>
                <w:bCs/>
              </w:rPr>
              <w:t>[A]</w:t>
            </w:r>
          </w:p>
        </w:tc>
        <w:tc>
          <w:tcPr>
            <w:tcW w:w="567" w:type="dxa"/>
            <w:tcBorders>
              <w:top w:val="single" w:sz="12" w:space="0" w:color="008000"/>
              <w:bottom w:val="single" w:sz="6" w:space="0" w:color="008000"/>
            </w:tcBorders>
            <w:shd w:val="clear" w:color="auto" w:fill="FFFFFF"/>
            <w:vAlign w:val="center"/>
          </w:tcPr>
          <w:p w14:paraId="5B4056F5" w14:textId="517F50E6" w:rsidR="005F7F71" w:rsidRPr="00777F9A" w:rsidRDefault="0059356F" w:rsidP="006F7DDA">
            <w:pPr>
              <w:pStyle w:val="CETBodytext"/>
              <w:ind w:right="-1"/>
              <w:rPr>
                <w:rFonts w:cs="Arial"/>
                <w:szCs w:val="18"/>
                <w:lang w:val="en-GB"/>
              </w:rPr>
            </w:pPr>
            <w:r w:rsidRPr="00777F9A">
              <w:rPr>
                <w:b/>
                <w:bCs/>
              </w:rPr>
              <w:t>i</w:t>
            </w:r>
            <w:r w:rsidR="005F7F71" w:rsidRPr="00777F9A">
              <w:rPr>
                <w:b/>
                <w:bCs/>
                <w:vertAlign w:val="subscript"/>
              </w:rPr>
              <w:t>d</w:t>
            </w:r>
            <w:r w:rsidR="005F7F71" w:rsidRPr="00777F9A">
              <w:rPr>
                <w:b/>
                <w:bCs/>
              </w:rPr>
              <w:t xml:space="preserve"> [A]</w:t>
            </w:r>
          </w:p>
        </w:tc>
      </w:tr>
      <w:tr w:rsidR="005F7F71" w:rsidRPr="00777F9A" w14:paraId="1FA3EA0A" w14:textId="77777777" w:rsidTr="00743D4D">
        <w:tc>
          <w:tcPr>
            <w:tcW w:w="1134" w:type="dxa"/>
            <w:shd w:val="clear" w:color="auto" w:fill="FFFFFF"/>
          </w:tcPr>
          <w:p w14:paraId="02163499" w14:textId="192D4820" w:rsidR="005F7F71" w:rsidRPr="00777F9A" w:rsidRDefault="005F7F71" w:rsidP="006F7DDA">
            <w:pPr>
              <w:pStyle w:val="CETBodytext"/>
              <w:rPr>
                <w:lang w:val="en-GB"/>
              </w:rPr>
            </w:pPr>
            <w:r w:rsidRPr="00777F9A">
              <w:t>1</w:t>
            </w:r>
          </w:p>
        </w:tc>
        <w:tc>
          <w:tcPr>
            <w:tcW w:w="851" w:type="dxa"/>
            <w:shd w:val="clear" w:color="auto" w:fill="FFFFFF"/>
          </w:tcPr>
          <w:p w14:paraId="28EC946B" w14:textId="77777777" w:rsidR="005F7F71" w:rsidRPr="00777F9A" w:rsidRDefault="005F7F71" w:rsidP="006F7DDA">
            <w:pPr>
              <w:pStyle w:val="CETBodytext"/>
              <w:rPr>
                <w:lang w:val="en-GB"/>
              </w:rPr>
            </w:pPr>
            <w:r w:rsidRPr="00777F9A">
              <w:t>25</w:t>
            </w:r>
          </w:p>
        </w:tc>
        <w:tc>
          <w:tcPr>
            <w:tcW w:w="1134" w:type="dxa"/>
            <w:shd w:val="clear" w:color="auto" w:fill="FFFFFF"/>
            <w:vAlign w:val="bottom"/>
          </w:tcPr>
          <w:p w14:paraId="1706A79D" w14:textId="77777777" w:rsidR="005F7F71" w:rsidRPr="00777F9A" w:rsidRDefault="005F7F71" w:rsidP="006F7DDA">
            <w:pPr>
              <w:pStyle w:val="CETBodytext"/>
              <w:rPr>
                <w:lang w:val="en-GB"/>
              </w:rPr>
            </w:pPr>
            <w:r w:rsidRPr="00777F9A">
              <w:t>5</w:t>
            </w:r>
          </w:p>
        </w:tc>
        <w:tc>
          <w:tcPr>
            <w:tcW w:w="709" w:type="dxa"/>
            <w:shd w:val="clear" w:color="auto" w:fill="FFFFFF"/>
            <w:vAlign w:val="bottom"/>
          </w:tcPr>
          <w:p w14:paraId="7558FB3D" w14:textId="77777777" w:rsidR="005F7F71" w:rsidRPr="00777F9A" w:rsidRDefault="005F7F71" w:rsidP="006F7DDA">
            <w:pPr>
              <w:pStyle w:val="CETBodytext"/>
              <w:ind w:right="-1"/>
              <w:rPr>
                <w:rFonts w:cs="Arial"/>
                <w:szCs w:val="18"/>
                <w:lang w:val="en-GB"/>
              </w:rPr>
            </w:pPr>
            <w:r w:rsidRPr="00777F9A">
              <w:t>0.5 C</w:t>
            </w:r>
          </w:p>
        </w:tc>
        <w:tc>
          <w:tcPr>
            <w:tcW w:w="567" w:type="dxa"/>
            <w:shd w:val="clear" w:color="auto" w:fill="FFFFFF"/>
            <w:vAlign w:val="bottom"/>
          </w:tcPr>
          <w:p w14:paraId="71AB3EC1" w14:textId="77777777" w:rsidR="005F7F71" w:rsidRPr="00777F9A" w:rsidRDefault="005F7F71" w:rsidP="006F7DDA">
            <w:pPr>
              <w:pStyle w:val="CETBodytext"/>
              <w:ind w:right="-1"/>
              <w:rPr>
                <w:rFonts w:cs="Arial"/>
                <w:szCs w:val="18"/>
                <w:lang w:val="en-GB"/>
              </w:rPr>
            </w:pPr>
            <w:r w:rsidRPr="00777F9A">
              <w:t>0.5 C</w:t>
            </w:r>
          </w:p>
        </w:tc>
      </w:tr>
      <w:tr w:rsidR="005F7F71" w:rsidRPr="00777F9A" w14:paraId="762AD8BB" w14:textId="77777777" w:rsidTr="00743D4D">
        <w:tc>
          <w:tcPr>
            <w:tcW w:w="1134" w:type="dxa"/>
            <w:shd w:val="clear" w:color="auto" w:fill="FFFFFF"/>
          </w:tcPr>
          <w:p w14:paraId="6E563C86" w14:textId="77777777" w:rsidR="005F7F71" w:rsidRPr="00777F9A" w:rsidRDefault="005F7F71" w:rsidP="006F7DDA">
            <w:pPr>
              <w:pStyle w:val="CETBodytext"/>
              <w:ind w:right="-1"/>
              <w:rPr>
                <w:rFonts w:cs="Arial"/>
                <w:szCs w:val="18"/>
                <w:lang w:val="en-GB"/>
              </w:rPr>
            </w:pPr>
            <w:r w:rsidRPr="00777F9A">
              <w:t>2</w:t>
            </w:r>
          </w:p>
        </w:tc>
        <w:tc>
          <w:tcPr>
            <w:tcW w:w="851" w:type="dxa"/>
            <w:shd w:val="clear" w:color="auto" w:fill="FFFFFF"/>
          </w:tcPr>
          <w:p w14:paraId="7D5CD809" w14:textId="77777777" w:rsidR="005F7F71" w:rsidRPr="00777F9A" w:rsidRDefault="005F7F71" w:rsidP="006F7DDA">
            <w:pPr>
              <w:pStyle w:val="CETBodytext"/>
              <w:ind w:right="-1"/>
              <w:rPr>
                <w:rFonts w:cs="Arial"/>
                <w:szCs w:val="18"/>
                <w:lang w:val="en-GB"/>
              </w:rPr>
            </w:pPr>
            <w:r w:rsidRPr="00777F9A">
              <w:t>25</w:t>
            </w:r>
          </w:p>
        </w:tc>
        <w:tc>
          <w:tcPr>
            <w:tcW w:w="1134" w:type="dxa"/>
            <w:shd w:val="clear" w:color="auto" w:fill="FFFFFF"/>
            <w:vAlign w:val="bottom"/>
          </w:tcPr>
          <w:p w14:paraId="6DD8DF1B" w14:textId="77777777" w:rsidR="005F7F71" w:rsidRPr="00777F9A" w:rsidRDefault="005F7F71" w:rsidP="006F7DDA">
            <w:pPr>
              <w:pStyle w:val="CETBodytext"/>
              <w:ind w:right="-1"/>
              <w:rPr>
                <w:rFonts w:cs="Arial"/>
                <w:szCs w:val="18"/>
                <w:lang w:val="en-GB"/>
              </w:rPr>
            </w:pPr>
            <w:r w:rsidRPr="00777F9A">
              <w:t>30</w:t>
            </w:r>
          </w:p>
        </w:tc>
        <w:tc>
          <w:tcPr>
            <w:tcW w:w="709" w:type="dxa"/>
            <w:shd w:val="clear" w:color="auto" w:fill="FFFFFF"/>
            <w:vAlign w:val="bottom"/>
          </w:tcPr>
          <w:p w14:paraId="33F4092B" w14:textId="77777777" w:rsidR="005F7F71" w:rsidRPr="00777F9A" w:rsidRDefault="005F7F71" w:rsidP="006F7DDA">
            <w:pPr>
              <w:pStyle w:val="CETBodytext"/>
              <w:ind w:right="-1"/>
              <w:rPr>
                <w:rFonts w:cs="Arial"/>
                <w:szCs w:val="18"/>
                <w:lang w:val="en-GB"/>
              </w:rPr>
            </w:pPr>
            <w:r w:rsidRPr="00777F9A">
              <w:t>1 C</w:t>
            </w:r>
          </w:p>
        </w:tc>
        <w:tc>
          <w:tcPr>
            <w:tcW w:w="567" w:type="dxa"/>
            <w:shd w:val="clear" w:color="auto" w:fill="FFFFFF"/>
            <w:vAlign w:val="bottom"/>
          </w:tcPr>
          <w:p w14:paraId="341081ED" w14:textId="77777777" w:rsidR="005F7F71" w:rsidRPr="00777F9A" w:rsidRDefault="005F7F71" w:rsidP="006F7DDA">
            <w:pPr>
              <w:pStyle w:val="CETBodytext"/>
              <w:ind w:right="-1"/>
              <w:rPr>
                <w:rFonts w:cs="Arial"/>
                <w:szCs w:val="18"/>
                <w:lang w:val="en-GB"/>
              </w:rPr>
            </w:pPr>
            <w:r w:rsidRPr="00777F9A">
              <w:t>1 C</w:t>
            </w:r>
          </w:p>
        </w:tc>
      </w:tr>
      <w:tr w:rsidR="005F7F71" w:rsidRPr="00777F9A" w14:paraId="48C046E3" w14:textId="77777777" w:rsidTr="00743D4D">
        <w:tc>
          <w:tcPr>
            <w:tcW w:w="1134" w:type="dxa"/>
            <w:shd w:val="clear" w:color="auto" w:fill="FFFFFF"/>
          </w:tcPr>
          <w:p w14:paraId="64C976A4" w14:textId="77777777" w:rsidR="005F7F71" w:rsidRPr="00777F9A" w:rsidRDefault="005F7F71" w:rsidP="006F7DDA">
            <w:pPr>
              <w:pStyle w:val="CETBodytext"/>
              <w:ind w:right="-1"/>
            </w:pPr>
            <w:r w:rsidRPr="00777F9A">
              <w:t>3</w:t>
            </w:r>
          </w:p>
        </w:tc>
        <w:tc>
          <w:tcPr>
            <w:tcW w:w="851" w:type="dxa"/>
            <w:shd w:val="clear" w:color="auto" w:fill="FFFFFF"/>
          </w:tcPr>
          <w:p w14:paraId="1FD96366" w14:textId="77777777" w:rsidR="005F7F71" w:rsidRPr="00777F9A" w:rsidRDefault="005F7F71" w:rsidP="006F7DDA">
            <w:pPr>
              <w:pStyle w:val="CETBodytext"/>
              <w:ind w:right="-1"/>
            </w:pPr>
            <w:r w:rsidRPr="00777F9A">
              <w:t>25</w:t>
            </w:r>
          </w:p>
        </w:tc>
        <w:tc>
          <w:tcPr>
            <w:tcW w:w="1134" w:type="dxa"/>
            <w:shd w:val="clear" w:color="auto" w:fill="FFFFFF"/>
            <w:vAlign w:val="bottom"/>
          </w:tcPr>
          <w:p w14:paraId="71C6F028" w14:textId="77777777" w:rsidR="005F7F71" w:rsidRPr="00777F9A" w:rsidRDefault="005F7F71" w:rsidP="006F7DDA">
            <w:pPr>
              <w:pStyle w:val="CETBodytext"/>
              <w:ind w:right="-1"/>
            </w:pPr>
            <w:r w:rsidRPr="00777F9A">
              <w:t>50</w:t>
            </w:r>
          </w:p>
        </w:tc>
        <w:tc>
          <w:tcPr>
            <w:tcW w:w="709" w:type="dxa"/>
            <w:shd w:val="clear" w:color="auto" w:fill="FFFFFF"/>
            <w:vAlign w:val="bottom"/>
          </w:tcPr>
          <w:p w14:paraId="77F81FE5" w14:textId="77777777" w:rsidR="005F7F71" w:rsidRPr="00777F9A" w:rsidRDefault="005F7F71" w:rsidP="006F7DDA">
            <w:pPr>
              <w:pStyle w:val="CETBodytext"/>
              <w:ind w:right="-1"/>
            </w:pPr>
            <w:r w:rsidRPr="00777F9A">
              <w:t>I</w:t>
            </w:r>
            <w:r w:rsidRPr="00777F9A">
              <w:rPr>
                <w:vertAlign w:val="subscript"/>
              </w:rPr>
              <w:t>c</w:t>
            </w:r>
            <w:r w:rsidRPr="00777F9A">
              <w:t>(t)</w:t>
            </w:r>
          </w:p>
        </w:tc>
        <w:tc>
          <w:tcPr>
            <w:tcW w:w="567" w:type="dxa"/>
            <w:shd w:val="clear" w:color="auto" w:fill="FFFFFF"/>
            <w:vAlign w:val="bottom"/>
          </w:tcPr>
          <w:p w14:paraId="04EC8DA7" w14:textId="77777777" w:rsidR="005F7F71" w:rsidRPr="00777F9A" w:rsidRDefault="005F7F71" w:rsidP="006F7DDA">
            <w:pPr>
              <w:pStyle w:val="CETBodytext"/>
              <w:ind w:right="-1"/>
            </w:pPr>
            <w:r w:rsidRPr="00777F9A">
              <w:t>I</w:t>
            </w:r>
            <w:r w:rsidRPr="00777F9A">
              <w:rPr>
                <w:vertAlign w:val="subscript"/>
              </w:rPr>
              <w:t>d</w:t>
            </w:r>
            <w:r w:rsidRPr="00777F9A">
              <w:t>(t)</w:t>
            </w:r>
          </w:p>
        </w:tc>
      </w:tr>
      <w:tr w:rsidR="005F7F71" w:rsidRPr="00777F9A" w14:paraId="068F0149" w14:textId="77777777" w:rsidTr="00743D4D">
        <w:tc>
          <w:tcPr>
            <w:tcW w:w="1134" w:type="dxa"/>
            <w:shd w:val="clear" w:color="auto" w:fill="FFFFFF"/>
          </w:tcPr>
          <w:p w14:paraId="136C4138" w14:textId="77777777" w:rsidR="005F7F71" w:rsidRPr="00777F9A" w:rsidRDefault="005F7F71" w:rsidP="006F7DDA">
            <w:pPr>
              <w:pStyle w:val="CETBodytext"/>
              <w:ind w:right="-1"/>
            </w:pPr>
            <w:r w:rsidRPr="00777F9A">
              <w:t>4</w:t>
            </w:r>
          </w:p>
        </w:tc>
        <w:tc>
          <w:tcPr>
            <w:tcW w:w="851" w:type="dxa"/>
            <w:shd w:val="clear" w:color="auto" w:fill="FFFFFF"/>
          </w:tcPr>
          <w:p w14:paraId="3B0EC827" w14:textId="77777777" w:rsidR="005F7F71" w:rsidRPr="00777F9A" w:rsidRDefault="005F7F71" w:rsidP="006F7DDA">
            <w:pPr>
              <w:pStyle w:val="CETBodytext"/>
              <w:ind w:right="-1"/>
            </w:pPr>
            <w:r w:rsidRPr="00777F9A">
              <w:t>35</w:t>
            </w:r>
          </w:p>
        </w:tc>
        <w:tc>
          <w:tcPr>
            <w:tcW w:w="1134" w:type="dxa"/>
            <w:shd w:val="clear" w:color="auto" w:fill="FFFFFF"/>
            <w:vAlign w:val="bottom"/>
          </w:tcPr>
          <w:p w14:paraId="41214C98" w14:textId="77777777" w:rsidR="005F7F71" w:rsidRPr="00777F9A" w:rsidRDefault="005F7F71" w:rsidP="006F7DDA">
            <w:pPr>
              <w:pStyle w:val="CETBodytext"/>
              <w:ind w:right="-1"/>
            </w:pPr>
            <w:r w:rsidRPr="00777F9A">
              <w:t>5</w:t>
            </w:r>
          </w:p>
        </w:tc>
        <w:tc>
          <w:tcPr>
            <w:tcW w:w="709" w:type="dxa"/>
            <w:shd w:val="clear" w:color="auto" w:fill="FFFFFF"/>
            <w:vAlign w:val="bottom"/>
          </w:tcPr>
          <w:p w14:paraId="3584478C" w14:textId="77777777" w:rsidR="005F7F71" w:rsidRPr="00777F9A" w:rsidRDefault="005F7F71" w:rsidP="006F7DDA">
            <w:pPr>
              <w:pStyle w:val="CETBodytext"/>
              <w:ind w:right="-1"/>
            </w:pPr>
            <w:r w:rsidRPr="00777F9A">
              <w:t>1 C</w:t>
            </w:r>
          </w:p>
        </w:tc>
        <w:tc>
          <w:tcPr>
            <w:tcW w:w="567" w:type="dxa"/>
            <w:shd w:val="clear" w:color="auto" w:fill="FFFFFF"/>
            <w:vAlign w:val="bottom"/>
          </w:tcPr>
          <w:p w14:paraId="2EB9A804" w14:textId="77777777" w:rsidR="005F7F71" w:rsidRPr="00777F9A" w:rsidRDefault="005F7F71" w:rsidP="006F7DDA">
            <w:pPr>
              <w:pStyle w:val="CETBodytext"/>
              <w:ind w:right="-1"/>
            </w:pPr>
            <w:r w:rsidRPr="00777F9A">
              <w:t>I</w:t>
            </w:r>
            <w:r w:rsidRPr="00777F9A">
              <w:rPr>
                <w:vertAlign w:val="subscript"/>
              </w:rPr>
              <w:t>d</w:t>
            </w:r>
            <w:r w:rsidRPr="00777F9A">
              <w:t>(t)</w:t>
            </w:r>
          </w:p>
        </w:tc>
      </w:tr>
      <w:tr w:rsidR="005F7F71" w:rsidRPr="00777F9A" w14:paraId="431E900D" w14:textId="77777777" w:rsidTr="00743D4D">
        <w:tc>
          <w:tcPr>
            <w:tcW w:w="1134" w:type="dxa"/>
            <w:shd w:val="clear" w:color="auto" w:fill="FFFFFF"/>
          </w:tcPr>
          <w:p w14:paraId="3730F89B" w14:textId="77777777" w:rsidR="005F7F71" w:rsidRPr="00777F9A" w:rsidRDefault="005F7F71" w:rsidP="006F7DDA">
            <w:pPr>
              <w:pStyle w:val="CETBodytext"/>
              <w:ind w:right="-1"/>
            </w:pPr>
            <w:r w:rsidRPr="00777F9A">
              <w:t>5</w:t>
            </w:r>
          </w:p>
        </w:tc>
        <w:tc>
          <w:tcPr>
            <w:tcW w:w="851" w:type="dxa"/>
            <w:shd w:val="clear" w:color="auto" w:fill="FFFFFF"/>
          </w:tcPr>
          <w:p w14:paraId="6CBE16CA" w14:textId="77777777" w:rsidR="005F7F71" w:rsidRPr="00777F9A" w:rsidRDefault="005F7F71" w:rsidP="006F7DDA">
            <w:pPr>
              <w:pStyle w:val="CETBodytext"/>
              <w:ind w:right="-1"/>
            </w:pPr>
            <w:r w:rsidRPr="00777F9A">
              <w:t>35</w:t>
            </w:r>
          </w:p>
        </w:tc>
        <w:tc>
          <w:tcPr>
            <w:tcW w:w="1134" w:type="dxa"/>
            <w:shd w:val="clear" w:color="auto" w:fill="FFFFFF"/>
            <w:vAlign w:val="bottom"/>
          </w:tcPr>
          <w:p w14:paraId="537D4455" w14:textId="77777777" w:rsidR="005F7F71" w:rsidRPr="00777F9A" w:rsidRDefault="005F7F71" w:rsidP="006F7DDA">
            <w:pPr>
              <w:pStyle w:val="CETBodytext"/>
              <w:ind w:right="-1"/>
            </w:pPr>
            <w:r w:rsidRPr="00777F9A">
              <w:t>30</w:t>
            </w:r>
          </w:p>
        </w:tc>
        <w:tc>
          <w:tcPr>
            <w:tcW w:w="709" w:type="dxa"/>
            <w:shd w:val="clear" w:color="auto" w:fill="FFFFFF"/>
            <w:vAlign w:val="bottom"/>
          </w:tcPr>
          <w:p w14:paraId="07B361F3" w14:textId="77777777" w:rsidR="005F7F71" w:rsidRPr="00777F9A" w:rsidRDefault="005F7F71" w:rsidP="006F7DDA">
            <w:pPr>
              <w:pStyle w:val="CETBodytext"/>
              <w:ind w:right="-1"/>
            </w:pPr>
            <w:r w:rsidRPr="00777F9A">
              <w:t>I</w:t>
            </w:r>
            <w:r w:rsidRPr="00777F9A">
              <w:rPr>
                <w:vertAlign w:val="subscript"/>
              </w:rPr>
              <w:t>c</w:t>
            </w:r>
            <w:r w:rsidRPr="00777F9A">
              <w:t>(t)</w:t>
            </w:r>
          </w:p>
        </w:tc>
        <w:tc>
          <w:tcPr>
            <w:tcW w:w="567" w:type="dxa"/>
            <w:shd w:val="clear" w:color="auto" w:fill="FFFFFF"/>
            <w:vAlign w:val="bottom"/>
          </w:tcPr>
          <w:p w14:paraId="07C15E6E" w14:textId="77777777" w:rsidR="005F7F71" w:rsidRPr="00777F9A" w:rsidRDefault="005F7F71" w:rsidP="006F7DDA">
            <w:pPr>
              <w:pStyle w:val="CETBodytext"/>
              <w:ind w:right="-1"/>
            </w:pPr>
            <w:r w:rsidRPr="00777F9A">
              <w:t>0.5 C</w:t>
            </w:r>
          </w:p>
        </w:tc>
      </w:tr>
      <w:tr w:rsidR="005F7F71" w:rsidRPr="00777F9A" w14:paraId="12876036" w14:textId="77777777" w:rsidTr="00743D4D">
        <w:tc>
          <w:tcPr>
            <w:tcW w:w="1134" w:type="dxa"/>
            <w:shd w:val="clear" w:color="auto" w:fill="FFFFFF"/>
          </w:tcPr>
          <w:p w14:paraId="0689234F" w14:textId="77777777" w:rsidR="005F7F71" w:rsidRPr="00777F9A" w:rsidRDefault="005F7F71" w:rsidP="006F7DDA">
            <w:pPr>
              <w:pStyle w:val="CETBodytext"/>
              <w:ind w:right="-1"/>
            </w:pPr>
            <w:r w:rsidRPr="00777F9A">
              <w:t>6</w:t>
            </w:r>
          </w:p>
        </w:tc>
        <w:tc>
          <w:tcPr>
            <w:tcW w:w="851" w:type="dxa"/>
            <w:shd w:val="clear" w:color="auto" w:fill="FFFFFF"/>
          </w:tcPr>
          <w:p w14:paraId="561C4658" w14:textId="77777777" w:rsidR="005F7F71" w:rsidRPr="00777F9A" w:rsidRDefault="005F7F71" w:rsidP="006F7DDA">
            <w:pPr>
              <w:pStyle w:val="CETBodytext"/>
              <w:ind w:right="-1"/>
            </w:pPr>
            <w:r w:rsidRPr="00777F9A">
              <w:t>35</w:t>
            </w:r>
          </w:p>
        </w:tc>
        <w:tc>
          <w:tcPr>
            <w:tcW w:w="1134" w:type="dxa"/>
            <w:shd w:val="clear" w:color="auto" w:fill="FFFFFF"/>
            <w:vAlign w:val="bottom"/>
          </w:tcPr>
          <w:p w14:paraId="15C38419" w14:textId="77777777" w:rsidR="005F7F71" w:rsidRPr="00777F9A" w:rsidRDefault="005F7F71" w:rsidP="006F7DDA">
            <w:pPr>
              <w:pStyle w:val="CETBodytext"/>
              <w:ind w:right="-1"/>
            </w:pPr>
            <w:r w:rsidRPr="00777F9A">
              <w:t>50</w:t>
            </w:r>
          </w:p>
        </w:tc>
        <w:tc>
          <w:tcPr>
            <w:tcW w:w="709" w:type="dxa"/>
            <w:shd w:val="clear" w:color="auto" w:fill="FFFFFF"/>
            <w:vAlign w:val="bottom"/>
          </w:tcPr>
          <w:p w14:paraId="08AF7CAA" w14:textId="77777777" w:rsidR="005F7F71" w:rsidRPr="00777F9A" w:rsidRDefault="005F7F71" w:rsidP="006F7DDA">
            <w:pPr>
              <w:pStyle w:val="CETBodytext"/>
              <w:ind w:right="-1"/>
            </w:pPr>
            <w:r w:rsidRPr="00777F9A">
              <w:t>0.5 C</w:t>
            </w:r>
          </w:p>
        </w:tc>
        <w:tc>
          <w:tcPr>
            <w:tcW w:w="567" w:type="dxa"/>
            <w:shd w:val="clear" w:color="auto" w:fill="FFFFFF"/>
            <w:vAlign w:val="bottom"/>
          </w:tcPr>
          <w:p w14:paraId="4F4E4778" w14:textId="77777777" w:rsidR="005F7F71" w:rsidRPr="00777F9A" w:rsidRDefault="005F7F71" w:rsidP="006F7DDA">
            <w:pPr>
              <w:pStyle w:val="CETBodytext"/>
              <w:ind w:right="-1"/>
            </w:pPr>
            <w:r w:rsidRPr="00777F9A">
              <w:t>1 C</w:t>
            </w:r>
          </w:p>
        </w:tc>
      </w:tr>
      <w:tr w:rsidR="005F7F71" w:rsidRPr="00777F9A" w14:paraId="3BA280AC" w14:textId="77777777" w:rsidTr="00743D4D">
        <w:tc>
          <w:tcPr>
            <w:tcW w:w="1134" w:type="dxa"/>
            <w:shd w:val="clear" w:color="auto" w:fill="FFFFFF"/>
          </w:tcPr>
          <w:p w14:paraId="6E82C04C" w14:textId="77777777" w:rsidR="005F7F71" w:rsidRPr="00777F9A" w:rsidRDefault="005F7F71" w:rsidP="006F7DDA">
            <w:pPr>
              <w:pStyle w:val="CETBodytext"/>
              <w:ind w:right="-1"/>
            </w:pPr>
            <w:r w:rsidRPr="00777F9A">
              <w:t>7</w:t>
            </w:r>
          </w:p>
        </w:tc>
        <w:tc>
          <w:tcPr>
            <w:tcW w:w="851" w:type="dxa"/>
            <w:shd w:val="clear" w:color="auto" w:fill="FFFFFF"/>
          </w:tcPr>
          <w:p w14:paraId="291804CB" w14:textId="77777777" w:rsidR="005F7F71" w:rsidRPr="00777F9A" w:rsidRDefault="005F7F71" w:rsidP="006F7DDA">
            <w:pPr>
              <w:pStyle w:val="CETBodytext"/>
              <w:ind w:right="-1"/>
            </w:pPr>
            <w:r w:rsidRPr="00777F9A">
              <w:t>45</w:t>
            </w:r>
          </w:p>
        </w:tc>
        <w:tc>
          <w:tcPr>
            <w:tcW w:w="1134" w:type="dxa"/>
            <w:shd w:val="clear" w:color="auto" w:fill="FFFFFF"/>
            <w:vAlign w:val="bottom"/>
          </w:tcPr>
          <w:p w14:paraId="197CA9DA" w14:textId="77777777" w:rsidR="005F7F71" w:rsidRPr="00777F9A" w:rsidRDefault="005F7F71" w:rsidP="006F7DDA">
            <w:pPr>
              <w:pStyle w:val="CETBodytext"/>
              <w:ind w:right="-1"/>
            </w:pPr>
            <w:r w:rsidRPr="00777F9A">
              <w:t>5</w:t>
            </w:r>
          </w:p>
        </w:tc>
        <w:tc>
          <w:tcPr>
            <w:tcW w:w="709" w:type="dxa"/>
            <w:shd w:val="clear" w:color="auto" w:fill="FFFFFF"/>
            <w:vAlign w:val="bottom"/>
          </w:tcPr>
          <w:p w14:paraId="5E8CDC52" w14:textId="2F6EADCD" w:rsidR="005F7F71" w:rsidRPr="00777F9A" w:rsidRDefault="0059356F" w:rsidP="006F7DDA">
            <w:pPr>
              <w:pStyle w:val="CETBodytext"/>
              <w:ind w:right="-1"/>
            </w:pPr>
            <w:r w:rsidRPr="00777F9A">
              <w:t>i</w:t>
            </w:r>
            <w:r w:rsidR="005F7F71" w:rsidRPr="00777F9A">
              <w:rPr>
                <w:vertAlign w:val="subscript"/>
              </w:rPr>
              <w:t>c</w:t>
            </w:r>
            <w:r w:rsidR="005F7F71" w:rsidRPr="00777F9A">
              <w:t>(t)</w:t>
            </w:r>
          </w:p>
        </w:tc>
        <w:tc>
          <w:tcPr>
            <w:tcW w:w="567" w:type="dxa"/>
            <w:shd w:val="clear" w:color="auto" w:fill="FFFFFF"/>
            <w:vAlign w:val="bottom"/>
          </w:tcPr>
          <w:p w14:paraId="5CED249B" w14:textId="77777777" w:rsidR="005F7F71" w:rsidRPr="00777F9A" w:rsidRDefault="005F7F71" w:rsidP="006F7DDA">
            <w:pPr>
              <w:pStyle w:val="CETBodytext"/>
              <w:ind w:right="-1"/>
            </w:pPr>
            <w:r w:rsidRPr="00777F9A">
              <w:t>1 C</w:t>
            </w:r>
          </w:p>
        </w:tc>
      </w:tr>
      <w:tr w:rsidR="005F7F71" w:rsidRPr="00777F9A" w14:paraId="4BD1D3CF" w14:textId="77777777" w:rsidTr="00743D4D">
        <w:tc>
          <w:tcPr>
            <w:tcW w:w="1134" w:type="dxa"/>
            <w:shd w:val="clear" w:color="auto" w:fill="FFFFFF"/>
          </w:tcPr>
          <w:p w14:paraId="642F0A84" w14:textId="77777777" w:rsidR="005F7F71" w:rsidRPr="00777F9A" w:rsidRDefault="005F7F71" w:rsidP="006F7DDA">
            <w:pPr>
              <w:pStyle w:val="CETBodytext"/>
              <w:ind w:right="-1"/>
            </w:pPr>
            <w:r w:rsidRPr="00777F9A">
              <w:t>8</w:t>
            </w:r>
          </w:p>
        </w:tc>
        <w:tc>
          <w:tcPr>
            <w:tcW w:w="851" w:type="dxa"/>
            <w:shd w:val="clear" w:color="auto" w:fill="FFFFFF"/>
          </w:tcPr>
          <w:p w14:paraId="7BB36774" w14:textId="77777777" w:rsidR="005F7F71" w:rsidRPr="00777F9A" w:rsidRDefault="005F7F71" w:rsidP="006F7DDA">
            <w:pPr>
              <w:pStyle w:val="CETBodytext"/>
              <w:ind w:right="-1"/>
            </w:pPr>
            <w:r w:rsidRPr="00777F9A">
              <w:t>45</w:t>
            </w:r>
          </w:p>
        </w:tc>
        <w:tc>
          <w:tcPr>
            <w:tcW w:w="1134" w:type="dxa"/>
            <w:shd w:val="clear" w:color="auto" w:fill="FFFFFF"/>
            <w:vAlign w:val="bottom"/>
          </w:tcPr>
          <w:p w14:paraId="2C94D6DC" w14:textId="77777777" w:rsidR="005F7F71" w:rsidRPr="00777F9A" w:rsidRDefault="005F7F71" w:rsidP="006F7DDA">
            <w:pPr>
              <w:pStyle w:val="CETBodytext"/>
              <w:ind w:right="-1"/>
            </w:pPr>
            <w:r w:rsidRPr="00777F9A">
              <w:t>30</w:t>
            </w:r>
          </w:p>
        </w:tc>
        <w:tc>
          <w:tcPr>
            <w:tcW w:w="709" w:type="dxa"/>
            <w:shd w:val="clear" w:color="auto" w:fill="FFFFFF"/>
            <w:vAlign w:val="bottom"/>
          </w:tcPr>
          <w:p w14:paraId="65038A5D" w14:textId="77777777" w:rsidR="005F7F71" w:rsidRPr="00777F9A" w:rsidRDefault="005F7F71" w:rsidP="006F7DDA">
            <w:pPr>
              <w:pStyle w:val="CETBodytext"/>
              <w:ind w:right="-1"/>
            </w:pPr>
            <w:r w:rsidRPr="00777F9A">
              <w:t>0.5 C</w:t>
            </w:r>
          </w:p>
        </w:tc>
        <w:tc>
          <w:tcPr>
            <w:tcW w:w="567" w:type="dxa"/>
            <w:shd w:val="clear" w:color="auto" w:fill="FFFFFF"/>
            <w:vAlign w:val="bottom"/>
          </w:tcPr>
          <w:p w14:paraId="53E006D2" w14:textId="750A3255" w:rsidR="005F7F71" w:rsidRPr="00777F9A" w:rsidRDefault="0059356F" w:rsidP="006F7DDA">
            <w:pPr>
              <w:pStyle w:val="CETBodytext"/>
              <w:ind w:right="-1"/>
            </w:pPr>
            <w:r w:rsidRPr="00777F9A">
              <w:t>i</w:t>
            </w:r>
            <w:r w:rsidR="005F7F71" w:rsidRPr="00777F9A">
              <w:rPr>
                <w:vertAlign w:val="subscript"/>
              </w:rPr>
              <w:t>d</w:t>
            </w:r>
            <w:r w:rsidR="005F7F71" w:rsidRPr="00777F9A">
              <w:t>(t)</w:t>
            </w:r>
          </w:p>
        </w:tc>
      </w:tr>
      <w:tr w:rsidR="005F7F71" w:rsidRPr="00777F9A" w14:paraId="66E6525F" w14:textId="77777777" w:rsidTr="00743D4D">
        <w:tc>
          <w:tcPr>
            <w:tcW w:w="1134" w:type="dxa"/>
            <w:shd w:val="clear" w:color="auto" w:fill="FFFFFF"/>
          </w:tcPr>
          <w:p w14:paraId="4BB78F54" w14:textId="77777777" w:rsidR="005F7F71" w:rsidRPr="00777F9A" w:rsidRDefault="005F7F71" w:rsidP="006F7DDA">
            <w:pPr>
              <w:pStyle w:val="CETBodytext"/>
              <w:ind w:right="-1"/>
            </w:pPr>
            <w:r w:rsidRPr="00777F9A">
              <w:t>9</w:t>
            </w:r>
          </w:p>
        </w:tc>
        <w:tc>
          <w:tcPr>
            <w:tcW w:w="851" w:type="dxa"/>
            <w:shd w:val="clear" w:color="auto" w:fill="FFFFFF"/>
          </w:tcPr>
          <w:p w14:paraId="5C026F44" w14:textId="77777777" w:rsidR="005F7F71" w:rsidRPr="00777F9A" w:rsidRDefault="005F7F71" w:rsidP="006F7DDA">
            <w:pPr>
              <w:pStyle w:val="CETBodytext"/>
              <w:ind w:right="-1"/>
            </w:pPr>
            <w:r w:rsidRPr="00777F9A">
              <w:t>45</w:t>
            </w:r>
          </w:p>
        </w:tc>
        <w:tc>
          <w:tcPr>
            <w:tcW w:w="1134" w:type="dxa"/>
            <w:shd w:val="clear" w:color="auto" w:fill="FFFFFF"/>
            <w:vAlign w:val="bottom"/>
          </w:tcPr>
          <w:p w14:paraId="6473772A" w14:textId="77777777" w:rsidR="005F7F71" w:rsidRPr="00777F9A" w:rsidRDefault="005F7F71" w:rsidP="006F7DDA">
            <w:pPr>
              <w:pStyle w:val="CETBodytext"/>
              <w:ind w:right="-1"/>
            </w:pPr>
            <w:r w:rsidRPr="00777F9A">
              <w:t>50</w:t>
            </w:r>
          </w:p>
        </w:tc>
        <w:tc>
          <w:tcPr>
            <w:tcW w:w="709" w:type="dxa"/>
            <w:shd w:val="clear" w:color="auto" w:fill="FFFFFF"/>
            <w:vAlign w:val="bottom"/>
          </w:tcPr>
          <w:p w14:paraId="3CAF82F0" w14:textId="77777777" w:rsidR="005F7F71" w:rsidRPr="00777F9A" w:rsidRDefault="005F7F71" w:rsidP="006F7DDA">
            <w:pPr>
              <w:pStyle w:val="CETBodytext"/>
              <w:ind w:right="-1"/>
            </w:pPr>
            <w:r w:rsidRPr="00777F9A">
              <w:t>1 C</w:t>
            </w:r>
          </w:p>
        </w:tc>
        <w:tc>
          <w:tcPr>
            <w:tcW w:w="567" w:type="dxa"/>
            <w:shd w:val="clear" w:color="auto" w:fill="FFFFFF"/>
            <w:vAlign w:val="bottom"/>
          </w:tcPr>
          <w:p w14:paraId="343F149E" w14:textId="77777777" w:rsidR="005F7F71" w:rsidRPr="00777F9A" w:rsidRDefault="005F7F71" w:rsidP="006F7DDA">
            <w:pPr>
              <w:pStyle w:val="CETBodytext"/>
              <w:ind w:right="-1"/>
            </w:pPr>
            <w:r w:rsidRPr="00777F9A">
              <w:t>0.5 C</w:t>
            </w:r>
          </w:p>
        </w:tc>
      </w:tr>
    </w:tbl>
    <w:p w14:paraId="7C65A950" w14:textId="13353463" w:rsidR="00971408" w:rsidRPr="00777F9A" w:rsidRDefault="00346478" w:rsidP="00346478">
      <w:pPr>
        <w:pStyle w:val="CETHeading1"/>
      </w:pPr>
      <w:r w:rsidRPr="00777F9A">
        <w:t>Results and discussion</w:t>
      </w:r>
    </w:p>
    <w:p w14:paraId="3693829D" w14:textId="2C31DC88" w:rsidR="0037435B" w:rsidRPr="00777F9A" w:rsidRDefault="004C64C4" w:rsidP="00600535">
      <w:pPr>
        <w:pStyle w:val="CETBodytext"/>
      </w:pPr>
      <w:r w:rsidRPr="00777F9A">
        <w:rPr>
          <w:lang w:val="en-GB"/>
        </w:rPr>
        <w:t>Table 2</w:t>
      </w:r>
      <w:r w:rsidR="003A5A61" w:rsidRPr="00777F9A">
        <w:t xml:space="preserve"> </w:t>
      </w:r>
      <w:r w:rsidR="00F555BB" w:rsidRPr="00777F9A">
        <w:t>reports</w:t>
      </w:r>
      <w:r w:rsidR="003A5A61" w:rsidRPr="00777F9A">
        <w:t xml:space="preserve"> the maximum temperature</w:t>
      </w:r>
      <w:r w:rsidR="00F555BB" w:rsidRPr="00777F9A">
        <w:t xml:space="preserve"> predicted by the model</w:t>
      </w:r>
      <w:r w:rsidR="008C2620" w:rsidRPr="00777F9A">
        <w:t xml:space="preserve">. </w:t>
      </w:r>
    </w:p>
    <w:p w14:paraId="744336C2" w14:textId="6B9D213F" w:rsidR="00346478" w:rsidRPr="00777F9A" w:rsidRDefault="0037435B" w:rsidP="0037435B">
      <w:pPr>
        <w:pStyle w:val="CETTabletitle"/>
      </w:pPr>
      <w:bookmarkStart w:id="2" w:name="_Ref196225314"/>
      <w:r w:rsidRPr="00777F9A">
        <w:t xml:space="preserve">Table </w:t>
      </w:r>
      <w:bookmarkEnd w:id="2"/>
      <w:r w:rsidR="00FA5563" w:rsidRPr="00777F9A">
        <w:t>2</w:t>
      </w:r>
      <w:r w:rsidRPr="00777F9A">
        <w:t xml:space="preserve">: </w:t>
      </w:r>
      <w:r w:rsidR="00F760E3" w:rsidRPr="00777F9A">
        <w:t xml:space="preserve">Maximum temperature of the </w:t>
      </w:r>
      <w:r w:rsidR="00464F0F" w:rsidRPr="00777F9A">
        <w:t>LiB pack</w:t>
      </w:r>
      <w:r w:rsidR="00F760E3" w:rsidRPr="00777F9A">
        <w:t xml:space="preserve"> </w:t>
      </w:r>
      <w:r w:rsidR="00464F0F" w:rsidRPr="00777F9A">
        <w:t xml:space="preserve">[° C] predicted by the model in the </w:t>
      </w:r>
      <w:r w:rsidR="00222A73" w:rsidRPr="00777F9A">
        <w:t>nine simulations of the Taguchi orthogonal array</w:t>
      </w:r>
      <w:r w:rsidRPr="00777F9A">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67"/>
        <w:gridCol w:w="567"/>
        <w:gridCol w:w="567"/>
        <w:gridCol w:w="567"/>
        <w:gridCol w:w="567"/>
        <w:gridCol w:w="567"/>
        <w:gridCol w:w="567"/>
        <w:gridCol w:w="567"/>
        <w:gridCol w:w="567"/>
      </w:tblGrid>
      <w:tr w:rsidR="00F91BE4" w:rsidRPr="00777F9A" w14:paraId="6FFCB3CA" w14:textId="446B5717" w:rsidTr="00E21EDF">
        <w:tc>
          <w:tcPr>
            <w:tcW w:w="567" w:type="dxa"/>
            <w:tcBorders>
              <w:top w:val="single" w:sz="12" w:space="0" w:color="008000"/>
              <w:bottom w:val="single" w:sz="6" w:space="0" w:color="008000"/>
            </w:tcBorders>
            <w:shd w:val="clear" w:color="auto" w:fill="FFFFFF"/>
          </w:tcPr>
          <w:p w14:paraId="5099ACB8" w14:textId="48534224" w:rsidR="00F91BE4" w:rsidRPr="00777F9A" w:rsidRDefault="00F91BE4" w:rsidP="00F91BE4">
            <w:pPr>
              <w:pStyle w:val="CETBodytext"/>
              <w:rPr>
                <w:lang w:val="en-GB"/>
              </w:rPr>
            </w:pPr>
            <w:r w:rsidRPr="00777F9A">
              <w:t>1</w:t>
            </w:r>
          </w:p>
        </w:tc>
        <w:tc>
          <w:tcPr>
            <w:tcW w:w="567" w:type="dxa"/>
            <w:tcBorders>
              <w:top w:val="single" w:sz="12" w:space="0" w:color="008000"/>
              <w:bottom w:val="single" w:sz="6" w:space="0" w:color="008000"/>
            </w:tcBorders>
            <w:shd w:val="clear" w:color="auto" w:fill="FFFFFF"/>
          </w:tcPr>
          <w:p w14:paraId="3283FEDD" w14:textId="2300F95C" w:rsidR="00F91BE4" w:rsidRPr="00777F9A" w:rsidRDefault="00F91BE4" w:rsidP="00F91BE4">
            <w:pPr>
              <w:pStyle w:val="CETBodytext"/>
              <w:rPr>
                <w:lang w:val="en-GB"/>
              </w:rPr>
            </w:pPr>
            <w:r w:rsidRPr="00777F9A">
              <w:t>2</w:t>
            </w:r>
          </w:p>
        </w:tc>
        <w:tc>
          <w:tcPr>
            <w:tcW w:w="567" w:type="dxa"/>
            <w:tcBorders>
              <w:top w:val="single" w:sz="12" w:space="0" w:color="008000"/>
              <w:bottom w:val="single" w:sz="6" w:space="0" w:color="008000"/>
            </w:tcBorders>
            <w:shd w:val="clear" w:color="auto" w:fill="FFFFFF"/>
            <w:vAlign w:val="bottom"/>
          </w:tcPr>
          <w:p w14:paraId="0CD52CF8" w14:textId="5DDD0A12" w:rsidR="00F91BE4" w:rsidRPr="00777F9A" w:rsidRDefault="00F91BE4" w:rsidP="00F91BE4">
            <w:pPr>
              <w:pStyle w:val="CETBodytext"/>
              <w:rPr>
                <w:lang w:val="en-GB"/>
              </w:rPr>
            </w:pPr>
            <w:r w:rsidRPr="00777F9A">
              <w:t>3</w:t>
            </w:r>
          </w:p>
        </w:tc>
        <w:tc>
          <w:tcPr>
            <w:tcW w:w="567" w:type="dxa"/>
            <w:tcBorders>
              <w:top w:val="single" w:sz="12" w:space="0" w:color="008000"/>
              <w:bottom w:val="single" w:sz="6" w:space="0" w:color="008000"/>
            </w:tcBorders>
            <w:shd w:val="clear" w:color="auto" w:fill="FFFFFF"/>
            <w:vAlign w:val="bottom"/>
          </w:tcPr>
          <w:p w14:paraId="692AE0E9" w14:textId="16D71828" w:rsidR="00F91BE4" w:rsidRPr="00777F9A" w:rsidRDefault="00F91BE4" w:rsidP="00F91BE4">
            <w:pPr>
              <w:pStyle w:val="CETBodytext"/>
              <w:ind w:right="-1"/>
              <w:rPr>
                <w:rFonts w:cs="Arial"/>
                <w:szCs w:val="18"/>
                <w:lang w:val="en-GB"/>
              </w:rPr>
            </w:pPr>
            <w:r w:rsidRPr="00777F9A">
              <w:t>4</w:t>
            </w:r>
          </w:p>
        </w:tc>
        <w:tc>
          <w:tcPr>
            <w:tcW w:w="567" w:type="dxa"/>
            <w:tcBorders>
              <w:top w:val="single" w:sz="12" w:space="0" w:color="008000"/>
              <w:bottom w:val="single" w:sz="6" w:space="0" w:color="008000"/>
            </w:tcBorders>
            <w:shd w:val="clear" w:color="auto" w:fill="FFFFFF"/>
            <w:vAlign w:val="bottom"/>
          </w:tcPr>
          <w:p w14:paraId="2D033B0A" w14:textId="5AE36023" w:rsidR="00F91BE4" w:rsidRPr="00777F9A" w:rsidRDefault="00F91BE4" w:rsidP="00F91BE4">
            <w:pPr>
              <w:pStyle w:val="CETBodytext"/>
              <w:ind w:right="-1"/>
              <w:rPr>
                <w:rFonts w:cs="Arial"/>
                <w:szCs w:val="18"/>
                <w:lang w:val="en-GB"/>
              </w:rPr>
            </w:pPr>
            <w:r w:rsidRPr="00777F9A">
              <w:t>5</w:t>
            </w:r>
          </w:p>
        </w:tc>
        <w:tc>
          <w:tcPr>
            <w:tcW w:w="567" w:type="dxa"/>
            <w:tcBorders>
              <w:top w:val="single" w:sz="12" w:space="0" w:color="008000"/>
              <w:bottom w:val="single" w:sz="6" w:space="0" w:color="008000"/>
            </w:tcBorders>
            <w:shd w:val="clear" w:color="auto" w:fill="FFFFFF"/>
          </w:tcPr>
          <w:p w14:paraId="4331BDA5" w14:textId="7F1D7E0B" w:rsidR="00F91BE4" w:rsidRPr="00777F9A" w:rsidRDefault="00F91BE4" w:rsidP="00F91BE4">
            <w:pPr>
              <w:pStyle w:val="CETBodytext"/>
              <w:ind w:right="-1"/>
              <w:rPr>
                <w:b/>
                <w:bCs/>
              </w:rPr>
            </w:pPr>
            <w:r w:rsidRPr="00777F9A">
              <w:t>6</w:t>
            </w:r>
          </w:p>
        </w:tc>
        <w:tc>
          <w:tcPr>
            <w:tcW w:w="567" w:type="dxa"/>
            <w:tcBorders>
              <w:top w:val="single" w:sz="12" w:space="0" w:color="008000"/>
              <w:bottom w:val="single" w:sz="6" w:space="0" w:color="008000"/>
            </w:tcBorders>
            <w:shd w:val="clear" w:color="auto" w:fill="FFFFFF"/>
          </w:tcPr>
          <w:p w14:paraId="23325EC4" w14:textId="29795712" w:rsidR="00F91BE4" w:rsidRPr="00777F9A" w:rsidRDefault="00F91BE4" w:rsidP="00F91BE4">
            <w:pPr>
              <w:pStyle w:val="CETBodytext"/>
              <w:ind w:right="-1"/>
              <w:rPr>
                <w:b/>
                <w:bCs/>
              </w:rPr>
            </w:pPr>
            <w:r w:rsidRPr="00777F9A">
              <w:t>7</w:t>
            </w:r>
          </w:p>
        </w:tc>
        <w:tc>
          <w:tcPr>
            <w:tcW w:w="567" w:type="dxa"/>
            <w:tcBorders>
              <w:top w:val="single" w:sz="12" w:space="0" w:color="008000"/>
              <w:bottom w:val="single" w:sz="6" w:space="0" w:color="008000"/>
            </w:tcBorders>
            <w:shd w:val="clear" w:color="auto" w:fill="FFFFFF"/>
          </w:tcPr>
          <w:p w14:paraId="12BC1A47" w14:textId="2F0E16BF" w:rsidR="00F91BE4" w:rsidRPr="00777F9A" w:rsidRDefault="00F91BE4" w:rsidP="00F91BE4">
            <w:pPr>
              <w:pStyle w:val="CETBodytext"/>
              <w:ind w:right="-1"/>
              <w:rPr>
                <w:b/>
                <w:bCs/>
              </w:rPr>
            </w:pPr>
            <w:r w:rsidRPr="00777F9A">
              <w:t>8</w:t>
            </w:r>
          </w:p>
        </w:tc>
        <w:tc>
          <w:tcPr>
            <w:tcW w:w="567" w:type="dxa"/>
            <w:tcBorders>
              <w:top w:val="single" w:sz="12" w:space="0" w:color="008000"/>
              <w:bottom w:val="single" w:sz="6" w:space="0" w:color="008000"/>
            </w:tcBorders>
            <w:shd w:val="clear" w:color="auto" w:fill="FFFFFF"/>
          </w:tcPr>
          <w:p w14:paraId="64F8F0C9" w14:textId="4A8B629F" w:rsidR="00F91BE4" w:rsidRPr="00777F9A" w:rsidRDefault="00F91BE4" w:rsidP="00F91BE4">
            <w:pPr>
              <w:pStyle w:val="CETBodytext"/>
              <w:ind w:right="-1"/>
              <w:rPr>
                <w:b/>
                <w:bCs/>
              </w:rPr>
            </w:pPr>
            <w:r w:rsidRPr="00777F9A">
              <w:t>9</w:t>
            </w:r>
          </w:p>
        </w:tc>
      </w:tr>
      <w:tr w:rsidR="00B24BB4" w:rsidRPr="00777F9A" w14:paraId="48B143F3" w14:textId="5006E988" w:rsidTr="00E21EDF">
        <w:tc>
          <w:tcPr>
            <w:tcW w:w="567" w:type="dxa"/>
            <w:shd w:val="clear" w:color="auto" w:fill="FFFFFF"/>
          </w:tcPr>
          <w:p w14:paraId="4C8A3F53" w14:textId="7C671D35" w:rsidR="00B24BB4" w:rsidRPr="00777F9A" w:rsidRDefault="00F91BE4" w:rsidP="00B47F0E">
            <w:pPr>
              <w:pStyle w:val="CETBodytext"/>
              <w:rPr>
                <w:lang w:val="en-GB"/>
              </w:rPr>
            </w:pPr>
            <w:r w:rsidRPr="00777F9A">
              <w:t>51.02</w:t>
            </w:r>
          </w:p>
        </w:tc>
        <w:tc>
          <w:tcPr>
            <w:tcW w:w="567" w:type="dxa"/>
            <w:shd w:val="clear" w:color="auto" w:fill="FFFFFF"/>
          </w:tcPr>
          <w:p w14:paraId="6EAC1F34" w14:textId="40994A21" w:rsidR="00B24BB4" w:rsidRPr="00777F9A" w:rsidRDefault="0077023E" w:rsidP="00B47F0E">
            <w:pPr>
              <w:pStyle w:val="CETBodytext"/>
              <w:rPr>
                <w:lang w:val="en-GB"/>
              </w:rPr>
            </w:pPr>
            <w:r w:rsidRPr="00777F9A">
              <w:t>42.50</w:t>
            </w:r>
          </w:p>
        </w:tc>
        <w:tc>
          <w:tcPr>
            <w:tcW w:w="567" w:type="dxa"/>
            <w:shd w:val="clear" w:color="auto" w:fill="FFFFFF"/>
            <w:vAlign w:val="bottom"/>
          </w:tcPr>
          <w:p w14:paraId="5C35F5BD" w14:textId="411FE9B9" w:rsidR="00B24BB4" w:rsidRPr="00777F9A" w:rsidRDefault="0077023E" w:rsidP="00B47F0E">
            <w:pPr>
              <w:pStyle w:val="CETBodytext"/>
              <w:rPr>
                <w:lang w:val="en-GB"/>
              </w:rPr>
            </w:pPr>
            <w:r w:rsidRPr="00777F9A">
              <w:t>39.88</w:t>
            </w:r>
          </w:p>
        </w:tc>
        <w:tc>
          <w:tcPr>
            <w:tcW w:w="567" w:type="dxa"/>
            <w:shd w:val="clear" w:color="auto" w:fill="FFFFFF"/>
            <w:vAlign w:val="bottom"/>
          </w:tcPr>
          <w:p w14:paraId="1D214A93" w14:textId="67B987E9" w:rsidR="00B24BB4" w:rsidRPr="00777F9A" w:rsidRDefault="0077023E" w:rsidP="00B47F0E">
            <w:pPr>
              <w:pStyle w:val="CETBodytext"/>
              <w:ind w:right="-1"/>
              <w:rPr>
                <w:rFonts w:cs="Arial"/>
                <w:szCs w:val="18"/>
                <w:lang w:val="en-GB"/>
              </w:rPr>
            </w:pPr>
            <w:r w:rsidRPr="00777F9A">
              <w:t>72.79</w:t>
            </w:r>
          </w:p>
        </w:tc>
        <w:tc>
          <w:tcPr>
            <w:tcW w:w="567" w:type="dxa"/>
            <w:shd w:val="clear" w:color="auto" w:fill="FFFFFF"/>
            <w:vAlign w:val="bottom"/>
          </w:tcPr>
          <w:p w14:paraId="2136A6FF" w14:textId="0E41B6DB" w:rsidR="00B24BB4" w:rsidRPr="00777F9A" w:rsidRDefault="0077023E" w:rsidP="00B47F0E">
            <w:pPr>
              <w:pStyle w:val="CETBodytext"/>
              <w:ind w:right="-1"/>
              <w:rPr>
                <w:rFonts w:cs="Arial"/>
                <w:szCs w:val="18"/>
                <w:lang w:val="en-GB"/>
              </w:rPr>
            </w:pPr>
            <w:r w:rsidRPr="00777F9A">
              <w:t>41.37</w:t>
            </w:r>
          </w:p>
        </w:tc>
        <w:tc>
          <w:tcPr>
            <w:tcW w:w="567" w:type="dxa"/>
            <w:shd w:val="clear" w:color="auto" w:fill="FFFFFF"/>
          </w:tcPr>
          <w:p w14:paraId="2E9BE5C4" w14:textId="25C684D0" w:rsidR="00B24BB4" w:rsidRPr="00777F9A" w:rsidRDefault="0077023E" w:rsidP="00B47F0E">
            <w:pPr>
              <w:pStyle w:val="CETBodytext"/>
              <w:ind w:right="-1"/>
            </w:pPr>
            <w:r w:rsidRPr="00777F9A">
              <w:t>45.63</w:t>
            </w:r>
          </w:p>
        </w:tc>
        <w:tc>
          <w:tcPr>
            <w:tcW w:w="567" w:type="dxa"/>
            <w:shd w:val="clear" w:color="auto" w:fill="FFFFFF"/>
          </w:tcPr>
          <w:p w14:paraId="11CB5739" w14:textId="43CD02E3" w:rsidR="00B24BB4" w:rsidRPr="00777F9A" w:rsidRDefault="001E33C6" w:rsidP="00B47F0E">
            <w:pPr>
              <w:pStyle w:val="CETBodytext"/>
              <w:ind w:right="-1"/>
            </w:pPr>
            <w:r w:rsidRPr="00777F9A">
              <w:t>78.35</w:t>
            </w:r>
          </w:p>
        </w:tc>
        <w:tc>
          <w:tcPr>
            <w:tcW w:w="567" w:type="dxa"/>
            <w:shd w:val="clear" w:color="auto" w:fill="FFFFFF"/>
          </w:tcPr>
          <w:p w14:paraId="1E85FB51" w14:textId="11500421" w:rsidR="00B24BB4" w:rsidRPr="00777F9A" w:rsidRDefault="001E33C6" w:rsidP="00B47F0E">
            <w:pPr>
              <w:pStyle w:val="CETBodytext"/>
              <w:ind w:right="-1"/>
            </w:pPr>
            <w:r w:rsidRPr="00777F9A">
              <w:t>52.54</w:t>
            </w:r>
          </w:p>
        </w:tc>
        <w:tc>
          <w:tcPr>
            <w:tcW w:w="567" w:type="dxa"/>
            <w:shd w:val="clear" w:color="auto" w:fill="FFFFFF"/>
          </w:tcPr>
          <w:p w14:paraId="3439DBC0" w14:textId="6F7A6711" w:rsidR="00B24BB4" w:rsidRPr="00777F9A" w:rsidRDefault="001E33C6" w:rsidP="00B47F0E">
            <w:pPr>
              <w:pStyle w:val="CETBodytext"/>
              <w:ind w:right="-1"/>
            </w:pPr>
            <w:r w:rsidRPr="00777F9A">
              <w:t>55.74</w:t>
            </w:r>
          </w:p>
        </w:tc>
      </w:tr>
    </w:tbl>
    <w:p w14:paraId="7D855D58" w14:textId="77777777" w:rsidR="00966682" w:rsidRPr="00777F9A" w:rsidRDefault="00966682" w:rsidP="00966682">
      <w:pPr>
        <w:pStyle w:val="CETBodytext"/>
      </w:pPr>
    </w:p>
    <w:p w14:paraId="643E736F" w14:textId="32E6B634" w:rsidR="00CC7F69" w:rsidRPr="00777F9A" w:rsidRDefault="00716D10" w:rsidP="00CC7F69">
      <w:pPr>
        <w:pStyle w:val="CETBodytext"/>
        <w:rPr>
          <w:lang w:val="en-GB"/>
        </w:rPr>
      </w:pPr>
      <w:r w:rsidRPr="00777F9A">
        <w:rPr>
          <w:lang w:val="en-GB"/>
        </w:rPr>
        <w:t>The s</w:t>
      </w:r>
      <w:r w:rsidR="00CC7F69" w:rsidRPr="00777F9A">
        <w:rPr>
          <w:lang w:val="en-GB"/>
        </w:rPr>
        <w:t xml:space="preserve">imulation results reveal that </w:t>
      </w:r>
      <w:r w:rsidR="00FE2B08" w:rsidRPr="00777F9A">
        <w:rPr>
          <w:lang w:val="en-GB"/>
        </w:rPr>
        <w:t>c</w:t>
      </w:r>
      <w:r w:rsidR="00CC7F69" w:rsidRPr="00777F9A">
        <w:rPr>
          <w:lang w:val="en-GB"/>
        </w:rPr>
        <w:t xml:space="preserve">ases 4 and 7 exceed the manufacturer’s safe temperature limits (–20 to 60 °C), reaching peak temperatures of </w:t>
      </w:r>
      <w:r w:rsidR="0049514B" w:rsidRPr="00777F9A">
        <w:rPr>
          <w:rFonts w:cs="Arial"/>
          <w:lang w:val="en-GB"/>
        </w:rPr>
        <w:t>~</w:t>
      </w:r>
      <w:r w:rsidR="00CC7F69" w:rsidRPr="00777F9A">
        <w:rPr>
          <w:lang w:val="en-GB"/>
        </w:rPr>
        <w:t xml:space="preserve">72.8 °C and 78.4 °C, respectively. </w:t>
      </w:r>
      <w:r w:rsidR="003A71FA" w:rsidRPr="00777F9A">
        <w:rPr>
          <w:lang w:val="en-GB"/>
        </w:rPr>
        <w:t xml:space="preserve">These scenarios are characterized by the minimum value of </w:t>
      </w:r>
      <w:r w:rsidR="003A71FA" w:rsidRPr="00777F9A">
        <w:rPr>
          <w:i/>
          <w:iCs/>
          <w:lang w:val="en-GB"/>
        </w:rPr>
        <w:t>h</w:t>
      </w:r>
      <w:r w:rsidR="003A71FA" w:rsidRPr="00777F9A">
        <w:rPr>
          <w:lang w:val="en-GB"/>
        </w:rPr>
        <w:t xml:space="preserve"> and intermediate or maximum value of </w:t>
      </w:r>
      <w:r w:rsidR="003A71FA" w:rsidRPr="00777F9A">
        <w:rPr>
          <w:i/>
          <w:iCs/>
          <w:lang w:val="en-GB"/>
        </w:rPr>
        <w:t>T</w:t>
      </w:r>
      <w:r w:rsidR="003A71FA" w:rsidRPr="00777F9A">
        <w:rPr>
          <w:i/>
          <w:iCs/>
          <w:vertAlign w:val="subscript"/>
          <w:lang w:val="en-GB"/>
        </w:rPr>
        <w:t>air</w:t>
      </w:r>
      <w:r w:rsidR="00060F77" w:rsidRPr="00777F9A">
        <w:rPr>
          <w:lang w:val="en-GB"/>
        </w:rPr>
        <w:t xml:space="preserve">, leading the battery to </w:t>
      </w:r>
      <w:r w:rsidR="008E3854" w:rsidRPr="00777F9A">
        <w:rPr>
          <w:lang w:val="en-GB"/>
        </w:rPr>
        <w:t>minimal levels of cooling and, thus, the highest therm</w:t>
      </w:r>
      <w:r w:rsidR="009952F2" w:rsidRPr="00777F9A">
        <w:rPr>
          <w:lang w:val="en-GB"/>
        </w:rPr>
        <w:t>a</w:t>
      </w:r>
      <w:r w:rsidR="008E3854" w:rsidRPr="00777F9A">
        <w:rPr>
          <w:lang w:val="en-GB"/>
        </w:rPr>
        <w:t>l stress</w:t>
      </w:r>
      <w:r w:rsidR="000457F6" w:rsidRPr="00777F9A">
        <w:rPr>
          <w:lang w:val="en-GB"/>
        </w:rPr>
        <w:t>es</w:t>
      </w:r>
      <w:r w:rsidR="008E3854" w:rsidRPr="00777F9A">
        <w:rPr>
          <w:lang w:val="en-GB"/>
        </w:rPr>
        <w:t xml:space="preserve">. </w:t>
      </w:r>
      <w:r w:rsidR="00CC7F69" w:rsidRPr="00777F9A">
        <w:rPr>
          <w:lang w:val="en-GB"/>
        </w:rPr>
        <w:t xml:space="preserve">By contrast, </w:t>
      </w:r>
      <w:r w:rsidR="00FE2B08" w:rsidRPr="00777F9A">
        <w:rPr>
          <w:lang w:val="en-GB"/>
        </w:rPr>
        <w:t>c</w:t>
      </w:r>
      <w:r w:rsidR="00CC7F69" w:rsidRPr="00777F9A">
        <w:rPr>
          <w:lang w:val="en-GB"/>
        </w:rPr>
        <w:t>ase</w:t>
      </w:r>
      <w:r w:rsidR="00422E94" w:rsidRPr="00777F9A">
        <w:rPr>
          <w:lang w:val="en-GB"/>
        </w:rPr>
        <w:t xml:space="preserve"> </w:t>
      </w:r>
      <w:r w:rsidR="00CC7F69" w:rsidRPr="00777F9A">
        <w:rPr>
          <w:lang w:val="en-GB"/>
        </w:rPr>
        <w:t>3 yield</w:t>
      </w:r>
      <w:r w:rsidR="00422E94" w:rsidRPr="00777F9A">
        <w:rPr>
          <w:lang w:val="en-GB"/>
        </w:rPr>
        <w:t>s</w:t>
      </w:r>
      <w:r w:rsidR="00CC7F69" w:rsidRPr="00777F9A">
        <w:rPr>
          <w:lang w:val="en-GB"/>
        </w:rPr>
        <w:t xml:space="preserve"> the lowest cell temperature</w:t>
      </w:r>
      <w:r w:rsidR="00961CFA" w:rsidRPr="00777F9A">
        <w:rPr>
          <w:lang w:val="en-GB"/>
        </w:rPr>
        <w:t>,</w:t>
      </w:r>
      <w:r w:rsidR="00CC7F69" w:rsidRPr="00777F9A">
        <w:rPr>
          <w:lang w:val="en-GB"/>
        </w:rPr>
        <w:t xml:space="preserve"> </w:t>
      </w:r>
      <w:r w:rsidR="00F97973" w:rsidRPr="00777F9A">
        <w:rPr>
          <w:lang w:val="en-GB"/>
        </w:rPr>
        <w:t>hence</w:t>
      </w:r>
      <w:r w:rsidR="00422E94" w:rsidRPr="00777F9A">
        <w:rPr>
          <w:lang w:val="en-GB"/>
        </w:rPr>
        <w:t xml:space="preserve"> </w:t>
      </w:r>
      <w:r w:rsidR="00CC7F69" w:rsidRPr="00777F9A">
        <w:rPr>
          <w:lang w:val="en-GB"/>
        </w:rPr>
        <w:t>represent</w:t>
      </w:r>
      <w:r w:rsidR="00456922" w:rsidRPr="00777F9A">
        <w:rPr>
          <w:lang w:val="en-GB"/>
        </w:rPr>
        <w:t>ing</w:t>
      </w:r>
      <w:r w:rsidR="00CC7F69" w:rsidRPr="00777F9A">
        <w:rPr>
          <w:lang w:val="en-GB"/>
        </w:rPr>
        <w:t xml:space="preserve"> the </w:t>
      </w:r>
      <w:r w:rsidR="00D333F7" w:rsidRPr="00777F9A">
        <w:rPr>
          <w:lang w:val="en-GB"/>
        </w:rPr>
        <w:t>optimal</w:t>
      </w:r>
      <w:r w:rsidR="00CC7F69" w:rsidRPr="00777F9A">
        <w:rPr>
          <w:lang w:val="en-GB"/>
        </w:rPr>
        <w:t xml:space="preserve"> condition for thermal safety</w:t>
      </w:r>
      <w:r w:rsidR="00CC3ADC" w:rsidRPr="00777F9A">
        <w:rPr>
          <w:lang w:val="en-GB"/>
        </w:rPr>
        <w:t xml:space="preserve"> and </w:t>
      </w:r>
      <w:r w:rsidR="004B566E" w:rsidRPr="00777F9A">
        <w:rPr>
          <w:lang w:val="en-GB"/>
        </w:rPr>
        <w:t>operati</w:t>
      </w:r>
      <w:r w:rsidR="00D333F7" w:rsidRPr="00777F9A">
        <w:rPr>
          <w:lang w:val="en-GB"/>
        </w:rPr>
        <w:t>ng performance</w:t>
      </w:r>
      <w:r w:rsidR="004B566E" w:rsidRPr="00777F9A">
        <w:rPr>
          <w:lang w:val="en-GB"/>
        </w:rPr>
        <w:t>. This resulted from</w:t>
      </w:r>
      <w:r w:rsidR="00961CFA" w:rsidRPr="00777F9A">
        <w:rPr>
          <w:lang w:val="en-GB"/>
        </w:rPr>
        <w:t xml:space="preserve"> </w:t>
      </w:r>
      <w:r w:rsidR="00507073" w:rsidRPr="00777F9A">
        <w:rPr>
          <w:lang w:val="en-GB"/>
        </w:rPr>
        <w:t>the most</w:t>
      </w:r>
      <w:r w:rsidR="00EB6C05" w:rsidRPr="00777F9A">
        <w:rPr>
          <w:lang w:val="en-GB"/>
        </w:rPr>
        <w:t xml:space="preserve"> </w:t>
      </w:r>
      <w:r w:rsidR="00EC531C" w:rsidRPr="00777F9A">
        <w:rPr>
          <w:lang w:val="en-GB"/>
        </w:rPr>
        <w:t>favourable working conditions of the</w:t>
      </w:r>
      <w:r w:rsidR="00456922" w:rsidRPr="00777F9A">
        <w:rPr>
          <w:lang w:val="en-GB"/>
        </w:rPr>
        <w:t xml:space="preserve"> cell</w:t>
      </w:r>
      <w:r w:rsidR="00EC531C" w:rsidRPr="00777F9A">
        <w:rPr>
          <w:lang w:val="en-GB"/>
        </w:rPr>
        <w:t>, i.e.,</w:t>
      </w:r>
      <w:r w:rsidR="005D4AE6" w:rsidRPr="00777F9A">
        <w:rPr>
          <w:lang w:val="en-GB"/>
        </w:rPr>
        <w:t xml:space="preserve"> </w:t>
      </w:r>
      <w:r w:rsidR="00B75372" w:rsidRPr="00777F9A">
        <w:rPr>
          <w:lang w:val="en-GB"/>
        </w:rPr>
        <w:t xml:space="preserve">the minimum level of </w:t>
      </w:r>
      <w:r w:rsidR="00B75372" w:rsidRPr="00777F9A">
        <w:rPr>
          <w:i/>
          <w:iCs/>
          <w:lang w:val="en-GB"/>
        </w:rPr>
        <w:t>T</w:t>
      </w:r>
      <w:r w:rsidR="00B75372" w:rsidRPr="00777F9A">
        <w:rPr>
          <w:i/>
          <w:iCs/>
          <w:vertAlign w:val="subscript"/>
          <w:lang w:val="en-GB"/>
        </w:rPr>
        <w:t>air</w:t>
      </w:r>
      <w:r w:rsidR="00B75372" w:rsidRPr="00777F9A">
        <w:rPr>
          <w:lang w:val="en-GB"/>
        </w:rPr>
        <w:t xml:space="preserve"> and </w:t>
      </w:r>
      <w:r w:rsidR="002104CC" w:rsidRPr="00777F9A">
        <w:rPr>
          <w:lang w:val="en-GB"/>
        </w:rPr>
        <w:t xml:space="preserve">the maximum level of </w:t>
      </w:r>
      <w:r w:rsidR="002104CC" w:rsidRPr="00777F9A">
        <w:rPr>
          <w:i/>
          <w:iCs/>
          <w:lang w:val="en-GB"/>
        </w:rPr>
        <w:t>h</w:t>
      </w:r>
      <w:r w:rsidR="00CC7F69" w:rsidRPr="00777F9A">
        <w:rPr>
          <w:lang w:val="en-GB"/>
        </w:rPr>
        <w:t>.</w:t>
      </w:r>
      <w:r w:rsidR="008F6243" w:rsidRPr="00777F9A">
        <w:rPr>
          <w:lang w:val="en-GB"/>
        </w:rPr>
        <w:t xml:space="preserve"> </w:t>
      </w:r>
      <w:r w:rsidR="005D4AE6" w:rsidRPr="00777F9A">
        <w:rPr>
          <w:lang w:val="en-GB"/>
        </w:rPr>
        <w:t>LiBs</w:t>
      </w:r>
      <w:r w:rsidR="00CC7F69" w:rsidRPr="00777F9A">
        <w:rPr>
          <w:lang w:val="en-GB"/>
        </w:rPr>
        <w:t xml:space="preserve"> typically perform optimally and age minimally within </w:t>
      </w:r>
      <w:r w:rsidR="00996DF8" w:rsidRPr="00777F9A">
        <w:rPr>
          <w:lang w:val="en-GB"/>
        </w:rPr>
        <w:t xml:space="preserve">a temperature range of </w:t>
      </w:r>
      <w:r w:rsidR="00CC7F69" w:rsidRPr="00777F9A">
        <w:rPr>
          <w:lang w:val="en-GB"/>
        </w:rPr>
        <w:t xml:space="preserve">20–45 °C. Outside this </w:t>
      </w:r>
      <w:r w:rsidR="00BF2EB5" w:rsidRPr="00777F9A">
        <w:rPr>
          <w:lang w:val="en-GB"/>
        </w:rPr>
        <w:t>range</w:t>
      </w:r>
      <w:r w:rsidR="00CC7F69" w:rsidRPr="00777F9A">
        <w:rPr>
          <w:lang w:val="en-GB"/>
        </w:rPr>
        <w:t xml:space="preserve"> (T &gt; 45 °C)—as in Cases 1, </w:t>
      </w:r>
      <w:r w:rsidR="00FE2B08" w:rsidRPr="00777F9A">
        <w:rPr>
          <w:lang w:val="en-GB"/>
        </w:rPr>
        <w:t xml:space="preserve">6, </w:t>
      </w:r>
      <w:r w:rsidR="00CC7F69" w:rsidRPr="00777F9A">
        <w:rPr>
          <w:lang w:val="en-GB"/>
        </w:rPr>
        <w:t>8, and 9</w:t>
      </w:r>
      <w:r w:rsidR="00E132BE" w:rsidRPr="00777F9A">
        <w:rPr>
          <w:lang w:val="en-GB"/>
        </w:rPr>
        <w:t xml:space="preserve">, in addition to </w:t>
      </w:r>
      <w:r w:rsidR="00FE2B08" w:rsidRPr="00777F9A">
        <w:rPr>
          <w:lang w:val="en-GB"/>
        </w:rPr>
        <w:t>c</w:t>
      </w:r>
      <w:r w:rsidR="00E132BE" w:rsidRPr="00777F9A">
        <w:rPr>
          <w:lang w:val="en-GB"/>
        </w:rPr>
        <w:t xml:space="preserve">ases </w:t>
      </w:r>
      <w:r w:rsidR="00FE2B08" w:rsidRPr="00777F9A">
        <w:rPr>
          <w:lang w:val="en-GB"/>
        </w:rPr>
        <w:t>4 and 7</w:t>
      </w:r>
      <w:r w:rsidR="00CC7F69" w:rsidRPr="00777F9A">
        <w:rPr>
          <w:lang w:val="en-GB"/>
        </w:rPr>
        <w:t xml:space="preserve">—the battery is subject to (i) elevated risks of thermal runaway and safety incidents, (ii) accelerated capacity fade, and (iii) increased self-discharge. Cases 2, </w:t>
      </w:r>
      <w:r w:rsidR="003D7372" w:rsidRPr="00777F9A">
        <w:rPr>
          <w:lang w:val="en-GB"/>
        </w:rPr>
        <w:t>3</w:t>
      </w:r>
      <w:r w:rsidR="00CC7F69" w:rsidRPr="00777F9A">
        <w:rPr>
          <w:lang w:val="en-GB"/>
        </w:rPr>
        <w:t xml:space="preserve">, and </w:t>
      </w:r>
      <w:r w:rsidR="003D7372" w:rsidRPr="00777F9A">
        <w:rPr>
          <w:lang w:val="en-GB"/>
        </w:rPr>
        <w:t>5</w:t>
      </w:r>
      <w:r w:rsidR="00CC7F69" w:rsidRPr="00777F9A">
        <w:rPr>
          <w:lang w:val="en-GB"/>
        </w:rPr>
        <w:t xml:space="preserve"> maintain cell temperatures below 45 °C and are therefore acceptable for </w:t>
      </w:r>
      <w:r w:rsidR="00A31CA7" w:rsidRPr="00777F9A">
        <w:rPr>
          <w:lang w:val="en-GB"/>
        </w:rPr>
        <w:t xml:space="preserve">the </w:t>
      </w:r>
      <w:r w:rsidR="003241E6" w:rsidRPr="00777F9A">
        <w:rPr>
          <w:lang w:val="en-GB"/>
        </w:rPr>
        <w:t xml:space="preserve">short time </w:t>
      </w:r>
      <w:r w:rsidR="00F502BA" w:rsidRPr="00777F9A">
        <w:rPr>
          <w:lang w:val="en-GB"/>
        </w:rPr>
        <w:t xml:space="preserve">simulated </w:t>
      </w:r>
      <w:r w:rsidR="003241E6" w:rsidRPr="00777F9A">
        <w:rPr>
          <w:lang w:val="en-GB"/>
        </w:rPr>
        <w:t>(100 h)</w:t>
      </w:r>
      <w:r w:rsidR="00CC7F69" w:rsidRPr="00777F9A">
        <w:rPr>
          <w:lang w:val="en-GB"/>
        </w:rPr>
        <w:t xml:space="preserve">. However, for extended operation, these scenarios </w:t>
      </w:r>
      <w:r w:rsidR="00991A01" w:rsidRPr="00777F9A">
        <w:rPr>
          <w:lang w:val="en-GB"/>
        </w:rPr>
        <w:t>could</w:t>
      </w:r>
      <w:r w:rsidR="00314419" w:rsidRPr="00777F9A">
        <w:rPr>
          <w:lang w:val="en-GB"/>
        </w:rPr>
        <w:t xml:space="preserve"> reach higher cell temperatures</w:t>
      </w:r>
      <w:r w:rsidR="00D34BF1" w:rsidRPr="00777F9A">
        <w:rPr>
          <w:lang w:val="en-GB"/>
        </w:rPr>
        <w:t xml:space="preserve">. In this case, the battery pack </w:t>
      </w:r>
      <w:r w:rsidR="00CC7F69" w:rsidRPr="00777F9A">
        <w:rPr>
          <w:lang w:val="en-GB"/>
        </w:rPr>
        <w:t xml:space="preserve">would benefit from active thermal management to </w:t>
      </w:r>
      <w:r w:rsidR="008A25AD" w:rsidRPr="00777F9A">
        <w:rPr>
          <w:lang w:val="en-GB"/>
        </w:rPr>
        <w:t xml:space="preserve">ensure </w:t>
      </w:r>
      <w:r w:rsidR="004B4F23" w:rsidRPr="00777F9A">
        <w:rPr>
          <w:lang w:val="en-GB"/>
        </w:rPr>
        <w:t>operations within the optimal range</w:t>
      </w:r>
      <w:r w:rsidR="00CC7F69" w:rsidRPr="00777F9A">
        <w:rPr>
          <w:lang w:val="en-GB"/>
        </w:rPr>
        <w:t>.</w:t>
      </w:r>
      <w:r w:rsidR="004B4F23" w:rsidRPr="00777F9A">
        <w:rPr>
          <w:lang w:val="en-GB"/>
        </w:rPr>
        <w:t xml:space="preserve"> </w:t>
      </w:r>
    </w:p>
    <w:p w14:paraId="04D524EA" w14:textId="19C541A8" w:rsidR="00FD61DF" w:rsidRPr="00777F9A" w:rsidRDefault="005334B0" w:rsidP="00FD61DF">
      <w:pPr>
        <w:pStyle w:val="CETBodytext"/>
      </w:pPr>
      <w:r w:rsidRPr="00777F9A">
        <w:fldChar w:fldCharType="begin"/>
      </w:r>
      <w:r w:rsidRPr="00777F9A">
        <w:instrText xml:space="preserve"> REF _Ref196226940 \h </w:instrText>
      </w:r>
      <w:r w:rsidR="003A5A61" w:rsidRPr="00777F9A">
        <w:instrText xml:space="preserve"> \* MERGEFORMAT </w:instrText>
      </w:r>
      <w:r w:rsidRPr="00777F9A">
        <w:fldChar w:fldCharType="separate"/>
      </w:r>
      <w:r w:rsidR="00CB14E7" w:rsidRPr="00777F9A">
        <w:t>Figure 2</w:t>
      </w:r>
      <w:r w:rsidRPr="00777F9A">
        <w:fldChar w:fldCharType="end"/>
      </w:r>
      <w:r w:rsidR="00E316CC" w:rsidRPr="00777F9A">
        <w:t xml:space="preserve"> shows the S/N ratio for the maximum temperature (</w:t>
      </w:r>
      <w:r w:rsidR="004A2D45" w:rsidRPr="00777F9A">
        <w:t>t</w:t>
      </w:r>
      <w:r w:rsidR="00731D9B" w:rsidRPr="00777F9A">
        <w:t xml:space="preserve">he </w:t>
      </w:r>
      <w:r w:rsidR="00E316CC" w:rsidRPr="00777F9A">
        <w:t>lower the be</w:t>
      </w:r>
      <w:r w:rsidR="00731D9B" w:rsidRPr="00777F9A">
        <w:t>tter</w:t>
      </w:r>
      <w:r w:rsidR="00E316CC" w:rsidRPr="00777F9A">
        <w:t>)</w:t>
      </w:r>
      <w:r w:rsidR="006105E5" w:rsidRPr="00777F9A">
        <w:t>.</w:t>
      </w:r>
      <w:r w:rsidR="00AD34B0" w:rsidRPr="00777F9A">
        <w:t xml:space="preserve"> S/N decreases from </w:t>
      </w:r>
      <w:r w:rsidR="00CD3A06" w:rsidRPr="00777F9A">
        <w:rPr>
          <w:lang w:val="en-GB"/>
        </w:rPr>
        <w:t>–</w:t>
      </w:r>
      <w:r w:rsidR="00AD34B0" w:rsidRPr="00777F9A">
        <w:t xml:space="preserve">32.92 dB to </w:t>
      </w:r>
      <w:r w:rsidR="00CD3A06" w:rsidRPr="00777F9A">
        <w:rPr>
          <w:lang w:val="en-GB"/>
        </w:rPr>
        <w:t>–</w:t>
      </w:r>
      <w:r w:rsidR="00AD34B0" w:rsidRPr="00777F9A">
        <w:t>35.74 dB when the T</w:t>
      </w:r>
      <w:r w:rsidR="00AD34B0" w:rsidRPr="00777F9A">
        <w:rPr>
          <w:vertAlign w:val="subscript"/>
        </w:rPr>
        <w:t>air</w:t>
      </w:r>
      <w:r w:rsidR="00AD34B0" w:rsidRPr="00777F9A">
        <w:t xml:space="preserve"> level goes from 1 to 3. Since higher </w:t>
      </w:r>
      <w:r w:rsidR="00AD34B0" w:rsidRPr="00777F9A">
        <w:rPr>
          <w:i/>
          <w:iCs/>
        </w:rPr>
        <w:t>T</w:t>
      </w:r>
      <w:r w:rsidR="00AD34B0" w:rsidRPr="00777F9A">
        <w:rPr>
          <w:i/>
          <w:iCs/>
          <w:vertAlign w:val="subscript"/>
        </w:rPr>
        <w:t>air</w:t>
      </w:r>
      <w:r w:rsidR="00AD34B0" w:rsidRPr="00777F9A">
        <w:t xml:space="preserve"> levels correspond to a lower S/N ratio, T</w:t>
      </w:r>
      <w:r w:rsidR="00AD34B0" w:rsidRPr="00777F9A">
        <w:rPr>
          <w:vertAlign w:val="subscript"/>
        </w:rPr>
        <w:t xml:space="preserve">air </w:t>
      </w:r>
      <w:r w:rsidR="00AD34B0" w:rsidRPr="00777F9A">
        <w:t xml:space="preserve">has a potential negative impact on signal quality. With </w:t>
      </w:r>
      <w:r w:rsidR="00AD34B0" w:rsidRPr="00777F9A">
        <w:rPr>
          <w:i/>
          <w:iCs/>
        </w:rPr>
        <w:t>h</w:t>
      </w:r>
      <w:r w:rsidR="00AD34B0" w:rsidRPr="00777F9A">
        <w:t xml:space="preserve"> variation, the S/N sharply increases from </w:t>
      </w:r>
      <w:r w:rsidR="00AB4659" w:rsidRPr="00777F9A">
        <w:rPr>
          <w:lang w:val="en-GB"/>
        </w:rPr>
        <w:t>–</w:t>
      </w:r>
      <w:r w:rsidR="00AD34B0" w:rsidRPr="00777F9A">
        <w:t xml:space="preserve">36.43 dB at level 1 to </w:t>
      </w:r>
      <w:r w:rsidR="00AB4659" w:rsidRPr="00777F9A">
        <w:rPr>
          <w:lang w:val="en-GB"/>
        </w:rPr>
        <w:t>–</w:t>
      </w:r>
      <w:r w:rsidR="00AD34B0" w:rsidRPr="00777F9A">
        <w:t xml:space="preserve">33.10 dB at level 2, and then remains almost stable until level 3, suggesting that </w:t>
      </w:r>
      <w:r w:rsidR="00AD34B0" w:rsidRPr="00777F9A">
        <w:rPr>
          <w:i/>
          <w:iCs/>
        </w:rPr>
        <w:t>h</w:t>
      </w:r>
      <w:r w:rsidR="00AD34B0" w:rsidRPr="00777F9A">
        <w:t xml:space="preserve"> initially leads to S/N improvement</w:t>
      </w:r>
      <w:r w:rsidR="002E46D3" w:rsidRPr="00777F9A">
        <w:t>,</w:t>
      </w:r>
      <w:r w:rsidR="00AD34B0" w:rsidRPr="00777F9A">
        <w:t xml:space="preserve"> but further increases do not have a positive additional effect. </w:t>
      </w:r>
      <w:proofErr w:type="spellStart"/>
      <w:r w:rsidR="00AD34B0" w:rsidRPr="00777F9A">
        <w:rPr>
          <w:i/>
          <w:iCs/>
        </w:rPr>
        <w:t>I</w:t>
      </w:r>
      <w:r w:rsidR="00AD34B0" w:rsidRPr="00777F9A">
        <w:rPr>
          <w:i/>
          <w:iCs/>
          <w:vertAlign w:val="subscript"/>
        </w:rPr>
        <w:t>c</w:t>
      </w:r>
      <w:proofErr w:type="spellEnd"/>
      <w:r w:rsidR="00AD34B0" w:rsidRPr="00777F9A">
        <w:t xml:space="preserve"> has a non-monotonic effect on S/N, which initially decreases from </w:t>
      </w:r>
      <w:r w:rsidR="00C340B0" w:rsidRPr="00777F9A">
        <w:rPr>
          <w:lang w:val="en-GB"/>
        </w:rPr>
        <w:t>–</w:t>
      </w:r>
      <w:r w:rsidR="00AD34B0" w:rsidRPr="00777F9A">
        <w:t xml:space="preserve">33.91 dB </w:t>
      </w:r>
      <w:r w:rsidR="00287253" w:rsidRPr="00777F9A">
        <w:t xml:space="preserve">(level 1) </w:t>
      </w:r>
      <w:r w:rsidR="00AD34B0" w:rsidRPr="00777F9A">
        <w:t xml:space="preserve">to </w:t>
      </w:r>
      <w:r w:rsidR="00C340B0" w:rsidRPr="00777F9A">
        <w:rPr>
          <w:lang w:val="en-GB"/>
        </w:rPr>
        <w:t>–</w:t>
      </w:r>
      <w:r w:rsidR="00AD34B0" w:rsidRPr="00777F9A">
        <w:t>34.9 dB</w:t>
      </w:r>
      <w:r w:rsidR="00287253" w:rsidRPr="00777F9A">
        <w:t xml:space="preserve"> (level 2)</w:t>
      </w:r>
      <w:r w:rsidR="00AD34B0" w:rsidRPr="00777F9A">
        <w:t xml:space="preserve">, then increases to </w:t>
      </w:r>
      <w:r w:rsidR="00FF7C91" w:rsidRPr="00777F9A">
        <w:rPr>
          <w:lang w:val="en-GB"/>
        </w:rPr>
        <w:t>–</w:t>
      </w:r>
      <w:r w:rsidR="00AD34B0" w:rsidRPr="00777F9A">
        <w:t xml:space="preserve">34.08 dB </w:t>
      </w:r>
      <w:r w:rsidR="00287253" w:rsidRPr="00777F9A">
        <w:t>(level 3)</w:t>
      </w:r>
      <w:r w:rsidR="00AD34B0" w:rsidRPr="00777F9A">
        <w:t xml:space="preserve">. </w:t>
      </w:r>
      <w:r w:rsidR="00AD34B0" w:rsidRPr="00777F9A">
        <w:rPr>
          <w:i/>
          <w:iCs/>
        </w:rPr>
        <w:t>I</w:t>
      </w:r>
      <w:r w:rsidR="00AD34B0" w:rsidRPr="00777F9A">
        <w:rPr>
          <w:i/>
          <w:iCs/>
          <w:vertAlign w:val="subscript"/>
        </w:rPr>
        <w:t>d</w:t>
      </w:r>
      <w:r w:rsidR="00AD34B0" w:rsidRPr="00777F9A">
        <w:t xml:space="preserve"> has a </w:t>
      </w:r>
      <w:proofErr w:type="spellStart"/>
      <w:r w:rsidR="00AD34B0" w:rsidRPr="00777F9A">
        <w:t>behaviour</w:t>
      </w:r>
      <w:proofErr w:type="spellEnd"/>
      <w:r w:rsidR="00AD34B0" w:rsidRPr="00777F9A">
        <w:t xml:space="preserve"> quite specular to </w:t>
      </w:r>
      <w:r w:rsidR="00AD34B0" w:rsidRPr="00777F9A">
        <w:rPr>
          <w:i/>
          <w:iCs/>
        </w:rPr>
        <w:t>h</w:t>
      </w:r>
      <w:r w:rsidR="00AD34B0" w:rsidRPr="00777F9A">
        <w:t xml:space="preserve">, </w:t>
      </w:r>
      <w:r w:rsidR="00963F9E" w:rsidRPr="00777F9A">
        <w:t xml:space="preserve">though with </w:t>
      </w:r>
      <w:r w:rsidR="00386E29" w:rsidRPr="00777F9A">
        <w:t xml:space="preserve">milder </w:t>
      </w:r>
      <w:r w:rsidR="00963F9E" w:rsidRPr="00777F9A">
        <w:t>variations</w:t>
      </w:r>
      <w:r w:rsidR="00386E29" w:rsidRPr="00777F9A">
        <w:t xml:space="preserve">, </w:t>
      </w:r>
      <w:r w:rsidR="00AD34B0" w:rsidRPr="00777F9A">
        <w:t xml:space="preserve">with the S/N ratio that sharply </w:t>
      </w:r>
      <w:r w:rsidR="00AD34B0" w:rsidRPr="00777F9A">
        <w:lastRenderedPageBreak/>
        <w:t xml:space="preserve">decreases from </w:t>
      </w:r>
      <w:r w:rsidR="00386E29" w:rsidRPr="00777F9A">
        <w:rPr>
          <w:lang w:val="en-GB"/>
        </w:rPr>
        <w:t>–</w:t>
      </w:r>
      <w:r w:rsidR="00AD34B0" w:rsidRPr="00777F9A">
        <w:t xml:space="preserve">33.80 dB to </w:t>
      </w:r>
      <w:r w:rsidR="00386E29" w:rsidRPr="00777F9A">
        <w:rPr>
          <w:lang w:val="en-GB"/>
        </w:rPr>
        <w:t>–</w:t>
      </w:r>
      <w:r w:rsidR="00AD34B0" w:rsidRPr="00777F9A">
        <w:t>34.54 dB</w:t>
      </w:r>
      <w:r w:rsidR="006A3648" w:rsidRPr="00777F9A">
        <w:t xml:space="preserve"> when passing</w:t>
      </w:r>
      <w:r w:rsidR="00AD34B0" w:rsidRPr="00777F9A">
        <w:t xml:space="preserve"> from level 1 to level 2, then decreases to </w:t>
      </w:r>
      <w:r w:rsidR="00287253" w:rsidRPr="00777F9A">
        <w:rPr>
          <w:lang w:val="en-GB"/>
        </w:rPr>
        <w:t>–</w:t>
      </w:r>
      <w:r w:rsidR="00AD34B0" w:rsidRPr="00777F9A">
        <w:t>34.55 dB at level 3.</w:t>
      </w:r>
      <w:r w:rsidR="00971CA2" w:rsidRPr="00777F9A">
        <w:t xml:space="preserve"> </w:t>
      </w:r>
      <w:r w:rsidR="00FD61DF" w:rsidRPr="00777F9A">
        <w:t xml:space="preserve">Overall, </w:t>
      </w:r>
      <w:r w:rsidR="00FD61DF" w:rsidRPr="00777F9A">
        <w:rPr>
          <w:i/>
          <w:iCs/>
        </w:rPr>
        <w:t>T</w:t>
      </w:r>
      <w:r w:rsidR="00FD61DF" w:rsidRPr="00777F9A">
        <w:rPr>
          <w:i/>
          <w:iCs/>
          <w:vertAlign w:val="subscript"/>
        </w:rPr>
        <w:t>air</w:t>
      </w:r>
      <w:r w:rsidR="00FD61DF" w:rsidRPr="00777F9A">
        <w:t xml:space="preserve"> </w:t>
      </w:r>
      <w:r w:rsidR="003725EA" w:rsidRPr="00777F9A">
        <w:t xml:space="preserve">has the largest performance consistency and can be </w:t>
      </w:r>
      <w:r w:rsidR="00806D17" w:rsidRPr="00777F9A">
        <w:t>identified as</w:t>
      </w:r>
      <w:r w:rsidR="00FD61DF" w:rsidRPr="00777F9A">
        <w:t xml:space="preserve"> </w:t>
      </w:r>
      <w:r w:rsidR="00806D17" w:rsidRPr="00777F9A">
        <w:t xml:space="preserve">the </w:t>
      </w:r>
      <w:r w:rsidR="00FD61DF" w:rsidRPr="00777F9A">
        <w:t xml:space="preserve">most influential </w:t>
      </w:r>
      <w:r w:rsidR="00971CA2" w:rsidRPr="00777F9A">
        <w:t>factor (t</w:t>
      </w:r>
      <w:r w:rsidR="00971CA2" w:rsidRPr="00777F9A">
        <w:rPr>
          <w:lang w:val="en-GB"/>
        </w:rPr>
        <w:t>he S/N drops of 3 dB</w:t>
      </w:r>
      <w:r w:rsidR="00971CA2" w:rsidRPr="00777F9A">
        <w:t>)</w:t>
      </w:r>
      <w:r w:rsidR="00FD16AC" w:rsidRPr="00777F9A">
        <w:t>,</w:t>
      </w:r>
      <w:r w:rsidR="00971CA2" w:rsidRPr="00777F9A">
        <w:t xml:space="preserve"> and</w:t>
      </w:r>
      <w:r w:rsidR="00FD61DF" w:rsidRPr="00777F9A">
        <w:t xml:space="preserve"> </w:t>
      </w:r>
      <w:r w:rsidR="00971CA2" w:rsidRPr="00777F9A">
        <w:rPr>
          <w:i/>
          <w:iCs/>
        </w:rPr>
        <w:t>h</w:t>
      </w:r>
      <w:r w:rsidR="00971CA2" w:rsidRPr="00777F9A">
        <w:t xml:space="preserve"> </w:t>
      </w:r>
      <w:r w:rsidR="00601116" w:rsidRPr="00777F9A">
        <w:t>has a</w:t>
      </w:r>
      <w:r w:rsidR="00D72DF6" w:rsidRPr="00777F9A">
        <w:t xml:space="preserve"> similar impact on robustness</w:t>
      </w:r>
      <w:r w:rsidR="007429DA" w:rsidRPr="00777F9A">
        <w:t xml:space="preserve">, but </w:t>
      </w:r>
      <w:r w:rsidR="00AF4B2A" w:rsidRPr="00777F9A">
        <w:t>the sensitivity of S/N to this factor is almost</w:t>
      </w:r>
      <w:r w:rsidR="00917CF5" w:rsidRPr="00777F9A">
        <w:t xml:space="preserve"> entirely concentrated between level 1 and level 2.</w:t>
      </w:r>
      <w:r w:rsidR="00B573A5" w:rsidRPr="00777F9A">
        <w:t xml:space="preserve"> </w:t>
      </w:r>
      <w:r w:rsidR="00917CF5" w:rsidRPr="00777F9A">
        <w:t>The other two factors, i.e.,</w:t>
      </w:r>
      <w:r w:rsidR="00971CA2" w:rsidRPr="00777F9A">
        <w:t xml:space="preserve"> </w:t>
      </w:r>
      <w:proofErr w:type="spellStart"/>
      <w:r w:rsidR="00971CA2" w:rsidRPr="00777F9A">
        <w:rPr>
          <w:i/>
          <w:iCs/>
        </w:rPr>
        <w:t>i</w:t>
      </w:r>
      <w:r w:rsidR="00971CA2" w:rsidRPr="00777F9A">
        <w:rPr>
          <w:i/>
          <w:iCs/>
          <w:vertAlign w:val="subscript"/>
        </w:rPr>
        <w:t>c</w:t>
      </w:r>
      <w:proofErr w:type="spellEnd"/>
      <w:r w:rsidR="00971CA2" w:rsidRPr="00777F9A">
        <w:t xml:space="preserve"> and </w:t>
      </w:r>
      <w:r w:rsidR="00971CA2" w:rsidRPr="00777F9A">
        <w:rPr>
          <w:i/>
          <w:iCs/>
        </w:rPr>
        <w:t>i</w:t>
      </w:r>
      <w:r w:rsidR="00971CA2" w:rsidRPr="00777F9A">
        <w:rPr>
          <w:i/>
          <w:iCs/>
          <w:vertAlign w:val="subscript"/>
        </w:rPr>
        <w:t>d</w:t>
      </w:r>
      <w:r w:rsidR="00F12873" w:rsidRPr="00777F9A">
        <w:t xml:space="preserve">, </w:t>
      </w:r>
      <w:r w:rsidR="00971CA2" w:rsidRPr="00777F9A">
        <w:t xml:space="preserve">have </w:t>
      </w:r>
      <w:r w:rsidR="00B47F39" w:rsidRPr="00777F9A">
        <w:t>a w</w:t>
      </w:r>
      <w:r w:rsidR="00EA2652" w:rsidRPr="00777F9A">
        <w:t xml:space="preserve">eaker overall effect </w:t>
      </w:r>
      <w:r w:rsidR="00971CA2" w:rsidRPr="00777F9A">
        <w:t>(</w:t>
      </w:r>
      <w:r w:rsidR="00971CA2" w:rsidRPr="00777F9A">
        <w:rPr>
          <w:lang w:val="en-GB"/>
        </w:rPr>
        <w:t>S/N total span of 1 dB</w:t>
      </w:r>
      <w:r w:rsidR="00971CA2" w:rsidRPr="00777F9A">
        <w:t>)</w:t>
      </w:r>
      <w:r w:rsidR="00EA2652" w:rsidRPr="00777F9A">
        <w:t xml:space="preserve"> and </w:t>
      </w:r>
      <w:r w:rsidR="00F12873" w:rsidRPr="00777F9A">
        <w:t>poor</w:t>
      </w:r>
      <w:r w:rsidR="0008673E" w:rsidRPr="00777F9A">
        <w:t xml:space="preserve"> response consistency</w:t>
      </w:r>
      <w:r w:rsidR="00FD61DF" w:rsidRPr="00777F9A">
        <w:t>.</w:t>
      </w:r>
      <w:r w:rsidR="0008673E" w:rsidRPr="00777F9A">
        <w:t xml:space="preserve"> From the S/N results, the optimal setting</w:t>
      </w:r>
      <w:r w:rsidR="00A77DEE" w:rsidRPr="00777F9A">
        <w:t xml:space="preserve">s of </w:t>
      </w:r>
      <w:r w:rsidR="00A77DEE" w:rsidRPr="00777F9A">
        <w:rPr>
          <w:i/>
          <w:iCs/>
        </w:rPr>
        <w:t>T</w:t>
      </w:r>
      <w:r w:rsidR="00A77DEE" w:rsidRPr="00777F9A">
        <w:rPr>
          <w:i/>
          <w:iCs/>
          <w:vertAlign w:val="subscript"/>
        </w:rPr>
        <w:t>air</w:t>
      </w:r>
      <w:r w:rsidR="00A77DEE" w:rsidRPr="00777F9A">
        <w:t xml:space="preserve">, </w:t>
      </w:r>
      <w:r w:rsidR="00A77DEE" w:rsidRPr="00777F9A">
        <w:rPr>
          <w:i/>
          <w:iCs/>
        </w:rPr>
        <w:t>h</w:t>
      </w:r>
      <w:r w:rsidR="00A77DEE" w:rsidRPr="00777F9A">
        <w:t xml:space="preserve">, </w:t>
      </w:r>
      <w:proofErr w:type="spellStart"/>
      <w:r w:rsidR="00A77DEE" w:rsidRPr="00777F9A">
        <w:rPr>
          <w:i/>
          <w:iCs/>
        </w:rPr>
        <w:t>i</w:t>
      </w:r>
      <w:r w:rsidR="00A77DEE" w:rsidRPr="00777F9A">
        <w:rPr>
          <w:i/>
          <w:iCs/>
          <w:vertAlign w:val="subscript"/>
        </w:rPr>
        <w:t>c</w:t>
      </w:r>
      <w:proofErr w:type="spellEnd"/>
      <w:r w:rsidR="00A77DEE" w:rsidRPr="00777F9A">
        <w:t xml:space="preserve">, and </w:t>
      </w:r>
      <w:r w:rsidR="00A77DEE" w:rsidRPr="00777F9A">
        <w:rPr>
          <w:i/>
          <w:iCs/>
        </w:rPr>
        <w:t>i</w:t>
      </w:r>
      <w:r w:rsidR="00A77DEE" w:rsidRPr="00777F9A">
        <w:rPr>
          <w:i/>
          <w:iCs/>
          <w:vertAlign w:val="subscript"/>
        </w:rPr>
        <w:t>d</w:t>
      </w:r>
      <w:r w:rsidR="00A77DEE" w:rsidRPr="00777F9A">
        <w:t xml:space="preserve"> </w:t>
      </w:r>
      <w:r w:rsidR="00D4023E" w:rsidRPr="00777F9A">
        <w:t xml:space="preserve">to mitigate the maximum cell temperature </w:t>
      </w:r>
      <w:r w:rsidR="00A77DEE" w:rsidRPr="00777F9A">
        <w:t xml:space="preserve">should be </w:t>
      </w:r>
      <w:r w:rsidR="0093247A" w:rsidRPr="00777F9A">
        <w:t>L1, L2, L1</w:t>
      </w:r>
      <w:r w:rsidR="00092FCA" w:rsidRPr="00777F9A">
        <w:t xml:space="preserve"> (</w:t>
      </w:r>
      <w:r w:rsidR="0021083D" w:rsidRPr="00777F9A">
        <w:t>or L3)</w:t>
      </w:r>
      <w:r w:rsidR="0093247A" w:rsidRPr="00777F9A">
        <w:t>, and L1.</w:t>
      </w:r>
    </w:p>
    <w:p w14:paraId="79CE8C25" w14:textId="3432922D" w:rsidR="009F1EEF" w:rsidRPr="00777F9A" w:rsidRDefault="0033794B" w:rsidP="00007B17">
      <w:pPr>
        <w:pStyle w:val="CETCaption"/>
      </w:pPr>
      <w:r w:rsidRPr="00777F9A">
        <w:rPr>
          <w:noProof/>
        </w:rPr>
        <w:drawing>
          <wp:inline distT="0" distB="0" distL="0" distR="0" wp14:anchorId="131E9753" wp14:editId="34293F10">
            <wp:extent cx="3600000" cy="2845749"/>
            <wp:effectExtent l="0" t="0" r="635" b="0"/>
            <wp:docPr id="39005790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057907" name=""/>
                    <pic:cNvPicPr/>
                  </pic:nvPicPr>
                  <pic:blipFill>
                    <a:blip r:embed="rId11"/>
                    <a:stretch>
                      <a:fillRect/>
                    </a:stretch>
                  </pic:blipFill>
                  <pic:spPr>
                    <a:xfrm>
                      <a:off x="0" y="0"/>
                      <a:ext cx="3600000" cy="2845749"/>
                    </a:xfrm>
                    <a:prstGeom prst="rect">
                      <a:avLst/>
                    </a:prstGeom>
                  </pic:spPr>
                </pic:pic>
              </a:graphicData>
            </a:graphic>
          </wp:inline>
        </w:drawing>
      </w:r>
    </w:p>
    <w:p w14:paraId="2A450661" w14:textId="6B99FAC1" w:rsidR="005334B0" w:rsidRPr="00777F9A" w:rsidRDefault="005334B0" w:rsidP="00F24CCC">
      <w:pPr>
        <w:pStyle w:val="CETCaption"/>
      </w:pPr>
      <w:bookmarkStart w:id="3" w:name="_Ref196226940"/>
      <w:r w:rsidRPr="00777F9A">
        <w:t xml:space="preserve">Figure </w:t>
      </w:r>
      <w:r w:rsidRPr="00777F9A">
        <w:fldChar w:fldCharType="begin"/>
      </w:r>
      <w:r w:rsidRPr="00777F9A">
        <w:instrText xml:space="preserve"> SEQ Figure \* ARABIC </w:instrText>
      </w:r>
      <w:r w:rsidRPr="00777F9A">
        <w:fldChar w:fldCharType="separate"/>
      </w:r>
      <w:r w:rsidR="00CB14E7" w:rsidRPr="00777F9A">
        <w:rPr>
          <w:noProof/>
        </w:rPr>
        <w:t>2</w:t>
      </w:r>
      <w:r w:rsidRPr="00777F9A">
        <w:fldChar w:fldCharType="end"/>
      </w:r>
      <w:bookmarkEnd w:id="3"/>
      <w:r w:rsidRPr="00777F9A">
        <w:rPr>
          <w:rStyle w:val="CETCaptionCarattere"/>
        </w:rPr>
        <w:t xml:space="preserve">: </w:t>
      </w:r>
      <w:r w:rsidRPr="00777F9A">
        <w:t>S/N ratio for the maximum temperature of the battery</w:t>
      </w:r>
      <w:r w:rsidR="009F1EEF" w:rsidRPr="00777F9A">
        <w:t>.</w:t>
      </w:r>
    </w:p>
    <w:p w14:paraId="620F7E58" w14:textId="64DB053E" w:rsidR="00BC338B" w:rsidRPr="00777F9A" w:rsidRDefault="00BC338B" w:rsidP="00BC338B">
      <w:pPr>
        <w:pStyle w:val="CETBodytext"/>
        <w:rPr>
          <w:lang w:bidi="en-US"/>
        </w:rPr>
      </w:pPr>
      <w:r w:rsidRPr="00777F9A">
        <w:t xml:space="preserve">As depicted in </w:t>
      </w:r>
      <w:r w:rsidRPr="00777F9A">
        <w:fldChar w:fldCharType="begin"/>
      </w:r>
      <w:r w:rsidRPr="00777F9A">
        <w:instrText xml:space="preserve"> REF _Ref196233430 \h </w:instrText>
      </w:r>
      <w:r w:rsidR="00777F9A">
        <w:instrText xml:space="preserve"> \* MERGEFORMAT </w:instrText>
      </w:r>
      <w:r w:rsidRPr="00777F9A">
        <w:fldChar w:fldCharType="separate"/>
      </w:r>
      <w:r w:rsidR="00CB14E7" w:rsidRPr="00777F9A">
        <w:t xml:space="preserve">Figure </w:t>
      </w:r>
      <w:r w:rsidR="00CB14E7" w:rsidRPr="00777F9A">
        <w:rPr>
          <w:noProof/>
        </w:rPr>
        <w:t>3</w:t>
      </w:r>
      <w:r w:rsidRPr="00777F9A">
        <w:fldChar w:fldCharType="end"/>
      </w:r>
      <w:r w:rsidR="004C6693" w:rsidRPr="00777F9A">
        <w:t>, the</w:t>
      </w:r>
      <w:r w:rsidRPr="00777F9A">
        <w:t xml:space="preserve"> SOH decreases </w:t>
      </w:r>
      <w:r w:rsidR="00B705BD" w:rsidRPr="00777F9A">
        <w:t>as</w:t>
      </w:r>
      <w:r w:rsidRPr="00777F9A">
        <w:t xml:space="preserve"> the age (number of equivalent cycles) increases. </w:t>
      </w:r>
    </w:p>
    <w:p w14:paraId="769C486A" w14:textId="7774108E" w:rsidR="00BC338B" w:rsidRPr="00777F9A" w:rsidRDefault="0033794B" w:rsidP="00BC338B">
      <w:pPr>
        <w:pStyle w:val="CETCaption"/>
      </w:pPr>
      <w:r w:rsidRPr="00777F9A">
        <w:rPr>
          <w:noProof/>
        </w:rPr>
        <w:drawing>
          <wp:inline distT="0" distB="0" distL="0" distR="0" wp14:anchorId="096F64E2" wp14:editId="454F5556">
            <wp:extent cx="2520000" cy="2104258"/>
            <wp:effectExtent l="0" t="0" r="0" b="0"/>
            <wp:docPr id="191508172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2104258"/>
                    </a:xfrm>
                    <a:prstGeom prst="rect">
                      <a:avLst/>
                    </a:prstGeom>
                    <a:noFill/>
                  </pic:spPr>
                </pic:pic>
              </a:graphicData>
            </a:graphic>
          </wp:inline>
        </w:drawing>
      </w:r>
    </w:p>
    <w:p w14:paraId="746C0C33" w14:textId="7774108E" w:rsidR="00BC338B" w:rsidRPr="00777F9A" w:rsidRDefault="00BC338B" w:rsidP="00F24CCC">
      <w:pPr>
        <w:pStyle w:val="CETCaption"/>
      </w:pPr>
      <w:bookmarkStart w:id="4" w:name="_Ref196233430"/>
      <w:r w:rsidRPr="00777F9A">
        <w:t xml:space="preserve">Figure </w:t>
      </w:r>
      <w:r w:rsidRPr="00777F9A">
        <w:fldChar w:fldCharType="begin"/>
      </w:r>
      <w:r w:rsidRPr="00777F9A">
        <w:instrText xml:space="preserve"> SEQ Figure \* ARABIC </w:instrText>
      </w:r>
      <w:r w:rsidRPr="00777F9A">
        <w:fldChar w:fldCharType="separate"/>
      </w:r>
      <w:r w:rsidR="00CB14E7" w:rsidRPr="00777F9A">
        <w:rPr>
          <w:noProof/>
        </w:rPr>
        <w:t>3</w:t>
      </w:r>
      <w:r w:rsidRPr="00777F9A">
        <w:fldChar w:fldCharType="end"/>
      </w:r>
      <w:bookmarkEnd w:id="4"/>
      <w:r w:rsidRPr="00777F9A">
        <w:rPr>
          <w:rStyle w:val="CETCaptionCarattere"/>
        </w:rPr>
        <w:t xml:space="preserve">: </w:t>
      </w:r>
      <w:r w:rsidRPr="00777F9A">
        <w:t>SOH of the battery</w:t>
      </w:r>
      <w:r w:rsidR="0001647F" w:rsidRPr="00777F9A">
        <w:t xml:space="preserve"> correlated</w:t>
      </w:r>
      <w:r w:rsidR="00F93A12" w:rsidRPr="00777F9A">
        <w:t xml:space="preserve"> to the number of </w:t>
      </w:r>
      <w:r w:rsidRPr="00777F9A">
        <w:t>equivalent cycles.</w:t>
      </w:r>
    </w:p>
    <w:p w14:paraId="55AD1850" w14:textId="1F214043" w:rsidR="000F6196" w:rsidRPr="00777F9A" w:rsidRDefault="00560220" w:rsidP="000F6196">
      <w:pPr>
        <w:pStyle w:val="CETBodytext"/>
        <w:rPr>
          <w:lang w:bidi="en-US"/>
        </w:rPr>
      </w:pPr>
      <w:r w:rsidRPr="00777F9A">
        <w:t>A</w:t>
      </w:r>
      <w:r w:rsidR="000F6196" w:rsidRPr="00777F9A">
        <w:t xml:space="preserve">ging is strongly affected by the charging and discharging C-rates, which determine the cycle duration. Note that the simulated conditions refer to a fixed overall working time of 100 h, meaning that each case (which is set with a different combination of </w:t>
      </w:r>
      <w:r w:rsidR="000F6196" w:rsidRPr="00777F9A">
        <w:rPr>
          <w:i/>
          <w:iCs/>
        </w:rPr>
        <w:t>i</w:t>
      </w:r>
      <w:r w:rsidR="000F6196" w:rsidRPr="00777F9A">
        <w:rPr>
          <w:i/>
          <w:iCs/>
          <w:vertAlign w:val="subscript"/>
        </w:rPr>
        <w:t>c</w:t>
      </w:r>
      <w:r w:rsidR="000F6196" w:rsidRPr="00777F9A">
        <w:t xml:space="preserve"> and </w:t>
      </w:r>
      <w:r w:rsidR="000F6196" w:rsidRPr="00777F9A">
        <w:rPr>
          <w:i/>
          <w:iCs/>
        </w:rPr>
        <w:t>i</w:t>
      </w:r>
      <w:r w:rsidR="000F6196" w:rsidRPr="00777F9A">
        <w:rPr>
          <w:i/>
          <w:iCs/>
          <w:vertAlign w:val="subscript"/>
        </w:rPr>
        <w:t>d</w:t>
      </w:r>
      <w:r w:rsidR="000F6196" w:rsidRPr="00777F9A">
        <w:t xml:space="preserve">), corresponds to a different age. Therefore, a straightforward comparison among the simulated cases is much more complex than in terms of </w:t>
      </w:r>
      <w:r w:rsidR="000F6196" w:rsidRPr="00777F9A">
        <w:rPr>
          <w:lang w:bidi="en-US"/>
        </w:rPr>
        <w:t xml:space="preserve">thermal performance. However, it can be highlighted that, aiming at preserving the battery’s life, the high values of current </w:t>
      </w:r>
      <w:r w:rsidR="00F44905" w:rsidRPr="00777F9A">
        <w:rPr>
          <w:lang w:bidi="en-US"/>
        </w:rPr>
        <w:t>in</w:t>
      </w:r>
      <w:r w:rsidR="000F6196" w:rsidRPr="00777F9A">
        <w:rPr>
          <w:lang w:bidi="en-US"/>
        </w:rPr>
        <w:t xml:space="preserve"> case 2 should be avoided. In contrast, note that simulation 2 was identified as the most favourable in the thermal analysis to prevent the risk of thermal runaway. Therefore, the identification of the best scenario ensuring optimal battery performance requires a compromise between thermal and aging aspects. </w:t>
      </w:r>
    </w:p>
    <w:p w14:paraId="32BD0671" w14:textId="76C6DBF1" w:rsidR="005334B0" w:rsidRPr="00777F9A" w:rsidRDefault="00D91019" w:rsidP="00D91019">
      <w:pPr>
        <w:pStyle w:val="CETHeading1"/>
      </w:pPr>
      <w:r w:rsidRPr="00777F9A">
        <w:lastRenderedPageBreak/>
        <w:t xml:space="preserve">Conclusions </w:t>
      </w:r>
    </w:p>
    <w:p w14:paraId="6AAF213D" w14:textId="66EAFF44" w:rsidR="00F5058C" w:rsidRPr="00777F9A" w:rsidRDefault="00864F1C" w:rsidP="00D91019">
      <w:pPr>
        <w:pStyle w:val="CETBodytext"/>
      </w:pPr>
      <w:r w:rsidRPr="00777F9A">
        <w:t xml:space="preserve">A model for the simulation of LiB packs was developed to assess thermal and aging effects. An optimal design of simulation </w:t>
      </w:r>
      <w:r w:rsidR="0028036D" w:rsidRPr="00777F9A">
        <w:t xml:space="preserve">approach </w:t>
      </w:r>
      <w:r w:rsidRPr="00777F9A">
        <w:t>(Taguchi’s method) was deployed to investigate the combined effects of four parameters, namely air temperature</w:t>
      </w:r>
      <w:r w:rsidR="00F5058C" w:rsidRPr="00777F9A">
        <w:t xml:space="preserve"> (</w:t>
      </w:r>
      <w:r w:rsidR="00F5058C" w:rsidRPr="00777F9A">
        <w:rPr>
          <w:i/>
          <w:iCs/>
        </w:rPr>
        <w:t>T</w:t>
      </w:r>
      <w:r w:rsidR="00F5058C" w:rsidRPr="00777F9A">
        <w:rPr>
          <w:i/>
          <w:iCs/>
          <w:vertAlign w:val="subscript"/>
        </w:rPr>
        <w:t>air</w:t>
      </w:r>
      <w:r w:rsidR="00F5058C" w:rsidRPr="00777F9A">
        <w:t>),</w:t>
      </w:r>
      <w:r w:rsidRPr="00777F9A">
        <w:t xml:space="preserve"> convective heat transfer coefficient</w:t>
      </w:r>
      <w:r w:rsidR="00F5058C" w:rsidRPr="00777F9A">
        <w:t xml:space="preserve"> (</w:t>
      </w:r>
      <w:r w:rsidR="00F5058C" w:rsidRPr="00777F9A">
        <w:rPr>
          <w:i/>
          <w:iCs/>
        </w:rPr>
        <w:t>h</w:t>
      </w:r>
      <w:r w:rsidR="00F5058C" w:rsidRPr="00777F9A">
        <w:t>)</w:t>
      </w:r>
      <w:r w:rsidRPr="00777F9A">
        <w:t>, charge current</w:t>
      </w:r>
      <w:r w:rsidR="00F5058C" w:rsidRPr="00777F9A">
        <w:t xml:space="preserve"> (</w:t>
      </w:r>
      <w:r w:rsidR="00F5058C" w:rsidRPr="00777F9A">
        <w:rPr>
          <w:i/>
          <w:iCs/>
        </w:rPr>
        <w:t>i</w:t>
      </w:r>
      <w:r w:rsidR="00F5058C" w:rsidRPr="00777F9A">
        <w:rPr>
          <w:i/>
          <w:iCs/>
          <w:vertAlign w:val="subscript"/>
        </w:rPr>
        <w:t>c</w:t>
      </w:r>
      <w:r w:rsidR="00F5058C" w:rsidRPr="00777F9A">
        <w:t>)</w:t>
      </w:r>
      <w:r w:rsidRPr="00777F9A">
        <w:t>, and discharge current</w:t>
      </w:r>
      <w:r w:rsidR="00F5058C" w:rsidRPr="00777F9A">
        <w:t xml:space="preserve"> (</w:t>
      </w:r>
      <w:r w:rsidR="00F5058C" w:rsidRPr="00777F9A">
        <w:rPr>
          <w:i/>
          <w:iCs/>
        </w:rPr>
        <w:t>i</w:t>
      </w:r>
      <w:r w:rsidR="00F5058C" w:rsidRPr="00777F9A">
        <w:rPr>
          <w:i/>
          <w:iCs/>
          <w:vertAlign w:val="subscript"/>
        </w:rPr>
        <w:t>d</w:t>
      </w:r>
      <w:r w:rsidR="00F5058C" w:rsidRPr="00777F9A">
        <w:t>), which were varied in three levels</w:t>
      </w:r>
      <w:r w:rsidRPr="00777F9A">
        <w:t>.</w:t>
      </w:r>
      <w:r w:rsidR="00F5058C" w:rsidRPr="00777F9A">
        <w:t xml:space="preserve"> The results</w:t>
      </w:r>
      <w:r w:rsidR="0080751C" w:rsidRPr="00777F9A">
        <w:t xml:space="preserve"> show</w:t>
      </w:r>
      <w:r w:rsidR="00F5058C" w:rsidRPr="00777F9A">
        <w:t xml:space="preserve"> that</w:t>
      </w:r>
      <w:r w:rsidR="0080751C" w:rsidRPr="00777F9A">
        <w:t>, out of an array of nine,</w:t>
      </w:r>
      <w:r w:rsidR="00F5058C" w:rsidRPr="00777F9A">
        <w:t xml:space="preserve"> two scenarios led the battery temperature beyond the threshold of safety (60 °C), five scenarios were </w:t>
      </w:r>
      <w:r w:rsidR="0080751C" w:rsidRPr="00777F9A">
        <w:t xml:space="preserve">beyond </w:t>
      </w:r>
      <w:r w:rsidR="00F5058C" w:rsidRPr="00777F9A">
        <w:t xml:space="preserve">the </w:t>
      </w:r>
      <w:r w:rsidR="0080751C" w:rsidRPr="00777F9A">
        <w:t xml:space="preserve">upper limit of the </w:t>
      </w:r>
      <w:r w:rsidR="00F5058C" w:rsidRPr="00777F9A">
        <w:t xml:space="preserve">optimal </w:t>
      </w:r>
      <w:r w:rsidR="005C575A" w:rsidRPr="00777F9A">
        <w:t xml:space="preserve">working </w:t>
      </w:r>
      <w:r w:rsidR="00F5058C" w:rsidRPr="00777F9A">
        <w:t xml:space="preserve">temperature (45 °C), and four cases did not exhibit any risk of thermal runaway under the simulated time of 100 h. The most influential factors in the thermal performance were </w:t>
      </w:r>
      <w:r w:rsidR="00F5058C" w:rsidRPr="00777F9A">
        <w:rPr>
          <w:i/>
          <w:iCs/>
        </w:rPr>
        <w:t>T</w:t>
      </w:r>
      <w:r w:rsidR="00F5058C" w:rsidRPr="00777F9A">
        <w:rPr>
          <w:i/>
          <w:iCs/>
          <w:vertAlign w:val="subscript"/>
        </w:rPr>
        <w:t>air</w:t>
      </w:r>
      <w:r w:rsidR="00F5058C" w:rsidRPr="00777F9A">
        <w:t xml:space="preserve"> and </w:t>
      </w:r>
      <w:r w:rsidR="00F5058C" w:rsidRPr="00777F9A">
        <w:rPr>
          <w:i/>
          <w:iCs/>
        </w:rPr>
        <w:t>h</w:t>
      </w:r>
      <w:r w:rsidR="00F5058C" w:rsidRPr="00777F9A">
        <w:t xml:space="preserve">, while the electric current played a minor role. However, the C-rate </w:t>
      </w:r>
      <w:r w:rsidR="00AA1242" w:rsidRPr="00777F9A">
        <w:t>significantly</w:t>
      </w:r>
      <w:r w:rsidR="00F5058C" w:rsidRPr="00777F9A">
        <w:t xml:space="preserve"> affected </w:t>
      </w:r>
      <w:r w:rsidR="007D1A64" w:rsidRPr="00777F9A">
        <w:t xml:space="preserve">the number of cycles (5 to 600) and thus </w:t>
      </w:r>
      <w:r w:rsidR="00F5058C" w:rsidRPr="00777F9A">
        <w:t>the state of health</w:t>
      </w:r>
      <w:r w:rsidR="007D1A64" w:rsidRPr="00777F9A">
        <w:t xml:space="preserve"> (99.9% to 95.0%)</w:t>
      </w:r>
      <w:r w:rsidR="00F5058C" w:rsidRPr="00777F9A">
        <w:t xml:space="preserve">. </w:t>
      </w:r>
      <w:r w:rsidR="007D1A64" w:rsidRPr="00777F9A">
        <w:t xml:space="preserve">Although a more comprehensive simulation campaign (e.g., with a fixed number of equivalent cycles) would provide more reliable insights, this preliminary analysis reveals that the simulated </w:t>
      </w:r>
      <w:proofErr w:type="spellStart"/>
      <w:r w:rsidR="007D1A64" w:rsidRPr="00777F9A">
        <w:t>LiB</w:t>
      </w:r>
      <w:proofErr w:type="spellEnd"/>
      <w:r w:rsidR="007D1A64" w:rsidRPr="00777F9A">
        <w:t xml:space="preserve"> pack likely </w:t>
      </w:r>
      <w:r w:rsidR="003C2A8B" w:rsidRPr="00777F9A">
        <w:t>necessitates</w:t>
      </w:r>
      <w:r w:rsidR="007D1A64" w:rsidRPr="00777F9A">
        <w:t xml:space="preserve"> </w:t>
      </w:r>
      <w:r w:rsidR="00F5058C" w:rsidRPr="00777F9A">
        <w:t>a proper thermal management system to enhance the state of charge of the battery over its lifespan.</w:t>
      </w:r>
    </w:p>
    <w:p w14:paraId="4F1327F8" w14:textId="2C09B388" w:rsidR="00600535" w:rsidRPr="00777F9A" w:rsidRDefault="00600535" w:rsidP="00600535">
      <w:pPr>
        <w:pStyle w:val="CETReference"/>
      </w:pPr>
      <w:r w:rsidRPr="00777F9A">
        <w:t>References</w:t>
      </w:r>
    </w:p>
    <w:p w14:paraId="0230E51F" w14:textId="18EE0753" w:rsidR="000F6196" w:rsidRPr="00777F9A" w:rsidRDefault="00B447C6" w:rsidP="000F6196">
      <w:pPr>
        <w:widowControl w:val="0"/>
        <w:autoSpaceDE w:val="0"/>
        <w:autoSpaceDN w:val="0"/>
        <w:adjustRightInd w:val="0"/>
        <w:spacing w:line="240" w:lineRule="auto"/>
        <w:ind w:left="480" w:hanging="480"/>
        <w:rPr>
          <w:rFonts w:cs="Arial"/>
          <w:noProof/>
        </w:rPr>
      </w:pPr>
      <w:r w:rsidRPr="00777F9A">
        <w:fldChar w:fldCharType="begin" w:fldLock="1"/>
      </w:r>
      <w:r w:rsidRPr="00777F9A">
        <w:instrText xml:space="preserve">ADDIN Mendeley Bibliography CSL_BIBLIOGRAPHY </w:instrText>
      </w:r>
      <w:r w:rsidRPr="00777F9A">
        <w:fldChar w:fldCharType="separate"/>
      </w:r>
      <w:r w:rsidR="000F6196" w:rsidRPr="00777F9A">
        <w:rPr>
          <w:rFonts w:cs="Arial"/>
          <w:noProof/>
        </w:rPr>
        <w:t>Airò Farulla G., Palomba V., Alosio D., Brunaccini G., Ferraro M., Frazzica A., Sergi F., 2023</w:t>
      </w:r>
      <w:r w:rsidR="005661C7" w:rsidRPr="00777F9A">
        <w:rPr>
          <w:rFonts w:cs="Arial"/>
          <w:noProof/>
        </w:rPr>
        <w:t>,</w:t>
      </w:r>
      <w:r w:rsidR="000F6196" w:rsidRPr="00777F9A">
        <w:rPr>
          <w:rFonts w:cs="Arial"/>
          <w:noProof/>
        </w:rPr>
        <w:t xml:space="preserve"> Optimal design of lithium ion battery thermal management systems based on phase change material at high current and high environmental temperature</w:t>
      </w:r>
      <w:r w:rsidR="005661C7" w:rsidRPr="00777F9A">
        <w:rPr>
          <w:rFonts w:cs="Arial"/>
          <w:noProof/>
        </w:rPr>
        <w:t>,</w:t>
      </w:r>
      <w:r w:rsidR="000F6196" w:rsidRPr="00777F9A">
        <w:rPr>
          <w:rFonts w:cs="Arial"/>
          <w:noProof/>
        </w:rPr>
        <w:t xml:space="preserve"> Therm</w:t>
      </w:r>
      <w:r w:rsidR="005661C7" w:rsidRPr="00777F9A">
        <w:rPr>
          <w:rFonts w:cs="Arial"/>
          <w:noProof/>
        </w:rPr>
        <w:t xml:space="preserve">al </w:t>
      </w:r>
      <w:r w:rsidR="000F6196" w:rsidRPr="00777F9A">
        <w:rPr>
          <w:rFonts w:cs="Arial"/>
          <w:noProof/>
        </w:rPr>
        <w:t>Sci</w:t>
      </w:r>
      <w:r w:rsidR="005661C7" w:rsidRPr="00777F9A">
        <w:rPr>
          <w:rFonts w:cs="Arial"/>
          <w:noProof/>
        </w:rPr>
        <w:t>ence and</w:t>
      </w:r>
      <w:r w:rsidR="000F6196" w:rsidRPr="00777F9A">
        <w:rPr>
          <w:rFonts w:cs="Arial"/>
          <w:noProof/>
        </w:rPr>
        <w:t xml:space="preserve"> Eng</w:t>
      </w:r>
      <w:r w:rsidR="005661C7" w:rsidRPr="00777F9A">
        <w:rPr>
          <w:rFonts w:cs="Arial"/>
          <w:noProof/>
        </w:rPr>
        <w:t>ineering</w:t>
      </w:r>
      <w:r w:rsidR="000F6196" w:rsidRPr="00777F9A">
        <w:rPr>
          <w:rFonts w:cs="Arial"/>
          <w:noProof/>
        </w:rPr>
        <w:t xml:space="preserve"> Prog</w:t>
      </w:r>
      <w:r w:rsidR="005661C7" w:rsidRPr="00777F9A">
        <w:rPr>
          <w:rFonts w:cs="Arial"/>
          <w:noProof/>
        </w:rPr>
        <w:t>ress,</w:t>
      </w:r>
      <w:r w:rsidR="000F6196" w:rsidRPr="00777F9A">
        <w:rPr>
          <w:rFonts w:cs="Arial"/>
          <w:noProof/>
        </w:rPr>
        <w:t xml:space="preserve"> 42</w:t>
      </w:r>
      <w:r w:rsidR="00B73F25" w:rsidRPr="00777F9A">
        <w:rPr>
          <w:rFonts w:cs="Arial"/>
          <w:noProof/>
        </w:rPr>
        <w:t xml:space="preserve">, </w:t>
      </w:r>
      <w:r w:rsidR="00B73F25" w:rsidRPr="00777F9A">
        <w:t>101862</w:t>
      </w:r>
      <w:r w:rsidR="000F6196" w:rsidRPr="00777F9A">
        <w:rPr>
          <w:rFonts w:cs="Arial"/>
          <w:noProof/>
        </w:rPr>
        <w:t>.</w:t>
      </w:r>
    </w:p>
    <w:p w14:paraId="28D28DB6" w14:textId="2834769C" w:rsidR="000F6196" w:rsidRPr="00777F9A" w:rsidRDefault="000F6196" w:rsidP="000F6196">
      <w:pPr>
        <w:widowControl w:val="0"/>
        <w:autoSpaceDE w:val="0"/>
        <w:autoSpaceDN w:val="0"/>
        <w:adjustRightInd w:val="0"/>
        <w:spacing w:line="240" w:lineRule="auto"/>
        <w:ind w:left="480" w:hanging="480"/>
        <w:rPr>
          <w:rFonts w:cs="Arial"/>
          <w:noProof/>
        </w:rPr>
      </w:pPr>
      <w:r w:rsidRPr="00777F9A">
        <w:rPr>
          <w:rFonts w:cs="Arial"/>
          <w:noProof/>
        </w:rPr>
        <w:t>Ali</w:t>
      </w:r>
      <w:r w:rsidR="005661C7" w:rsidRPr="00777F9A">
        <w:rPr>
          <w:rFonts w:cs="Arial"/>
          <w:noProof/>
        </w:rPr>
        <w:t xml:space="preserve"> </w:t>
      </w:r>
      <w:r w:rsidRPr="00777F9A">
        <w:rPr>
          <w:rFonts w:cs="Arial"/>
          <w:noProof/>
        </w:rPr>
        <w:t>M.A., Da Silva C.M., Amon C.H., 2023</w:t>
      </w:r>
      <w:r w:rsidR="005661C7" w:rsidRPr="00777F9A">
        <w:rPr>
          <w:rFonts w:cs="Arial"/>
          <w:noProof/>
        </w:rPr>
        <w:t>,</w:t>
      </w:r>
      <w:r w:rsidRPr="00777F9A">
        <w:rPr>
          <w:rFonts w:cs="Arial"/>
          <w:noProof/>
        </w:rPr>
        <w:t xml:space="preserve"> Multiscale Modelling Methodologies of Lithium-Ion Battery Aging: A Review of Most Recent Developments</w:t>
      </w:r>
      <w:r w:rsidR="005661C7" w:rsidRPr="00777F9A">
        <w:rPr>
          <w:rFonts w:cs="Arial"/>
          <w:noProof/>
        </w:rPr>
        <w:t xml:space="preserve">, </w:t>
      </w:r>
      <w:r w:rsidRPr="00777F9A">
        <w:rPr>
          <w:rFonts w:cs="Arial"/>
          <w:noProof/>
        </w:rPr>
        <w:t>Batteries</w:t>
      </w:r>
      <w:r w:rsidR="005661C7" w:rsidRPr="00777F9A">
        <w:rPr>
          <w:rFonts w:cs="Arial"/>
          <w:noProof/>
        </w:rPr>
        <w:t>,</w:t>
      </w:r>
      <w:r w:rsidRPr="00777F9A">
        <w:rPr>
          <w:rFonts w:cs="Arial"/>
          <w:noProof/>
        </w:rPr>
        <w:t xml:space="preserve"> 9, 1–37. </w:t>
      </w:r>
    </w:p>
    <w:p w14:paraId="3093597A" w14:textId="7FB6FF7B" w:rsidR="000F6196" w:rsidRPr="00777F9A" w:rsidRDefault="000F6196" w:rsidP="000F6196">
      <w:pPr>
        <w:widowControl w:val="0"/>
        <w:autoSpaceDE w:val="0"/>
        <w:autoSpaceDN w:val="0"/>
        <w:adjustRightInd w:val="0"/>
        <w:spacing w:line="240" w:lineRule="auto"/>
        <w:ind w:left="480" w:hanging="480"/>
        <w:rPr>
          <w:rFonts w:cs="Arial"/>
          <w:noProof/>
        </w:rPr>
      </w:pPr>
      <w:r w:rsidRPr="00777F9A">
        <w:rPr>
          <w:rFonts w:cs="Arial"/>
          <w:noProof/>
        </w:rPr>
        <w:t>Aloisio D., Campobello G., Leonardi S., Sergi F., Brunaccini G., Ferraro M., Antonucci</w:t>
      </w:r>
      <w:r w:rsidR="005661C7" w:rsidRPr="00777F9A">
        <w:rPr>
          <w:rFonts w:cs="Arial"/>
          <w:noProof/>
        </w:rPr>
        <w:t xml:space="preserve"> </w:t>
      </w:r>
      <w:r w:rsidRPr="00777F9A">
        <w:rPr>
          <w:rFonts w:cs="Arial"/>
          <w:noProof/>
        </w:rPr>
        <w:t>V., Segreto A., Donato, N., 2021</w:t>
      </w:r>
      <w:r w:rsidR="005661C7" w:rsidRPr="00777F9A">
        <w:rPr>
          <w:rFonts w:cs="Arial"/>
          <w:noProof/>
        </w:rPr>
        <w:t>,</w:t>
      </w:r>
      <w:r w:rsidRPr="00777F9A">
        <w:rPr>
          <w:rFonts w:cs="Arial"/>
          <w:noProof/>
        </w:rPr>
        <w:t xml:space="preserve"> Comparison of machine learning techniques for SoC and SoH evaluation from impedance data of an aged lithium ion battery</w:t>
      </w:r>
      <w:r w:rsidR="005661C7" w:rsidRPr="00777F9A">
        <w:rPr>
          <w:rFonts w:cs="Arial"/>
          <w:noProof/>
        </w:rPr>
        <w:t xml:space="preserve">, </w:t>
      </w:r>
      <w:r w:rsidRPr="00777F9A">
        <w:rPr>
          <w:rFonts w:cs="Arial"/>
          <w:noProof/>
        </w:rPr>
        <w:t>ACTA IMEKO</w:t>
      </w:r>
      <w:r w:rsidR="005661C7" w:rsidRPr="00777F9A">
        <w:rPr>
          <w:rFonts w:cs="Arial"/>
          <w:noProof/>
        </w:rPr>
        <w:t>,</w:t>
      </w:r>
      <w:r w:rsidRPr="00777F9A">
        <w:rPr>
          <w:rFonts w:cs="Arial"/>
          <w:noProof/>
        </w:rPr>
        <w:t xml:space="preserve"> 10, 80. </w:t>
      </w:r>
    </w:p>
    <w:p w14:paraId="1FDC71C4" w14:textId="1B51DE35" w:rsidR="000F6196" w:rsidRPr="00777F9A" w:rsidRDefault="000F6196" w:rsidP="000F6196">
      <w:pPr>
        <w:widowControl w:val="0"/>
        <w:autoSpaceDE w:val="0"/>
        <w:autoSpaceDN w:val="0"/>
        <w:adjustRightInd w:val="0"/>
        <w:spacing w:line="240" w:lineRule="auto"/>
        <w:ind w:left="480" w:hanging="480"/>
        <w:rPr>
          <w:rFonts w:cs="Arial"/>
          <w:noProof/>
        </w:rPr>
      </w:pPr>
      <w:r w:rsidRPr="00777F9A">
        <w:rPr>
          <w:rFonts w:cs="Arial"/>
          <w:noProof/>
        </w:rPr>
        <w:t>Baccouche I., Jemmali S., Mlayah A., Manai B., Amara N.E. Ben, 2018</w:t>
      </w:r>
      <w:r w:rsidR="005661C7" w:rsidRPr="00777F9A">
        <w:rPr>
          <w:rFonts w:cs="Arial"/>
          <w:noProof/>
        </w:rPr>
        <w:t>,</w:t>
      </w:r>
      <w:r w:rsidRPr="00777F9A">
        <w:rPr>
          <w:rFonts w:cs="Arial"/>
          <w:noProof/>
        </w:rPr>
        <w:t xml:space="preserve"> Implementation of an improved Coulomb-Counting Algorithm Based on a Piecewise SOC-OCV Relationship for SOC Estimation of Li-Ion Battery</w:t>
      </w:r>
      <w:r w:rsidR="005661C7" w:rsidRPr="00777F9A">
        <w:rPr>
          <w:rFonts w:cs="Arial"/>
          <w:noProof/>
        </w:rPr>
        <w:t>,</w:t>
      </w:r>
      <w:r w:rsidRPr="00777F9A">
        <w:rPr>
          <w:rFonts w:cs="Arial"/>
          <w:noProof/>
        </w:rPr>
        <w:t xml:space="preserve"> Int</w:t>
      </w:r>
      <w:r w:rsidR="005661C7" w:rsidRPr="00777F9A">
        <w:rPr>
          <w:rFonts w:cs="Arial"/>
          <w:noProof/>
        </w:rPr>
        <w:t>ernational</w:t>
      </w:r>
      <w:r w:rsidRPr="00777F9A">
        <w:rPr>
          <w:rFonts w:cs="Arial"/>
          <w:noProof/>
        </w:rPr>
        <w:t xml:space="preserve"> J</w:t>
      </w:r>
      <w:r w:rsidR="005661C7" w:rsidRPr="00777F9A">
        <w:rPr>
          <w:rFonts w:cs="Arial"/>
          <w:noProof/>
        </w:rPr>
        <w:t xml:space="preserve">ournal of Renewable, </w:t>
      </w:r>
      <w:r w:rsidRPr="00777F9A">
        <w:rPr>
          <w:rFonts w:cs="Arial"/>
          <w:noProof/>
        </w:rPr>
        <w:t xml:space="preserve">8, 178–187. </w:t>
      </w:r>
    </w:p>
    <w:p w14:paraId="67053AE0" w14:textId="09875780" w:rsidR="000F6196" w:rsidRPr="00777F9A" w:rsidRDefault="000F6196" w:rsidP="000F6196">
      <w:pPr>
        <w:widowControl w:val="0"/>
        <w:autoSpaceDE w:val="0"/>
        <w:autoSpaceDN w:val="0"/>
        <w:adjustRightInd w:val="0"/>
        <w:spacing w:line="240" w:lineRule="auto"/>
        <w:ind w:left="480" w:hanging="480"/>
        <w:rPr>
          <w:rFonts w:cs="Arial"/>
          <w:noProof/>
        </w:rPr>
      </w:pPr>
      <w:r w:rsidRPr="00777F9A">
        <w:rPr>
          <w:rFonts w:cs="Arial"/>
          <w:noProof/>
        </w:rPr>
        <w:t>Bischof K., Flügel M., Hölzle M., Wohlfahrt-Mehrens M., Waldmann T., 2024</w:t>
      </w:r>
      <w:r w:rsidR="005661C7" w:rsidRPr="00777F9A">
        <w:rPr>
          <w:rFonts w:cs="Arial"/>
          <w:noProof/>
        </w:rPr>
        <w:t>,</w:t>
      </w:r>
      <w:r w:rsidRPr="00777F9A">
        <w:rPr>
          <w:rFonts w:cs="Arial"/>
          <w:noProof/>
        </w:rPr>
        <w:t xml:space="preserve"> Aging Mechanism For Calendar Aging of Li-Ion Cells With Si/Graphite Anodes</w:t>
      </w:r>
      <w:r w:rsidR="005661C7" w:rsidRPr="00777F9A">
        <w:rPr>
          <w:rFonts w:cs="Arial"/>
          <w:noProof/>
        </w:rPr>
        <w:t>,</w:t>
      </w:r>
      <w:r w:rsidRPr="00777F9A">
        <w:rPr>
          <w:rFonts w:cs="Arial"/>
          <w:noProof/>
        </w:rPr>
        <w:t xml:space="preserve"> J</w:t>
      </w:r>
      <w:r w:rsidR="005661C7" w:rsidRPr="00777F9A">
        <w:rPr>
          <w:rFonts w:cs="Arial"/>
          <w:noProof/>
        </w:rPr>
        <w:t>ournal of The</w:t>
      </w:r>
      <w:r w:rsidRPr="00777F9A">
        <w:rPr>
          <w:rFonts w:cs="Arial"/>
          <w:noProof/>
        </w:rPr>
        <w:t xml:space="preserve"> Electrochem</w:t>
      </w:r>
      <w:r w:rsidR="005661C7" w:rsidRPr="00777F9A">
        <w:rPr>
          <w:rFonts w:cs="Arial"/>
          <w:noProof/>
        </w:rPr>
        <w:t>ical</w:t>
      </w:r>
      <w:r w:rsidRPr="00777F9A">
        <w:rPr>
          <w:rFonts w:cs="Arial"/>
          <w:noProof/>
        </w:rPr>
        <w:t xml:space="preserve"> Soc</w:t>
      </w:r>
      <w:r w:rsidR="005661C7" w:rsidRPr="00777F9A">
        <w:rPr>
          <w:rFonts w:cs="Arial"/>
          <w:noProof/>
        </w:rPr>
        <w:t>iety,</w:t>
      </w:r>
      <w:r w:rsidRPr="00777F9A">
        <w:rPr>
          <w:rFonts w:cs="Arial"/>
          <w:noProof/>
        </w:rPr>
        <w:t xml:space="preserve"> 171, 010510. </w:t>
      </w:r>
    </w:p>
    <w:p w14:paraId="4EB098F0" w14:textId="48D40697" w:rsidR="000F6196" w:rsidRPr="00777F9A" w:rsidRDefault="000F6196" w:rsidP="000F6196">
      <w:pPr>
        <w:widowControl w:val="0"/>
        <w:autoSpaceDE w:val="0"/>
        <w:autoSpaceDN w:val="0"/>
        <w:adjustRightInd w:val="0"/>
        <w:spacing w:line="240" w:lineRule="auto"/>
        <w:ind w:left="480" w:hanging="480"/>
        <w:rPr>
          <w:rFonts w:cs="Arial"/>
          <w:noProof/>
        </w:rPr>
      </w:pPr>
      <w:r w:rsidRPr="00777F9A">
        <w:rPr>
          <w:rFonts w:cs="Arial"/>
          <w:noProof/>
        </w:rPr>
        <w:t>Chen S., Zhang Q., Wang F., Wang D., He Z., 2024</w:t>
      </w:r>
      <w:r w:rsidR="005661C7" w:rsidRPr="00777F9A">
        <w:rPr>
          <w:rFonts w:cs="Arial"/>
          <w:noProof/>
        </w:rPr>
        <w:t>,</w:t>
      </w:r>
      <w:r w:rsidRPr="00777F9A">
        <w:rPr>
          <w:rFonts w:cs="Arial"/>
          <w:noProof/>
        </w:rPr>
        <w:t xml:space="preserve"> An electrochemical-thermal-aging effects coupled model for lithium-ion batteries performance simulation and state of health estimation</w:t>
      </w:r>
      <w:r w:rsidR="005661C7" w:rsidRPr="00777F9A">
        <w:rPr>
          <w:rFonts w:cs="Arial"/>
          <w:noProof/>
        </w:rPr>
        <w:t>,</w:t>
      </w:r>
      <w:r w:rsidRPr="00777F9A">
        <w:rPr>
          <w:rFonts w:cs="Arial"/>
          <w:noProof/>
        </w:rPr>
        <w:t xml:space="preserve"> Appl</w:t>
      </w:r>
      <w:r w:rsidR="005661C7" w:rsidRPr="00777F9A">
        <w:rPr>
          <w:rFonts w:cs="Arial"/>
          <w:noProof/>
        </w:rPr>
        <w:t>ied</w:t>
      </w:r>
      <w:r w:rsidRPr="00777F9A">
        <w:rPr>
          <w:rFonts w:cs="Arial"/>
          <w:noProof/>
        </w:rPr>
        <w:t xml:space="preserve"> Therm</w:t>
      </w:r>
      <w:r w:rsidR="005661C7" w:rsidRPr="00777F9A">
        <w:rPr>
          <w:rFonts w:cs="Arial"/>
          <w:noProof/>
        </w:rPr>
        <w:t>al</w:t>
      </w:r>
      <w:r w:rsidRPr="00777F9A">
        <w:rPr>
          <w:rFonts w:cs="Arial"/>
          <w:noProof/>
        </w:rPr>
        <w:t xml:space="preserve"> Eng</w:t>
      </w:r>
      <w:r w:rsidR="005661C7" w:rsidRPr="00777F9A">
        <w:rPr>
          <w:rFonts w:cs="Arial"/>
          <w:noProof/>
        </w:rPr>
        <w:t>ineering,</w:t>
      </w:r>
      <w:r w:rsidRPr="00777F9A">
        <w:rPr>
          <w:rFonts w:cs="Arial"/>
          <w:noProof/>
        </w:rPr>
        <w:t xml:space="preserve"> 239, 122128. </w:t>
      </w:r>
    </w:p>
    <w:p w14:paraId="67E808CD" w14:textId="6A047AEA" w:rsidR="000F6196" w:rsidRPr="00777F9A" w:rsidRDefault="000F6196" w:rsidP="000F6196">
      <w:pPr>
        <w:widowControl w:val="0"/>
        <w:autoSpaceDE w:val="0"/>
        <w:autoSpaceDN w:val="0"/>
        <w:adjustRightInd w:val="0"/>
        <w:spacing w:line="240" w:lineRule="auto"/>
        <w:ind w:left="480" w:hanging="480"/>
        <w:rPr>
          <w:rFonts w:cs="Arial"/>
          <w:noProof/>
        </w:rPr>
      </w:pPr>
      <w:r w:rsidRPr="00777F9A">
        <w:rPr>
          <w:rFonts w:cs="Arial"/>
          <w:noProof/>
        </w:rPr>
        <w:t>Cui Y., Wang X., Zou S., Wang Q., Kang J., 2024</w:t>
      </w:r>
      <w:r w:rsidR="005661C7" w:rsidRPr="00777F9A">
        <w:rPr>
          <w:rFonts w:cs="Arial"/>
          <w:noProof/>
        </w:rPr>
        <w:t>,</w:t>
      </w:r>
      <w:r w:rsidRPr="00777F9A">
        <w:rPr>
          <w:rFonts w:cs="Arial"/>
          <w:noProof/>
        </w:rPr>
        <w:t xml:space="preserve"> The aging pattern of lithium-ion batteries based on experiments at different temperatures</w:t>
      </w:r>
      <w:r w:rsidR="005661C7" w:rsidRPr="00777F9A">
        <w:rPr>
          <w:rFonts w:cs="Arial"/>
          <w:noProof/>
        </w:rPr>
        <w:t>, Journal of Physics Conference Series, 2788(1)</w:t>
      </w:r>
      <w:r w:rsidR="00FF09F7" w:rsidRPr="00777F9A">
        <w:rPr>
          <w:rFonts w:cs="Arial"/>
          <w:noProof/>
        </w:rPr>
        <w:t xml:space="preserve">, </w:t>
      </w:r>
      <w:r w:rsidR="00FF09F7" w:rsidRPr="00777F9A">
        <w:t>012042</w:t>
      </w:r>
      <w:r w:rsidR="005661C7" w:rsidRPr="00777F9A">
        <w:rPr>
          <w:rFonts w:cs="Arial"/>
          <w:noProof/>
        </w:rPr>
        <w:t>.</w:t>
      </w:r>
    </w:p>
    <w:p w14:paraId="4BA6839A" w14:textId="6CA8F40C" w:rsidR="000F6196" w:rsidRPr="00777F9A" w:rsidRDefault="000F6196" w:rsidP="000F6196">
      <w:pPr>
        <w:widowControl w:val="0"/>
        <w:autoSpaceDE w:val="0"/>
        <w:autoSpaceDN w:val="0"/>
        <w:adjustRightInd w:val="0"/>
        <w:spacing w:line="240" w:lineRule="auto"/>
        <w:ind w:left="480" w:hanging="480"/>
        <w:rPr>
          <w:rFonts w:cs="Arial"/>
          <w:noProof/>
        </w:rPr>
      </w:pPr>
      <w:r w:rsidRPr="00777F9A">
        <w:rPr>
          <w:rFonts w:cs="Arial"/>
          <w:noProof/>
        </w:rPr>
        <w:t>Hemi H., M’sirdi N.K., Naamane A., 2019</w:t>
      </w:r>
      <w:r w:rsidR="005661C7" w:rsidRPr="00777F9A">
        <w:rPr>
          <w:rFonts w:cs="Arial"/>
          <w:noProof/>
        </w:rPr>
        <w:t xml:space="preserve">, </w:t>
      </w:r>
      <w:r w:rsidRPr="00777F9A">
        <w:rPr>
          <w:rFonts w:cs="Arial"/>
          <w:noProof/>
        </w:rPr>
        <w:t>A new proposed shepherd model of a li-ion open circuit battery based on data fitting</w:t>
      </w:r>
      <w:r w:rsidR="004C7C82" w:rsidRPr="00777F9A">
        <w:rPr>
          <w:rFonts w:cs="Arial"/>
          <w:noProof/>
        </w:rPr>
        <w:t>,</w:t>
      </w:r>
      <w:r w:rsidRPr="00777F9A">
        <w:rPr>
          <w:rFonts w:cs="Arial"/>
          <w:noProof/>
        </w:rPr>
        <w:t xml:space="preserve"> Int</w:t>
      </w:r>
      <w:r w:rsidR="004C7C82" w:rsidRPr="00777F9A">
        <w:rPr>
          <w:rFonts w:cs="Arial"/>
          <w:noProof/>
        </w:rPr>
        <w:t>ernati</w:t>
      </w:r>
      <w:r w:rsidR="00BE19A8" w:rsidRPr="00777F9A">
        <w:rPr>
          <w:rFonts w:cs="Arial"/>
          <w:noProof/>
        </w:rPr>
        <w:t>o</w:t>
      </w:r>
      <w:r w:rsidR="004C7C82" w:rsidRPr="00777F9A">
        <w:rPr>
          <w:rFonts w:cs="Arial"/>
          <w:noProof/>
        </w:rPr>
        <w:t>nal</w:t>
      </w:r>
      <w:r w:rsidRPr="00777F9A">
        <w:rPr>
          <w:rFonts w:cs="Arial"/>
          <w:noProof/>
        </w:rPr>
        <w:t xml:space="preserve"> Conf</w:t>
      </w:r>
      <w:r w:rsidR="004C7C82" w:rsidRPr="00777F9A">
        <w:rPr>
          <w:rFonts w:cs="Arial"/>
          <w:noProof/>
        </w:rPr>
        <w:t>erence on</w:t>
      </w:r>
      <w:r w:rsidRPr="00777F9A">
        <w:rPr>
          <w:rFonts w:cs="Arial"/>
          <w:noProof/>
        </w:rPr>
        <w:t xml:space="preserve"> Integr</w:t>
      </w:r>
      <w:r w:rsidR="004C7C82" w:rsidRPr="00777F9A">
        <w:rPr>
          <w:rFonts w:cs="Arial"/>
          <w:noProof/>
        </w:rPr>
        <w:t>ated</w:t>
      </w:r>
      <w:r w:rsidRPr="00777F9A">
        <w:rPr>
          <w:rFonts w:cs="Arial"/>
          <w:noProof/>
        </w:rPr>
        <w:t xml:space="preserve"> Model</w:t>
      </w:r>
      <w:r w:rsidR="004C7C82" w:rsidRPr="00777F9A">
        <w:rPr>
          <w:rFonts w:cs="Arial"/>
          <w:noProof/>
        </w:rPr>
        <w:t>ing and</w:t>
      </w:r>
      <w:r w:rsidRPr="00777F9A">
        <w:rPr>
          <w:rFonts w:cs="Arial"/>
          <w:noProof/>
        </w:rPr>
        <w:t xml:space="preserve"> Anal</w:t>
      </w:r>
      <w:r w:rsidR="004C7C82" w:rsidRPr="00777F9A">
        <w:rPr>
          <w:rFonts w:cs="Arial"/>
          <w:noProof/>
        </w:rPr>
        <w:t>ysis in</w:t>
      </w:r>
      <w:r w:rsidRPr="00777F9A">
        <w:rPr>
          <w:rFonts w:cs="Arial"/>
          <w:noProof/>
        </w:rPr>
        <w:t xml:space="preserve"> Appl</w:t>
      </w:r>
      <w:r w:rsidR="004C7C82" w:rsidRPr="00777F9A">
        <w:rPr>
          <w:rFonts w:cs="Arial"/>
          <w:noProof/>
        </w:rPr>
        <w:t>ied</w:t>
      </w:r>
      <w:r w:rsidRPr="00777F9A">
        <w:rPr>
          <w:rFonts w:cs="Arial"/>
          <w:noProof/>
        </w:rPr>
        <w:t xml:space="preserve"> Control</w:t>
      </w:r>
      <w:r w:rsidR="004C7C82" w:rsidRPr="00777F9A">
        <w:rPr>
          <w:rFonts w:cs="Arial"/>
          <w:noProof/>
        </w:rPr>
        <w:t xml:space="preserve"> and</w:t>
      </w:r>
      <w:r w:rsidRPr="00777F9A">
        <w:rPr>
          <w:rFonts w:cs="Arial"/>
          <w:noProof/>
        </w:rPr>
        <w:t xml:space="preserve"> Autom</w:t>
      </w:r>
      <w:r w:rsidR="004C7C82" w:rsidRPr="00777F9A">
        <w:rPr>
          <w:rFonts w:cs="Arial"/>
          <w:noProof/>
        </w:rPr>
        <w:t>ation-Imaaca,</w:t>
      </w:r>
      <w:r w:rsidRPr="00777F9A">
        <w:rPr>
          <w:rFonts w:cs="Arial"/>
          <w:noProof/>
        </w:rPr>
        <w:t xml:space="preserve"> 83–92.</w:t>
      </w:r>
    </w:p>
    <w:p w14:paraId="4E1390B3" w14:textId="61764DC4" w:rsidR="000F6196" w:rsidRPr="00777F9A" w:rsidRDefault="000F6196" w:rsidP="000F6196">
      <w:pPr>
        <w:widowControl w:val="0"/>
        <w:autoSpaceDE w:val="0"/>
        <w:autoSpaceDN w:val="0"/>
        <w:adjustRightInd w:val="0"/>
        <w:spacing w:line="240" w:lineRule="auto"/>
        <w:ind w:left="480" w:hanging="480"/>
        <w:rPr>
          <w:rFonts w:cs="Arial"/>
          <w:noProof/>
        </w:rPr>
      </w:pPr>
      <w:r w:rsidRPr="00777F9A">
        <w:rPr>
          <w:rFonts w:cs="Arial"/>
          <w:noProof/>
        </w:rPr>
        <w:t>Incropera F.P., 2015</w:t>
      </w:r>
      <w:r w:rsidR="004C7C82" w:rsidRPr="00777F9A">
        <w:rPr>
          <w:rFonts w:cs="Arial"/>
          <w:noProof/>
        </w:rPr>
        <w:t>,</w:t>
      </w:r>
      <w:r w:rsidRPr="00777F9A">
        <w:rPr>
          <w:rFonts w:cs="Arial"/>
          <w:noProof/>
        </w:rPr>
        <w:t xml:space="preserve"> Incropera - EN - Fundamentals of Heat and Mass Transfer, Physiological Research.</w:t>
      </w:r>
    </w:p>
    <w:p w14:paraId="5FA2F020" w14:textId="1213AFDF" w:rsidR="000F6196" w:rsidRPr="00777F9A" w:rsidRDefault="000F6196" w:rsidP="000F6196">
      <w:pPr>
        <w:widowControl w:val="0"/>
        <w:autoSpaceDE w:val="0"/>
        <w:autoSpaceDN w:val="0"/>
        <w:adjustRightInd w:val="0"/>
        <w:spacing w:line="240" w:lineRule="auto"/>
        <w:ind w:left="480" w:hanging="480"/>
        <w:rPr>
          <w:rFonts w:cs="Arial"/>
          <w:noProof/>
        </w:rPr>
      </w:pPr>
      <w:r w:rsidRPr="00777F9A">
        <w:rPr>
          <w:rFonts w:cs="Arial"/>
          <w:noProof/>
        </w:rPr>
        <w:t>Jindal P., Katiyar R., Bhattacharya J., 2022</w:t>
      </w:r>
      <w:r w:rsidR="004C7C82" w:rsidRPr="00777F9A">
        <w:rPr>
          <w:rFonts w:cs="Arial"/>
          <w:noProof/>
        </w:rPr>
        <w:t>,</w:t>
      </w:r>
      <w:r w:rsidRPr="00777F9A">
        <w:rPr>
          <w:rFonts w:cs="Arial"/>
          <w:noProof/>
        </w:rPr>
        <w:t xml:space="preserve"> Evaluation of accuracy for Bernardi equation in estimating heat generation rate for continuous and pulse-discharge protocols in LFP and NMC based Li-ion batteries</w:t>
      </w:r>
      <w:r w:rsidR="004C7C82" w:rsidRPr="00777F9A">
        <w:rPr>
          <w:rFonts w:cs="Arial"/>
          <w:noProof/>
        </w:rPr>
        <w:t>,</w:t>
      </w:r>
      <w:r w:rsidRPr="00777F9A">
        <w:rPr>
          <w:rFonts w:cs="Arial"/>
          <w:noProof/>
        </w:rPr>
        <w:t xml:space="preserve"> Appl</w:t>
      </w:r>
      <w:r w:rsidR="004C7C82" w:rsidRPr="00777F9A">
        <w:rPr>
          <w:rFonts w:cs="Arial"/>
          <w:noProof/>
        </w:rPr>
        <w:t>ied</w:t>
      </w:r>
      <w:r w:rsidRPr="00777F9A">
        <w:rPr>
          <w:rFonts w:cs="Arial"/>
          <w:noProof/>
        </w:rPr>
        <w:t xml:space="preserve"> Therm</w:t>
      </w:r>
      <w:r w:rsidR="004C7C82" w:rsidRPr="00777F9A">
        <w:rPr>
          <w:rFonts w:cs="Arial"/>
          <w:noProof/>
        </w:rPr>
        <w:t>al</w:t>
      </w:r>
      <w:r w:rsidRPr="00777F9A">
        <w:rPr>
          <w:rFonts w:cs="Arial"/>
          <w:noProof/>
        </w:rPr>
        <w:t xml:space="preserve"> Eng</w:t>
      </w:r>
      <w:r w:rsidR="004C7C82" w:rsidRPr="00777F9A">
        <w:rPr>
          <w:rFonts w:cs="Arial"/>
          <w:noProof/>
        </w:rPr>
        <w:t>ineering,</w:t>
      </w:r>
      <w:r w:rsidRPr="00777F9A">
        <w:rPr>
          <w:rFonts w:cs="Arial"/>
          <w:noProof/>
        </w:rPr>
        <w:t xml:space="preserve"> 201, 117794. </w:t>
      </w:r>
    </w:p>
    <w:p w14:paraId="08E2F84F" w14:textId="38ABE5EC" w:rsidR="000F6196" w:rsidRPr="00777F9A" w:rsidRDefault="000F6196" w:rsidP="000F6196">
      <w:pPr>
        <w:widowControl w:val="0"/>
        <w:autoSpaceDE w:val="0"/>
        <w:autoSpaceDN w:val="0"/>
        <w:adjustRightInd w:val="0"/>
        <w:spacing w:line="240" w:lineRule="auto"/>
        <w:ind w:left="480" w:hanging="480"/>
        <w:rPr>
          <w:rFonts w:cs="Arial"/>
          <w:noProof/>
        </w:rPr>
      </w:pPr>
      <w:r w:rsidRPr="00777F9A">
        <w:rPr>
          <w:rFonts w:cs="Arial"/>
          <w:noProof/>
        </w:rPr>
        <w:t>Leonardi S.G., Aloisio D., Brunaccini G., Stassi A., Ferraro M., Antonucci V., Sergi F., 2021</w:t>
      </w:r>
      <w:r w:rsidR="004C7C82" w:rsidRPr="00777F9A">
        <w:rPr>
          <w:rFonts w:cs="Arial"/>
          <w:noProof/>
        </w:rPr>
        <w:t>,</w:t>
      </w:r>
      <w:r w:rsidRPr="00777F9A">
        <w:rPr>
          <w:rFonts w:cs="Arial"/>
          <w:noProof/>
        </w:rPr>
        <w:t xml:space="preserve"> Investigation on the ageing mechanism for a lithium-ion cell under accelerated tests: The case of primary frequency regulation service</w:t>
      </w:r>
      <w:r w:rsidR="004C7C82" w:rsidRPr="00777F9A">
        <w:rPr>
          <w:rFonts w:cs="Arial"/>
          <w:noProof/>
        </w:rPr>
        <w:t>,</w:t>
      </w:r>
      <w:r w:rsidRPr="00777F9A">
        <w:rPr>
          <w:rFonts w:cs="Arial"/>
          <w:noProof/>
        </w:rPr>
        <w:t xml:space="preserve"> J</w:t>
      </w:r>
      <w:r w:rsidR="004C7C82" w:rsidRPr="00777F9A">
        <w:rPr>
          <w:rFonts w:cs="Arial"/>
          <w:noProof/>
        </w:rPr>
        <w:t>ournal of</w:t>
      </w:r>
      <w:r w:rsidRPr="00777F9A">
        <w:rPr>
          <w:rFonts w:cs="Arial"/>
          <w:noProof/>
        </w:rPr>
        <w:t xml:space="preserve"> Energy Storage</w:t>
      </w:r>
      <w:r w:rsidR="004C7C82" w:rsidRPr="00777F9A">
        <w:rPr>
          <w:rFonts w:cs="Arial"/>
          <w:noProof/>
        </w:rPr>
        <w:t xml:space="preserve">, </w:t>
      </w:r>
      <w:r w:rsidRPr="00777F9A">
        <w:rPr>
          <w:rFonts w:cs="Arial"/>
          <w:noProof/>
        </w:rPr>
        <w:t xml:space="preserve">41, 102904. </w:t>
      </w:r>
    </w:p>
    <w:p w14:paraId="065CABC5" w14:textId="37A9C33F" w:rsidR="000F6196" w:rsidRPr="00777F9A" w:rsidRDefault="000F6196" w:rsidP="000F6196">
      <w:pPr>
        <w:widowControl w:val="0"/>
        <w:autoSpaceDE w:val="0"/>
        <w:autoSpaceDN w:val="0"/>
        <w:adjustRightInd w:val="0"/>
        <w:spacing w:line="240" w:lineRule="auto"/>
        <w:ind w:left="480" w:hanging="480"/>
        <w:rPr>
          <w:rFonts w:cs="Arial"/>
          <w:noProof/>
        </w:rPr>
      </w:pPr>
      <w:r w:rsidRPr="00777F9A">
        <w:rPr>
          <w:rFonts w:cs="Arial"/>
          <w:noProof/>
        </w:rPr>
        <w:t>Motapon S.N., Lachance E., Dessaint L.A., Al-Haddad K., 2020</w:t>
      </w:r>
      <w:r w:rsidR="004C7C82" w:rsidRPr="00777F9A">
        <w:rPr>
          <w:rFonts w:cs="Arial"/>
          <w:noProof/>
        </w:rPr>
        <w:t>,</w:t>
      </w:r>
      <w:r w:rsidRPr="00777F9A">
        <w:rPr>
          <w:rFonts w:cs="Arial"/>
          <w:noProof/>
        </w:rPr>
        <w:t xml:space="preserve"> A Generic cycle life model for lithium-ion batteries based on fatigue theory and equivalent cycle counting</w:t>
      </w:r>
      <w:r w:rsidR="004C7C82" w:rsidRPr="00777F9A">
        <w:rPr>
          <w:rFonts w:cs="Arial"/>
          <w:noProof/>
        </w:rPr>
        <w:t>,</w:t>
      </w:r>
      <w:r w:rsidRPr="00777F9A">
        <w:rPr>
          <w:rFonts w:cs="Arial"/>
          <w:noProof/>
        </w:rPr>
        <w:t xml:space="preserve"> IEEE Open J</w:t>
      </w:r>
      <w:r w:rsidR="004C7C82" w:rsidRPr="00777F9A">
        <w:rPr>
          <w:rFonts w:cs="Arial"/>
          <w:noProof/>
        </w:rPr>
        <w:t>ournal of the</w:t>
      </w:r>
      <w:r w:rsidRPr="00777F9A">
        <w:rPr>
          <w:rFonts w:cs="Arial"/>
          <w:noProof/>
        </w:rPr>
        <w:t xml:space="preserve"> Ind</w:t>
      </w:r>
      <w:r w:rsidR="004C7C82" w:rsidRPr="00777F9A">
        <w:rPr>
          <w:rFonts w:cs="Arial"/>
          <w:noProof/>
        </w:rPr>
        <w:t>ustrial</w:t>
      </w:r>
      <w:r w:rsidRPr="00777F9A">
        <w:rPr>
          <w:rFonts w:cs="Arial"/>
          <w:noProof/>
        </w:rPr>
        <w:t xml:space="preserve"> Electron</w:t>
      </w:r>
      <w:r w:rsidR="004C7C82" w:rsidRPr="00777F9A">
        <w:rPr>
          <w:rFonts w:cs="Arial"/>
          <w:noProof/>
        </w:rPr>
        <w:t>ics</w:t>
      </w:r>
      <w:r w:rsidRPr="00777F9A">
        <w:rPr>
          <w:rFonts w:cs="Arial"/>
          <w:noProof/>
        </w:rPr>
        <w:t xml:space="preserve"> Soc</w:t>
      </w:r>
      <w:r w:rsidR="004C7C82" w:rsidRPr="00777F9A">
        <w:rPr>
          <w:rFonts w:cs="Arial"/>
          <w:noProof/>
        </w:rPr>
        <w:t>iety,</w:t>
      </w:r>
      <w:r w:rsidRPr="00777F9A">
        <w:rPr>
          <w:rFonts w:cs="Arial"/>
          <w:noProof/>
        </w:rPr>
        <w:t xml:space="preserve"> 1, 207–217. </w:t>
      </w:r>
    </w:p>
    <w:p w14:paraId="2C365978" w14:textId="45F92608" w:rsidR="000F6196" w:rsidRPr="00777F9A" w:rsidRDefault="000F6196" w:rsidP="000F6196">
      <w:pPr>
        <w:widowControl w:val="0"/>
        <w:autoSpaceDE w:val="0"/>
        <w:autoSpaceDN w:val="0"/>
        <w:adjustRightInd w:val="0"/>
        <w:spacing w:line="240" w:lineRule="auto"/>
        <w:ind w:left="480" w:hanging="480"/>
        <w:rPr>
          <w:rFonts w:cs="Arial"/>
          <w:noProof/>
        </w:rPr>
      </w:pPr>
      <w:r w:rsidRPr="00777F9A">
        <w:rPr>
          <w:rFonts w:cs="Arial"/>
          <w:noProof/>
        </w:rPr>
        <w:t>Wang G., Ping P., Kong D., Peng R., He X., Zhang Y., Dai X., Wen J., 2024</w:t>
      </w:r>
      <w:r w:rsidR="004C7C82" w:rsidRPr="00777F9A">
        <w:rPr>
          <w:rFonts w:cs="Arial"/>
          <w:noProof/>
        </w:rPr>
        <w:t>,</w:t>
      </w:r>
      <w:r w:rsidRPr="00777F9A">
        <w:rPr>
          <w:rFonts w:cs="Arial"/>
          <w:noProof/>
        </w:rPr>
        <w:t xml:space="preserve"> Advances and challenges in thermal runaway modeling of lithium-ion batteries</w:t>
      </w:r>
      <w:r w:rsidR="004C7C82" w:rsidRPr="00777F9A">
        <w:rPr>
          <w:rFonts w:cs="Arial"/>
          <w:noProof/>
        </w:rPr>
        <w:t>, The</w:t>
      </w:r>
      <w:r w:rsidRPr="00777F9A">
        <w:rPr>
          <w:rFonts w:cs="Arial"/>
          <w:noProof/>
        </w:rPr>
        <w:t xml:space="preserve"> Innov</w:t>
      </w:r>
      <w:r w:rsidR="004C7C82" w:rsidRPr="00777F9A">
        <w:rPr>
          <w:rFonts w:cs="Arial"/>
          <w:noProof/>
        </w:rPr>
        <w:t>ation,</w:t>
      </w:r>
      <w:r w:rsidRPr="00777F9A">
        <w:rPr>
          <w:rFonts w:cs="Arial"/>
          <w:noProof/>
        </w:rPr>
        <w:t xml:space="preserve"> 5, 100624. </w:t>
      </w:r>
    </w:p>
    <w:p w14:paraId="3C130D36" w14:textId="69DD6356" w:rsidR="000F6196" w:rsidRPr="00777F9A" w:rsidRDefault="000F6196" w:rsidP="000F6196">
      <w:pPr>
        <w:widowControl w:val="0"/>
        <w:autoSpaceDE w:val="0"/>
        <w:autoSpaceDN w:val="0"/>
        <w:adjustRightInd w:val="0"/>
        <w:spacing w:line="240" w:lineRule="auto"/>
        <w:ind w:left="480" w:hanging="480"/>
        <w:rPr>
          <w:rFonts w:cs="Arial"/>
          <w:noProof/>
        </w:rPr>
      </w:pPr>
      <w:r w:rsidRPr="00777F9A">
        <w:rPr>
          <w:rFonts w:cs="Arial"/>
          <w:noProof/>
        </w:rPr>
        <w:t>Yarimca G., Cetkin E., 2024</w:t>
      </w:r>
      <w:r w:rsidR="004C7C82" w:rsidRPr="00777F9A">
        <w:rPr>
          <w:rFonts w:cs="Arial"/>
          <w:noProof/>
        </w:rPr>
        <w:t>,</w:t>
      </w:r>
      <w:r w:rsidRPr="00777F9A">
        <w:rPr>
          <w:rFonts w:cs="Arial"/>
          <w:noProof/>
        </w:rPr>
        <w:t xml:space="preserve"> Review of Cell Level Battery (Calendar and Cycling) Aging Models: Electric Vehicles</w:t>
      </w:r>
      <w:r w:rsidR="004C7C82" w:rsidRPr="00777F9A">
        <w:rPr>
          <w:rFonts w:cs="Arial"/>
          <w:noProof/>
        </w:rPr>
        <w:t>,</w:t>
      </w:r>
      <w:r w:rsidRPr="00777F9A">
        <w:rPr>
          <w:rFonts w:cs="Arial"/>
          <w:noProof/>
        </w:rPr>
        <w:t xml:space="preserve"> Batteries</w:t>
      </w:r>
      <w:r w:rsidR="004C7C82" w:rsidRPr="00777F9A">
        <w:rPr>
          <w:rFonts w:cs="Arial"/>
          <w:noProof/>
        </w:rPr>
        <w:t>,</w:t>
      </w:r>
      <w:r w:rsidR="005A1D97" w:rsidRPr="00777F9A">
        <w:rPr>
          <w:rFonts w:cs="Arial"/>
          <w:noProof/>
        </w:rPr>
        <w:t xml:space="preserve"> </w:t>
      </w:r>
      <w:r w:rsidRPr="00777F9A">
        <w:rPr>
          <w:rFonts w:cs="Arial"/>
          <w:noProof/>
        </w:rPr>
        <w:t>10</w:t>
      </w:r>
      <w:r w:rsidR="005A1D97" w:rsidRPr="00777F9A">
        <w:rPr>
          <w:rFonts w:cs="Arial"/>
          <w:noProof/>
        </w:rPr>
        <w:t>, 374</w:t>
      </w:r>
      <w:r w:rsidRPr="00777F9A">
        <w:rPr>
          <w:rFonts w:cs="Arial"/>
          <w:noProof/>
        </w:rPr>
        <w:t xml:space="preserve">. </w:t>
      </w:r>
    </w:p>
    <w:p w14:paraId="41EEA86F" w14:textId="46B0DA2B" w:rsidR="000F6196" w:rsidRPr="00777F9A" w:rsidRDefault="000F6196" w:rsidP="000F6196">
      <w:pPr>
        <w:widowControl w:val="0"/>
        <w:autoSpaceDE w:val="0"/>
        <w:autoSpaceDN w:val="0"/>
        <w:adjustRightInd w:val="0"/>
        <w:spacing w:line="240" w:lineRule="auto"/>
        <w:ind w:left="480" w:hanging="480"/>
        <w:rPr>
          <w:rFonts w:cs="Arial"/>
          <w:noProof/>
        </w:rPr>
      </w:pPr>
      <w:r w:rsidRPr="00777F9A">
        <w:rPr>
          <w:rFonts w:cs="Arial"/>
          <w:noProof/>
        </w:rPr>
        <w:t>Zhang L., Liu L., Terekhov A., Warnberg D., Zhao P., 2024</w:t>
      </w:r>
      <w:r w:rsidR="004C7C82" w:rsidRPr="00777F9A">
        <w:rPr>
          <w:rFonts w:cs="Arial"/>
          <w:noProof/>
        </w:rPr>
        <w:t>,</w:t>
      </w:r>
      <w:r w:rsidRPr="00777F9A">
        <w:rPr>
          <w:rFonts w:cs="Arial"/>
          <w:noProof/>
        </w:rPr>
        <w:t xml:space="preserve"> Thermal runaway of Li-ion battery with different aging histories</w:t>
      </w:r>
      <w:r w:rsidR="004C7C82" w:rsidRPr="00777F9A">
        <w:rPr>
          <w:rFonts w:cs="Arial"/>
          <w:noProof/>
        </w:rPr>
        <w:t>,</w:t>
      </w:r>
      <w:r w:rsidRPr="00777F9A">
        <w:rPr>
          <w:rFonts w:cs="Arial"/>
          <w:noProof/>
        </w:rPr>
        <w:t xml:space="preserve"> Process Saf</w:t>
      </w:r>
      <w:r w:rsidR="004C7C82" w:rsidRPr="00777F9A">
        <w:rPr>
          <w:rFonts w:cs="Arial"/>
          <w:noProof/>
        </w:rPr>
        <w:t>ety and</w:t>
      </w:r>
      <w:r w:rsidRPr="00777F9A">
        <w:rPr>
          <w:rFonts w:cs="Arial"/>
          <w:noProof/>
        </w:rPr>
        <w:t xml:space="preserve"> Environ</w:t>
      </w:r>
      <w:r w:rsidR="004C7C82" w:rsidRPr="00777F9A">
        <w:rPr>
          <w:rFonts w:cs="Arial"/>
          <w:noProof/>
        </w:rPr>
        <w:t>mental</w:t>
      </w:r>
      <w:r w:rsidRPr="00777F9A">
        <w:rPr>
          <w:rFonts w:cs="Arial"/>
          <w:noProof/>
        </w:rPr>
        <w:t xml:space="preserve"> Prot</w:t>
      </w:r>
      <w:r w:rsidR="004C7C82" w:rsidRPr="00777F9A">
        <w:rPr>
          <w:rFonts w:cs="Arial"/>
          <w:noProof/>
        </w:rPr>
        <w:t>ection,</w:t>
      </w:r>
      <w:r w:rsidRPr="00777F9A">
        <w:rPr>
          <w:rFonts w:cs="Arial"/>
          <w:noProof/>
        </w:rPr>
        <w:t xml:space="preserve"> 185, 910–917. </w:t>
      </w:r>
    </w:p>
    <w:p w14:paraId="7BC07FAA" w14:textId="78B65137" w:rsidR="000F6196" w:rsidRPr="00777F9A" w:rsidRDefault="000F6196" w:rsidP="000F6196">
      <w:pPr>
        <w:widowControl w:val="0"/>
        <w:autoSpaceDE w:val="0"/>
        <w:autoSpaceDN w:val="0"/>
        <w:adjustRightInd w:val="0"/>
        <w:spacing w:line="240" w:lineRule="auto"/>
        <w:ind w:left="480" w:hanging="480"/>
        <w:rPr>
          <w:rFonts w:cs="Arial"/>
          <w:noProof/>
        </w:rPr>
      </w:pPr>
      <w:r w:rsidRPr="00777F9A">
        <w:rPr>
          <w:rFonts w:cs="Arial"/>
          <w:noProof/>
        </w:rPr>
        <w:t>Zhao G., Wang X., Negnevitsky M., 2022</w:t>
      </w:r>
      <w:r w:rsidR="004C7C82" w:rsidRPr="00777F9A">
        <w:rPr>
          <w:rFonts w:cs="Arial"/>
          <w:noProof/>
        </w:rPr>
        <w:t>,</w:t>
      </w:r>
      <w:r w:rsidRPr="00777F9A">
        <w:rPr>
          <w:rFonts w:cs="Arial"/>
          <w:noProof/>
        </w:rPr>
        <w:t xml:space="preserve"> Connecting battery technologies for electric vehicles from battery materials to management</w:t>
      </w:r>
      <w:r w:rsidR="004C7C82" w:rsidRPr="00777F9A">
        <w:rPr>
          <w:rFonts w:cs="Arial"/>
          <w:noProof/>
        </w:rPr>
        <w:t xml:space="preserve">, </w:t>
      </w:r>
      <w:r w:rsidRPr="00777F9A">
        <w:rPr>
          <w:rFonts w:cs="Arial"/>
          <w:noProof/>
        </w:rPr>
        <w:t xml:space="preserve">iScience 25, 103744. </w:t>
      </w:r>
    </w:p>
    <w:p w14:paraId="19C4FC68" w14:textId="4731D1DE" w:rsidR="004628D2" w:rsidRDefault="00B447C6" w:rsidP="004C7C82">
      <w:pPr>
        <w:pStyle w:val="CETReferencetext"/>
        <w:ind w:left="0" w:firstLine="0"/>
      </w:pPr>
      <w:r w:rsidRPr="00777F9A">
        <w:fldChar w:fldCharType="end"/>
      </w:r>
    </w:p>
    <w:p w14:paraId="70ECA5C3" w14:textId="77777777" w:rsidR="000F6196" w:rsidRDefault="000F6196" w:rsidP="004C7C82">
      <w:pPr>
        <w:pStyle w:val="CETReferencetext"/>
        <w:ind w:left="0" w:firstLine="0"/>
      </w:pPr>
    </w:p>
    <w:sectPr w:rsidR="000F6196"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CF1B" w14:textId="77777777" w:rsidR="00AB43F9" w:rsidRDefault="00AB43F9" w:rsidP="004F5E36">
      <w:r>
        <w:separator/>
      </w:r>
    </w:p>
  </w:endnote>
  <w:endnote w:type="continuationSeparator" w:id="0">
    <w:p w14:paraId="2AECA8A9" w14:textId="77777777" w:rsidR="00AB43F9" w:rsidRDefault="00AB43F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roman"/>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6C2D" w14:textId="77777777" w:rsidR="00AB43F9" w:rsidRDefault="00AB43F9" w:rsidP="004F5E36">
      <w:r>
        <w:separator/>
      </w:r>
    </w:p>
  </w:footnote>
  <w:footnote w:type="continuationSeparator" w:id="0">
    <w:p w14:paraId="002E8BFA" w14:textId="77777777" w:rsidR="00AB43F9" w:rsidRDefault="00AB43F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12F8F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BDF"/>
    <w:rsid w:val="0000260A"/>
    <w:rsid w:val="000027C0"/>
    <w:rsid w:val="000052FB"/>
    <w:rsid w:val="00005A19"/>
    <w:rsid w:val="00006A83"/>
    <w:rsid w:val="00007B17"/>
    <w:rsid w:val="00010EB8"/>
    <w:rsid w:val="000117CB"/>
    <w:rsid w:val="0001647F"/>
    <w:rsid w:val="00016CC7"/>
    <w:rsid w:val="0002119B"/>
    <w:rsid w:val="00027BC6"/>
    <w:rsid w:val="0003148D"/>
    <w:rsid w:val="000314E6"/>
    <w:rsid w:val="00031EEC"/>
    <w:rsid w:val="000328FB"/>
    <w:rsid w:val="00034069"/>
    <w:rsid w:val="00034576"/>
    <w:rsid w:val="00036CFC"/>
    <w:rsid w:val="000457F6"/>
    <w:rsid w:val="00045C73"/>
    <w:rsid w:val="00046F02"/>
    <w:rsid w:val="00051566"/>
    <w:rsid w:val="000547EC"/>
    <w:rsid w:val="000562A9"/>
    <w:rsid w:val="00060F77"/>
    <w:rsid w:val="00061112"/>
    <w:rsid w:val="00062A9A"/>
    <w:rsid w:val="00065058"/>
    <w:rsid w:val="0006715F"/>
    <w:rsid w:val="00067EBB"/>
    <w:rsid w:val="00075F5D"/>
    <w:rsid w:val="000861DE"/>
    <w:rsid w:val="0008673E"/>
    <w:rsid w:val="00086C39"/>
    <w:rsid w:val="00091998"/>
    <w:rsid w:val="00092FCA"/>
    <w:rsid w:val="00095055"/>
    <w:rsid w:val="000A03B2"/>
    <w:rsid w:val="000C0BFF"/>
    <w:rsid w:val="000C224D"/>
    <w:rsid w:val="000D0268"/>
    <w:rsid w:val="000D34BE"/>
    <w:rsid w:val="000D3877"/>
    <w:rsid w:val="000E0B3C"/>
    <w:rsid w:val="000E102F"/>
    <w:rsid w:val="000E1B09"/>
    <w:rsid w:val="000E323F"/>
    <w:rsid w:val="000E36F1"/>
    <w:rsid w:val="000E3A73"/>
    <w:rsid w:val="000E414A"/>
    <w:rsid w:val="000E75FD"/>
    <w:rsid w:val="000F093C"/>
    <w:rsid w:val="000F0C55"/>
    <w:rsid w:val="000F6196"/>
    <w:rsid w:val="000F787B"/>
    <w:rsid w:val="00104637"/>
    <w:rsid w:val="001077AE"/>
    <w:rsid w:val="0012091F"/>
    <w:rsid w:val="00126BC2"/>
    <w:rsid w:val="001308B6"/>
    <w:rsid w:val="0013121F"/>
    <w:rsid w:val="00131FE6"/>
    <w:rsid w:val="0013263F"/>
    <w:rsid w:val="001331DF"/>
    <w:rsid w:val="00134DE4"/>
    <w:rsid w:val="0013575A"/>
    <w:rsid w:val="0014034D"/>
    <w:rsid w:val="00140FE3"/>
    <w:rsid w:val="00144416"/>
    <w:rsid w:val="00144D16"/>
    <w:rsid w:val="00145EB3"/>
    <w:rsid w:val="0014646D"/>
    <w:rsid w:val="00150E59"/>
    <w:rsid w:val="00152DE3"/>
    <w:rsid w:val="001545A3"/>
    <w:rsid w:val="00154E2D"/>
    <w:rsid w:val="00164CF9"/>
    <w:rsid w:val="001667A6"/>
    <w:rsid w:val="001722A3"/>
    <w:rsid w:val="00172356"/>
    <w:rsid w:val="0018171E"/>
    <w:rsid w:val="001834AF"/>
    <w:rsid w:val="00184AD6"/>
    <w:rsid w:val="00191112"/>
    <w:rsid w:val="001941BF"/>
    <w:rsid w:val="001A1953"/>
    <w:rsid w:val="001A4AF7"/>
    <w:rsid w:val="001A5796"/>
    <w:rsid w:val="001B0349"/>
    <w:rsid w:val="001B1E93"/>
    <w:rsid w:val="001B372B"/>
    <w:rsid w:val="001B65C1"/>
    <w:rsid w:val="001B7C51"/>
    <w:rsid w:val="001B7CFA"/>
    <w:rsid w:val="001C260F"/>
    <w:rsid w:val="001C560B"/>
    <w:rsid w:val="001C5C3A"/>
    <w:rsid w:val="001C684B"/>
    <w:rsid w:val="001C748C"/>
    <w:rsid w:val="001D0CFB"/>
    <w:rsid w:val="001D21AF"/>
    <w:rsid w:val="001D3AD2"/>
    <w:rsid w:val="001D53FC"/>
    <w:rsid w:val="001D791A"/>
    <w:rsid w:val="001E0AF5"/>
    <w:rsid w:val="001E2EA9"/>
    <w:rsid w:val="001E33C6"/>
    <w:rsid w:val="001F42A5"/>
    <w:rsid w:val="001F7B9D"/>
    <w:rsid w:val="00201C93"/>
    <w:rsid w:val="00203B2D"/>
    <w:rsid w:val="002104CC"/>
    <w:rsid w:val="0021083D"/>
    <w:rsid w:val="002115B0"/>
    <w:rsid w:val="002224B4"/>
    <w:rsid w:val="00222A73"/>
    <w:rsid w:val="0022526C"/>
    <w:rsid w:val="00231212"/>
    <w:rsid w:val="00233626"/>
    <w:rsid w:val="00236BE4"/>
    <w:rsid w:val="00242DCF"/>
    <w:rsid w:val="002447EF"/>
    <w:rsid w:val="00250047"/>
    <w:rsid w:val="00251550"/>
    <w:rsid w:val="0025372E"/>
    <w:rsid w:val="002568ED"/>
    <w:rsid w:val="00263B05"/>
    <w:rsid w:val="002656BA"/>
    <w:rsid w:val="0027221A"/>
    <w:rsid w:val="0027242D"/>
    <w:rsid w:val="00275B61"/>
    <w:rsid w:val="0028036D"/>
    <w:rsid w:val="00280FAF"/>
    <w:rsid w:val="00282656"/>
    <w:rsid w:val="0028344A"/>
    <w:rsid w:val="00287253"/>
    <w:rsid w:val="002901F7"/>
    <w:rsid w:val="00294E96"/>
    <w:rsid w:val="00296B83"/>
    <w:rsid w:val="002A6717"/>
    <w:rsid w:val="002B0970"/>
    <w:rsid w:val="002B4015"/>
    <w:rsid w:val="002B78CE"/>
    <w:rsid w:val="002B7EF0"/>
    <w:rsid w:val="002C0DA7"/>
    <w:rsid w:val="002C1A96"/>
    <w:rsid w:val="002C24F7"/>
    <w:rsid w:val="002C2FB6"/>
    <w:rsid w:val="002C34EF"/>
    <w:rsid w:val="002D14CC"/>
    <w:rsid w:val="002D54B2"/>
    <w:rsid w:val="002E46D3"/>
    <w:rsid w:val="002E5FA7"/>
    <w:rsid w:val="002F029F"/>
    <w:rsid w:val="002F3309"/>
    <w:rsid w:val="002F3717"/>
    <w:rsid w:val="003008CE"/>
    <w:rsid w:val="003009B7"/>
    <w:rsid w:val="00300E56"/>
    <w:rsid w:val="0030152C"/>
    <w:rsid w:val="0030265F"/>
    <w:rsid w:val="00302CEC"/>
    <w:rsid w:val="0030469C"/>
    <w:rsid w:val="00314419"/>
    <w:rsid w:val="00321CA6"/>
    <w:rsid w:val="00323763"/>
    <w:rsid w:val="00323C5F"/>
    <w:rsid w:val="003241E6"/>
    <w:rsid w:val="00324875"/>
    <w:rsid w:val="0032535E"/>
    <w:rsid w:val="003263D7"/>
    <w:rsid w:val="00334C09"/>
    <w:rsid w:val="00337545"/>
    <w:rsid w:val="0033794B"/>
    <w:rsid w:val="00346478"/>
    <w:rsid w:val="003715A1"/>
    <w:rsid w:val="003723D4"/>
    <w:rsid w:val="003725EA"/>
    <w:rsid w:val="0037435B"/>
    <w:rsid w:val="00377BB2"/>
    <w:rsid w:val="00380DC3"/>
    <w:rsid w:val="00381905"/>
    <w:rsid w:val="00384CC8"/>
    <w:rsid w:val="00386E29"/>
    <w:rsid w:val="003871FD"/>
    <w:rsid w:val="003904D3"/>
    <w:rsid w:val="003933F2"/>
    <w:rsid w:val="00395F0B"/>
    <w:rsid w:val="003A1E30"/>
    <w:rsid w:val="003A2829"/>
    <w:rsid w:val="003A31FF"/>
    <w:rsid w:val="003A5A61"/>
    <w:rsid w:val="003A71FA"/>
    <w:rsid w:val="003A7D1C"/>
    <w:rsid w:val="003B304B"/>
    <w:rsid w:val="003B3146"/>
    <w:rsid w:val="003B49CD"/>
    <w:rsid w:val="003C1710"/>
    <w:rsid w:val="003C1E1B"/>
    <w:rsid w:val="003C2A8B"/>
    <w:rsid w:val="003D1E02"/>
    <w:rsid w:val="003D7372"/>
    <w:rsid w:val="003E2EAD"/>
    <w:rsid w:val="003E40E4"/>
    <w:rsid w:val="003F015E"/>
    <w:rsid w:val="003F13A0"/>
    <w:rsid w:val="003F4FE5"/>
    <w:rsid w:val="003F6282"/>
    <w:rsid w:val="00400414"/>
    <w:rsid w:val="004005F0"/>
    <w:rsid w:val="00403441"/>
    <w:rsid w:val="00403A9F"/>
    <w:rsid w:val="004048DC"/>
    <w:rsid w:val="004135A7"/>
    <w:rsid w:val="0041446B"/>
    <w:rsid w:val="0041679A"/>
    <w:rsid w:val="00417A94"/>
    <w:rsid w:val="00422E94"/>
    <w:rsid w:val="004268F0"/>
    <w:rsid w:val="0043183B"/>
    <w:rsid w:val="0044071E"/>
    <w:rsid w:val="0044329C"/>
    <w:rsid w:val="00453924"/>
    <w:rsid w:val="00453E24"/>
    <w:rsid w:val="004550F7"/>
    <w:rsid w:val="004563AD"/>
    <w:rsid w:val="00456922"/>
    <w:rsid w:val="00457456"/>
    <w:rsid w:val="004577FE"/>
    <w:rsid w:val="00457B9C"/>
    <w:rsid w:val="0046164A"/>
    <w:rsid w:val="004628D2"/>
    <w:rsid w:val="00462DCD"/>
    <w:rsid w:val="004648AD"/>
    <w:rsid w:val="00464947"/>
    <w:rsid w:val="00464F0F"/>
    <w:rsid w:val="00466072"/>
    <w:rsid w:val="004703A9"/>
    <w:rsid w:val="0047203A"/>
    <w:rsid w:val="00472050"/>
    <w:rsid w:val="004760DE"/>
    <w:rsid w:val="004763D7"/>
    <w:rsid w:val="00476FCE"/>
    <w:rsid w:val="00485A53"/>
    <w:rsid w:val="004925DE"/>
    <w:rsid w:val="0049514B"/>
    <w:rsid w:val="004A004E"/>
    <w:rsid w:val="004A24CF"/>
    <w:rsid w:val="004A2D45"/>
    <w:rsid w:val="004B4F23"/>
    <w:rsid w:val="004B566E"/>
    <w:rsid w:val="004C3D1D"/>
    <w:rsid w:val="004C3D84"/>
    <w:rsid w:val="004C64C4"/>
    <w:rsid w:val="004C6693"/>
    <w:rsid w:val="004C7913"/>
    <w:rsid w:val="004C7C82"/>
    <w:rsid w:val="004D0DB4"/>
    <w:rsid w:val="004E2B84"/>
    <w:rsid w:val="004E4DD6"/>
    <w:rsid w:val="004F2CD5"/>
    <w:rsid w:val="004F45B6"/>
    <w:rsid w:val="004F5E36"/>
    <w:rsid w:val="00507073"/>
    <w:rsid w:val="00507B47"/>
    <w:rsid w:val="00507BEF"/>
    <w:rsid w:val="00507CC9"/>
    <w:rsid w:val="005119A5"/>
    <w:rsid w:val="005278B7"/>
    <w:rsid w:val="0053200B"/>
    <w:rsid w:val="00532016"/>
    <w:rsid w:val="005334B0"/>
    <w:rsid w:val="005346C8"/>
    <w:rsid w:val="00536B05"/>
    <w:rsid w:val="00540FE8"/>
    <w:rsid w:val="00543E7D"/>
    <w:rsid w:val="00547A68"/>
    <w:rsid w:val="005531C9"/>
    <w:rsid w:val="00554879"/>
    <w:rsid w:val="0055635C"/>
    <w:rsid w:val="00560220"/>
    <w:rsid w:val="00561D8B"/>
    <w:rsid w:val="005661C7"/>
    <w:rsid w:val="00570C43"/>
    <w:rsid w:val="00573D56"/>
    <w:rsid w:val="0057658E"/>
    <w:rsid w:val="00577598"/>
    <w:rsid w:val="00581286"/>
    <w:rsid w:val="00582FAB"/>
    <w:rsid w:val="005849C0"/>
    <w:rsid w:val="00592274"/>
    <w:rsid w:val="0059356F"/>
    <w:rsid w:val="005A0705"/>
    <w:rsid w:val="005A1D97"/>
    <w:rsid w:val="005A4F33"/>
    <w:rsid w:val="005A658F"/>
    <w:rsid w:val="005A7846"/>
    <w:rsid w:val="005B2110"/>
    <w:rsid w:val="005B350B"/>
    <w:rsid w:val="005B61E6"/>
    <w:rsid w:val="005C0BD8"/>
    <w:rsid w:val="005C278B"/>
    <w:rsid w:val="005C575A"/>
    <w:rsid w:val="005C77E1"/>
    <w:rsid w:val="005D00C0"/>
    <w:rsid w:val="005D2779"/>
    <w:rsid w:val="005D4981"/>
    <w:rsid w:val="005D4AE6"/>
    <w:rsid w:val="005D668A"/>
    <w:rsid w:val="005D6A2F"/>
    <w:rsid w:val="005D7EAD"/>
    <w:rsid w:val="005E0592"/>
    <w:rsid w:val="005E1A82"/>
    <w:rsid w:val="005E2CB7"/>
    <w:rsid w:val="005E794C"/>
    <w:rsid w:val="005F0A28"/>
    <w:rsid w:val="005F0E5E"/>
    <w:rsid w:val="005F2056"/>
    <w:rsid w:val="005F4EC6"/>
    <w:rsid w:val="005F7F71"/>
    <w:rsid w:val="00600535"/>
    <w:rsid w:val="00601116"/>
    <w:rsid w:val="006105E5"/>
    <w:rsid w:val="00610CD6"/>
    <w:rsid w:val="00611FC1"/>
    <w:rsid w:val="00617867"/>
    <w:rsid w:val="00617F77"/>
    <w:rsid w:val="00620DEE"/>
    <w:rsid w:val="00621F92"/>
    <w:rsid w:val="0062280A"/>
    <w:rsid w:val="006231E1"/>
    <w:rsid w:val="00625639"/>
    <w:rsid w:val="006266F4"/>
    <w:rsid w:val="00631B33"/>
    <w:rsid w:val="0064184D"/>
    <w:rsid w:val="00641DAA"/>
    <w:rsid w:val="006422CC"/>
    <w:rsid w:val="006477AC"/>
    <w:rsid w:val="00651D18"/>
    <w:rsid w:val="00660E3E"/>
    <w:rsid w:val="006620CC"/>
    <w:rsid w:val="00662E74"/>
    <w:rsid w:val="00671261"/>
    <w:rsid w:val="0068057B"/>
    <w:rsid w:val="00680C23"/>
    <w:rsid w:val="00683E23"/>
    <w:rsid w:val="00691A40"/>
    <w:rsid w:val="00693766"/>
    <w:rsid w:val="00693E61"/>
    <w:rsid w:val="00695B70"/>
    <w:rsid w:val="006964BB"/>
    <w:rsid w:val="006A3281"/>
    <w:rsid w:val="006A3648"/>
    <w:rsid w:val="006A6DE5"/>
    <w:rsid w:val="006A75B6"/>
    <w:rsid w:val="006B4888"/>
    <w:rsid w:val="006C247F"/>
    <w:rsid w:val="006C2E45"/>
    <w:rsid w:val="006C359C"/>
    <w:rsid w:val="006C4C50"/>
    <w:rsid w:val="006C5579"/>
    <w:rsid w:val="006C653B"/>
    <w:rsid w:val="006D6E8B"/>
    <w:rsid w:val="006D7209"/>
    <w:rsid w:val="006E737D"/>
    <w:rsid w:val="006F3874"/>
    <w:rsid w:val="007042F6"/>
    <w:rsid w:val="00706317"/>
    <w:rsid w:val="00707DD1"/>
    <w:rsid w:val="0071077B"/>
    <w:rsid w:val="00711860"/>
    <w:rsid w:val="00713973"/>
    <w:rsid w:val="00716D10"/>
    <w:rsid w:val="00720A24"/>
    <w:rsid w:val="00731D9B"/>
    <w:rsid w:val="0073221E"/>
    <w:rsid w:val="00732386"/>
    <w:rsid w:val="0073514D"/>
    <w:rsid w:val="007429DA"/>
    <w:rsid w:val="00743D4D"/>
    <w:rsid w:val="007447F3"/>
    <w:rsid w:val="00746572"/>
    <w:rsid w:val="007466F4"/>
    <w:rsid w:val="00750AAC"/>
    <w:rsid w:val="0075499F"/>
    <w:rsid w:val="00763C50"/>
    <w:rsid w:val="007661C8"/>
    <w:rsid w:val="0077023E"/>
    <w:rsid w:val="0077098D"/>
    <w:rsid w:val="00772CCB"/>
    <w:rsid w:val="0077705F"/>
    <w:rsid w:val="00777297"/>
    <w:rsid w:val="00777F9A"/>
    <w:rsid w:val="00780FB6"/>
    <w:rsid w:val="00782822"/>
    <w:rsid w:val="00785BF9"/>
    <w:rsid w:val="00786EA9"/>
    <w:rsid w:val="00790A6C"/>
    <w:rsid w:val="00790D3F"/>
    <w:rsid w:val="0079191B"/>
    <w:rsid w:val="00792A62"/>
    <w:rsid w:val="007931FA"/>
    <w:rsid w:val="00794E46"/>
    <w:rsid w:val="007A4861"/>
    <w:rsid w:val="007A7BBA"/>
    <w:rsid w:val="007B0093"/>
    <w:rsid w:val="007B0C50"/>
    <w:rsid w:val="007B48F9"/>
    <w:rsid w:val="007C1A43"/>
    <w:rsid w:val="007C2AEA"/>
    <w:rsid w:val="007D0951"/>
    <w:rsid w:val="007D1A64"/>
    <w:rsid w:val="007D55A8"/>
    <w:rsid w:val="007D610D"/>
    <w:rsid w:val="007F1EEE"/>
    <w:rsid w:val="0080013E"/>
    <w:rsid w:val="00801759"/>
    <w:rsid w:val="00803690"/>
    <w:rsid w:val="00806D17"/>
    <w:rsid w:val="0080744A"/>
    <w:rsid w:val="0080751C"/>
    <w:rsid w:val="00813288"/>
    <w:rsid w:val="008168FC"/>
    <w:rsid w:val="00821489"/>
    <w:rsid w:val="0083086F"/>
    <w:rsid w:val="00830996"/>
    <w:rsid w:val="00833315"/>
    <w:rsid w:val="008345F1"/>
    <w:rsid w:val="008409B0"/>
    <w:rsid w:val="00860AD3"/>
    <w:rsid w:val="00860C40"/>
    <w:rsid w:val="008621F0"/>
    <w:rsid w:val="0086328B"/>
    <w:rsid w:val="00864D35"/>
    <w:rsid w:val="00864F1C"/>
    <w:rsid w:val="00865B00"/>
    <w:rsid w:val="00865B07"/>
    <w:rsid w:val="008667EA"/>
    <w:rsid w:val="00870403"/>
    <w:rsid w:val="0087271E"/>
    <w:rsid w:val="0087637F"/>
    <w:rsid w:val="00880BEC"/>
    <w:rsid w:val="008832AA"/>
    <w:rsid w:val="00884936"/>
    <w:rsid w:val="008860D0"/>
    <w:rsid w:val="00886A26"/>
    <w:rsid w:val="00892AD5"/>
    <w:rsid w:val="008A1512"/>
    <w:rsid w:val="008A25AD"/>
    <w:rsid w:val="008A5755"/>
    <w:rsid w:val="008A6506"/>
    <w:rsid w:val="008B328F"/>
    <w:rsid w:val="008B35BA"/>
    <w:rsid w:val="008C1159"/>
    <w:rsid w:val="008C2620"/>
    <w:rsid w:val="008D32B9"/>
    <w:rsid w:val="008D433B"/>
    <w:rsid w:val="008D4A16"/>
    <w:rsid w:val="008E1F87"/>
    <w:rsid w:val="008E3854"/>
    <w:rsid w:val="008E5401"/>
    <w:rsid w:val="008E566E"/>
    <w:rsid w:val="008F03FA"/>
    <w:rsid w:val="008F6243"/>
    <w:rsid w:val="0090161A"/>
    <w:rsid w:val="00901EB6"/>
    <w:rsid w:val="009041F8"/>
    <w:rsid w:val="00904C62"/>
    <w:rsid w:val="00905413"/>
    <w:rsid w:val="009056BD"/>
    <w:rsid w:val="00905C51"/>
    <w:rsid w:val="0091208F"/>
    <w:rsid w:val="00917CF5"/>
    <w:rsid w:val="00920481"/>
    <w:rsid w:val="00922BA8"/>
    <w:rsid w:val="00924DAC"/>
    <w:rsid w:val="00927058"/>
    <w:rsid w:val="00930249"/>
    <w:rsid w:val="0093247A"/>
    <w:rsid w:val="00936094"/>
    <w:rsid w:val="00942750"/>
    <w:rsid w:val="009450CE"/>
    <w:rsid w:val="009459BB"/>
    <w:rsid w:val="00947179"/>
    <w:rsid w:val="009507C5"/>
    <w:rsid w:val="0095164B"/>
    <w:rsid w:val="00953AF8"/>
    <w:rsid w:val="00954090"/>
    <w:rsid w:val="00955885"/>
    <w:rsid w:val="009573E7"/>
    <w:rsid w:val="0096052B"/>
    <w:rsid w:val="00961CFA"/>
    <w:rsid w:val="00963E05"/>
    <w:rsid w:val="00963F9E"/>
    <w:rsid w:val="00964A45"/>
    <w:rsid w:val="00966682"/>
    <w:rsid w:val="00967843"/>
    <w:rsid w:val="00967D54"/>
    <w:rsid w:val="00971028"/>
    <w:rsid w:val="00971408"/>
    <w:rsid w:val="00971CA2"/>
    <w:rsid w:val="00975B90"/>
    <w:rsid w:val="00976542"/>
    <w:rsid w:val="009815C8"/>
    <w:rsid w:val="00991A01"/>
    <w:rsid w:val="00993B84"/>
    <w:rsid w:val="00994C6A"/>
    <w:rsid w:val="009952F2"/>
    <w:rsid w:val="00996483"/>
    <w:rsid w:val="00996DF8"/>
    <w:rsid w:val="00996F5A"/>
    <w:rsid w:val="009A4127"/>
    <w:rsid w:val="009B041A"/>
    <w:rsid w:val="009B1C29"/>
    <w:rsid w:val="009B32EE"/>
    <w:rsid w:val="009B62E7"/>
    <w:rsid w:val="009C37C3"/>
    <w:rsid w:val="009C7C86"/>
    <w:rsid w:val="009D2FF7"/>
    <w:rsid w:val="009E7884"/>
    <w:rsid w:val="009E788A"/>
    <w:rsid w:val="009F0E08"/>
    <w:rsid w:val="009F1EEF"/>
    <w:rsid w:val="009F478F"/>
    <w:rsid w:val="00A05158"/>
    <w:rsid w:val="00A06732"/>
    <w:rsid w:val="00A079AE"/>
    <w:rsid w:val="00A1763D"/>
    <w:rsid w:val="00A17CEC"/>
    <w:rsid w:val="00A21D17"/>
    <w:rsid w:val="00A27EF0"/>
    <w:rsid w:val="00A31CA7"/>
    <w:rsid w:val="00A4117D"/>
    <w:rsid w:val="00A42361"/>
    <w:rsid w:val="00A50B20"/>
    <w:rsid w:val="00A51390"/>
    <w:rsid w:val="00A60D13"/>
    <w:rsid w:val="00A7223D"/>
    <w:rsid w:val="00A72745"/>
    <w:rsid w:val="00A727DC"/>
    <w:rsid w:val="00A76EFC"/>
    <w:rsid w:val="00A77DEE"/>
    <w:rsid w:val="00A82349"/>
    <w:rsid w:val="00A87486"/>
    <w:rsid w:val="00A87D50"/>
    <w:rsid w:val="00A87D55"/>
    <w:rsid w:val="00A91010"/>
    <w:rsid w:val="00A92D19"/>
    <w:rsid w:val="00A96BEF"/>
    <w:rsid w:val="00A97F29"/>
    <w:rsid w:val="00AA1242"/>
    <w:rsid w:val="00AA30AB"/>
    <w:rsid w:val="00AA38F1"/>
    <w:rsid w:val="00AA57A0"/>
    <w:rsid w:val="00AA702E"/>
    <w:rsid w:val="00AA7D26"/>
    <w:rsid w:val="00AB0964"/>
    <w:rsid w:val="00AB0D7F"/>
    <w:rsid w:val="00AB1A18"/>
    <w:rsid w:val="00AB43F9"/>
    <w:rsid w:val="00AB4659"/>
    <w:rsid w:val="00AB5011"/>
    <w:rsid w:val="00AC25ED"/>
    <w:rsid w:val="00AC7368"/>
    <w:rsid w:val="00AD00C9"/>
    <w:rsid w:val="00AD08CD"/>
    <w:rsid w:val="00AD1597"/>
    <w:rsid w:val="00AD16B9"/>
    <w:rsid w:val="00AD1DAB"/>
    <w:rsid w:val="00AD34B0"/>
    <w:rsid w:val="00AD506A"/>
    <w:rsid w:val="00AE377D"/>
    <w:rsid w:val="00AE4542"/>
    <w:rsid w:val="00AE58EC"/>
    <w:rsid w:val="00AF0EBA"/>
    <w:rsid w:val="00AF17C4"/>
    <w:rsid w:val="00AF2463"/>
    <w:rsid w:val="00AF2577"/>
    <w:rsid w:val="00AF4B2A"/>
    <w:rsid w:val="00AF64A3"/>
    <w:rsid w:val="00B01CC1"/>
    <w:rsid w:val="00B02C8A"/>
    <w:rsid w:val="00B10F80"/>
    <w:rsid w:val="00B110C6"/>
    <w:rsid w:val="00B15B36"/>
    <w:rsid w:val="00B15BE2"/>
    <w:rsid w:val="00B17FBD"/>
    <w:rsid w:val="00B23627"/>
    <w:rsid w:val="00B24BB4"/>
    <w:rsid w:val="00B25E2D"/>
    <w:rsid w:val="00B315A6"/>
    <w:rsid w:val="00B31813"/>
    <w:rsid w:val="00B33365"/>
    <w:rsid w:val="00B40AD1"/>
    <w:rsid w:val="00B4150A"/>
    <w:rsid w:val="00B41A14"/>
    <w:rsid w:val="00B447C6"/>
    <w:rsid w:val="00B47F0E"/>
    <w:rsid w:val="00B47F39"/>
    <w:rsid w:val="00B507FC"/>
    <w:rsid w:val="00B573A5"/>
    <w:rsid w:val="00B57B36"/>
    <w:rsid w:val="00B57E6F"/>
    <w:rsid w:val="00B60E61"/>
    <w:rsid w:val="00B63DE0"/>
    <w:rsid w:val="00B705BD"/>
    <w:rsid w:val="00B73F25"/>
    <w:rsid w:val="00B75372"/>
    <w:rsid w:val="00B754C6"/>
    <w:rsid w:val="00B8686D"/>
    <w:rsid w:val="00B93F69"/>
    <w:rsid w:val="00B97EC4"/>
    <w:rsid w:val="00BA49F2"/>
    <w:rsid w:val="00BB1DDC"/>
    <w:rsid w:val="00BC14AB"/>
    <w:rsid w:val="00BC30C9"/>
    <w:rsid w:val="00BC338B"/>
    <w:rsid w:val="00BD077D"/>
    <w:rsid w:val="00BD12D0"/>
    <w:rsid w:val="00BD4BAF"/>
    <w:rsid w:val="00BD6833"/>
    <w:rsid w:val="00BE19A8"/>
    <w:rsid w:val="00BE3E58"/>
    <w:rsid w:val="00BE44E0"/>
    <w:rsid w:val="00BF13CE"/>
    <w:rsid w:val="00BF2EB5"/>
    <w:rsid w:val="00C01616"/>
    <w:rsid w:val="00C0162B"/>
    <w:rsid w:val="00C04B94"/>
    <w:rsid w:val="00C068ED"/>
    <w:rsid w:val="00C11662"/>
    <w:rsid w:val="00C20321"/>
    <w:rsid w:val="00C22E0C"/>
    <w:rsid w:val="00C241EE"/>
    <w:rsid w:val="00C32C7D"/>
    <w:rsid w:val="00C340B0"/>
    <w:rsid w:val="00C345B1"/>
    <w:rsid w:val="00C36CBB"/>
    <w:rsid w:val="00C40142"/>
    <w:rsid w:val="00C46CC8"/>
    <w:rsid w:val="00C52C3C"/>
    <w:rsid w:val="00C57113"/>
    <w:rsid w:val="00C57182"/>
    <w:rsid w:val="00C57863"/>
    <w:rsid w:val="00C640AF"/>
    <w:rsid w:val="00C649F6"/>
    <w:rsid w:val="00C655FD"/>
    <w:rsid w:val="00C7130F"/>
    <w:rsid w:val="00C72535"/>
    <w:rsid w:val="00C75407"/>
    <w:rsid w:val="00C77418"/>
    <w:rsid w:val="00C81E7D"/>
    <w:rsid w:val="00C8246C"/>
    <w:rsid w:val="00C82780"/>
    <w:rsid w:val="00C83AC5"/>
    <w:rsid w:val="00C841C6"/>
    <w:rsid w:val="00C870A8"/>
    <w:rsid w:val="00C9000C"/>
    <w:rsid w:val="00C92345"/>
    <w:rsid w:val="00C94434"/>
    <w:rsid w:val="00C96CD3"/>
    <w:rsid w:val="00CA0D75"/>
    <w:rsid w:val="00CA1C95"/>
    <w:rsid w:val="00CA5A9C"/>
    <w:rsid w:val="00CB14E7"/>
    <w:rsid w:val="00CC1979"/>
    <w:rsid w:val="00CC3ADC"/>
    <w:rsid w:val="00CC3BFB"/>
    <w:rsid w:val="00CC4C20"/>
    <w:rsid w:val="00CC7F69"/>
    <w:rsid w:val="00CD1C6F"/>
    <w:rsid w:val="00CD3517"/>
    <w:rsid w:val="00CD3A06"/>
    <w:rsid w:val="00CD5FE2"/>
    <w:rsid w:val="00CD7CDB"/>
    <w:rsid w:val="00CE7C68"/>
    <w:rsid w:val="00CF37B6"/>
    <w:rsid w:val="00CF7AF5"/>
    <w:rsid w:val="00D02312"/>
    <w:rsid w:val="00D02B4C"/>
    <w:rsid w:val="00D031DB"/>
    <w:rsid w:val="00D040C4"/>
    <w:rsid w:val="00D05B8A"/>
    <w:rsid w:val="00D160BC"/>
    <w:rsid w:val="00D20AD1"/>
    <w:rsid w:val="00D22866"/>
    <w:rsid w:val="00D2582C"/>
    <w:rsid w:val="00D333F7"/>
    <w:rsid w:val="00D34BF1"/>
    <w:rsid w:val="00D37326"/>
    <w:rsid w:val="00D401D9"/>
    <w:rsid w:val="00D4023E"/>
    <w:rsid w:val="00D40CBA"/>
    <w:rsid w:val="00D4337B"/>
    <w:rsid w:val="00D44B4E"/>
    <w:rsid w:val="00D46B7E"/>
    <w:rsid w:val="00D47A0C"/>
    <w:rsid w:val="00D54114"/>
    <w:rsid w:val="00D57C84"/>
    <w:rsid w:val="00D6057D"/>
    <w:rsid w:val="00D60881"/>
    <w:rsid w:val="00D619A3"/>
    <w:rsid w:val="00D6493D"/>
    <w:rsid w:val="00D71640"/>
    <w:rsid w:val="00D717DF"/>
    <w:rsid w:val="00D72DF6"/>
    <w:rsid w:val="00D73FD9"/>
    <w:rsid w:val="00D80C8A"/>
    <w:rsid w:val="00D81E2C"/>
    <w:rsid w:val="00D820E8"/>
    <w:rsid w:val="00D82775"/>
    <w:rsid w:val="00D836C5"/>
    <w:rsid w:val="00D84576"/>
    <w:rsid w:val="00D91019"/>
    <w:rsid w:val="00D94655"/>
    <w:rsid w:val="00DA1399"/>
    <w:rsid w:val="00DA1CF8"/>
    <w:rsid w:val="00DA1D2F"/>
    <w:rsid w:val="00DA24C6"/>
    <w:rsid w:val="00DA4D7B"/>
    <w:rsid w:val="00DA5442"/>
    <w:rsid w:val="00DA69D2"/>
    <w:rsid w:val="00DB1613"/>
    <w:rsid w:val="00DC2840"/>
    <w:rsid w:val="00DC73EE"/>
    <w:rsid w:val="00DD271C"/>
    <w:rsid w:val="00DE05C0"/>
    <w:rsid w:val="00DE264A"/>
    <w:rsid w:val="00DE3D55"/>
    <w:rsid w:val="00DF5072"/>
    <w:rsid w:val="00E02D18"/>
    <w:rsid w:val="00E041E7"/>
    <w:rsid w:val="00E1187F"/>
    <w:rsid w:val="00E132BE"/>
    <w:rsid w:val="00E17FCB"/>
    <w:rsid w:val="00E21EDF"/>
    <w:rsid w:val="00E22343"/>
    <w:rsid w:val="00E23CA1"/>
    <w:rsid w:val="00E307F0"/>
    <w:rsid w:val="00E316CC"/>
    <w:rsid w:val="00E409A8"/>
    <w:rsid w:val="00E50C12"/>
    <w:rsid w:val="00E607D6"/>
    <w:rsid w:val="00E65B91"/>
    <w:rsid w:val="00E7179D"/>
    <w:rsid w:val="00E7209D"/>
    <w:rsid w:val="00E7295F"/>
    <w:rsid w:val="00E72EAD"/>
    <w:rsid w:val="00E77223"/>
    <w:rsid w:val="00E80B3C"/>
    <w:rsid w:val="00E8528B"/>
    <w:rsid w:val="00E85B94"/>
    <w:rsid w:val="00E87106"/>
    <w:rsid w:val="00E978D0"/>
    <w:rsid w:val="00EA0679"/>
    <w:rsid w:val="00EA0CD9"/>
    <w:rsid w:val="00EA2652"/>
    <w:rsid w:val="00EA4613"/>
    <w:rsid w:val="00EA7297"/>
    <w:rsid w:val="00EA7F91"/>
    <w:rsid w:val="00EB1523"/>
    <w:rsid w:val="00EB6C05"/>
    <w:rsid w:val="00EC0E49"/>
    <w:rsid w:val="00EC101F"/>
    <w:rsid w:val="00EC10B7"/>
    <w:rsid w:val="00EC1D9F"/>
    <w:rsid w:val="00EC531C"/>
    <w:rsid w:val="00ED4EF4"/>
    <w:rsid w:val="00ED7C2A"/>
    <w:rsid w:val="00EE0131"/>
    <w:rsid w:val="00EE17B0"/>
    <w:rsid w:val="00EF06D9"/>
    <w:rsid w:val="00F1132A"/>
    <w:rsid w:val="00F12873"/>
    <w:rsid w:val="00F24CCC"/>
    <w:rsid w:val="00F26FB2"/>
    <w:rsid w:val="00F3049E"/>
    <w:rsid w:val="00F30C64"/>
    <w:rsid w:val="00F32BA2"/>
    <w:rsid w:val="00F32CDB"/>
    <w:rsid w:val="00F33FF0"/>
    <w:rsid w:val="00F418B0"/>
    <w:rsid w:val="00F41EE4"/>
    <w:rsid w:val="00F44905"/>
    <w:rsid w:val="00F502BA"/>
    <w:rsid w:val="00F5058C"/>
    <w:rsid w:val="00F555BB"/>
    <w:rsid w:val="00F565FE"/>
    <w:rsid w:val="00F57907"/>
    <w:rsid w:val="00F6063A"/>
    <w:rsid w:val="00F61496"/>
    <w:rsid w:val="00F62111"/>
    <w:rsid w:val="00F63A70"/>
    <w:rsid w:val="00F63D8C"/>
    <w:rsid w:val="00F648EF"/>
    <w:rsid w:val="00F65F54"/>
    <w:rsid w:val="00F7534E"/>
    <w:rsid w:val="00F760E3"/>
    <w:rsid w:val="00F81D63"/>
    <w:rsid w:val="00F914C2"/>
    <w:rsid w:val="00F91BE4"/>
    <w:rsid w:val="00F92DE0"/>
    <w:rsid w:val="00F93A12"/>
    <w:rsid w:val="00F93EDF"/>
    <w:rsid w:val="00F951AE"/>
    <w:rsid w:val="00F9539A"/>
    <w:rsid w:val="00F97973"/>
    <w:rsid w:val="00FA1802"/>
    <w:rsid w:val="00FA21D0"/>
    <w:rsid w:val="00FA5563"/>
    <w:rsid w:val="00FA5F5F"/>
    <w:rsid w:val="00FB509C"/>
    <w:rsid w:val="00FB730C"/>
    <w:rsid w:val="00FC2695"/>
    <w:rsid w:val="00FC2E7D"/>
    <w:rsid w:val="00FC3E03"/>
    <w:rsid w:val="00FC3FC1"/>
    <w:rsid w:val="00FC517E"/>
    <w:rsid w:val="00FD16AC"/>
    <w:rsid w:val="00FD2B90"/>
    <w:rsid w:val="00FD5511"/>
    <w:rsid w:val="00FD61DF"/>
    <w:rsid w:val="00FE2B08"/>
    <w:rsid w:val="00FF09F7"/>
    <w:rsid w:val="00FF301B"/>
    <w:rsid w:val="00FF669E"/>
    <w:rsid w:val="00FF7C9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110C6"/>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110C6"/>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paragraph" w:customStyle="1" w:styleId="MDPI17abstract">
    <w:name w:val="MDPI_1.7_abstract"/>
    <w:next w:val="Normal"/>
    <w:qFormat/>
    <w:rsid w:val="00A96BEF"/>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31text">
    <w:name w:val="MDPI_3.1_text"/>
    <w:qFormat/>
    <w:rsid w:val="00536B05"/>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51figurecaption">
    <w:name w:val="MDPI_5.1_figure_caption"/>
    <w:qFormat/>
    <w:rsid w:val="00971408"/>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val="en-US" w:eastAsia="de-DE" w:bidi="en-US"/>
    </w:rPr>
  </w:style>
  <w:style w:type="paragraph" w:customStyle="1" w:styleId="MDPI41tablecaption">
    <w:name w:val="MDPI_4.1_table_caption"/>
    <w:qFormat/>
    <w:rsid w:val="00C82780"/>
    <w:pPr>
      <w:adjustRightInd w:val="0"/>
      <w:snapToGrid w:val="0"/>
      <w:spacing w:before="240" w:after="12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34textspacebefore">
    <w:name w:val="MDPI_3.4_text_space_before"/>
    <w:qFormat/>
    <w:rsid w:val="00D619A3"/>
    <w:pPr>
      <w:adjustRightInd w:val="0"/>
      <w:snapToGrid w:val="0"/>
      <w:spacing w:before="240"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equaz">
    <w:name w:val="equaz"/>
    <w:basedOn w:val="Normal"/>
    <w:link w:val="equazCarattere"/>
    <w:qFormat/>
    <w:rsid w:val="00F65F54"/>
    <w:pPr>
      <w:tabs>
        <w:tab w:val="clear" w:pos="7100"/>
      </w:tabs>
      <w:spacing w:before="120" w:after="120" w:line="240" w:lineRule="auto"/>
    </w:pPr>
    <w:rPr>
      <w:rFonts w:ascii="Cambria Math" w:hAnsi="Cambria Math"/>
      <w:i/>
      <w:sz w:val="22"/>
      <w:szCs w:val="22"/>
      <w:lang w:eastAsia="en-GB"/>
    </w:rPr>
  </w:style>
  <w:style w:type="character" w:customStyle="1" w:styleId="equazCarattere">
    <w:name w:val="equaz Carattere"/>
    <w:basedOn w:val="DefaultParagraphFont"/>
    <w:link w:val="equaz"/>
    <w:rsid w:val="00F65F54"/>
    <w:rPr>
      <w:rFonts w:ascii="Cambria Math" w:eastAsia="Times New Roman" w:hAnsi="Cambria Math" w:cs="Times New Roman"/>
      <w:i/>
      <w:lang w:val="en-GB" w:eastAsia="en-GB"/>
    </w:rPr>
  </w:style>
  <w:style w:type="character" w:styleId="PlaceholderText">
    <w:name w:val="Placeholder Text"/>
    <w:basedOn w:val="DefaultParagraphFont"/>
    <w:uiPriority w:val="99"/>
    <w:semiHidden/>
    <w:rsid w:val="00880BEC"/>
    <w:rPr>
      <w:color w:val="666666"/>
    </w:rPr>
  </w:style>
  <w:style w:type="paragraph" w:customStyle="1" w:styleId="MDPI21heading1">
    <w:name w:val="MDPI_2.1_heading1"/>
    <w:qFormat/>
    <w:rsid w:val="0034647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paragraph" w:customStyle="1" w:styleId="MDPI52figure">
    <w:name w:val="MDPI_5.2_figure"/>
    <w:qFormat/>
    <w:rsid w:val="005334B0"/>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val="en-US" w:eastAsia="de-DE" w:bidi="en-US"/>
    </w:rPr>
  </w:style>
  <w:style w:type="paragraph" w:styleId="Revision">
    <w:name w:val="Revision"/>
    <w:hidden/>
    <w:uiPriority w:val="99"/>
    <w:semiHidden/>
    <w:rsid w:val="00617F77"/>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367993076">
      <w:bodyDiv w:val="1"/>
      <w:marLeft w:val="0"/>
      <w:marRight w:val="0"/>
      <w:marTop w:val="0"/>
      <w:marBottom w:val="0"/>
      <w:divBdr>
        <w:top w:val="none" w:sz="0" w:space="0" w:color="auto"/>
        <w:left w:val="none" w:sz="0" w:space="0" w:color="auto"/>
        <w:bottom w:val="none" w:sz="0" w:space="0" w:color="auto"/>
        <w:right w:val="none" w:sz="0" w:space="0" w:color="auto"/>
      </w:divBdr>
    </w:div>
    <w:div w:id="46131302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503467">
      <w:bodyDiv w:val="1"/>
      <w:marLeft w:val="0"/>
      <w:marRight w:val="0"/>
      <w:marTop w:val="0"/>
      <w:marBottom w:val="0"/>
      <w:divBdr>
        <w:top w:val="none" w:sz="0" w:space="0" w:color="auto"/>
        <w:left w:val="none" w:sz="0" w:space="0" w:color="auto"/>
        <w:bottom w:val="none" w:sz="0" w:space="0" w:color="auto"/>
        <w:right w:val="none" w:sz="0" w:space="0" w:color="auto"/>
      </w:divBdr>
      <w:divsChild>
        <w:div w:id="119154452">
          <w:marLeft w:val="0"/>
          <w:marRight w:val="0"/>
          <w:marTop w:val="0"/>
          <w:marBottom w:val="0"/>
          <w:divBdr>
            <w:top w:val="none" w:sz="0" w:space="0" w:color="auto"/>
            <w:left w:val="none" w:sz="0" w:space="0" w:color="auto"/>
            <w:bottom w:val="none" w:sz="0" w:space="0" w:color="auto"/>
            <w:right w:val="none" w:sz="0" w:space="0" w:color="auto"/>
          </w:divBdr>
          <w:divsChild>
            <w:div w:id="119960901">
              <w:marLeft w:val="0"/>
              <w:marRight w:val="0"/>
              <w:marTop w:val="0"/>
              <w:marBottom w:val="0"/>
              <w:divBdr>
                <w:top w:val="none" w:sz="0" w:space="0" w:color="auto"/>
                <w:left w:val="none" w:sz="0" w:space="0" w:color="auto"/>
                <w:bottom w:val="none" w:sz="0" w:space="0" w:color="auto"/>
                <w:right w:val="none" w:sz="0" w:space="0" w:color="auto"/>
              </w:divBdr>
              <w:divsChild>
                <w:div w:id="1268930169">
                  <w:marLeft w:val="0"/>
                  <w:marRight w:val="0"/>
                  <w:marTop w:val="0"/>
                  <w:marBottom w:val="0"/>
                  <w:divBdr>
                    <w:top w:val="none" w:sz="0" w:space="0" w:color="auto"/>
                    <w:left w:val="none" w:sz="0" w:space="0" w:color="auto"/>
                    <w:bottom w:val="none" w:sz="0" w:space="0" w:color="auto"/>
                    <w:right w:val="none" w:sz="0" w:space="0" w:color="auto"/>
                  </w:divBdr>
                  <w:divsChild>
                    <w:div w:id="887455655">
                      <w:marLeft w:val="0"/>
                      <w:marRight w:val="0"/>
                      <w:marTop w:val="0"/>
                      <w:marBottom w:val="0"/>
                      <w:divBdr>
                        <w:top w:val="none" w:sz="0" w:space="0" w:color="auto"/>
                        <w:left w:val="none" w:sz="0" w:space="0" w:color="auto"/>
                        <w:bottom w:val="none" w:sz="0" w:space="0" w:color="auto"/>
                        <w:right w:val="none" w:sz="0" w:space="0" w:color="auto"/>
                      </w:divBdr>
                      <w:divsChild>
                        <w:div w:id="2130931744">
                          <w:marLeft w:val="0"/>
                          <w:marRight w:val="0"/>
                          <w:marTop w:val="0"/>
                          <w:marBottom w:val="0"/>
                          <w:divBdr>
                            <w:top w:val="none" w:sz="0" w:space="0" w:color="auto"/>
                            <w:left w:val="none" w:sz="0" w:space="0" w:color="auto"/>
                            <w:bottom w:val="none" w:sz="0" w:space="0" w:color="auto"/>
                            <w:right w:val="none" w:sz="0" w:space="0" w:color="auto"/>
                          </w:divBdr>
                          <w:divsChild>
                            <w:div w:id="505092237">
                              <w:marLeft w:val="0"/>
                              <w:marRight w:val="0"/>
                              <w:marTop w:val="0"/>
                              <w:marBottom w:val="0"/>
                              <w:divBdr>
                                <w:top w:val="none" w:sz="0" w:space="0" w:color="auto"/>
                                <w:left w:val="none" w:sz="0" w:space="0" w:color="auto"/>
                                <w:bottom w:val="none" w:sz="0" w:space="0" w:color="auto"/>
                                <w:right w:val="none" w:sz="0" w:space="0" w:color="auto"/>
                              </w:divBdr>
                              <w:divsChild>
                                <w:div w:id="1153911263">
                                  <w:marLeft w:val="0"/>
                                  <w:marRight w:val="0"/>
                                  <w:marTop w:val="0"/>
                                  <w:marBottom w:val="0"/>
                                  <w:divBdr>
                                    <w:top w:val="none" w:sz="0" w:space="0" w:color="auto"/>
                                    <w:left w:val="none" w:sz="0" w:space="0" w:color="auto"/>
                                    <w:bottom w:val="none" w:sz="0" w:space="0" w:color="auto"/>
                                    <w:right w:val="none" w:sz="0" w:space="0" w:color="auto"/>
                                  </w:divBdr>
                                  <w:divsChild>
                                    <w:div w:id="1073044238">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8820">
                              <w:marLeft w:val="0"/>
                              <w:marRight w:val="0"/>
                              <w:marTop w:val="0"/>
                              <w:marBottom w:val="0"/>
                              <w:divBdr>
                                <w:top w:val="none" w:sz="0" w:space="0" w:color="auto"/>
                                <w:left w:val="none" w:sz="0" w:space="0" w:color="auto"/>
                                <w:bottom w:val="none" w:sz="0" w:space="0" w:color="auto"/>
                                <w:right w:val="none" w:sz="0" w:space="0" w:color="auto"/>
                              </w:divBdr>
                              <w:divsChild>
                                <w:div w:id="1969315697">
                                  <w:marLeft w:val="0"/>
                                  <w:marRight w:val="0"/>
                                  <w:marTop w:val="0"/>
                                  <w:marBottom w:val="0"/>
                                  <w:divBdr>
                                    <w:top w:val="none" w:sz="0" w:space="0" w:color="auto"/>
                                    <w:left w:val="none" w:sz="0" w:space="0" w:color="auto"/>
                                    <w:bottom w:val="none" w:sz="0" w:space="0" w:color="auto"/>
                                    <w:right w:val="none" w:sz="0" w:space="0" w:color="auto"/>
                                  </w:divBdr>
                                  <w:divsChild>
                                    <w:div w:id="14581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77895">
      <w:bodyDiv w:val="1"/>
      <w:marLeft w:val="0"/>
      <w:marRight w:val="0"/>
      <w:marTop w:val="0"/>
      <w:marBottom w:val="0"/>
      <w:divBdr>
        <w:top w:val="none" w:sz="0" w:space="0" w:color="auto"/>
        <w:left w:val="none" w:sz="0" w:space="0" w:color="auto"/>
        <w:bottom w:val="none" w:sz="0" w:space="0" w:color="auto"/>
        <w:right w:val="none" w:sz="0" w:space="0" w:color="auto"/>
      </w:divBdr>
      <w:divsChild>
        <w:div w:id="1800606316">
          <w:marLeft w:val="0"/>
          <w:marRight w:val="0"/>
          <w:marTop w:val="0"/>
          <w:marBottom w:val="0"/>
          <w:divBdr>
            <w:top w:val="none" w:sz="0" w:space="0" w:color="auto"/>
            <w:left w:val="none" w:sz="0" w:space="0" w:color="auto"/>
            <w:bottom w:val="none" w:sz="0" w:space="0" w:color="auto"/>
            <w:right w:val="none" w:sz="0" w:space="0" w:color="auto"/>
          </w:divBdr>
          <w:divsChild>
            <w:div w:id="1311859358">
              <w:marLeft w:val="0"/>
              <w:marRight w:val="0"/>
              <w:marTop w:val="0"/>
              <w:marBottom w:val="0"/>
              <w:divBdr>
                <w:top w:val="none" w:sz="0" w:space="0" w:color="auto"/>
                <w:left w:val="none" w:sz="0" w:space="0" w:color="auto"/>
                <w:bottom w:val="none" w:sz="0" w:space="0" w:color="auto"/>
                <w:right w:val="none" w:sz="0" w:space="0" w:color="auto"/>
              </w:divBdr>
              <w:divsChild>
                <w:div w:id="1056661486">
                  <w:marLeft w:val="0"/>
                  <w:marRight w:val="0"/>
                  <w:marTop w:val="0"/>
                  <w:marBottom w:val="0"/>
                  <w:divBdr>
                    <w:top w:val="none" w:sz="0" w:space="0" w:color="auto"/>
                    <w:left w:val="none" w:sz="0" w:space="0" w:color="auto"/>
                    <w:bottom w:val="none" w:sz="0" w:space="0" w:color="auto"/>
                    <w:right w:val="none" w:sz="0" w:space="0" w:color="auto"/>
                  </w:divBdr>
                  <w:divsChild>
                    <w:div w:id="393235503">
                      <w:marLeft w:val="0"/>
                      <w:marRight w:val="0"/>
                      <w:marTop w:val="0"/>
                      <w:marBottom w:val="0"/>
                      <w:divBdr>
                        <w:top w:val="none" w:sz="0" w:space="0" w:color="auto"/>
                        <w:left w:val="none" w:sz="0" w:space="0" w:color="auto"/>
                        <w:bottom w:val="none" w:sz="0" w:space="0" w:color="auto"/>
                        <w:right w:val="none" w:sz="0" w:space="0" w:color="auto"/>
                      </w:divBdr>
                      <w:divsChild>
                        <w:div w:id="878318507">
                          <w:marLeft w:val="0"/>
                          <w:marRight w:val="0"/>
                          <w:marTop w:val="0"/>
                          <w:marBottom w:val="0"/>
                          <w:divBdr>
                            <w:top w:val="none" w:sz="0" w:space="0" w:color="auto"/>
                            <w:left w:val="none" w:sz="0" w:space="0" w:color="auto"/>
                            <w:bottom w:val="none" w:sz="0" w:space="0" w:color="auto"/>
                            <w:right w:val="none" w:sz="0" w:space="0" w:color="auto"/>
                          </w:divBdr>
                          <w:divsChild>
                            <w:div w:id="1382828242">
                              <w:marLeft w:val="0"/>
                              <w:marRight w:val="0"/>
                              <w:marTop w:val="0"/>
                              <w:marBottom w:val="0"/>
                              <w:divBdr>
                                <w:top w:val="none" w:sz="0" w:space="0" w:color="auto"/>
                                <w:left w:val="none" w:sz="0" w:space="0" w:color="auto"/>
                                <w:bottom w:val="none" w:sz="0" w:space="0" w:color="auto"/>
                                <w:right w:val="none" w:sz="0" w:space="0" w:color="auto"/>
                              </w:divBdr>
                              <w:divsChild>
                                <w:div w:id="2043744369">
                                  <w:marLeft w:val="0"/>
                                  <w:marRight w:val="0"/>
                                  <w:marTop w:val="0"/>
                                  <w:marBottom w:val="0"/>
                                  <w:divBdr>
                                    <w:top w:val="none" w:sz="0" w:space="0" w:color="auto"/>
                                    <w:left w:val="none" w:sz="0" w:space="0" w:color="auto"/>
                                    <w:bottom w:val="none" w:sz="0" w:space="0" w:color="auto"/>
                                    <w:right w:val="none" w:sz="0" w:space="0" w:color="auto"/>
                                  </w:divBdr>
                                  <w:divsChild>
                                    <w:div w:id="780414358">
                                      <w:marLeft w:val="0"/>
                                      <w:marRight w:val="0"/>
                                      <w:marTop w:val="0"/>
                                      <w:marBottom w:val="0"/>
                                      <w:divBdr>
                                        <w:top w:val="none" w:sz="0" w:space="0" w:color="auto"/>
                                        <w:left w:val="none" w:sz="0" w:space="0" w:color="auto"/>
                                        <w:bottom w:val="none" w:sz="0" w:space="0" w:color="auto"/>
                                        <w:right w:val="none" w:sz="0" w:space="0" w:color="auto"/>
                                      </w:divBdr>
                                      <w:divsChild>
                                        <w:div w:id="37435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66745">
                              <w:marLeft w:val="0"/>
                              <w:marRight w:val="0"/>
                              <w:marTop w:val="0"/>
                              <w:marBottom w:val="0"/>
                              <w:divBdr>
                                <w:top w:val="none" w:sz="0" w:space="0" w:color="auto"/>
                                <w:left w:val="none" w:sz="0" w:space="0" w:color="auto"/>
                                <w:bottom w:val="none" w:sz="0" w:space="0" w:color="auto"/>
                                <w:right w:val="none" w:sz="0" w:space="0" w:color="auto"/>
                              </w:divBdr>
                              <w:divsChild>
                                <w:div w:id="1921063491">
                                  <w:marLeft w:val="0"/>
                                  <w:marRight w:val="0"/>
                                  <w:marTop w:val="0"/>
                                  <w:marBottom w:val="0"/>
                                  <w:divBdr>
                                    <w:top w:val="none" w:sz="0" w:space="0" w:color="auto"/>
                                    <w:left w:val="none" w:sz="0" w:space="0" w:color="auto"/>
                                    <w:bottom w:val="none" w:sz="0" w:space="0" w:color="auto"/>
                                    <w:right w:val="none" w:sz="0" w:space="0" w:color="auto"/>
                                  </w:divBdr>
                                  <w:divsChild>
                                    <w:div w:id="13533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56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6</Pages>
  <Words>3202</Words>
  <Characters>65430</Characters>
  <Application>Microsoft Office Word</Application>
  <DocSecurity>0</DocSecurity>
  <Lines>1189</Lines>
  <Paragraphs>623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68009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Luigi Gurreri</cp:lastModifiedBy>
  <cp:revision>405</cp:revision>
  <cp:lastPrinted>2025-04-22T15:15:00Z</cp:lastPrinted>
  <dcterms:created xsi:type="dcterms:W3CDTF">2025-04-23T14:20:00Z</dcterms:created>
  <dcterms:modified xsi:type="dcterms:W3CDTF">2025-07-14T13:01:00Z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http://www.zotero.org/styles/applied-sciences</vt:lpwstr>
  </property>
  <property fmtid="{D5CDD505-2E9C-101B-9397-08002B2CF9AE}" pid="9" name="Mendeley Recent Style Name 2_1">
    <vt:lpwstr>Applied Sciences</vt:lpwstr>
  </property>
  <property fmtid="{D5CDD505-2E9C-101B-9397-08002B2CF9AE}" pid="10" name="Mendeley Recent Style Id 3_1">
    <vt:lpwstr>http://www.zotero.org/styles/construction-and-building-materials</vt:lpwstr>
  </property>
  <property fmtid="{D5CDD505-2E9C-101B-9397-08002B2CF9AE}" pid="11" name="Mendeley Recent Style Name 3_1">
    <vt:lpwstr>Construction and Building Materials</vt:lpwstr>
  </property>
  <property fmtid="{D5CDD505-2E9C-101B-9397-08002B2CF9AE}" pid="12" name="Mendeley Recent Style Id 4_1">
    <vt:lpwstr>http://www.zotero.org/styles/energies</vt:lpwstr>
  </property>
  <property fmtid="{D5CDD505-2E9C-101B-9397-08002B2CF9AE}" pid="13" name="Mendeley Recent Style Name 4_1">
    <vt:lpwstr>Energies</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http://www.zotero.org/styles/journal-of-building-engineering</vt:lpwstr>
  </property>
  <property fmtid="{D5CDD505-2E9C-101B-9397-08002B2CF9AE}" pid="17" name="Mendeley Recent Style Name 6_1">
    <vt:lpwstr>Journal of Building Engineering</vt:lpwstr>
  </property>
  <property fmtid="{D5CDD505-2E9C-101B-9397-08002B2CF9AE}" pid="18" name="Mendeley Recent Style Id 7_1">
    <vt:lpwstr>http://www.zotero.org/styles/journal-of-environmental-chemical-engineering</vt:lpwstr>
  </property>
  <property fmtid="{D5CDD505-2E9C-101B-9397-08002B2CF9AE}" pid="19" name="Mendeley Recent Style Name 7_1">
    <vt:lpwstr>Journal of Environmental Chemical Engineering</vt:lpwstr>
  </property>
  <property fmtid="{D5CDD505-2E9C-101B-9397-08002B2CF9AE}" pid="20" name="Mendeley Recent Style Id 8_1">
    <vt:lpwstr>http://www.zotero.org/styles/journal-of-membrane-science</vt:lpwstr>
  </property>
  <property fmtid="{D5CDD505-2E9C-101B-9397-08002B2CF9AE}" pid="21" name="Mendeley Recent Style Name 8_1">
    <vt:lpwstr>Journal of Membrane Science</vt:lpwstr>
  </property>
  <property fmtid="{D5CDD505-2E9C-101B-9397-08002B2CF9AE}" pid="22" name="Mendeley Recent Style Id 9_1">
    <vt:lpwstr>http://www.zotero.org/styles/sustainable-chemistry-and-pharmacy</vt:lpwstr>
  </property>
  <property fmtid="{D5CDD505-2E9C-101B-9397-08002B2CF9AE}" pid="23" name="Mendeley Recent Style Name 9_1">
    <vt:lpwstr>Sustainable Chemistry and Pharmacy</vt:lpwstr>
  </property>
  <property fmtid="{D5CDD505-2E9C-101B-9397-08002B2CF9AE}" pid="24" name="Mendeley Document_1">
    <vt:lpwstr>True</vt:lpwstr>
  </property>
  <property fmtid="{D5CDD505-2E9C-101B-9397-08002B2CF9AE}" pid="25" name="Mendeley Unique User Id_1">
    <vt:lpwstr>edd72c5d-b86b-3fb0-a51b-76c2713198ed</vt:lpwstr>
  </property>
  <property fmtid="{D5CDD505-2E9C-101B-9397-08002B2CF9AE}" pid="26" name="Mendeley Citation Style_1">
    <vt:lpwstr>http://www.zotero.org/styles/sustainable-chemistry-and-pharmacy</vt:lpwstr>
  </property>
  <property fmtid="{D5CDD505-2E9C-101B-9397-08002B2CF9AE}" pid="27" name="GrammarlyDocumentId">
    <vt:lpwstr>bf2454d101d4979126e01c2b5e0fc401af4717438449f4e608242e1fc1ed3700</vt:lpwstr>
  </property>
</Properties>
</file>