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6491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D714A" w14:paraId="380FA3CD" w14:textId="77777777" w:rsidTr="00E6491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E6491F" w:rsidRDefault="000D0268" w:rsidP="00CD5FE2">
            <w:pPr>
              <w:spacing w:line="140" w:lineRule="atLeast"/>
              <w:jc w:val="right"/>
              <w:rPr>
                <w:rFonts w:cs="Arial"/>
                <w:sz w:val="13"/>
                <w:szCs w:val="13"/>
                <w:lang w:val="nb-NO"/>
              </w:rPr>
            </w:pPr>
            <w:r w:rsidRPr="00E6491F">
              <w:rPr>
                <w:rFonts w:cs="Arial"/>
                <w:sz w:val="13"/>
                <w:szCs w:val="13"/>
                <w:lang w:val="nb-NO"/>
              </w:rPr>
              <w:t>Online at www.cetjournal.it</w:t>
            </w:r>
          </w:p>
        </w:tc>
      </w:tr>
      <w:tr w:rsidR="000A03B2" w:rsidRPr="00B57B36" w14:paraId="2D1B7169" w14:textId="77777777" w:rsidTr="00E6491F">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1DEC985" w:rsidR="00E978D0" w:rsidRPr="00B57B36" w:rsidRDefault="00E6491F" w:rsidP="00E978D0">
      <w:pPr>
        <w:pStyle w:val="CETTitle"/>
      </w:pPr>
      <w:r w:rsidRPr="00E6491F">
        <w:t>A novel semi-rigorous model for biomass pyrolysis and gasification</w:t>
      </w:r>
    </w:p>
    <w:p w14:paraId="0488FED2" w14:textId="5E20C3D2" w:rsidR="00B57E6F" w:rsidRPr="006A056E" w:rsidRDefault="00BC6B23" w:rsidP="00B57E6F">
      <w:pPr>
        <w:pStyle w:val="CETAuthors"/>
        <w:rPr>
          <w:lang w:val="it-IT"/>
        </w:rPr>
      </w:pPr>
      <w:r w:rsidRPr="006A056E">
        <w:rPr>
          <w:lang w:val="it-IT"/>
        </w:rPr>
        <w:t>Filippo Bisotti</w:t>
      </w:r>
      <w:r w:rsidR="00B57E6F" w:rsidRPr="006A056E">
        <w:rPr>
          <w:vertAlign w:val="superscript"/>
          <w:lang w:val="it-IT"/>
        </w:rPr>
        <w:t>a</w:t>
      </w:r>
      <w:r w:rsidR="006A056E" w:rsidRPr="006A056E">
        <w:rPr>
          <w:vertAlign w:val="superscript"/>
          <w:lang w:val="it-IT"/>
        </w:rPr>
        <w:t>,*</w:t>
      </w:r>
      <w:r w:rsidR="00B57E6F" w:rsidRPr="006A056E">
        <w:rPr>
          <w:lang w:val="it-IT"/>
        </w:rPr>
        <w:t>,</w:t>
      </w:r>
      <w:r w:rsidRPr="006A056E">
        <w:rPr>
          <w:lang w:val="it-IT"/>
        </w:rPr>
        <w:t xml:space="preserve"> Matteo Gilardi</w:t>
      </w:r>
      <w:r w:rsidRPr="006A056E">
        <w:rPr>
          <w:vertAlign w:val="superscript"/>
          <w:lang w:val="it-IT"/>
        </w:rPr>
        <w:t>a</w:t>
      </w:r>
      <w:r w:rsidRPr="006A056E">
        <w:rPr>
          <w:lang w:val="it-IT"/>
        </w:rPr>
        <w:t xml:space="preserve">, Paolo </w:t>
      </w:r>
      <w:r w:rsidR="00281E3E">
        <w:rPr>
          <w:lang w:val="it-IT"/>
        </w:rPr>
        <w:t>d</w:t>
      </w:r>
      <w:r w:rsidRPr="006A056E">
        <w:rPr>
          <w:lang w:val="it-IT"/>
        </w:rPr>
        <w:t>e Carli</w:t>
      </w:r>
      <w:r w:rsidRPr="006A056E">
        <w:rPr>
          <w:vertAlign w:val="superscript"/>
          <w:lang w:val="it-IT"/>
        </w:rPr>
        <w:t>b</w:t>
      </w:r>
      <w:r w:rsidRPr="006A056E">
        <w:rPr>
          <w:lang w:val="it-IT"/>
        </w:rPr>
        <w:t>, Yann Mercier</w:t>
      </w:r>
      <w:r w:rsidRPr="006A056E">
        <w:rPr>
          <w:vertAlign w:val="superscript"/>
          <w:lang w:val="it-IT"/>
        </w:rPr>
        <w:t>b</w:t>
      </w:r>
      <w:r w:rsidRPr="006A056E">
        <w:rPr>
          <w:lang w:val="it-IT"/>
        </w:rPr>
        <w:t>, Bernd Wittgens</w:t>
      </w:r>
      <w:r w:rsidRPr="006A056E">
        <w:rPr>
          <w:vertAlign w:val="superscript"/>
          <w:lang w:val="it-IT"/>
        </w:rPr>
        <w:t>a</w:t>
      </w:r>
      <w:r w:rsidR="00B57E6F" w:rsidRPr="006A056E">
        <w:rPr>
          <w:lang w:val="it-IT"/>
        </w:rPr>
        <w:t xml:space="preserve"> </w:t>
      </w:r>
    </w:p>
    <w:p w14:paraId="6B2D21B3" w14:textId="4078A105" w:rsidR="00B57E6F" w:rsidRPr="00B57B36" w:rsidRDefault="00B57E6F" w:rsidP="00B57E6F">
      <w:pPr>
        <w:pStyle w:val="CETAddress"/>
      </w:pPr>
      <w:r w:rsidRPr="00B57B36">
        <w:rPr>
          <w:vertAlign w:val="superscript"/>
        </w:rPr>
        <w:t>a</w:t>
      </w:r>
      <w:r w:rsidR="00117F2F">
        <w:rPr>
          <w:vertAlign w:val="superscript"/>
        </w:rPr>
        <w:t xml:space="preserve"> </w:t>
      </w:r>
      <w:r w:rsidR="00117F2F" w:rsidRPr="00117F2F">
        <w:t>SINTEF Industry – Process Technology, Trondheim, 7465, Norway</w:t>
      </w:r>
    </w:p>
    <w:p w14:paraId="3D72B0B0" w14:textId="39D763FF" w:rsidR="00B57E6F" w:rsidRPr="00B57B36" w:rsidRDefault="00B57E6F" w:rsidP="00B57E6F">
      <w:pPr>
        <w:pStyle w:val="CETAddress"/>
      </w:pPr>
      <w:r w:rsidRPr="00B57B36">
        <w:rPr>
          <w:vertAlign w:val="superscript"/>
        </w:rPr>
        <w:t>b</w:t>
      </w:r>
      <w:r w:rsidR="00117F2F">
        <w:rPr>
          <w:vertAlign w:val="superscript"/>
        </w:rPr>
        <w:t xml:space="preserve"> </w:t>
      </w:r>
      <w:r w:rsidR="00117F2F" w:rsidRPr="00117F2F">
        <w:t>TERRAWATT SAS, 149, Avenue du Maine, 75014, Paris, France</w:t>
      </w:r>
    </w:p>
    <w:p w14:paraId="73F1267A" w14:textId="5AFD2A96" w:rsidR="00B57E6F" w:rsidRPr="00B57B36" w:rsidRDefault="0080649D" w:rsidP="00B57E6F">
      <w:pPr>
        <w:pStyle w:val="CETemail"/>
      </w:pPr>
      <w:r>
        <w:t xml:space="preserve">Corresponding author: </w:t>
      </w:r>
      <w:hyperlink r:id="rId13" w:history="1">
        <w:r w:rsidR="006A056E" w:rsidRPr="007428E5">
          <w:rPr>
            <w:rStyle w:val="Hyperlink"/>
          </w:rPr>
          <w:t>filippo.bisotti@sintef.no</w:t>
        </w:r>
      </w:hyperlink>
    </w:p>
    <w:p w14:paraId="0B0A0B1C" w14:textId="74FBC604" w:rsidR="005C3979" w:rsidRDefault="005C3979" w:rsidP="00AF7936">
      <w:pPr>
        <w:pStyle w:val="CETnumberingbullets"/>
        <w:numPr>
          <w:ilvl w:val="0"/>
          <w:numId w:val="0"/>
        </w:numPr>
        <w:jc w:val="both"/>
      </w:pPr>
      <w:r w:rsidRPr="005C3979">
        <w:t>Biomass gasification is gaining interest as a promising route to valorise green waste and decarboni</w:t>
      </w:r>
      <w:r w:rsidR="005052D1">
        <w:t>s</w:t>
      </w:r>
      <w:r w:rsidRPr="005C3979">
        <w:t xml:space="preserve">e syngas production. However, modelling gasification is challenging due to the intrinsic complexity of the system, with hundreds of chemicals and reactions involved. Current models in commercial process simulators are simplified: they are usually developed and tuned for </w:t>
      </w:r>
      <w:r w:rsidR="00AE18E6">
        <w:t>a few</w:t>
      </w:r>
      <w:r w:rsidRPr="005C3979">
        <w:t xml:space="preserve"> operation point</w:t>
      </w:r>
      <w:r w:rsidR="00AE18E6">
        <w:t>s</w:t>
      </w:r>
      <w:r w:rsidRPr="005C3979">
        <w:t xml:space="preserve">, often solely based on estimated yields or equilibrium conditions. </w:t>
      </w:r>
      <w:r w:rsidR="00AE18E6">
        <w:t>R</w:t>
      </w:r>
      <w:r w:rsidRPr="005C3979">
        <w:t xml:space="preserve">igorous models can </w:t>
      </w:r>
      <w:r w:rsidR="00AE18E6">
        <w:t xml:space="preserve">only </w:t>
      </w:r>
      <w:r w:rsidRPr="005C3979">
        <w:t xml:space="preserve">be used to describe a wide range of feedstocks and operating conditions, as well as for the sizing of the gasification chamber. </w:t>
      </w:r>
      <w:r w:rsidR="009415EA" w:rsidRPr="009415EA">
        <w:t>This work proposes a novel semi-rigorous model accounting for the multi-step nature of the gasification process. Four steps</w:t>
      </w:r>
      <w:r w:rsidR="00E368A8">
        <w:t xml:space="preserve"> (</w:t>
      </w:r>
      <w:r w:rsidR="009415EA">
        <w:t xml:space="preserve">pyrolysis, tar cracking, steam reforming of </w:t>
      </w:r>
      <w:r w:rsidR="007844BC">
        <w:t>tars, and gas-phase secondary reactions</w:t>
      </w:r>
      <w:r w:rsidR="00E368A8">
        <w:t>)</w:t>
      </w:r>
      <w:r w:rsidR="009415EA" w:rsidRPr="009415EA">
        <w:t xml:space="preserve"> have been identified and modelled</w:t>
      </w:r>
      <w:r w:rsidR="009415EA">
        <w:t>.</w:t>
      </w:r>
      <w:r w:rsidR="00CD27F4">
        <w:t xml:space="preserve"> </w:t>
      </w:r>
      <w:r w:rsidR="00CD27F4" w:rsidRPr="00CD27F4">
        <w:t>Except for steam reforming of tars, all the other steps are modelled</w:t>
      </w:r>
      <w:r w:rsidR="00AF7936">
        <w:t xml:space="preserve"> using kinetics</w:t>
      </w:r>
      <w:r w:rsidR="00E368A8">
        <w:t xml:space="preserve"> </w:t>
      </w:r>
      <w:r w:rsidR="00CD27F4" w:rsidRPr="00CD27F4">
        <w:t>in COFE</w:t>
      </w:r>
      <w:r w:rsidR="00F83A22">
        <w:t xml:space="preserve"> V3.7</w:t>
      </w:r>
      <w:r w:rsidR="00CD27F4">
        <w:t>, a CAPE-open license-free process simulator</w:t>
      </w:r>
      <w:r w:rsidR="00CD27F4" w:rsidRPr="00CD27F4">
        <w:t>. The new model allows sizing the gasification chamber to achieve specific rates of lignin decomposition and syngas composition targets.</w:t>
      </w:r>
      <w:r w:rsidR="005052D1">
        <w:t xml:space="preserve"> </w:t>
      </w:r>
      <w:r w:rsidR="00AF7936" w:rsidRPr="00AF7936">
        <w:t>The novel modelling approach accounts for all the most relevant endothermic and exothermic reactions involved in the gasification process</w:t>
      </w:r>
      <w:r w:rsidR="00D45D42">
        <w:t xml:space="preserve"> to i</w:t>
      </w:r>
      <w:r w:rsidR="00AF7936" w:rsidRPr="00AF7936">
        <w:t>mprove the reliability of the energy balance.</w:t>
      </w:r>
      <w:r w:rsidR="00AF7936">
        <w:t xml:space="preserve"> </w:t>
      </w:r>
      <w:r w:rsidR="00A30A2E">
        <w:t>Moreover</w:t>
      </w:r>
      <w:r w:rsidR="00A30A2E" w:rsidRPr="00AF7936">
        <w:t xml:space="preserve">, the proposed model also includes syngas combustion and quantifies the percentage of the produced syngas to be burnt for reaching auto-thermal operations. </w:t>
      </w:r>
      <w:r w:rsidR="00AF7936" w:rsidRPr="00AF7936">
        <w:t xml:space="preserve">  </w:t>
      </w:r>
      <w:r w:rsidR="007844BC">
        <w:t xml:space="preserve"> </w:t>
      </w:r>
    </w:p>
    <w:p w14:paraId="476B2F2E" w14:textId="52B36035" w:rsidR="00600535" w:rsidRDefault="00600535" w:rsidP="00600535">
      <w:pPr>
        <w:pStyle w:val="CETHeading1"/>
        <w:rPr>
          <w:lang w:val="en-GB"/>
        </w:rPr>
      </w:pPr>
      <w:r w:rsidRPr="00B57B36">
        <w:rPr>
          <w:lang w:val="en-GB"/>
        </w:rPr>
        <w:t>Introduction</w:t>
      </w:r>
    </w:p>
    <w:p w14:paraId="411DA710" w14:textId="760CAFA9" w:rsidR="00CA2CF4" w:rsidRPr="00CA2CF4" w:rsidRDefault="00E3139F" w:rsidP="00CA2CF4">
      <w:pPr>
        <w:pStyle w:val="CETBodytext"/>
        <w:rPr>
          <w:lang w:val="en-GB"/>
        </w:rPr>
      </w:pPr>
      <w:r w:rsidRPr="004B5BC0">
        <w:rPr>
          <w:lang w:val="en-GB"/>
        </w:rPr>
        <w:t xml:space="preserve">Biomass </w:t>
      </w:r>
      <w:r w:rsidR="00F6677C" w:rsidRPr="004B5BC0">
        <w:rPr>
          <w:lang w:val="en-GB"/>
        </w:rPr>
        <w:t>is an alternative carbon source and could phase out fossil fuels</w:t>
      </w:r>
      <w:r w:rsidR="00CE3783" w:rsidRPr="004B5BC0">
        <w:rPr>
          <w:lang w:val="en-GB"/>
        </w:rPr>
        <w:t xml:space="preserve"> as </w:t>
      </w:r>
      <w:r w:rsidR="00FA576D" w:rsidRPr="004B5BC0">
        <w:rPr>
          <w:lang w:val="en-GB"/>
        </w:rPr>
        <w:t xml:space="preserve">part of the energy transition as well as </w:t>
      </w:r>
      <w:r w:rsidR="00CE3783" w:rsidRPr="004B5BC0">
        <w:rPr>
          <w:lang w:val="en-GB"/>
        </w:rPr>
        <w:t xml:space="preserve">the </w:t>
      </w:r>
      <w:r w:rsidR="00FA576D" w:rsidRPr="004B5BC0">
        <w:rPr>
          <w:lang w:val="en-GB"/>
        </w:rPr>
        <w:t>decarbonization strategy of the European Union</w:t>
      </w:r>
      <w:r w:rsidR="004E2D13" w:rsidRPr="004B5BC0">
        <w:rPr>
          <w:lang w:val="en-GB"/>
        </w:rPr>
        <w:t xml:space="preserve"> (Millinger et al., </w:t>
      </w:r>
      <w:r w:rsidR="00B82282" w:rsidRPr="004B5BC0">
        <w:rPr>
          <w:lang w:val="en-GB"/>
        </w:rPr>
        <w:t>2025)</w:t>
      </w:r>
      <w:r w:rsidR="00FA576D" w:rsidRPr="004B5BC0">
        <w:rPr>
          <w:lang w:val="en-GB"/>
        </w:rPr>
        <w:t xml:space="preserve">. </w:t>
      </w:r>
      <w:r w:rsidR="00F6677C" w:rsidRPr="004B5BC0">
        <w:rPr>
          <w:lang w:val="en-GB"/>
        </w:rPr>
        <w:t>However, th</w:t>
      </w:r>
      <w:r w:rsidR="007D29C1" w:rsidRPr="004B5BC0">
        <w:rPr>
          <w:lang w:val="en-GB"/>
        </w:rPr>
        <w:t xml:space="preserve">is feedstock is rather complex </w:t>
      </w:r>
      <w:r w:rsidR="00343A1E" w:rsidRPr="004B5BC0">
        <w:rPr>
          <w:lang w:val="en-GB"/>
        </w:rPr>
        <w:t>due</w:t>
      </w:r>
      <w:r w:rsidR="007D29C1" w:rsidRPr="004B5BC0">
        <w:rPr>
          <w:lang w:val="en-GB"/>
        </w:rPr>
        <w:t xml:space="preserve"> to seasonal availability and </w:t>
      </w:r>
      <w:r w:rsidR="00607650" w:rsidRPr="004B5BC0">
        <w:rPr>
          <w:lang w:val="en-GB"/>
        </w:rPr>
        <w:t xml:space="preserve">regional </w:t>
      </w:r>
      <w:r w:rsidR="007D29C1" w:rsidRPr="004B5BC0">
        <w:rPr>
          <w:lang w:val="en-GB"/>
        </w:rPr>
        <w:t xml:space="preserve">oscillations in quality and composition </w:t>
      </w:r>
      <w:r w:rsidR="00695C50" w:rsidRPr="004B5BC0">
        <w:rPr>
          <w:lang w:val="en-GB"/>
        </w:rPr>
        <w:t>conversely</w:t>
      </w:r>
      <w:r w:rsidR="007D29C1" w:rsidRPr="004B5BC0">
        <w:rPr>
          <w:lang w:val="en-GB"/>
        </w:rPr>
        <w:t xml:space="preserve"> to fossils. These</w:t>
      </w:r>
      <w:r w:rsidR="00292956" w:rsidRPr="004B5BC0">
        <w:rPr>
          <w:lang w:val="en-GB"/>
        </w:rPr>
        <w:t xml:space="preserve"> features</w:t>
      </w:r>
      <w:r w:rsidR="007D29C1" w:rsidRPr="004B5BC0">
        <w:rPr>
          <w:lang w:val="en-GB"/>
        </w:rPr>
        <w:t xml:space="preserve"> result in a more challenging modelling for </w:t>
      </w:r>
      <w:r w:rsidR="00292956" w:rsidRPr="004B5BC0">
        <w:rPr>
          <w:lang w:val="en-GB"/>
        </w:rPr>
        <w:t xml:space="preserve">its </w:t>
      </w:r>
      <w:r w:rsidR="007D29C1" w:rsidRPr="004B5BC0">
        <w:rPr>
          <w:lang w:val="en-GB"/>
        </w:rPr>
        <w:t xml:space="preserve">processing. </w:t>
      </w:r>
      <w:r w:rsidR="00DF6084" w:rsidRPr="004B5BC0">
        <w:rPr>
          <w:lang w:val="en-GB"/>
        </w:rPr>
        <w:t xml:space="preserve">For instance, pyrolysis and gasification </w:t>
      </w:r>
      <w:r w:rsidR="00086DEC" w:rsidRPr="004B5BC0">
        <w:rPr>
          <w:lang w:val="en-GB"/>
        </w:rPr>
        <w:t>generate a plethora of products and species</w:t>
      </w:r>
      <w:r w:rsidR="0067124D" w:rsidRPr="004B5BC0">
        <w:rPr>
          <w:lang w:val="en-GB"/>
        </w:rPr>
        <w:t xml:space="preserve"> (Gilardi et al., 202</w:t>
      </w:r>
      <w:r w:rsidR="00A64F39" w:rsidRPr="004B5BC0">
        <w:rPr>
          <w:lang w:val="en-GB"/>
        </w:rPr>
        <w:t>4</w:t>
      </w:r>
      <w:r w:rsidR="0067124D" w:rsidRPr="004B5BC0">
        <w:rPr>
          <w:lang w:val="en-GB"/>
        </w:rPr>
        <w:t>)</w:t>
      </w:r>
      <w:r w:rsidR="00086DEC" w:rsidRPr="004B5BC0">
        <w:rPr>
          <w:lang w:val="en-GB"/>
        </w:rPr>
        <w:t>.</w:t>
      </w:r>
      <w:r w:rsidR="00607650" w:rsidRPr="004B5BC0">
        <w:rPr>
          <w:lang w:val="en-GB"/>
        </w:rPr>
        <w:t xml:space="preserve"> The </w:t>
      </w:r>
      <w:r w:rsidR="00292956" w:rsidRPr="004B5BC0">
        <w:rPr>
          <w:lang w:val="en-GB"/>
        </w:rPr>
        <w:t xml:space="preserve">status of </w:t>
      </w:r>
      <w:r w:rsidR="00607650" w:rsidRPr="004B5BC0">
        <w:rPr>
          <w:lang w:val="en-GB"/>
        </w:rPr>
        <w:t xml:space="preserve">modelling </w:t>
      </w:r>
      <w:r w:rsidR="00292956" w:rsidRPr="004B5BC0">
        <w:rPr>
          <w:lang w:val="en-GB"/>
        </w:rPr>
        <w:t>of</w:t>
      </w:r>
      <w:r w:rsidR="00607650" w:rsidRPr="004B5BC0">
        <w:rPr>
          <w:lang w:val="en-GB"/>
        </w:rPr>
        <w:t xml:space="preserve"> thermochemical conversion of biomass into fuels, chemicals, and </w:t>
      </w:r>
      <w:r w:rsidR="00EA07A5" w:rsidRPr="004B5BC0">
        <w:rPr>
          <w:lang w:val="en-GB"/>
        </w:rPr>
        <w:t xml:space="preserve">syngas is quite poor. Relevant works in the literature showed that </w:t>
      </w:r>
      <w:r w:rsidR="00A1696B" w:rsidRPr="004B5BC0">
        <w:rPr>
          <w:lang w:val="en-GB"/>
        </w:rPr>
        <w:t xml:space="preserve">stoichiometry and Gibbs reactors are implemented to mimic the gas and tar production and </w:t>
      </w:r>
      <w:r w:rsidR="00AF56F9" w:rsidRPr="004B5BC0">
        <w:rPr>
          <w:lang w:val="en-GB"/>
        </w:rPr>
        <w:t>secondary gas-phase evolution</w:t>
      </w:r>
      <w:r w:rsidR="00A1696B" w:rsidRPr="004B5BC0">
        <w:rPr>
          <w:lang w:val="en-GB"/>
        </w:rPr>
        <w:t xml:space="preserve"> reaction, respectively</w:t>
      </w:r>
      <w:r w:rsidR="008A6312" w:rsidRPr="004B5BC0">
        <w:rPr>
          <w:lang w:val="en-GB"/>
        </w:rPr>
        <w:t xml:space="preserve"> as in </w:t>
      </w:r>
      <w:r w:rsidR="003A77C3" w:rsidRPr="004B5BC0">
        <w:rPr>
          <w:lang w:val="en-GB"/>
        </w:rPr>
        <w:t>Kaushal and Tyagi</w:t>
      </w:r>
      <w:r w:rsidR="00A648F5" w:rsidRPr="004B5BC0">
        <w:rPr>
          <w:lang w:val="en-GB"/>
        </w:rPr>
        <w:t xml:space="preserve"> (</w:t>
      </w:r>
      <w:r w:rsidR="003A77C3" w:rsidRPr="004B5BC0">
        <w:rPr>
          <w:lang w:val="en-GB"/>
        </w:rPr>
        <w:t>2017</w:t>
      </w:r>
      <w:r w:rsidR="00A648F5" w:rsidRPr="004B5BC0">
        <w:rPr>
          <w:lang w:val="en-GB"/>
        </w:rPr>
        <w:t>)</w:t>
      </w:r>
      <w:r w:rsidR="00EC27BC" w:rsidRPr="004B5BC0">
        <w:rPr>
          <w:lang w:val="en-GB"/>
        </w:rPr>
        <w:t xml:space="preserve"> and Han et al. (2017) to quote a couple of examples</w:t>
      </w:r>
      <w:r w:rsidR="00A1696B" w:rsidRPr="004B5BC0">
        <w:rPr>
          <w:lang w:val="en-GB"/>
        </w:rPr>
        <w:t>.</w:t>
      </w:r>
      <w:r w:rsidR="00AF56F9" w:rsidRPr="004B5BC0">
        <w:rPr>
          <w:lang w:val="en-GB"/>
        </w:rPr>
        <w:t xml:space="preserve"> </w:t>
      </w:r>
      <w:r w:rsidR="001B2C61" w:rsidRPr="004B5BC0">
        <w:rPr>
          <w:lang w:val="en-GB"/>
        </w:rPr>
        <w:t>The stoichiometry</w:t>
      </w:r>
      <w:r w:rsidR="00AF56F9" w:rsidRPr="004B5BC0">
        <w:rPr>
          <w:lang w:val="en-GB"/>
        </w:rPr>
        <w:t xml:space="preserve"> reactor</w:t>
      </w:r>
      <w:r w:rsidR="00B14912" w:rsidRPr="004B5BC0">
        <w:rPr>
          <w:lang w:val="en-GB"/>
        </w:rPr>
        <w:t xml:space="preserve"> is limited to </w:t>
      </w:r>
      <w:r w:rsidR="00224972" w:rsidRPr="004B5BC0">
        <w:rPr>
          <w:lang w:val="en-GB"/>
        </w:rPr>
        <w:t>defining</w:t>
      </w:r>
      <w:r w:rsidR="00B14912" w:rsidRPr="004B5BC0">
        <w:rPr>
          <w:lang w:val="en-GB"/>
        </w:rPr>
        <w:t xml:space="preserve"> reaction yields and </w:t>
      </w:r>
      <w:r w:rsidR="00744AE5" w:rsidRPr="004B5BC0">
        <w:rPr>
          <w:lang w:val="en-GB"/>
        </w:rPr>
        <w:t>distributing</w:t>
      </w:r>
      <w:r w:rsidR="00DC7557" w:rsidRPr="004B5BC0">
        <w:rPr>
          <w:lang w:val="en-GB"/>
        </w:rPr>
        <w:t xml:space="preserve"> carbon</w:t>
      </w:r>
      <w:r w:rsidR="00DC7557">
        <w:rPr>
          <w:lang w:val="en-GB"/>
        </w:rPr>
        <w:t xml:space="preserve"> (C), hydrogen (H), and oxygen (O) atoms</w:t>
      </w:r>
      <w:r w:rsidR="00224972">
        <w:rPr>
          <w:lang w:val="en-GB"/>
        </w:rPr>
        <w:t xml:space="preserve"> within light gas</w:t>
      </w:r>
      <w:r w:rsidR="003E7158">
        <w:rPr>
          <w:lang w:val="en-GB"/>
        </w:rPr>
        <w:t xml:space="preserve"> (</w:t>
      </w:r>
      <w:r w:rsidR="00224972">
        <w:rPr>
          <w:lang w:val="en-GB"/>
        </w:rPr>
        <w:t>H</w:t>
      </w:r>
      <w:r w:rsidR="00224972" w:rsidRPr="00744AE5">
        <w:rPr>
          <w:vertAlign w:val="subscript"/>
          <w:lang w:val="en-GB"/>
        </w:rPr>
        <w:t>2</w:t>
      </w:r>
      <w:r w:rsidR="00224972">
        <w:rPr>
          <w:lang w:val="en-GB"/>
        </w:rPr>
        <w:t xml:space="preserve">, </w:t>
      </w:r>
      <w:proofErr w:type="spellStart"/>
      <w:r w:rsidR="00224972">
        <w:rPr>
          <w:lang w:val="en-GB"/>
        </w:rPr>
        <w:t>CO</w:t>
      </w:r>
      <w:r w:rsidR="00224972" w:rsidRPr="00744AE5">
        <w:rPr>
          <w:vertAlign w:val="subscript"/>
          <w:lang w:val="en-GB"/>
        </w:rPr>
        <w:t>x</w:t>
      </w:r>
      <w:proofErr w:type="spellEnd"/>
      <w:r w:rsidR="00224972">
        <w:rPr>
          <w:lang w:val="en-GB"/>
        </w:rPr>
        <w:t>, C</w:t>
      </w:r>
      <w:r w:rsidR="00224972" w:rsidRPr="00744AE5">
        <w:rPr>
          <w:vertAlign w:val="subscript"/>
          <w:lang w:val="en-GB"/>
        </w:rPr>
        <w:t>1-3</w:t>
      </w:r>
      <w:r w:rsidR="00224972">
        <w:rPr>
          <w:lang w:val="en-GB"/>
        </w:rPr>
        <w:t xml:space="preserve"> hydrocarbons</w:t>
      </w:r>
      <w:r w:rsidR="003E7158">
        <w:rPr>
          <w:lang w:val="en-GB"/>
        </w:rPr>
        <w:t>)</w:t>
      </w:r>
      <w:r w:rsidR="00224972">
        <w:rPr>
          <w:lang w:val="en-GB"/>
        </w:rPr>
        <w:t>,</w:t>
      </w:r>
      <w:r w:rsidR="001B2C61">
        <w:rPr>
          <w:lang w:val="en-GB"/>
        </w:rPr>
        <w:t xml:space="preserve"> char,</w:t>
      </w:r>
      <w:r w:rsidR="00224972">
        <w:rPr>
          <w:lang w:val="en-GB"/>
        </w:rPr>
        <w:t xml:space="preserve"> and tar, e.g., phenols, aromatics, and other oxygenated molecules such as </w:t>
      </w:r>
      <w:r w:rsidR="00744AE5">
        <w:rPr>
          <w:lang w:val="en-GB"/>
        </w:rPr>
        <w:t>ketone, aldehydes, and carboxylic acid</w:t>
      </w:r>
      <w:r w:rsidR="00582757">
        <w:rPr>
          <w:lang w:val="en-GB"/>
        </w:rPr>
        <w:t>s</w:t>
      </w:r>
      <w:r w:rsidR="00744AE5">
        <w:rPr>
          <w:lang w:val="en-GB"/>
        </w:rPr>
        <w:t xml:space="preserve">. </w:t>
      </w:r>
      <w:r w:rsidR="00582757">
        <w:rPr>
          <w:lang w:val="en-GB"/>
        </w:rPr>
        <w:t>Y</w:t>
      </w:r>
      <w:r w:rsidR="001002A5">
        <w:rPr>
          <w:lang w:val="en-GB"/>
        </w:rPr>
        <w:t xml:space="preserve">ields are often tuned over experimental data. </w:t>
      </w:r>
      <w:r w:rsidR="00744AE5">
        <w:rPr>
          <w:lang w:val="en-GB"/>
        </w:rPr>
        <w:t>This approach is not general</w:t>
      </w:r>
      <w:r w:rsidR="001002A5">
        <w:rPr>
          <w:lang w:val="en-GB"/>
        </w:rPr>
        <w:t xml:space="preserve"> as</w:t>
      </w:r>
      <w:r w:rsidR="00AE18E6">
        <w:rPr>
          <w:lang w:val="en-GB"/>
        </w:rPr>
        <w:t xml:space="preserve"> the feedstock (type of wood and/or biomass) and operating conditions affect</w:t>
      </w:r>
      <w:r w:rsidR="001002A5">
        <w:rPr>
          <w:lang w:val="en-GB"/>
        </w:rPr>
        <w:t xml:space="preserve"> the composition </w:t>
      </w:r>
      <w:r w:rsidR="005D254D">
        <w:rPr>
          <w:lang w:val="en-GB"/>
        </w:rPr>
        <w:t xml:space="preserve">of gas and tar, </w:t>
      </w:r>
      <w:r w:rsidR="00AE18E6">
        <w:rPr>
          <w:lang w:val="en-GB"/>
        </w:rPr>
        <w:t>and the distribution</w:t>
      </w:r>
      <w:r w:rsidR="005D254D">
        <w:rPr>
          <w:lang w:val="en-GB"/>
        </w:rPr>
        <w:t xml:space="preserve"> of light gas, tar, and char</w:t>
      </w:r>
      <w:r w:rsidR="00724462">
        <w:rPr>
          <w:lang w:val="en-GB"/>
        </w:rPr>
        <w:t xml:space="preserve">. </w:t>
      </w:r>
      <w:r w:rsidR="00AE18E6">
        <w:rPr>
          <w:lang w:val="en-GB"/>
        </w:rPr>
        <w:t>T</w:t>
      </w:r>
      <w:r w:rsidR="00724462">
        <w:rPr>
          <w:lang w:val="en-GB"/>
        </w:rPr>
        <w:t xml:space="preserve">hese aspects are neglected in the current literature. The present work </w:t>
      </w:r>
      <w:r w:rsidR="00C75F41">
        <w:rPr>
          <w:lang w:val="en-GB"/>
        </w:rPr>
        <w:t>presents a semi-rigorous approach for the modelling of pyrolysis and gasification accounting for kinetics. The proposed approach has been</w:t>
      </w:r>
      <w:r w:rsidR="00A378C0">
        <w:rPr>
          <w:lang w:val="en-GB"/>
        </w:rPr>
        <w:t xml:space="preserve"> </w:t>
      </w:r>
      <w:r w:rsidR="00AF450F">
        <w:rPr>
          <w:lang w:val="en-GB"/>
        </w:rPr>
        <w:t xml:space="preserve">initially developed within the Bio4Fuels project and later </w:t>
      </w:r>
      <w:r w:rsidR="00A378C0">
        <w:rPr>
          <w:lang w:val="en-GB"/>
        </w:rPr>
        <w:t>applied in the SEMPRE-BIO project</w:t>
      </w:r>
      <w:r w:rsidR="00AF450F">
        <w:rPr>
          <w:lang w:val="en-GB"/>
        </w:rPr>
        <w:t>.</w:t>
      </w:r>
      <w:r w:rsidR="00C75F41">
        <w:rPr>
          <w:lang w:val="en-GB"/>
        </w:rPr>
        <w:t xml:space="preserve"> </w:t>
      </w:r>
      <w:r w:rsidR="00AF450F" w:rsidRPr="00AF7936">
        <w:t xml:space="preserve">The new model will be validated to pilot plant data collected at the TERRAWATT pilot </w:t>
      </w:r>
      <w:r w:rsidR="00D426CB">
        <w:t xml:space="preserve">plant </w:t>
      </w:r>
      <w:r w:rsidR="00AF450F" w:rsidRPr="00AF7936">
        <w:t xml:space="preserve">located in Bourges (France), as part of the EU-funded Horizon Europe SEMPRE-BIO project. </w:t>
      </w:r>
      <w:r w:rsidR="00D426CB">
        <w:t>For</w:t>
      </w:r>
      <w:r w:rsidR="00AF450F" w:rsidRPr="00AF7936">
        <w:t xml:space="preserve"> the validation, the model accuracy will be assessed </w:t>
      </w:r>
      <w:r w:rsidR="00AF450F">
        <w:t>regarding</w:t>
      </w:r>
      <w:r w:rsidR="00AF450F" w:rsidRPr="00AF7936">
        <w:t xml:space="preserve"> syngas composition, char production, and energy demand.</w:t>
      </w:r>
    </w:p>
    <w:p w14:paraId="5741900F" w14:textId="58E7CF9E" w:rsidR="00453E24" w:rsidRDefault="00697C0B" w:rsidP="00453E24">
      <w:pPr>
        <w:pStyle w:val="CETHeading1"/>
      </w:pPr>
      <w:r>
        <w:lastRenderedPageBreak/>
        <w:t>Process overview</w:t>
      </w:r>
    </w:p>
    <w:p w14:paraId="0636B784" w14:textId="5C0C047F" w:rsidR="00453E24" w:rsidRDefault="005B5587" w:rsidP="00453E24">
      <w:pPr>
        <w:pStyle w:val="CETheadingx"/>
      </w:pPr>
      <w:r>
        <w:t xml:space="preserve">Process </w:t>
      </w:r>
      <w:r w:rsidR="00E67785">
        <w:t>B</w:t>
      </w:r>
      <w:r w:rsidR="00A21D18">
        <w:t xml:space="preserve">lock </w:t>
      </w:r>
      <w:r w:rsidR="00E67785">
        <w:t>F</w:t>
      </w:r>
      <w:r w:rsidR="00A21D18">
        <w:t xml:space="preserve">low </w:t>
      </w:r>
      <w:r w:rsidR="00E67785">
        <w:t>D</w:t>
      </w:r>
      <w:r w:rsidR="00A21D18">
        <w:t>iagram (BFD)</w:t>
      </w:r>
    </w:p>
    <w:p w14:paraId="6359C3DE" w14:textId="0B3C167A" w:rsidR="00811211" w:rsidRDefault="00811211" w:rsidP="007B0794">
      <w:pPr>
        <w:pStyle w:val="CETBodytext"/>
      </w:pPr>
      <w:r>
        <w:rPr>
          <w:noProof/>
        </w:rPr>
        <mc:AlternateContent>
          <mc:Choice Requires="wps">
            <w:drawing>
              <wp:anchor distT="0" distB="0" distL="114300" distR="114300" simplePos="0" relativeHeight="251658240" behindDoc="0" locked="0" layoutInCell="1" allowOverlap="1" wp14:anchorId="3465D702" wp14:editId="36845EB2">
                <wp:simplePos x="0" y="0"/>
                <wp:positionH relativeFrom="margin">
                  <wp:align>right</wp:align>
                </wp:positionH>
                <wp:positionV relativeFrom="paragraph">
                  <wp:posOffset>2870324</wp:posOffset>
                </wp:positionV>
                <wp:extent cx="5579745" cy="635"/>
                <wp:effectExtent l="0" t="0" r="1905" b="7620"/>
                <wp:wrapTopAndBottom/>
                <wp:docPr id="32149617" name="Text Box 1"/>
                <wp:cNvGraphicFramePr/>
                <a:graphic xmlns:a="http://schemas.openxmlformats.org/drawingml/2006/main">
                  <a:graphicData uri="http://schemas.microsoft.com/office/word/2010/wordprocessingShape">
                    <wps:wsp>
                      <wps:cNvSpPr txBox="1"/>
                      <wps:spPr>
                        <a:xfrm>
                          <a:off x="0" y="0"/>
                          <a:ext cx="5579745" cy="635"/>
                        </a:xfrm>
                        <a:prstGeom prst="rect">
                          <a:avLst/>
                        </a:prstGeom>
                        <a:solidFill>
                          <a:prstClr val="white"/>
                        </a:solidFill>
                        <a:ln>
                          <a:noFill/>
                        </a:ln>
                      </wps:spPr>
                      <wps:txbx>
                        <w:txbxContent>
                          <w:p w14:paraId="6BAB1F40" w14:textId="6CEDF010" w:rsidR="00CB1D46" w:rsidRPr="00B37448" w:rsidRDefault="00CB1D46" w:rsidP="00003F68">
                            <w:pPr>
                              <w:pStyle w:val="CETCaption"/>
                              <w:spacing w:before="120" w:after="120"/>
                              <w:jc w:val="center"/>
                              <w:rPr>
                                <w:noProof/>
                                <w:lang w:val="en-US"/>
                              </w:rPr>
                            </w:pPr>
                            <w:bookmarkStart w:id="1" w:name="_Ref193208968"/>
                            <w:r>
                              <w:t xml:space="preserve">Figure </w:t>
                            </w:r>
                            <w:r>
                              <w:fldChar w:fldCharType="begin"/>
                            </w:r>
                            <w:r>
                              <w:instrText xml:space="preserve"> SEQ Figure \* ARABIC </w:instrText>
                            </w:r>
                            <w:r>
                              <w:fldChar w:fldCharType="separate"/>
                            </w:r>
                            <w:r w:rsidR="003D714A">
                              <w:rPr>
                                <w:noProof/>
                              </w:rPr>
                              <w:t>1</w:t>
                            </w:r>
                            <w:r>
                              <w:fldChar w:fldCharType="end"/>
                            </w:r>
                            <w:bookmarkEnd w:id="1"/>
                            <w:r>
                              <w:t xml:space="preserve">: BFD of the </w:t>
                            </w:r>
                            <w:r w:rsidR="00003F68">
                              <w:t>process</w:t>
                            </w:r>
                            <w:r w:rsidR="007F6E6C">
                              <w:t xml:space="preserve">. </w:t>
                            </w:r>
                            <w:r w:rsidR="00BB4E08">
                              <w:t>The same</w:t>
                            </w:r>
                            <w:r w:rsidR="007F6E6C">
                              <w:t xml:space="preserve"> </w:t>
                            </w:r>
                            <w:r w:rsidR="00BB4E08">
                              <w:t>colours</w:t>
                            </w:r>
                            <w:r w:rsidR="007F6E6C">
                              <w:t xml:space="preserve"> are used to identify </w:t>
                            </w:r>
                            <w:r w:rsidR="00BB4E08">
                              <w:t xml:space="preserve">subsections in </w:t>
                            </w:r>
                            <w:r w:rsidR="002C4DFD">
                              <w:fldChar w:fldCharType="begin"/>
                            </w:r>
                            <w:r w:rsidR="002C4DFD">
                              <w:instrText xml:space="preserve"> REF _Ref199266673 \h </w:instrText>
                            </w:r>
                            <w:r w:rsidR="002C4DFD">
                              <w:fldChar w:fldCharType="separate"/>
                            </w:r>
                            <w:r w:rsidR="002C4DFD">
                              <w:t xml:space="preserve">Figure </w:t>
                            </w:r>
                            <w:r w:rsidR="002C4DFD">
                              <w:rPr>
                                <w:noProof/>
                              </w:rPr>
                              <w:t>2</w:t>
                            </w:r>
                            <w:r w:rsidR="002C4DFD">
                              <w:fldChar w:fldCharType="end"/>
                            </w:r>
                            <w:r w:rsidR="002C4DFD">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65D702" id="_x0000_t202" coordsize="21600,21600" o:spt="202" path="m,l,21600r21600,l21600,xe">
                <v:stroke joinstyle="miter"/>
                <v:path gradientshapeok="t" o:connecttype="rect"/>
              </v:shapetype>
              <v:shape id="Text Box 1" o:spid="_x0000_s1026" type="#_x0000_t202" style="position:absolute;left:0;text-align:left;margin-left:388.15pt;margin-top:226pt;width:439.35pt;height:.0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" stroked="f">
                <v:textbox style="mso-fit-shape-to-text:t" inset="0,0,0,0">
                  <w:txbxContent>
                    <w:p w14:paraId="6BAB1F40" w14:textId="6CEDF010" w:rsidR="00CB1D46" w:rsidRPr="00B37448" w:rsidRDefault="00CB1D46" w:rsidP="00003F68">
                      <w:pPr>
                        <w:pStyle w:val="CETCaption"/>
                        <w:spacing w:before="120" w:after="120"/>
                        <w:jc w:val="center"/>
                        <w:rPr>
                          <w:noProof/>
                          <w:lang w:val="en-US"/>
                        </w:rPr>
                      </w:pPr>
                      <w:bookmarkStart w:id="2" w:name="_Ref193208968"/>
                      <w:r>
                        <w:t xml:space="preserve">Figure </w:t>
                      </w:r>
                      <w:r>
                        <w:fldChar w:fldCharType="begin"/>
                      </w:r>
                      <w:r>
                        <w:instrText xml:space="preserve"> SEQ Figure \* ARABIC </w:instrText>
                      </w:r>
                      <w:r>
                        <w:fldChar w:fldCharType="separate"/>
                      </w:r>
                      <w:r w:rsidR="003D714A">
                        <w:rPr>
                          <w:noProof/>
                        </w:rPr>
                        <w:t>1</w:t>
                      </w:r>
                      <w:r>
                        <w:fldChar w:fldCharType="end"/>
                      </w:r>
                      <w:bookmarkEnd w:id="2"/>
                      <w:r>
                        <w:t xml:space="preserve">: BFD of the </w:t>
                      </w:r>
                      <w:r w:rsidR="00003F68">
                        <w:t>process</w:t>
                      </w:r>
                      <w:r w:rsidR="007F6E6C">
                        <w:t xml:space="preserve">. </w:t>
                      </w:r>
                      <w:r w:rsidR="00BB4E08">
                        <w:t>The same</w:t>
                      </w:r>
                      <w:r w:rsidR="007F6E6C">
                        <w:t xml:space="preserve"> </w:t>
                      </w:r>
                      <w:r w:rsidR="00BB4E08">
                        <w:t>colours</w:t>
                      </w:r>
                      <w:r w:rsidR="007F6E6C">
                        <w:t xml:space="preserve"> are used to identify </w:t>
                      </w:r>
                      <w:r w:rsidR="00BB4E08">
                        <w:t xml:space="preserve">subsections in </w:t>
                      </w:r>
                      <w:r w:rsidR="002C4DFD">
                        <w:fldChar w:fldCharType="begin"/>
                      </w:r>
                      <w:r w:rsidR="002C4DFD">
                        <w:instrText xml:space="preserve"> REF _Ref199266673 \h </w:instrText>
                      </w:r>
                      <w:r w:rsidR="002C4DFD">
                        <w:fldChar w:fldCharType="separate"/>
                      </w:r>
                      <w:r w:rsidR="002C4DFD">
                        <w:t xml:space="preserve">Figure </w:t>
                      </w:r>
                      <w:r w:rsidR="002C4DFD">
                        <w:rPr>
                          <w:noProof/>
                        </w:rPr>
                        <w:t>2</w:t>
                      </w:r>
                      <w:r w:rsidR="002C4DFD">
                        <w:fldChar w:fldCharType="end"/>
                      </w:r>
                      <w:r w:rsidR="002C4DFD">
                        <w:t>.</w:t>
                      </w:r>
                    </w:p>
                  </w:txbxContent>
                </v:textbox>
                <w10:wrap type="topAndBottom" anchorx="margin"/>
              </v:shape>
            </w:pict>
          </mc:Fallback>
        </mc:AlternateContent>
      </w:r>
      <w:r>
        <w:rPr>
          <w:noProof/>
        </w:rPr>
        <w:drawing>
          <wp:anchor distT="0" distB="0" distL="114300" distR="114300" simplePos="0" relativeHeight="251658242" behindDoc="0" locked="0" layoutInCell="1" allowOverlap="1" wp14:anchorId="1857FBFB" wp14:editId="59B2B63C">
            <wp:simplePos x="0" y="0"/>
            <wp:positionH relativeFrom="page">
              <wp:align>center</wp:align>
            </wp:positionH>
            <wp:positionV relativeFrom="paragraph">
              <wp:posOffset>1345276</wp:posOffset>
            </wp:positionV>
            <wp:extent cx="5040000" cy="1555292"/>
            <wp:effectExtent l="0" t="0" r="0" b="0"/>
            <wp:wrapTopAndBottom/>
            <wp:docPr id="19605106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000" cy="1555292"/>
                    </a:xfrm>
                    <a:prstGeom prst="rect">
                      <a:avLst/>
                    </a:prstGeom>
                    <a:noFill/>
                  </pic:spPr>
                </pic:pic>
              </a:graphicData>
            </a:graphic>
            <wp14:sizeRelH relativeFrom="page">
              <wp14:pctWidth>0</wp14:pctWidth>
            </wp14:sizeRelH>
            <wp14:sizeRelV relativeFrom="page">
              <wp14:pctHeight>0</wp14:pctHeight>
            </wp14:sizeRelV>
          </wp:anchor>
        </w:drawing>
      </w:r>
      <w:r w:rsidR="00003F68">
        <w:fldChar w:fldCharType="begin"/>
      </w:r>
      <w:r w:rsidR="00003F68">
        <w:instrText xml:space="preserve"> REF _Ref193208968 \h </w:instrText>
      </w:r>
      <w:r w:rsidR="00003F68">
        <w:fldChar w:fldCharType="separate"/>
      </w:r>
      <w:r w:rsidR="006F7571">
        <w:t xml:space="preserve">Figure </w:t>
      </w:r>
      <w:r w:rsidR="006F7571">
        <w:rPr>
          <w:noProof/>
        </w:rPr>
        <w:t>1</w:t>
      </w:r>
      <w:r w:rsidR="00003F68">
        <w:fldChar w:fldCharType="end"/>
      </w:r>
      <w:r w:rsidR="00003F68">
        <w:t xml:space="preserve"> report</w:t>
      </w:r>
      <w:r w:rsidR="00225795">
        <w:t>s</w:t>
      </w:r>
      <w:r w:rsidR="00003F68">
        <w:t xml:space="preserve"> the </w:t>
      </w:r>
      <w:r w:rsidR="00BA7DC6">
        <w:t>BFD</w:t>
      </w:r>
      <w:r w:rsidR="00003F68">
        <w:t xml:space="preserve"> of the </w:t>
      </w:r>
      <w:r w:rsidR="00E358CD">
        <w:t xml:space="preserve">global process </w:t>
      </w:r>
      <w:r w:rsidR="00BA7DC6">
        <w:t xml:space="preserve">of </w:t>
      </w:r>
      <w:r w:rsidR="00E358CD">
        <w:t>turn</w:t>
      </w:r>
      <w:r w:rsidR="00965B1D">
        <w:t>ing</w:t>
      </w:r>
      <w:r w:rsidR="00E358CD">
        <w:t xml:space="preserve"> biomass into biogas. The concept includes a limited number of steps. The wood chips are </w:t>
      </w:r>
      <w:r w:rsidR="00DF6D53">
        <w:t>gasified,</w:t>
      </w:r>
      <w:r w:rsidR="00E358CD">
        <w:t xml:space="preserve"> and </w:t>
      </w:r>
      <w:r w:rsidR="00E654C4">
        <w:t xml:space="preserve">solid biochar is removed from the product mixture. The resulting </w:t>
      </w:r>
      <w:proofErr w:type="spellStart"/>
      <w:r w:rsidR="001B48DF">
        <w:t>biosyngas</w:t>
      </w:r>
      <w:proofErr w:type="spellEnd"/>
      <w:r w:rsidR="00E654C4">
        <w:t xml:space="preserve"> is </w:t>
      </w:r>
      <w:r w:rsidR="00DF6D53">
        <w:t>cleaned</w:t>
      </w:r>
      <w:r w:rsidR="00E654C4">
        <w:t xml:space="preserve"> and quenched </w:t>
      </w:r>
      <w:r w:rsidR="00225795">
        <w:t>to remove</w:t>
      </w:r>
      <w:r w:rsidR="00E654C4">
        <w:t xml:space="preserve"> part of the moisture. The cleaned syngas is split</w:t>
      </w:r>
      <w:r w:rsidR="00EB35BD">
        <w:t xml:space="preserve">: one fraction is conveyed to a burner to </w:t>
      </w:r>
      <w:r w:rsidR="004747DB">
        <w:t>generate</w:t>
      </w:r>
      <w:r w:rsidR="00EB35BD">
        <w:t xml:space="preserve"> the </w:t>
      </w:r>
      <w:r w:rsidR="000301E7">
        <w:t>heat to sustain the endothermic gasification</w:t>
      </w:r>
      <w:r w:rsidR="004747DB">
        <w:t>. T</w:t>
      </w:r>
      <w:r w:rsidR="000301E7">
        <w:t>he remaining is fed to a biological methanation reactor, where thermophilic bacteria</w:t>
      </w:r>
      <w:r w:rsidR="00DF6D53">
        <w:t xml:space="preserve"> convert the syngas into </w:t>
      </w:r>
      <w:r w:rsidR="00AA02F4">
        <w:t xml:space="preserve">biomethane. </w:t>
      </w:r>
      <w:r w:rsidR="004747DB">
        <w:t>B</w:t>
      </w:r>
      <w:r w:rsidR="00AA02F4">
        <w:t xml:space="preserve">iomethane leaves the </w:t>
      </w:r>
      <w:r w:rsidR="00BC0D5C">
        <w:t>reactor, but its purity does not meet the transport spec</w:t>
      </w:r>
      <w:r w:rsidR="004747DB">
        <w:t>s</w:t>
      </w:r>
      <w:r w:rsidR="00BC0D5C">
        <w:t xml:space="preserve">; hence, an additional purification step is considered. The present contribution focuses on the </w:t>
      </w:r>
      <w:r w:rsidR="00577B7B">
        <w:t xml:space="preserve">first part of the process, i.e., </w:t>
      </w:r>
      <w:r w:rsidR="004747DB">
        <w:t xml:space="preserve">the </w:t>
      </w:r>
      <w:r w:rsidR="00577B7B">
        <w:t xml:space="preserve">gasification and energy balance to </w:t>
      </w:r>
      <w:r w:rsidR="00567E27">
        <w:t xml:space="preserve">run the process </w:t>
      </w:r>
      <w:r w:rsidR="008B5481">
        <w:t>under</w:t>
      </w:r>
      <w:r w:rsidR="00577B7B">
        <w:t xml:space="preserve"> auto</w:t>
      </w:r>
      <w:r w:rsidR="002C0BDE">
        <w:t>-</w:t>
      </w:r>
      <w:r w:rsidR="00577B7B">
        <w:t>thermal condition</w:t>
      </w:r>
      <w:r w:rsidR="00567E27">
        <w:t>s</w:t>
      </w:r>
      <w:r w:rsidR="00577B7B">
        <w:t xml:space="preserve">. The </w:t>
      </w:r>
      <w:r w:rsidR="00567E27">
        <w:t xml:space="preserve">proposed semi-rigorous </w:t>
      </w:r>
      <w:r w:rsidR="00577B7B">
        <w:t xml:space="preserve">model is used to </w:t>
      </w:r>
      <w:r w:rsidR="002C0BDE">
        <w:t>estimate</w:t>
      </w:r>
      <w:r w:rsidR="00577B7B">
        <w:t xml:space="preserve"> the</w:t>
      </w:r>
      <w:r w:rsidR="00567E27">
        <w:t xml:space="preserve"> syngas composition and</w:t>
      </w:r>
      <w:r w:rsidR="00577B7B">
        <w:t xml:space="preserve"> fraction to be burnt to supply the heat for </w:t>
      </w:r>
      <w:r w:rsidR="00EE3724">
        <w:t>endothermic gasification.</w:t>
      </w:r>
    </w:p>
    <w:p w14:paraId="1A7B0CF1" w14:textId="49F133DB" w:rsidR="00FB3212" w:rsidRDefault="00FB3212" w:rsidP="007B0794">
      <w:pPr>
        <w:pStyle w:val="CETBodytext"/>
      </w:pPr>
    </w:p>
    <w:p w14:paraId="44BD8BD7" w14:textId="0E7C35A5" w:rsidR="00AF450F" w:rsidRPr="00B57B36" w:rsidRDefault="00697C0B" w:rsidP="00AF450F">
      <w:pPr>
        <w:pStyle w:val="CETheadingx"/>
      </w:pPr>
      <w:r>
        <w:t>Gasification</w:t>
      </w:r>
      <w:r w:rsidR="00AF450F">
        <w:t xml:space="preserve"> flowsheet</w:t>
      </w:r>
    </w:p>
    <w:p w14:paraId="35A33AEC" w14:textId="529CF2BF" w:rsidR="007B0794" w:rsidRDefault="002C4DFD" w:rsidP="00AF450F">
      <w:pPr>
        <w:pStyle w:val="CETBodytext"/>
        <w:rPr>
          <w:lang w:val="en-GB"/>
        </w:rPr>
      </w:pPr>
      <w:r>
        <w:rPr>
          <w:lang w:val="en-GB"/>
        </w:rPr>
        <w:fldChar w:fldCharType="begin"/>
      </w:r>
      <w:r>
        <w:rPr>
          <w:lang w:val="en-GB"/>
        </w:rPr>
        <w:instrText xml:space="preserve"> REF _Ref199266673 \h </w:instrText>
      </w:r>
      <w:r>
        <w:rPr>
          <w:lang w:val="en-GB"/>
        </w:rPr>
      </w:r>
      <w:r>
        <w:rPr>
          <w:lang w:val="en-GB"/>
        </w:rPr>
        <w:fldChar w:fldCharType="separate"/>
      </w:r>
      <w:r>
        <w:t xml:space="preserve">Figure </w:t>
      </w:r>
      <w:r>
        <w:rPr>
          <w:noProof/>
        </w:rPr>
        <w:t>2</w:t>
      </w:r>
      <w:r>
        <w:rPr>
          <w:lang w:val="en-GB"/>
        </w:rPr>
        <w:fldChar w:fldCharType="end"/>
      </w:r>
      <w:r w:rsidR="003D714A">
        <w:rPr>
          <w:noProof/>
        </w:rPr>
        <mc:AlternateContent>
          <mc:Choice Requires="wps">
            <w:drawing>
              <wp:anchor distT="0" distB="0" distL="114300" distR="114300" simplePos="0" relativeHeight="251660291" behindDoc="0" locked="0" layoutInCell="1" allowOverlap="1" wp14:anchorId="4173B0F3" wp14:editId="0B8BAA88">
                <wp:simplePos x="0" y="0"/>
                <wp:positionH relativeFrom="column">
                  <wp:posOffset>0</wp:posOffset>
                </wp:positionH>
                <wp:positionV relativeFrom="paragraph">
                  <wp:posOffset>4141470</wp:posOffset>
                </wp:positionV>
                <wp:extent cx="5579745" cy="635"/>
                <wp:effectExtent l="0" t="0" r="0" b="0"/>
                <wp:wrapTopAndBottom/>
                <wp:docPr id="1216923932" name="Text Box 1"/>
                <wp:cNvGraphicFramePr/>
                <a:graphic xmlns:a="http://schemas.openxmlformats.org/drawingml/2006/main">
                  <a:graphicData uri="http://schemas.microsoft.com/office/word/2010/wordprocessingShape">
                    <wps:wsp>
                      <wps:cNvSpPr txBox="1"/>
                      <wps:spPr>
                        <a:xfrm>
                          <a:off x="0" y="0"/>
                          <a:ext cx="5579745" cy="635"/>
                        </a:xfrm>
                        <a:prstGeom prst="rect">
                          <a:avLst/>
                        </a:prstGeom>
                        <a:solidFill>
                          <a:prstClr val="white"/>
                        </a:solidFill>
                        <a:ln>
                          <a:noFill/>
                        </a:ln>
                      </wps:spPr>
                      <wps:txbx>
                        <w:txbxContent>
                          <w:p w14:paraId="22836620" w14:textId="7F1F8587" w:rsidR="003D714A" w:rsidRPr="00C54A19" w:rsidRDefault="003D714A" w:rsidP="003D714A">
                            <w:pPr>
                              <w:pStyle w:val="CETCaption"/>
                              <w:jc w:val="center"/>
                              <w:rPr>
                                <w:noProof/>
                              </w:rPr>
                            </w:pPr>
                            <w:bookmarkStart w:id="3" w:name="_Ref199266673"/>
                            <w:r>
                              <w:t xml:space="preserve">Figure </w:t>
                            </w:r>
                            <w:r>
                              <w:fldChar w:fldCharType="begin"/>
                            </w:r>
                            <w:r>
                              <w:instrText xml:space="preserve"> SEQ Figure \* ARABIC </w:instrText>
                            </w:r>
                            <w:r>
                              <w:fldChar w:fldCharType="separate"/>
                            </w:r>
                            <w:r>
                              <w:rPr>
                                <w:noProof/>
                              </w:rPr>
                              <w:t>2</w:t>
                            </w:r>
                            <w:r>
                              <w:fldChar w:fldCharType="end"/>
                            </w:r>
                            <w:bookmarkEnd w:id="3"/>
                            <w:r>
                              <w:t xml:space="preserve">: </w:t>
                            </w:r>
                            <w:r>
                              <w:t>Flowsheet of the gasifier and burner: solid black line (material stream) and red dashed line (heat)</w:t>
                            </w:r>
                            <w:r w:rsidR="002C4DFD">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73B0F3" id="_x0000_s1027" type="#_x0000_t202" style="position:absolute;left:0;text-align:left;margin-left:0;margin-top:326.1pt;width:439.35pt;height:.05pt;z-index:251660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" stroked="f">
                <v:textbox style="mso-fit-shape-to-text:t" inset="0,0,0,0">
                  <w:txbxContent>
                    <w:p w14:paraId="22836620" w14:textId="7F1F8587" w:rsidR="003D714A" w:rsidRPr="00C54A19" w:rsidRDefault="003D714A" w:rsidP="003D714A">
                      <w:pPr>
                        <w:pStyle w:val="CETCaption"/>
                        <w:jc w:val="center"/>
                        <w:rPr>
                          <w:noProof/>
                        </w:rPr>
                      </w:pPr>
                      <w:bookmarkStart w:id="4" w:name="_Ref199266673"/>
                      <w:r>
                        <w:t xml:space="preserve">Figure </w:t>
                      </w:r>
                      <w:r>
                        <w:fldChar w:fldCharType="begin"/>
                      </w:r>
                      <w:r>
                        <w:instrText xml:space="preserve"> SEQ Figure \* ARABIC </w:instrText>
                      </w:r>
                      <w:r>
                        <w:fldChar w:fldCharType="separate"/>
                      </w:r>
                      <w:r>
                        <w:rPr>
                          <w:noProof/>
                        </w:rPr>
                        <w:t>2</w:t>
                      </w:r>
                      <w:r>
                        <w:fldChar w:fldCharType="end"/>
                      </w:r>
                      <w:bookmarkEnd w:id="4"/>
                      <w:r>
                        <w:t xml:space="preserve">: </w:t>
                      </w:r>
                      <w:r>
                        <w:t>Flowsheet of the gasifier and burner: solid black line (material stream) and red dashed line (heat)</w:t>
                      </w:r>
                      <w:r w:rsidR="002C4DFD">
                        <w:t>.</w:t>
                      </w:r>
                    </w:p>
                  </w:txbxContent>
                </v:textbox>
                <w10:wrap type="topAndBottom"/>
              </v:shape>
            </w:pict>
          </mc:Fallback>
        </mc:AlternateContent>
      </w:r>
      <w:r w:rsidR="00E77153">
        <w:rPr>
          <w:noProof/>
          <w:lang w:val="en-GB"/>
        </w:rPr>
        <w:drawing>
          <wp:anchor distT="0" distB="0" distL="114300" distR="114300" simplePos="0" relativeHeight="251658243" behindDoc="0" locked="0" layoutInCell="1" allowOverlap="1" wp14:anchorId="654B9381" wp14:editId="77E1403F">
            <wp:simplePos x="0" y="0"/>
            <wp:positionH relativeFrom="margin">
              <wp:align>right</wp:align>
            </wp:positionH>
            <wp:positionV relativeFrom="paragraph">
              <wp:posOffset>191482</wp:posOffset>
            </wp:positionV>
            <wp:extent cx="5580000" cy="3893228"/>
            <wp:effectExtent l="0" t="0" r="0" b="0"/>
            <wp:wrapTopAndBottom/>
            <wp:docPr id="11448468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000" cy="3893228"/>
                    </a:xfrm>
                    <a:prstGeom prst="rect">
                      <a:avLst/>
                    </a:prstGeom>
                    <a:noFill/>
                  </pic:spPr>
                </pic:pic>
              </a:graphicData>
            </a:graphic>
            <wp14:sizeRelH relativeFrom="page">
              <wp14:pctWidth>0</wp14:pctWidth>
            </wp14:sizeRelH>
            <wp14:sizeRelV relativeFrom="page">
              <wp14:pctHeight>0</wp14:pctHeight>
            </wp14:sizeRelV>
          </wp:anchor>
        </w:drawing>
      </w:r>
      <w:r w:rsidR="00402D90">
        <w:rPr>
          <w:lang w:val="en-GB"/>
        </w:rPr>
        <w:fldChar w:fldCharType="begin"/>
      </w:r>
      <w:r w:rsidR="00402D90">
        <w:rPr>
          <w:lang w:val="en-GB"/>
        </w:rPr>
        <w:instrText xml:space="preserve"> REF _Ref193385773 \h </w:instrText>
      </w:r>
      <w:r w:rsidR="00402D90">
        <w:rPr>
          <w:lang w:val="en-GB"/>
        </w:rPr>
        <w:fldChar w:fldCharType="separate"/>
      </w:r>
      <w:r w:rsidR="00402D90">
        <w:rPr>
          <w:lang w:val="en-GB"/>
        </w:rPr>
        <w:fldChar w:fldCharType="end"/>
      </w:r>
      <w:r w:rsidR="00AF450F">
        <w:rPr>
          <w:lang w:val="en-GB"/>
        </w:rPr>
        <w:t xml:space="preserve"> depicts the process flowsheet for the gasification process and the burner to supply the heat. </w:t>
      </w:r>
    </w:p>
    <w:p w14:paraId="22FE7514" w14:textId="736CC3DD" w:rsidR="00C21DA9" w:rsidRDefault="00C21DA9" w:rsidP="00AF450F">
      <w:pPr>
        <w:pStyle w:val="CETBodytext"/>
        <w:rPr>
          <w:lang w:val="en-GB"/>
        </w:rPr>
      </w:pPr>
    </w:p>
    <w:p w14:paraId="4589FFE6" w14:textId="7ECDF38B" w:rsidR="00334CAE" w:rsidRPr="00334CAE" w:rsidRDefault="00AF450F" w:rsidP="00AF450F">
      <w:pPr>
        <w:pStyle w:val="CETBodytext"/>
      </w:pPr>
      <w:r>
        <w:rPr>
          <w:lang w:val="en-GB"/>
        </w:rPr>
        <w:t>As shown, the gasification is not modelled as a single step, but as a series of reactive steps. The semi-rigorous model and assumptions are described in Section 3 since this section is meant to describe the flowsheet</w:t>
      </w:r>
      <w:r w:rsidR="0074618E">
        <w:rPr>
          <w:lang w:val="en-GB"/>
        </w:rPr>
        <w:t xml:space="preserve"> for the gasifier only</w:t>
      </w:r>
      <w:r>
        <w:rPr>
          <w:lang w:val="en-GB"/>
        </w:rPr>
        <w:t xml:space="preserve">. The wood chips are preheated in a screw system (HE-1) where the solid is </w:t>
      </w:r>
      <w:r w:rsidR="0074618E">
        <w:rPr>
          <w:lang w:val="en-GB"/>
        </w:rPr>
        <w:t>contacted</w:t>
      </w:r>
      <w:r>
        <w:rPr>
          <w:lang w:val="en-GB"/>
        </w:rPr>
        <w:t xml:space="preserve"> with the hot syngas (S09). This is an effective way to exchange heat between the solid and gas. The feedstock (S01) is fed to the gasification process. The solid is initially pyrolyzed (R1). Produced tars are cracked (R2) and </w:t>
      </w:r>
      <w:r w:rsidR="00B240ED">
        <w:rPr>
          <w:lang w:val="en-GB"/>
        </w:rPr>
        <w:t xml:space="preserve">then </w:t>
      </w:r>
      <w:r>
        <w:rPr>
          <w:lang w:val="en-GB"/>
        </w:rPr>
        <w:t xml:space="preserve">reformed </w:t>
      </w:r>
      <w:r w:rsidR="00687D93">
        <w:rPr>
          <w:lang w:val="en-GB"/>
        </w:rPr>
        <w:t>with</w:t>
      </w:r>
      <w:r>
        <w:rPr>
          <w:lang w:val="en-GB"/>
        </w:rPr>
        <w:t xml:space="preserve"> steam (R3). Steam is generated during the</w:t>
      </w:r>
      <w:r w:rsidR="00687D93">
        <w:rPr>
          <w:lang w:val="en-GB"/>
        </w:rPr>
        <w:t xml:space="preserve"> preheating,</w:t>
      </w:r>
      <w:r>
        <w:rPr>
          <w:lang w:val="en-GB"/>
        </w:rPr>
        <w:t xml:space="preserve"> pyrolysis and cracking steps. The system considers separating the gas (S04) and the solid (S03), e.g., char and unreacted solid. This </w:t>
      </w:r>
      <w:r w:rsidR="00B32C90">
        <w:rPr>
          <w:lang w:val="en-GB"/>
        </w:rPr>
        <w:t>is</w:t>
      </w:r>
      <w:r>
        <w:rPr>
          <w:lang w:val="en-GB"/>
        </w:rPr>
        <w:t xml:space="preserve"> clarified in</w:t>
      </w:r>
      <w:r w:rsidR="00687D93">
        <w:rPr>
          <w:lang w:val="en-GB"/>
        </w:rPr>
        <w:t xml:space="preserve"> </w:t>
      </w:r>
      <w:r>
        <w:rPr>
          <w:lang w:val="en-GB"/>
        </w:rPr>
        <w:t>Section</w:t>
      </w:r>
      <w:r w:rsidR="00687D93">
        <w:rPr>
          <w:lang w:val="en-GB"/>
        </w:rPr>
        <w:t xml:space="preserve"> 3</w:t>
      </w:r>
      <w:r>
        <w:rPr>
          <w:lang w:val="en-GB"/>
        </w:rPr>
        <w:t xml:space="preserve">. </w:t>
      </w:r>
      <w:r w:rsidR="00687D93">
        <w:rPr>
          <w:lang w:val="en-GB"/>
        </w:rPr>
        <w:t>S</w:t>
      </w:r>
      <w:r>
        <w:rPr>
          <w:lang w:val="en-GB"/>
        </w:rPr>
        <w:t>econdary gas-phase reactions occur (R4</w:t>
      </w:r>
      <w:proofErr w:type="gramStart"/>
      <w:r>
        <w:rPr>
          <w:lang w:val="en-GB"/>
        </w:rPr>
        <w:t>)</w:t>
      </w:r>
      <w:proofErr w:type="gramEnd"/>
      <w:r>
        <w:rPr>
          <w:lang w:val="en-GB"/>
        </w:rPr>
        <w:t xml:space="preserve"> and the resulting syngas (S08) is conveyed to a cyclone to separate the biochar from the gas. As mentioned above, the hot bio-syngas is sent back to the solid screw feed system to preheat the solid (HE-1). The syngas is finally quenched (HE-2) and moisture is removed (S12). The cold syngas (S13) is split: one fraction (S14) is sent to the biological methanation (see </w:t>
      </w:r>
      <w:r>
        <w:fldChar w:fldCharType="begin"/>
      </w:r>
      <w:r>
        <w:instrText xml:space="preserve"> REF _Ref193208968 \h </w:instrText>
      </w:r>
      <w:r>
        <w:fldChar w:fldCharType="separate"/>
      </w:r>
      <w:r w:rsidR="002C4DFD">
        <w:t xml:space="preserve">Figure </w:t>
      </w:r>
      <w:r w:rsidR="002C4DFD">
        <w:rPr>
          <w:noProof/>
        </w:rPr>
        <w:t>1</w:t>
      </w:r>
      <w:r>
        <w:fldChar w:fldCharType="end"/>
      </w:r>
      <w:r>
        <w:t xml:space="preserve">), the remaining part (S15) is mixed with air and burnt. The burners surround the gasification chamber and release the heat for gasification (HE-3). </w:t>
      </w:r>
      <w:r w:rsidR="00402D90">
        <w:t>C</w:t>
      </w:r>
      <w:r>
        <w:t xml:space="preserve">ombustion of part of the produced syngas covers the total energy demand </w:t>
      </w:r>
      <w:r w:rsidR="00294A12">
        <w:t>for</w:t>
      </w:r>
      <w:r>
        <w:t xml:space="preserve"> gasification. The flue gas leaves the gasification system (S18)</w:t>
      </w:r>
      <w:r w:rsidR="00294A12">
        <w:t xml:space="preserve"> and</w:t>
      </w:r>
      <w:r w:rsidR="00955433">
        <w:t xml:space="preserve"> is </w:t>
      </w:r>
      <w:r>
        <w:t>chilled</w:t>
      </w:r>
      <w:r w:rsidR="00955433">
        <w:t xml:space="preserve"> (</w:t>
      </w:r>
      <w:r w:rsidR="00294A12">
        <w:t>HE</w:t>
      </w:r>
      <w:r w:rsidR="00955433">
        <w:t>-4)</w:t>
      </w:r>
      <w:r w:rsidR="006B065F">
        <w:t xml:space="preserve"> before conveying it to the stack</w:t>
      </w:r>
      <w:r w:rsidR="00334CAE">
        <w:t>.</w:t>
      </w:r>
    </w:p>
    <w:p w14:paraId="677EBFF0" w14:textId="70D32A1D" w:rsidR="00600535" w:rsidRDefault="00EE3724" w:rsidP="00600535">
      <w:pPr>
        <w:pStyle w:val="CETHeading1"/>
        <w:tabs>
          <w:tab w:val="clear" w:pos="360"/>
          <w:tab w:val="right" w:pos="7100"/>
        </w:tabs>
        <w:jc w:val="both"/>
        <w:rPr>
          <w:lang w:val="en-GB"/>
        </w:rPr>
      </w:pPr>
      <w:r>
        <w:rPr>
          <w:lang w:val="en-GB"/>
        </w:rPr>
        <w:t>Model assumptions</w:t>
      </w:r>
      <w:r w:rsidR="00697C0B">
        <w:rPr>
          <w:lang w:val="en-GB"/>
        </w:rPr>
        <w:t xml:space="preserve"> and implementation</w:t>
      </w:r>
    </w:p>
    <w:p w14:paraId="6902D296" w14:textId="79F342DA" w:rsidR="00CE4DA2" w:rsidRPr="00CE4DA2" w:rsidRDefault="00334CAE" w:rsidP="00CE4DA2">
      <w:pPr>
        <w:pStyle w:val="CETBodytext"/>
        <w:rPr>
          <w:lang w:val="en-GB"/>
        </w:rPr>
      </w:pPr>
      <w:r>
        <w:t xml:space="preserve">The flowsheet of the gasification section </w:t>
      </w:r>
      <w:r w:rsidR="002C0BDE">
        <w:t xml:space="preserve">is </w:t>
      </w:r>
      <w:r>
        <w:t xml:space="preserve">implemented in COFE (CAPE-Open Flowsheet Environment) V3.7, a </w:t>
      </w:r>
      <w:r w:rsidR="002C0BDE">
        <w:t xml:space="preserve">CAPE-Open </w:t>
      </w:r>
      <w:r>
        <w:t xml:space="preserve">license-free simulation software released by </w:t>
      </w:r>
      <w:proofErr w:type="spellStart"/>
      <w:r>
        <w:t>AmsterChem</w:t>
      </w:r>
      <w:proofErr w:type="spellEnd"/>
      <w:r>
        <w:t xml:space="preserve">. </w:t>
      </w:r>
      <w:r w:rsidR="00726647">
        <w:rPr>
          <w:lang w:val="en-GB"/>
        </w:rPr>
        <w:t>G</w:t>
      </w:r>
      <w:r w:rsidR="00CE4DA2">
        <w:rPr>
          <w:lang w:val="en-GB"/>
        </w:rPr>
        <w:t xml:space="preserve">asification occurs </w:t>
      </w:r>
      <w:r w:rsidR="002C0BDE">
        <w:rPr>
          <w:lang w:val="en-GB"/>
        </w:rPr>
        <w:t>in</w:t>
      </w:r>
      <w:r w:rsidR="00CE4DA2">
        <w:rPr>
          <w:lang w:val="en-GB"/>
        </w:rPr>
        <w:t xml:space="preserve"> four steps: (1)</w:t>
      </w:r>
      <w:r w:rsidR="00626705">
        <w:rPr>
          <w:lang w:val="en-GB"/>
        </w:rPr>
        <w:t xml:space="preserve"> </w:t>
      </w:r>
      <w:r w:rsidR="00D60640">
        <w:rPr>
          <w:lang w:val="en-GB"/>
        </w:rPr>
        <w:t xml:space="preserve">volatilization and </w:t>
      </w:r>
      <w:r w:rsidR="00CE4DA2">
        <w:rPr>
          <w:lang w:val="en-GB"/>
        </w:rPr>
        <w:t>pyrolysis</w:t>
      </w:r>
      <w:r w:rsidR="00D60640">
        <w:rPr>
          <w:lang w:val="en-GB"/>
        </w:rPr>
        <w:t>, (2)</w:t>
      </w:r>
      <w:r w:rsidR="0073597C">
        <w:rPr>
          <w:lang w:val="en-GB"/>
        </w:rPr>
        <w:t xml:space="preserve"> tar cracking, (3) tar reforming, and (4) </w:t>
      </w:r>
      <w:r w:rsidR="00626705">
        <w:rPr>
          <w:lang w:val="en-GB"/>
        </w:rPr>
        <w:t xml:space="preserve">gas-phase secondary reactions that are </w:t>
      </w:r>
      <w:r w:rsidR="00697C0B">
        <w:rPr>
          <w:lang w:val="en-GB"/>
        </w:rPr>
        <w:t>commonly named</w:t>
      </w:r>
      <w:r w:rsidR="00626705">
        <w:rPr>
          <w:lang w:val="en-GB"/>
        </w:rPr>
        <w:t xml:space="preserve"> “gasification”</w:t>
      </w:r>
      <w:r w:rsidR="00697C0B">
        <w:rPr>
          <w:lang w:val="en-GB"/>
        </w:rPr>
        <w:t xml:space="preserve"> or “reduction”</w:t>
      </w:r>
      <w:r w:rsidR="00B650AC">
        <w:rPr>
          <w:lang w:val="en-GB"/>
        </w:rPr>
        <w:t xml:space="preserve"> as shown in </w:t>
      </w:r>
      <w:r w:rsidR="002C4DFD">
        <w:rPr>
          <w:lang w:val="en-GB"/>
        </w:rPr>
        <w:fldChar w:fldCharType="begin"/>
      </w:r>
      <w:r w:rsidR="002C4DFD">
        <w:rPr>
          <w:lang w:val="en-GB"/>
        </w:rPr>
        <w:instrText xml:space="preserve"> REF _Ref199266673 \h </w:instrText>
      </w:r>
      <w:r w:rsidR="002C4DFD">
        <w:rPr>
          <w:lang w:val="en-GB"/>
        </w:rPr>
      </w:r>
      <w:r w:rsidR="002C4DFD">
        <w:rPr>
          <w:lang w:val="en-GB"/>
        </w:rPr>
        <w:fldChar w:fldCharType="separate"/>
      </w:r>
      <w:r w:rsidR="002C4DFD">
        <w:t xml:space="preserve">Figure </w:t>
      </w:r>
      <w:r w:rsidR="002C4DFD">
        <w:rPr>
          <w:noProof/>
        </w:rPr>
        <w:t>2</w:t>
      </w:r>
      <w:r w:rsidR="002C4DFD">
        <w:rPr>
          <w:lang w:val="en-GB"/>
        </w:rPr>
        <w:fldChar w:fldCharType="end"/>
      </w:r>
      <w:r w:rsidR="00E20280">
        <w:rPr>
          <w:lang w:val="en-GB"/>
        </w:rPr>
        <w:t xml:space="preserve">. These steps </w:t>
      </w:r>
      <w:r w:rsidR="00697C0B">
        <w:rPr>
          <w:lang w:val="en-GB"/>
        </w:rPr>
        <w:t>occur</w:t>
      </w:r>
      <w:r w:rsidR="00B650AC">
        <w:rPr>
          <w:lang w:val="en-GB"/>
        </w:rPr>
        <w:t xml:space="preserve"> </w:t>
      </w:r>
      <w:r w:rsidR="00697C0B">
        <w:rPr>
          <w:lang w:val="en-GB"/>
        </w:rPr>
        <w:t>in</w:t>
      </w:r>
      <w:r w:rsidR="00B650AC">
        <w:rPr>
          <w:lang w:val="en-GB"/>
        </w:rPr>
        <w:t xml:space="preserve"> sequential reactors</w:t>
      </w:r>
      <w:r w:rsidR="00626705">
        <w:rPr>
          <w:lang w:val="en-GB"/>
        </w:rPr>
        <w:t>.</w:t>
      </w:r>
      <w:r w:rsidR="00B650AC">
        <w:rPr>
          <w:lang w:val="en-GB"/>
        </w:rPr>
        <w:t xml:space="preserve"> </w:t>
      </w:r>
      <w:r w:rsidR="00626705">
        <w:rPr>
          <w:lang w:val="en-GB"/>
        </w:rPr>
        <w:t xml:space="preserve"> </w:t>
      </w:r>
      <w:r w:rsidR="00D60640">
        <w:rPr>
          <w:lang w:val="en-GB"/>
        </w:rPr>
        <w:t xml:space="preserve"> </w:t>
      </w:r>
    </w:p>
    <w:p w14:paraId="04963A06" w14:textId="6D48A2FF" w:rsidR="00600535" w:rsidRDefault="00AF0248" w:rsidP="00FA5F5F">
      <w:pPr>
        <w:pStyle w:val="CETheadingx"/>
      </w:pPr>
      <w:r>
        <w:t>Feedstock characterization</w:t>
      </w:r>
    </w:p>
    <w:p w14:paraId="0F4DD10F" w14:textId="3D39BE60" w:rsidR="00AF0248" w:rsidRDefault="00AF67F4" w:rsidP="00AF0248">
      <w:pPr>
        <w:pStyle w:val="CETBodytext"/>
      </w:pPr>
      <w:r>
        <w:t>B</w:t>
      </w:r>
      <w:r w:rsidR="00753459">
        <w:t xml:space="preserve">iomass </w:t>
      </w:r>
      <w:r>
        <w:t xml:space="preserve">is characterized as approximate (cellulose, hemicellulose, and lignin) and elemental </w:t>
      </w:r>
      <w:r w:rsidR="00DB1466">
        <w:t>analyses</w:t>
      </w:r>
      <w:r>
        <w:t xml:space="preserve"> (C, H, and O). The model neglects N and S</w:t>
      </w:r>
      <w:r w:rsidR="000F7C6F">
        <w:t>,</w:t>
      </w:r>
      <w:r>
        <w:t xml:space="preserve"> for now. </w:t>
      </w:r>
      <w:r w:rsidR="009E26E8">
        <w:t xml:space="preserve">Both are fundamental since the pyrolysis model (Section 3.2) </w:t>
      </w:r>
      <w:r w:rsidR="000F7C6F">
        <w:t>considers</w:t>
      </w:r>
      <w:r w:rsidR="009E26E8">
        <w:t xml:space="preserve"> different </w:t>
      </w:r>
      <w:r w:rsidR="00210BAA">
        <w:t xml:space="preserve">chemical paths for the biomass constituents. The elemental composition is </w:t>
      </w:r>
      <w:r w:rsidR="000F7C6F">
        <w:t xml:space="preserve">considered to estimate the relative distribution of the </w:t>
      </w:r>
      <w:r w:rsidR="00085410">
        <w:t xml:space="preserve">lignin building blocks as proposed in </w:t>
      </w:r>
      <w:proofErr w:type="spellStart"/>
      <w:r w:rsidR="00085410">
        <w:t>Ranzi</w:t>
      </w:r>
      <w:proofErr w:type="spellEnd"/>
      <w:r w:rsidR="00085410">
        <w:t xml:space="preserve"> et al. (2014). TERRAWATT provided the </w:t>
      </w:r>
      <w:r w:rsidR="00D3008A">
        <w:t xml:space="preserve">approximate and elemental composition of wood waste available </w:t>
      </w:r>
      <w:r w:rsidR="00C6300D">
        <w:t>at</w:t>
      </w:r>
      <w:r w:rsidR="00D3008A">
        <w:t xml:space="preserve"> the facility in Bourges.</w:t>
      </w:r>
      <w:r w:rsidR="006B7059">
        <w:t xml:space="preserve"> The pilot treats 150 kg/h of wood chips </w:t>
      </w:r>
      <w:r w:rsidR="00222C8B">
        <w:t xml:space="preserve">with a moisture content of 30 </w:t>
      </w:r>
      <w:proofErr w:type="spellStart"/>
      <w:r w:rsidR="00222C8B">
        <w:t>wt</w:t>
      </w:r>
      <w:proofErr w:type="spellEnd"/>
      <w:r w:rsidR="00222C8B">
        <w:t>%</w:t>
      </w:r>
      <w:r w:rsidR="00251860">
        <w:t>, i.e., dry biomass is 10</w:t>
      </w:r>
      <w:r w:rsidR="007F6FE7">
        <w:t>5</w:t>
      </w:r>
      <w:r w:rsidR="00251860">
        <w:t xml:space="preserve"> kg/h.</w:t>
      </w:r>
    </w:p>
    <w:p w14:paraId="2F05273A" w14:textId="2DC8EDDA" w:rsidR="00AF0248" w:rsidRPr="00B57B36" w:rsidRDefault="00051EB9" w:rsidP="00AF0248">
      <w:pPr>
        <w:pStyle w:val="CETheadingx"/>
      </w:pPr>
      <w:r>
        <w:t xml:space="preserve">Biomass volatilization and </w:t>
      </w:r>
      <w:r w:rsidR="00223583">
        <w:t>pyrolysis (R1)</w:t>
      </w:r>
    </w:p>
    <w:p w14:paraId="27A59217" w14:textId="2AC1BD06" w:rsidR="00AF0248" w:rsidRDefault="00D91426" w:rsidP="00AF0248">
      <w:pPr>
        <w:pStyle w:val="CETBodytext"/>
      </w:pPr>
      <w:r>
        <w:t xml:space="preserve">Biomass volatilization and pyrolysis are modelled based on the lumped kinetics proposed by </w:t>
      </w:r>
      <w:proofErr w:type="spellStart"/>
      <w:r>
        <w:t>Ranzi</w:t>
      </w:r>
      <w:proofErr w:type="spellEnd"/>
      <w:r>
        <w:t xml:space="preserve"> et al. (2014).</w:t>
      </w:r>
      <w:r w:rsidR="00667CB4">
        <w:t xml:space="preserve"> </w:t>
      </w:r>
      <w:r w:rsidR="00F465F4">
        <w:t>K</w:t>
      </w:r>
      <w:r w:rsidR="00667CB4">
        <w:t>inetic</w:t>
      </w:r>
      <w:r w:rsidR="00F465F4">
        <w:t xml:space="preserve"> expressions</w:t>
      </w:r>
      <w:r w:rsidR="00667CB4">
        <w:t xml:space="preserve"> </w:t>
      </w:r>
      <w:r w:rsidR="00265A88">
        <w:t>are</w:t>
      </w:r>
      <w:r w:rsidR="00667CB4">
        <w:t xml:space="preserve"> retrievable from the supplementary material of the same work. The lumped kinetic model </w:t>
      </w:r>
      <w:r w:rsidR="00F465F4">
        <w:t>reduces</w:t>
      </w:r>
      <w:r w:rsidR="004534EF">
        <w:t xml:space="preserve"> the </w:t>
      </w:r>
      <w:r w:rsidR="00265A88">
        <w:t>number</w:t>
      </w:r>
      <w:r w:rsidR="004534EF">
        <w:t xml:space="preserve"> of reactions and chemical species in the system</w:t>
      </w:r>
      <w:r w:rsidR="00265A88">
        <w:t xml:space="preserve"> </w:t>
      </w:r>
      <w:r w:rsidR="00F465F4">
        <w:t xml:space="preserve">to be </w:t>
      </w:r>
      <w:r w:rsidR="00265A88">
        <w:t>feasible</w:t>
      </w:r>
      <w:r w:rsidR="004534EF">
        <w:t xml:space="preserve"> for </w:t>
      </w:r>
      <w:r w:rsidR="00265A88">
        <w:t xml:space="preserve">process simulators. </w:t>
      </w:r>
      <w:r w:rsidR="00182292">
        <w:t>T</w:t>
      </w:r>
      <w:r w:rsidR="00265A88">
        <w:t xml:space="preserve">he </w:t>
      </w:r>
      <w:r w:rsidR="00E41AD1">
        <w:t xml:space="preserve">kinetics proposed by </w:t>
      </w:r>
      <w:proofErr w:type="spellStart"/>
      <w:r w:rsidR="00E41AD1">
        <w:t>Ranzi</w:t>
      </w:r>
      <w:proofErr w:type="spellEnd"/>
      <w:r w:rsidR="00E41AD1">
        <w:t xml:space="preserve"> et al. </w:t>
      </w:r>
      <w:r w:rsidR="005C2D39">
        <w:t xml:space="preserve">(2014) </w:t>
      </w:r>
      <w:r w:rsidR="00182292">
        <w:t>suggest</w:t>
      </w:r>
      <w:r w:rsidR="00E41AD1">
        <w:t xml:space="preserve"> different reactivity for cellulose, hemicellulose, and lignin</w:t>
      </w:r>
      <w:r w:rsidR="00182292">
        <w:t>: (1) cellulose is responsible for char production</w:t>
      </w:r>
      <w:r w:rsidR="00757585">
        <w:t xml:space="preserve"> mainly</w:t>
      </w:r>
      <w:r w:rsidR="00182292">
        <w:t>, (2) hemicellulose releases alcohols and aldehydes</w:t>
      </w:r>
      <w:r w:rsidR="00BE7B30">
        <w:t>, and (3) lignin degrades thermally and generates C</w:t>
      </w:r>
      <w:r w:rsidR="00164DA7" w:rsidRPr="00164DA7">
        <w:rPr>
          <w:vertAlign w:val="subscript"/>
        </w:rPr>
        <w:t>5</w:t>
      </w:r>
      <w:r w:rsidR="00B00B08" w:rsidRPr="00164DA7">
        <w:rPr>
          <w:vertAlign w:val="subscript"/>
        </w:rPr>
        <w:t>+</w:t>
      </w:r>
      <w:r w:rsidR="00B00B08">
        <w:t xml:space="preserve"> </w:t>
      </w:r>
      <w:proofErr w:type="gramStart"/>
      <w:r w:rsidR="00B00B08">
        <w:t>tars</w:t>
      </w:r>
      <w:proofErr w:type="gramEnd"/>
      <w:r w:rsidR="00B00B08">
        <w:t xml:space="preserve"> and other light molecules</w:t>
      </w:r>
      <w:r w:rsidR="00757585">
        <w:t xml:space="preserve"> as well as </w:t>
      </w:r>
      <w:r w:rsidR="00B00B08">
        <w:t>char and other solid products</w:t>
      </w:r>
      <w:r w:rsidR="00164DA7">
        <w:t xml:space="preserve">. The reactor is size </w:t>
      </w:r>
      <w:r w:rsidR="00757585">
        <w:t>assuming fluidization</w:t>
      </w:r>
      <w:r w:rsidR="00EE18E3">
        <w:t xml:space="preserve"> of the </w:t>
      </w:r>
      <w:r w:rsidR="00B7685A">
        <w:t>bed,</w:t>
      </w:r>
      <w:r w:rsidR="00757585">
        <w:t xml:space="preserve"> and the gas velocity guarantee</w:t>
      </w:r>
      <w:r w:rsidR="00B7685A">
        <w:t>s</w:t>
      </w:r>
      <w:r w:rsidR="00757585">
        <w:t xml:space="preserve"> the lift of the solid</w:t>
      </w:r>
      <w:r w:rsidR="00EE18E3">
        <w:t>.</w:t>
      </w:r>
      <w:r w:rsidR="00B7685A">
        <w:t xml:space="preserve"> The fluidization condition has been analyzed through a separate Python-based code.</w:t>
      </w:r>
      <w:r w:rsidR="007B51D8">
        <w:t xml:space="preserve"> The pyrolysis chamber is run at </w:t>
      </w:r>
      <w:r w:rsidR="005A730E">
        <w:t>750</w:t>
      </w:r>
      <w:r w:rsidR="005A730E">
        <w:rPr>
          <w:rFonts w:cs="Arial"/>
        </w:rPr>
        <w:t>°</w:t>
      </w:r>
      <w:r w:rsidR="005A730E">
        <w:t xml:space="preserve">C, corresponding to the nominal operating conditions </w:t>
      </w:r>
      <w:r w:rsidR="007027B5">
        <w:t xml:space="preserve">in TERRAWATT’s pilot. The temperature of the </w:t>
      </w:r>
      <w:r w:rsidR="000F75CC">
        <w:t>reactor is assumed uniform; hence, the next reactive steps</w:t>
      </w:r>
      <w:r w:rsidR="00EE18E3">
        <w:t xml:space="preserve"> </w:t>
      </w:r>
      <w:r w:rsidR="002A5871">
        <w:t xml:space="preserve">also </w:t>
      </w:r>
      <w:r w:rsidR="000F75CC">
        <w:t>occur at the same temperature. This assumption is corroborated considering that</w:t>
      </w:r>
      <w:r w:rsidR="002A5871">
        <w:t xml:space="preserve"> fluidization </w:t>
      </w:r>
      <w:r w:rsidR="003A25B9">
        <w:t>keeps</w:t>
      </w:r>
      <w:r w:rsidR="00245906">
        <w:t xml:space="preserve"> perfect mixing within the chamber.</w:t>
      </w:r>
      <w:r w:rsidR="000F75CC">
        <w:t xml:space="preserve"> </w:t>
      </w:r>
      <w:r w:rsidR="00EE18E3">
        <w:t xml:space="preserve">The resulting </w:t>
      </w:r>
      <w:r w:rsidR="00B7685A">
        <w:t>product</w:t>
      </w:r>
      <w:r w:rsidR="00EE18E3">
        <w:t xml:space="preserve"> mixture </w:t>
      </w:r>
      <w:r w:rsidR="00B7685A">
        <w:t>is sent</w:t>
      </w:r>
      <w:r w:rsidR="00EE18E3">
        <w:t xml:space="preserve"> to tar cracking.</w:t>
      </w:r>
      <w:r w:rsidR="00BE7B30">
        <w:t xml:space="preserve"> </w:t>
      </w:r>
    </w:p>
    <w:p w14:paraId="0577DE60" w14:textId="108EBD68" w:rsidR="00AF0248" w:rsidRPr="00B57B36" w:rsidRDefault="00223583" w:rsidP="00AF0248">
      <w:pPr>
        <w:pStyle w:val="CETheadingx"/>
      </w:pPr>
      <w:r>
        <w:t>Tar cracking (R2) and reforming (R3)</w:t>
      </w:r>
    </w:p>
    <w:p w14:paraId="3F4FBFC0" w14:textId="09F711DF" w:rsidR="00AF0248" w:rsidRDefault="00C95EA0" w:rsidP="00AF0248">
      <w:pPr>
        <w:pStyle w:val="CETBodytext"/>
      </w:pPr>
      <w:r>
        <w:t>Chen</w:t>
      </w:r>
      <w:r w:rsidR="00A26DA4">
        <w:t xml:space="preserve"> et al. (202</w:t>
      </w:r>
      <w:r w:rsidR="00256740">
        <w:t>1</w:t>
      </w:r>
      <w:r w:rsidR="00A26DA4">
        <w:t>)</w:t>
      </w:r>
      <w:r>
        <w:t xml:space="preserve"> published kinetics for tar </w:t>
      </w:r>
      <w:r w:rsidR="0038265D">
        <w:t xml:space="preserve">cracking </w:t>
      </w:r>
      <w:r>
        <w:t xml:space="preserve">accounting for the same molecules proposed in </w:t>
      </w:r>
      <w:proofErr w:type="spellStart"/>
      <w:r>
        <w:t>Ranzi’s</w:t>
      </w:r>
      <w:proofErr w:type="spellEnd"/>
      <w:r>
        <w:t xml:space="preserve"> lumped model. </w:t>
      </w:r>
      <w:r w:rsidR="00E4416D">
        <w:t>Chemistry</w:t>
      </w:r>
      <w:r w:rsidR="002C4B75">
        <w:t xml:space="preserve"> and kinetic </w:t>
      </w:r>
      <w:r w:rsidR="00CD4D4D">
        <w:t>expressions</w:t>
      </w:r>
      <w:r w:rsidR="002C4B75">
        <w:t xml:space="preserve"> are</w:t>
      </w:r>
      <w:r w:rsidR="00AB4A2E">
        <w:t xml:space="preserve"> reported in the same work. Remarkably, the proposed scheme </w:t>
      </w:r>
      <w:r w:rsidR="00E4416D">
        <w:t>considers</w:t>
      </w:r>
      <w:r w:rsidR="00AB4A2E">
        <w:t xml:space="preserve"> </w:t>
      </w:r>
      <w:r w:rsidR="00B9501D">
        <w:t>small</w:t>
      </w:r>
      <w:r w:rsidR="00AB4A2E">
        <w:t xml:space="preserve"> </w:t>
      </w:r>
      <w:r w:rsidR="00C05E35">
        <w:t>molecules</w:t>
      </w:r>
      <w:r w:rsidR="00C11926">
        <w:t xml:space="preserve"> as products of cracking</w:t>
      </w:r>
      <w:r w:rsidR="00B9501D">
        <w:t xml:space="preserve">: </w:t>
      </w:r>
      <w:r w:rsidR="00C04DDC">
        <w:t>C</w:t>
      </w:r>
      <w:r w:rsidR="00C04DDC" w:rsidRPr="00C16F46">
        <w:rPr>
          <w:vertAlign w:val="subscript"/>
        </w:rPr>
        <w:t>1</w:t>
      </w:r>
      <w:r w:rsidR="00C04DDC">
        <w:t xml:space="preserve"> (formaldehyde, </w:t>
      </w:r>
      <w:r w:rsidR="00B9501D">
        <w:t>methane</w:t>
      </w:r>
      <w:r w:rsidR="00C04DDC">
        <w:t>), C</w:t>
      </w:r>
      <w:r w:rsidR="00C04DDC" w:rsidRPr="00B9501D">
        <w:rPr>
          <w:vertAlign w:val="subscript"/>
        </w:rPr>
        <w:t>2</w:t>
      </w:r>
      <w:r w:rsidR="00C04DDC">
        <w:t xml:space="preserve"> (</w:t>
      </w:r>
      <w:r w:rsidR="00DC1773">
        <w:t>ethylene</w:t>
      </w:r>
      <w:r w:rsidR="00B9501D">
        <w:t xml:space="preserve"> and</w:t>
      </w:r>
      <w:r w:rsidR="00C16F46">
        <w:t xml:space="preserve"> </w:t>
      </w:r>
      <w:r w:rsidR="00B9501D">
        <w:t>acetylene</w:t>
      </w:r>
      <w:r w:rsidR="00DC1773">
        <w:t>)</w:t>
      </w:r>
      <w:r w:rsidR="00C16F46">
        <w:t>, steam,</w:t>
      </w:r>
      <w:r w:rsidR="00DC1773">
        <w:t xml:space="preserve"> and syngas constituents.</w:t>
      </w:r>
      <w:r w:rsidR="00AB4A2E">
        <w:t xml:space="preserve"> </w:t>
      </w:r>
      <w:r w:rsidR="00C05E35">
        <w:t>Ranzi et al. (2017)</w:t>
      </w:r>
      <w:r w:rsidR="00DC1773">
        <w:t xml:space="preserve"> published rather detailed kinetic models </w:t>
      </w:r>
      <w:r w:rsidR="00DF0A46">
        <w:t>for tar cracking</w:t>
      </w:r>
      <w:r w:rsidR="00C05E35">
        <w:t xml:space="preserve">, where radicals are </w:t>
      </w:r>
      <w:r w:rsidR="005F7DD6">
        <w:t>included</w:t>
      </w:r>
      <w:r w:rsidR="00C05E35">
        <w:t xml:space="preserve">. </w:t>
      </w:r>
      <w:r w:rsidR="0091266A">
        <w:t>Implementing</w:t>
      </w:r>
      <w:r w:rsidR="00C05E35">
        <w:t xml:space="preserve"> this kind of </w:t>
      </w:r>
      <w:r w:rsidR="00DB6A76">
        <w:t xml:space="preserve">reactive system is </w:t>
      </w:r>
      <w:r w:rsidR="005F7DD6">
        <w:t>im</w:t>
      </w:r>
      <w:r w:rsidR="00DB6A76">
        <w:t xml:space="preserve">possible in process </w:t>
      </w:r>
      <w:r w:rsidR="0029441D">
        <w:t>simulators</w:t>
      </w:r>
      <w:r w:rsidR="00DB6A76">
        <w:t xml:space="preserve"> due </w:t>
      </w:r>
      <w:r w:rsidR="00675416">
        <w:t xml:space="preserve">to </w:t>
      </w:r>
      <w:r w:rsidR="00DF0A46">
        <w:t>propagation</w:t>
      </w:r>
      <w:r w:rsidR="00F668AE">
        <w:t xml:space="preserve"> reactions</w:t>
      </w:r>
      <w:r w:rsidR="00DF0A46">
        <w:t xml:space="preserve"> of radicals </w:t>
      </w:r>
      <w:r w:rsidR="00675416">
        <w:t>which</w:t>
      </w:r>
      <w:r w:rsidR="00DF0A46">
        <w:t xml:space="preserve"> </w:t>
      </w:r>
      <w:r w:rsidR="00F668AE">
        <w:t>lead</w:t>
      </w:r>
      <w:r w:rsidR="00DF0A46">
        <w:t xml:space="preserve"> to a wide </w:t>
      </w:r>
      <w:r w:rsidR="00675416">
        <w:t xml:space="preserve">range of </w:t>
      </w:r>
      <w:r w:rsidR="001D1887">
        <w:t xml:space="preserve">possible </w:t>
      </w:r>
      <w:r w:rsidR="00675416">
        <w:t>combinations reactions</w:t>
      </w:r>
      <w:r w:rsidR="00955F3A">
        <w:t>, i.e., exponential increment of the number of components to be defined, and exponential increase in computational time.</w:t>
      </w:r>
      <w:r w:rsidR="00B16F01">
        <w:t xml:space="preserve"> The kinetic model</w:t>
      </w:r>
      <w:r w:rsidR="0020277E">
        <w:t>s in Chen</w:t>
      </w:r>
      <w:r w:rsidR="001D1887">
        <w:t xml:space="preserve"> et al.</w:t>
      </w:r>
      <w:r w:rsidR="0020277E">
        <w:t xml:space="preserve"> </w:t>
      </w:r>
      <w:r w:rsidR="00F668AE">
        <w:t>identify</w:t>
      </w:r>
      <w:r w:rsidR="00AC2CC9">
        <w:t xml:space="preserve"> different reactivity for tar molecules: the smaller, the lower the reactivity.</w:t>
      </w:r>
      <w:r w:rsidR="00C14DEE">
        <w:t xml:space="preserve"> </w:t>
      </w:r>
      <w:r w:rsidR="00501F5D">
        <w:t>A</w:t>
      </w:r>
      <w:r w:rsidR="00C14DEE">
        <w:t xml:space="preserve">cetone, </w:t>
      </w:r>
      <w:r w:rsidR="00501F5D">
        <w:t xml:space="preserve">glyoxal, </w:t>
      </w:r>
      <w:r w:rsidR="00C14DEE">
        <w:t xml:space="preserve">and acetaldehyde are </w:t>
      </w:r>
      <w:r w:rsidR="00501F5D">
        <w:t xml:space="preserve">the most </w:t>
      </w:r>
      <w:r w:rsidR="00C14DEE">
        <w:t>recalcitrant</w:t>
      </w:r>
      <w:r w:rsidR="00501F5D">
        <w:t xml:space="preserve"> in increasing order of stability to thermal cracking decomposition</w:t>
      </w:r>
      <w:r w:rsidR="00C14DEE">
        <w:t>, while C</w:t>
      </w:r>
      <w:r w:rsidR="00C14DEE" w:rsidRPr="00501F5D">
        <w:rPr>
          <w:vertAlign w:val="subscript"/>
        </w:rPr>
        <w:t>5+</w:t>
      </w:r>
      <w:r w:rsidR="00C14DEE">
        <w:t xml:space="preserve"> molecules are sensitive to thermal degradation</w:t>
      </w:r>
      <w:r w:rsidR="00501F5D">
        <w:t xml:space="preserve"> and rapidly turn into lighter molecules</w:t>
      </w:r>
      <w:r w:rsidR="00C14DEE">
        <w:t xml:space="preserve">. The </w:t>
      </w:r>
      <w:r w:rsidR="00B86668">
        <w:t xml:space="preserve">tar cracking section is designed </w:t>
      </w:r>
      <w:r w:rsidR="00501F5D">
        <w:t>to achieve</w:t>
      </w:r>
      <w:r w:rsidR="00B86668">
        <w:t xml:space="preserve"> 50% conversion of </w:t>
      </w:r>
      <w:r w:rsidR="00501F5D">
        <w:t xml:space="preserve">acetone, the least stable among the mentioned recalcitrant species.  </w:t>
      </w:r>
      <w:r w:rsidR="00B86668">
        <w:t xml:space="preserve"> </w:t>
      </w:r>
    </w:p>
    <w:p w14:paraId="61FD7589" w14:textId="1408F9ED" w:rsidR="00955F3A" w:rsidRDefault="00E9380F" w:rsidP="00AF0248">
      <w:pPr>
        <w:pStyle w:val="CETBodytext"/>
      </w:pPr>
      <w:r>
        <w:lastRenderedPageBreak/>
        <w:t xml:space="preserve">The product mixture from tar cracking </w:t>
      </w:r>
      <w:r w:rsidR="008812CD">
        <w:t>undergoes</w:t>
      </w:r>
      <w:r>
        <w:t xml:space="preserve"> a reforming step. The reforming </w:t>
      </w:r>
      <w:r w:rsidR="008812CD">
        <w:t>occurs</w:t>
      </w:r>
      <w:r>
        <w:t xml:space="preserve"> owing </w:t>
      </w:r>
      <w:r w:rsidR="008812CD">
        <w:t>to</w:t>
      </w:r>
      <w:r>
        <w:t xml:space="preserve"> the steam released during both pyrolysis and </w:t>
      </w:r>
      <w:r w:rsidR="008812CD">
        <w:t xml:space="preserve">cracking, as well as the water vaporized from the moisture of the biomass. </w:t>
      </w:r>
      <w:r w:rsidR="00230A80">
        <w:t>The literature</w:t>
      </w:r>
      <w:r w:rsidR="008812CD">
        <w:t xml:space="preserve"> </w:t>
      </w:r>
      <w:r w:rsidR="00711DC6">
        <w:t>does</w:t>
      </w:r>
      <w:r w:rsidR="008812CD">
        <w:t xml:space="preserve"> not report any general and/or lumped model for reforming</w:t>
      </w:r>
      <w:r w:rsidR="00ED65DA">
        <w:t xml:space="preserve"> reactions</w:t>
      </w:r>
      <w:r w:rsidR="008812CD">
        <w:t xml:space="preserve"> of </w:t>
      </w:r>
      <w:r w:rsidR="00711DC6">
        <w:t xml:space="preserve">tar and </w:t>
      </w:r>
      <w:r w:rsidR="00ED65DA">
        <w:t xml:space="preserve">its </w:t>
      </w:r>
      <w:r w:rsidR="00711DC6">
        <w:t>decomposition products. For this reason,</w:t>
      </w:r>
      <w:r w:rsidR="00ED65DA">
        <w:t xml:space="preserve"> an equilibrium reactor is considered to estimate the resulting equilibrium composition </w:t>
      </w:r>
      <w:r w:rsidR="008F7CB1">
        <w:t xml:space="preserve">of the gas. The equilibrium reactor addresses the minimization of the Gibbs energy of the system based constrained to reforming </w:t>
      </w:r>
      <w:r w:rsidR="005B73FD">
        <w:t>reaction where residue tar and its derivates are consumed to release CO and H</w:t>
      </w:r>
      <w:r w:rsidR="005B73FD" w:rsidRPr="00AD026F">
        <w:rPr>
          <w:vertAlign w:val="subscript"/>
        </w:rPr>
        <w:t>2</w:t>
      </w:r>
      <w:r w:rsidR="005B73FD">
        <w:t xml:space="preserve">, the water-gas shift reaction (RWGS) </w:t>
      </w:r>
      <w:r w:rsidR="00AD026F">
        <w:t>refines the H</w:t>
      </w:r>
      <w:r w:rsidR="00AD026F" w:rsidRPr="00AD026F">
        <w:rPr>
          <w:vertAlign w:val="subscript"/>
        </w:rPr>
        <w:t>2</w:t>
      </w:r>
      <w:r w:rsidR="00AD026F">
        <w:t>/</w:t>
      </w:r>
      <w:proofErr w:type="spellStart"/>
      <w:r w:rsidR="00AD026F">
        <w:t>CO</w:t>
      </w:r>
      <w:r w:rsidR="00AD026F" w:rsidRPr="00AD026F">
        <w:rPr>
          <w:vertAlign w:val="subscript"/>
        </w:rPr>
        <w:t>x</w:t>
      </w:r>
      <w:proofErr w:type="spellEnd"/>
      <w:r w:rsidR="00AD026F">
        <w:t xml:space="preserve"> ratio.</w:t>
      </w:r>
      <w:r w:rsidR="005B73FD">
        <w:t xml:space="preserve"> </w:t>
      </w:r>
      <w:r w:rsidR="00711DC6">
        <w:t xml:space="preserve"> </w:t>
      </w:r>
      <w:r w:rsidR="008812CD">
        <w:t xml:space="preserve"> </w:t>
      </w:r>
      <w:r>
        <w:t xml:space="preserve"> </w:t>
      </w:r>
    </w:p>
    <w:p w14:paraId="5867BA64" w14:textId="23651B4C" w:rsidR="00AF0248" w:rsidRDefault="00223583" w:rsidP="00AF0248">
      <w:pPr>
        <w:pStyle w:val="CETheadingx"/>
      </w:pPr>
      <w:r>
        <w:t>Secondary gas-phase reaction “gasification” (R4)</w:t>
      </w:r>
    </w:p>
    <w:p w14:paraId="7BA26CCD" w14:textId="49A0372D" w:rsidR="000C7323" w:rsidRDefault="0091053A" w:rsidP="00223583">
      <w:pPr>
        <w:pStyle w:val="CETBodytext"/>
      </w:pPr>
      <w:r>
        <w:t>The secondary gas-phase reaction system includes water</w:t>
      </w:r>
      <w:r w:rsidR="002F5CC7">
        <w:t xml:space="preserve">-gas shift </w:t>
      </w:r>
      <w:r w:rsidR="00E304B3">
        <w:t>(</w:t>
      </w:r>
      <w:r w:rsidR="002F5CC7">
        <w:t>WGS)</w:t>
      </w:r>
      <w:r w:rsidR="00E304B3">
        <w:t xml:space="preserve"> in Eq</w:t>
      </w:r>
      <w:r w:rsidR="00345775">
        <w:t xml:space="preserve"> </w:t>
      </w:r>
      <w:r w:rsidR="00E304B3">
        <w:t>(1)</w:t>
      </w:r>
      <w:r w:rsidR="002F5CC7">
        <w:t>, steam methane reforming (SMR)</w:t>
      </w:r>
      <w:r w:rsidR="00E304B3">
        <w:t xml:space="preserve"> in Eq</w:t>
      </w:r>
      <w:r w:rsidR="00345775">
        <w:t xml:space="preserve"> </w:t>
      </w:r>
      <w:r w:rsidR="00E304B3">
        <w:t>(2)</w:t>
      </w:r>
      <w:r w:rsidR="002F5CC7">
        <w:t>, and char gasification</w:t>
      </w:r>
      <w:r w:rsidR="00E304B3">
        <w:t xml:space="preserve"> in Eq</w:t>
      </w:r>
      <w:r w:rsidR="00345775">
        <w:t xml:space="preserve"> </w:t>
      </w:r>
      <w:r w:rsidR="00E304B3">
        <w:t xml:space="preserve">(3). </w:t>
      </w:r>
      <w:r w:rsidR="00C55674">
        <w:t>The kinetics for uncatalyzed reactions are retrieved from Chaurasia (</w:t>
      </w:r>
      <w:r w:rsidR="00213B0D">
        <w:t xml:space="preserve">2016), </w:t>
      </w:r>
      <w:r w:rsidR="003B14FB" w:rsidRPr="003B14FB">
        <w:t>Gómez-Barea</w:t>
      </w:r>
      <w:r w:rsidR="003B14FB">
        <w:t xml:space="preserve"> and</w:t>
      </w:r>
      <w:r w:rsidR="003B14FB" w:rsidRPr="003B14FB">
        <w:t xml:space="preserve"> Leckner</w:t>
      </w:r>
      <w:r w:rsidR="003B14FB">
        <w:t xml:space="preserve"> (201</w:t>
      </w:r>
      <w:r w:rsidR="00C85F9F">
        <w:t>0</w:t>
      </w:r>
      <w:r w:rsidR="003B14FB">
        <w:t xml:space="preserve">), and </w:t>
      </w:r>
      <w:r w:rsidR="00D64A1A" w:rsidRPr="00D64A1A">
        <w:t>Groeneveld</w:t>
      </w:r>
      <w:r w:rsidR="00D64A1A">
        <w:t xml:space="preserve"> and </w:t>
      </w:r>
      <w:r w:rsidR="00D64A1A" w:rsidRPr="00D64A1A">
        <w:t xml:space="preserve">van </w:t>
      </w:r>
      <w:proofErr w:type="spellStart"/>
      <w:r w:rsidR="00D64A1A" w:rsidRPr="00D64A1A">
        <w:t>Swaaij</w:t>
      </w:r>
      <w:proofErr w:type="spellEnd"/>
      <w:r w:rsidR="00D64A1A">
        <w:t xml:space="preserve"> (1980), respectively. </w:t>
      </w:r>
    </w:p>
    <w:tbl>
      <w:tblPr>
        <w:tblW w:w="5000" w:type="pct"/>
        <w:tblLook w:val="04A0" w:firstRow="1" w:lastRow="0" w:firstColumn="1" w:lastColumn="0" w:noHBand="0" w:noVBand="1"/>
      </w:tblPr>
      <w:tblGrid>
        <w:gridCol w:w="2694"/>
        <w:gridCol w:w="5323"/>
        <w:gridCol w:w="770"/>
      </w:tblGrid>
      <w:tr w:rsidR="00D71CD9" w:rsidRPr="00B57B36" w14:paraId="579854DB" w14:textId="77777777" w:rsidTr="00DA4AC8">
        <w:tc>
          <w:tcPr>
            <w:tcW w:w="2694" w:type="dxa"/>
            <w:shd w:val="clear" w:color="auto" w:fill="auto"/>
            <w:vAlign w:val="center"/>
          </w:tcPr>
          <w:p w14:paraId="6FF10F2A" w14:textId="2DA36254" w:rsidR="00D71CD9" w:rsidRPr="00B9662E" w:rsidRDefault="00D71CD9" w:rsidP="002D0123">
            <w:pPr>
              <w:pStyle w:val="CETEquation"/>
            </w:pPr>
            <w:r>
              <w:t>CO + H</w:t>
            </w:r>
            <w:r w:rsidRPr="00B9662E">
              <w:rPr>
                <w:vertAlign w:val="subscript"/>
              </w:rPr>
              <w:t>2</w:t>
            </w:r>
            <w:r>
              <w:t xml:space="preserve">O </w:t>
            </w:r>
            <w:r>
              <w:rPr>
                <w:rFonts w:ascii="Arial Unicode MS" w:hAnsi="Arial Unicode MS"/>
              </w:rPr>
              <w:t xml:space="preserve">⇄ </w:t>
            </w:r>
            <w:r w:rsidRPr="00AE192C">
              <w:rPr>
                <w:rFonts w:cs="Arial"/>
              </w:rPr>
              <w:t>CO</w:t>
            </w:r>
            <w:r w:rsidRPr="00AE192C">
              <w:rPr>
                <w:rFonts w:cs="Arial"/>
                <w:vertAlign w:val="subscript"/>
              </w:rPr>
              <w:t>2</w:t>
            </w:r>
            <w:r w:rsidRPr="00AE192C">
              <w:rPr>
                <w:rFonts w:cs="Arial"/>
              </w:rPr>
              <w:t xml:space="preserve"> + H</w:t>
            </w:r>
            <w:r w:rsidRPr="00AE192C">
              <w:rPr>
                <w:rFonts w:cs="Arial"/>
                <w:vertAlign w:val="subscript"/>
              </w:rPr>
              <w:t>2</w:t>
            </w:r>
            <w:r>
              <w:rPr>
                <w:rFonts w:ascii="Arial Unicode MS" w:hAnsi="Arial Unicode MS"/>
              </w:rPr>
              <w:t xml:space="preserve"> </w:t>
            </w:r>
          </w:p>
        </w:tc>
        <w:tc>
          <w:tcPr>
            <w:tcW w:w="5323" w:type="dxa"/>
            <w:vAlign w:val="center"/>
          </w:tcPr>
          <w:p w14:paraId="16DCA3DB" w14:textId="284CDE38" w:rsidR="00D71CD9" w:rsidRPr="00B57B36" w:rsidRDefault="00D71CD9" w:rsidP="00D71CD9">
            <w:pPr>
              <w:pStyle w:val="CETEquation"/>
              <w:spacing w:before="0" w:after="0"/>
            </w:pPr>
            <w:r>
              <w:t>(WGS)</w:t>
            </w:r>
          </w:p>
        </w:tc>
        <w:tc>
          <w:tcPr>
            <w:tcW w:w="770" w:type="dxa"/>
            <w:shd w:val="clear" w:color="auto" w:fill="auto"/>
            <w:vAlign w:val="center"/>
          </w:tcPr>
          <w:p w14:paraId="0DDFA3B7" w14:textId="1897E944" w:rsidR="00D71CD9" w:rsidRPr="00B57B36" w:rsidRDefault="00D71CD9" w:rsidP="000C7323">
            <w:pPr>
              <w:pStyle w:val="CETEquation"/>
              <w:spacing w:before="0" w:after="0"/>
              <w:jc w:val="right"/>
            </w:pPr>
            <w:r w:rsidRPr="00B57B36">
              <w:t>(1)</w:t>
            </w:r>
          </w:p>
        </w:tc>
      </w:tr>
      <w:tr w:rsidR="00D71CD9" w:rsidRPr="00B57B36" w14:paraId="57DF00EA" w14:textId="77777777" w:rsidTr="00DA4AC8">
        <w:tc>
          <w:tcPr>
            <w:tcW w:w="2694" w:type="dxa"/>
            <w:shd w:val="clear" w:color="auto" w:fill="auto"/>
            <w:vAlign w:val="center"/>
          </w:tcPr>
          <w:p w14:paraId="49A04BD1" w14:textId="36705BF0" w:rsidR="00D71CD9" w:rsidRPr="00B9662E" w:rsidRDefault="00D71CD9" w:rsidP="002D0123">
            <w:pPr>
              <w:pStyle w:val="CETEquation"/>
            </w:pPr>
            <w:r>
              <w:t>C</w:t>
            </w:r>
            <w:r w:rsidR="00AA0927">
              <w:t>H</w:t>
            </w:r>
            <w:r w:rsidR="00AA0927" w:rsidRPr="00AA0927">
              <w:rPr>
                <w:vertAlign w:val="subscript"/>
              </w:rPr>
              <w:t>4</w:t>
            </w:r>
            <w:r>
              <w:t xml:space="preserve"> + H</w:t>
            </w:r>
            <w:r w:rsidRPr="00AA0927">
              <w:rPr>
                <w:vertAlign w:val="subscript"/>
              </w:rPr>
              <w:t>2</w:t>
            </w:r>
            <w:r>
              <w:t xml:space="preserve">O </w:t>
            </w:r>
            <w:r w:rsidRPr="00D71CD9">
              <w:rPr>
                <w:rFonts w:ascii="Cambria Math" w:hAnsi="Cambria Math" w:cs="Cambria Math"/>
              </w:rPr>
              <w:t>⇄</w:t>
            </w:r>
            <w:r w:rsidRPr="00D71CD9">
              <w:t xml:space="preserve"> CO + </w:t>
            </w:r>
            <w:r w:rsidR="00AA0927">
              <w:t>3</w:t>
            </w:r>
            <w:r w:rsidRPr="00D71CD9">
              <w:t>H</w:t>
            </w:r>
            <w:r w:rsidRPr="00AA0927">
              <w:rPr>
                <w:vertAlign w:val="subscript"/>
              </w:rPr>
              <w:t>2</w:t>
            </w:r>
            <w:r w:rsidRPr="00D71CD9">
              <w:t xml:space="preserve"> </w:t>
            </w:r>
          </w:p>
        </w:tc>
        <w:tc>
          <w:tcPr>
            <w:tcW w:w="5323" w:type="dxa"/>
            <w:vAlign w:val="center"/>
          </w:tcPr>
          <w:p w14:paraId="25897F39" w14:textId="202CB0F1" w:rsidR="00D71CD9" w:rsidRPr="00B57B36" w:rsidRDefault="00D71CD9" w:rsidP="002D0123">
            <w:pPr>
              <w:pStyle w:val="CETEquation"/>
              <w:spacing w:before="0" w:after="0"/>
            </w:pPr>
            <w:r>
              <w:t>(SMR)</w:t>
            </w:r>
          </w:p>
        </w:tc>
        <w:tc>
          <w:tcPr>
            <w:tcW w:w="770" w:type="dxa"/>
            <w:shd w:val="clear" w:color="auto" w:fill="auto"/>
            <w:vAlign w:val="center"/>
          </w:tcPr>
          <w:p w14:paraId="26E26F92" w14:textId="50C1587F" w:rsidR="00D71CD9" w:rsidRPr="00B57B36" w:rsidRDefault="00D71CD9" w:rsidP="002D0123">
            <w:pPr>
              <w:pStyle w:val="CETEquation"/>
              <w:spacing w:before="0" w:after="0"/>
              <w:jc w:val="right"/>
            </w:pPr>
            <w:r w:rsidRPr="00B57B36">
              <w:t>(</w:t>
            </w:r>
            <w:r>
              <w:t>2</w:t>
            </w:r>
            <w:r w:rsidRPr="00B57B36">
              <w:t>)</w:t>
            </w:r>
          </w:p>
        </w:tc>
      </w:tr>
      <w:tr w:rsidR="00D71CD9" w:rsidRPr="00B57B36" w14:paraId="65F29F8D" w14:textId="77777777" w:rsidTr="00DA4AC8">
        <w:tc>
          <w:tcPr>
            <w:tcW w:w="2694" w:type="dxa"/>
            <w:shd w:val="clear" w:color="auto" w:fill="auto"/>
            <w:vAlign w:val="center"/>
          </w:tcPr>
          <w:p w14:paraId="2132F8C9" w14:textId="1ADF6337" w:rsidR="00D71CD9" w:rsidRPr="00B9662E" w:rsidRDefault="00DA4AC8" w:rsidP="002D0123">
            <w:pPr>
              <w:pStyle w:val="CETEquation"/>
            </w:pPr>
            <w:r>
              <w:t>2</w:t>
            </w:r>
            <w:r w:rsidR="00D71CD9">
              <w:t>C + H</w:t>
            </w:r>
            <w:r w:rsidR="00D71CD9" w:rsidRPr="00DA4AC8">
              <w:rPr>
                <w:vertAlign w:val="subscript"/>
              </w:rPr>
              <w:t>2</w:t>
            </w:r>
            <w:r w:rsidR="00D71CD9">
              <w:t>O</w:t>
            </w:r>
            <w:r>
              <w:t xml:space="preserve"> + CO</w:t>
            </w:r>
            <w:r w:rsidRPr="00DA4AC8">
              <w:rPr>
                <w:vertAlign w:val="subscript"/>
              </w:rPr>
              <w:t>2</w:t>
            </w:r>
            <w:r w:rsidR="00D71CD9">
              <w:t xml:space="preserve"> </w:t>
            </w:r>
            <w:r w:rsidR="00F479F1">
              <w:rPr>
                <w:rFonts w:cs="Arial"/>
              </w:rPr>
              <w:t>→</w:t>
            </w:r>
            <w:r w:rsidR="00D71CD9" w:rsidRPr="00D71CD9">
              <w:t xml:space="preserve"> </w:t>
            </w:r>
            <w:r>
              <w:t>3</w:t>
            </w:r>
            <w:r w:rsidR="00D71CD9" w:rsidRPr="00D71CD9">
              <w:t>CO + H</w:t>
            </w:r>
            <w:r w:rsidR="00D71CD9" w:rsidRPr="00DA4AC8">
              <w:rPr>
                <w:vertAlign w:val="subscript"/>
              </w:rPr>
              <w:t>2</w:t>
            </w:r>
            <w:r w:rsidR="00D71CD9" w:rsidRPr="00D71CD9">
              <w:t xml:space="preserve"> </w:t>
            </w:r>
          </w:p>
        </w:tc>
        <w:tc>
          <w:tcPr>
            <w:tcW w:w="5323" w:type="dxa"/>
            <w:vAlign w:val="center"/>
          </w:tcPr>
          <w:p w14:paraId="3B7F0073" w14:textId="0A7811DC" w:rsidR="00D71CD9" w:rsidRPr="00B57B36" w:rsidRDefault="00D71CD9" w:rsidP="002D0123">
            <w:pPr>
              <w:pStyle w:val="CETEquation"/>
              <w:spacing w:before="0" w:after="0"/>
            </w:pPr>
            <w:r>
              <w:t>(char gasification)</w:t>
            </w:r>
          </w:p>
        </w:tc>
        <w:tc>
          <w:tcPr>
            <w:tcW w:w="770" w:type="dxa"/>
            <w:shd w:val="clear" w:color="auto" w:fill="auto"/>
            <w:vAlign w:val="center"/>
          </w:tcPr>
          <w:p w14:paraId="124115EB" w14:textId="007A0BE8" w:rsidR="00D71CD9" w:rsidRPr="00B57B36" w:rsidRDefault="00D71CD9" w:rsidP="002D0123">
            <w:pPr>
              <w:pStyle w:val="CETEquation"/>
              <w:spacing w:before="0" w:after="0"/>
              <w:jc w:val="right"/>
            </w:pPr>
            <w:r w:rsidRPr="00B57B36">
              <w:t>(</w:t>
            </w:r>
            <w:r>
              <w:t>3</w:t>
            </w:r>
            <w:r w:rsidRPr="00B57B36">
              <w:t>)</w:t>
            </w:r>
          </w:p>
        </w:tc>
      </w:tr>
    </w:tbl>
    <w:p w14:paraId="00DB0150" w14:textId="728D4FF1" w:rsidR="00223583" w:rsidRDefault="00DC45EF" w:rsidP="00223583">
      <w:pPr>
        <w:pStyle w:val="CETBodytext"/>
      </w:pPr>
      <w:r>
        <w:t xml:space="preserve">The kinetic for the char gasification </w:t>
      </w:r>
      <w:r w:rsidR="006A0AAC">
        <w:t>is</w:t>
      </w:r>
      <w:r>
        <w:t xml:space="preserve"> included though Groeneveld and van </w:t>
      </w:r>
      <w:proofErr w:type="spellStart"/>
      <w:r>
        <w:t>Swaaij</w:t>
      </w:r>
      <w:proofErr w:type="spellEnd"/>
      <w:r>
        <w:t xml:space="preserve"> experimentally observed that char gasification with steam and CO</w:t>
      </w:r>
      <w:r w:rsidRPr="00A06B1E">
        <w:rPr>
          <w:vertAlign w:val="subscript"/>
        </w:rPr>
        <w:t>2</w:t>
      </w:r>
      <w:r>
        <w:t xml:space="preserve"> is </w:t>
      </w:r>
      <w:r w:rsidR="00D04D2F">
        <w:t>spontaneous only above 1000</w:t>
      </w:r>
      <w:r w:rsidR="00D04D2F">
        <w:rPr>
          <w:rFonts w:cs="Arial"/>
        </w:rPr>
        <w:t>°</w:t>
      </w:r>
      <w:r w:rsidR="00D04D2F">
        <w:t xml:space="preserve">C. Later, Basu (2010) confirmed </w:t>
      </w:r>
      <w:r w:rsidR="00A06B1E">
        <w:t xml:space="preserve">this </w:t>
      </w:r>
      <w:r w:rsidR="00D04D2F">
        <w:t xml:space="preserve">result </w:t>
      </w:r>
      <w:r w:rsidR="006A0AAC">
        <w:t xml:space="preserve">from a thermodynamic perspective </w:t>
      </w:r>
      <w:r w:rsidR="00D04D2F">
        <w:t xml:space="preserve">and </w:t>
      </w:r>
      <w:r w:rsidR="00A06B1E">
        <w:t>concluded</w:t>
      </w:r>
      <w:r w:rsidR="00D04D2F">
        <w:t xml:space="preserve"> that char gasification is activated only when the </w:t>
      </w:r>
      <w:r w:rsidR="00C165D1">
        <w:t xml:space="preserve">partial pressure of </w:t>
      </w:r>
      <w:r w:rsidR="00D04D2F">
        <w:t xml:space="preserve">gasification agents, i.e., steam, </w:t>
      </w:r>
      <w:r w:rsidR="00A06B1E">
        <w:t>CO</w:t>
      </w:r>
      <w:r w:rsidR="00A06B1E" w:rsidRPr="00A06B1E">
        <w:rPr>
          <w:vertAlign w:val="subscript"/>
        </w:rPr>
        <w:t>2</w:t>
      </w:r>
      <w:r w:rsidR="00A06B1E">
        <w:t>, O</w:t>
      </w:r>
      <w:r w:rsidR="00A06B1E" w:rsidRPr="00A06B1E">
        <w:rPr>
          <w:vertAlign w:val="subscript"/>
        </w:rPr>
        <w:t>2</w:t>
      </w:r>
      <w:r w:rsidR="00A06B1E">
        <w:t>/air are sufficiently high to facilitate their diffusion within the porous char.</w:t>
      </w:r>
      <w:r w:rsidR="00A074F6">
        <w:t xml:space="preserve"> Therefore, the system is mass transfer controlled.</w:t>
      </w:r>
      <w:r w:rsidR="00F36767">
        <w:t xml:space="preserve"> </w:t>
      </w:r>
      <w:r w:rsidR="005A5E84">
        <w:t xml:space="preserve">The experimental evidence proves that char is inert to steam reforming and gasification at mild </w:t>
      </w:r>
      <w:r w:rsidR="005D10C7">
        <w:t>temperatures</w:t>
      </w:r>
      <w:r w:rsidR="005A5E84">
        <w:t xml:space="preserve">. </w:t>
      </w:r>
      <w:r w:rsidR="00F36767">
        <w:t>For these reasons, solid char is “ficti</w:t>
      </w:r>
      <w:r w:rsidR="005A5E84">
        <w:t xml:space="preserve">tiously” removed from the reaction </w:t>
      </w:r>
      <w:r w:rsidR="005D10C7">
        <w:t>environment (S03) and fed to gasification.</w:t>
      </w:r>
      <w:r w:rsidR="0096226A">
        <w:t xml:space="preserve"> Noteworthy, existing thermodynamic models in process </w:t>
      </w:r>
      <w:r w:rsidR="00EC3411">
        <w:t>simulators</w:t>
      </w:r>
      <w:r w:rsidR="0096226A">
        <w:t xml:space="preserve"> estimate</w:t>
      </w:r>
      <w:r w:rsidR="00EC3411">
        <w:t xml:space="preserve"> complete</w:t>
      </w:r>
      <w:r w:rsidR="0096226A">
        <w:t xml:space="preserve"> char gasification</w:t>
      </w:r>
      <w:r w:rsidR="00EC3411">
        <w:t xml:space="preserve"> above 600</w:t>
      </w:r>
      <w:r w:rsidR="00EC3411">
        <w:rPr>
          <w:rFonts w:cs="Arial"/>
        </w:rPr>
        <w:t>°</w:t>
      </w:r>
      <w:r w:rsidR="00EC3411">
        <w:t xml:space="preserve">C. Therefore, </w:t>
      </w:r>
      <w:r w:rsidR="00AC2B43">
        <w:t xml:space="preserve">the </w:t>
      </w:r>
      <w:r w:rsidR="008578DA">
        <w:t xml:space="preserve">flowsheet </w:t>
      </w:r>
      <w:r w:rsidR="00AC2B43">
        <w:t xml:space="preserve">proposed in the literature </w:t>
      </w:r>
      <w:r w:rsidR="004D4FFA">
        <w:t>must</w:t>
      </w:r>
      <w:r w:rsidR="008578DA">
        <w:t xml:space="preserve"> withdraw all formed char from pyrolysis and prevent i</w:t>
      </w:r>
      <w:r w:rsidR="00AC2B43">
        <w:t>t</w:t>
      </w:r>
      <w:r w:rsidR="008578DA">
        <w:t xml:space="preserve">s gasification in the Gibbs reactor, which is always implemented to mimic the secondary gas-phase reactor. </w:t>
      </w:r>
      <w:r w:rsidR="00987FE7">
        <w:t>The last consideration</w:t>
      </w:r>
      <w:r w:rsidR="00610A62">
        <w:t xml:space="preserve"> confirms that gasification is a complex system where </w:t>
      </w:r>
      <w:r w:rsidR="00987FE7">
        <w:t>thermodynamic constraints are interlinked to mass transfer and kinetic limitations. This</w:t>
      </w:r>
      <w:r w:rsidR="008578DA">
        <w:t xml:space="preserve"> </w:t>
      </w:r>
      <w:r w:rsidR="00AC2B43">
        <w:t xml:space="preserve">corroborates the </w:t>
      </w:r>
      <w:r w:rsidR="0015454C">
        <w:t>potential improvements offered</w:t>
      </w:r>
      <w:r w:rsidR="00AC2B43">
        <w:t xml:space="preserve"> </w:t>
      </w:r>
      <w:r w:rsidR="0015454C">
        <w:t>by</w:t>
      </w:r>
      <w:r w:rsidR="00AC2B43">
        <w:t xml:space="preserve"> the proposed semi-rigorous approach compared to the existing</w:t>
      </w:r>
      <w:r w:rsidR="0015454C">
        <w:t xml:space="preserve"> models in process simulators</w:t>
      </w:r>
      <w:r w:rsidR="00AC2B43">
        <w:t>.</w:t>
      </w:r>
    </w:p>
    <w:p w14:paraId="7CC8B200" w14:textId="50D123A3" w:rsidR="00223583" w:rsidRPr="00B57B36" w:rsidRDefault="00223583" w:rsidP="00223583">
      <w:pPr>
        <w:pStyle w:val="CETheadingx"/>
      </w:pPr>
      <w:r>
        <w:t>Syngas quenching and burner</w:t>
      </w:r>
    </w:p>
    <w:p w14:paraId="4AEF931E" w14:textId="7211DEF6" w:rsidR="00254F95" w:rsidRDefault="00D36EDB" w:rsidP="00223583">
      <w:pPr>
        <w:pStyle w:val="CETBodytext"/>
        <w:rPr>
          <w:lang w:val="en-GB"/>
        </w:rPr>
      </w:pPr>
      <w:r>
        <w:t xml:space="preserve">The </w:t>
      </w:r>
      <w:r w:rsidR="00F00173">
        <w:t xml:space="preserve">syngas quenching is carried out in two stages, namely HE-1 and HE-2 in </w:t>
      </w:r>
      <w:r w:rsidR="00F479F1">
        <w:rPr>
          <w:lang w:val="en-GB"/>
        </w:rPr>
        <w:fldChar w:fldCharType="begin"/>
      </w:r>
      <w:r w:rsidR="00F479F1">
        <w:rPr>
          <w:lang w:val="en-GB"/>
        </w:rPr>
        <w:instrText xml:space="preserve"> REF _Ref193385773 \h </w:instrText>
      </w:r>
      <w:r w:rsidR="00F479F1">
        <w:rPr>
          <w:lang w:val="en-GB"/>
        </w:rPr>
        <w:fldChar w:fldCharType="separate"/>
      </w:r>
      <w:r w:rsidR="00F479F1">
        <w:rPr>
          <w:lang w:val="en-GB"/>
        </w:rPr>
        <w:fldChar w:fldCharType="end"/>
      </w:r>
      <w:r w:rsidR="00F00173">
        <w:rPr>
          <w:lang w:val="en-GB"/>
        </w:rPr>
        <w:t xml:space="preserve">. The first heat exchanger (HE-1) </w:t>
      </w:r>
      <w:r w:rsidR="00751A0A">
        <w:rPr>
          <w:lang w:val="en-GB"/>
        </w:rPr>
        <w:t xml:space="preserve">corresponds to the solid-gas </w:t>
      </w:r>
      <w:r w:rsidR="00874E2E">
        <w:rPr>
          <w:lang w:val="en-GB"/>
        </w:rPr>
        <w:t xml:space="preserve">counter current </w:t>
      </w:r>
      <w:r w:rsidR="008444C5">
        <w:rPr>
          <w:lang w:val="en-GB"/>
        </w:rPr>
        <w:t xml:space="preserve">direct </w:t>
      </w:r>
      <w:r w:rsidR="00751A0A">
        <w:rPr>
          <w:lang w:val="en-GB"/>
        </w:rPr>
        <w:t xml:space="preserve">contact heat exchanger. The </w:t>
      </w:r>
      <w:r w:rsidR="00402AB8">
        <w:rPr>
          <w:lang w:val="en-GB"/>
        </w:rPr>
        <w:t>solid is</w:t>
      </w:r>
      <w:r w:rsidR="008444C5">
        <w:rPr>
          <w:lang w:val="en-GB"/>
        </w:rPr>
        <w:t xml:space="preserve"> fed at</w:t>
      </w:r>
      <w:r w:rsidR="00402AB8">
        <w:rPr>
          <w:lang w:val="en-GB"/>
        </w:rPr>
        <w:t xml:space="preserve"> ambient temperature (25</w:t>
      </w:r>
      <w:r w:rsidR="00402AB8">
        <w:rPr>
          <w:rFonts w:cs="Arial"/>
          <w:lang w:val="en-GB"/>
        </w:rPr>
        <w:t>°</w:t>
      </w:r>
      <w:r w:rsidR="00402AB8">
        <w:rPr>
          <w:lang w:val="en-GB"/>
        </w:rPr>
        <w:t>C)</w:t>
      </w:r>
      <w:r w:rsidR="00074A81">
        <w:rPr>
          <w:lang w:val="en-GB"/>
        </w:rPr>
        <w:t>. Syngas</w:t>
      </w:r>
      <w:r w:rsidR="00874E2E">
        <w:rPr>
          <w:lang w:val="en-GB"/>
        </w:rPr>
        <w:t xml:space="preserve"> </w:t>
      </w:r>
      <w:r w:rsidR="008444C5">
        <w:rPr>
          <w:lang w:val="en-GB"/>
        </w:rPr>
        <w:t>enters</w:t>
      </w:r>
      <w:r w:rsidR="00874E2E">
        <w:rPr>
          <w:lang w:val="en-GB"/>
        </w:rPr>
        <w:t xml:space="preserve"> at 750</w:t>
      </w:r>
      <w:r w:rsidR="00874E2E">
        <w:rPr>
          <w:rFonts w:cs="Arial"/>
          <w:lang w:val="en-GB"/>
        </w:rPr>
        <w:t>°</w:t>
      </w:r>
      <w:r w:rsidR="00874E2E">
        <w:rPr>
          <w:lang w:val="en-GB"/>
        </w:rPr>
        <w:t xml:space="preserve">C and </w:t>
      </w:r>
      <w:r w:rsidR="00074A81">
        <w:rPr>
          <w:lang w:val="en-GB"/>
        </w:rPr>
        <w:t>the outlet temperature</w:t>
      </w:r>
      <w:r w:rsidR="00874E2E">
        <w:rPr>
          <w:lang w:val="en-GB"/>
        </w:rPr>
        <w:t xml:space="preserve"> </w:t>
      </w:r>
      <w:r w:rsidR="00074A81">
        <w:rPr>
          <w:lang w:val="en-GB"/>
        </w:rPr>
        <w:t>is set</w:t>
      </w:r>
      <w:r w:rsidR="00874E2E">
        <w:rPr>
          <w:lang w:val="en-GB"/>
        </w:rPr>
        <w:t xml:space="preserve"> </w:t>
      </w:r>
      <w:r w:rsidR="00074A81">
        <w:rPr>
          <w:lang w:val="en-GB"/>
        </w:rPr>
        <w:t xml:space="preserve">at </w:t>
      </w:r>
      <w:r w:rsidR="00874E2E">
        <w:rPr>
          <w:lang w:val="en-GB"/>
        </w:rPr>
        <w:t>150</w:t>
      </w:r>
      <w:r w:rsidR="00874E2E">
        <w:rPr>
          <w:rFonts w:cs="Arial"/>
          <w:lang w:val="en-GB"/>
        </w:rPr>
        <w:t>°</w:t>
      </w:r>
      <w:r w:rsidR="00874E2E">
        <w:rPr>
          <w:lang w:val="en-GB"/>
        </w:rPr>
        <w:t xml:space="preserve">C </w:t>
      </w:r>
      <w:r w:rsidR="00074A81">
        <w:rPr>
          <w:lang w:val="en-GB"/>
        </w:rPr>
        <w:t>to avoid condensation</w:t>
      </w:r>
      <w:r w:rsidR="007E3F72">
        <w:rPr>
          <w:lang w:val="en-GB"/>
        </w:rPr>
        <w:t xml:space="preserve"> at 1.0 bar (abs)</w:t>
      </w:r>
      <w:r w:rsidR="00074A81">
        <w:rPr>
          <w:lang w:val="en-GB"/>
        </w:rPr>
        <w:t xml:space="preserve"> of the moisture which could increase the </w:t>
      </w:r>
      <w:r w:rsidR="008444C5">
        <w:rPr>
          <w:lang w:val="en-GB"/>
        </w:rPr>
        <w:t xml:space="preserve">final </w:t>
      </w:r>
      <w:r w:rsidR="00074A81">
        <w:rPr>
          <w:lang w:val="en-GB"/>
        </w:rPr>
        <w:t>moisture in the solid.</w:t>
      </w:r>
      <w:r w:rsidR="008444C5">
        <w:rPr>
          <w:lang w:val="en-GB"/>
        </w:rPr>
        <w:t xml:space="preserve"> The final temperature of the solid is calculated from the energy balance. The second heat exchanger </w:t>
      </w:r>
      <w:r w:rsidR="005605A5">
        <w:rPr>
          <w:lang w:val="en-GB"/>
        </w:rPr>
        <w:t>reduces the temperature of the syngas to 40</w:t>
      </w:r>
      <w:r w:rsidR="005605A5">
        <w:rPr>
          <w:rFonts w:cs="Arial"/>
          <w:lang w:val="en-GB"/>
        </w:rPr>
        <w:t>°</w:t>
      </w:r>
      <w:r w:rsidR="005605A5">
        <w:rPr>
          <w:lang w:val="en-GB"/>
        </w:rPr>
        <w:t xml:space="preserve">C and the acid condense is </w:t>
      </w:r>
      <w:r w:rsidR="008B4D17">
        <w:rPr>
          <w:lang w:val="en-GB"/>
        </w:rPr>
        <w:t xml:space="preserve">purged. The model does not consider the presence of </w:t>
      </w:r>
      <w:proofErr w:type="spellStart"/>
      <w:r w:rsidR="008B4D17">
        <w:rPr>
          <w:lang w:val="en-GB"/>
        </w:rPr>
        <w:t>SO</w:t>
      </w:r>
      <w:r w:rsidR="008B4D17" w:rsidRPr="00254F95">
        <w:rPr>
          <w:vertAlign w:val="subscript"/>
          <w:lang w:val="en-GB"/>
        </w:rPr>
        <w:t>x</w:t>
      </w:r>
      <w:proofErr w:type="spellEnd"/>
      <w:r w:rsidR="008B4D17">
        <w:rPr>
          <w:lang w:val="en-GB"/>
        </w:rPr>
        <w:t xml:space="preserve"> and NO</w:t>
      </w:r>
      <w:r w:rsidR="008B4D17" w:rsidRPr="00254F95">
        <w:rPr>
          <w:vertAlign w:val="subscript"/>
          <w:lang w:val="en-GB"/>
        </w:rPr>
        <w:t>x</w:t>
      </w:r>
      <w:r w:rsidR="008B4D17">
        <w:rPr>
          <w:lang w:val="en-GB"/>
        </w:rPr>
        <w:t xml:space="preserve"> from biogas </w:t>
      </w:r>
      <w:r w:rsidR="00254F95">
        <w:rPr>
          <w:lang w:val="en-GB"/>
        </w:rPr>
        <w:t>thermochemical conversion.</w:t>
      </w:r>
      <w:r w:rsidR="00F41C8E">
        <w:rPr>
          <w:lang w:val="en-GB"/>
        </w:rPr>
        <w:t xml:space="preserve"> This is a potential limitation of the current semi-rigorous model though the mechanisms of formation of NH</w:t>
      </w:r>
      <w:r w:rsidR="00F41C8E" w:rsidRPr="00E54D81">
        <w:rPr>
          <w:vertAlign w:val="subscript"/>
          <w:lang w:val="en-GB"/>
        </w:rPr>
        <w:t>3</w:t>
      </w:r>
      <w:r w:rsidR="00F41C8E">
        <w:rPr>
          <w:lang w:val="en-GB"/>
        </w:rPr>
        <w:t>, NO</w:t>
      </w:r>
      <w:r w:rsidR="00F41C8E" w:rsidRPr="00E54D81">
        <w:rPr>
          <w:vertAlign w:val="subscript"/>
          <w:lang w:val="en-GB"/>
        </w:rPr>
        <w:t>x</w:t>
      </w:r>
      <w:r w:rsidR="00F41C8E">
        <w:rPr>
          <w:lang w:val="en-GB"/>
        </w:rPr>
        <w:t xml:space="preserve">, and </w:t>
      </w:r>
      <w:proofErr w:type="spellStart"/>
      <w:r w:rsidR="00F41C8E">
        <w:rPr>
          <w:lang w:val="en-GB"/>
        </w:rPr>
        <w:t>SO</w:t>
      </w:r>
      <w:r w:rsidR="00F41C8E" w:rsidRPr="00E54D81">
        <w:rPr>
          <w:vertAlign w:val="subscript"/>
          <w:lang w:val="en-GB"/>
        </w:rPr>
        <w:t>x</w:t>
      </w:r>
      <w:proofErr w:type="spellEnd"/>
      <w:r w:rsidR="00F41C8E">
        <w:rPr>
          <w:lang w:val="en-GB"/>
        </w:rPr>
        <w:t xml:space="preserve"> </w:t>
      </w:r>
      <w:r w:rsidR="00E54D81">
        <w:rPr>
          <w:lang w:val="en-GB"/>
        </w:rPr>
        <w:t>are</w:t>
      </w:r>
      <w:r w:rsidR="00F41C8E">
        <w:rPr>
          <w:lang w:val="en-GB"/>
        </w:rPr>
        <w:t xml:space="preserve"> still </w:t>
      </w:r>
      <w:r w:rsidR="00E54D81">
        <w:rPr>
          <w:lang w:val="en-GB"/>
        </w:rPr>
        <w:t>not fully understood yet and the</w:t>
      </w:r>
      <w:r w:rsidR="00F41C8E">
        <w:rPr>
          <w:lang w:val="en-GB"/>
        </w:rPr>
        <w:t xml:space="preserve"> </w:t>
      </w:r>
      <w:r w:rsidR="00E54D81">
        <w:rPr>
          <w:lang w:val="en-GB"/>
        </w:rPr>
        <w:t>literature is poor.</w:t>
      </w:r>
    </w:p>
    <w:p w14:paraId="356EF563" w14:textId="2F1A2849" w:rsidR="00223583" w:rsidRDefault="00CD2570" w:rsidP="00223583">
      <w:pPr>
        <w:pStyle w:val="CETBodytext"/>
        <w:rPr>
          <w:lang w:val="en-GB"/>
        </w:rPr>
      </w:pPr>
      <w:r>
        <w:rPr>
          <w:lang w:val="en-GB"/>
        </w:rPr>
        <w:t xml:space="preserve">Part of the syngas is burnt to release and supply the heat to sustain endothermic gasification. The burner is designed as a conversion reactor where air </w:t>
      </w:r>
      <w:r w:rsidR="001266ED">
        <w:rPr>
          <w:lang w:val="en-GB"/>
        </w:rPr>
        <w:t xml:space="preserve">is fed in excess. The system accounts for </w:t>
      </w:r>
      <w:r w:rsidR="00C25DFC">
        <w:rPr>
          <w:lang w:val="en-GB"/>
        </w:rPr>
        <w:t xml:space="preserve">the </w:t>
      </w:r>
      <w:r w:rsidR="001266ED">
        <w:rPr>
          <w:lang w:val="en-GB"/>
        </w:rPr>
        <w:t xml:space="preserve">complete combustion of </w:t>
      </w:r>
      <w:r w:rsidR="004E1F30">
        <w:rPr>
          <w:lang w:val="en-GB"/>
        </w:rPr>
        <w:t>CH</w:t>
      </w:r>
      <w:r w:rsidR="004E1F30" w:rsidRPr="00C25DFC">
        <w:rPr>
          <w:vertAlign w:val="subscript"/>
          <w:lang w:val="en-GB"/>
        </w:rPr>
        <w:t>4</w:t>
      </w:r>
      <w:r w:rsidR="004E1F30">
        <w:rPr>
          <w:lang w:val="en-GB"/>
        </w:rPr>
        <w:t>, CO, and H</w:t>
      </w:r>
      <w:r w:rsidR="004E1F30" w:rsidRPr="00C25DFC">
        <w:rPr>
          <w:vertAlign w:val="subscript"/>
          <w:lang w:val="en-GB"/>
        </w:rPr>
        <w:t>2</w:t>
      </w:r>
      <w:r w:rsidR="004E1F30">
        <w:rPr>
          <w:lang w:val="en-GB"/>
        </w:rPr>
        <w:t xml:space="preserve"> from the syngas to CO</w:t>
      </w:r>
      <w:r w:rsidR="004E1F30" w:rsidRPr="00C25DFC">
        <w:rPr>
          <w:vertAlign w:val="subscript"/>
          <w:lang w:val="en-GB"/>
        </w:rPr>
        <w:t>2</w:t>
      </w:r>
      <w:r w:rsidR="004E1F30">
        <w:rPr>
          <w:lang w:val="en-GB"/>
        </w:rPr>
        <w:t xml:space="preserve"> and H</w:t>
      </w:r>
      <w:r w:rsidR="004E1F30" w:rsidRPr="00C25DFC">
        <w:rPr>
          <w:vertAlign w:val="subscript"/>
          <w:lang w:val="en-GB"/>
        </w:rPr>
        <w:t>2</w:t>
      </w:r>
      <w:r w:rsidR="004E1F30">
        <w:rPr>
          <w:lang w:val="en-GB"/>
        </w:rPr>
        <w:t>O</w:t>
      </w:r>
      <w:r w:rsidR="002F365A">
        <w:rPr>
          <w:lang w:val="en-GB"/>
        </w:rPr>
        <w:t xml:space="preserve">. The model </w:t>
      </w:r>
      <w:r w:rsidR="00C25DFC">
        <w:rPr>
          <w:lang w:val="en-GB"/>
        </w:rPr>
        <w:t>considers</w:t>
      </w:r>
      <w:r w:rsidR="002F365A">
        <w:rPr>
          <w:lang w:val="en-GB"/>
        </w:rPr>
        <w:t xml:space="preserve"> the combustion of the traces of methanol, ethylene, and other</w:t>
      </w:r>
      <w:r w:rsidR="00C25DFC">
        <w:rPr>
          <w:lang w:val="en-GB"/>
        </w:rPr>
        <w:t xml:space="preserve">s. The mass flow of combustion air is tuned </w:t>
      </w:r>
      <w:r w:rsidR="00DC0C6E">
        <w:rPr>
          <w:lang w:val="en-GB"/>
        </w:rPr>
        <w:t xml:space="preserve">so that the residue oxygen in the gas after the combustion is </w:t>
      </w:r>
      <w:r w:rsidR="00DC0C6E">
        <w:rPr>
          <w:rFonts w:cs="Arial"/>
          <w:lang w:val="en-GB"/>
        </w:rPr>
        <w:t>~</w:t>
      </w:r>
      <w:r w:rsidR="00DC0C6E">
        <w:rPr>
          <w:lang w:val="en-GB"/>
        </w:rPr>
        <w:t>3 vol%</w:t>
      </w:r>
      <w:r w:rsidR="008913BF">
        <w:rPr>
          <w:lang w:val="en-GB"/>
        </w:rPr>
        <w:t xml:space="preserve"> which is the normal oxygen content in flue gas </w:t>
      </w:r>
      <w:r w:rsidR="00F17F59">
        <w:rPr>
          <w:lang w:val="en-GB"/>
        </w:rPr>
        <w:t>in</w:t>
      </w:r>
      <w:r w:rsidR="008913BF">
        <w:rPr>
          <w:lang w:val="en-GB"/>
        </w:rPr>
        <w:t xml:space="preserve"> </w:t>
      </w:r>
      <w:r w:rsidR="00F17F59">
        <w:rPr>
          <w:lang w:val="en-GB"/>
        </w:rPr>
        <w:t>post-combustion carbon capture</w:t>
      </w:r>
      <w:r w:rsidR="00DC0C6E">
        <w:rPr>
          <w:lang w:val="en-GB"/>
        </w:rPr>
        <w:t xml:space="preserve">. In this way, the adiabatic temperature is </w:t>
      </w:r>
      <w:r w:rsidR="00DC0C6E">
        <w:rPr>
          <w:rFonts w:cs="Arial"/>
          <w:lang w:val="en-GB"/>
        </w:rPr>
        <w:t>~</w:t>
      </w:r>
      <w:r w:rsidR="00DC0C6E">
        <w:rPr>
          <w:lang w:val="en-GB"/>
        </w:rPr>
        <w:t>1900</w:t>
      </w:r>
      <w:r w:rsidR="00DC0C6E">
        <w:rPr>
          <w:rFonts w:cs="Arial"/>
          <w:lang w:val="en-GB"/>
        </w:rPr>
        <w:t>°</w:t>
      </w:r>
      <w:r w:rsidR="00DC0C6E">
        <w:rPr>
          <w:lang w:val="en-GB"/>
        </w:rPr>
        <w:t xml:space="preserve">C and </w:t>
      </w:r>
      <w:r w:rsidR="002E701C">
        <w:rPr>
          <w:lang w:val="en-GB"/>
        </w:rPr>
        <w:t>the flame irradiates heat to the gasification chamber</w:t>
      </w:r>
      <w:r w:rsidR="000C27BB">
        <w:rPr>
          <w:lang w:val="en-GB"/>
        </w:rPr>
        <w:t xml:space="preserve"> (Quirino et al., 2021)</w:t>
      </w:r>
      <w:r w:rsidR="002E701C">
        <w:rPr>
          <w:lang w:val="en-GB"/>
        </w:rPr>
        <w:t xml:space="preserve">. The HE-3 mimic </w:t>
      </w:r>
      <w:r w:rsidR="007633D7">
        <w:rPr>
          <w:lang w:val="en-GB"/>
        </w:rPr>
        <w:t>the heat released from the combustion and absorber by the gasification. The outlet temperature of the flue gas</w:t>
      </w:r>
      <w:r w:rsidR="00D02981">
        <w:rPr>
          <w:lang w:val="en-GB"/>
        </w:rPr>
        <w:t xml:space="preserve"> from the burner</w:t>
      </w:r>
      <w:r w:rsidR="007633D7">
        <w:rPr>
          <w:lang w:val="en-GB"/>
        </w:rPr>
        <w:t xml:space="preserve"> (S</w:t>
      </w:r>
      <w:r w:rsidR="00D554D3">
        <w:rPr>
          <w:lang w:val="en-GB"/>
        </w:rPr>
        <w:t xml:space="preserve">18 in </w:t>
      </w:r>
      <w:r w:rsidR="002C4DFD">
        <w:rPr>
          <w:lang w:val="en-GB"/>
        </w:rPr>
        <w:fldChar w:fldCharType="begin"/>
      </w:r>
      <w:r w:rsidR="002C4DFD">
        <w:rPr>
          <w:lang w:val="en-GB"/>
        </w:rPr>
        <w:instrText xml:space="preserve"> REF _Ref199266673 \h </w:instrText>
      </w:r>
      <w:r w:rsidR="002C4DFD">
        <w:rPr>
          <w:lang w:val="en-GB"/>
        </w:rPr>
      </w:r>
      <w:r w:rsidR="002C4DFD">
        <w:rPr>
          <w:lang w:val="en-GB"/>
        </w:rPr>
        <w:fldChar w:fldCharType="separate"/>
      </w:r>
      <w:r w:rsidR="002C4DFD">
        <w:t xml:space="preserve">Figure </w:t>
      </w:r>
      <w:r w:rsidR="002C4DFD">
        <w:rPr>
          <w:noProof/>
        </w:rPr>
        <w:t>2</w:t>
      </w:r>
      <w:r w:rsidR="002C4DFD">
        <w:rPr>
          <w:lang w:val="en-GB"/>
        </w:rPr>
        <w:fldChar w:fldCharType="end"/>
      </w:r>
      <w:r w:rsidR="00D554D3">
        <w:rPr>
          <w:lang w:val="en-GB"/>
        </w:rPr>
        <w:t xml:space="preserve">) is set </w:t>
      </w:r>
      <w:r w:rsidR="0055305D">
        <w:rPr>
          <w:lang w:val="en-GB"/>
        </w:rPr>
        <w:t xml:space="preserve">at </w:t>
      </w:r>
      <w:r w:rsidR="00186996">
        <w:rPr>
          <w:lang w:val="en-GB"/>
        </w:rPr>
        <w:t>850</w:t>
      </w:r>
      <w:r w:rsidR="00186996">
        <w:rPr>
          <w:rFonts w:cs="Arial"/>
          <w:lang w:val="en-GB"/>
        </w:rPr>
        <w:t>°</w:t>
      </w:r>
      <w:r w:rsidR="00186996">
        <w:rPr>
          <w:lang w:val="en-GB"/>
        </w:rPr>
        <w:t xml:space="preserve">C to </w:t>
      </w:r>
      <w:r w:rsidR="001555CE">
        <w:rPr>
          <w:lang w:val="en-GB"/>
        </w:rPr>
        <w:t>guarantee</w:t>
      </w:r>
      <w:r w:rsidR="00186996">
        <w:rPr>
          <w:lang w:val="en-GB"/>
        </w:rPr>
        <w:t xml:space="preserve"> </w:t>
      </w:r>
      <w:r w:rsidR="00885818">
        <w:rPr>
          <w:lang w:val="en-GB"/>
        </w:rPr>
        <w:t xml:space="preserve">a </w:t>
      </w:r>
      <w:r w:rsidR="0055305D">
        <w:rPr>
          <w:lang w:val="en-GB"/>
        </w:rPr>
        <w:t xml:space="preserve">minimum </w:t>
      </w:r>
      <w:r w:rsidR="00885818">
        <w:rPr>
          <w:lang w:val="en-GB"/>
        </w:rPr>
        <w:t>pinch temperature of 100</w:t>
      </w:r>
      <w:r w:rsidR="00885818">
        <w:rPr>
          <w:rFonts w:cs="Arial"/>
          <w:lang w:val="en-GB"/>
        </w:rPr>
        <w:t>°</w:t>
      </w:r>
      <w:r w:rsidR="00885818">
        <w:rPr>
          <w:lang w:val="en-GB"/>
        </w:rPr>
        <w:t>C across the combustion and gasification chamber</w:t>
      </w:r>
      <w:r w:rsidR="0055305D">
        <w:rPr>
          <w:lang w:val="en-GB"/>
        </w:rPr>
        <w:t>s</w:t>
      </w:r>
      <w:r w:rsidR="00402A99">
        <w:rPr>
          <w:lang w:val="en-GB"/>
        </w:rPr>
        <w:t xml:space="preserve"> (the gasifier is run at 750</w:t>
      </w:r>
      <w:r w:rsidR="00402A99">
        <w:rPr>
          <w:rFonts w:cs="Arial"/>
          <w:lang w:val="en-GB"/>
        </w:rPr>
        <w:t>°</w:t>
      </w:r>
      <w:r w:rsidR="00402A99">
        <w:rPr>
          <w:lang w:val="en-GB"/>
        </w:rPr>
        <w:t>C)</w:t>
      </w:r>
      <w:r w:rsidR="00D1016B">
        <w:rPr>
          <w:lang w:val="en-GB"/>
        </w:rPr>
        <w:t>, though this could be lower in large-scale natural reforming processes</w:t>
      </w:r>
      <w:r w:rsidR="008803DA">
        <w:rPr>
          <w:lang w:val="en-GB"/>
        </w:rPr>
        <w:t xml:space="preserve"> (Quirino et al., 2021)</w:t>
      </w:r>
      <w:r w:rsidR="00885818">
        <w:rPr>
          <w:lang w:val="en-GB"/>
        </w:rPr>
        <w:t>.</w:t>
      </w:r>
      <w:r w:rsidR="002439D7">
        <w:rPr>
          <w:lang w:val="en-GB"/>
        </w:rPr>
        <w:t xml:space="preserve"> Remarkably, part of the combustion heat is wasted to increase </w:t>
      </w:r>
      <w:r w:rsidR="00F815A4">
        <w:rPr>
          <w:lang w:val="en-GB"/>
        </w:rPr>
        <w:t xml:space="preserve">further </w:t>
      </w:r>
      <w:r w:rsidR="002439D7">
        <w:rPr>
          <w:lang w:val="en-GB"/>
        </w:rPr>
        <w:t xml:space="preserve">the temperature </w:t>
      </w:r>
      <w:r w:rsidR="00F815A4">
        <w:rPr>
          <w:lang w:val="en-GB"/>
        </w:rPr>
        <w:t xml:space="preserve">of </w:t>
      </w:r>
      <w:r w:rsidR="002439D7">
        <w:rPr>
          <w:lang w:val="en-GB"/>
        </w:rPr>
        <w:t>the preheated solid (S</w:t>
      </w:r>
      <w:r w:rsidR="007F4006">
        <w:rPr>
          <w:lang w:val="en-GB"/>
        </w:rPr>
        <w:t>01)</w:t>
      </w:r>
      <w:r w:rsidR="00F815A4">
        <w:rPr>
          <w:lang w:val="en-GB"/>
        </w:rPr>
        <w:t xml:space="preserve">. Indeed, </w:t>
      </w:r>
      <w:r w:rsidR="007F4006">
        <w:rPr>
          <w:lang w:val="en-GB"/>
        </w:rPr>
        <w:t xml:space="preserve">the direct contact heat exchanger (HE-1) is </w:t>
      </w:r>
      <w:r w:rsidR="00D77F6C">
        <w:rPr>
          <w:lang w:val="en-GB"/>
        </w:rPr>
        <w:t>in</w:t>
      </w:r>
      <w:r w:rsidR="007F4006">
        <w:rPr>
          <w:lang w:val="en-GB"/>
        </w:rPr>
        <w:t xml:space="preserve">sufficient to raise the temperature of the solid </w:t>
      </w:r>
      <w:r w:rsidR="00F815A4">
        <w:rPr>
          <w:lang w:val="en-GB"/>
        </w:rPr>
        <w:t xml:space="preserve">up to </w:t>
      </w:r>
      <w:r w:rsidR="00F815A4">
        <w:rPr>
          <w:rFonts w:cs="Arial"/>
          <w:lang w:val="en-GB"/>
        </w:rPr>
        <w:t>~</w:t>
      </w:r>
      <w:r w:rsidR="00F815A4">
        <w:rPr>
          <w:lang w:val="en-GB"/>
        </w:rPr>
        <w:t>550</w:t>
      </w:r>
      <w:r w:rsidR="00F815A4">
        <w:rPr>
          <w:rFonts w:cs="Arial"/>
          <w:lang w:val="en-GB"/>
        </w:rPr>
        <w:t>°</w:t>
      </w:r>
      <w:r w:rsidR="00F815A4">
        <w:rPr>
          <w:lang w:val="en-GB"/>
        </w:rPr>
        <w:t>C</w:t>
      </w:r>
      <w:r w:rsidR="009373BA">
        <w:rPr>
          <w:lang w:val="en-GB"/>
        </w:rPr>
        <w:t>,</w:t>
      </w:r>
      <w:r w:rsidR="00F815A4">
        <w:rPr>
          <w:lang w:val="en-GB"/>
        </w:rPr>
        <w:t xml:space="preserve"> when volatilization and pyrolysis </w:t>
      </w:r>
      <w:r w:rsidR="00866914">
        <w:rPr>
          <w:lang w:val="en-GB"/>
        </w:rPr>
        <w:t>reactions</w:t>
      </w:r>
      <w:r w:rsidR="00F815A4">
        <w:rPr>
          <w:lang w:val="en-GB"/>
        </w:rPr>
        <w:t xml:space="preserve"> are </w:t>
      </w:r>
      <w:r w:rsidR="00D77F6C">
        <w:rPr>
          <w:lang w:val="en-GB"/>
        </w:rPr>
        <w:t>activated</w:t>
      </w:r>
      <w:r w:rsidR="00F815A4">
        <w:rPr>
          <w:lang w:val="en-GB"/>
        </w:rPr>
        <w:t>.</w:t>
      </w:r>
      <w:r w:rsidR="00402A99">
        <w:rPr>
          <w:lang w:val="en-GB"/>
        </w:rPr>
        <w:t xml:space="preserve"> </w:t>
      </w:r>
      <w:r w:rsidR="00885818">
        <w:rPr>
          <w:lang w:val="en-GB"/>
        </w:rPr>
        <w:t xml:space="preserve">The </w:t>
      </w:r>
      <w:r w:rsidR="008F5D2A">
        <w:rPr>
          <w:lang w:val="en-GB"/>
        </w:rPr>
        <w:t xml:space="preserve">syngas </w:t>
      </w:r>
      <w:r w:rsidR="00F92895">
        <w:rPr>
          <w:lang w:val="en-GB"/>
        </w:rPr>
        <w:t xml:space="preserve">mass </w:t>
      </w:r>
      <w:r w:rsidR="008F5D2A">
        <w:rPr>
          <w:lang w:val="en-GB"/>
        </w:rPr>
        <w:t>flow (S15) is calculated to satisfy the energy balance, i.e., the gasification is run at autothermal conditions.</w:t>
      </w:r>
    </w:p>
    <w:p w14:paraId="6503BCC4" w14:textId="369E2517" w:rsidR="008D76A4" w:rsidRDefault="008D76A4" w:rsidP="008D76A4">
      <w:pPr>
        <w:pStyle w:val="CETHeading1"/>
        <w:tabs>
          <w:tab w:val="clear" w:pos="360"/>
          <w:tab w:val="right" w:pos="7100"/>
        </w:tabs>
        <w:jc w:val="both"/>
        <w:rPr>
          <w:lang w:val="en-GB"/>
        </w:rPr>
      </w:pPr>
      <w:r>
        <w:rPr>
          <w:lang w:val="en-GB"/>
        </w:rPr>
        <w:lastRenderedPageBreak/>
        <w:t>Results and discussions</w:t>
      </w:r>
    </w:p>
    <w:p w14:paraId="61A07E73" w14:textId="3496971D" w:rsidR="00313E0D" w:rsidRDefault="00422F2B" w:rsidP="00223583">
      <w:pPr>
        <w:pStyle w:val="CETheadingx"/>
      </w:pPr>
      <w:r>
        <w:t xml:space="preserve">Model </w:t>
      </w:r>
      <w:r w:rsidR="002C1B8D">
        <w:t>pre-</w:t>
      </w:r>
      <w:r>
        <w:t>validation</w:t>
      </w:r>
      <w:r w:rsidR="00CB342C">
        <w:t xml:space="preserve"> (using sensitive data)</w:t>
      </w:r>
    </w:p>
    <w:p w14:paraId="30E86256" w14:textId="60EE768C" w:rsidR="00B232F1" w:rsidRDefault="005E1787" w:rsidP="00223583">
      <w:pPr>
        <w:pStyle w:val="CETBodytext"/>
      </w:pPr>
      <w:r>
        <w:t>The proposed semi-rigorous model has been compared to experimental</w:t>
      </w:r>
      <w:r w:rsidR="00F16232">
        <w:t xml:space="preserve"> data</w:t>
      </w:r>
      <w:r>
        <w:t xml:space="preserve"> collected from an existing </w:t>
      </w:r>
      <w:r w:rsidR="00A41CB3">
        <w:t>gasif</w:t>
      </w:r>
      <w:r w:rsidR="00F16232">
        <w:t>ier,</w:t>
      </w:r>
      <w:r w:rsidR="006E0A9B">
        <w:t xml:space="preserve"> whose owner and technology supplier are sensitive</w:t>
      </w:r>
      <w:r w:rsidR="00F16232">
        <w:t>.</w:t>
      </w:r>
      <w:r w:rsidR="003D4D44">
        <w:t xml:space="preserve"> The </w:t>
      </w:r>
      <w:r w:rsidR="00A42711">
        <w:t>facility considered</w:t>
      </w:r>
      <w:r w:rsidR="003D4D44">
        <w:t xml:space="preserve"> has an analogous </w:t>
      </w:r>
      <w:r w:rsidR="00B60A58">
        <w:t>layout and size of the unit designed for TERRAWATT and commissioned in Bourges.</w:t>
      </w:r>
      <w:r w:rsidR="00F16232">
        <w:t xml:space="preserve"> The data are sensitive and cannot be disclosed. </w:t>
      </w:r>
      <w:r w:rsidR="00E456B0">
        <w:t>This</w:t>
      </w:r>
      <w:r w:rsidR="002033F2">
        <w:t xml:space="preserve"> Section is limited to </w:t>
      </w:r>
      <w:r w:rsidR="00E456B0">
        <w:t>reporting</w:t>
      </w:r>
      <w:r w:rsidR="002033F2">
        <w:t xml:space="preserve"> the deviation</w:t>
      </w:r>
      <w:r w:rsidR="00B232F1">
        <w:t>s</w:t>
      </w:r>
      <w:r w:rsidR="002033F2">
        <w:t xml:space="preserve"> of our </w:t>
      </w:r>
      <w:r w:rsidR="00922EE3">
        <w:t xml:space="preserve">semi-rigorous </w:t>
      </w:r>
      <w:r w:rsidR="002033F2">
        <w:t>model against observation</w:t>
      </w:r>
      <w:r w:rsidR="00B232F1">
        <w:t>s</w:t>
      </w:r>
      <w:r w:rsidR="002033F2">
        <w:t xml:space="preserve"> collected using similar woody biomass.</w:t>
      </w:r>
      <w:r w:rsidR="00B232F1">
        <w:t xml:space="preserve"> The </w:t>
      </w:r>
      <w:r w:rsidR="002E3EC4">
        <w:t>absolute (</w:t>
      </w:r>
      <w:r w:rsidR="006F74F8">
        <w:t>AE)</w:t>
      </w:r>
      <w:r w:rsidR="002E3EC4">
        <w:t xml:space="preserve"> and </w:t>
      </w:r>
      <w:r w:rsidR="00B232F1">
        <w:t xml:space="preserve">relative </w:t>
      </w:r>
      <w:r w:rsidR="000E5159">
        <w:t>erro</w:t>
      </w:r>
      <w:r w:rsidR="006F74F8">
        <w:t>r (RE)</w:t>
      </w:r>
      <w:r w:rsidR="00B232F1">
        <w:t xml:space="preserve"> </w:t>
      </w:r>
      <w:r w:rsidR="00B94CD3">
        <w:t>are</w:t>
      </w:r>
      <w:r w:rsidR="00B232F1">
        <w:t xml:space="preserve"> defined as follows:</w:t>
      </w:r>
    </w:p>
    <w:tbl>
      <w:tblPr>
        <w:tblW w:w="5000" w:type="pct"/>
        <w:tblLook w:val="04A0" w:firstRow="1" w:lastRow="0" w:firstColumn="1" w:lastColumn="0" w:noHBand="0" w:noVBand="1"/>
      </w:tblPr>
      <w:tblGrid>
        <w:gridCol w:w="8017"/>
        <w:gridCol w:w="770"/>
      </w:tblGrid>
      <w:tr w:rsidR="00EB3A63" w:rsidRPr="00B57B36" w14:paraId="4C664EB6" w14:textId="77777777" w:rsidTr="00EB3A63">
        <w:tc>
          <w:tcPr>
            <w:tcW w:w="8017" w:type="dxa"/>
            <w:shd w:val="clear" w:color="auto" w:fill="auto"/>
            <w:vAlign w:val="center"/>
          </w:tcPr>
          <w:p w14:paraId="61A7002C" w14:textId="5116F75D" w:rsidR="00EB3A63" w:rsidRPr="00EB3A63" w:rsidRDefault="000C133C" w:rsidP="0062654D">
            <w:pPr>
              <w:pStyle w:val="CETEquation"/>
              <w:rPr>
                <w:rFonts w:ascii="Cambria Math" w:hAnsi="Cambria Math"/>
                <w:oMath/>
              </w:rPr>
            </w:pPr>
            <m:oMathPara>
              <m:oMathParaPr>
                <m:jc m:val="left"/>
              </m:oMathParaPr>
              <m:oMath>
                <m:r>
                  <m:rPr>
                    <m:sty m:val="p"/>
                  </m:rPr>
                  <w:rPr>
                    <w:rFonts w:ascii="Cambria Math" w:hAnsi="Cambria Math"/>
                  </w:rPr>
                  <m:t>AE =</m:t>
                </m:r>
                <m:d>
                  <m:dPr>
                    <m:begChr m:val="|"/>
                    <m:endChr m:val="|"/>
                    <m:ctrlPr>
                      <w:rPr>
                        <w:rFonts w:ascii="Cambria Math" w:hAnsi="Cambria Math"/>
                        <w:iCs/>
                      </w:rPr>
                    </m:ctrlPr>
                  </m:dPr>
                  <m:e>
                    <m:sSubSup>
                      <m:sSubSupPr>
                        <m:ctrlPr>
                          <w:rPr>
                            <w:rFonts w:ascii="Cambria Math" w:hAnsi="Cambria Math"/>
                            <w:iCs/>
                          </w:rPr>
                        </m:ctrlPr>
                      </m:sSubSupPr>
                      <m:e>
                        <m:r>
                          <m:rPr>
                            <m:sty m:val="p"/>
                          </m:rPr>
                          <w:rPr>
                            <w:rFonts w:ascii="Cambria Math" w:hAnsi="Cambria Math"/>
                          </w:rPr>
                          <m:t>y</m:t>
                        </m:r>
                      </m:e>
                      <m:sub>
                        <m:r>
                          <m:rPr>
                            <m:sty m:val="p"/>
                          </m:rPr>
                          <w:rPr>
                            <w:rFonts w:ascii="Cambria Math" w:hAnsi="Cambria Math"/>
                          </w:rPr>
                          <m:t>i</m:t>
                        </m:r>
                      </m:sub>
                      <m:sup>
                        <m:r>
                          <m:rPr>
                            <m:sty m:val="p"/>
                          </m:rPr>
                          <w:rPr>
                            <w:rFonts w:ascii="Cambria Math" w:hAnsi="Cambria Math"/>
                          </w:rPr>
                          <m:t>model</m:t>
                        </m:r>
                      </m:sup>
                    </m:sSubSup>
                    <m:r>
                      <m:rPr>
                        <m:sty m:val="p"/>
                      </m:rPr>
                      <w:rPr>
                        <w:rFonts w:ascii="Cambria Math" w:hAnsi="Cambria Math"/>
                      </w:rPr>
                      <m:t xml:space="preserve"> -</m:t>
                    </m:r>
                    <m:sSubSup>
                      <m:sSubSupPr>
                        <m:ctrlPr>
                          <w:rPr>
                            <w:rFonts w:ascii="Cambria Math" w:hAnsi="Cambria Math"/>
                            <w:iCs/>
                          </w:rPr>
                        </m:ctrlPr>
                      </m:sSubSupPr>
                      <m:e>
                        <m:r>
                          <m:rPr>
                            <m:sty m:val="p"/>
                          </m:rPr>
                          <w:rPr>
                            <w:rFonts w:ascii="Cambria Math" w:hAnsi="Cambria Math"/>
                          </w:rPr>
                          <m:t xml:space="preserve"> y</m:t>
                        </m:r>
                      </m:e>
                      <m:sub>
                        <m:r>
                          <m:rPr>
                            <m:sty m:val="p"/>
                          </m:rPr>
                          <w:rPr>
                            <w:rFonts w:ascii="Cambria Math" w:hAnsi="Cambria Math"/>
                          </w:rPr>
                          <m:t>i</m:t>
                        </m:r>
                      </m:sub>
                      <m:sup>
                        <m:r>
                          <m:rPr>
                            <m:sty m:val="p"/>
                          </m:rPr>
                          <w:rPr>
                            <w:rFonts w:ascii="Cambria Math" w:hAnsi="Cambria Math"/>
                          </w:rPr>
                          <m:t>exp</m:t>
                        </m:r>
                      </m:sup>
                    </m:sSubSup>
                  </m:e>
                </m:d>
              </m:oMath>
            </m:oMathPara>
          </w:p>
        </w:tc>
        <w:tc>
          <w:tcPr>
            <w:tcW w:w="770" w:type="dxa"/>
            <w:shd w:val="clear" w:color="auto" w:fill="auto"/>
            <w:vAlign w:val="center"/>
          </w:tcPr>
          <w:p w14:paraId="5EBE7A4A" w14:textId="77777777" w:rsidR="00EB3A63" w:rsidRPr="00B57B36" w:rsidRDefault="00EB3A63" w:rsidP="0062654D">
            <w:pPr>
              <w:pStyle w:val="CETEquation"/>
              <w:spacing w:before="0" w:after="0"/>
              <w:jc w:val="right"/>
            </w:pPr>
            <w:r w:rsidRPr="00B57B36">
              <w:t>(</w:t>
            </w:r>
            <w:r>
              <w:t>4</w:t>
            </w:r>
            <w:r w:rsidRPr="00B57B36">
              <w:t>)</w:t>
            </w:r>
          </w:p>
        </w:tc>
      </w:tr>
      <w:tr w:rsidR="00B232F1" w:rsidRPr="00B57B36" w14:paraId="50F3E0BC" w14:textId="77777777" w:rsidTr="00321AEB">
        <w:tc>
          <w:tcPr>
            <w:tcW w:w="8017" w:type="dxa"/>
            <w:shd w:val="clear" w:color="auto" w:fill="auto"/>
            <w:vAlign w:val="center"/>
          </w:tcPr>
          <w:p w14:paraId="53CA3AE4" w14:textId="420A46D7" w:rsidR="00B232F1" w:rsidRPr="00B57B36" w:rsidRDefault="006F74F8" w:rsidP="00B232F1">
            <w:pPr>
              <w:pStyle w:val="CETEquation"/>
            </w:pPr>
            <m:oMath>
              <m:r>
                <m:rPr>
                  <m:sty m:val="p"/>
                </m:rPr>
                <w:rPr>
                  <w:rFonts w:ascii="Cambria Math" w:hAnsi="Cambria Math"/>
                </w:rPr>
                <m:t>RE [%]=</m:t>
              </m:r>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y</m:t>
                      </m:r>
                    </m:e>
                    <m:sub>
                      <m:r>
                        <m:rPr>
                          <m:sty m:val="p"/>
                        </m:rPr>
                        <w:rPr>
                          <w:rFonts w:ascii="Cambria Math" w:hAnsi="Cambria Math"/>
                        </w:rPr>
                        <m:t>i</m:t>
                      </m:r>
                    </m:sub>
                    <m:sup>
                      <m:r>
                        <m:rPr>
                          <m:sty m:val="p"/>
                        </m:rPr>
                        <w:rPr>
                          <w:rFonts w:ascii="Cambria Math" w:hAnsi="Cambria Math"/>
                        </w:rPr>
                        <m:t>model</m:t>
                      </m:r>
                    </m:sup>
                  </m:sSubSup>
                  <m:r>
                    <m:rPr>
                      <m:sty m:val="p"/>
                    </m:rPr>
                    <w:rPr>
                      <w:rFonts w:ascii="Cambria Math" w:hAnsi="Cambria Math"/>
                    </w:rPr>
                    <m:t xml:space="preserve"> -</m:t>
                  </m:r>
                  <m:sSubSup>
                    <m:sSubSupPr>
                      <m:ctrlPr>
                        <w:rPr>
                          <w:rFonts w:ascii="Cambria Math" w:hAnsi="Cambria Math"/>
                          <w:iCs/>
                        </w:rPr>
                      </m:ctrlPr>
                    </m:sSubSupPr>
                    <m:e>
                      <m:r>
                        <m:rPr>
                          <m:sty m:val="p"/>
                        </m:rPr>
                        <w:rPr>
                          <w:rFonts w:ascii="Cambria Math" w:hAnsi="Cambria Math"/>
                        </w:rPr>
                        <m:t xml:space="preserve"> y</m:t>
                      </m:r>
                    </m:e>
                    <m:sub>
                      <m:r>
                        <m:rPr>
                          <m:sty m:val="p"/>
                        </m:rPr>
                        <w:rPr>
                          <w:rFonts w:ascii="Cambria Math" w:hAnsi="Cambria Math"/>
                        </w:rPr>
                        <m:t>i</m:t>
                      </m:r>
                    </m:sub>
                    <m:sup>
                      <m:r>
                        <m:rPr>
                          <m:sty m:val="p"/>
                        </m:rPr>
                        <w:rPr>
                          <w:rFonts w:ascii="Cambria Math" w:hAnsi="Cambria Math"/>
                        </w:rPr>
                        <m:t>exp</m:t>
                      </m:r>
                    </m:sup>
                  </m:sSubSup>
                </m:num>
                <m:den>
                  <m:sSubSup>
                    <m:sSubSupPr>
                      <m:ctrlPr>
                        <w:rPr>
                          <w:rFonts w:ascii="Cambria Math" w:hAnsi="Cambria Math"/>
                          <w:iCs/>
                        </w:rPr>
                      </m:ctrlPr>
                    </m:sSubSupPr>
                    <m:e>
                      <m:r>
                        <m:rPr>
                          <m:sty m:val="p"/>
                        </m:rPr>
                        <w:rPr>
                          <w:rFonts w:ascii="Cambria Math" w:hAnsi="Cambria Math"/>
                        </w:rPr>
                        <m:t xml:space="preserve"> y</m:t>
                      </m:r>
                    </m:e>
                    <m:sub>
                      <m:r>
                        <m:rPr>
                          <m:sty m:val="p"/>
                        </m:rPr>
                        <w:rPr>
                          <w:rFonts w:ascii="Cambria Math" w:hAnsi="Cambria Math"/>
                        </w:rPr>
                        <m:t>i</m:t>
                      </m:r>
                    </m:sub>
                    <m:sup>
                      <m:r>
                        <m:rPr>
                          <m:sty m:val="p"/>
                        </m:rPr>
                        <w:rPr>
                          <w:rFonts w:ascii="Cambria Math" w:hAnsi="Cambria Math"/>
                        </w:rPr>
                        <m:t>exp</m:t>
                      </m:r>
                    </m:sup>
                  </m:sSubSup>
                </m:den>
              </m:f>
              <m:r>
                <w:rPr>
                  <w:rFonts w:ascii="Cambria Math" w:hAnsi="Cambria Math"/>
                </w:rPr>
                <m:t>⋅100</m:t>
              </m:r>
            </m:oMath>
            <w:r w:rsidR="00B232F1">
              <w:rPr>
                <w:rFonts w:ascii="Arial Unicode MS" w:hAnsi="Arial Unicode MS"/>
              </w:rPr>
              <w:t xml:space="preserve"> </w:t>
            </w:r>
          </w:p>
        </w:tc>
        <w:tc>
          <w:tcPr>
            <w:tcW w:w="770" w:type="dxa"/>
            <w:shd w:val="clear" w:color="auto" w:fill="auto"/>
            <w:vAlign w:val="center"/>
          </w:tcPr>
          <w:p w14:paraId="10420CDB" w14:textId="339DF25D" w:rsidR="00B232F1" w:rsidRPr="00B57B36" w:rsidRDefault="00B232F1" w:rsidP="0062654D">
            <w:pPr>
              <w:pStyle w:val="CETEquation"/>
              <w:spacing w:before="0" w:after="0"/>
              <w:jc w:val="right"/>
            </w:pPr>
            <w:r w:rsidRPr="00B57B36">
              <w:t>(</w:t>
            </w:r>
            <w:r w:rsidR="00451663">
              <w:t>5</w:t>
            </w:r>
            <w:r w:rsidRPr="00B57B36">
              <w:t>)</w:t>
            </w:r>
          </w:p>
        </w:tc>
      </w:tr>
    </w:tbl>
    <w:p w14:paraId="2A5A4B33" w14:textId="3C2336EA" w:rsidR="008D76A4" w:rsidRPr="00223583" w:rsidRDefault="00626128" w:rsidP="00223583">
      <w:pPr>
        <w:pStyle w:val="CETBodytext"/>
      </w:pPr>
      <w:r>
        <w:t>where y</w:t>
      </w:r>
      <w:r w:rsidR="00A232FE">
        <w:t xml:space="preserve"> is the generic variable of interest and superscript</w:t>
      </w:r>
      <w:r w:rsidR="00A044ED">
        <w:t>s</w:t>
      </w:r>
      <w:r w:rsidR="00A232FE">
        <w:t xml:space="preserve"> </w:t>
      </w:r>
      <w:r w:rsidR="00A044ED">
        <w:t>“</w:t>
      </w:r>
      <w:r w:rsidR="00A232FE">
        <w:t>model</w:t>
      </w:r>
      <w:r w:rsidR="00A044ED">
        <w:t>”</w:t>
      </w:r>
      <w:r w:rsidR="00A232FE">
        <w:t xml:space="preserve"> and </w:t>
      </w:r>
      <w:r w:rsidR="00A044ED">
        <w:t>“</w:t>
      </w:r>
      <w:r w:rsidR="00A232FE">
        <w:t>exp</w:t>
      </w:r>
      <w:r w:rsidR="00A044ED">
        <w:t>”</w:t>
      </w:r>
      <w:r w:rsidR="00A232FE">
        <w:t xml:space="preserve"> </w:t>
      </w:r>
      <w:r w:rsidR="00A044ED">
        <w:t>refer</w:t>
      </w:r>
      <w:r w:rsidR="00A232FE">
        <w:t xml:space="preserve"> to the </w:t>
      </w:r>
      <w:r w:rsidR="00A044ED">
        <w:t xml:space="preserve">semi-rigorous model and the </w:t>
      </w:r>
      <w:r w:rsidR="006F2EFC">
        <w:t>corresponding measurements from the pilot</w:t>
      </w:r>
      <w:r w:rsidR="0006722F">
        <w:t>, respectively</w:t>
      </w:r>
      <w:r w:rsidR="006F2EFC">
        <w:t>.</w:t>
      </w:r>
      <w:r w:rsidR="00E73375">
        <w:t xml:space="preserve"> </w:t>
      </w:r>
      <w:r w:rsidR="00E73375">
        <w:fldChar w:fldCharType="begin"/>
      </w:r>
      <w:r w:rsidR="00E73375">
        <w:instrText xml:space="preserve"> REF _Ref193373183 \h </w:instrText>
      </w:r>
      <w:r w:rsidR="00E73375">
        <w:fldChar w:fldCharType="separate"/>
      </w:r>
      <w:r w:rsidR="006F7571">
        <w:t xml:space="preserve">Table </w:t>
      </w:r>
      <w:r w:rsidR="006F7571">
        <w:rPr>
          <w:noProof/>
        </w:rPr>
        <w:t>1</w:t>
      </w:r>
      <w:r w:rsidR="00E73375">
        <w:fldChar w:fldCharType="end"/>
      </w:r>
      <w:r w:rsidR="00E73375">
        <w:t xml:space="preserve"> gather </w:t>
      </w:r>
      <w:r w:rsidR="006108DF">
        <w:t xml:space="preserve">three “features”: </w:t>
      </w:r>
      <w:r w:rsidR="006C3546">
        <w:t>the</w:t>
      </w:r>
      <w:r w:rsidR="00E73375">
        <w:t xml:space="preserve"> order of magnitude</w:t>
      </w:r>
      <w:r w:rsidR="00821C46">
        <w:t xml:space="preserve"> </w:t>
      </w:r>
      <w:r w:rsidR="00E73375">
        <w:t xml:space="preserve">of the </w:t>
      </w:r>
      <w:r w:rsidR="009D54B7">
        <w:t>measurements</w:t>
      </w:r>
      <w:r w:rsidR="00E73375">
        <w:t xml:space="preserve">, </w:t>
      </w:r>
      <w:r w:rsidR="008160DC">
        <w:t xml:space="preserve">the absolute (AE) and relative (RE) errors for the most relevant </w:t>
      </w:r>
      <w:r w:rsidR="009D54B7">
        <w:t>properties of the system</w:t>
      </w:r>
      <w:r w:rsidR="005127D6">
        <w:t>.</w:t>
      </w:r>
      <w:r w:rsidR="0016087B">
        <w:t xml:space="preserve"> </w:t>
      </w:r>
      <w:r w:rsidR="005127D6">
        <w:t xml:space="preserve">The </w:t>
      </w:r>
      <w:r w:rsidR="00821C46">
        <w:t>first</w:t>
      </w:r>
      <w:r w:rsidR="005127D6">
        <w:t xml:space="preserve"> identifies the “size</w:t>
      </w:r>
      <w:r w:rsidR="00BC7586">
        <w:t>/scale</w:t>
      </w:r>
      <w:r w:rsidR="005127D6">
        <w:t>” of the measurement</w:t>
      </w:r>
      <w:r w:rsidR="00BC7586">
        <w:t xml:space="preserve">. The AE </w:t>
      </w:r>
      <w:r w:rsidR="00821C46">
        <w:t>refers to</w:t>
      </w:r>
      <w:r w:rsidR="002F7BEB">
        <w:t xml:space="preserve"> </w:t>
      </w:r>
      <w:r w:rsidR="00F361C6">
        <w:t>the accuracy</w:t>
      </w:r>
      <w:r w:rsidR="00940B7A">
        <w:t xml:space="preserve"> and </w:t>
      </w:r>
      <w:r w:rsidR="00823891">
        <w:t xml:space="preserve">is given </w:t>
      </w:r>
      <w:r w:rsidR="00E86DFE">
        <w:t xml:space="preserve">as </w:t>
      </w:r>
      <w:r w:rsidR="00485C6B">
        <w:t xml:space="preserve">an </w:t>
      </w:r>
      <w:r w:rsidR="00E86DFE">
        <w:t xml:space="preserve">order of magnitude </w:t>
      </w:r>
      <w:r w:rsidR="00940B7A">
        <w:t>to avoid disclosing</w:t>
      </w:r>
      <w:r w:rsidR="0048795F">
        <w:t xml:space="preserve"> information</w:t>
      </w:r>
      <w:r w:rsidR="00485C6B">
        <w:t>;</w:t>
      </w:r>
      <w:r w:rsidR="00E86DFE">
        <w:t xml:space="preserve"> </w:t>
      </w:r>
      <w:r w:rsidR="00062B8B">
        <w:t>indeed</w:t>
      </w:r>
      <w:r w:rsidR="00E86DFE">
        <w:t>,</w:t>
      </w:r>
      <w:r w:rsidR="003B4629">
        <w:t xml:space="preserve"> </w:t>
      </w:r>
      <w:proofErr w:type="spellStart"/>
      <w:r w:rsidR="003B4629">
        <w:t>y</w:t>
      </w:r>
      <w:r w:rsidR="003B4629">
        <w:rPr>
          <w:vertAlign w:val="superscript"/>
        </w:rPr>
        <w:t>exp</w:t>
      </w:r>
      <w:proofErr w:type="spellEnd"/>
      <w:r w:rsidR="003B4629">
        <w:t xml:space="preserve"> = AE/RE.</w:t>
      </w:r>
      <w:r w:rsidR="002F7BEB">
        <w:t xml:space="preserve"> RE </w:t>
      </w:r>
      <w:r w:rsidR="00F361C6">
        <w:t>is a direct indicator of</w:t>
      </w:r>
      <w:r w:rsidR="00A113B0">
        <w:t xml:space="preserve"> </w:t>
      </w:r>
      <w:r w:rsidR="00F361C6">
        <w:t>precision</w:t>
      </w:r>
      <w:r w:rsidR="006F118C">
        <w:t>.</w:t>
      </w:r>
      <w:r w:rsidR="00D70297">
        <w:t xml:space="preserve"> The combination of these</w:t>
      </w:r>
      <w:r w:rsidR="0048795F">
        <w:t xml:space="preserve"> </w:t>
      </w:r>
      <w:r w:rsidR="00D70297">
        <w:t xml:space="preserve">pieces </w:t>
      </w:r>
      <w:r w:rsidR="00765134">
        <w:t xml:space="preserve">provides an overview of the </w:t>
      </w:r>
      <w:r w:rsidR="00485C6B">
        <w:t>model's quality</w:t>
      </w:r>
      <w:r w:rsidR="00765134">
        <w:t>.</w:t>
      </w:r>
      <w:r w:rsidR="006F118C">
        <w:t xml:space="preserve"> </w:t>
      </w:r>
      <w:r w:rsidR="006B2547">
        <w:t>The</w:t>
      </w:r>
      <w:r w:rsidR="009D54B7">
        <w:t xml:space="preserve"> analysis focuses on the syngas dry composition</w:t>
      </w:r>
      <w:r w:rsidR="00B56610">
        <w:t xml:space="preserve"> through the most abundant specie</w:t>
      </w:r>
      <w:r w:rsidR="00A145DC">
        <w:t>s</w:t>
      </w:r>
      <w:r w:rsidR="00336B8F">
        <w:t>,</w:t>
      </w:r>
      <w:r w:rsidR="00B56610">
        <w:t xml:space="preserve"> residue tar</w:t>
      </w:r>
      <w:r w:rsidR="00A145DC">
        <w:t xml:space="preserve">, </w:t>
      </w:r>
      <w:r w:rsidR="00212FD6">
        <w:t xml:space="preserve">moisture content, and char production. </w:t>
      </w:r>
      <w:r w:rsidR="00DA1328">
        <w:fldChar w:fldCharType="begin"/>
      </w:r>
      <w:r w:rsidR="00DA1328">
        <w:instrText xml:space="preserve"> REF _Ref193373183 \h </w:instrText>
      </w:r>
      <w:r w:rsidR="00DA1328">
        <w:fldChar w:fldCharType="separate"/>
      </w:r>
      <w:r w:rsidR="006F7571">
        <w:t xml:space="preserve">Table </w:t>
      </w:r>
      <w:r w:rsidR="006F7571">
        <w:rPr>
          <w:noProof/>
        </w:rPr>
        <w:t>1</w:t>
      </w:r>
      <w:r w:rsidR="00DA1328">
        <w:fldChar w:fldCharType="end"/>
      </w:r>
      <w:r w:rsidR="00DA1328">
        <w:t xml:space="preserve"> </w:t>
      </w:r>
      <w:r w:rsidR="00212FD6">
        <w:t>reports the global fraction of C</w:t>
      </w:r>
      <w:r w:rsidR="00212FD6" w:rsidRPr="00DA1328">
        <w:rPr>
          <w:vertAlign w:val="subscript"/>
        </w:rPr>
        <w:t>1</w:t>
      </w:r>
      <w:r w:rsidR="00212FD6">
        <w:t xml:space="preserve"> </w:t>
      </w:r>
      <w:r w:rsidR="00000CD8">
        <w:t>to</w:t>
      </w:r>
      <w:r w:rsidR="00212FD6">
        <w:t xml:space="preserve"> C</w:t>
      </w:r>
      <w:r w:rsidR="00000CD8" w:rsidRPr="00DA1328">
        <w:rPr>
          <w:vertAlign w:val="subscript"/>
        </w:rPr>
        <w:t>3</w:t>
      </w:r>
      <w:r w:rsidR="009E3B48">
        <w:t>.</w:t>
      </w:r>
      <w:r w:rsidR="00000CD8">
        <w:t xml:space="preserve"> </w:t>
      </w:r>
      <w:r w:rsidR="009E3B48">
        <w:t>M</w:t>
      </w:r>
      <w:r w:rsidR="00000CD8">
        <w:t xml:space="preserve">easurements </w:t>
      </w:r>
      <w:r w:rsidR="00DA1328">
        <w:t>report</w:t>
      </w:r>
      <w:r w:rsidR="00000CD8">
        <w:t xml:space="preserve"> two species,</w:t>
      </w:r>
      <w:r w:rsidR="009E3B48">
        <w:t xml:space="preserve"> i.e.,</w:t>
      </w:r>
      <w:r w:rsidR="00000CD8">
        <w:t xml:space="preserve"> </w:t>
      </w:r>
      <w:r w:rsidR="009F7A1C">
        <w:t xml:space="preserve">ethane and propane, </w:t>
      </w:r>
      <w:r w:rsidR="00DA1328">
        <w:t>that</w:t>
      </w:r>
      <w:r w:rsidR="009F7A1C">
        <w:t xml:space="preserve"> are not considered in the semi-rigorous model</w:t>
      </w:r>
      <w:r w:rsidR="002B5A7B">
        <w:t xml:space="preserve"> and</w:t>
      </w:r>
      <w:r w:rsidR="001952EA">
        <w:t xml:space="preserve"> </w:t>
      </w:r>
      <w:r w:rsidR="006E7412">
        <w:t>labelled as Not Available (NA).</w:t>
      </w:r>
      <w:r w:rsidR="009F7A1C">
        <w:t xml:space="preserve"> </w:t>
      </w:r>
      <w:r w:rsidR="006E7412">
        <w:t>N</w:t>
      </w:r>
      <w:r w:rsidR="009F7A1C">
        <w:t xml:space="preserve">either Ranzi et al. (2014) </w:t>
      </w:r>
      <w:r w:rsidR="00DA1328">
        <w:t>nor</w:t>
      </w:r>
      <w:r w:rsidR="00827D24">
        <w:t xml:space="preserve"> </w:t>
      </w:r>
      <w:r w:rsidR="00974079">
        <w:t>Chen et al. (2021) considered those molecules in their models</w:t>
      </w:r>
      <w:r w:rsidR="00827D24">
        <w:t>.</w:t>
      </w:r>
      <w:r w:rsidR="00974079">
        <w:t xml:space="preserve"> However, </w:t>
      </w:r>
      <w:r w:rsidR="00FA13EC">
        <w:t>they</w:t>
      </w:r>
      <w:r w:rsidR="00974079">
        <w:t xml:space="preserve"> </w:t>
      </w:r>
      <w:r w:rsidR="002B5A7B">
        <w:t>included</w:t>
      </w:r>
      <w:r w:rsidR="00974079">
        <w:t xml:space="preserve"> the production of </w:t>
      </w:r>
      <w:r w:rsidR="009D61FB">
        <w:t>ethylene and acetylene.</w:t>
      </w:r>
      <w:r w:rsidR="00827D24">
        <w:t xml:space="preserve"> </w:t>
      </w:r>
      <w:r w:rsidR="009D61FB">
        <w:t>The mismatch between the molecule</w:t>
      </w:r>
      <w:r w:rsidR="00757769">
        <w:t>s present</w:t>
      </w:r>
      <w:r w:rsidR="009D61FB">
        <w:t xml:space="preserve"> in the model and actual measurements leads to an intrinsic </w:t>
      </w:r>
      <w:r w:rsidR="00D95A7D">
        <w:t>imbalance</w:t>
      </w:r>
      <w:r w:rsidR="009D61FB">
        <w:t xml:space="preserve"> in the system</w:t>
      </w:r>
      <w:r w:rsidR="004E12CA">
        <w:t xml:space="preserve">: </w:t>
      </w:r>
      <w:r w:rsidR="00757769">
        <w:t xml:space="preserve">atoms are distributed differently within </w:t>
      </w:r>
      <w:r w:rsidR="00E77EF5">
        <w:t>available</w:t>
      </w:r>
      <w:r w:rsidR="002714DD">
        <w:t>/considered</w:t>
      </w:r>
      <w:r w:rsidR="00757769">
        <w:t xml:space="preserve"> molecules</w:t>
      </w:r>
      <w:r w:rsidR="009D61FB">
        <w:t>. Hence, it is worth considering the class of hydrocarbons C</w:t>
      </w:r>
      <w:r w:rsidR="009D61FB" w:rsidRPr="00D95A7D">
        <w:rPr>
          <w:vertAlign w:val="subscript"/>
        </w:rPr>
        <w:t>1</w:t>
      </w:r>
      <w:r w:rsidR="009D61FB">
        <w:t xml:space="preserve"> to C</w:t>
      </w:r>
      <w:r w:rsidR="009D61FB" w:rsidRPr="00D95A7D">
        <w:rPr>
          <w:vertAlign w:val="subscript"/>
        </w:rPr>
        <w:t>3</w:t>
      </w:r>
      <w:r w:rsidR="009D61FB">
        <w:t xml:space="preserve"> as a “lumped” class without </w:t>
      </w:r>
      <w:r w:rsidR="002714DD">
        <w:t>accounting for</w:t>
      </w:r>
      <w:r w:rsidR="009D61FB">
        <w:t xml:space="preserve"> the</w:t>
      </w:r>
      <w:r w:rsidR="00E77EF5">
        <w:t>ir</w:t>
      </w:r>
      <w:r w:rsidR="009D61FB">
        <w:t xml:space="preserve"> distribution.</w:t>
      </w:r>
      <w:r w:rsidR="004F7C35">
        <w:t xml:space="preserve"> </w:t>
      </w:r>
      <w:r w:rsidR="004F7C35">
        <w:fldChar w:fldCharType="begin"/>
      </w:r>
      <w:r w:rsidR="004F7C35">
        <w:instrText xml:space="preserve"> REF _Ref193373183 \h </w:instrText>
      </w:r>
      <w:r w:rsidR="004F7C35">
        <w:fldChar w:fldCharType="separate"/>
      </w:r>
      <w:r w:rsidR="006F7571">
        <w:t xml:space="preserve">Table </w:t>
      </w:r>
      <w:r w:rsidR="006F7571">
        <w:rPr>
          <w:noProof/>
        </w:rPr>
        <w:t>1</w:t>
      </w:r>
      <w:r w:rsidR="004F7C35">
        <w:fldChar w:fldCharType="end"/>
      </w:r>
      <w:r w:rsidR="004F7C35">
        <w:t xml:space="preserve"> shows how the semi-rigorous model is aligned with the expected syngas composition, especially for H</w:t>
      </w:r>
      <w:r w:rsidR="004F7C35" w:rsidRPr="005B1116">
        <w:rPr>
          <w:vertAlign w:val="subscript"/>
        </w:rPr>
        <w:t>2</w:t>
      </w:r>
      <w:r w:rsidR="004F7C35">
        <w:t xml:space="preserve"> and </w:t>
      </w:r>
      <w:proofErr w:type="spellStart"/>
      <w:r w:rsidR="004F7C35">
        <w:t>CO</w:t>
      </w:r>
      <w:r w:rsidR="004F7C35" w:rsidRPr="005B1116">
        <w:rPr>
          <w:vertAlign w:val="subscript"/>
        </w:rPr>
        <w:t>x</w:t>
      </w:r>
      <w:proofErr w:type="spellEnd"/>
      <w:r w:rsidR="004F7C35">
        <w:t>. Residu</w:t>
      </w:r>
      <w:r w:rsidR="00852F55">
        <w:t>al</w:t>
      </w:r>
      <w:r w:rsidR="004F7C35">
        <w:t xml:space="preserve"> methane is underestimated, but the value is in the same order of magnitude as the measurements. The C</w:t>
      </w:r>
      <w:r w:rsidR="004F7C35" w:rsidRPr="001C1239">
        <w:rPr>
          <w:vertAlign w:val="subscript"/>
        </w:rPr>
        <w:t>1-3</w:t>
      </w:r>
      <w:r w:rsidR="004F7C35">
        <w:t xml:space="preserve"> fraction is predicted </w:t>
      </w:r>
      <w:r w:rsidR="009137FA">
        <w:t>with an error of less than 10%</w:t>
      </w:r>
      <w:r w:rsidR="004F7C35">
        <w:t>. A similar conclusion holds for moisture. The formaldehyde content does not match the experimental observation,</w:t>
      </w:r>
      <w:r w:rsidR="00FB5C35">
        <w:t xml:space="preserve"> but</w:t>
      </w:r>
      <w:r w:rsidR="004F7C35">
        <w:t xml:space="preserve"> the semi-rigorous model predicts the presence of</w:t>
      </w:r>
      <w:r w:rsidR="00FB5C35">
        <w:t xml:space="preserve"> other</w:t>
      </w:r>
      <w:r w:rsidR="004F7C35">
        <w:t xml:space="preserve"> C</w:t>
      </w:r>
      <w:r w:rsidR="004F7C35" w:rsidRPr="005462AE">
        <w:rPr>
          <w:vertAlign w:val="subscript"/>
        </w:rPr>
        <w:t>1-2</w:t>
      </w:r>
      <w:r w:rsidR="004F7C35" w:rsidRPr="005462AE">
        <w:t xml:space="preserve"> </w:t>
      </w:r>
      <w:r w:rsidR="004F7C35">
        <w:t xml:space="preserve">oxygenated molecules in </w:t>
      </w:r>
      <w:r w:rsidR="00852F55">
        <w:t xml:space="preserve">the </w:t>
      </w:r>
      <w:r w:rsidR="004F7C35">
        <w:t>syngas mixture not measured at the facility.</w:t>
      </w:r>
    </w:p>
    <w:p w14:paraId="5494EB79" w14:textId="0398242A" w:rsidR="00571F75" w:rsidRDefault="00571F75" w:rsidP="00571F75">
      <w:pPr>
        <w:pStyle w:val="CETTabletitle"/>
      </w:pPr>
      <w:bookmarkStart w:id="5" w:name="_Ref193373183"/>
      <w:r>
        <w:t xml:space="preserve">Table </w:t>
      </w:r>
      <w:r>
        <w:fldChar w:fldCharType="begin"/>
      </w:r>
      <w:r>
        <w:instrText xml:space="preserve"> SEQ Table \* ARABIC </w:instrText>
      </w:r>
      <w:r>
        <w:fldChar w:fldCharType="separate"/>
      </w:r>
      <w:r w:rsidR="006F7571">
        <w:rPr>
          <w:noProof/>
        </w:rPr>
        <w:t>1</w:t>
      </w:r>
      <w:r>
        <w:fldChar w:fldCharType="end"/>
      </w:r>
      <w:bookmarkEnd w:id="5"/>
      <w:r>
        <w:t xml:space="preserve">: </w:t>
      </w:r>
      <w:r w:rsidR="000C133C">
        <w:t>Deviations</w:t>
      </w:r>
      <w:r w:rsidR="00086442">
        <w:t xml:space="preserve"> </w:t>
      </w:r>
      <w:r w:rsidR="00EE6D73">
        <w:t>in</w:t>
      </w:r>
      <w:r w:rsidR="00086442">
        <w:t xml:space="preserve"> dry syngas composition at the outlet of the gasifier and other relevant variables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54"/>
        <w:gridCol w:w="1984"/>
        <w:gridCol w:w="1984"/>
        <w:gridCol w:w="1984"/>
      </w:tblGrid>
      <w:tr w:rsidR="00203884" w:rsidRPr="00C365C8" w14:paraId="0B3A9C86" w14:textId="77777777" w:rsidTr="00194A38">
        <w:tc>
          <w:tcPr>
            <w:tcW w:w="2154" w:type="dxa"/>
            <w:tcBorders>
              <w:top w:val="single" w:sz="12" w:space="0" w:color="008000"/>
              <w:bottom w:val="single" w:sz="6" w:space="0" w:color="008000"/>
            </w:tcBorders>
            <w:shd w:val="clear" w:color="auto" w:fill="FFFFFF"/>
          </w:tcPr>
          <w:p w14:paraId="277A4CB6" w14:textId="3FDD8BDE" w:rsidR="00203884" w:rsidRPr="00C365C8" w:rsidRDefault="00203884" w:rsidP="0062654D">
            <w:pPr>
              <w:pStyle w:val="CETBodytext"/>
              <w:rPr>
                <w:b/>
                <w:bCs/>
                <w:lang w:val="en-GB"/>
              </w:rPr>
            </w:pPr>
            <w:r w:rsidRPr="00C365C8">
              <w:rPr>
                <w:b/>
                <w:bCs/>
                <w:lang w:val="en-GB"/>
              </w:rPr>
              <w:t>Dry composition [vol%]</w:t>
            </w:r>
          </w:p>
        </w:tc>
        <w:tc>
          <w:tcPr>
            <w:tcW w:w="1984" w:type="dxa"/>
            <w:tcBorders>
              <w:top w:val="single" w:sz="12" w:space="0" w:color="008000"/>
              <w:bottom w:val="single" w:sz="6" w:space="0" w:color="008000"/>
            </w:tcBorders>
            <w:shd w:val="clear" w:color="auto" w:fill="FFFFFF"/>
          </w:tcPr>
          <w:p w14:paraId="07D4A0AA" w14:textId="5F3F0751" w:rsidR="00203884" w:rsidRPr="00C365C8" w:rsidRDefault="00203884" w:rsidP="0062654D">
            <w:pPr>
              <w:pStyle w:val="CETBodytext"/>
              <w:rPr>
                <w:rFonts w:ascii="Calibri" w:hAnsi="Calibri" w:cs="Calibri"/>
                <w:b/>
                <w:bCs/>
              </w:rPr>
            </w:pPr>
            <w:r>
              <w:rPr>
                <w:rFonts w:ascii="Calibri" w:hAnsi="Calibri" w:cs="Calibri"/>
                <w:b/>
                <w:bCs/>
              </w:rPr>
              <w:t>Order of magnitude</w:t>
            </w:r>
          </w:p>
        </w:tc>
        <w:tc>
          <w:tcPr>
            <w:tcW w:w="1984" w:type="dxa"/>
            <w:tcBorders>
              <w:top w:val="single" w:sz="12" w:space="0" w:color="008000"/>
              <w:bottom w:val="single" w:sz="6" w:space="0" w:color="008000"/>
            </w:tcBorders>
            <w:shd w:val="clear" w:color="auto" w:fill="FFFFFF"/>
          </w:tcPr>
          <w:p w14:paraId="013E66E1" w14:textId="1D96A56B" w:rsidR="00203884" w:rsidRPr="00C365C8" w:rsidRDefault="00194A38" w:rsidP="0062654D">
            <w:pPr>
              <w:pStyle w:val="CETBodytext"/>
              <w:rPr>
                <w:rFonts w:ascii="Calibri" w:hAnsi="Calibri" w:cs="Calibri"/>
                <w:b/>
                <w:bCs/>
              </w:rPr>
            </w:pPr>
            <w:r>
              <w:rPr>
                <w:rFonts w:ascii="Calibri" w:hAnsi="Calibri" w:cs="Calibri"/>
                <w:b/>
                <w:bCs/>
              </w:rPr>
              <w:t>AE</w:t>
            </w:r>
            <w:r w:rsidR="0082617C">
              <w:rPr>
                <w:rFonts w:ascii="Calibri" w:hAnsi="Calibri" w:cs="Calibri"/>
                <w:b/>
                <w:bCs/>
              </w:rPr>
              <w:t xml:space="preserve"> (magnitude)</w:t>
            </w:r>
          </w:p>
        </w:tc>
        <w:tc>
          <w:tcPr>
            <w:tcW w:w="1984" w:type="dxa"/>
            <w:tcBorders>
              <w:top w:val="single" w:sz="12" w:space="0" w:color="008000"/>
              <w:bottom w:val="single" w:sz="6" w:space="0" w:color="008000"/>
            </w:tcBorders>
            <w:shd w:val="clear" w:color="auto" w:fill="FFFFFF"/>
          </w:tcPr>
          <w:p w14:paraId="19DDA255" w14:textId="7A383351" w:rsidR="00203884" w:rsidRPr="00C365C8" w:rsidRDefault="006F74F8" w:rsidP="0062654D">
            <w:pPr>
              <w:pStyle w:val="CETBodytext"/>
              <w:rPr>
                <w:b/>
                <w:bCs/>
                <w:lang w:val="en-GB"/>
              </w:rPr>
            </w:pPr>
            <w:r>
              <w:rPr>
                <w:rFonts w:ascii="Calibri" w:hAnsi="Calibri" w:cs="Calibri"/>
                <w:b/>
                <w:bCs/>
              </w:rPr>
              <w:t>RE</w:t>
            </w:r>
            <w:r w:rsidR="00203884" w:rsidRPr="00C365C8">
              <w:rPr>
                <w:rFonts w:ascii="Calibri" w:hAnsi="Calibri" w:cs="Calibri"/>
                <w:b/>
                <w:bCs/>
              </w:rPr>
              <w:t xml:space="preserve"> [%]</w:t>
            </w:r>
          </w:p>
        </w:tc>
      </w:tr>
      <w:tr w:rsidR="00203884" w:rsidRPr="00B57B36" w14:paraId="4FDE0939" w14:textId="77777777" w:rsidTr="00194A38">
        <w:tc>
          <w:tcPr>
            <w:tcW w:w="2154" w:type="dxa"/>
            <w:shd w:val="clear" w:color="auto" w:fill="FFFFFF"/>
          </w:tcPr>
          <w:p w14:paraId="629380D1" w14:textId="29144896" w:rsidR="00203884" w:rsidRPr="00B57B36" w:rsidRDefault="00203884" w:rsidP="0062654D">
            <w:pPr>
              <w:pStyle w:val="CETBodytext"/>
              <w:rPr>
                <w:lang w:val="en-GB"/>
              </w:rPr>
            </w:pPr>
            <w:r>
              <w:rPr>
                <w:lang w:val="en-GB"/>
              </w:rPr>
              <w:t>CO</w:t>
            </w:r>
          </w:p>
        </w:tc>
        <w:tc>
          <w:tcPr>
            <w:tcW w:w="1984" w:type="dxa"/>
            <w:shd w:val="clear" w:color="auto" w:fill="FFFFFF"/>
          </w:tcPr>
          <w:p w14:paraId="22F74B73" w14:textId="12762E13" w:rsidR="00203884" w:rsidRPr="00F54BEB" w:rsidRDefault="00F54BEB" w:rsidP="0062654D">
            <w:pPr>
              <w:pStyle w:val="CETBodytext"/>
              <w:rPr>
                <w:lang w:val="en-GB"/>
              </w:rPr>
            </w:pPr>
            <w:r>
              <w:rPr>
                <w:lang w:val="en-GB"/>
              </w:rPr>
              <w:t>10</w:t>
            </w:r>
            <w:r>
              <w:rPr>
                <w:vertAlign w:val="superscript"/>
                <w:lang w:val="en-GB"/>
              </w:rPr>
              <w:t>1</w:t>
            </w:r>
            <w:r w:rsidR="00DF1136">
              <w:rPr>
                <w:vertAlign w:val="superscript"/>
                <w:lang w:val="en-GB"/>
              </w:rPr>
              <w:t xml:space="preserve"> </w:t>
            </w:r>
            <w:r>
              <w:rPr>
                <w:lang w:val="en-GB"/>
              </w:rPr>
              <w:t>%</w:t>
            </w:r>
          </w:p>
        </w:tc>
        <w:tc>
          <w:tcPr>
            <w:tcW w:w="1984" w:type="dxa"/>
            <w:shd w:val="clear" w:color="auto" w:fill="FFFFFF"/>
          </w:tcPr>
          <w:p w14:paraId="64379435" w14:textId="3A02899A" w:rsidR="00203884" w:rsidRPr="00950DE2" w:rsidRDefault="003B4629" w:rsidP="0062654D">
            <w:pPr>
              <w:pStyle w:val="CETBodytext"/>
              <w:rPr>
                <w:lang w:val="en-GB"/>
              </w:rPr>
            </w:pPr>
            <w:r>
              <w:rPr>
                <w:lang w:val="en-GB"/>
              </w:rPr>
              <w:t>0.1</w:t>
            </w:r>
            <w:r w:rsidR="008416D6">
              <w:rPr>
                <w:vertAlign w:val="superscript"/>
                <w:lang w:val="en-GB"/>
              </w:rPr>
              <w:t xml:space="preserve"> </w:t>
            </w:r>
            <w:r w:rsidR="00950DE2">
              <w:rPr>
                <w:lang w:val="en-GB"/>
              </w:rPr>
              <w:t>%</w:t>
            </w:r>
          </w:p>
        </w:tc>
        <w:tc>
          <w:tcPr>
            <w:tcW w:w="1984" w:type="dxa"/>
            <w:shd w:val="clear" w:color="auto" w:fill="FFFFFF"/>
          </w:tcPr>
          <w:p w14:paraId="4FC1BE59" w14:textId="3CF16CFC" w:rsidR="00203884" w:rsidRPr="00B57B36" w:rsidRDefault="00711F42" w:rsidP="0062654D">
            <w:pPr>
              <w:pStyle w:val="CETBodytext"/>
              <w:rPr>
                <w:lang w:val="en-GB"/>
              </w:rPr>
            </w:pPr>
            <w:r>
              <w:rPr>
                <w:lang w:val="en-GB"/>
              </w:rPr>
              <w:t>-2.00</w:t>
            </w:r>
          </w:p>
        </w:tc>
      </w:tr>
      <w:tr w:rsidR="00203884" w:rsidRPr="00B57B36" w14:paraId="4455B65A" w14:textId="77777777" w:rsidTr="00194A38">
        <w:tc>
          <w:tcPr>
            <w:tcW w:w="2154" w:type="dxa"/>
            <w:shd w:val="clear" w:color="auto" w:fill="FFFFFF"/>
          </w:tcPr>
          <w:p w14:paraId="23ACC08C" w14:textId="0CD85EA6" w:rsidR="00203884" w:rsidRPr="00B57B36" w:rsidRDefault="00203884" w:rsidP="0062654D">
            <w:pPr>
              <w:pStyle w:val="CETBodytext"/>
              <w:rPr>
                <w:lang w:val="en-GB"/>
              </w:rPr>
            </w:pPr>
            <w:r>
              <w:rPr>
                <w:lang w:val="en-GB"/>
              </w:rPr>
              <w:t>CO</w:t>
            </w:r>
            <w:r w:rsidRPr="00795709">
              <w:rPr>
                <w:vertAlign w:val="subscript"/>
                <w:lang w:val="en-GB"/>
              </w:rPr>
              <w:t>2</w:t>
            </w:r>
          </w:p>
        </w:tc>
        <w:tc>
          <w:tcPr>
            <w:tcW w:w="1984" w:type="dxa"/>
            <w:shd w:val="clear" w:color="auto" w:fill="FFFFFF"/>
          </w:tcPr>
          <w:p w14:paraId="7FD13B25" w14:textId="5AD24539" w:rsidR="00203884" w:rsidRPr="00B57B36" w:rsidRDefault="00D350F9" w:rsidP="0062654D">
            <w:pPr>
              <w:pStyle w:val="CETBodytext"/>
              <w:rPr>
                <w:lang w:val="en-GB"/>
              </w:rPr>
            </w:pPr>
            <w:r>
              <w:rPr>
                <w:lang w:val="en-GB"/>
              </w:rPr>
              <w:t>10</w:t>
            </w:r>
            <w:r>
              <w:rPr>
                <w:vertAlign w:val="superscript"/>
                <w:lang w:val="en-GB"/>
              </w:rPr>
              <w:t>1</w:t>
            </w:r>
            <w:r w:rsidR="00DF1136">
              <w:rPr>
                <w:vertAlign w:val="superscript"/>
                <w:lang w:val="en-GB"/>
              </w:rPr>
              <w:t xml:space="preserve"> </w:t>
            </w:r>
            <w:r>
              <w:rPr>
                <w:lang w:val="en-GB"/>
              </w:rPr>
              <w:t>%</w:t>
            </w:r>
          </w:p>
        </w:tc>
        <w:tc>
          <w:tcPr>
            <w:tcW w:w="1984" w:type="dxa"/>
            <w:shd w:val="clear" w:color="auto" w:fill="FFFFFF"/>
          </w:tcPr>
          <w:p w14:paraId="6653BF11" w14:textId="416027F9" w:rsidR="00203884" w:rsidRPr="00B57B36" w:rsidRDefault="003B4629" w:rsidP="0062654D">
            <w:pPr>
              <w:pStyle w:val="CETBodytext"/>
              <w:rPr>
                <w:lang w:val="en-GB"/>
              </w:rPr>
            </w:pPr>
            <w:r>
              <w:rPr>
                <w:lang w:val="en-GB"/>
              </w:rPr>
              <w:t>0.1</w:t>
            </w:r>
            <w:r w:rsidR="00CC7831">
              <w:rPr>
                <w:lang w:val="en-GB"/>
              </w:rPr>
              <w:t xml:space="preserve"> </w:t>
            </w:r>
            <w:r w:rsidR="00950DE2">
              <w:rPr>
                <w:lang w:val="en-GB"/>
              </w:rPr>
              <w:t>%</w:t>
            </w:r>
          </w:p>
        </w:tc>
        <w:tc>
          <w:tcPr>
            <w:tcW w:w="1984" w:type="dxa"/>
            <w:shd w:val="clear" w:color="auto" w:fill="FFFFFF"/>
          </w:tcPr>
          <w:p w14:paraId="35637A40" w14:textId="3EA8CF3F" w:rsidR="00203884" w:rsidRPr="00B57B36" w:rsidRDefault="00711F42" w:rsidP="0062654D">
            <w:pPr>
              <w:pStyle w:val="CETBodytext"/>
              <w:rPr>
                <w:lang w:val="en-GB"/>
              </w:rPr>
            </w:pPr>
            <w:r>
              <w:rPr>
                <w:lang w:val="en-GB"/>
              </w:rPr>
              <w:t>+3.42</w:t>
            </w:r>
          </w:p>
        </w:tc>
      </w:tr>
      <w:tr w:rsidR="00203884" w:rsidRPr="00B57B36" w14:paraId="78C00733" w14:textId="77777777" w:rsidTr="00194A38">
        <w:tc>
          <w:tcPr>
            <w:tcW w:w="2154" w:type="dxa"/>
            <w:shd w:val="clear" w:color="auto" w:fill="FFFFFF"/>
          </w:tcPr>
          <w:p w14:paraId="5B8BC094" w14:textId="1DB5A456" w:rsidR="00203884" w:rsidRPr="00B57B36" w:rsidRDefault="00203884" w:rsidP="0062654D">
            <w:pPr>
              <w:pStyle w:val="CETBodytext"/>
              <w:rPr>
                <w:lang w:val="en-GB"/>
              </w:rPr>
            </w:pPr>
            <w:r>
              <w:rPr>
                <w:lang w:val="en-GB"/>
              </w:rPr>
              <w:t>H</w:t>
            </w:r>
            <w:r w:rsidRPr="00795709">
              <w:rPr>
                <w:vertAlign w:val="subscript"/>
                <w:lang w:val="en-GB"/>
              </w:rPr>
              <w:t>2</w:t>
            </w:r>
          </w:p>
        </w:tc>
        <w:tc>
          <w:tcPr>
            <w:tcW w:w="1984" w:type="dxa"/>
            <w:shd w:val="clear" w:color="auto" w:fill="FFFFFF"/>
          </w:tcPr>
          <w:p w14:paraId="03F1285E" w14:textId="4FB68FFF" w:rsidR="00203884" w:rsidRPr="00B57B36" w:rsidRDefault="00D350F9" w:rsidP="0062654D">
            <w:pPr>
              <w:pStyle w:val="CETBodytext"/>
              <w:rPr>
                <w:lang w:val="en-GB"/>
              </w:rPr>
            </w:pPr>
            <w:r>
              <w:rPr>
                <w:lang w:val="en-GB"/>
              </w:rPr>
              <w:t>10</w:t>
            </w:r>
            <w:r>
              <w:rPr>
                <w:vertAlign w:val="superscript"/>
                <w:lang w:val="en-GB"/>
              </w:rPr>
              <w:t>1</w:t>
            </w:r>
            <w:r w:rsidR="00DF1136">
              <w:rPr>
                <w:vertAlign w:val="superscript"/>
                <w:lang w:val="en-GB"/>
              </w:rPr>
              <w:t xml:space="preserve"> </w:t>
            </w:r>
            <w:r>
              <w:rPr>
                <w:lang w:val="en-GB"/>
              </w:rPr>
              <w:t>%</w:t>
            </w:r>
          </w:p>
        </w:tc>
        <w:tc>
          <w:tcPr>
            <w:tcW w:w="1984" w:type="dxa"/>
            <w:shd w:val="clear" w:color="auto" w:fill="FFFFFF"/>
          </w:tcPr>
          <w:p w14:paraId="01B87B01" w14:textId="21F953B9" w:rsidR="00203884" w:rsidRPr="0093485F" w:rsidRDefault="00810BC9" w:rsidP="0062654D">
            <w:pPr>
              <w:pStyle w:val="CETBodytext"/>
              <w:rPr>
                <w:lang w:val="en-GB"/>
              </w:rPr>
            </w:pPr>
            <w:r>
              <w:rPr>
                <w:lang w:val="en-GB"/>
              </w:rPr>
              <w:t>1.</w:t>
            </w:r>
            <w:r w:rsidR="003B4629">
              <w:rPr>
                <w:lang w:val="en-GB"/>
              </w:rPr>
              <w:t>0</w:t>
            </w:r>
            <w:r w:rsidR="0093485F">
              <w:rPr>
                <w:vertAlign w:val="superscript"/>
                <w:lang w:val="en-GB"/>
              </w:rPr>
              <w:t xml:space="preserve"> </w:t>
            </w:r>
            <w:r w:rsidR="00FC3AD9">
              <w:rPr>
                <w:lang w:val="en-GB"/>
              </w:rPr>
              <w:t>%</w:t>
            </w:r>
          </w:p>
        </w:tc>
        <w:tc>
          <w:tcPr>
            <w:tcW w:w="1984" w:type="dxa"/>
            <w:shd w:val="clear" w:color="auto" w:fill="FFFFFF"/>
          </w:tcPr>
          <w:p w14:paraId="1B67D0C0" w14:textId="45C61806" w:rsidR="00203884" w:rsidRPr="00B57B36" w:rsidRDefault="00810BC9" w:rsidP="0062654D">
            <w:pPr>
              <w:pStyle w:val="CETBodytext"/>
              <w:rPr>
                <w:lang w:val="en-GB"/>
              </w:rPr>
            </w:pPr>
            <w:r>
              <w:rPr>
                <w:lang w:val="en-GB"/>
              </w:rPr>
              <w:t>+4.47</w:t>
            </w:r>
          </w:p>
        </w:tc>
      </w:tr>
      <w:tr w:rsidR="00203884" w:rsidRPr="00B57B36" w14:paraId="7C20C351" w14:textId="77777777" w:rsidTr="00194A38">
        <w:tc>
          <w:tcPr>
            <w:tcW w:w="2154" w:type="dxa"/>
            <w:shd w:val="clear" w:color="auto" w:fill="FFFFFF"/>
          </w:tcPr>
          <w:p w14:paraId="32E72434" w14:textId="623AACFC" w:rsidR="00203884" w:rsidRPr="00B57B36" w:rsidRDefault="00203884" w:rsidP="0062654D">
            <w:pPr>
              <w:pStyle w:val="CETBodytext"/>
              <w:rPr>
                <w:lang w:val="en-GB"/>
              </w:rPr>
            </w:pPr>
            <w:r>
              <w:rPr>
                <w:lang w:val="en-GB"/>
              </w:rPr>
              <w:t>CH</w:t>
            </w:r>
            <w:r w:rsidRPr="00795709">
              <w:rPr>
                <w:vertAlign w:val="subscript"/>
                <w:lang w:val="en-GB"/>
              </w:rPr>
              <w:t>4</w:t>
            </w:r>
          </w:p>
        </w:tc>
        <w:tc>
          <w:tcPr>
            <w:tcW w:w="1984" w:type="dxa"/>
            <w:shd w:val="clear" w:color="auto" w:fill="FFFFFF"/>
          </w:tcPr>
          <w:p w14:paraId="66C93751" w14:textId="29BEFFE2" w:rsidR="00203884" w:rsidRPr="00B57B36" w:rsidRDefault="00DF1136" w:rsidP="0062654D">
            <w:pPr>
              <w:pStyle w:val="CETBodytext"/>
              <w:rPr>
                <w:lang w:val="en-GB"/>
              </w:rPr>
            </w:pPr>
            <w:r>
              <w:rPr>
                <w:lang w:val="en-GB"/>
              </w:rPr>
              <w:t>10</w:t>
            </w:r>
            <w:r>
              <w:rPr>
                <w:vertAlign w:val="superscript"/>
                <w:lang w:val="en-GB"/>
              </w:rPr>
              <w:t xml:space="preserve">0 </w:t>
            </w:r>
            <w:r>
              <w:rPr>
                <w:lang w:val="en-GB"/>
              </w:rPr>
              <w:t>%</w:t>
            </w:r>
          </w:p>
        </w:tc>
        <w:tc>
          <w:tcPr>
            <w:tcW w:w="1984" w:type="dxa"/>
            <w:shd w:val="clear" w:color="auto" w:fill="FFFFFF"/>
          </w:tcPr>
          <w:p w14:paraId="71D09DCF" w14:textId="5BAB3661" w:rsidR="00203884" w:rsidRPr="00B57B36" w:rsidRDefault="003B4629" w:rsidP="0062654D">
            <w:pPr>
              <w:pStyle w:val="CETBodytext"/>
              <w:rPr>
                <w:lang w:val="en-GB"/>
              </w:rPr>
            </w:pPr>
            <w:r>
              <w:rPr>
                <w:lang w:val="en-GB"/>
              </w:rPr>
              <w:t>1.0</w:t>
            </w:r>
            <w:r w:rsidR="0093485F">
              <w:rPr>
                <w:vertAlign w:val="superscript"/>
                <w:lang w:val="en-GB"/>
              </w:rPr>
              <w:t xml:space="preserve"> </w:t>
            </w:r>
            <w:r w:rsidR="00FC3AD9">
              <w:rPr>
                <w:lang w:val="en-GB"/>
              </w:rPr>
              <w:t>%</w:t>
            </w:r>
            <w:r w:rsidR="00CC7831">
              <w:rPr>
                <w:vertAlign w:val="superscript"/>
                <w:lang w:val="en-GB"/>
              </w:rPr>
              <w:t xml:space="preserve"> </w:t>
            </w:r>
          </w:p>
        </w:tc>
        <w:tc>
          <w:tcPr>
            <w:tcW w:w="1984" w:type="dxa"/>
            <w:shd w:val="clear" w:color="auto" w:fill="FFFFFF"/>
          </w:tcPr>
          <w:p w14:paraId="6864BFD8" w14:textId="11DD2AEA" w:rsidR="00203884" w:rsidRPr="00B57B36" w:rsidRDefault="00D371CF" w:rsidP="0062654D">
            <w:pPr>
              <w:pStyle w:val="CETBodytext"/>
              <w:rPr>
                <w:lang w:val="en-GB"/>
              </w:rPr>
            </w:pPr>
            <w:r>
              <w:rPr>
                <w:lang w:val="en-GB"/>
              </w:rPr>
              <w:t>-50.0</w:t>
            </w:r>
          </w:p>
        </w:tc>
      </w:tr>
      <w:tr w:rsidR="00203884" w:rsidRPr="00B57B36" w14:paraId="5D9B512E" w14:textId="77777777" w:rsidTr="00194A38">
        <w:tc>
          <w:tcPr>
            <w:tcW w:w="2154" w:type="dxa"/>
            <w:shd w:val="clear" w:color="auto" w:fill="FFFFFF"/>
          </w:tcPr>
          <w:p w14:paraId="5372486B" w14:textId="774B8378" w:rsidR="00203884" w:rsidRPr="00B57B36" w:rsidRDefault="00203884" w:rsidP="0062654D">
            <w:pPr>
              <w:pStyle w:val="CETBodytext"/>
              <w:rPr>
                <w:lang w:val="en-GB"/>
              </w:rPr>
            </w:pPr>
            <w:r>
              <w:rPr>
                <w:lang w:val="en-GB"/>
              </w:rPr>
              <w:t>C</w:t>
            </w:r>
            <w:r w:rsidRPr="00795709">
              <w:rPr>
                <w:vertAlign w:val="subscript"/>
                <w:lang w:val="en-GB"/>
              </w:rPr>
              <w:t>2</w:t>
            </w:r>
            <w:r>
              <w:rPr>
                <w:lang w:val="en-GB"/>
              </w:rPr>
              <w:t>H</w:t>
            </w:r>
            <w:r w:rsidRPr="00795709">
              <w:rPr>
                <w:vertAlign w:val="subscript"/>
                <w:lang w:val="en-GB"/>
              </w:rPr>
              <w:t>6</w:t>
            </w:r>
          </w:p>
        </w:tc>
        <w:tc>
          <w:tcPr>
            <w:tcW w:w="1984" w:type="dxa"/>
            <w:shd w:val="clear" w:color="auto" w:fill="FFFFFF"/>
          </w:tcPr>
          <w:p w14:paraId="6D5C5185" w14:textId="55EE518E" w:rsidR="00203884" w:rsidRPr="00B57B36" w:rsidRDefault="00DF1136" w:rsidP="0062654D">
            <w:pPr>
              <w:pStyle w:val="CETBodytext"/>
              <w:rPr>
                <w:lang w:val="en-GB"/>
              </w:rPr>
            </w:pPr>
            <w:r>
              <w:rPr>
                <w:lang w:val="en-GB"/>
              </w:rPr>
              <w:t>10</w:t>
            </w:r>
            <w:r>
              <w:rPr>
                <w:vertAlign w:val="superscript"/>
                <w:lang w:val="en-GB"/>
              </w:rPr>
              <w:t xml:space="preserve">-1 </w:t>
            </w:r>
            <w:r>
              <w:rPr>
                <w:lang w:val="en-GB"/>
              </w:rPr>
              <w:t>%</w:t>
            </w:r>
          </w:p>
        </w:tc>
        <w:tc>
          <w:tcPr>
            <w:tcW w:w="1984" w:type="dxa"/>
            <w:shd w:val="clear" w:color="auto" w:fill="FFFFFF"/>
          </w:tcPr>
          <w:p w14:paraId="312039FB" w14:textId="6E1A8A3B" w:rsidR="00203884" w:rsidRPr="00B57B36" w:rsidRDefault="00CD4B5B" w:rsidP="0062654D">
            <w:pPr>
              <w:pStyle w:val="CETBodytext"/>
              <w:rPr>
                <w:lang w:val="en-GB"/>
              </w:rPr>
            </w:pPr>
            <w:r>
              <w:rPr>
                <w:lang w:val="en-GB"/>
              </w:rPr>
              <w:t>NA</w:t>
            </w:r>
            <w:r w:rsidR="00CC7831">
              <w:rPr>
                <w:vertAlign w:val="superscript"/>
                <w:lang w:val="en-GB"/>
              </w:rPr>
              <w:t xml:space="preserve"> </w:t>
            </w:r>
          </w:p>
        </w:tc>
        <w:tc>
          <w:tcPr>
            <w:tcW w:w="1984" w:type="dxa"/>
            <w:shd w:val="clear" w:color="auto" w:fill="FFFFFF"/>
          </w:tcPr>
          <w:p w14:paraId="6251223C" w14:textId="3104508C" w:rsidR="00203884" w:rsidRPr="00B57B36" w:rsidRDefault="00CD4B5B" w:rsidP="0062654D">
            <w:pPr>
              <w:pStyle w:val="CETBodytext"/>
              <w:rPr>
                <w:lang w:val="en-GB"/>
              </w:rPr>
            </w:pPr>
            <w:r>
              <w:rPr>
                <w:lang w:val="en-GB"/>
              </w:rPr>
              <w:t>NA</w:t>
            </w:r>
          </w:p>
        </w:tc>
      </w:tr>
      <w:tr w:rsidR="00203884" w:rsidRPr="00B57B36" w14:paraId="2E758464" w14:textId="77777777" w:rsidTr="00194A38">
        <w:tc>
          <w:tcPr>
            <w:tcW w:w="2154" w:type="dxa"/>
            <w:shd w:val="clear" w:color="auto" w:fill="FFFFFF"/>
          </w:tcPr>
          <w:p w14:paraId="62D57126" w14:textId="38676889" w:rsidR="00203884" w:rsidRPr="00B57B36" w:rsidRDefault="00203884" w:rsidP="0062654D">
            <w:pPr>
              <w:pStyle w:val="CETBodytext"/>
              <w:rPr>
                <w:lang w:val="en-GB"/>
              </w:rPr>
            </w:pPr>
            <w:r>
              <w:rPr>
                <w:lang w:val="en-GB"/>
              </w:rPr>
              <w:t>C</w:t>
            </w:r>
            <w:r w:rsidRPr="00795709">
              <w:rPr>
                <w:vertAlign w:val="subscript"/>
                <w:lang w:val="en-GB"/>
              </w:rPr>
              <w:t>2</w:t>
            </w:r>
            <w:r>
              <w:rPr>
                <w:lang w:val="en-GB"/>
              </w:rPr>
              <w:t>H</w:t>
            </w:r>
            <w:r w:rsidRPr="00795709">
              <w:rPr>
                <w:vertAlign w:val="subscript"/>
                <w:lang w:val="en-GB"/>
              </w:rPr>
              <w:t>4</w:t>
            </w:r>
          </w:p>
        </w:tc>
        <w:tc>
          <w:tcPr>
            <w:tcW w:w="1984" w:type="dxa"/>
            <w:shd w:val="clear" w:color="auto" w:fill="FFFFFF"/>
          </w:tcPr>
          <w:p w14:paraId="4CFCB183" w14:textId="53348FA4" w:rsidR="00203884" w:rsidRPr="00B57B36" w:rsidRDefault="00EE6D73" w:rsidP="0062654D">
            <w:pPr>
              <w:pStyle w:val="CETBodytext"/>
              <w:rPr>
                <w:lang w:val="en-GB"/>
              </w:rPr>
            </w:pPr>
            <w:r>
              <w:rPr>
                <w:lang w:val="en-GB"/>
              </w:rPr>
              <w:t>10</w:t>
            </w:r>
            <w:r>
              <w:rPr>
                <w:vertAlign w:val="superscript"/>
                <w:lang w:val="en-GB"/>
              </w:rPr>
              <w:t xml:space="preserve">0 </w:t>
            </w:r>
            <w:r>
              <w:rPr>
                <w:lang w:val="en-GB"/>
              </w:rPr>
              <w:t>%</w:t>
            </w:r>
          </w:p>
        </w:tc>
        <w:tc>
          <w:tcPr>
            <w:tcW w:w="1984" w:type="dxa"/>
            <w:shd w:val="clear" w:color="auto" w:fill="FFFFFF"/>
          </w:tcPr>
          <w:p w14:paraId="0EC29A60" w14:textId="0144F951" w:rsidR="00203884" w:rsidRPr="00B57B36" w:rsidRDefault="003B4629" w:rsidP="0062654D">
            <w:pPr>
              <w:pStyle w:val="CETBodytext"/>
              <w:rPr>
                <w:lang w:val="en-GB"/>
              </w:rPr>
            </w:pPr>
            <w:r>
              <w:rPr>
                <w:lang w:val="en-GB"/>
              </w:rPr>
              <w:t>1.0</w:t>
            </w:r>
            <w:r w:rsidR="00A75D04">
              <w:rPr>
                <w:lang w:val="en-GB"/>
              </w:rPr>
              <w:t xml:space="preserve"> </w:t>
            </w:r>
            <w:r w:rsidR="00FC3AD9">
              <w:rPr>
                <w:lang w:val="en-GB"/>
              </w:rPr>
              <w:t>%</w:t>
            </w:r>
            <w:r w:rsidR="00CC7831">
              <w:rPr>
                <w:vertAlign w:val="superscript"/>
                <w:lang w:val="en-GB"/>
              </w:rPr>
              <w:t xml:space="preserve"> </w:t>
            </w:r>
          </w:p>
        </w:tc>
        <w:tc>
          <w:tcPr>
            <w:tcW w:w="1984" w:type="dxa"/>
            <w:shd w:val="clear" w:color="auto" w:fill="FFFFFF"/>
          </w:tcPr>
          <w:p w14:paraId="31629832" w14:textId="6EA6B8E2" w:rsidR="00203884" w:rsidRPr="00B57B36" w:rsidRDefault="00C32BAF" w:rsidP="0062654D">
            <w:pPr>
              <w:pStyle w:val="CETBodytext"/>
              <w:rPr>
                <w:lang w:val="en-GB"/>
              </w:rPr>
            </w:pPr>
            <w:r>
              <w:rPr>
                <w:lang w:val="en-GB"/>
              </w:rPr>
              <w:t>+</w:t>
            </w:r>
            <w:r w:rsidR="00545A89">
              <w:rPr>
                <w:lang w:val="en-GB"/>
              </w:rPr>
              <w:t>77.1</w:t>
            </w:r>
          </w:p>
        </w:tc>
      </w:tr>
      <w:tr w:rsidR="00203884" w:rsidRPr="00B57B36" w14:paraId="1ACD9B83" w14:textId="77777777" w:rsidTr="00194A38">
        <w:tc>
          <w:tcPr>
            <w:tcW w:w="2154" w:type="dxa"/>
            <w:shd w:val="clear" w:color="auto" w:fill="FFFFFF"/>
          </w:tcPr>
          <w:p w14:paraId="45A7FA18" w14:textId="358561E1" w:rsidR="00203884" w:rsidRPr="00B57B36" w:rsidRDefault="00203884" w:rsidP="0062654D">
            <w:pPr>
              <w:pStyle w:val="CETBodytext"/>
              <w:rPr>
                <w:lang w:val="en-GB"/>
              </w:rPr>
            </w:pPr>
            <w:r>
              <w:rPr>
                <w:lang w:val="en-GB"/>
              </w:rPr>
              <w:t>C</w:t>
            </w:r>
            <w:r w:rsidRPr="00795709">
              <w:rPr>
                <w:vertAlign w:val="subscript"/>
                <w:lang w:val="en-GB"/>
              </w:rPr>
              <w:t>2</w:t>
            </w:r>
            <w:r>
              <w:rPr>
                <w:lang w:val="en-GB"/>
              </w:rPr>
              <w:t>H</w:t>
            </w:r>
            <w:r w:rsidRPr="00795709">
              <w:rPr>
                <w:vertAlign w:val="subscript"/>
                <w:lang w:val="en-GB"/>
              </w:rPr>
              <w:t>2</w:t>
            </w:r>
          </w:p>
        </w:tc>
        <w:tc>
          <w:tcPr>
            <w:tcW w:w="1984" w:type="dxa"/>
            <w:shd w:val="clear" w:color="auto" w:fill="FFFFFF"/>
          </w:tcPr>
          <w:p w14:paraId="5124CDB1" w14:textId="78C6ADB1" w:rsidR="00203884" w:rsidRPr="00B57B36" w:rsidRDefault="006A54BD" w:rsidP="0062654D">
            <w:pPr>
              <w:pStyle w:val="CETBodytext"/>
              <w:rPr>
                <w:lang w:val="en-GB"/>
              </w:rPr>
            </w:pPr>
            <w:r>
              <w:rPr>
                <w:lang w:val="en-GB"/>
              </w:rPr>
              <w:t>10</w:t>
            </w:r>
            <w:r>
              <w:rPr>
                <w:vertAlign w:val="superscript"/>
                <w:lang w:val="en-GB"/>
              </w:rPr>
              <w:t xml:space="preserve">-1 </w:t>
            </w:r>
            <w:r>
              <w:rPr>
                <w:lang w:val="en-GB"/>
              </w:rPr>
              <w:t>%</w:t>
            </w:r>
          </w:p>
        </w:tc>
        <w:tc>
          <w:tcPr>
            <w:tcW w:w="1984" w:type="dxa"/>
            <w:shd w:val="clear" w:color="auto" w:fill="FFFFFF"/>
          </w:tcPr>
          <w:p w14:paraId="00CCC8D4" w14:textId="13FDB310" w:rsidR="00203884" w:rsidRPr="00B57B36" w:rsidRDefault="003B4629" w:rsidP="0062654D">
            <w:pPr>
              <w:pStyle w:val="CETBodytext"/>
              <w:rPr>
                <w:lang w:val="en-GB"/>
              </w:rPr>
            </w:pPr>
            <w:r>
              <w:rPr>
                <w:lang w:val="en-GB"/>
              </w:rPr>
              <w:t>0.1</w:t>
            </w:r>
            <w:r w:rsidR="00CC7831">
              <w:rPr>
                <w:vertAlign w:val="superscript"/>
                <w:lang w:val="en-GB"/>
              </w:rPr>
              <w:t xml:space="preserve"> </w:t>
            </w:r>
            <w:r w:rsidR="00301154">
              <w:rPr>
                <w:lang w:val="en-GB"/>
              </w:rPr>
              <w:t>%</w:t>
            </w:r>
          </w:p>
        </w:tc>
        <w:tc>
          <w:tcPr>
            <w:tcW w:w="1984" w:type="dxa"/>
            <w:shd w:val="clear" w:color="auto" w:fill="FFFFFF"/>
          </w:tcPr>
          <w:p w14:paraId="58323FFC" w14:textId="0D0FA440" w:rsidR="00203884" w:rsidRPr="00B57B36" w:rsidRDefault="00C32BAF" w:rsidP="0062654D">
            <w:pPr>
              <w:pStyle w:val="CETBodytext"/>
              <w:rPr>
                <w:lang w:val="en-GB"/>
              </w:rPr>
            </w:pPr>
            <w:r>
              <w:rPr>
                <w:lang w:val="en-GB"/>
              </w:rPr>
              <w:t>+24.4</w:t>
            </w:r>
          </w:p>
        </w:tc>
      </w:tr>
      <w:tr w:rsidR="00203884" w:rsidRPr="00B57B36" w14:paraId="1DAC5228" w14:textId="77777777" w:rsidTr="00194A38">
        <w:tc>
          <w:tcPr>
            <w:tcW w:w="2154" w:type="dxa"/>
            <w:shd w:val="clear" w:color="auto" w:fill="FFFFFF"/>
          </w:tcPr>
          <w:p w14:paraId="29AA7CD1" w14:textId="1002684B" w:rsidR="00203884" w:rsidRDefault="00203884" w:rsidP="0062654D">
            <w:pPr>
              <w:pStyle w:val="CETBodytext"/>
              <w:rPr>
                <w:lang w:val="en-GB"/>
              </w:rPr>
            </w:pPr>
            <w:r>
              <w:rPr>
                <w:lang w:val="en-GB"/>
              </w:rPr>
              <w:t>C</w:t>
            </w:r>
            <w:r w:rsidRPr="00795709">
              <w:rPr>
                <w:vertAlign w:val="subscript"/>
                <w:lang w:val="en-GB"/>
              </w:rPr>
              <w:t>3</w:t>
            </w:r>
            <w:r>
              <w:rPr>
                <w:lang w:val="en-GB"/>
              </w:rPr>
              <w:t>H</w:t>
            </w:r>
            <w:r w:rsidRPr="00795709">
              <w:rPr>
                <w:vertAlign w:val="subscript"/>
                <w:lang w:val="en-GB"/>
              </w:rPr>
              <w:t>8</w:t>
            </w:r>
          </w:p>
        </w:tc>
        <w:tc>
          <w:tcPr>
            <w:tcW w:w="1984" w:type="dxa"/>
            <w:shd w:val="clear" w:color="auto" w:fill="FFFFFF"/>
          </w:tcPr>
          <w:p w14:paraId="5B04A248" w14:textId="790250F7" w:rsidR="00203884" w:rsidRPr="00B57B36" w:rsidRDefault="006A54BD" w:rsidP="0062654D">
            <w:pPr>
              <w:pStyle w:val="CETBodytext"/>
              <w:rPr>
                <w:lang w:val="en-GB"/>
              </w:rPr>
            </w:pPr>
            <w:r>
              <w:rPr>
                <w:lang w:val="en-GB"/>
              </w:rPr>
              <w:t>10</w:t>
            </w:r>
            <w:r>
              <w:rPr>
                <w:vertAlign w:val="superscript"/>
                <w:lang w:val="en-GB"/>
              </w:rPr>
              <w:t xml:space="preserve">-1 </w:t>
            </w:r>
            <w:r>
              <w:rPr>
                <w:lang w:val="en-GB"/>
              </w:rPr>
              <w:t>%</w:t>
            </w:r>
          </w:p>
        </w:tc>
        <w:tc>
          <w:tcPr>
            <w:tcW w:w="1984" w:type="dxa"/>
            <w:shd w:val="clear" w:color="auto" w:fill="FFFFFF"/>
          </w:tcPr>
          <w:p w14:paraId="31FA479F" w14:textId="723688B9" w:rsidR="00203884" w:rsidRPr="00B57B36" w:rsidRDefault="004F551A" w:rsidP="0062654D">
            <w:pPr>
              <w:pStyle w:val="CETBodytext"/>
              <w:rPr>
                <w:lang w:val="en-GB"/>
              </w:rPr>
            </w:pPr>
            <w:r>
              <w:rPr>
                <w:lang w:val="en-GB"/>
              </w:rPr>
              <w:t>NA</w:t>
            </w:r>
            <w:r w:rsidR="00CC7831">
              <w:rPr>
                <w:vertAlign w:val="superscript"/>
                <w:lang w:val="en-GB"/>
              </w:rPr>
              <w:t xml:space="preserve"> </w:t>
            </w:r>
          </w:p>
        </w:tc>
        <w:tc>
          <w:tcPr>
            <w:tcW w:w="1984" w:type="dxa"/>
            <w:shd w:val="clear" w:color="auto" w:fill="FFFFFF"/>
          </w:tcPr>
          <w:p w14:paraId="0C832197" w14:textId="68048267" w:rsidR="00203884" w:rsidRPr="00B57B36" w:rsidRDefault="004F551A" w:rsidP="0062654D">
            <w:pPr>
              <w:pStyle w:val="CETBodytext"/>
              <w:rPr>
                <w:lang w:val="en-GB"/>
              </w:rPr>
            </w:pPr>
            <w:r>
              <w:rPr>
                <w:lang w:val="en-GB"/>
              </w:rPr>
              <w:t>NA</w:t>
            </w:r>
          </w:p>
        </w:tc>
      </w:tr>
      <w:tr w:rsidR="006A54BD" w:rsidRPr="00B57B36" w14:paraId="4668970C" w14:textId="77777777" w:rsidTr="00194A38">
        <w:tc>
          <w:tcPr>
            <w:tcW w:w="2154" w:type="dxa"/>
            <w:shd w:val="clear" w:color="auto" w:fill="FFFFFF"/>
          </w:tcPr>
          <w:p w14:paraId="79CD8F26" w14:textId="4767AF48" w:rsidR="006A54BD" w:rsidRDefault="006A54BD" w:rsidP="0077475A">
            <w:pPr>
              <w:pStyle w:val="CETBodytext"/>
              <w:rPr>
                <w:lang w:val="en-GB"/>
              </w:rPr>
            </w:pPr>
            <w:r>
              <w:rPr>
                <w:lang w:val="en-GB"/>
              </w:rPr>
              <w:t>CH</w:t>
            </w:r>
            <w:r w:rsidRPr="00795709">
              <w:rPr>
                <w:vertAlign w:val="subscript"/>
                <w:lang w:val="en-GB"/>
              </w:rPr>
              <w:t>4</w:t>
            </w:r>
            <w:r>
              <w:rPr>
                <w:lang w:val="en-GB"/>
              </w:rPr>
              <w:t>O (formaldehyde)</w:t>
            </w:r>
          </w:p>
        </w:tc>
        <w:tc>
          <w:tcPr>
            <w:tcW w:w="1984" w:type="dxa"/>
            <w:shd w:val="clear" w:color="auto" w:fill="FFFFFF"/>
          </w:tcPr>
          <w:p w14:paraId="5DF9A827" w14:textId="6D479877" w:rsidR="006A54BD" w:rsidRDefault="0085109E" w:rsidP="0062654D">
            <w:pPr>
              <w:pStyle w:val="CETBodytext"/>
              <w:rPr>
                <w:lang w:val="en-GB"/>
              </w:rPr>
            </w:pPr>
            <w:r>
              <w:rPr>
                <w:lang w:val="en-GB"/>
              </w:rPr>
              <w:t>10</w:t>
            </w:r>
            <w:r w:rsidR="002F267C">
              <w:rPr>
                <w:vertAlign w:val="superscript"/>
                <w:lang w:val="en-GB"/>
              </w:rPr>
              <w:t>0</w:t>
            </w:r>
            <w:r>
              <w:rPr>
                <w:vertAlign w:val="superscript"/>
                <w:lang w:val="en-GB"/>
              </w:rPr>
              <w:t xml:space="preserve"> </w:t>
            </w:r>
            <w:r>
              <w:rPr>
                <w:lang w:val="en-GB"/>
              </w:rPr>
              <w:t>%</w:t>
            </w:r>
          </w:p>
        </w:tc>
        <w:tc>
          <w:tcPr>
            <w:tcW w:w="1984" w:type="dxa"/>
            <w:shd w:val="clear" w:color="auto" w:fill="FFFFFF"/>
          </w:tcPr>
          <w:p w14:paraId="4DB4CA0B" w14:textId="2F91A3C8" w:rsidR="006A54BD" w:rsidRPr="00B57B36" w:rsidRDefault="00474367" w:rsidP="0062654D">
            <w:pPr>
              <w:pStyle w:val="CETBodytext"/>
              <w:rPr>
                <w:lang w:val="en-GB"/>
              </w:rPr>
            </w:pPr>
            <w:r>
              <w:rPr>
                <w:lang w:val="en-GB"/>
              </w:rPr>
              <w:t>1.</w:t>
            </w:r>
            <w:r w:rsidR="00A75D04">
              <w:rPr>
                <w:lang w:val="en-GB"/>
              </w:rPr>
              <w:t xml:space="preserve">0 </w:t>
            </w:r>
            <w:r w:rsidR="004138EF">
              <w:rPr>
                <w:lang w:val="en-GB"/>
              </w:rPr>
              <w:t>%</w:t>
            </w:r>
          </w:p>
        </w:tc>
        <w:tc>
          <w:tcPr>
            <w:tcW w:w="1984" w:type="dxa"/>
            <w:shd w:val="clear" w:color="auto" w:fill="FFFFFF"/>
          </w:tcPr>
          <w:p w14:paraId="2BB7D4B9" w14:textId="2C1CDF54" w:rsidR="006A54BD" w:rsidRPr="00B57B36" w:rsidRDefault="005273E1" w:rsidP="0062654D">
            <w:pPr>
              <w:pStyle w:val="CETBodytext"/>
              <w:rPr>
                <w:lang w:val="en-GB"/>
              </w:rPr>
            </w:pPr>
            <w:r>
              <w:rPr>
                <w:lang w:val="en-GB"/>
              </w:rPr>
              <w:t>+</w:t>
            </w:r>
            <w:r w:rsidR="00474367">
              <w:rPr>
                <w:lang w:val="en-GB"/>
              </w:rPr>
              <w:t>126</w:t>
            </w:r>
          </w:p>
        </w:tc>
      </w:tr>
      <w:tr w:rsidR="00203884" w:rsidRPr="00B57B36" w14:paraId="5ACB6C89" w14:textId="77777777" w:rsidTr="00194A38">
        <w:tc>
          <w:tcPr>
            <w:tcW w:w="2154" w:type="dxa"/>
            <w:shd w:val="clear" w:color="auto" w:fill="FFFFFF"/>
          </w:tcPr>
          <w:p w14:paraId="336BAC7E" w14:textId="277A64EA" w:rsidR="00203884" w:rsidRDefault="00203884" w:rsidP="0062654D">
            <w:pPr>
              <w:pStyle w:val="CETBodytext"/>
              <w:rPr>
                <w:lang w:val="en-GB"/>
              </w:rPr>
            </w:pPr>
            <w:r>
              <w:rPr>
                <w:lang w:val="en-GB"/>
              </w:rPr>
              <w:t xml:space="preserve">Residue tar </w:t>
            </w:r>
          </w:p>
        </w:tc>
        <w:tc>
          <w:tcPr>
            <w:tcW w:w="1984" w:type="dxa"/>
            <w:shd w:val="clear" w:color="auto" w:fill="FFFFFF"/>
          </w:tcPr>
          <w:p w14:paraId="373D3206" w14:textId="018EF1EA" w:rsidR="00203884" w:rsidRPr="00B57B36" w:rsidRDefault="0085109E" w:rsidP="0062654D">
            <w:pPr>
              <w:pStyle w:val="CETBodytext"/>
              <w:rPr>
                <w:lang w:val="en-GB"/>
              </w:rPr>
            </w:pPr>
            <w:r>
              <w:rPr>
                <w:lang w:val="en-GB"/>
              </w:rPr>
              <w:t>10</w:t>
            </w:r>
            <w:r>
              <w:rPr>
                <w:vertAlign w:val="superscript"/>
                <w:lang w:val="en-GB"/>
              </w:rPr>
              <w:t xml:space="preserve">-1 </w:t>
            </w:r>
            <w:r>
              <w:rPr>
                <w:lang w:val="en-GB"/>
              </w:rPr>
              <w:t>%</w:t>
            </w:r>
          </w:p>
        </w:tc>
        <w:tc>
          <w:tcPr>
            <w:tcW w:w="1984" w:type="dxa"/>
            <w:shd w:val="clear" w:color="auto" w:fill="FFFFFF"/>
          </w:tcPr>
          <w:p w14:paraId="57CA9180" w14:textId="3C32D153" w:rsidR="00203884" w:rsidRPr="00B57B36" w:rsidRDefault="00A75D04" w:rsidP="0062654D">
            <w:pPr>
              <w:pStyle w:val="CETBodytext"/>
              <w:rPr>
                <w:lang w:val="en-GB"/>
              </w:rPr>
            </w:pPr>
            <w:r>
              <w:rPr>
                <w:lang w:val="en-GB"/>
              </w:rPr>
              <w:t>0.1</w:t>
            </w:r>
            <w:r w:rsidR="004138EF">
              <w:rPr>
                <w:vertAlign w:val="superscript"/>
                <w:lang w:val="en-GB"/>
              </w:rPr>
              <w:t xml:space="preserve"> </w:t>
            </w:r>
            <w:r w:rsidR="004138EF">
              <w:rPr>
                <w:lang w:val="en-GB"/>
              </w:rPr>
              <w:t>%</w:t>
            </w:r>
            <w:r w:rsidR="00CC7831">
              <w:rPr>
                <w:vertAlign w:val="superscript"/>
                <w:lang w:val="en-GB"/>
              </w:rPr>
              <w:t xml:space="preserve"> </w:t>
            </w:r>
          </w:p>
        </w:tc>
        <w:tc>
          <w:tcPr>
            <w:tcW w:w="1984" w:type="dxa"/>
            <w:shd w:val="clear" w:color="auto" w:fill="FFFFFF"/>
          </w:tcPr>
          <w:p w14:paraId="44C5293A" w14:textId="6AB05635" w:rsidR="00203884" w:rsidRPr="00B57B36" w:rsidRDefault="005C4BA6" w:rsidP="0062654D">
            <w:pPr>
              <w:pStyle w:val="CETBodytext"/>
              <w:rPr>
                <w:lang w:val="en-GB"/>
              </w:rPr>
            </w:pPr>
            <w:r>
              <w:rPr>
                <w:lang w:val="en-GB"/>
              </w:rPr>
              <w:t>-58.2</w:t>
            </w:r>
          </w:p>
        </w:tc>
      </w:tr>
      <w:tr w:rsidR="00203884" w:rsidRPr="00C365C8" w14:paraId="3A34FB4F" w14:textId="77777777" w:rsidTr="00194A38">
        <w:tc>
          <w:tcPr>
            <w:tcW w:w="2154" w:type="dxa"/>
            <w:tcBorders>
              <w:top w:val="single" w:sz="12" w:space="0" w:color="008000"/>
              <w:bottom w:val="single" w:sz="6" w:space="0" w:color="008000"/>
            </w:tcBorders>
            <w:shd w:val="clear" w:color="auto" w:fill="FFFFFF"/>
          </w:tcPr>
          <w:p w14:paraId="2BC56D57" w14:textId="4094BFD1" w:rsidR="00203884" w:rsidRPr="00C365C8" w:rsidRDefault="00203884" w:rsidP="0062654D">
            <w:pPr>
              <w:pStyle w:val="CETBodytext"/>
              <w:rPr>
                <w:b/>
                <w:bCs/>
                <w:lang w:val="en-GB"/>
              </w:rPr>
            </w:pPr>
            <w:r>
              <w:rPr>
                <w:b/>
                <w:bCs/>
                <w:lang w:val="en-GB"/>
              </w:rPr>
              <w:t>Other variables</w:t>
            </w:r>
          </w:p>
        </w:tc>
        <w:tc>
          <w:tcPr>
            <w:tcW w:w="1984" w:type="dxa"/>
            <w:tcBorders>
              <w:top w:val="single" w:sz="12" w:space="0" w:color="008000"/>
              <w:bottom w:val="single" w:sz="6" w:space="0" w:color="008000"/>
            </w:tcBorders>
            <w:shd w:val="clear" w:color="auto" w:fill="FFFFFF"/>
          </w:tcPr>
          <w:p w14:paraId="66E7FB56" w14:textId="77777777" w:rsidR="00203884" w:rsidRPr="00C365C8" w:rsidRDefault="00203884" w:rsidP="0062654D">
            <w:pPr>
              <w:pStyle w:val="CETBodytext"/>
              <w:rPr>
                <w:rFonts w:ascii="Calibri" w:hAnsi="Calibri" w:cs="Calibri"/>
                <w:b/>
                <w:bCs/>
              </w:rPr>
            </w:pPr>
          </w:p>
        </w:tc>
        <w:tc>
          <w:tcPr>
            <w:tcW w:w="1984" w:type="dxa"/>
            <w:tcBorders>
              <w:top w:val="single" w:sz="12" w:space="0" w:color="008000"/>
              <w:bottom w:val="single" w:sz="6" w:space="0" w:color="008000"/>
            </w:tcBorders>
            <w:shd w:val="clear" w:color="auto" w:fill="FFFFFF"/>
          </w:tcPr>
          <w:p w14:paraId="00EB4B51" w14:textId="309F3604" w:rsidR="00203884" w:rsidRPr="00C365C8" w:rsidRDefault="00203884" w:rsidP="0062654D">
            <w:pPr>
              <w:pStyle w:val="CETBodytext"/>
              <w:rPr>
                <w:rFonts w:ascii="Calibri" w:hAnsi="Calibri" w:cs="Calibri"/>
                <w:b/>
                <w:bCs/>
              </w:rPr>
            </w:pPr>
          </w:p>
        </w:tc>
        <w:tc>
          <w:tcPr>
            <w:tcW w:w="1984" w:type="dxa"/>
            <w:tcBorders>
              <w:top w:val="single" w:sz="12" w:space="0" w:color="008000"/>
              <w:bottom w:val="single" w:sz="6" w:space="0" w:color="008000"/>
            </w:tcBorders>
            <w:shd w:val="clear" w:color="auto" w:fill="FFFFFF"/>
          </w:tcPr>
          <w:p w14:paraId="50006524" w14:textId="6FFBECBB" w:rsidR="00203884" w:rsidRPr="00C365C8" w:rsidRDefault="00203884" w:rsidP="0062654D">
            <w:pPr>
              <w:pStyle w:val="CETBodytext"/>
              <w:rPr>
                <w:b/>
                <w:bCs/>
                <w:lang w:val="en-GB"/>
              </w:rPr>
            </w:pPr>
          </w:p>
        </w:tc>
      </w:tr>
      <w:tr w:rsidR="00203884" w:rsidRPr="00B57B36" w14:paraId="5E435336" w14:textId="77777777" w:rsidTr="00194A38">
        <w:tc>
          <w:tcPr>
            <w:tcW w:w="2154" w:type="dxa"/>
            <w:shd w:val="clear" w:color="auto" w:fill="FFFFFF"/>
          </w:tcPr>
          <w:p w14:paraId="54984457" w14:textId="3E04B6CA" w:rsidR="00203884" w:rsidRPr="00B57B36" w:rsidRDefault="00203884" w:rsidP="0062654D">
            <w:pPr>
              <w:pStyle w:val="CETBodytext"/>
              <w:rPr>
                <w:lang w:val="en-GB"/>
              </w:rPr>
            </w:pPr>
            <w:r>
              <w:rPr>
                <w:lang w:val="en-GB"/>
              </w:rPr>
              <w:t>Char production (kg/h)</w:t>
            </w:r>
          </w:p>
        </w:tc>
        <w:tc>
          <w:tcPr>
            <w:tcW w:w="1984" w:type="dxa"/>
            <w:shd w:val="clear" w:color="auto" w:fill="FFFFFF"/>
          </w:tcPr>
          <w:p w14:paraId="43891AD0" w14:textId="738FC4AA" w:rsidR="00203884" w:rsidRPr="006C584E" w:rsidRDefault="006C584E" w:rsidP="0062654D">
            <w:pPr>
              <w:pStyle w:val="CETBodytext"/>
              <w:rPr>
                <w:lang w:val="en-GB"/>
              </w:rPr>
            </w:pPr>
            <w:r>
              <w:rPr>
                <w:lang w:val="en-GB"/>
              </w:rPr>
              <w:t>10</w:t>
            </w:r>
            <w:r>
              <w:rPr>
                <w:vertAlign w:val="superscript"/>
                <w:lang w:val="en-GB"/>
              </w:rPr>
              <w:t>1</w:t>
            </w:r>
            <w:r>
              <w:rPr>
                <w:lang w:val="en-GB"/>
              </w:rPr>
              <w:t xml:space="preserve"> (kg/h)</w:t>
            </w:r>
          </w:p>
        </w:tc>
        <w:tc>
          <w:tcPr>
            <w:tcW w:w="1984" w:type="dxa"/>
            <w:shd w:val="clear" w:color="auto" w:fill="FFFFFF"/>
          </w:tcPr>
          <w:p w14:paraId="33B0A7B0" w14:textId="2DB90906" w:rsidR="00203884" w:rsidRPr="006308A5" w:rsidRDefault="005C4BA6" w:rsidP="0062654D">
            <w:pPr>
              <w:pStyle w:val="CETBodytext"/>
              <w:rPr>
                <w:lang w:val="en-GB"/>
              </w:rPr>
            </w:pPr>
            <w:r>
              <w:rPr>
                <w:lang w:val="en-GB"/>
              </w:rPr>
              <w:t>1</w:t>
            </w:r>
            <w:r w:rsidR="00B77812">
              <w:rPr>
                <w:lang w:val="en-GB"/>
              </w:rPr>
              <w:t>.0</w:t>
            </w:r>
            <w:r w:rsidR="006308A5">
              <w:rPr>
                <w:lang w:val="en-GB"/>
              </w:rPr>
              <w:t xml:space="preserve"> kg/h</w:t>
            </w:r>
          </w:p>
        </w:tc>
        <w:tc>
          <w:tcPr>
            <w:tcW w:w="1984" w:type="dxa"/>
            <w:shd w:val="clear" w:color="auto" w:fill="FFFFFF"/>
          </w:tcPr>
          <w:p w14:paraId="7082A00F" w14:textId="09E80E0B" w:rsidR="00203884" w:rsidRPr="00B57B36" w:rsidRDefault="00B573A7" w:rsidP="0062654D">
            <w:pPr>
              <w:pStyle w:val="CETBodytext"/>
              <w:rPr>
                <w:lang w:val="en-GB"/>
              </w:rPr>
            </w:pPr>
            <w:r>
              <w:rPr>
                <w:lang w:val="en-GB"/>
              </w:rPr>
              <w:t>-6.14</w:t>
            </w:r>
          </w:p>
        </w:tc>
      </w:tr>
      <w:tr w:rsidR="00203884" w:rsidRPr="00B57B36" w14:paraId="26BB16EE" w14:textId="77777777" w:rsidTr="00194A38">
        <w:tc>
          <w:tcPr>
            <w:tcW w:w="2154" w:type="dxa"/>
            <w:shd w:val="clear" w:color="auto" w:fill="FFFFFF"/>
          </w:tcPr>
          <w:p w14:paraId="4B442DA9" w14:textId="5F6E9880" w:rsidR="00203884" w:rsidRPr="00B57B36" w:rsidRDefault="009D1197" w:rsidP="0062654D">
            <w:pPr>
              <w:pStyle w:val="CETBodytext"/>
              <w:rPr>
                <w:lang w:val="en-GB"/>
              </w:rPr>
            </w:pPr>
            <w:r>
              <w:rPr>
                <w:lang w:val="en-GB"/>
              </w:rPr>
              <w:t>Moisture</w:t>
            </w:r>
            <w:r w:rsidR="00203884">
              <w:rPr>
                <w:lang w:val="en-GB"/>
              </w:rPr>
              <w:t xml:space="preserve"> (vol%)</w:t>
            </w:r>
          </w:p>
        </w:tc>
        <w:tc>
          <w:tcPr>
            <w:tcW w:w="1984" w:type="dxa"/>
            <w:shd w:val="clear" w:color="auto" w:fill="FFFFFF"/>
          </w:tcPr>
          <w:p w14:paraId="2A54E9D5" w14:textId="406DA809" w:rsidR="00203884" w:rsidRPr="00B57B36" w:rsidRDefault="0085109E" w:rsidP="0062654D">
            <w:pPr>
              <w:pStyle w:val="CETBodytext"/>
              <w:rPr>
                <w:lang w:val="en-GB"/>
              </w:rPr>
            </w:pPr>
            <w:r>
              <w:rPr>
                <w:lang w:val="en-GB"/>
              </w:rPr>
              <w:t>10</w:t>
            </w:r>
            <w:r>
              <w:rPr>
                <w:vertAlign w:val="superscript"/>
                <w:lang w:val="en-GB"/>
              </w:rPr>
              <w:t xml:space="preserve">1 </w:t>
            </w:r>
            <w:r>
              <w:rPr>
                <w:lang w:val="en-GB"/>
              </w:rPr>
              <w:t>%</w:t>
            </w:r>
          </w:p>
        </w:tc>
        <w:tc>
          <w:tcPr>
            <w:tcW w:w="1984" w:type="dxa"/>
            <w:shd w:val="clear" w:color="auto" w:fill="FFFFFF"/>
          </w:tcPr>
          <w:p w14:paraId="446D5F3F" w14:textId="4EECD19D" w:rsidR="00203884" w:rsidRPr="00B57B36" w:rsidRDefault="00B77812" w:rsidP="0062654D">
            <w:pPr>
              <w:pStyle w:val="CETBodytext"/>
              <w:rPr>
                <w:lang w:val="en-GB"/>
              </w:rPr>
            </w:pPr>
            <w:r>
              <w:rPr>
                <w:lang w:val="en-GB"/>
              </w:rPr>
              <w:t>1.0</w:t>
            </w:r>
            <w:r w:rsidR="00CC7831">
              <w:rPr>
                <w:vertAlign w:val="superscript"/>
                <w:lang w:val="en-GB"/>
              </w:rPr>
              <w:t xml:space="preserve"> </w:t>
            </w:r>
            <w:r w:rsidR="004138EF">
              <w:rPr>
                <w:lang w:val="en-GB"/>
              </w:rPr>
              <w:t>%</w:t>
            </w:r>
          </w:p>
        </w:tc>
        <w:tc>
          <w:tcPr>
            <w:tcW w:w="1984" w:type="dxa"/>
            <w:shd w:val="clear" w:color="auto" w:fill="FFFFFF"/>
          </w:tcPr>
          <w:p w14:paraId="11989C91" w14:textId="4B9A1067" w:rsidR="00203884" w:rsidRPr="00B57B36" w:rsidRDefault="005273E1" w:rsidP="0062654D">
            <w:pPr>
              <w:pStyle w:val="CETBodytext"/>
              <w:rPr>
                <w:lang w:val="en-GB"/>
              </w:rPr>
            </w:pPr>
            <w:r>
              <w:rPr>
                <w:lang w:val="en-GB"/>
              </w:rPr>
              <w:t>-</w:t>
            </w:r>
            <w:r w:rsidR="005A7D32">
              <w:rPr>
                <w:lang w:val="en-GB"/>
              </w:rPr>
              <w:t>8.45</w:t>
            </w:r>
          </w:p>
        </w:tc>
      </w:tr>
      <w:tr w:rsidR="00203884" w:rsidRPr="00B57B36" w14:paraId="00A965EB" w14:textId="77777777" w:rsidTr="00194A38">
        <w:tc>
          <w:tcPr>
            <w:tcW w:w="2154" w:type="dxa"/>
            <w:shd w:val="clear" w:color="auto" w:fill="FFFFFF"/>
          </w:tcPr>
          <w:p w14:paraId="1896BDCC" w14:textId="15520ADC" w:rsidR="00203884" w:rsidRPr="00B57B36" w:rsidRDefault="00203884" w:rsidP="0062654D">
            <w:pPr>
              <w:pStyle w:val="CETBodytext"/>
              <w:rPr>
                <w:lang w:val="en-GB"/>
              </w:rPr>
            </w:pPr>
            <w:r>
              <w:rPr>
                <w:lang w:val="en-GB"/>
              </w:rPr>
              <w:t>C</w:t>
            </w:r>
            <w:r w:rsidRPr="005273E1">
              <w:rPr>
                <w:vertAlign w:val="subscript"/>
                <w:lang w:val="en-GB"/>
              </w:rPr>
              <w:t>1</w:t>
            </w:r>
            <w:r w:rsidR="00000CD8">
              <w:rPr>
                <w:vertAlign w:val="subscript"/>
                <w:lang w:val="en-GB"/>
              </w:rPr>
              <w:t>-</w:t>
            </w:r>
            <w:r w:rsidR="00212FD6">
              <w:rPr>
                <w:vertAlign w:val="subscript"/>
                <w:lang w:val="en-GB"/>
              </w:rPr>
              <w:t>3</w:t>
            </w:r>
            <w:r>
              <w:rPr>
                <w:lang w:val="en-GB"/>
              </w:rPr>
              <w:t xml:space="preserve"> (vol%)</w:t>
            </w:r>
          </w:p>
        </w:tc>
        <w:tc>
          <w:tcPr>
            <w:tcW w:w="1984" w:type="dxa"/>
            <w:shd w:val="clear" w:color="auto" w:fill="FFFFFF"/>
          </w:tcPr>
          <w:p w14:paraId="503ECF65" w14:textId="205305CF" w:rsidR="00203884" w:rsidRPr="00B57B36" w:rsidRDefault="0085109E" w:rsidP="0062654D">
            <w:pPr>
              <w:pStyle w:val="CETBodytext"/>
              <w:rPr>
                <w:lang w:val="en-GB"/>
              </w:rPr>
            </w:pPr>
            <w:r>
              <w:rPr>
                <w:lang w:val="en-GB"/>
              </w:rPr>
              <w:t>10</w:t>
            </w:r>
            <w:r>
              <w:rPr>
                <w:vertAlign w:val="superscript"/>
                <w:lang w:val="en-GB"/>
              </w:rPr>
              <w:t xml:space="preserve">1 </w:t>
            </w:r>
            <w:r>
              <w:rPr>
                <w:lang w:val="en-GB"/>
              </w:rPr>
              <w:t>%</w:t>
            </w:r>
          </w:p>
        </w:tc>
        <w:tc>
          <w:tcPr>
            <w:tcW w:w="1984" w:type="dxa"/>
            <w:shd w:val="clear" w:color="auto" w:fill="FFFFFF"/>
          </w:tcPr>
          <w:p w14:paraId="50775FA4" w14:textId="3D740631" w:rsidR="00203884" w:rsidRPr="00B57B36" w:rsidRDefault="004B1440" w:rsidP="0062654D">
            <w:pPr>
              <w:pStyle w:val="CETBodytext"/>
              <w:rPr>
                <w:lang w:val="en-GB"/>
              </w:rPr>
            </w:pPr>
            <w:r>
              <w:rPr>
                <w:lang w:val="en-GB"/>
              </w:rPr>
              <w:t>1.</w:t>
            </w:r>
            <w:r w:rsidR="00915488">
              <w:rPr>
                <w:lang w:val="en-GB"/>
              </w:rPr>
              <w:t>0</w:t>
            </w:r>
            <w:r w:rsidR="00CC7831">
              <w:rPr>
                <w:lang w:val="en-GB"/>
              </w:rPr>
              <w:t xml:space="preserve"> </w:t>
            </w:r>
            <w:r w:rsidR="004138EF">
              <w:rPr>
                <w:lang w:val="en-GB"/>
              </w:rPr>
              <w:t>%</w:t>
            </w:r>
          </w:p>
        </w:tc>
        <w:tc>
          <w:tcPr>
            <w:tcW w:w="1984" w:type="dxa"/>
            <w:shd w:val="clear" w:color="auto" w:fill="FFFFFF"/>
          </w:tcPr>
          <w:p w14:paraId="69FBEC69" w14:textId="1AC9B581" w:rsidR="00203884" w:rsidRPr="00B57B36" w:rsidRDefault="005E328A" w:rsidP="0062654D">
            <w:pPr>
              <w:pStyle w:val="CETBodytext"/>
              <w:rPr>
                <w:lang w:val="en-GB"/>
              </w:rPr>
            </w:pPr>
            <w:r>
              <w:rPr>
                <w:lang w:val="en-GB"/>
              </w:rPr>
              <w:t>-9.00</w:t>
            </w:r>
          </w:p>
        </w:tc>
      </w:tr>
    </w:tbl>
    <w:p w14:paraId="7F9237F9" w14:textId="7BBA8B34" w:rsidR="000E5159" w:rsidRDefault="00CD4B5B" w:rsidP="00AF0248">
      <w:pPr>
        <w:pStyle w:val="CETBodytext"/>
        <w:rPr>
          <w:sz w:val="16"/>
          <w:szCs w:val="18"/>
        </w:rPr>
      </w:pPr>
      <w:r w:rsidRPr="003F2A88">
        <w:rPr>
          <w:sz w:val="16"/>
          <w:szCs w:val="18"/>
        </w:rPr>
        <w:t>NA – Not Available</w:t>
      </w:r>
    </w:p>
    <w:p w14:paraId="39785D3F" w14:textId="77777777" w:rsidR="00B014E3" w:rsidRPr="003F2A88" w:rsidRDefault="00B014E3" w:rsidP="00AF0248">
      <w:pPr>
        <w:pStyle w:val="CETBodytext"/>
        <w:rPr>
          <w:sz w:val="16"/>
          <w:szCs w:val="18"/>
        </w:rPr>
      </w:pPr>
    </w:p>
    <w:p w14:paraId="3EDAF860" w14:textId="5A98633E" w:rsidR="00422F2B" w:rsidRDefault="00CB342C" w:rsidP="00422F2B">
      <w:pPr>
        <w:pStyle w:val="CETheadingx"/>
      </w:pPr>
      <w:r>
        <w:t>Key Performance Indicators (KPIs) of the model and comparison with literature evidence</w:t>
      </w:r>
    </w:p>
    <w:p w14:paraId="71C8C92F" w14:textId="34C40BF1" w:rsidR="00422F2B" w:rsidRDefault="00FF6CDE" w:rsidP="00AF0248">
      <w:pPr>
        <w:pStyle w:val="CETBodytext"/>
      </w:pPr>
      <w:r>
        <w:t xml:space="preserve">Our analysis includes additional KPIs which are relevant to </w:t>
      </w:r>
      <w:r w:rsidR="00FD296E">
        <w:t>qualify accuracy and predictivity</w:t>
      </w:r>
      <w:r w:rsidR="005E0C5E">
        <w:t xml:space="preserve"> of the model</w:t>
      </w:r>
      <w:r w:rsidR="00FD296E">
        <w:t xml:space="preserve">. </w:t>
      </w:r>
      <w:r w:rsidR="00337CE0">
        <w:t xml:space="preserve">The </w:t>
      </w:r>
      <w:r w:rsidR="00684935">
        <w:t>pyrolysis-specific</w:t>
      </w:r>
      <w:r w:rsidR="00B809AF">
        <w:t xml:space="preserve"> energy</w:t>
      </w:r>
      <w:r w:rsidR="00CF6E05">
        <w:t xml:space="preserve"> (</w:t>
      </w:r>
      <w:proofErr w:type="spellStart"/>
      <w:r w:rsidR="00CF6E05">
        <w:t>PySE</w:t>
      </w:r>
      <w:proofErr w:type="spellEnd"/>
      <w:r w:rsidR="00CF6E05">
        <w:t>)</w:t>
      </w:r>
      <w:r w:rsidR="005E0C5E">
        <w:t xml:space="preserve">, </w:t>
      </w:r>
      <w:r w:rsidR="00B809AF">
        <w:t>syngas lower- (LHV)</w:t>
      </w:r>
      <w:r w:rsidR="005E0C5E">
        <w:t>,</w:t>
      </w:r>
      <w:r w:rsidR="00B809AF">
        <w:t xml:space="preserve"> and high-heating </w:t>
      </w:r>
      <w:r w:rsidR="005E0C5E">
        <w:t xml:space="preserve">values </w:t>
      </w:r>
      <w:r w:rsidR="00B809AF">
        <w:t xml:space="preserve">(HHV) are considered. </w:t>
      </w:r>
      <w:proofErr w:type="spellStart"/>
      <w:r w:rsidR="00AE26FC">
        <w:t>PySE</w:t>
      </w:r>
      <w:proofErr w:type="spellEnd"/>
      <w:r w:rsidR="00684935">
        <w:t xml:space="preserve"> </w:t>
      </w:r>
      <w:r w:rsidR="007C723C">
        <w:t>refer</w:t>
      </w:r>
      <w:r w:rsidR="00472263">
        <w:t>s</w:t>
      </w:r>
      <w:r w:rsidR="00684935">
        <w:t xml:space="preserve"> </w:t>
      </w:r>
      <w:r w:rsidR="00BD0D94">
        <w:t xml:space="preserve">to </w:t>
      </w:r>
      <w:r w:rsidR="00684935">
        <w:t>the total energy demand per unit dry biomass</w:t>
      </w:r>
      <w:r w:rsidR="00086D0F">
        <w:t xml:space="preserve">. Dry biomass is preferred because the moisture in the solid is variable and the latent heat of vaporization </w:t>
      </w:r>
      <w:r w:rsidR="008E6BD8">
        <w:t>affect</w:t>
      </w:r>
      <w:r w:rsidR="00086D0F">
        <w:t xml:space="preserve">s the </w:t>
      </w:r>
      <w:r w:rsidR="008E6BD8">
        <w:t>energy demand, i.e., the process energy balance</w:t>
      </w:r>
      <w:r w:rsidR="00AE26FC">
        <w:t>:</w:t>
      </w:r>
    </w:p>
    <w:tbl>
      <w:tblPr>
        <w:tblW w:w="5000" w:type="pct"/>
        <w:tblLook w:val="04A0" w:firstRow="1" w:lastRow="0" w:firstColumn="1" w:lastColumn="0" w:noHBand="0" w:noVBand="1"/>
      </w:tblPr>
      <w:tblGrid>
        <w:gridCol w:w="8017"/>
        <w:gridCol w:w="770"/>
      </w:tblGrid>
      <w:tr w:rsidR="007C723C" w:rsidRPr="00B57B36" w14:paraId="16C3708D" w14:textId="77777777" w:rsidTr="0062654D">
        <w:tc>
          <w:tcPr>
            <w:tcW w:w="8017" w:type="dxa"/>
            <w:shd w:val="clear" w:color="auto" w:fill="auto"/>
            <w:vAlign w:val="center"/>
          </w:tcPr>
          <w:p w14:paraId="5E0ACC0A" w14:textId="7E7C4C8F" w:rsidR="007C723C" w:rsidRPr="00F651BC" w:rsidRDefault="007C723C" w:rsidP="0062654D">
            <w:pPr>
              <w:pStyle w:val="CETEquation"/>
              <w:rPr>
                <w:rFonts w:ascii="Cambria Math" w:hAnsi="Cambria Math"/>
                <w:oMath/>
              </w:rPr>
            </w:pPr>
            <m:oMathPara>
              <m:oMathParaPr>
                <m:jc m:val="left"/>
              </m:oMathParaPr>
              <m:oMath>
                <m:r>
                  <m:rPr>
                    <m:sty m:val="p"/>
                  </m:rPr>
                  <w:rPr>
                    <w:rFonts w:ascii="Cambria Math" w:hAnsi="Cambria Math"/>
                  </w:rPr>
                  <w:lastRenderedPageBreak/>
                  <m:t xml:space="preserve"> PySE </m:t>
                </m:r>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MJ</m:t>
                        </m:r>
                      </m:num>
                      <m:den>
                        <m:r>
                          <m:rPr>
                            <m:sty m:val="p"/>
                          </m:rPr>
                          <w:rPr>
                            <w:rFonts w:ascii="Cambria Math" w:hAnsi="Cambria Math"/>
                          </w:rPr>
                          <m:t>kg</m:t>
                        </m:r>
                      </m:den>
                    </m:f>
                  </m:e>
                </m:d>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pyrolysis</m:t>
                        </m:r>
                      </m:sub>
                    </m:sSub>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dry biomass</m:t>
                        </m:r>
                      </m:sub>
                    </m:sSub>
                  </m:den>
                </m:f>
                <m:r>
                  <m:rPr>
                    <m:sty m:val="p"/>
                  </m:rPr>
                  <w:rPr>
                    <w:rFonts w:ascii="Cambria Math" w:hAnsi="Cambria Math"/>
                  </w:rPr>
                  <m:t xml:space="preserve"> </m:t>
                </m:r>
              </m:oMath>
            </m:oMathPara>
          </w:p>
        </w:tc>
        <w:tc>
          <w:tcPr>
            <w:tcW w:w="770" w:type="dxa"/>
            <w:shd w:val="clear" w:color="auto" w:fill="auto"/>
            <w:vAlign w:val="center"/>
          </w:tcPr>
          <w:p w14:paraId="5F428A60" w14:textId="35267789" w:rsidR="007C723C" w:rsidRPr="00B57B36" w:rsidRDefault="007C723C" w:rsidP="0062654D">
            <w:pPr>
              <w:pStyle w:val="CETEquation"/>
              <w:spacing w:before="0" w:after="0"/>
              <w:jc w:val="right"/>
            </w:pPr>
            <w:r w:rsidRPr="00B57B36">
              <w:t>(</w:t>
            </w:r>
            <w:r>
              <w:t>6</w:t>
            </w:r>
            <w:r w:rsidRPr="00B57B36">
              <w:t>)</w:t>
            </w:r>
          </w:p>
        </w:tc>
      </w:tr>
    </w:tbl>
    <w:p w14:paraId="26FD2AA7" w14:textId="53F38B91" w:rsidR="007C723C" w:rsidRPr="00AF0248" w:rsidRDefault="00384343" w:rsidP="00AF0248">
      <w:pPr>
        <w:pStyle w:val="CETBodytext"/>
      </w:pPr>
      <w:r>
        <w:t xml:space="preserve">The </w:t>
      </w:r>
      <w:proofErr w:type="spellStart"/>
      <w:r>
        <w:t>PySE</w:t>
      </w:r>
      <w:proofErr w:type="spellEnd"/>
      <w:r>
        <w:t xml:space="preserve"> is 1.78 MJ/kg </w:t>
      </w:r>
      <w:r w:rsidR="0092413A">
        <w:t>and</w:t>
      </w:r>
      <w:r>
        <w:t xml:space="preserve"> consistent with literature evidence </w:t>
      </w:r>
      <w:r w:rsidR="0041605D">
        <w:t>(</w:t>
      </w:r>
      <w:r w:rsidR="0041605D" w:rsidRPr="0041605D">
        <w:t>Daugaard and Brown</w:t>
      </w:r>
      <w:r w:rsidR="0041605D">
        <w:t>, 2003)</w:t>
      </w:r>
      <w:r>
        <w:t>.</w:t>
      </w:r>
      <w:r w:rsidR="0041605D">
        <w:t xml:space="preserve"> </w:t>
      </w:r>
      <w:r w:rsidR="00DA649A">
        <w:t xml:space="preserve">The LLH and HHV </w:t>
      </w:r>
      <w:r w:rsidR="00A7097B">
        <w:t>of the</w:t>
      </w:r>
      <w:r w:rsidR="00DA649A">
        <w:t xml:space="preserve"> </w:t>
      </w:r>
      <w:r w:rsidR="00B906C9">
        <w:t xml:space="preserve">resulting syngas </w:t>
      </w:r>
      <w:r w:rsidR="00F31484">
        <w:t>are 13.5 and 13.7 MJ/Nm</w:t>
      </w:r>
      <w:r w:rsidR="00F31484" w:rsidRPr="007B2257">
        <w:rPr>
          <w:vertAlign w:val="superscript"/>
        </w:rPr>
        <w:t>3</w:t>
      </w:r>
      <w:r w:rsidR="00B918E8">
        <w:t xml:space="preserve"> </w:t>
      </w:r>
      <w:r w:rsidR="00182F17">
        <w:t>and</w:t>
      </w:r>
      <w:r w:rsidR="00F31484">
        <w:t xml:space="preserve"> </w:t>
      </w:r>
      <w:r w:rsidR="00BB06AA">
        <w:t>fit</w:t>
      </w:r>
      <w:r w:rsidR="00F31484">
        <w:t xml:space="preserve"> the reference range suggested in the literature, i.e., </w:t>
      </w:r>
      <w:r w:rsidR="00BB06AA">
        <w:t>1</w:t>
      </w:r>
      <w:r w:rsidR="00BD7D75">
        <w:t>0</w:t>
      </w:r>
      <w:r w:rsidR="00BB06AA">
        <w:t>-15 MJ/Nm</w:t>
      </w:r>
      <w:r w:rsidR="00BB06AA" w:rsidRPr="00BB06AA">
        <w:rPr>
          <w:vertAlign w:val="subscript"/>
        </w:rPr>
        <w:t>3</w:t>
      </w:r>
      <w:r w:rsidR="00BB06AA">
        <w:t xml:space="preserve"> in</w:t>
      </w:r>
      <w:r w:rsidR="00FF2093">
        <w:t xml:space="preserve"> </w:t>
      </w:r>
      <w:r w:rsidR="00BB06AA">
        <w:t xml:space="preserve">Larson et al. (2021) </w:t>
      </w:r>
      <w:r w:rsidR="00FF2093">
        <w:t>for steam gasification of biomass</w:t>
      </w:r>
      <w:r w:rsidR="00503CAE">
        <w:t xml:space="preserve"> in industrial applications</w:t>
      </w:r>
      <w:r w:rsidR="00FF2093">
        <w:t>.</w:t>
      </w:r>
      <w:r w:rsidR="004A45C1">
        <w:t xml:space="preserve"> The system burns 35% of the </w:t>
      </w:r>
      <w:r w:rsidR="008D4C15">
        <w:t>syngas produced</w:t>
      </w:r>
      <w:r w:rsidR="006E0A9B">
        <w:t xml:space="preserve"> to keep auto-thermal operations</w:t>
      </w:r>
      <w:r w:rsidR="00B906C9">
        <w:t>,</w:t>
      </w:r>
      <w:r w:rsidR="008D4C15">
        <w:t xml:space="preserve"> </w:t>
      </w:r>
      <w:r w:rsidR="004A45C1">
        <w:t xml:space="preserve">in line with </w:t>
      </w:r>
      <w:r w:rsidR="009449D2">
        <w:t>tests at the pilot.</w:t>
      </w:r>
      <w:r w:rsidR="00F31484">
        <w:t xml:space="preserve"> </w:t>
      </w:r>
      <w:r w:rsidR="0092413A">
        <w:t xml:space="preserve"> </w:t>
      </w:r>
      <w:r w:rsidR="00DA649A">
        <w:t xml:space="preserve"> </w:t>
      </w:r>
      <w:r>
        <w:t xml:space="preserve"> </w:t>
      </w:r>
    </w:p>
    <w:p w14:paraId="68D26B83" w14:textId="77777777" w:rsidR="00600535" w:rsidRPr="00B57B36" w:rsidRDefault="00600535" w:rsidP="00600535">
      <w:pPr>
        <w:pStyle w:val="CETHeading1"/>
        <w:rPr>
          <w:lang w:val="en-GB"/>
        </w:rPr>
      </w:pPr>
      <w:r w:rsidRPr="00B57B36">
        <w:rPr>
          <w:lang w:val="en-GB"/>
        </w:rPr>
        <w:t>Conclusions</w:t>
      </w:r>
    </w:p>
    <w:p w14:paraId="52DAFDE0" w14:textId="466016F6" w:rsidR="001D0CFB" w:rsidRDefault="004706DA" w:rsidP="00600535">
      <w:pPr>
        <w:pStyle w:val="CETBodytext"/>
        <w:rPr>
          <w:lang w:val="en-GB"/>
        </w:rPr>
      </w:pPr>
      <w:r>
        <w:rPr>
          <w:lang w:val="en-GB"/>
        </w:rPr>
        <w:t xml:space="preserve">The present work showed an alternative to </w:t>
      </w:r>
      <w:r w:rsidR="004255AE">
        <w:rPr>
          <w:lang w:val="en-GB"/>
        </w:rPr>
        <w:t xml:space="preserve">the current approach to </w:t>
      </w:r>
      <w:r w:rsidR="009027C0">
        <w:rPr>
          <w:lang w:val="en-GB"/>
        </w:rPr>
        <w:t xml:space="preserve">the modelling of </w:t>
      </w:r>
      <w:r w:rsidR="004255AE">
        <w:rPr>
          <w:lang w:val="en-GB"/>
        </w:rPr>
        <w:t xml:space="preserve">pyrolysis and gasification of biomass in commercial process simulators. The semi-rigorous model has been implemented in COFE V3.7 using kinetic models whenever possible, </w:t>
      </w:r>
      <w:r w:rsidR="00DA1E67">
        <w:rPr>
          <w:lang w:val="en-GB"/>
        </w:rPr>
        <w:t>except</w:t>
      </w:r>
      <w:r w:rsidR="004255AE">
        <w:rPr>
          <w:lang w:val="en-GB"/>
        </w:rPr>
        <w:t xml:space="preserve"> for tar gasification</w:t>
      </w:r>
      <w:r w:rsidR="00C1563E">
        <w:rPr>
          <w:lang w:val="en-GB"/>
        </w:rPr>
        <w:t>,</w:t>
      </w:r>
      <w:r w:rsidR="004255AE">
        <w:rPr>
          <w:lang w:val="en-GB"/>
        </w:rPr>
        <w:t xml:space="preserve"> </w:t>
      </w:r>
      <w:r w:rsidR="00DA1E67">
        <w:rPr>
          <w:lang w:val="en-GB"/>
        </w:rPr>
        <w:t xml:space="preserve">which has been </w:t>
      </w:r>
      <w:r w:rsidR="00E82FCD">
        <w:rPr>
          <w:lang w:val="en-GB"/>
        </w:rPr>
        <w:t>simulated by</w:t>
      </w:r>
      <w:r w:rsidR="00DA1E67">
        <w:rPr>
          <w:lang w:val="en-GB"/>
        </w:rPr>
        <w:t xml:space="preserve"> considering equilibrium conditions due to the temperature in the chamber (750</w:t>
      </w:r>
      <w:r w:rsidR="00DA1E67">
        <w:rPr>
          <w:rFonts w:cs="Arial"/>
          <w:lang w:val="en-GB"/>
        </w:rPr>
        <w:t>°</w:t>
      </w:r>
      <w:r w:rsidR="00DA1E67">
        <w:rPr>
          <w:lang w:val="en-GB"/>
        </w:rPr>
        <w:t>C).</w:t>
      </w:r>
      <w:r w:rsidR="009E732A">
        <w:rPr>
          <w:lang w:val="en-GB"/>
        </w:rPr>
        <w:t xml:space="preserve"> The proposed model has been compared with pilot facility observations</w:t>
      </w:r>
      <w:r w:rsidR="00E82FCD">
        <w:rPr>
          <w:lang w:val="en-GB"/>
        </w:rPr>
        <w:t>,</w:t>
      </w:r>
      <w:r w:rsidR="009E732A">
        <w:rPr>
          <w:lang w:val="en-GB"/>
        </w:rPr>
        <w:t xml:space="preserve"> and </w:t>
      </w:r>
      <w:r w:rsidR="008D4C15">
        <w:rPr>
          <w:lang w:val="en-GB"/>
        </w:rPr>
        <w:t>the outcomes</w:t>
      </w:r>
      <w:r w:rsidR="009E732A">
        <w:rPr>
          <w:lang w:val="en-GB"/>
        </w:rPr>
        <w:t xml:space="preserve"> for the </w:t>
      </w:r>
      <w:r w:rsidR="006F3D69">
        <w:rPr>
          <w:lang w:val="en-GB"/>
        </w:rPr>
        <w:t>dry syngas composition, moisture, and char production are well</w:t>
      </w:r>
      <w:r w:rsidR="00E82FCD">
        <w:rPr>
          <w:lang w:val="en-GB"/>
        </w:rPr>
        <w:t xml:space="preserve"> </w:t>
      </w:r>
      <w:r w:rsidR="006F3D69">
        <w:rPr>
          <w:lang w:val="en-GB"/>
        </w:rPr>
        <w:t xml:space="preserve">aligned with </w:t>
      </w:r>
      <w:r w:rsidR="008D4C15">
        <w:rPr>
          <w:lang w:val="en-GB"/>
        </w:rPr>
        <w:t xml:space="preserve">the </w:t>
      </w:r>
      <w:r w:rsidR="00970932">
        <w:rPr>
          <w:lang w:val="en-GB"/>
        </w:rPr>
        <w:t>data</w:t>
      </w:r>
      <w:r w:rsidR="006F3D69">
        <w:rPr>
          <w:lang w:val="en-GB"/>
        </w:rPr>
        <w:t>. Similarly, an additional analysis highlighted that the main KPIs, i.e., energy demand for pyrolysis</w:t>
      </w:r>
      <w:r w:rsidR="00AF240F">
        <w:rPr>
          <w:lang w:val="en-GB"/>
        </w:rPr>
        <w:t xml:space="preserve"> and the LLH and HHV of the produced syngas</w:t>
      </w:r>
      <w:r w:rsidR="00E82FCD">
        <w:rPr>
          <w:lang w:val="en-GB"/>
        </w:rPr>
        <w:t>,</w:t>
      </w:r>
      <w:r w:rsidR="00AF240F">
        <w:rPr>
          <w:lang w:val="en-GB"/>
        </w:rPr>
        <w:t xml:space="preserve"> are consistent with experimental evidence and </w:t>
      </w:r>
      <w:r w:rsidR="002D31F3">
        <w:rPr>
          <w:lang w:val="en-GB"/>
        </w:rPr>
        <w:t>industrial reference values, confirming the validity of the new approach.</w:t>
      </w:r>
    </w:p>
    <w:p w14:paraId="459D05E6" w14:textId="32AA8556" w:rsidR="00600535" w:rsidRPr="00B57B36" w:rsidRDefault="00AE01DA" w:rsidP="00600535">
      <w:pPr>
        <w:pStyle w:val="CETAcknowledgementstitle"/>
      </w:pPr>
      <w:r>
        <w:t>Acknowledgements</w:t>
      </w:r>
    </w:p>
    <w:p w14:paraId="4A327B19" w14:textId="308B1B19" w:rsidR="00AE01DA" w:rsidRDefault="00AE01DA" w:rsidP="001E4E7A">
      <w:pPr>
        <w:pStyle w:val="CETReference"/>
        <w:jc w:val="both"/>
        <w:rPr>
          <w:b w:val="0"/>
        </w:rPr>
      </w:pPr>
      <w:r w:rsidRPr="00AE01DA">
        <w:rPr>
          <w:b w:val="0"/>
        </w:rPr>
        <w:t>The present work received</w:t>
      </w:r>
      <w:r w:rsidR="006574D4">
        <w:rPr>
          <w:b w:val="0"/>
        </w:rPr>
        <w:t xml:space="preserve"> financial </w:t>
      </w:r>
      <w:r w:rsidRPr="00AE01DA">
        <w:rPr>
          <w:b w:val="0"/>
        </w:rPr>
        <w:t xml:space="preserve">support from the EU Horizon Program </w:t>
      </w:r>
      <w:r w:rsidR="00C015D3">
        <w:rPr>
          <w:b w:val="0"/>
        </w:rPr>
        <w:t>through</w:t>
      </w:r>
      <w:r w:rsidRPr="00AE01DA">
        <w:rPr>
          <w:b w:val="0"/>
        </w:rPr>
        <w:t xml:space="preserve"> </w:t>
      </w:r>
      <w:r w:rsidR="00CB149B">
        <w:rPr>
          <w:b w:val="0"/>
        </w:rPr>
        <w:t xml:space="preserve">the </w:t>
      </w:r>
      <w:r w:rsidRPr="00AE01DA">
        <w:rPr>
          <w:b w:val="0"/>
        </w:rPr>
        <w:t>project SEMPRE-BIO (GA 101084297)</w:t>
      </w:r>
      <w:r w:rsidR="003D69BA">
        <w:rPr>
          <w:b w:val="0"/>
        </w:rPr>
        <w:t>. Filippo Bisotti, Matteo Gilardi, and Bernd Wittgens</w:t>
      </w:r>
      <w:r w:rsidR="001E4E7A">
        <w:rPr>
          <w:b w:val="0"/>
        </w:rPr>
        <w:t xml:space="preserve"> (SINTEF)</w:t>
      </w:r>
      <w:r w:rsidR="003D69BA">
        <w:rPr>
          <w:b w:val="0"/>
        </w:rPr>
        <w:t xml:space="preserve"> are also grateful to </w:t>
      </w:r>
      <w:r w:rsidR="006574D4">
        <w:rPr>
          <w:b w:val="0"/>
        </w:rPr>
        <w:t xml:space="preserve">the </w:t>
      </w:r>
      <w:r w:rsidR="00F542AF">
        <w:rPr>
          <w:b w:val="0"/>
        </w:rPr>
        <w:t xml:space="preserve">Bio4Fuels project </w:t>
      </w:r>
      <w:r w:rsidR="001E4E7A">
        <w:rPr>
          <w:b w:val="0"/>
        </w:rPr>
        <w:t xml:space="preserve">(GA </w:t>
      </w:r>
      <w:r w:rsidR="001E4E7A" w:rsidRPr="001E4E7A">
        <w:rPr>
          <w:b w:val="0"/>
        </w:rPr>
        <w:t>257622</w:t>
      </w:r>
      <w:r w:rsidR="001E4E7A">
        <w:rPr>
          <w:b w:val="0"/>
        </w:rPr>
        <w:t>)</w:t>
      </w:r>
      <w:r w:rsidR="00F542AF">
        <w:rPr>
          <w:b w:val="0"/>
        </w:rPr>
        <w:t>, part of the FME program funded by the Research Council of Norway</w:t>
      </w:r>
      <w:r w:rsidR="00C60F88">
        <w:rPr>
          <w:b w:val="0"/>
        </w:rPr>
        <w:t>,</w:t>
      </w:r>
      <w:r w:rsidR="009373BA">
        <w:rPr>
          <w:b w:val="0"/>
        </w:rPr>
        <w:t xml:space="preserve"> and HYIELD (GA</w:t>
      </w:r>
      <w:r w:rsidR="005E7B64">
        <w:rPr>
          <w:b w:val="0"/>
        </w:rPr>
        <w:t xml:space="preserve"> </w:t>
      </w:r>
      <w:r w:rsidR="005E7B64" w:rsidRPr="005E7B64">
        <w:rPr>
          <w:b w:val="0"/>
        </w:rPr>
        <w:t>101137792</w:t>
      </w:r>
      <w:r w:rsidR="005E7B64">
        <w:rPr>
          <w:b w:val="0"/>
        </w:rPr>
        <w:t xml:space="preserve">), </w:t>
      </w:r>
      <w:r w:rsidR="00C60F88">
        <w:rPr>
          <w:b w:val="0"/>
        </w:rPr>
        <w:t>funded by the Horizon Europe program.</w:t>
      </w:r>
    </w:p>
    <w:p w14:paraId="4F1327F8" w14:textId="0C699980" w:rsidR="00600535" w:rsidRPr="00B57B36" w:rsidRDefault="00600535" w:rsidP="00600535">
      <w:pPr>
        <w:pStyle w:val="CETReference"/>
      </w:pPr>
      <w:r w:rsidRPr="00B57B36">
        <w:t>References</w:t>
      </w:r>
    </w:p>
    <w:p w14:paraId="59A1F591" w14:textId="5B132802" w:rsidR="00D77057" w:rsidRPr="009E732A" w:rsidRDefault="00D77057" w:rsidP="00D77057">
      <w:pPr>
        <w:pStyle w:val="CETReferencetext"/>
        <w:rPr>
          <w:rFonts w:cs="Arial"/>
          <w:szCs w:val="18"/>
        </w:rPr>
      </w:pPr>
      <w:r w:rsidRPr="009E732A">
        <w:rPr>
          <w:rFonts w:cs="Arial"/>
          <w:szCs w:val="18"/>
        </w:rPr>
        <w:t>P. Basu, 2010, Gasification Theory and Mode</w:t>
      </w:r>
      <w:r w:rsidR="002C1B8D">
        <w:rPr>
          <w:rFonts w:cs="Arial"/>
          <w:szCs w:val="18"/>
        </w:rPr>
        <w:t>l</w:t>
      </w:r>
      <w:r w:rsidRPr="009E732A">
        <w:rPr>
          <w:rFonts w:cs="Arial"/>
          <w:szCs w:val="18"/>
        </w:rPr>
        <w:t>ling of Gasifiers, in: P. Basu (Ed.), Biomass Gasification and Pyrolysis, Academic Press, Boston, 2010, 117–165.</w:t>
      </w:r>
    </w:p>
    <w:p w14:paraId="3AA57F06" w14:textId="16F89FB2" w:rsidR="00F40CC3" w:rsidRPr="009E732A" w:rsidRDefault="00F40CC3" w:rsidP="008C2B42">
      <w:pPr>
        <w:pStyle w:val="CETReferencetext"/>
        <w:rPr>
          <w:rFonts w:cs="Arial"/>
          <w:szCs w:val="18"/>
        </w:rPr>
      </w:pPr>
      <w:r w:rsidRPr="009E732A">
        <w:rPr>
          <w:rFonts w:cs="Arial"/>
          <w:szCs w:val="18"/>
        </w:rPr>
        <w:t>Chaurasia A., 2016, Mode</w:t>
      </w:r>
      <w:r w:rsidR="002C1B8D">
        <w:rPr>
          <w:rFonts w:cs="Arial"/>
          <w:szCs w:val="18"/>
        </w:rPr>
        <w:t>l</w:t>
      </w:r>
      <w:r w:rsidRPr="009E732A">
        <w:rPr>
          <w:rFonts w:cs="Arial"/>
          <w:szCs w:val="18"/>
        </w:rPr>
        <w:t>ling, simulation and optimization of downdraft gasifier: Studies on chemical kinetics and operating conditions on the performance of the biomass gasification process, Energy, 116, 1065–1076</w:t>
      </w:r>
    </w:p>
    <w:p w14:paraId="781FCEAF" w14:textId="08F2C559" w:rsidR="00F40CC3" w:rsidRPr="009E732A" w:rsidRDefault="008C2B42" w:rsidP="00F40CC3">
      <w:pPr>
        <w:pStyle w:val="CETReferencetext"/>
        <w:rPr>
          <w:rFonts w:cs="Arial"/>
          <w:szCs w:val="18"/>
        </w:rPr>
      </w:pPr>
      <w:r w:rsidRPr="009E732A">
        <w:rPr>
          <w:rFonts w:cs="Arial"/>
          <w:szCs w:val="18"/>
        </w:rPr>
        <w:t>Chen T., Ku X., Li T., Karlsson B.S.A., Sjöblom J., Ström H., 2021, High-temperature pyrolysis model</w:t>
      </w:r>
      <w:r w:rsidR="002C1B8D">
        <w:rPr>
          <w:rFonts w:cs="Arial"/>
          <w:szCs w:val="18"/>
        </w:rPr>
        <w:t>l</w:t>
      </w:r>
      <w:r w:rsidRPr="009E732A">
        <w:rPr>
          <w:rFonts w:cs="Arial"/>
          <w:szCs w:val="18"/>
        </w:rPr>
        <w:t>ing of a thermally thick biomass particle based on an MD-derived tar cracking model, Chemical Engineering Journal, 417, 127923</w:t>
      </w:r>
    </w:p>
    <w:p w14:paraId="5A6EEBE4" w14:textId="158C44A2" w:rsidR="007D64F5" w:rsidRPr="009E732A" w:rsidRDefault="00392AB7" w:rsidP="00070943">
      <w:pPr>
        <w:pStyle w:val="CETReferencetext"/>
        <w:rPr>
          <w:szCs w:val="18"/>
        </w:rPr>
      </w:pPr>
      <w:r w:rsidRPr="009E732A">
        <w:rPr>
          <w:szCs w:val="18"/>
        </w:rPr>
        <w:t xml:space="preserve">Daugaard D.E., Brown, R.C., 2003, </w:t>
      </w:r>
      <w:r w:rsidR="004429CC" w:rsidRPr="009E732A">
        <w:rPr>
          <w:szCs w:val="18"/>
        </w:rPr>
        <w:t xml:space="preserve">Enthalpy for Pyrolysis for Several Types of </w:t>
      </w:r>
      <w:proofErr w:type="gramStart"/>
      <w:r w:rsidR="004429CC" w:rsidRPr="009E732A">
        <w:rPr>
          <w:szCs w:val="18"/>
        </w:rPr>
        <w:t>Biomass</w:t>
      </w:r>
      <w:proofErr w:type="gramEnd"/>
      <w:r w:rsidR="004429CC" w:rsidRPr="009E732A">
        <w:rPr>
          <w:szCs w:val="18"/>
        </w:rPr>
        <w:t xml:space="preserve">, Energy &amp; Fuels, </w:t>
      </w:r>
      <w:r w:rsidR="001A060F" w:rsidRPr="009E732A">
        <w:rPr>
          <w:szCs w:val="18"/>
        </w:rPr>
        <w:t>17, 934-939</w:t>
      </w:r>
    </w:p>
    <w:p w14:paraId="32DFC0BD" w14:textId="4ED19C88" w:rsidR="004B5BC0" w:rsidRPr="009E732A" w:rsidRDefault="004B5BC0" w:rsidP="00070943">
      <w:pPr>
        <w:pStyle w:val="CETReferencetext"/>
        <w:rPr>
          <w:rFonts w:cs="Arial"/>
          <w:szCs w:val="18"/>
        </w:rPr>
      </w:pPr>
      <w:r w:rsidRPr="009E732A">
        <w:rPr>
          <w:szCs w:val="18"/>
        </w:rPr>
        <w:t>Gilardi M., Bisotti F., Berglihn O.T., R</w:t>
      </w:r>
      <w:r w:rsidRPr="009E732A">
        <w:rPr>
          <w:rFonts w:cs="Arial"/>
          <w:szCs w:val="18"/>
        </w:rPr>
        <w:t>ü</w:t>
      </w:r>
      <w:r w:rsidRPr="009E732A">
        <w:rPr>
          <w:szCs w:val="18"/>
        </w:rPr>
        <w:t>cker T., Br</w:t>
      </w:r>
      <w:r w:rsidRPr="009E732A">
        <w:rPr>
          <w:rFonts w:cs="Arial"/>
          <w:szCs w:val="18"/>
        </w:rPr>
        <w:t>ück T., Wittgens B., 2024, Modelling of Biomass-to-X: Challenges and Strategies, Chemical Engineering Transaction, 109, 271-276</w:t>
      </w:r>
    </w:p>
    <w:p w14:paraId="03BD671B" w14:textId="7254AC66" w:rsidR="00B94D26" w:rsidRPr="009E732A" w:rsidRDefault="00B94D26" w:rsidP="00070943">
      <w:pPr>
        <w:pStyle w:val="CETReferencetext"/>
        <w:rPr>
          <w:szCs w:val="18"/>
        </w:rPr>
      </w:pPr>
      <w:r w:rsidRPr="009E732A">
        <w:rPr>
          <w:szCs w:val="18"/>
        </w:rPr>
        <w:t xml:space="preserve">Gómez-Barea A., Leckner B., 2013, </w:t>
      </w:r>
      <w:r w:rsidR="007342A3" w:rsidRPr="009E732A">
        <w:rPr>
          <w:szCs w:val="18"/>
        </w:rPr>
        <w:t>Estimation of gas composition and char conversion in a fluidized bed biomass gasifier, Fuel,107, 419–431</w:t>
      </w:r>
    </w:p>
    <w:p w14:paraId="72210FE4" w14:textId="30615C7F" w:rsidR="008C2975" w:rsidRPr="009E732A" w:rsidRDefault="008C2975" w:rsidP="00070943">
      <w:pPr>
        <w:pStyle w:val="CETReferencetext"/>
        <w:rPr>
          <w:rFonts w:cs="Arial"/>
          <w:szCs w:val="18"/>
        </w:rPr>
      </w:pPr>
      <w:r w:rsidRPr="009E732A">
        <w:rPr>
          <w:rFonts w:cs="Arial"/>
          <w:szCs w:val="18"/>
        </w:rPr>
        <w:t xml:space="preserve">Groeneveld M.J., van </w:t>
      </w:r>
      <w:proofErr w:type="spellStart"/>
      <w:r w:rsidRPr="009E732A">
        <w:rPr>
          <w:rFonts w:cs="Arial"/>
          <w:szCs w:val="18"/>
        </w:rPr>
        <w:t>Swaaij</w:t>
      </w:r>
      <w:proofErr w:type="spellEnd"/>
      <w:r w:rsidRPr="009E732A">
        <w:rPr>
          <w:rFonts w:cs="Arial"/>
          <w:szCs w:val="18"/>
        </w:rPr>
        <w:t xml:space="preserve"> W.P.M., 1980, Gasification of char particles with CO</w:t>
      </w:r>
      <w:r w:rsidRPr="009E732A">
        <w:rPr>
          <w:rFonts w:cs="Arial"/>
          <w:szCs w:val="18"/>
          <w:vertAlign w:val="subscript"/>
        </w:rPr>
        <w:t>2</w:t>
      </w:r>
      <w:r w:rsidRPr="009E732A">
        <w:rPr>
          <w:rFonts w:cs="Arial"/>
          <w:szCs w:val="18"/>
        </w:rPr>
        <w:t xml:space="preserve"> and H</w:t>
      </w:r>
      <w:r w:rsidRPr="009E732A">
        <w:rPr>
          <w:rFonts w:cs="Arial"/>
          <w:szCs w:val="18"/>
          <w:vertAlign w:val="subscript"/>
        </w:rPr>
        <w:t>2</w:t>
      </w:r>
      <w:r w:rsidRPr="009E732A">
        <w:rPr>
          <w:rFonts w:cs="Arial"/>
          <w:szCs w:val="18"/>
        </w:rPr>
        <w:t>O, Chemical Engineering Science, 35</w:t>
      </w:r>
      <w:r w:rsidR="008C2B42" w:rsidRPr="009E732A">
        <w:rPr>
          <w:rFonts w:cs="Arial"/>
          <w:szCs w:val="18"/>
        </w:rPr>
        <w:t>, 307–313</w:t>
      </w:r>
    </w:p>
    <w:p w14:paraId="4CF1D08D" w14:textId="64899B08" w:rsidR="004B5BC0" w:rsidRPr="009E732A" w:rsidRDefault="004B5BC0" w:rsidP="00577B2C">
      <w:pPr>
        <w:pStyle w:val="CETReferencetext"/>
        <w:rPr>
          <w:rFonts w:cs="Arial"/>
          <w:szCs w:val="18"/>
        </w:rPr>
      </w:pPr>
      <w:r w:rsidRPr="009E732A">
        <w:rPr>
          <w:rFonts w:cs="Arial"/>
          <w:szCs w:val="18"/>
        </w:rPr>
        <w:t>Han J., Liang Y., Hu J., Qin L., Street J., Lu Y., Yu F., 2017, Model</w:t>
      </w:r>
      <w:r w:rsidR="002C1B8D">
        <w:rPr>
          <w:rFonts w:cs="Arial"/>
          <w:szCs w:val="18"/>
        </w:rPr>
        <w:t>l</w:t>
      </w:r>
      <w:r w:rsidRPr="009E732A">
        <w:rPr>
          <w:rFonts w:cs="Arial"/>
          <w:szCs w:val="18"/>
        </w:rPr>
        <w:t>ing downdraft biomass gasification process by restricting chemical reaction equilibrium with Aspen Plus, Energy Conversion and Management, 153, 641-648</w:t>
      </w:r>
    </w:p>
    <w:p w14:paraId="73DA8C68" w14:textId="77777777" w:rsidR="004B5BC0" w:rsidRPr="009E732A" w:rsidRDefault="004B5BC0" w:rsidP="007873D3">
      <w:pPr>
        <w:pStyle w:val="CETReferencetext"/>
        <w:rPr>
          <w:rFonts w:cs="Arial"/>
          <w:szCs w:val="18"/>
        </w:rPr>
      </w:pPr>
      <w:r w:rsidRPr="009E732A">
        <w:rPr>
          <w:rFonts w:cs="Arial"/>
          <w:szCs w:val="18"/>
        </w:rPr>
        <w:t>Kaushal P., Tyagi R., 2017, Advanced simulation of biomass gasification in a fluidized bed reactor using ASPEN PLUS, Renewable Energy, 101, 629-636</w:t>
      </w:r>
    </w:p>
    <w:p w14:paraId="41DD4190" w14:textId="2BF47270" w:rsidR="00364776" w:rsidRPr="009E732A" w:rsidRDefault="00364776" w:rsidP="00503CAE">
      <w:pPr>
        <w:pStyle w:val="CETReferencetext"/>
        <w:rPr>
          <w:szCs w:val="18"/>
        </w:rPr>
      </w:pPr>
      <w:r w:rsidRPr="009E732A">
        <w:rPr>
          <w:szCs w:val="18"/>
        </w:rPr>
        <w:t xml:space="preserve">Larsson A., Kuba M., </w:t>
      </w:r>
      <w:r w:rsidR="00964F6D" w:rsidRPr="009E732A">
        <w:rPr>
          <w:szCs w:val="18"/>
        </w:rPr>
        <w:t xml:space="preserve">Berdugo Vilches T., Seemann M., Hofbauer H., </w:t>
      </w:r>
      <w:proofErr w:type="spellStart"/>
      <w:r w:rsidR="00964F6D" w:rsidRPr="009E732A">
        <w:rPr>
          <w:szCs w:val="18"/>
        </w:rPr>
        <w:t>Thunmann</w:t>
      </w:r>
      <w:proofErr w:type="spellEnd"/>
      <w:r w:rsidR="00964F6D" w:rsidRPr="009E732A">
        <w:rPr>
          <w:szCs w:val="18"/>
        </w:rPr>
        <w:t xml:space="preserve"> H., 2021, </w:t>
      </w:r>
      <w:r w:rsidR="00503CAE" w:rsidRPr="009E732A">
        <w:rPr>
          <w:szCs w:val="18"/>
        </w:rPr>
        <w:t>Steam gasification of biomass – Typical gas quality and operational strategies derived from industrial-scale plants, Fuel Processing Technology, 212, 106609</w:t>
      </w:r>
    </w:p>
    <w:p w14:paraId="22497429" w14:textId="4CCF2578" w:rsidR="004B5BC0" w:rsidRPr="009E732A" w:rsidRDefault="004B5BC0" w:rsidP="00070943">
      <w:pPr>
        <w:pStyle w:val="CETReferencetext"/>
        <w:rPr>
          <w:szCs w:val="18"/>
        </w:rPr>
      </w:pPr>
      <w:r w:rsidRPr="009E732A">
        <w:rPr>
          <w:szCs w:val="18"/>
        </w:rPr>
        <w:t xml:space="preserve">Millinger M., </w:t>
      </w:r>
      <w:proofErr w:type="spellStart"/>
      <w:r w:rsidRPr="009E732A">
        <w:rPr>
          <w:szCs w:val="18"/>
        </w:rPr>
        <w:t>Hedenus</w:t>
      </w:r>
      <w:proofErr w:type="spellEnd"/>
      <w:r w:rsidRPr="009E732A">
        <w:rPr>
          <w:szCs w:val="18"/>
        </w:rPr>
        <w:t xml:space="preserve"> F., Zeyen E., Neumann F., Reichenberg L., </w:t>
      </w:r>
      <w:proofErr w:type="spellStart"/>
      <w:r w:rsidRPr="009E732A">
        <w:rPr>
          <w:szCs w:val="18"/>
        </w:rPr>
        <w:t>Berndes</w:t>
      </w:r>
      <w:proofErr w:type="spellEnd"/>
      <w:r w:rsidRPr="009E732A">
        <w:rPr>
          <w:szCs w:val="18"/>
        </w:rPr>
        <w:t xml:space="preserve"> G., 2025, Diversity of biomass usage pathways to achieve emissions targets in the European energy system, Nature Energy, 10, 226-242</w:t>
      </w:r>
    </w:p>
    <w:p w14:paraId="76F9FE77" w14:textId="77777777" w:rsidR="004B5BC0" w:rsidRPr="009E732A" w:rsidRDefault="004B5BC0" w:rsidP="00577B2C">
      <w:pPr>
        <w:pStyle w:val="CETReferencetext"/>
        <w:rPr>
          <w:rFonts w:cs="Arial"/>
          <w:szCs w:val="18"/>
        </w:rPr>
      </w:pPr>
      <w:r w:rsidRPr="009E732A">
        <w:rPr>
          <w:rFonts w:cs="Arial"/>
          <w:szCs w:val="18"/>
        </w:rPr>
        <w:t>Quirino P.P.S., Amaral A., Pontes K.V., Rossi F., Manenti F., 2021, Impact of kinetic models in the prediction accuracy of an industrial steam methane reforming unit, Computers &amp; Chemical Engineering, 152, 107379</w:t>
      </w:r>
    </w:p>
    <w:p w14:paraId="088F875F" w14:textId="336E2A13" w:rsidR="00A34B8C" w:rsidRPr="009E732A" w:rsidRDefault="00A34B8C" w:rsidP="00577B2C">
      <w:pPr>
        <w:pStyle w:val="CETReferencetext"/>
        <w:rPr>
          <w:rFonts w:cs="Arial"/>
          <w:szCs w:val="18"/>
        </w:rPr>
      </w:pPr>
      <w:r w:rsidRPr="009E732A">
        <w:rPr>
          <w:rFonts w:cs="Arial"/>
          <w:szCs w:val="18"/>
        </w:rPr>
        <w:t xml:space="preserve">Ranzi E., </w:t>
      </w:r>
      <w:proofErr w:type="spellStart"/>
      <w:r w:rsidRPr="009E732A">
        <w:rPr>
          <w:rFonts w:cs="Arial"/>
          <w:szCs w:val="18"/>
        </w:rPr>
        <w:t>Corbetta</w:t>
      </w:r>
      <w:proofErr w:type="spellEnd"/>
      <w:r w:rsidRPr="009E732A">
        <w:rPr>
          <w:rFonts w:cs="Arial"/>
          <w:szCs w:val="18"/>
        </w:rPr>
        <w:t xml:space="preserve"> M., Manenti F., Pierucci S., 2014, Kinetic </w:t>
      </w:r>
      <w:r w:rsidR="002C1B8D">
        <w:rPr>
          <w:rFonts w:cs="Arial"/>
          <w:szCs w:val="18"/>
        </w:rPr>
        <w:t>modelling</w:t>
      </w:r>
      <w:r w:rsidRPr="009E732A">
        <w:rPr>
          <w:rFonts w:cs="Arial"/>
          <w:szCs w:val="18"/>
        </w:rPr>
        <w:t xml:space="preserve"> of the thermal degradation and combustion of biomass, Chemical Engineering Science, 110, 2–12</w:t>
      </w:r>
    </w:p>
    <w:p w14:paraId="19C4FC68" w14:textId="496536B1" w:rsidR="004628D2" w:rsidRPr="009E732A" w:rsidRDefault="004F0326" w:rsidP="00503CAE">
      <w:pPr>
        <w:pStyle w:val="CETReferencetext"/>
        <w:rPr>
          <w:rFonts w:cs="Arial"/>
          <w:szCs w:val="18"/>
        </w:rPr>
      </w:pPr>
      <w:r w:rsidRPr="009E732A">
        <w:rPr>
          <w:rFonts w:cs="Arial"/>
          <w:szCs w:val="18"/>
        </w:rPr>
        <w:t xml:space="preserve">Ranzi E., </w:t>
      </w:r>
      <w:proofErr w:type="spellStart"/>
      <w:r w:rsidRPr="009E732A">
        <w:rPr>
          <w:rFonts w:cs="Arial"/>
          <w:szCs w:val="18"/>
        </w:rPr>
        <w:t>Debiagi</w:t>
      </w:r>
      <w:proofErr w:type="spellEnd"/>
      <w:r w:rsidRPr="009E732A">
        <w:rPr>
          <w:rFonts w:cs="Arial"/>
          <w:szCs w:val="18"/>
        </w:rPr>
        <w:t xml:space="preserve"> P.E.A., </w:t>
      </w:r>
      <w:proofErr w:type="spellStart"/>
      <w:r w:rsidRPr="009E732A">
        <w:rPr>
          <w:rFonts w:cs="Arial"/>
          <w:szCs w:val="18"/>
        </w:rPr>
        <w:t>Frassoldati</w:t>
      </w:r>
      <w:proofErr w:type="spellEnd"/>
      <w:r w:rsidRPr="009E732A">
        <w:rPr>
          <w:rFonts w:cs="Arial"/>
          <w:szCs w:val="18"/>
        </w:rPr>
        <w:t xml:space="preserve"> A., 2017, Mathematical </w:t>
      </w:r>
      <w:r w:rsidR="002C1B8D" w:rsidRPr="009E732A">
        <w:rPr>
          <w:rFonts w:cs="Arial"/>
          <w:szCs w:val="18"/>
        </w:rPr>
        <w:t>Modelling</w:t>
      </w:r>
      <w:r w:rsidRPr="009E732A">
        <w:rPr>
          <w:rFonts w:cs="Arial"/>
          <w:szCs w:val="18"/>
        </w:rPr>
        <w:t xml:space="preserve"> of Fast Biomass Pyrolysis and Bio-Oil Formation. Note II: Secondary Gas-Phase Reactions and Bio-Oil Formation, ACS Sustainable Chem. Eng., 5, 2882–2896</w:t>
      </w:r>
    </w:p>
    <w:sectPr w:rsidR="004628D2" w:rsidRPr="009E732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B3A" w14:textId="77777777" w:rsidR="0091595F" w:rsidRDefault="0091595F" w:rsidP="004F5E36">
      <w:r>
        <w:separator/>
      </w:r>
    </w:p>
  </w:endnote>
  <w:endnote w:type="continuationSeparator" w:id="0">
    <w:p w14:paraId="4775CC12" w14:textId="77777777" w:rsidR="0091595F" w:rsidRDefault="0091595F" w:rsidP="004F5E36">
      <w:r>
        <w:continuationSeparator/>
      </w:r>
    </w:p>
  </w:endnote>
  <w:endnote w:type="continuationNotice" w:id="1">
    <w:p w14:paraId="05ED1F8D" w14:textId="77777777" w:rsidR="0091595F" w:rsidRDefault="009159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32E79" w14:textId="77777777" w:rsidR="0091595F" w:rsidRDefault="0091595F" w:rsidP="004F5E36">
      <w:r>
        <w:separator/>
      </w:r>
    </w:p>
  </w:footnote>
  <w:footnote w:type="continuationSeparator" w:id="0">
    <w:p w14:paraId="07674D5A" w14:textId="77777777" w:rsidR="0091595F" w:rsidRDefault="0091595F" w:rsidP="004F5E36">
      <w:r>
        <w:continuationSeparator/>
      </w:r>
    </w:p>
  </w:footnote>
  <w:footnote w:type="continuationNotice" w:id="1">
    <w:p w14:paraId="5B1BEC24" w14:textId="77777777" w:rsidR="0091595F" w:rsidRDefault="0091595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D8"/>
    <w:rsid w:val="000027C0"/>
    <w:rsid w:val="00003F68"/>
    <w:rsid w:val="000052FB"/>
    <w:rsid w:val="00005A19"/>
    <w:rsid w:val="000117CB"/>
    <w:rsid w:val="000177F0"/>
    <w:rsid w:val="000264C9"/>
    <w:rsid w:val="000301E7"/>
    <w:rsid w:val="0003148D"/>
    <w:rsid w:val="00031EEC"/>
    <w:rsid w:val="0004079C"/>
    <w:rsid w:val="00051566"/>
    <w:rsid w:val="00051EB9"/>
    <w:rsid w:val="000562A9"/>
    <w:rsid w:val="00062A9A"/>
    <w:rsid w:val="00062B8B"/>
    <w:rsid w:val="00065058"/>
    <w:rsid w:val="0006722F"/>
    <w:rsid w:val="00070943"/>
    <w:rsid w:val="00074A81"/>
    <w:rsid w:val="00085410"/>
    <w:rsid w:val="00086442"/>
    <w:rsid w:val="00086C39"/>
    <w:rsid w:val="00086D0F"/>
    <w:rsid w:val="00086DEC"/>
    <w:rsid w:val="0009171A"/>
    <w:rsid w:val="000A03B2"/>
    <w:rsid w:val="000C098B"/>
    <w:rsid w:val="000C133C"/>
    <w:rsid w:val="000C27BB"/>
    <w:rsid w:val="000C7323"/>
    <w:rsid w:val="000D0268"/>
    <w:rsid w:val="000D34BE"/>
    <w:rsid w:val="000D613F"/>
    <w:rsid w:val="000D7E3F"/>
    <w:rsid w:val="000E0B3C"/>
    <w:rsid w:val="000E102F"/>
    <w:rsid w:val="000E323F"/>
    <w:rsid w:val="000E36F1"/>
    <w:rsid w:val="000E3A73"/>
    <w:rsid w:val="000E414A"/>
    <w:rsid w:val="000E5159"/>
    <w:rsid w:val="000E75FD"/>
    <w:rsid w:val="000F093C"/>
    <w:rsid w:val="000F75CC"/>
    <w:rsid w:val="000F787B"/>
    <w:rsid w:val="000F7C6F"/>
    <w:rsid w:val="001002A5"/>
    <w:rsid w:val="00101FC5"/>
    <w:rsid w:val="0011222F"/>
    <w:rsid w:val="00117F2F"/>
    <w:rsid w:val="0012091F"/>
    <w:rsid w:val="001266ED"/>
    <w:rsid w:val="00126BC2"/>
    <w:rsid w:val="001308B6"/>
    <w:rsid w:val="0013121F"/>
    <w:rsid w:val="00131FE6"/>
    <w:rsid w:val="0013263F"/>
    <w:rsid w:val="001331DF"/>
    <w:rsid w:val="00134DE4"/>
    <w:rsid w:val="00136A85"/>
    <w:rsid w:val="00137578"/>
    <w:rsid w:val="0014034D"/>
    <w:rsid w:val="00140FE3"/>
    <w:rsid w:val="00144D16"/>
    <w:rsid w:val="00150E59"/>
    <w:rsid w:val="00152DE3"/>
    <w:rsid w:val="0015454C"/>
    <w:rsid w:val="001545A3"/>
    <w:rsid w:val="001555CE"/>
    <w:rsid w:val="001561E6"/>
    <w:rsid w:val="0016087B"/>
    <w:rsid w:val="00164C97"/>
    <w:rsid w:val="00164CF9"/>
    <w:rsid w:val="00164DA7"/>
    <w:rsid w:val="001667A6"/>
    <w:rsid w:val="00170186"/>
    <w:rsid w:val="0018171E"/>
    <w:rsid w:val="00182292"/>
    <w:rsid w:val="00182F17"/>
    <w:rsid w:val="00184AD6"/>
    <w:rsid w:val="00186996"/>
    <w:rsid w:val="00194A38"/>
    <w:rsid w:val="001952EA"/>
    <w:rsid w:val="001A060F"/>
    <w:rsid w:val="001A4AF7"/>
    <w:rsid w:val="001B0349"/>
    <w:rsid w:val="001B1E93"/>
    <w:rsid w:val="001B2C61"/>
    <w:rsid w:val="001B48DF"/>
    <w:rsid w:val="001B65C1"/>
    <w:rsid w:val="001C1239"/>
    <w:rsid w:val="001C260F"/>
    <w:rsid w:val="001C5798"/>
    <w:rsid w:val="001C5B01"/>
    <w:rsid w:val="001C5C3A"/>
    <w:rsid w:val="001C684B"/>
    <w:rsid w:val="001C6E64"/>
    <w:rsid w:val="001D0CFB"/>
    <w:rsid w:val="001D1887"/>
    <w:rsid w:val="001D21AF"/>
    <w:rsid w:val="001D2B3D"/>
    <w:rsid w:val="001D53FC"/>
    <w:rsid w:val="001E4E7A"/>
    <w:rsid w:val="001F229A"/>
    <w:rsid w:val="001F42A5"/>
    <w:rsid w:val="001F5E3B"/>
    <w:rsid w:val="001F7B9D"/>
    <w:rsid w:val="00201C93"/>
    <w:rsid w:val="0020277E"/>
    <w:rsid w:val="002033F2"/>
    <w:rsid w:val="00203884"/>
    <w:rsid w:val="00210BAA"/>
    <w:rsid w:val="00210F81"/>
    <w:rsid w:val="00212FD6"/>
    <w:rsid w:val="00213B0D"/>
    <w:rsid w:val="002224B4"/>
    <w:rsid w:val="00222C8B"/>
    <w:rsid w:val="00223583"/>
    <w:rsid w:val="00224972"/>
    <w:rsid w:val="00225795"/>
    <w:rsid w:val="00230A80"/>
    <w:rsid w:val="0023218B"/>
    <w:rsid w:val="002439D7"/>
    <w:rsid w:val="002447EF"/>
    <w:rsid w:val="00245906"/>
    <w:rsid w:val="00251550"/>
    <w:rsid w:val="00251860"/>
    <w:rsid w:val="00254F95"/>
    <w:rsid w:val="00256740"/>
    <w:rsid w:val="00263B05"/>
    <w:rsid w:val="0026523D"/>
    <w:rsid w:val="00265A88"/>
    <w:rsid w:val="002714DD"/>
    <w:rsid w:val="0027221A"/>
    <w:rsid w:val="00272A68"/>
    <w:rsid w:val="00273317"/>
    <w:rsid w:val="00275B61"/>
    <w:rsid w:val="00280FAF"/>
    <w:rsid w:val="00281E3E"/>
    <w:rsid w:val="00282656"/>
    <w:rsid w:val="00292956"/>
    <w:rsid w:val="00292D4F"/>
    <w:rsid w:val="0029441D"/>
    <w:rsid w:val="00294A12"/>
    <w:rsid w:val="00296B83"/>
    <w:rsid w:val="002A5871"/>
    <w:rsid w:val="002B4015"/>
    <w:rsid w:val="002B5A7B"/>
    <w:rsid w:val="002B78CE"/>
    <w:rsid w:val="002C0BDE"/>
    <w:rsid w:val="002C1B8D"/>
    <w:rsid w:val="002C2FB6"/>
    <w:rsid w:val="002C3BBE"/>
    <w:rsid w:val="002C4B75"/>
    <w:rsid w:val="002C4DFD"/>
    <w:rsid w:val="002C5A99"/>
    <w:rsid w:val="002D31F3"/>
    <w:rsid w:val="002D5A14"/>
    <w:rsid w:val="002E3EC4"/>
    <w:rsid w:val="002E5FA7"/>
    <w:rsid w:val="002E701C"/>
    <w:rsid w:val="002F267C"/>
    <w:rsid w:val="002F3309"/>
    <w:rsid w:val="002F365A"/>
    <w:rsid w:val="002F5CC7"/>
    <w:rsid w:val="002F6A38"/>
    <w:rsid w:val="002F7BEB"/>
    <w:rsid w:val="003008CE"/>
    <w:rsid w:val="003009B7"/>
    <w:rsid w:val="00300E56"/>
    <w:rsid w:val="00301154"/>
    <w:rsid w:val="0030152C"/>
    <w:rsid w:val="0030469C"/>
    <w:rsid w:val="00313E0D"/>
    <w:rsid w:val="00321CA6"/>
    <w:rsid w:val="00323763"/>
    <w:rsid w:val="00323C5F"/>
    <w:rsid w:val="00323D4A"/>
    <w:rsid w:val="00334C09"/>
    <w:rsid w:val="00334CAE"/>
    <w:rsid w:val="00336B8F"/>
    <w:rsid w:val="00337CE0"/>
    <w:rsid w:val="00343A1E"/>
    <w:rsid w:val="0034534E"/>
    <w:rsid w:val="00345775"/>
    <w:rsid w:val="00353997"/>
    <w:rsid w:val="00361F7D"/>
    <w:rsid w:val="00364776"/>
    <w:rsid w:val="00370774"/>
    <w:rsid w:val="003723D4"/>
    <w:rsid w:val="00381905"/>
    <w:rsid w:val="0038265D"/>
    <w:rsid w:val="00384343"/>
    <w:rsid w:val="00384CC8"/>
    <w:rsid w:val="003871FD"/>
    <w:rsid w:val="003904D3"/>
    <w:rsid w:val="00392AB7"/>
    <w:rsid w:val="003A1E30"/>
    <w:rsid w:val="003A25B9"/>
    <w:rsid w:val="003A2829"/>
    <w:rsid w:val="003A77C3"/>
    <w:rsid w:val="003A7D1C"/>
    <w:rsid w:val="003B14FB"/>
    <w:rsid w:val="003B304B"/>
    <w:rsid w:val="003B3146"/>
    <w:rsid w:val="003B4629"/>
    <w:rsid w:val="003B49CD"/>
    <w:rsid w:val="003D1E02"/>
    <w:rsid w:val="003D45F4"/>
    <w:rsid w:val="003D4D44"/>
    <w:rsid w:val="003D69BA"/>
    <w:rsid w:val="003D714A"/>
    <w:rsid w:val="003E20F3"/>
    <w:rsid w:val="003E7158"/>
    <w:rsid w:val="003F015E"/>
    <w:rsid w:val="003F2A88"/>
    <w:rsid w:val="003F4976"/>
    <w:rsid w:val="003F58D1"/>
    <w:rsid w:val="00400414"/>
    <w:rsid w:val="00402A99"/>
    <w:rsid w:val="00402AB8"/>
    <w:rsid w:val="00402D90"/>
    <w:rsid w:val="004138EF"/>
    <w:rsid w:val="0041446B"/>
    <w:rsid w:val="0041605D"/>
    <w:rsid w:val="00422F2B"/>
    <w:rsid w:val="004255AE"/>
    <w:rsid w:val="0044071E"/>
    <w:rsid w:val="004429CC"/>
    <w:rsid w:val="0044329C"/>
    <w:rsid w:val="00445737"/>
    <w:rsid w:val="00451663"/>
    <w:rsid w:val="004534EF"/>
    <w:rsid w:val="00453E24"/>
    <w:rsid w:val="00457456"/>
    <w:rsid w:val="004577FE"/>
    <w:rsid w:val="00457B9C"/>
    <w:rsid w:val="0046164A"/>
    <w:rsid w:val="00462489"/>
    <w:rsid w:val="004628D2"/>
    <w:rsid w:val="00462DCD"/>
    <w:rsid w:val="004648AD"/>
    <w:rsid w:val="004703A9"/>
    <w:rsid w:val="004706DA"/>
    <w:rsid w:val="00472263"/>
    <w:rsid w:val="00474367"/>
    <w:rsid w:val="004747DB"/>
    <w:rsid w:val="004760DE"/>
    <w:rsid w:val="004763D7"/>
    <w:rsid w:val="00485C6B"/>
    <w:rsid w:val="0048795F"/>
    <w:rsid w:val="004A004E"/>
    <w:rsid w:val="004A24CF"/>
    <w:rsid w:val="004A45C1"/>
    <w:rsid w:val="004A7DDF"/>
    <w:rsid w:val="004B1440"/>
    <w:rsid w:val="004B214B"/>
    <w:rsid w:val="004B5BC0"/>
    <w:rsid w:val="004C3D1D"/>
    <w:rsid w:val="004C3D84"/>
    <w:rsid w:val="004C7913"/>
    <w:rsid w:val="004D0E67"/>
    <w:rsid w:val="004D4FFA"/>
    <w:rsid w:val="004E11FE"/>
    <w:rsid w:val="004E12CA"/>
    <w:rsid w:val="004E1F30"/>
    <w:rsid w:val="004E2B84"/>
    <w:rsid w:val="004E2D13"/>
    <w:rsid w:val="004E4DD6"/>
    <w:rsid w:val="004F0326"/>
    <w:rsid w:val="004F551A"/>
    <w:rsid w:val="004F5E36"/>
    <w:rsid w:val="004F6DB9"/>
    <w:rsid w:val="004F7C35"/>
    <w:rsid w:val="00501F5D"/>
    <w:rsid w:val="00503CAE"/>
    <w:rsid w:val="005052D1"/>
    <w:rsid w:val="00507B47"/>
    <w:rsid w:val="00507BEF"/>
    <w:rsid w:val="00507CC9"/>
    <w:rsid w:val="005119A5"/>
    <w:rsid w:val="005127D6"/>
    <w:rsid w:val="005273E1"/>
    <w:rsid w:val="005278B7"/>
    <w:rsid w:val="00532016"/>
    <w:rsid w:val="005346C8"/>
    <w:rsid w:val="00540A2F"/>
    <w:rsid w:val="00543E7D"/>
    <w:rsid w:val="00544977"/>
    <w:rsid w:val="00545A89"/>
    <w:rsid w:val="005462AE"/>
    <w:rsid w:val="00547A68"/>
    <w:rsid w:val="0055305D"/>
    <w:rsid w:val="005531C9"/>
    <w:rsid w:val="00554879"/>
    <w:rsid w:val="005548E0"/>
    <w:rsid w:val="005575EF"/>
    <w:rsid w:val="005605A5"/>
    <w:rsid w:val="00567E27"/>
    <w:rsid w:val="00570C43"/>
    <w:rsid w:val="00571F75"/>
    <w:rsid w:val="00577B2C"/>
    <w:rsid w:val="00577B7B"/>
    <w:rsid w:val="00582757"/>
    <w:rsid w:val="00583D30"/>
    <w:rsid w:val="005849C0"/>
    <w:rsid w:val="005916E9"/>
    <w:rsid w:val="00592274"/>
    <w:rsid w:val="005A117C"/>
    <w:rsid w:val="005A5E84"/>
    <w:rsid w:val="005A730E"/>
    <w:rsid w:val="005A7D32"/>
    <w:rsid w:val="005B1116"/>
    <w:rsid w:val="005B2110"/>
    <w:rsid w:val="005B350B"/>
    <w:rsid w:val="005B5587"/>
    <w:rsid w:val="005B61E6"/>
    <w:rsid w:val="005B6F90"/>
    <w:rsid w:val="005B73FD"/>
    <w:rsid w:val="005C2D39"/>
    <w:rsid w:val="005C3979"/>
    <w:rsid w:val="005C4BA6"/>
    <w:rsid w:val="005C70EC"/>
    <w:rsid w:val="005C77E1"/>
    <w:rsid w:val="005D10C7"/>
    <w:rsid w:val="005D254D"/>
    <w:rsid w:val="005D668A"/>
    <w:rsid w:val="005D6A2F"/>
    <w:rsid w:val="005E0592"/>
    <w:rsid w:val="005E0C5E"/>
    <w:rsid w:val="005E1787"/>
    <w:rsid w:val="005E1A82"/>
    <w:rsid w:val="005E328A"/>
    <w:rsid w:val="005E794C"/>
    <w:rsid w:val="005E7B64"/>
    <w:rsid w:val="005F0A28"/>
    <w:rsid w:val="005F0C59"/>
    <w:rsid w:val="005F0E5E"/>
    <w:rsid w:val="005F6BA7"/>
    <w:rsid w:val="005F7DD6"/>
    <w:rsid w:val="00600535"/>
    <w:rsid w:val="00602CF7"/>
    <w:rsid w:val="00607650"/>
    <w:rsid w:val="006108DF"/>
    <w:rsid w:val="00610A62"/>
    <w:rsid w:val="00610CD6"/>
    <w:rsid w:val="00613AFB"/>
    <w:rsid w:val="00615118"/>
    <w:rsid w:val="006208BC"/>
    <w:rsid w:val="00620DEE"/>
    <w:rsid w:val="00621F92"/>
    <w:rsid w:val="0062280A"/>
    <w:rsid w:val="006231E1"/>
    <w:rsid w:val="00625639"/>
    <w:rsid w:val="00626128"/>
    <w:rsid w:val="00626705"/>
    <w:rsid w:val="006308A5"/>
    <w:rsid w:val="00631B33"/>
    <w:rsid w:val="0064184D"/>
    <w:rsid w:val="00641E90"/>
    <w:rsid w:val="006422CC"/>
    <w:rsid w:val="00651D18"/>
    <w:rsid w:val="006574D4"/>
    <w:rsid w:val="00660E3E"/>
    <w:rsid w:val="00662E74"/>
    <w:rsid w:val="00667CB4"/>
    <w:rsid w:val="0067124D"/>
    <w:rsid w:val="00675416"/>
    <w:rsid w:val="00680C23"/>
    <w:rsid w:val="006829DA"/>
    <w:rsid w:val="00683E23"/>
    <w:rsid w:val="00684935"/>
    <w:rsid w:val="00687D93"/>
    <w:rsid w:val="00687F1B"/>
    <w:rsid w:val="00693766"/>
    <w:rsid w:val="00695C50"/>
    <w:rsid w:val="00697C0B"/>
    <w:rsid w:val="006A056E"/>
    <w:rsid w:val="006A0AAC"/>
    <w:rsid w:val="006A3281"/>
    <w:rsid w:val="006A54BD"/>
    <w:rsid w:val="006A6DE5"/>
    <w:rsid w:val="006B065F"/>
    <w:rsid w:val="006B2547"/>
    <w:rsid w:val="006B4888"/>
    <w:rsid w:val="006B7059"/>
    <w:rsid w:val="006C2E45"/>
    <w:rsid w:val="006C3546"/>
    <w:rsid w:val="006C359C"/>
    <w:rsid w:val="006C5579"/>
    <w:rsid w:val="006C584E"/>
    <w:rsid w:val="006D1460"/>
    <w:rsid w:val="006D6E8B"/>
    <w:rsid w:val="006D7209"/>
    <w:rsid w:val="006E0A9B"/>
    <w:rsid w:val="006E737D"/>
    <w:rsid w:val="006E7412"/>
    <w:rsid w:val="006F118C"/>
    <w:rsid w:val="006F2EFC"/>
    <w:rsid w:val="006F3D69"/>
    <w:rsid w:val="006F58BE"/>
    <w:rsid w:val="006F74F8"/>
    <w:rsid w:val="006F7571"/>
    <w:rsid w:val="0070050B"/>
    <w:rsid w:val="007027B5"/>
    <w:rsid w:val="00707DD1"/>
    <w:rsid w:val="00711DC6"/>
    <w:rsid w:val="00711F42"/>
    <w:rsid w:val="00713973"/>
    <w:rsid w:val="00720A24"/>
    <w:rsid w:val="00724462"/>
    <w:rsid w:val="00726647"/>
    <w:rsid w:val="00732386"/>
    <w:rsid w:val="007342A3"/>
    <w:rsid w:val="0073514D"/>
    <w:rsid w:val="0073597C"/>
    <w:rsid w:val="007447F3"/>
    <w:rsid w:val="00744AE5"/>
    <w:rsid w:val="0074618E"/>
    <w:rsid w:val="00751A0A"/>
    <w:rsid w:val="00753459"/>
    <w:rsid w:val="0075499F"/>
    <w:rsid w:val="00757585"/>
    <w:rsid w:val="00757769"/>
    <w:rsid w:val="007633D7"/>
    <w:rsid w:val="007635A7"/>
    <w:rsid w:val="00765134"/>
    <w:rsid w:val="007661C8"/>
    <w:rsid w:val="0077098D"/>
    <w:rsid w:val="0077475A"/>
    <w:rsid w:val="007844BC"/>
    <w:rsid w:val="00785BF9"/>
    <w:rsid w:val="007873D3"/>
    <w:rsid w:val="007931FA"/>
    <w:rsid w:val="00795709"/>
    <w:rsid w:val="007A4861"/>
    <w:rsid w:val="007A6A3E"/>
    <w:rsid w:val="007A7BBA"/>
    <w:rsid w:val="007B0794"/>
    <w:rsid w:val="007B0C50"/>
    <w:rsid w:val="007B2257"/>
    <w:rsid w:val="007B48F9"/>
    <w:rsid w:val="007B51D8"/>
    <w:rsid w:val="007C1A43"/>
    <w:rsid w:val="007C723C"/>
    <w:rsid w:val="007D0951"/>
    <w:rsid w:val="007D29C1"/>
    <w:rsid w:val="007D3894"/>
    <w:rsid w:val="007D610D"/>
    <w:rsid w:val="007D64F5"/>
    <w:rsid w:val="007E3F72"/>
    <w:rsid w:val="007F4006"/>
    <w:rsid w:val="007F6E6C"/>
    <w:rsid w:val="007F6FE7"/>
    <w:rsid w:val="0080013E"/>
    <w:rsid w:val="00801759"/>
    <w:rsid w:val="0080649D"/>
    <w:rsid w:val="00810BC9"/>
    <w:rsid w:val="00811211"/>
    <w:rsid w:val="00813288"/>
    <w:rsid w:val="008160DC"/>
    <w:rsid w:val="008168FC"/>
    <w:rsid w:val="00821C46"/>
    <w:rsid w:val="00823891"/>
    <w:rsid w:val="0082617C"/>
    <w:rsid w:val="00827D24"/>
    <w:rsid w:val="00830996"/>
    <w:rsid w:val="008345F1"/>
    <w:rsid w:val="008416D6"/>
    <w:rsid w:val="008444C5"/>
    <w:rsid w:val="0085109E"/>
    <w:rsid w:val="00852F55"/>
    <w:rsid w:val="00854D55"/>
    <w:rsid w:val="00855D17"/>
    <w:rsid w:val="008578DA"/>
    <w:rsid w:val="00865B07"/>
    <w:rsid w:val="008667EA"/>
    <w:rsid w:val="00866914"/>
    <w:rsid w:val="00867DC7"/>
    <w:rsid w:val="00874E2E"/>
    <w:rsid w:val="008756A7"/>
    <w:rsid w:val="0087637F"/>
    <w:rsid w:val="00876EC0"/>
    <w:rsid w:val="008803DA"/>
    <w:rsid w:val="008812CD"/>
    <w:rsid w:val="008832AA"/>
    <w:rsid w:val="00884C19"/>
    <w:rsid w:val="00885818"/>
    <w:rsid w:val="008913BF"/>
    <w:rsid w:val="00892AD5"/>
    <w:rsid w:val="008A1512"/>
    <w:rsid w:val="008A5B21"/>
    <w:rsid w:val="008A6312"/>
    <w:rsid w:val="008B1786"/>
    <w:rsid w:val="008B4D17"/>
    <w:rsid w:val="008B5481"/>
    <w:rsid w:val="008C2975"/>
    <w:rsid w:val="008C2B42"/>
    <w:rsid w:val="008D32B9"/>
    <w:rsid w:val="008D433B"/>
    <w:rsid w:val="008D4A16"/>
    <w:rsid w:val="008D4C15"/>
    <w:rsid w:val="008D76A4"/>
    <w:rsid w:val="008E03F9"/>
    <w:rsid w:val="008E3526"/>
    <w:rsid w:val="008E5401"/>
    <w:rsid w:val="008E566E"/>
    <w:rsid w:val="008E6BD8"/>
    <w:rsid w:val="008F5D2A"/>
    <w:rsid w:val="008F7CB1"/>
    <w:rsid w:val="0090161A"/>
    <w:rsid w:val="00901EB6"/>
    <w:rsid w:val="009027C0"/>
    <w:rsid w:val="009041F8"/>
    <w:rsid w:val="00904C62"/>
    <w:rsid w:val="00906DCA"/>
    <w:rsid w:val="0091053A"/>
    <w:rsid w:val="0091266A"/>
    <w:rsid w:val="009137FA"/>
    <w:rsid w:val="00915488"/>
    <w:rsid w:val="0091595F"/>
    <w:rsid w:val="00922BA8"/>
    <w:rsid w:val="00922EE3"/>
    <w:rsid w:val="0092413A"/>
    <w:rsid w:val="00924DAC"/>
    <w:rsid w:val="00927058"/>
    <w:rsid w:val="00932D94"/>
    <w:rsid w:val="0093485F"/>
    <w:rsid w:val="009373BA"/>
    <w:rsid w:val="00940B7A"/>
    <w:rsid w:val="009415EA"/>
    <w:rsid w:val="00942423"/>
    <w:rsid w:val="00942750"/>
    <w:rsid w:val="009435DA"/>
    <w:rsid w:val="00943DBA"/>
    <w:rsid w:val="009449D2"/>
    <w:rsid w:val="009450CE"/>
    <w:rsid w:val="009459BB"/>
    <w:rsid w:val="00947179"/>
    <w:rsid w:val="00950DE2"/>
    <w:rsid w:val="0095164B"/>
    <w:rsid w:val="00954090"/>
    <w:rsid w:val="00955433"/>
    <w:rsid w:val="00955F3A"/>
    <w:rsid w:val="009573E7"/>
    <w:rsid w:val="009579F3"/>
    <w:rsid w:val="00957D3D"/>
    <w:rsid w:val="0096226A"/>
    <w:rsid w:val="00963E05"/>
    <w:rsid w:val="00964A45"/>
    <w:rsid w:val="00964F6D"/>
    <w:rsid w:val="00965B1D"/>
    <w:rsid w:val="00967843"/>
    <w:rsid w:val="00967D54"/>
    <w:rsid w:val="00970932"/>
    <w:rsid w:val="00971028"/>
    <w:rsid w:val="00974079"/>
    <w:rsid w:val="00981AC5"/>
    <w:rsid w:val="00987FE7"/>
    <w:rsid w:val="009900F6"/>
    <w:rsid w:val="00993B84"/>
    <w:rsid w:val="00994C6A"/>
    <w:rsid w:val="00996483"/>
    <w:rsid w:val="00996F5A"/>
    <w:rsid w:val="009B041A"/>
    <w:rsid w:val="009C37C3"/>
    <w:rsid w:val="009C7C86"/>
    <w:rsid w:val="009D1197"/>
    <w:rsid w:val="009D2FF7"/>
    <w:rsid w:val="009D54B7"/>
    <w:rsid w:val="009D578C"/>
    <w:rsid w:val="009D61FB"/>
    <w:rsid w:val="009E26E8"/>
    <w:rsid w:val="009E3B48"/>
    <w:rsid w:val="009E732A"/>
    <w:rsid w:val="009E7884"/>
    <w:rsid w:val="009E788A"/>
    <w:rsid w:val="009F0E08"/>
    <w:rsid w:val="009F4293"/>
    <w:rsid w:val="009F7A1C"/>
    <w:rsid w:val="00A044ED"/>
    <w:rsid w:val="00A06B1E"/>
    <w:rsid w:val="00A074F6"/>
    <w:rsid w:val="00A079AE"/>
    <w:rsid w:val="00A113B0"/>
    <w:rsid w:val="00A145DC"/>
    <w:rsid w:val="00A1696B"/>
    <w:rsid w:val="00A1763D"/>
    <w:rsid w:val="00A17CEC"/>
    <w:rsid w:val="00A21D18"/>
    <w:rsid w:val="00A232FE"/>
    <w:rsid w:val="00A26DA4"/>
    <w:rsid w:val="00A27986"/>
    <w:rsid w:val="00A27EF0"/>
    <w:rsid w:val="00A30A2E"/>
    <w:rsid w:val="00A34B8C"/>
    <w:rsid w:val="00A378C0"/>
    <w:rsid w:val="00A41CB3"/>
    <w:rsid w:val="00A42361"/>
    <w:rsid w:val="00A42711"/>
    <w:rsid w:val="00A50B20"/>
    <w:rsid w:val="00A51390"/>
    <w:rsid w:val="00A60D13"/>
    <w:rsid w:val="00A648F5"/>
    <w:rsid w:val="00A64F39"/>
    <w:rsid w:val="00A701D7"/>
    <w:rsid w:val="00A7097B"/>
    <w:rsid w:val="00A7223D"/>
    <w:rsid w:val="00A72745"/>
    <w:rsid w:val="00A75D04"/>
    <w:rsid w:val="00A76EFC"/>
    <w:rsid w:val="00A83A30"/>
    <w:rsid w:val="00A87D50"/>
    <w:rsid w:val="00A91010"/>
    <w:rsid w:val="00A947B5"/>
    <w:rsid w:val="00A97F29"/>
    <w:rsid w:val="00AA02F4"/>
    <w:rsid w:val="00AA0927"/>
    <w:rsid w:val="00AA702E"/>
    <w:rsid w:val="00AA7D26"/>
    <w:rsid w:val="00AB0964"/>
    <w:rsid w:val="00AB3AEB"/>
    <w:rsid w:val="00AB4A2E"/>
    <w:rsid w:val="00AB5011"/>
    <w:rsid w:val="00AC2B43"/>
    <w:rsid w:val="00AC2CC9"/>
    <w:rsid w:val="00AC7368"/>
    <w:rsid w:val="00AD026F"/>
    <w:rsid w:val="00AD16B9"/>
    <w:rsid w:val="00AE01DA"/>
    <w:rsid w:val="00AE18E6"/>
    <w:rsid w:val="00AE192C"/>
    <w:rsid w:val="00AE26FC"/>
    <w:rsid w:val="00AE377D"/>
    <w:rsid w:val="00AE55A3"/>
    <w:rsid w:val="00AE5D8F"/>
    <w:rsid w:val="00AF0248"/>
    <w:rsid w:val="00AF0EBA"/>
    <w:rsid w:val="00AF19BF"/>
    <w:rsid w:val="00AF240F"/>
    <w:rsid w:val="00AF2463"/>
    <w:rsid w:val="00AF30D0"/>
    <w:rsid w:val="00AF450F"/>
    <w:rsid w:val="00AF56F9"/>
    <w:rsid w:val="00AF67F4"/>
    <w:rsid w:val="00AF7936"/>
    <w:rsid w:val="00AF7BF7"/>
    <w:rsid w:val="00B00B08"/>
    <w:rsid w:val="00B00F40"/>
    <w:rsid w:val="00B014E3"/>
    <w:rsid w:val="00B01960"/>
    <w:rsid w:val="00B02C8A"/>
    <w:rsid w:val="00B06B63"/>
    <w:rsid w:val="00B14912"/>
    <w:rsid w:val="00B16F01"/>
    <w:rsid w:val="00B17FBD"/>
    <w:rsid w:val="00B22074"/>
    <w:rsid w:val="00B232F1"/>
    <w:rsid w:val="00B240ED"/>
    <w:rsid w:val="00B24560"/>
    <w:rsid w:val="00B315A6"/>
    <w:rsid w:val="00B31813"/>
    <w:rsid w:val="00B32C90"/>
    <w:rsid w:val="00B33365"/>
    <w:rsid w:val="00B449AD"/>
    <w:rsid w:val="00B44FFB"/>
    <w:rsid w:val="00B471DC"/>
    <w:rsid w:val="00B56610"/>
    <w:rsid w:val="00B573A7"/>
    <w:rsid w:val="00B57B36"/>
    <w:rsid w:val="00B57E6F"/>
    <w:rsid w:val="00B60A58"/>
    <w:rsid w:val="00B63A53"/>
    <w:rsid w:val="00B650AC"/>
    <w:rsid w:val="00B74F11"/>
    <w:rsid w:val="00B7685A"/>
    <w:rsid w:val="00B77812"/>
    <w:rsid w:val="00B809AF"/>
    <w:rsid w:val="00B80E50"/>
    <w:rsid w:val="00B82282"/>
    <w:rsid w:val="00B844B6"/>
    <w:rsid w:val="00B86668"/>
    <w:rsid w:val="00B8686D"/>
    <w:rsid w:val="00B906C9"/>
    <w:rsid w:val="00B918E8"/>
    <w:rsid w:val="00B93F69"/>
    <w:rsid w:val="00B94CD3"/>
    <w:rsid w:val="00B94D26"/>
    <w:rsid w:val="00B9501D"/>
    <w:rsid w:val="00B9662E"/>
    <w:rsid w:val="00BA7DC6"/>
    <w:rsid w:val="00BB06AA"/>
    <w:rsid w:val="00BB1DDC"/>
    <w:rsid w:val="00BB4E08"/>
    <w:rsid w:val="00BB7FA3"/>
    <w:rsid w:val="00BC0D5C"/>
    <w:rsid w:val="00BC30C9"/>
    <w:rsid w:val="00BC583E"/>
    <w:rsid w:val="00BC6B23"/>
    <w:rsid w:val="00BC7586"/>
    <w:rsid w:val="00BD077D"/>
    <w:rsid w:val="00BD0D94"/>
    <w:rsid w:val="00BD7D75"/>
    <w:rsid w:val="00BE3E58"/>
    <w:rsid w:val="00BE44E0"/>
    <w:rsid w:val="00BE7B30"/>
    <w:rsid w:val="00BF13CE"/>
    <w:rsid w:val="00C015D3"/>
    <w:rsid w:val="00C01616"/>
    <w:rsid w:val="00C0162B"/>
    <w:rsid w:val="00C04DDC"/>
    <w:rsid w:val="00C05E35"/>
    <w:rsid w:val="00C068ED"/>
    <w:rsid w:val="00C11926"/>
    <w:rsid w:val="00C14DEE"/>
    <w:rsid w:val="00C1563E"/>
    <w:rsid w:val="00C165D1"/>
    <w:rsid w:val="00C16F46"/>
    <w:rsid w:val="00C17428"/>
    <w:rsid w:val="00C21DA9"/>
    <w:rsid w:val="00C22E0C"/>
    <w:rsid w:val="00C25DFC"/>
    <w:rsid w:val="00C27673"/>
    <w:rsid w:val="00C32BAF"/>
    <w:rsid w:val="00C32C7D"/>
    <w:rsid w:val="00C345B1"/>
    <w:rsid w:val="00C365C8"/>
    <w:rsid w:val="00C40142"/>
    <w:rsid w:val="00C52C3C"/>
    <w:rsid w:val="00C5533D"/>
    <w:rsid w:val="00C55674"/>
    <w:rsid w:val="00C57182"/>
    <w:rsid w:val="00C57863"/>
    <w:rsid w:val="00C60F88"/>
    <w:rsid w:val="00C6223C"/>
    <w:rsid w:val="00C6300D"/>
    <w:rsid w:val="00C640AF"/>
    <w:rsid w:val="00C655FD"/>
    <w:rsid w:val="00C75407"/>
    <w:rsid w:val="00C75F41"/>
    <w:rsid w:val="00C81E7D"/>
    <w:rsid w:val="00C841C6"/>
    <w:rsid w:val="00C85F9F"/>
    <w:rsid w:val="00C870A8"/>
    <w:rsid w:val="00C91CC5"/>
    <w:rsid w:val="00C94434"/>
    <w:rsid w:val="00C95EA0"/>
    <w:rsid w:val="00CA0D75"/>
    <w:rsid w:val="00CA1C95"/>
    <w:rsid w:val="00CA2CF4"/>
    <w:rsid w:val="00CA5A9C"/>
    <w:rsid w:val="00CB149B"/>
    <w:rsid w:val="00CB1D46"/>
    <w:rsid w:val="00CB342C"/>
    <w:rsid w:val="00CC4C20"/>
    <w:rsid w:val="00CC7831"/>
    <w:rsid w:val="00CD2570"/>
    <w:rsid w:val="00CD27F4"/>
    <w:rsid w:val="00CD3517"/>
    <w:rsid w:val="00CD476B"/>
    <w:rsid w:val="00CD4B5B"/>
    <w:rsid w:val="00CD4D4D"/>
    <w:rsid w:val="00CD5FE2"/>
    <w:rsid w:val="00CE3783"/>
    <w:rsid w:val="00CE4DA2"/>
    <w:rsid w:val="00CE7C68"/>
    <w:rsid w:val="00CF6E05"/>
    <w:rsid w:val="00D02981"/>
    <w:rsid w:val="00D02B4C"/>
    <w:rsid w:val="00D040C4"/>
    <w:rsid w:val="00D04D2F"/>
    <w:rsid w:val="00D0751A"/>
    <w:rsid w:val="00D1016B"/>
    <w:rsid w:val="00D1426C"/>
    <w:rsid w:val="00D147A4"/>
    <w:rsid w:val="00D20AD1"/>
    <w:rsid w:val="00D2582C"/>
    <w:rsid w:val="00D3008A"/>
    <w:rsid w:val="00D350F9"/>
    <w:rsid w:val="00D36EDB"/>
    <w:rsid w:val="00D371CF"/>
    <w:rsid w:val="00D426CB"/>
    <w:rsid w:val="00D4573A"/>
    <w:rsid w:val="00D45D42"/>
    <w:rsid w:val="00D46B7E"/>
    <w:rsid w:val="00D47A0C"/>
    <w:rsid w:val="00D554D3"/>
    <w:rsid w:val="00D55CF7"/>
    <w:rsid w:val="00D57C84"/>
    <w:rsid w:val="00D6057D"/>
    <w:rsid w:val="00D60640"/>
    <w:rsid w:val="00D64A1A"/>
    <w:rsid w:val="00D70297"/>
    <w:rsid w:val="00D71640"/>
    <w:rsid w:val="00D71CD9"/>
    <w:rsid w:val="00D73FD9"/>
    <w:rsid w:val="00D77057"/>
    <w:rsid w:val="00D77F6C"/>
    <w:rsid w:val="00D836C5"/>
    <w:rsid w:val="00D84576"/>
    <w:rsid w:val="00D91426"/>
    <w:rsid w:val="00D95A7D"/>
    <w:rsid w:val="00D95B7A"/>
    <w:rsid w:val="00DA1328"/>
    <w:rsid w:val="00DA1399"/>
    <w:rsid w:val="00DA1CF8"/>
    <w:rsid w:val="00DA1E67"/>
    <w:rsid w:val="00DA24C6"/>
    <w:rsid w:val="00DA4AC8"/>
    <w:rsid w:val="00DA4D7B"/>
    <w:rsid w:val="00DA5049"/>
    <w:rsid w:val="00DA649A"/>
    <w:rsid w:val="00DB1466"/>
    <w:rsid w:val="00DB6A76"/>
    <w:rsid w:val="00DC0106"/>
    <w:rsid w:val="00DC0C6E"/>
    <w:rsid w:val="00DC1773"/>
    <w:rsid w:val="00DC2840"/>
    <w:rsid w:val="00DC45EF"/>
    <w:rsid w:val="00DC73EE"/>
    <w:rsid w:val="00DC7557"/>
    <w:rsid w:val="00DD05B1"/>
    <w:rsid w:val="00DD1220"/>
    <w:rsid w:val="00DD271C"/>
    <w:rsid w:val="00DD773A"/>
    <w:rsid w:val="00DE0D71"/>
    <w:rsid w:val="00DE264A"/>
    <w:rsid w:val="00DE43D7"/>
    <w:rsid w:val="00DF0A46"/>
    <w:rsid w:val="00DF1136"/>
    <w:rsid w:val="00DF5072"/>
    <w:rsid w:val="00DF6084"/>
    <w:rsid w:val="00DF6D53"/>
    <w:rsid w:val="00DF7AD7"/>
    <w:rsid w:val="00E02D18"/>
    <w:rsid w:val="00E041E7"/>
    <w:rsid w:val="00E20280"/>
    <w:rsid w:val="00E23CA1"/>
    <w:rsid w:val="00E26EAA"/>
    <w:rsid w:val="00E304B3"/>
    <w:rsid w:val="00E30E23"/>
    <w:rsid w:val="00E3139F"/>
    <w:rsid w:val="00E358CD"/>
    <w:rsid w:val="00E368A8"/>
    <w:rsid w:val="00E409A8"/>
    <w:rsid w:val="00E41AD1"/>
    <w:rsid w:val="00E4405C"/>
    <w:rsid w:val="00E4416D"/>
    <w:rsid w:val="00E456B0"/>
    <w:rsid w:val="00E50C12"/>
    <w:rsid w:val="00E54D81"/>
    <w:rsid w:val="00E622A2"/>
    <w:rsid w:val="00E6491F"/>
    <w:rsid w:val="00E654C4"/>
    <w:rsid w:val="00E65B91"/>
    <w:rsid w:val="00E67785"/>
    <w:rsid w:val="00E7209D"/>
    <w:rsid w:val="00E72EAD"/>
    <w:rsid w:val="00E73375"/>
    <w:rsid w:val="00E77153"/>
    <w:rsid w:val="00E77223"/>
    <w:rsid w:val="00E77EF5"/>
    <w:rsid w:val="00E82FCD"/>
    <w:rsid w:val="00E8528B"/>
    <w:rsid w:val="00E85B94"/>
    <w:rsid w:val="00E86DFE"/>
    <w:rsid w:val="00E9380F"/>
    <w:rsid w:val="00E978D0"/>
    <w:rsid w:val="00EA07A5"/>
    <w:rsid w:val="00EA4613"/>
    <w:rsid w:val="00EA7F91"/>
    <w:rsid w:val="00EB1523"/>
    <w:rsid w:val="00EB1F30"/>
    <w:rsid w:val="00EB35BD"/>
    <w:rsid w:val="00EB3A63"/>
    <w:rsid w:val="00EC0E49"/>
    <w:rsid w:val="00EC101F"/>
    <w:rsid w:val="00EC1D9F"/>
    <w:rsid w:val="00EC27BC"/>
    <w:rsid w:val="00EC3411"/>
    <w:rsid w:val="00ED65DA"/>
    <w:rsid w:val="00EE0131"/>
    <w:rsid w:val="00EE17B0"/>
    <w:rsid w:val="00EE18E3"/>
    <w:rsid w:val="00EE3724"/>
    <w:rsid w:val="00EE6D73"/>
    <w:rsid w:val="00EF06D9"/>
    <w:rsid w:val="00EF4BFA"/>
    <w:rsid w:val="00F00173"/>
    <w:rsid w:val="00F16232"/>
    <w:rsid w:val="00F17F59"/>
    <w:rsid w:val="00F2009A"/>
    <w:rsid w:val="00F27B72"/>
    <w:rsid w:val="00F3049E"/>
    <w:rsid w:val="00F30C64"/>
    <w:rsid w:val="00F31484"/>
    <w:rsid w:val="00F32BA2"/>
    <w:rsid w:val="00F32CDB"/>
    <w:rsid w:val="00F361C6"/>
    <w:rsid w:val="00F36767"/>
    <w:rsid w:val="00F40CC3"/>
    <w:rsid w:val="00F41C8E"/>
    <w:rsid w:val="00F41EE4"/>
    <w:rsid w:val="00F465F4"/>
    <w:rsid w:val="00F479F1"/>
    <w:rsid w:val="00F542AF"/>
    <w:rsid w:val="00F54BEB"/>
    <w:rsid w:val="00F550E0"/>
    <w:rsid w:val="00F565FE"/>
    <w:rsid w:val="00F56C94"/>
    <w:rsid w:val="00F63A70"/>
    <w:rsid w:val="00F63D8C"/>
    <w:rsid w:val="00F651BC"/>
    <w:rsid w:val="00F65DC6"/>
    <w:rsid w:val="00F6677C"/>
    <w:rsid w:val="00F668AE"/>
    <w:rsid w:val="00F7534E"/>
    <w:rsid w:val="00F815A4"/>
    <w:rsid w:val="00F83A22"/>
    <w:rsid w:val="00F92895"/>
    <w:rsid w:val="00F93EDF"/>
    <w:rsid w:val="00FA13EC"/>
    <w:rsid w:val="00FA1802"/>
    <w:rsid w:val="00FA21D0"/>
    <w:rsid w:val="00FA576D"/>
    <w:rsid w:val="00FA5F5F"/>
    <w:rsid w:val="00FB2AA7"/>
    <w:rsid w:val="00FB3136"/>
    <w:rsid w:val="00FB3212"/>
    <w:rsid w:val="00FB3A33"/>
    <w:rsid w:val="00FB5C35"/>
    <w:rsid w:val="00FB730C"/>
    <w:rsid w:val="00FC2695"/>
    <w:rsid w:val="00FC3AD9"/>
    <w:rsid w:val="00FC3E03"/>
    <w:rsid w:val="00FC3FC1"/>
    <w:rsid w:val="00FD2873"/>
    <w:rsid w:val="00FD296E"/>
    <w:rsid w:val="00FD2D81"/>
    <w:rsid w:val="00FE6F22"/>
    <w:rsid w:val="00FF2093"/>
    <w:rsid w:val="00FF6CD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6A0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1435817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9836553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ippo.bisotti@sintef.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A33620EFBC43346B235795169C37D6D" ma:contentTypeVersion="13" ma:contentTypeDescription="Opprett et nytt dokument." ma:contentTypeScope="" ma:versionID="34bc7a6fde04ce75f83d0e357ac1385c">
  <xsd:schema xmlns:xsd="http://www.w3.org/2001/XMLSchema" xmlns:xs="http://www.w3.org/2001/XMLSchema" xmlns:p="http://schemas.microsoft.com/office/2006/metadata/properties" xmlns:ns2="0674f856-cb2a-4a04-b6e3-5cac6b6797d1" xmlns:ns3="68f274b7-8eeb-4301-a144-d2315e8fb753" targetNamespace="http://schemas.microsoft.com/office/2006/metadata/properties" ma:root="true" ma:fieldsID="e518e105807aa7e8fc20544a98f07681" ns2:_="" ns3:_="">
    <xsd:import namespace="0674f856-cb2a-4a04-b6e3-5cac6b6797d1"/>
    <xsd:import namespace="68f274b7-8eeb-4301-a144-d2315e8fb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4f856-cb2a-4a04-b6e3-5cac6b679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322a372c-f9c2-4fd8-9939-aea158435b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274b7-8eeb-4301-a144-d2315e8fb75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9a514463-7c09-4376-b9dd-87cdf0425eb9}" ma:internalName="TaxCatchAll" ma:showField="CatchAllData" ma:web="68f274b7-8eeb-4301-a144-d2315e8fb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74f856-cb2a-4a04-b6e3-5cac6b6797d1">
      <Terms xmlns="http://schemas.microsoft.com/office/infopath/2007/PartnerControls"/>
    </lcf76f155ced4ddcb4097134ff3c332f>
    <TaxCatchAll xmlns="68f274b7-8eeb-4301-a144-d2315e8fb753" xsi:nil="true"/>
  </documentManagement>
</p:properties>
</file>

<file path=customXml/itemProps1.xml><?xml version="1.0" encoding="utf-8"?>
<ds:datastoreItem xmlns:ds="http://schemas.openxmlformats.org/officeDocument/2006/customXml" ds:itemID="{7921C31A-9AE6-4CD4-B943-F2349C140BEB}">
  <ds:schemaRefs>
    <ds:schemaRef ds:uri="http://schemas.microsoft.com/sharepoint/v3/contenttype/forms"/>
  </ds:schemaRefs>
</ds:datastoreItem>
</file>

<file path=customXml/itemProps2.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3.xml><?xml version="1.0" encoding="utf-8"?>
<ds:datastoreItem xmlns:ds="http://schemas.openxmlformats.org/officeDocument/2006/customXml" ds:itemID="{C84114AE-118E-4FAE-BA04-11B81DBBC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4f856-cb2a-4a04-b6e3-5cac6b6797d1"/>
    <ds:schemaRef ds:uri="68f274b7-8eeb-4301-a144-d2315e8fb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12DAB-2086-4821-BD0D-FA1051017641}">
  <ds:schemaRefs>
    <ds:schemaRef ds:uri="http://schemas.microsoft.com/office/2006/metadata/properties"/>
    <ds:schemaRef ds:uri="http://schemas.microsoft.com/office/infopath/2007/PartnerControls"/>
    <ds:schemaRef ds:uri="0674f856-cb2a-4a04-b6e3-5cac6b6797d1"/>
    <ds:schemaRef ds:uri="68f274b7-8eeb-4301-a144-d2315e8fb753"/>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6</Pages>
  <Words>3620</Words>
  <Characters>20031</Characters>
  <Application>Microsoft Office Word</Application>
  <DocSecurity>0</DocSecurity>
  <Lines>326</Lines>
  <Paragraphs>137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Filippo Bisotti</cp:lastModifiedBy>
  <cp:revision>592</cp:revision>
  <cp:lastPrinted>2025-03-20T16:57:00Z</cp:lastPrinted>
  <dcterms:created xsi:type="dcterms:W3CDTF">2024-02-20T10:29:00Z</dcterms:created>
  <dcterms:modified xsi:type="dcterms:W3CDTF">2025-05-27T17:33:00Z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0x0101000A33620EFBC43346B235795169C37D6D</vt:lpwstr>
  </property>
  <property fmtid="{D5CDD505-2E9C-101B-9397-08002B2CF9AE}" pid="5" name="MediaServiceImageTags">
    <vt:lpwstr/>
  </property>
  <property fmtid="{D5CDD505-2E9C-101B-9397-08002B2CF9AE}" pid="6" name="GrammarlyDocumentId">
    <vt:lpwstr>659656f2-839d-4684-9c1c-074de727090a</vt:lpwstr>
  </property>
</Properties>
</file>