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rawings/drawing3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940"/>
        <w:gridCol w:w="1842"/>
      </w:tblGrid>
      <w:tr w:rsidR="000A03B2" w:rsidRPr="00B57B36" w14:paraId="2A131A54" w14:textId="77777777" w:rsidTr="0015054D">
        <w:trPr>
          <w:trHeight w:val="852"/>
          <w:jc w:val="center"/>
        </w:trPr>
        <w:tc>
          <w:tcPr>
            <w:tcW w:w="6940" w:type="dxa"/>
            <w:vMerge w:val="restart"/>
            <w:tcBorders>
              <w:right w:val="single" w:sz="4" w:space="0" w:color="auto"/>
            </w:tcBorders>
          </w:tcPr>
          <w:p w14:paraId="38C3D2BA" w14:textId="77777777" w:rsidR="000A03B2" w:rsidRPr="00B57B36" w:rsidRDefault="000A03B2" w:rsidP="00DE264A">
            <w:pPr>
              <w:tabs>
                <w:tab w:val="left" w:pos="-108"/>
              </w:tabs>
              <w:ind w:left="-108"/>
              <w:jc w:val="left"/>
              <w:rPr>
                <w:rFonts w:cs="Arial"/>
                <w:b/>
                <w:bCs/>
                <w:i/>
                <w:iCs/>
                <w:color w:val="000066"/>
                <w:sz w:val="12"/>
                <w:szCs w:val="12"/>
                <w:lang w:eastAsia="it-IT"/>
              </w:rPr>
            </w:pPr>
            <w:bookmarkStart w:id="0" w:name="_Hlk145068772"/>
            <w:r w:rsidRPr="00B57B36">
              <w:rPr>
                <w:rFonts w:ascii="AdvP6960" w:hAnsi="AdvP6960" w:cs="AdvP6960"/>
                <w:noProof/>
                <w:color w:val="241F20"/>
                <w:szCs w:val="18"/>
                <w:lang w:val="it-IT" w:eastAsia="it-IT"/>
              </w:rPr>
              <w:drawing>
                <wp:inline distT="0" distB="0" distL="0" distR="0" wp14:anchorId="02B7C3D3" wp14:editId="5EE03112">
                  <wp:extent cx="640080" cy="373380"/>
                  <wp:effectExtent l="0" t="0" r="7620" b="7620"/>
                  <wp:docPr id="5" name="Immagine 5" descr="cet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et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7B36">
              <w:rPr>
                <w:rFonts w:ascii="AdvP6960" w:hAnsi="AdvP6960" w:cs="AdvP6960"/>
                <w:color w:val="241F20"/>
                <w:szCs w:val="18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000066"/>
                <w:sz w:val="24"/>
                <w:szCs w:val="24"/>
                <w:lang w:eastAsia="it-IT"/>
              </w:rPr>
              <w:t>CHEMICAL ENGINEERING</w:t>
            </w:r>
            <w:r w:rsidRPr="00B57B36">
              <w:rPr>
                <w:rFonts w:cs="Arial"/>
                <w:b/>
                <w:bCs/>
                <w:i/>
                <w:iCs/>
                <w:color w:val="0033FF"/>
                <w:sz w:val="24"/>
                <w:szCs w:val="24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666666"/>
                <w:sz w:val="24"/>
                <w:szCs w:val="24"/>
                <w:lang w:eastAsia="it-IT"/>
              </w:rPr>
              <w:t>TRANSACTIONS</w:t>
            </w:r>
            <w:r w:rsidRPr="00B57B36">
              <w:rPr>
                <w:color w:val="333333"/>
                <w:sz w:val="24"/>
                <w:szCs w:val="24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000066"/>
                <w:sz w:val="27"/>
                <w:szCs w:val="27"/>
                <w:lang w:eastAsia="it-IT"/>
              </w:rPr>
              <w:br/>
            </w:r>
          </w:p>
          <w:p w14:paraId="4B780582" w14:textId="47EF826C" w:rsidR="000A03B2" w:rsidRPr="00B57B36" w:rsidRDefault="00A76EFC" w:rsidP="001D21AF">
            <w:pPr>
              <w:tabs>
                <w:tab w:val="left" w:pos="-108"/>
              </w:tabs>
              <w:ind w:left="-108"/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</w:pPr>
            <w:r w:rsidRPr="00B57B36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VOL.</w:t>
            </w:r>
            <w:r w:rsidR="00785BF9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 </w:t>
            </w:r>
            <w:r w:rsidR="00994C6A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xxx</w:t>
            </w:r>
            <w:r w:rsidR="007B48F9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,</w:t>
            </w:r>
            <w:r w:rsidR="00FA5F5F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 </w:t>
            </w:r>
            <w:r w:rsidR="0030152C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202</w:t>
            </w:r>
            <w:r w:rsidR="00994C6A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184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6782132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A publication of</w:t>
            </w:r>
          </w:p>
          <w:p w14:paraId="599E5441" w14:textId="77777777" w:rsidR="000A03B2" w:rsidRPr="00B57B36" w:rsidRDefault="000A03B2" w:rsidP="00CD5FE2">
            <w:pPr>
              <w:jc w:val="right"/>
            </w:pPr>
            <w:r w:rsidRPr="00B57B36">
              <w:rPr>
                <w:noProof/>
                <w:lang w:val="it-IT" w:eastAsia="it-IT"/>
              </w:rPr>
              <w:drawing>
                <wp:inline distT="0" distB="0" distL="0" distR="0" wp14:anchorId="59C75AF4" wp14:editId="4FF92432">
                  <wp:extent cx="670560" cy="358140"/>
                  <wp:effectExtent l="0" t="0" r="0" b="3810"/>
                  <wp:docPr id="6" name="Immagine 6" descr="aidiclogo_gran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idiclogo_gran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B2" w:rsidRPr="00B57B36" w14:paraId="380FA3CD" w14:textId="77777777" w:rsidTr="0015054D">
        <w:trPr>
          <w:trHeight w:val="567"/>
          <w:jc w:val="center"/>
        </w:trPr>
        <w:tc>
          <w:tcPr>
            <w:tcW w:w="6940" w:type="dxa"/>
            <w:vMerge/>
            <w:tcBorders>
              <w:right w:val="single" w:sz="4" w:space="0" w:color="auto"/>
            </w:tcBorders>
          </w:tcPr>
          <w:p w14:paraId="39E5E4C1" w14:textId="77777777" w:rsidR="000A03B2" w:rsidRPr="00B57B36" w:rsidRDefault="000A03B2" w:rsidP="00CD5FE2">
            <w:pPr>
              <w:tabs>
                <w:tab w:val="left" w:pos="-108"/>
              </w:tabs>
            </w:pPr>
          </w:p>
        </w:tc>
        <w:tc>
          <w:tcPr>
            <w:tcW w:w="184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3858A98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The Italian Association</w:t>
            </w:r>
          </w:p>
          <w:p w14:paraId="7522B1D2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of Chemical Engineering</w:t>
            </w:r>
          </w:p>
          <w:p w14:paraId="4F0CC5DE" w14:textId="47FDB2FC" w:rsidR="000A03B2" w:rsidRPr="000D0268" w:rsidRDefault="000D0268" w:rsidP="00CD5FE2">
            <w:pPr>
              <w:spacing w:line="140" w:lineRule="atLeast"/>
              <w:jc w:val="right"/>
              <w:rPr>
                <w:rFonts w:cs="Arial"/>
                <w:sz w:val="13"/>
                <w:szCs w:val="13"/>
              </w:rPr>
            </w:pPr>
            <w:r w:rsidRPr="000D0268">
              <w:rPr>
                <w:rFonts w:cs="Arial"/>
                <w:sz w:val="13"/>
                <w:szCs w:val="13"/>
              </w:rPr>
              <w:t>Online at www.cetjournal.it</w:t>
            </w:r>
          </w:p>
        </w:tc>
      </w:tr>
      <w:tr w:rsidR="000A03B2" w:rsidRPr="00B57B36" w14:paraId="2D1B7169" w14:textId="77777777" w:rsidTr="0015054D">
        <w:trPr>
          <w:trHeight w:val="68"/>
          <w:jc w:val="center"/>
        </w:trPr>
        <w:tc>
          <w:tcPr>
            <w:tcW w:w="8782" w:type="dxa"/>
            <w:gridSpan w:val="2"/>
          </w:tcPr>
          <w:p w14:paraId="1D8DD3C9" w14:textId="0F721BB9" w:rsidR="00AA7D26" w:rsidRPr="008832AA" w:rsidRDefault="00AA7D26" w:rsidP="008832AA">
            <w:pPr>
              <w:ind w:left="-107"/>
              <w:outlineLvl w:val="2"/>
              <w:rPr>
                <w:rFonts w:ascii="Aptos" w:eastAsiaTheme="minorHAnsi" w:hAnsi="Aptos" w:cs="Aptos"/>
                <w:sz w:val="22"/>
                <w:szCs w:val="22"/>
                <w:lang w:val="it-IT"/>
                <w14:ligatures w14:val="standardContextual"/>
              </w:rPr>
            </w:pPr>
            <w:r w:rsidRPr="007D610D">
              <w:rPr>
                <w:rFonts w:ascii="Tahoma" w:hAnsi="Tahoma" w:cs="Tahoma"/>
                <w:iCs/>
                <w:color w:val="333333"/>
                <w:sz w:val="14"/>
                <w:szCs w:val="14"/>
                <w:lang w:val="it-IT" w:eastAsia="it-IT"/>
              </w:rPr>
              <w:t>Guest Editors:</w:t>
            </w:r>
            <w:r w:rsidR="008832AA" w:rsidRPr="008832AA">
              <w:rPr>
                <w:rFonts w:ascii="Aptos" w:eastAsiaTheme="minorHAnsi" w:hAnsi="Aptos" w:cs="Aptos"/>
                <w:sz w:val="22"/>
                <w:szCs w:val="22"/>
                <w:lang w:val="it-IT"/>
              </w:rPr>
              <w:t xml:space="preserve"> </w:t>
            </w:r>
            <w:r w:rsidR="008832AA" w:rsidRPr="008832AA">
              <w:rPr>
                <w:rFonts w:ascii="Tahoma" w:eastAsiaTheme="minorHAnsi" w:hAnsi="Tahoma" w:cs="Tahoma"/>
                <w:sz w:val="14"/>
                <w:szCs w:val="14"/>
                <w:lang w:val="it-IT"/>
                <w14:ligatures w14:val="standardContextual"/>
              </w:rPr>
              <w:t>David Bogle, Flavio Manenti, Piero Salatino</w:t>
            </w:r>
          </w:p>
          <w:p w14:paraId="1B0F1814" w14:textId="39433521" w:rsidR="000A03B2" w:rsidRPr="00B57B36" w:rsidRDefault="00AA7D26" w:rsidP="00AA7D26">
            <w:pPr>
              <w:tabs>
                <w:tab w:val="left" w:pos="-108"/>
              </w:tabs>
              <w:spacing w:line="140" w:lineRule="atLeast"/>
              <w:ind w:left="-107"/>
              <w:jc w:val="left"/>
            </w:pPr>
            <w:r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Copyright © 202</w:t>
            </w:r>
            <w:r w:rsidR="00994C6A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5</w:t>
            </w:r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, AIDIC </w:t>
            </w:r>
            <w:proofErr w:type="spellStart"/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Servizi</w:t>
            </w:r>
            <w:proofErr w:type="spellEnd"/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S.r.l</w:t>
            </w:r>
            <w:proofErr w:type="spellEnd"/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.</w:t>
            </w:r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br/>
            </w:r>
            <w:r w:rsidRPr="00B57B36">
              <w:rPr>
                <w:rFonts w:ascii="Tahoma" w:hAnsi="Tahoma" w:cs="Tahoma"/>
                <w:b/>
                <w:iCs/>
                <w:color w:val="000000"/>
                <w:sz w:val="14"/>
                <w:szCs w:val="14"/>
                <w:lang w:eastAsia="it-IT"/>
              </w:rPr>
              <w:t>ISBN</w:t>
            </w:r>
            <w:r w:rsidRPr="00B57B36">
              <w:rPr>
                <w:rFonts w:ascii="Tahoma" w:hAnsi="Tahoma" w:cs="Tahoma"/>
                <w:iCs/>
                <w:color w:val="000000"/>
                <w:sz w:val="14"/>
                <w:szCs w:val="14"/>
                <w:lang w:eastAsia="it-IT"/>
              </w:rPr>
              <w:t xml:space="preserve"> </w:t>
            </w:r>
            <w:r w:rsidR="003B49CD" w:rsidRPr="000562A9">
              <w:rPr>
                <w:rFonts w:ascii="Tahoma" w:hAnsi="Tahoma" w:cs="Tahoma"/>
                <w:sz w:val="14"/>
                <w:szCs w:val="14"/>
              </w:rPr>
              <w:t>97</w:t>
            </w:r>
            <w:r w:rsidR="003B49CD">
              <w:rPr>
                <w:rFonts w:ascii="Tahoma" w:hAnsi="Tahoma" w:cs="Tahoma"/>
                <w:sz w:val="14"/>
                <w:szCs w:val="14"/>
              </w:rPr>
              <w:t>9</w:t>
            </w:r>
            <w:r w:rsidR="003B49CD" w:rsidRPr="000562A9">
              <w:rPr>
                <w:rFonts w:ascii="Tahoma" w:hAnsi="Tahoma" w:cs="Tahoma"/>
                <w:sz w:val="14"/>
                <w:szCs w:val="14"/>
              </w:rPr>
              <w:t>-</w:t>
            </w:r>
            <w:r w:rsidR="003B49CD">
              <w:rPr>
                <w:rFonts w:ascii="Tahoma" w:hAnsi="Tahoma" w:cs="Tahoma"/>
                <w:sz w:val="14"/>
                <w:szCs w:val="14"/>
              </w:rPr>
              <w:t>12</w:t>
            </w:r>
            <w:r w:rsidR="003B49CD" w:rsidRPr="000562A9">
              <w:rPr>
                <w:rFonts w:ascii="Tahoma" w:hAnsi="Tahoma" w:cs="Tahoma"/>
                <w:sz w:val="14"/>
                <w:szCs w:val="14"/>
              </w:rPr>
              <w:t>-</w:t>
            </w:r>
            <w:r w:rsidR="003B49CD">
              <w:rPr>
                <w:rFonts w:ascii="Tahoma" w:hAnsi="Tahoma" w:cs="Tahoma"/>
                <w:sz w:val="14"/>
                <w:szCs w:val="14"/>
              </w:rPr>
              <w:t>81206-</w:t>
            </w:r>
            <w:r w:rsidR="003904D3">
              <w:rPr>
                <w:rFonts w:ascii="Tahoma" w:hAnsi="Tahoma" w:cs="Tahoma"/>
                <w:sz w:val="14"/>
                <w:szCs w:val="14"/>
              </w:rPr>
              <w:t>21</w:t>
            </w:r>
            <w:r w:rsidR="003B49CD" w:rsidRPr="003904D3">
              <w:rPr>
                <w:rFonts w:ascii="Tahoma" w:hAnsi="Tahoma" w:cs="Tahoma"/>
                <w:sz w:val="14"/>
                <w:szCs w:val="14"/>
              </w:rPr>
              <w:t>-</w:t>
            </w:r>
            <w:r w:rsidR="003904D3">
              <w:rPr>
                <w:rFonts w:ascii="Tahoma" w:hAnsi="Tahoma" w:cs="Tahoma"/>
                <w:sz w:val="14"/>
                <w:szCs w:val="14"/>
              </w:rPr>
              <w:t>2</w:t>
            </w:r>
            <w:r w:rsidRPr="00EF06D9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;</w:t>
            </w:r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</w:t>
            </w:r>
            <w:r w:rsidRPr="00B57B36">
              <w:rPr>
                <w:rFonts w:ascii="Tahoma" w:hAnsi="Tahoma" w:cs="Tahoma"/>
                <w:b/>
                <w:iCs/>
                <w:color w:val="333333"/>
                <w:sz w:val="14"/>
                <w:szCs w:val="14"/>
                <w:lang w:eastAsia="it-IT"/>
              </w:rPr>
              <w:t>ISSN</w:t>
            </w:r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2283-9216</w:t>
            </w:r>
          </w:p>
        </w:tc>
      </w:tr>
    </w:tbl>
    <w:bookmarkEnd w:id="0"/>
    <w:p w14:paraId="3EE73C92" w14:textId="45D5B4BB" w:rsidR="0015054D" w:rsidRDefault="0015054D" w:rsidP="00B57E6F">
      <w:pPr>
        <w:pStyle w:val="CETAuthors"/>
        <w:rPr>
          <w:noProof w:val="0"/>
          <w:sz w:val="32"/>
        </w:rPr>
      </w:pPr>
      <w:r w:rsidRPr="0015054D">
        <w:rPr>
          <w:noProof w:val="0"/>
          <w:sz w:val="32"/>
        </w:rPr>
        <w:t>Double-zone methanol reactor: performance comparison with different coolants</w:t>
      </w:r>
    </w:p>
    <w:p w14:paraId="0488FED2" w14:textId="73DA9848" w:rsidR="00B57E6F" w:rsidRPr="0015054D" w:rsidRDefault="0015054D" w:rsidP="00B57E6F">
      <w:pPr>
        <w:pStyle w:val="CETAuthors"/>
        <w:rPr>
          <w:lang w:val="it-IT"/>
        </w:rPr>
      </w:pPr>
      <w:r w:rsidRPr="0015054D">
        <w:rPr>
          <w:lang w:val="it-IT"/>
        </w:rPr>
        <w:t>Grazia Leonzio</w:t>
      </w:r>
      <w:r w:rsidR="00B57E6F" w:rsidRPr="0015054D">
        <w:rPr>
          <w:vertAlign w:val="superscript"/>
          <w:lang w:val="it-IT"/>
        </w:rPr>
        <w:t>a</w:t>
      </w:r>
      <w:r w:rsidRPr="0015054D">
        <w:rPr>
          <w:vertAlign w:val="superscript"/>
          <w:lang w:val="it-IT"/>
        </w:rPr>
        <w:t>,</w:t>
      </w:r>
      <w:r w:rsidRPr="0015054D">
        <w:rPr>
          <w:lang w:val="it-IT"/>
        </w:rPr>
        <w:t>*</w:t>
      </w:r>
      <w:r w:rsidR="00B57E6F" w:rsidRPr="0015054D">
        <w:rPr>
          <w:lang w:val="it-IT"/>
        </w:rPr>
        <w:t xml:space="preserve">, </w:t>
      </w:r>
      <w:r w:rsidRPr="0015054D">
        <w:rPr>
          <w:lang w:val="it-IT"/>
        </w:rPr>
        <w:t>Giovanni Manenti</w:t>
      </w:r>
      <w:r w:rsidR="00B57E6F" w:rsidRPr="0015054D">
        <w:rPr>
          <w:vertAlign w:val="superscript"/>
          <w:lang w:val="it-IT"/>
        </w:rPr>
        <w:t>b</w:t>
      </w:r>
      <w:r w:rsidR="00B57E6F" w:rsidRPr="0015054D">
        <w:rPr>
          <w:lang w:val="it-IT"/>
        </w:rPr>
        <w:t xml:space="preserve">, </w:t>
      </w:r>
      <w:r w:rsidRPr="0015054D">
        <w:rPr>
          <w:lang w:val="it-IT"/>
        </w:rPr>
        <w:t>Roberto Bara</w:t>
      </w:r>
      <w:r>
        <w:rPr>
          <w:lang w:val="it-IT"/>
        </w:rPr>
        <w:t>tti</w:t>
      </w:r>
      <w:r>
        <w:rPr>
          <w:vertAlign w:val="superscript"/>
          <w:lang w:val="it-IT"/>
        </w:rPr>
        <w:t>a</w:t>
      </w:r>
      <w:r>
        <w:rPr>
          <w:lang w:val="it-IT"/>
        </w:rPr>
        <w:t>, Flavio Manenti</w:t>
      </w:r>
      <w:r>
        <w:rPr>
          <w:vertAlign w:val="superscript"/>
          <w:lang w:val="it-IT"/>
        </w:rPr>
        <w:t>c</w:t>
      </w:r>
    </w:p>
    <w:p w14:paraId="7F85ED66" w14:textId="4B918EA8" w:rsidR="00194791" w:rsidRPr="008B2DC0" w:rsidRDefault="00B57E6F" w:rsidP="00194791">
      <w:pPr>
        <w:rPr>
          <w:rFonts w:ascii="Times New Roman" w:hAnsi="Times New Roman"/>
          <w:lang w:val="en-US"/>
        </w:rPr>
      </w:pPr>
      <w:proofErr w:type="spellStart"/>
      <w:r w:rsidRPr="0015054D">
        <w:rPr>
          <w:vertAlign w:val="superscript"/>
          <w:lang w:val="en-US"/>
        </w:rPr>
        <w:t>a</w:t>
      </w:r>
      <w:r w:rsidR="00194791" w:rsidRPr="00A40B21">
        <w:rPr>
          <w:rFonts w:ascii="Times New Roman" w:hAnsi="Times New Roman"/>
          <w:lang w:val="en-US"/>
        </w:rPr>
        <w:t>Cagliari</w:t>
      </w:r>
      <w:proofErr w:type="spellEnd"/>
      <w:r w:rsidR="00194791" w:rsidRPr="00A40B21">
        <w:rPr>
          <w:rFonts w:ascii="Times New Roman" w:hAnsi="Times New Roman"/>
          <w:lang w:val="en-US"/>
        </w:rPr>
        <w:t xml:space="preserve"> University, Department of Mechanical, Chemical and Materials Engineering, via Marengo 2, 09123 Cagliari, Italy</w:t>
      </w:r>
    </w:p>
    <w:p w14:paraId="6DD664AF" w14:textId="4D9D4A54" w:rsidR="00194791" w:rsidRPr="00194791" w:rsidRDefault="00B57E6F" w:rsidP="00194791">
      <w:pPr>
        <w:rPr>
          <w:rFonts w:ascii="Times New Roman" w:hAnsi="Times New Roman"/>
          <w:lang w:val="it-IT"/>
        </w:rPr>
      </w:pPr>
      <w:proofErr w:type="spellStart"/>
      <w:r w:rsidRPr="00194791">
        <w:rPr>
          <w:vertAlign w:val="superscript"/>
          <w:lang w:val="it-IT"/>
        </w:rPr>
        <w:t>b</w:t>
      </w:r>
      <w:r w:rsidR="000D2CE4">
        <w:rPr>
          <w:rFonts w:ascii="Times New Roman" w:hAnsi="Times New Roman"/>
          <w:lang w:val="it-IT"/>
        </w:rPr>
        <w:t>Consultant</w:t>
      </w:r>
      <w:proofErr w:type="spellEnd"/>
      <w:r w:rsidR="00194791" w:rsidRPr="00194791">
        <w:rPr>
          <w:rFonts w:ascii="Times New Roman" w:hAnsi="Times New Roman"/>
          <w:lang w:val="it-IT"/>
        </w:rPr>
        <w:t xml:space="preserve">, </w:t>
      </w:r>
      <w:r w:rsidR="008B2DC0" w:rsidRPr="00194791">
        <w:rPr>
          <w:rFonts w:ascii="Times New Roman" w:hAnsi="Times New Roman"/>
          <w:lang w:val="it-IT"/>
        </w:rPr>
        <w:t>24064</w:t>
      </w:r>
      <w:r w:rsidR="008B2DC0">
        <w:rPr>
          <w:rFonts w:ascii="Times New Roman" w:hAnsi="Times New Roman"/>
          <w:lang w:val="it-IT"/>
        </w:rPr>
        <w:t xml:space="preserve">, </w:t>
      </w:r>
      <w:r w:rsidR="00194791" w:rsidRPr="00194791">
        <w:rPr>
          <w:rFonts w:ascii="Times New Roman" w:hAnsi="Times New Roman"/>
          <w:lang w:val="it-IT"/>
        </w:rPr>
        <w:t>Grumello del Monte,</w:t>
      </w:r>
      <w:r w:rsidR="008B2DC0">
        <w:rPr>
          <w:rFonts w:ascii="Times New Roman" w:hAnsi="Times New Roman"/>
          <w:lang w:val="it-IT"/>
        </w:rPr>
        <w:t xml:space="preserve"> </w:t>
      </w:r>
      <w:proofErr w:type="spellStart"/>
      <w:r w:rsidR="00194791" w:rsidRPr="00194791">
        <w:rPr>
          <w:rFonts w:ascii="Times New Roman" w:hAnsi="Times New Roman"/>
          <w:lang w:val="it-IT"/>
        </w:rPr>
        <w:t>Italy</w:t>
      </w:r>
      <w:proofErr w:type="spellEnd"/>
    </w:p>
    <w:p w14:paraId="276B7202" w14:textId="01DEFD00" w:rsidR="00194791" w:rsidRPr="00194791" w:rsidRDefault="00194791" w:rsidP="00194791">
      <w:pPr>
        <w:rPr>
          <w:rFonts w:ascii="Times New Roman" w:hAnsi="Times New Roman"/>
          <w:lang w:val="it-IT"/>
        </w:rPr>
      </w:pPr>
      <w:proofErr w:type="spellStart"/>
      <w:r w:rsidRPr="00194791">
        <w:rPr>
          <w:rFonts w:ascii="Times New Roman" w:hAnsi="Times New Roman"/>
          <w:vertAlign w:val="superscript"/>
          <w:lang w:val="it-IT"/>
        </w:rPr>
        <w:t>c</w:t>
      </w:r>
      <w:r w:rsidRPr="00194791">
        <w:rPr>
          <w:rFonts w:ascii="Times New Roman" w:hAnsi="Times New Roman"/>
          <w:lang w:val="it-IT"/>
        </w:rPr>
        <w:t>Politecnico</w:t>
      </w:r>
      <w:proofErr w:type="spellEnd"/>
      <w:r w:rsidRPr="00194791">
        <w:rPr>
          <w:rFonts w:ascii="Times New Roman" w:hAnsi="Times New Roman"/>
          <w:lang w:val="it-IT"/>
        </w:rPr>
        <w:t xml:space="preserve"> Di Milano, Dipartimento CMIC “Giulio Natta”, Piazza Leonardo Da Vinci 32, 20133 Milano, </w:t>
      </w:r>
      <w:proofErr w:type="spellStart"/>
      <w:r w:rsidRPr="00194791">
        <w:rPr>
          <w:rFonts w:ascii="Times New Roman" w:hAnsi="Times New Roman"/>
          <w:lang w:val="it-IT"/>
        </w:rPr>
        <w:t>Italy</w:t>
      </w:r>
      <w:proofErr w:type="spellEnd"/>
    </w:p>
    <w:p w14:paraId="58435CBA" w14:textId="600187DF" w:rsidR="00194791" w:rsidRPr="00194791" w:rsidRDefault="00194791" w:rsidP="00194791">
      <w:pPr>
        <w:rPr>
          <w:rFonts w:ascii="Times New Roman" w:hAnsi="Times New Roman"/>
          <w:lang w:val="it-IT"/>
        </w:rPr>
      </w:pPr>
    </w:p>
    <w:p w14:paraId="73F1267A" w14:textId="5882E5F6" w:rsidR="00B57E6F" w:rsidRDefault="00194791" w:rsidP="00194791">
      <w:pPr>
        <w:pStyle w:val="CETAddress"/>
      </w:pPr>
      <w:hyperlink r:id="rId10" w:history="1">
        <w:r w:rsidRPr="001C6554">
          <w:rPr>
            <w:rStyle w:val="Collegamentoipertestuale"/>
          </w:rPr>
          <w:t>grazia.leonzio@unica.it</w:t>
        </w:r>
      </w:hyperlink>
    </w:p>
    <w:p w14:paraId="19D14A12" w14:textId="77777777" w:rsidR="00D95F44" w:rsidRDefault="00D95F44" w:rsidP="00D95F44">
      <w:pPr>
        <w:pStyle w:val="CETnumberingbullets"/>
        <w:numPr>
          <w:ilvl w:val="0"/>
          <w:numId w:val="0"/>
        </w:numPr>
      </w:pPr>
    </w:p>
    <w:p w14:paraId="38F76186" w14:textId="58D2B9C5" w:rsidR="006A6DE5" w:rsidRDefault="00D95F44" w:rsidP="00D95F44">
      <w:pPr>
        <w:pStyle w:val="CETnumberingbullets"/>
        <w:numPr>
          <w:ilvl w:val="0"/>
          <w:numId w:val="0"/>
        </w:numPr>
        <w:jc w:val="both"/>
      </w:pPr>
      <w:r w:rsidRPr="00D95F44">
        <w:t xml:space="preserve">Methanol is one of the most important raw </w:t>
      </w:r>
      <w:r w:rsidR="000D2CE4" w:rsidRPr="00D95F44">
        <w:t>materials</w:t>
      </w:r>
      <w:r w:rsidRPr="00D95F44">
        <w:t xml:space="preserve"> in </w:t>
      </w:r>
      <w:r w:rsidR="000D2CE4">
        <w:t>refining</w:t>
      </w:r>
      <w:r w:rsidRPr="00D95F44">
        <w:t xml:space="preserve"> and chemical industries with a global demand continuously increasing around the world. Currently, different commercial methanol reactors are </w:t>
      </w:r>
      <w:r w:rsidR="000D2CE4">
        <w:t>available;</w:t>
      </w:r>
      <w:r w:rsidRPr="00D95F44">
        <w:t xml:space="preserve"> </w:t>
      </w:r>
      <w:r w:rsidR="000D2CE4">
        <w:t xml:space="preserve">existing </w:t>
      </w:r>
      <w:r w:rsidRPr="00D95F44">
        <w:t xml:space="preserve">different </w:t>
      </w:r>
      <w:r w:rsidR="000D2CE4" w:rsidRPr="00D95F44">
        <w:t>configurations</w:t>
      </w:r>
      <w:r w:rsidR="000D2CE4">
        <w:t>, described</w:t>
      </w:r>
      <w:r w:rsidR="000D2CE4" w:rsidRPr="00D95F44">
        <w:t xml:space="preserve"> </w:t>
      </w:r>
      <w:r w:rsidRPr="00D95F44">
        <w:t xml:space="preserve">in </w:t>
      </w:r>
      <w:r w:rsidR="000D2CE4">
        <w:t>open</w:t>
      </w:r>
      <w:r w:rsidR="000D2CE4" w:rsidRPr="00D95F44">
        <w:t xml:space="preserve"> </w:t>
      </w:r>
      <w:r w:rsidRPr="00D95F44">
        <w:t>literature</w:t>
      </w:r>
      <w:r w:rsidR="000D2CE4">
        <w:t>, are conceived</w:t>
      </w:r>
      <w:r w:rsidRPr="00D95F44">
        <w:t xml:space="preserve"> to increase both productivity and yield. </w:t>
      </w:r>
      <w:r w:rsidR="000D2CE4">
        <w:t>Within</w:t>
      </w:r>
      <w:r w:rsidR="000D2CE4" w:rsidRPr="00D95F44">
        <w:t xml:space="preserve"> </w:t>
      </w:r>
      <w:r w:rsidRPr="00D95F44">
        <w:t xml:space="preserve">this context, a reactor configuration with a double-zone </w:t>
      </w:r>
      <w:r w:rsidR="000D2CE4">
        <w:t>on shell-</w:t>
      </w:r>
      <w:r w:rsidR="00172D55">
        <w:t>side</w:t>
      </w:r>
      <w:r w:rsidR="00172D55" w:rsidRPr="00D95F44">
        <w:t xml:space="preserve"> </w:t>
      </w:r>
      <w:r>
        <w:t>(</w:t>
      </w:r>
      <w:r w:rsidRPr="00D95F44">
        <w:t>double-zone methanol reactor - DZMR</w:t>
      </w:r>
      <w:r>
        <w:t xml:space="preserve">) </w:t>
      </w:r>
      <w:r w:rsidRPr="00D95F44">
        <w:t>has been proposed in literature</w:t>
      </w:r>
      <w:r w:rsidR="00E753FC">
        <w:t xml:space="preserve">, </w:t>
      </w:r>
      <w:r w:rsidR="00D4600B">
        <w:t>such</w:t>
      </w:r>
      <w:r w:rsidR="00172D55">
        <w:t xml:space="preserve"> a DZM</w:t>
      </w:r>
      <w:r w:rsidR="00E753FC">
        <w:t xml:space="preserve"> reactor can work with </w:t>
      </w:r>
      <w:r w:rsidR="00172D55">
        <w:t>different</w:t>
      </w:r>
      <w:r w:rsidR="00E753FC">
        <w:t xml:space="preserve"> </w:t>
      </w:r>
      <w:r w:rsidR="00172D55">
        <w:t xml:space="preserve">shell-side </w:t>
      </w:r>
      <w:r w:rsidR="00E753FC">
        <w:t>coolants</w:t>
      </w:r>
      <w:r w:rsidR="00172D55">
        <w:t xml:space="preserve">; yet, relevant performance with different coolants has not been analysed so far. </w:t>
      </w:r>
    </w:p>
    <w:p w14:paraId="6AE30D80" w14:textId="0591E043" w:rsidR="00D95F44" w:rsidRDefault="00E753FC" w:rsidP="00D95F44">
      <w:pPr>
        <w:pStyle w:val="CETnumberingbullets"/>
        <w:numPr>
          <w:ilvl w:val="0"/>
          <w:numId w:val="0"/>
        </w:numPr>
        <w:jc w:val="both"/>
      </w:pPr>
      <w:r>
        <w:t>For this reason</w:t>
      </w:r>
      <w:r w:rsidR="00D95F44">
        <w:t xml:space="preserve">, </w:t>
      </w:r>
      <w:r>
        <w:t xml:space="preserve">the </w:t>
      </w:r>
      <w:r w:rsidR="00D95F44">
        <w:t>aim of this work is to compare different coolants water and diathermic oil</w:t>
      </w:r>
      <w:r w:rsidR="002C7ABB">
        <w:t>,</w:t>
      </w:r>
      <w:r w:rsidR="0023166A">
        <w:t xml:space="preserve"> both exchanging sensible heat</w:t>
      </w:r>
      <w:r w:rsidR="002C7ABB" w:rsidRPr="002C7ABB">
        <w:t xml:space="preserve"> </w:t>
      </w:r>
      <w:r w:rsidR="002C7ABB">
        <w:t>only</w:t>
      </w:r>
      <w:r w:rsidR="00D95F44">
        <w:t xml:space="preserve">) </w:t>
      </w:r>
      <w:r w:rsidR="002C7ABB">
        <w:t xml:space="preserve">fluxed </w:t>
      </w:r>
      <w:r w:rsidR="00D95F44">
        <w:t xml:space="preserve">in </w:t>
      </w:r>
      <w:r w:rsidR="00172D55">
        <w:t xml:space="preserve">a small-scale </w:t>
      </w:r>
      <w:r w:rsidR="00D95F44">
        <w:t>DZMR for methanol production from syngas</w:t>
      </w:r>
      <w:r w:rsidR="000D2CE4">
        <w:t>:</w:t>
      </w:r>
      <w:r w:rsidR="00D95F44">
        <w:t xml:space="preserve"> </w:t>
      </w:r>
      <w:r w:rsidR="000D2CE4">
        <w:t xml:space="preserve">specific consumption of coolants is compared </w:t>
      </w:r>
      <w:r w:rsidR="00916E9F">
        <w:t xml:space="preserve">at </w:t>
      </w:r>
      <w:r w:rsidR="00D95F44">
        <w:t xml:space="preserve">fixed </w:t>
      </w:r>
      <w:r w:rsidR="009C5B37">
        <w:t xml:space="preserve">reactor geometry, </w:t>
      </w:r>
      <w:r w:rsidR="00C85AB0">
        <w:t xml:space="preserve">coolant velocity, </w:t>
      </w:r>
      <w:r w:rsidR="00D95F44">
        <w:t xml:space="preserve">gas </w:t>
      </w:r>
      <w:r w:rsidR="009C5B37">
        <w:t xml:space="preserve">phase </w:t>
      </w:r>
      <w:r w:rsidR="00D95F44">
        <w:t>temperatures</w:t>
      </w:r>
      <w:r w:rsidR="009C5B37">
        <w:t xml:space="preserve">, </w:t>
      </w:r>
      <w:r w:rsidR="00D95F44">
        <w:t xml:space="preserve">and then fixed methanol </w:t>
      </w:r>
      <w:r w:rsidR="00916E9F">
        <w:t>throughput</w:t>
      </w:r>
      <w:r w:rsidR="00D95F44">
        <w:t xml:space="preserve">. </w:t>
      </w:r>
    </w:p>
    <w:p w14:paraId="753BABC4" w14:textId="48553079" w:rsidR="00C85AB0" w:rsidRDefault="00AF3C82" w:rsidP="00D95F44">
      <w:pPr>
        <w:pStyle w:val="CETnumberingbullets"/>
        <w:numPr>
          <w:ilvl w:val="0"/>
          <w:numId w:val="0"/>
        </w:numPr>
        <w:jc w:val="both"/>
      </w:pPr>
      <w:r>
        <w:t xml:space="preserve">Results show that a lower </w:t>
      </w:r>
      <w:r w:rsidR="002C7ABB">
        <w:t>flow</w:t>
      </w:r>
      <w:r w:rsidR="00EC5714">
        <w:t xml:space="preserve"> </w:t>
      </w:r>
      <w:r w:rsidR="002C7ABB">
        <w:t xml:space="preserve">rate </w:t>
      </w:r>
      <w:r>
        <w:t xml:space="preserve">of water is needed compared to that of oil. For </w:t>
      </w:r>
      <w:r w:rsidR="00A2387A">
        <w:t xml:space="preserve">the same </w:t>
      </w:r>
      <w:r>
        <w:t xml:space="preserve">productivity of 38 kg/h of methanol, </w:t>
      </w:r>
      <w:r w:rsidR="00B23486">
        <w:t>129</w:t>
      </w:r>
      <w:r>
        <w:t xml:space="preserve"> kg</w:t>
      </w:r>
      <w:r w:rsidR="002C7ABB">
        <w:t>/h</w:t>
      </w:r>
      <w:r>
        <w:t xml:space="preserve"> of water per kg</w:t>
      </w:r>
      <w:r w:rsidR="002C7ABB">
        <w:t>/h</w:t>
      </w:r>
      <w:r>
        <w:t xml:space="preserve"> of methanol are required against 165 kg</w:t>
      </w:r>
      <w:r w:rsidR="002C7ABB">
        <w:t>/h</w:t>
      </w:r>
      <w:r>
        <w:t xml:space="preserve"> of oil per kg</w:t>
      </w:r>
      <w:r w:rsidR="002C7ABB">
        <w:t>/h</w:t>
      </w:r>
      <w:r>
        <w:t xml:space="preserve"> of methanol. </w:t>
      </w:r>
      <w:r w:rsidR="00C85AB0">
        <w:t xml:space="preserve">A deeper economic analysis is suggested to compare the profitability </w:t>
      </w:r>
      <w:r w:rsidR="002C7ABB">
        <w:t xml:space="preserve">related to </w:t>
      </w:r>
      <w:r w:rsidR="00C85AB0">
        <w:t>both coolants in a small</w:t>
      </w:r>
      <w:r w:rsidR="00172D55">
        <w:t>-scale</w:t>
      </w:r>
      <w:r w:rsidR="00C85AB0">
        <w:t xml:space="preserve"> </w:t>
      </w:r>
      <w:r w:rsidR="002C7ABB">
        <w:t>DZMR</w:t>
      </w:r>
      <w:r w:rsidR="00C85AB0">
        <w:t xml:space="preserve">. </w:t>
      </w:r>
    </w:p>
    <w:p w14:paraId="476B2F2E" w14:textId="52B36035" w:rsidR="00600535" w:rsidRPr="00B57B36" w:rsidRDefault="00600535" w:rsidP="00600535">
      <w:pPr>
        <w:pStyle w:val="CETHeading1"/>
        <w:rPr>
          <w:lang w:val="en-GB"/>
        </w:rPr>
      </w:pPr>
      <w:r w:rsidRPr="00B57B36">
        <w:rPr>
          <w:lang w:val="en-GB"/>
        </w:rPr>
        <w:t>Introduction</w:t>
      </w:r>
    </w:p>
    <w:p w14:paraId="717A71A6" w14:textId="539F1B2C" w:rsidR="00DF2385" w:rsidRDefault="000C5AD9" w:rsidP="000C5AD9">
      <w:pPr>
        <w:pStyle w:val="CETBodytext"/>
      </w:pPr>
      <w:r>
        <w:t xml:space="preserve">Methanol </w:t>
      </w:r>
      <w:r w:rsidR="00423FC1">
        <w:t xml:space="preserve">(MeOH) </w:t>
      </w:r>
      <w:r>
        <w:t xml:space="preserve">is one of the most important base chemicals, used for </w:t>
      </w:r>
      <w:r w:rsidR="00131F11">
        <w:t>the production of</w:t>
      </w:r>
      <w:r>
        <w:t xml:space="preserve"> formaldehyde (26.9 %), olefins and propylene (19.3 %), methyl-tertiary-butyl-ether and tert-amyl methyl ether (9.7 %), gasoline blending (8.5 %), and biodiesel (3.5 %) </w:t>
      </w:r>
      <w:r w:rsidR="003B0183">
        <w:t xml:space="preserve">(Dalena et al., 2018; </w:t>
      </w:r>
      <w:proofErr w:type="spellStart"/>
      <w:r w:rsidR="003B0183">
        <w:t>Suseno</w:t>
      </w:r>
      <w:proofErr w:type="spellEnd"/>
      <w:r w:rsidR="003B0183">
        <w:t xml:space="preserve"> and Umar, 2018)</w:t>
      </w:r>
      <w:r>
        <w:t xml:space="preserve">. It can be </w:t>
      </w:r>
      <w:r w:rsidR="002C7ABB">
        <w:t>conveniently</w:t>
      </w:r>
      <w:r>
        <w:t>, and relatively safely, stored and transported (it is a hydrogen carrier). Conventionally, methanol is produced from syngas (CO</w:t>
      </w:r>
      <w:r w:rsidR="00131F11">
        <w:t>)</w:t>
      </w:r>
      <w:r>
        <w:t>/</w:t>
      </w:r>
      <w:r w:rsidR="002155C0" w:rsidDel="002155C0">
        <w:t xml:space="preserve"> </w:t>
      </w:r>
      <w:r>
        <w:t>H</w:t>
      </w:r>
      <w:r w:rsidRPr="00400C73">
        <w:rPr>
          <w:vertAlign w:val="subscript"/>
        </w:rPr>
        <w:t>2</w:t>
      </w:r>
      <w:r w:rsidR="00131F11">
        <w:t>)/</w:t>
      </w:r>
      <w:r w:rsidR="002155C0" w:rsidDel="002155C0">
        <w:t xml:space="preserve"> </w:t>
      </w:r>
      <w:r w:rsidR="00131F11">
        <w:t>CO</w:t>
      </w:r>
      <w:r w:rsidR="00131F11" w:rsidRPr="00131F11">
        <w:rPr>
          <w:vertAlign w:val="subscript"/>
        </w:rPr>
        <w:t>2</w:t>
      </w:r>
      <w:r w:rsidR="00131F11">
        <w:t>)</w:t>
      </w:r>
      <w:r>
        <w:t xml:space="preserve"> mixture) obtained by steam hydrocarbons reforming (i.e., steam methane reforming) or hydrocarbons partial oxidation. Since 2020, global methanol consumption has raised to 100 Mt </w:t>
      </w:r>
      <w:r w:rsidR="003B0183">
        <w:t>(</w:t>
      </w:r>
      <w:proofErr w:type="spellStart"/>
      <w:r w:rsidR="003B0183">
        <w:t>MethanolPrice</w:t>
      </w:r>
      <w:proofErr w:type="spellEnd"/>
      <w:r w:rsidR="003B0183">
        <w:t>, 2024)</w:t>
      </w:r>
      <w:r>
        <w:t xml:space="preserve">, with the forecast to achieve approximately 150 Mt by 2026 and around 500 Mt by 2050 </w:t>
      </w:r>
      <w:r w:rsidR="003B0183">
        <w:t>(</w:t>
      </w:r>
      <w:proofErr w:type="spellStart"/>
      <w:r w:rsidR="003B0183" w:rsidRPr="003B0183">
        <w:t>Jitrwung</w:t>
      </w:r>
      <w:proofErr w:type="spellEnd"/>
      <w:r w:rsidR="003B0183">
        <w:t xml:space="preserve"> et al., 2025)</w:t>
      </w:r>
      <w:r>
        <w:t xml:space="preserve">. </w:t>
      </w:r>
    </w:p>
    <w:p w14:paraId="4BC00DF7" w14:textId="32FFD577" w:rsidR="003B0183" w:rsidRDefault="000C5AD9" w:rsidP="000C5AD9">
      <w:pPr>
        <w:pStyle w:val="CETBodytext"/>
      </w:pPr>
      <w:r>
        <w:t xml:space="preserve">Different reactor technologies are available for methanol industrial production; major technologies are proposed by process licensors as Air Liquide, Linde, </w:t>
      </w:r>
      <w:proofErr w:type="spellStart"/>
      <w:r>
        <w:t>Topsoe</w:t>
      </w:r>
      <w:proofErr w:type="spellEnd"/>
      <w:r>
        <w:t xml:space="preserve">, </w:t>
      </w:r>
      <w:r w:rsidR="002155C0">
        <w:t>Johnson Matthey</w:t>
      </w:r>
      <w:r>
        <w:t xml:space="preserve">, Casale and Toyo Eng. </w:t>
      </w:r>
      <w:r w:rsidR="003B0183">
        <w:t xml:space="preserve">(Manenti and </w:t>
      </w:r>
      <w:proofErr w:type="spellStart"/>
      <w:r w:rsidR="003B0183">
        <w:t>Bozzano</w:t>
      </w:r>
      <w:proofErr w:type="spellEnd"/>
      <w:r w:rsidR="003B0183">
        <w:t>, 2016)</w:t>
      </w:r>
      <w:r>
        <w:t>. Such technologies are of shell-and-tube type, shell-and-coil type, shell-and-plate type, with the catalyst allocated either on shell-side or on tube/coil/plate-side. Each technology presents pros and cons</w:t>
      </w:r>
      <w:r w:rsidR="00052151">
        <w:t xml:space="preserve"> </w:t>
      </w:r>
      <w:r w:rsidR="00D4600B">
        <w:t>and, in any case,</w:t>
      </w:r>
      <w:r>
        <w:t xml:space="preserve"> each technology is aimed to maximize the chemical conversion and selectivity.</w:t>
      </w:r>
    </w:p>
    <w:p w14:paraId="4D955B9D" w14:textId="2764D3B9" w:rsidR="00DF2385" w:rsidRDefault="00DF2385" w:rsidP="000C5AD9">
      <w:pPr>
        <w:pStyle w:val="CETBodytext"/>
        <w:rPr>
          <w:lang w:val="en-GB"/>
        </w:rPr>
      </w:pPr>
      <w:r w:rsidRPr="00DF2385">
        <w:rPr>
          <w:lang w:val="en-GB"/>
        </w:rPr>
        <w:t>Other reactor configurations have been investigated and proposed in the literature to improve the methanol yield by optimization of cooling, intermediate addition of reactants, flow pattern and product removal (</w:t>
      </w:r>
      <w:proofErr w:type="spellStart"/>
      <w:r w:rsidRPr="00DF2385">
        <w:rPr>
          <w:lang w:val="en-GB"/>
        </w:rPr>
        <w:t>Hastadi</w:t>
      </w:r>
      <w:proofErr w:type="spellEnd"/>
      <w:r w:rsidRPr="00DF2385">
        <w:rPr>
          <w:lang w:val="en-GB"/>
        </w:rPr>
        <w:t xml:space="preserve"> et al., 2022). </w:t>
      </w:r>
      <w:r>
        <w:rPr>
          <w:lang w:val="en-GB"/>
        </w:rPr>
        <w:t xml:space="preserve">In particular, among them, membrane reactors for water or methanol removal have been studied (Farsi et al., 2012; </w:t>
      </w:r>
      <w:proofErr w:type="spellStart"/>
      <w:r>
        <w:rPr>
          <w:lang w:val="en-GB"/>
        </w:rPr>
        <w:t>Bazmi</w:t>
      </w:r>
      <w:proofErr w:type="spellEnd"/>
      <w:r>
        <w:rPr>
          <w:lang w:val="en-GB"/>
        </w:rPr>
        <w:t xml:space="preserve"> et al., 2024; Samimi et al., 2018): the thermodynamic limitation is overcome and the </w:t>
      </w:r>
      <w:r w:rsidR="002C7ABB">
        <w:rPr>
          <w:lang w:val="en-GB"/>
        </w:rPr>
        <w:t>single-</w:t>
      </w:r>
      <w:r>
        <w:rPr>
          <w:lang w:val="en-GB"/>
        </w:rPr>
        <w:t xml:space="preserve">pass carbon conversion is increased. </w:t>
      </w:r>
      <w:r w:rsidR="00916E9F">
        <w:rPr>
          <w:lang w:val="en-GB"/>
        </w:rPr>
        <w:t>Similarly</w:t>
      </w:r>
      <w:r>
        <w:rPr>
          <w:lang w:val="en-GB"/>
        </w:rPr>
        <w:t xml:space="preserve">, </w:t>
      </w:r>
      <w:r w:rsidRPr="00DF2385">
        <w:rPr>
          <w:lang w:val="en-GB"/>
        </w:rPr>
        <w:t>fluidized bed reactor</w:t>
      </w:r>
      <w:r>
        <w:rPr>
          <w:lang w:val="en-GB"/>
        </w:rPr>
        <w:t>s with sorbents (e.g. zeolites) to adsorb mainly water (</w:t>
      </w:r>
      <w:proofErr w:type="spellStart"/>
      <w:r w:rsidRPr="00DF2385">
        <w:rPr>
          <w:lang w:val="en-GB"/>
        </w:rPr>
        <w:t>Abashar</w:t>
      </w:r>
      <w:proofErr w:type="spellEnd"/>
      <w:r w:rsidRPr="00DF2385">
        <w:rPr>
          <w:lang w:val="en-GB"/>
        </w:rPr>
        <w:t xml:space="preserve"> and Al-Rabiah</w:t>
      </w:r>
      <w:r>
        <w:rPr>
          <w:lang w:val="en-GB"/>
        </w:rPr>
        <w:t xml:space="preserve">, </w:t>
      </w:r>
      <w:r w:rsidRPr="00DF2385">
        <w:rPr>
          <w:lang w:val="en-GB"/>
        </w:rPr>
        <w:t>2018</w:t>
      </w:r>
      <w:r>
        <w:rPr>
          <w:lang w:val="en-GB"/>
        </w:rPr>
        <w:t>) and</w:t>
      </w:r>
      <w:r w:rsidR="00C0792D">
        <w:rPr>
          <w:lang w:val="en-GB"/>
        </w:rPr>
        <w:t>/or</w:t>
      </w:r>
      <w:r>
        <w:rPr>
          <w:lang w:val="en-GB"/>
        </w:rPr>
        <w:t xml:space="preserve"> </w:t>
      </w:r>
      <w:r w:rsidR="00131F11">
        <w:rPr>
          <w:lang w:val="en-GB"/>
        </w:rPr>
        <w:t>CO</w:t>
      </w:r>
      <w:r>
        <w:rPr>
          <w:lang w:val="en-GB"/>
        </w:rPr>
        <w:t xml:space="preserve"> (Leonzio, 2020) have been proposed</w:t>
      </w:r>
      <w:r w:rsidR="00C0792D">
        <w:rPr>
          <w:lang w:val="en-GB"/>
        </w:rPr>
        <w:t xml:space="preserve"> along with the </w:t>
      </w:r>
      <w:r w:rsidR="00C0792D" w:rsidRPr="00C0792D">
        <w:rPr>
          <w:lang w:val="en-GB"/>
        </w:rPr>
        <w:t>adiabatic and plate water-cooled reactor (APW)</w:t>
      </w:r>
      <w:r w:rsidR="00C0792D">
        <w:rPr>
          <w:lang w:val="en-GB"/>
        </w:rPr>
        <w:t xml:space="preserve"> suggested by </w:t>
      </w:r>
      <w:proofErr w:type="spellStart"/>
      <w:r w:rsidR="00C0792D" w:rsidRPr="00C0792D">
        <w:rPr>
          <w:lang w:val="en-GB"/>
        </w:rPr>
        <w:t>Rahmatmand</w:t>
      </w:r>
      <w:proofErr w:type="spellEnd"/>
      <w:r w:rsidR="00C0792D" w:rsidRPr="00C0792D">
        <w:rPr>
          <w:lang w:val="en-GB"/>
        </w:rPr>
        <w:t xml:space="preserve"> et al. (2019)</w:t>
      </w:r>
      <w:r w:rsidR="00C0792D">
        <w:rPr>
          <w:lang w:val="en-GB"/>
        </w:rPr>
        <w:t xml:space="preserve"> for product removal</w:t>
      </w:r>
      <w:r w:rsidR="00AD7216">
        <w:rPr>
          <w:lang w:val="en-GB"/>
        </w:rPr>
        <w:t xml:space="preserve"> and ensuring an increase of production of 12.2</w:t>
      </w:r>
      <w:r w:rsidR="00400C73">
        <w:rPr>
          <w:lang w:val="en-GB"/>
        </w:rPr>
        <w:t xml:space="preserve"> </w:t>
      </w:r>
      <w:r w:rsidR="00AD7216">
        <w:rPr>
          <w:lang w:val="en-GB"/>
        </w:rPr>
        <w:t xml:space="preserve">% compared to the conventional </w:t>
      </w:r>
      <w:r w:rsidR="00916E9F">
        <w:rPr>
          <w:lang w:val="en-GB"/>
        </w:rPr>
        <w:t>former-</w:t>
      </w:r>
      <w:r w:rsidR="00AD7216">
        <w:rPr>
          <w:lang w:val="en-GB"/>
        </w:rPr>
        <w:t>Lurgi type</w:t>
      </w:r>
      <w:r>
        <w:rPr>
          <w:lang w:val="en-GB"/>
        </w:rPr>
        <w:t>.</w:t>
      </w:r>
      <w:r w:rsidR="00AD7216">
        <w:rPr>
          <w:lang w:val="en-GB"/>
        </w:rPr>
        <w:t xml:space="preserve"> Moreover, </w:t>
      </w:r>
      <w:r w:rsidR="00AD7216">
        <w:rPr>
          <w:lang w:val="en-GB"/>
        </w:rPr>
        <w:lastRenderedPageBreak/>
        <w:t xml:space="preserve">in other </w:t>
      </w:r>
      <w:r w:rsidR="00131F11">
        <w:rPr>
          <w:lang w:val="en-GB"/>
        </w:rPr>
        <w:t>configuration</w:t>
      </w:r>
      <w:r w:rsidR="002C7ABB">
        <w:rPr>
          <w:lang w:val="en-GB"/>
        </w:rPr>
        <w:t>s</w:t>
      </w:r>
      <w:r w:rsidR="00AD7216">
        <w:rPr>
          <w:lang w:val="en-GB"/>
        </w:rPr>
        <w:t xml:space="preserve">, </w:t>
      </w:r>
      <w:r w:rsidR="00AD7216" w:rsidRPr="00AD7216">
        <w:rPr>
          <w:lang w:val="en-GB"/>
        </w:rPr>
        <w:t>reactor</w:t>
      </w:r>
      <w:r w:rsidR="00AD7216">
        <w:rPr>
          <w:lang w:val="en-GB"/>
        </w:rPr>
        <w:t xml:space="preserve">s </w:t>
      </w:r>
      <w:r w:rsidR="00AD7216" w:rsidRPr="00AD7216">
        <w:rPr>
          <w:lang w:val="en-GB"/>
        </w:rPr>
        <w:t>and reactants are split into multiple stages to optimise feed concentration and amount of catalyst along the length of the reactor</w:t>
      </w:r>
      <w:r w:rsidR="00AD7216">
        <w:rPr>
          <w:lang w:val="en-GB"/>
        </w:rPr>
        <w:t xml:space="preserve"> (</w:t>
      </w:r>
      <w:proofErr w:type="spellStart"/>
      <w:r w:rsidR="00AD7216" w:rsidRPr="00AD7216">
        <w:rPr>
          <w:lang w:val="en-GB"/>
        </w:rPr>
        <w:t>Hastadi</w:t>
      </w:r>
      <w:proofErr w:type="spellEnd"/>
      <w:r w:rsidR="00AD7216" w:rsidRPr="00AD7216">
        <w:rPr>
          <w:lang w:val="en-GB"/>
        </w:rPr>
        <w:t xml:space="preserve"> et al.</w:t>
      </w:r>
      <w:r w:rsidR="00AD7216">
        <w:rPr>
          <w:lang w:val="en-GB"/>
        </w:rPr>
        <w:t xml:space="preserve">, </w:t>
      </w:r>
      <w:r w:rsidR="00AD7216" w:rsidRPr="00AD7216">
        <w:rPr>
          <w:lang w:val="en-GB"/>
        </w:rPr>
        <w:t>2022)</w:t>
      </w:r>
      <w:r w:rsidR="00AD7216">
        <w:rPr>
          <w:lang w:val="en-GB"/>
        </w:rPr>
        <w:t xml:space="preserve">. </w:t>
      </w:r>
      <w:r w:rsidR="00131F11">
        <w:rPr>
          <w:lang w:val="en-GB"/>
        </w:rPr>
        <w:t>Also, d</w:t>
      </w:r>
      <w:r w:rsidR="00AD7216" w:rsidRPr="00AD7216">
        <w:rPr>
          <w:lang w:val="en-GB"/>
        </w:rPr>
        <w:t>ifferent gas flow patterns have been investigated in the literature to improve performances</w:t>
      </w:r>
      <w:r w:rsidR="00AD7216">
        <w:rPr>
          <w:lang w:val="en-GB"/>
        </w:rPr>
        <w:t xml:space="preserve"> (</w:t>
      </w:r>
      <w:proofErr w:type="spellStart"/>
      <w:r w:rsidR="00AD7216" w:rsidRPr="00AD7216">
        <w:rPr>
          <w:lang w:val="en-GB"/>
        </w:rPr>
        <w:t>Eksiri</w:t>
      </w:r>
      <w:proofErr w:type="spellEnd"/>
      <w:r w:rsidR="00AD7216" w:rsidRPr="00AD7216">
        <w:rPr>
          <w:lang w:val="en-GB"/>
        </w:rPr>
        <w:t xml:space="preserve"> et al.</w:t>
      </w:r>
      <w:r w:rsidR="00AD7216">
        <w:rPr>
          <w:lang w:val="en-GB"/>
        </w:rPr>
        <w:t xml:space="preserve">, </w:t>
      </w:r>
      <w:r w:rsidR="00AD7216" w:rsidRPr="00AD7216">
        <w:rPr>
          <w:lang w:val="en-GB"/>
        </w:rPr>
        <w:t>2020</w:t>
      </w:r>
      <w:r w:rsidR="00AD7216">
        <w:rPr>
          <w:lang w:val="en-GB"/>
        </w:rPr>
        <w:t xml:space="preserve">; </w:t>
      </w:r>
      <w:r w:rsidR="00AD7216" w:rsidRPr="00AD7216">
        <w:rPr>
          <w:lang w:val="en-GB"/>
        </w:rPr>
        <w:t>Dehghani et al.</w:t>
      </w:r>
      <w:r w:rsidR="00AD7216">
        <w:rPr>
          <w:lang w:val="en-GB"/>
        </w:rPr>
        <w:t xml:space="preserve">, </w:t>
      </w:r>
      <w:r w:rsidR="00AD7216" w:rsidRPr="00AD7216">
        <w:rPr>
          <w:lang w:val="en-GB"/>
        </w:rPr>
        <w:t>2021</w:t>
      </w:r>
      <w:r w:rsidR="00AD7216">
        <w:rPr>
          <w:lang w:val="en-GB"/>
        </w:rPr>
        <w:t>).</w:t>
      </w:r>
    </w:p>
    <w:p w14:paraId="2C07A276" w14:textId="4470EBE7" w:rsidR="000C5AD9" w:rsidRPr="007D6A35" w:rsidRDefault="00916E9F" w:rsidP="00600535">
      <w:pPr>
        <w:pStyle w:val="CETBodytext"/>
        <w:rPr>
          <w:lang w:val="en-GB"/>
        </w:rPr>
      </w:pPr>
      <w:r>
        <w:rPr>
          <w:lang w:val="en-GB"/>
        </w:rPr>
        <w:t xml:space="preserve">Within </w:t>
      </w:r>
      <w:r w:rsidR="00327C97">
        <w:rPr>
          <w:lang w:val="en-GB"/>
        </w:rPr>
        <w:t xml:space="preserve">this context, a double-zone methanol reactor (DZMR) has been </w:t>
      </w:r>
      <w:r w:rsidR="00E05269">
        <w:rPr>
          <w:lang w:val="en-GB"/>
        </w:rPr>
        <w:t>investigated</w:t>
      </w:r>
      <w:r w:rsidR="00327C97">
        <w:rPr>
          <w:lang w:val="en-GB"/>
        </w:rPr>
        <w:t xml:space="preserve"> in Leonzio et al. (2025)</w:t>
      </w:r>
      <w:r w:rsidR="002155C0">
        <w:rPr>
          <w:lang w:val="en-GB"/>
        </w:rPr>
        <w:t>, where</w:t>
      </w:r>
      <w:r w:rsidR="00327C97">
        <w:rPr>
          <w:lang w:val="en-GB"/>
        </w:rPr>
        <w:t xml:space="preserve"> </w:t>
      </w:r>
      <w:r w:rsidR="00895E39">
        <w:rPr>
          <w:lang w:val="en-GB"/>
        </w:rPr>
        <w:t>performance</w:t>
      </w:r>
      <w:r w:rsidR="00C07D71">
        <w:rPr>
          <w:lang w:val="en-GB"/>
        </w:rPr>
        <w:t>s</w:t>
      </w:r>
      <w:r w:rsidR="00895E39">
        <w:rPr>
          <w:lang w:val="en-GB"/>
        </w:rPr>
        <w:t xml:space="preserve"> of </w:t>
      </w:r>
      <w:r>
        <w:rPr>
          <w:lang w:val="en-GB"/>
        </w:rPr>
        <w:t>such D</w:t>
      </w:r>
      <w:r w:rsidR="00895E39">
        <w:rPr>
          <w:lang w:val="en-GB"/>
        </w:rPr>
        <w:t>ZM</w:t>
      </w:r>
      <w:r>
        <w:rPr>
          <w:lang w:val="en-GB"/>
        </w:rPr>
        <w:t>R</w:t>
      </w:r>
      <w:r w:rsidR="00895E39">
        <w:rPr>
          <w:lang w:val="en-GB"/>
        </w:rPr>
        <w:t>,</w:t>
      </w:r>
      <w:r w:rsidR="00327C97">
        <w:rPr>
          <w:lang w:val="en-GB"/>
        </w:rPr>
        <w:t xml:space="preserve"> cooled by diathermic oil</w:t>
      </w:r>
      <w:r w:rsidR="00895E39">
        <w:rPr>
          <w:lang w:val="en-GB"/>
        </w:rPr>
        <w:t xml:space="preserve">, </w:t>
      </w:r>
      <w:r w:rsidR="00C07D71">
        <w:rPr>
          <w:lang w:val="en-GB"/>
        </w:rPr>
        <w:t xml:space="preserve">are </w:t>
      </w:r>
      <w:r w:rsidR="00327C97">
        <w:rPr>
          <w:lang w:val="en-GB"/>
        </w:rPr>
        <w:t xml:space="preserve">evaluated. In particular, </w:t>
      </w:r>
      <w:r w:rsidR="002155C0">
        <w:t xml:space="preserve">this </w:t>
      </w:r>
      <w:r w:rsidR="000C5AD9">
        <w:t>reactor is of shell-and-tube type, with catalyst in</w:t>
      </w:r>
      <w:r w:rsidR="00052151">
        <w:t>side the</w:t>
      </w:r>
      <w:r w:rsidR="000C5AD9">
        <w:t xml:space="preserve"> tubes and coolant on</w:t>
      </w:r>
      <w:r w:rsidR="00F35DF1">
        <w:t xml:space="preserve"> the</w:t>
      </w:r>
      <w:r w:rsidR="000C5AD9">
        <w:t xml:space="preserve"> shell-side; the shell is </w:t>
      </w:r>
      <w:r w:rsidR="00131F11">
        <w:t>divided</w:t>
      </w:r>
      <w:r w:rsidR="000C5AD9">
        <w:t xml:space="preserve"> into two zones in fluid communication each other and located in series along the longitudinal axis of the reactor. </w:t>
      </w:r>
      <w:r w:rsidR="00F35DF1">
        <w:t>Overall, t</w:t>
      </w:r>
      <w:r w:rsidR="000C5AD9">
        <w:t xml:space="preserve">he DZMR configuration allows </w:t>
      </w:r>
      <w:r w:rsidR="002155C0">
        <w:t xml:space="preserve">installing </w:t>
      </w:r>
      <w:r w:rsidR="000C5AD9">
        <w:t>different shell-side thermal conditions on the two zones</w:t>
      </w:r>
      <w:r w:rsidR="00BB5EC0">
        <w:t xml:space="preserve"> and it is found that the </w:t>
      </w:r>
      <w:r w:rsidR="002155C0">
        <w:t xml:space="preserve">highest </w:t>
      </w:r>
      <w:r w:rsidR="00BB5EC0">
        <w:t xml:space="preserve">performances are obtained </w:t>
      </w:r>
      <w:r w:rsidR="000B3630">
        <w:t xml:space="preserve">when the </w:t>
      </w:r>
      <w:r w:rsidR="000B3630" w:rsidRPr="000B3630">
        <w:t xml:space="preserve">first shell-side zone </w:t>
      </w:r>
      <w:r w:rsidR="00895E39">
        <w:t>(</w:t>
      </w:r>
      <w:r w:rsidR="002155C0">
        <w:t>comprising the</w:t>
      </w:r>
      <w:r w:rsidR="00052151">
        <w:t xml:space="preserve"> </w:t>
      </w:r>
      <w:r w:rsidR="00895E39">
        <w:t xml:space="preserve">entry of </w:t>
      </w:r>
      <w:r w:rsidR="003D35D0">
        <w:t>reactants</w:t>
      </w:r>
      <w:r w:rsidR="00895E39">
        <w:t xml:space="preserve">) </w:t>
      </w:r>
      <w:r w:rsidR="000B3630" w:rsidRPr="000B3630">
        <w:t xml:space="preserve">works in non-isothermal conditions and the second shell-side zone </w:t>
      </w:r>
      <w:r w:rsidR="00895E39">
        <w:t>(</w:t>
      </w:r>
      <w:r w:rsidR="002155C0">
        <w:t>comprising the</w:t>
      </w:r>
      <w:r w:rsidR="00052151">
        <w:t xml:space="preserve"> </w:t>
      </w:r>
      <w:r w:rsidR="00895E39">
        <w:t xml:space="preserve">exit of products) </w:t>
      </w:r>
      <w:r w:rsidR="000B3630" w:rsidRPr="000B3630">
        <w:t>works in isothermal condition</w:t>
      </w:r>
      <w:r w:rsidR="00052151">
        <w:t xml:space="preserve">s, ensuring a </w:t>
      </w:r>
      <w:r w:rsidR="000B3630" w:rsidRPr="000B3630">
        <w:t xml:space="preserve">methanol production </w:t>
      </w:r>
      <w:r w:rsidR="000B3630">
        <w:t xml:space="preserve">of </w:t>
      </w:r>
      <w:r w:rsidR="00E263B8">
        <w:t>2600</w:t>
      </w:r>
      <w:r w:rsidR="000B3630" w:rsidRPr="000B3630">
        <w:t xml:space="preserve"> </w:t>
      </w:r>
      <w:proofErr w:type="spellStart"/>
      <w:r w:rsidR="000B3630" w:rsidRPr="000B3630">
        <w:t>t</w:t>
      </w:r>
      <w:r w:rsidR="00E263B8" w:rsidRPr="007D6A35">
        <w:rPr>
          <w:vertAlign w:val="subscript"/>
        </w:rPr>
        <w:t>MeOH</w:t>
      </w:r>
      <w:proofErr w:type="spellEnd"/>
      <w:r w:rsidR="000B3630" w:rsidRPr="000B3630">
        <w:t>/</w:t>
      </w:r>
      <w:proofErr w:type="spellStart"/>
      <w:r w:rsidR="00E263B8">
        <w:t>t</w:t>
      </w:r>
      <w:r w:rsidR="00E263B8" w:rsidRPr="007D6A35">
        <w:rPr>
          <w:vertAlign w:val="subscript"/>
        </w:rPr>
        <w:t>syngas</w:t>
      </w:r>
      <w:proofErr w:type="spellEnd"/>
      <w:r w:rsidR="00052151">
        <w:t xml:space="preserve"> and a</w:t>
      </w:r>
      <w:r w:rsidR="000B3630" w:rsidRPr="000B3630">
        <w:t xml:space="preserve"> </w:t>
      </w:r>
      <w:r w:rsidR="001C6F77">
        <w:t xml:space="preserve">methanol </w:t>
      </w:r>
      <w:r w:rsidR="000B3630" w:rsidRPr="000B3630">
        <w:t xml:space="preserve">yield and </w:t>
      </w:r>
      <w:r w:rsidR="001C6F77">
        <w:t xml:space="preserve">carbon </w:t>
      </w:r>
      <w:r w:rsidR="000B3630" w:rsidRPr="000B3630">
        <w:t xml:space="preserve">conversion </w:t>
      </w:r>
      <w:r w:rsidR="000B3630">
        <w:t xml:space="preserve">of </w:t>
      </w:r>
      <w:r w:rsidR="000B3630" w:rsidRPr="000B3630">
        <w:t>41</w:t>
      </w:r>
      <w:r w:rsidR="00400C73">
        <w:t xml:space="preserve"> </w:t>
      </w:r>
      <w:r w:rsidR="000B3630" w:rsidRPr="000B3630">
        <w:t>%</w:t>
      </w:r>
      <w:r w:rsidR="000B3630">
        <w:t xml:space="preserve">. </w:t>
      </w:r>
      <w:r w:rsidR="000C5AD9">
        <w:t>Specifically, th</w:t>
      </w:r>
      <w:r w:rsidR="00E05269">
        <w:t>e present</w:t>
      </w:r>
      <w:r w:rsidR="000C5AD9">
        <w:t xml:space="preserve"> </w:t>
      </w:r>
      <w:r w:rsidR="00895E39">
        <w:t xml:space="preserve">paper </w:t>
      </w:r>
      <w:r w:rsidR="000C5AD9">
        <w:t xml:space="preserve">investigates the performance of </w:t>
      </w:r>
      <w:r w:rsidR="00534125">
        <w:t xml:space="preserve">a small-scale </w:t>
      </w:r>
      <w:r w:rsidR="000C5AD9">
        <w:t>DZMR</w:t>
      </w:r>
      <w:r w:rsidR="00A2387A">
        <w:t xml:space="preserve"> </w:t>
      </w:r>
      <w:r w:rsidR="000C5AD9">
        <w:t>with different coolants on the shell-side</w:t>
      </w:r>
      <w:r w:rsidR="004F02D3">
        <w:t>,</w:t>
      </w:r>
      <w:r w:rsidR="00F35DF1">
        <w:t xml:space="preserve"> such as</w:t>
      </w:r>
      <w:r w:rsidR="000C5AD9">
        <w:t xml:space="preserve"> water </w:t>
      </w:r>
      <w:r w:rsidR="001C6F77">
        <w:t>(</w:t>
      </w:r>
      <w:r w:rsidR="00281C01">
        <w:t>as liquid water</w:t>
      </w:r>
      <w:r w:rsidR="001C6F77">
        <w:t xml:space="preserve">) </w:t>
      </w:r>
      <w:r w:rsidR="000C5AD9">
        <w:t xml:space="preserve">and </w:t>
      </w:r>
      <w:r w:rsidR="001C6F77">
        <w:t>dia</w:t>
      </w:r>
      <w:r w:rsidR="000C5AD9">
        <w:t>therm</w:t>
      </w:r>
      <w:r w:rsidR="001C6F77">
        <w:t>ic</w:t>
      </w:r>
      <w:r w:rsidR="000C5AD9">
        <w:t xml:space="preserve"> oil</w:t>
      </w:r>
      <w:r w:rsidR="00A2387A">
        <w:t xml:space="preserve"> (at the same geometry, productivity, gas temperature and coolant velocity)</w:t>
      </w:r>
      <w:r w:rsidR="004F02D3">
        <w:t>,</w:t>
      </w:r>
      <w:r w:rsidR="00F35DF1">
        <w:t xml:space="preserve"> through</w:t>
      </w:r>
      <w:r w:rsidR="00F92FA8">
        <w:t xml:space="preserve"> </w:t>
      </w:r>
      <w:r w:rsidR="00996B29">
        <w:t>s</w:t>
      </w:r>
      <w:r w:rsidR="000C5AD9">
        <w:t xml:space="preserve">imulations by means of </w:t>
      </w:r>
      <w:r w:rsidR="00F92FA8">
        <w:t xml:space="preserve">the </w:t>
      </w:r>
      <w:r w:rsidR="000C5AD9">
        <w:t>commercial software Aspen Plus.</w:t>
      </w:r>
    </w:p>
    <w:p w14:paraId="021B10E6" w14:textId="77777777" w:rsidR="00EE63F3" w:rsidRDefault="00EE63F3" w:rsidP="00EE63F3">
      <w:pPr>
        <w:pStyle w:val="CETHeading1"/>
      </w:pPr>
      <w:r>
        <w:t>Mathematical modeling</w:t>
      </w:r>
    </w:p>
    <w:p w14:paraId="22277FEF" w14:textId="723D4220" w:rsidR="00B262C8" w:rsidRDefault="00B262C8" w:rsidP="00B262C8">
      <w:pPr>
        <w:pStyle w:val="CETheadingx"/>
      </w:pPr>
      <w:r w:rsidRPr="00B262C8">
        <w:t>Description of the double-zone methanol reactor</w:t>
      </w:r>
      <w:r>
        <w:t xml:space="preserve"> </w:t>
      </w:r>
    </w:p>
    <w:p w14:paraId="1088E59C" w14:textId="001E9D37" w:rsidR="000C5AD9" w:rsidRPr="007E7339" w:rsidRDefault="00023E40" w:rsidP="007E7339">
      <w:pPr>
        <w:rPr>
          <w:bCs/>
        </w:rPr>
      </w:pPr>
      <w:r w:rsidRPr="00023E40">
        <w:rPr>
          <w:bCs/>
        </w:rPr>
        <w:t xml:space="preserve">The </w:t>
      </w:r>
      <w:r w:rsidR="00895E39">
        <w:rPr>
          <w:bCs/>
        </w:rPr>
        <w:t>shell-and-tube type</w:t>
      </w:r>
      <w:r w:rsidR="00BC390A">
        <w:rPr>
          <w:bCs/>
        </w:rPr>
        <w:t>,</w:t>
      </w:r>
      <w:r w:rsidR="00895E39">
        <w:rPr>
          <w:bCs/>
        </w:rPr>
        <w:t xml:space="preserve"> </w:t>
      </w:r>
      <w:r w:rsidRPr="00023E40">
        <w:rPr>
          <w:bCs/>
        </w:rPr>
        <w:t>double-zone methanol reactor</w:t>
      </w:r>
      <w:r w:rsidR="00BC390A">
        <w:rPr>
          <w:bCs/>
        </w:rPr>
        <w:t xml:space="preserve"> object of this study</w:t>
      </w:r>
      <w:r w:rsidRPr="00023E40">
        <w:rPr>
          <w:bCs/>
        </w:rPr>
        <w:t xml:space="preserve"> </w:t>
      </w:r>
      <w:r w:rsidR="00895E39">
        <w:rPr>
          <w:bCs/>
        </w:rPr>
        <w:t>has</w:t>
      </w:r>
      <w:r w:rsidRPr="00023E40">
        <w:rPr>
          <w:bCs/>
        </w:rPr>
        <w:t xml:space="preserve"> two </w:t>
      </w:r>
      <w:r w:rsidR="00895E39">
        <w:rPr>
          <w:bCs/>
        </w:rPr>
        <w:t>shell-side</w:t>
      </w:r>
      <w:r w:rsidRPr="00023E40">
        <w:rPr>
          <w:bCs/>
        </w:rPr>
        <w:t xml:space="preserve"> zones arranged in series along the longitudinal axis, as shown in Figure </w:t>
      </w:r>
      <w:r>
        <w:rPr>
          <w:bCs/>
        </w:rPr>
        <w:t>1</w:t>
      </w:r>
      <w:r w:rsidR="00BC390A">
        <w:rPr>
          <w:bCs/>
        </w:rPr>
        <w:t>; the reactor has a vertical layout, with the first and second shell-side zones respectively placed at top and bottom</w:t>
      </w:r>
      <w:r w:rsidRPr="00023E40">
        <w:rPr>
          <w:bCs/>
        </w:rPr>
        <w:t>. The catalyst (Cu/</w:t>
      </w:r>
      <w:proofErr w:type="spellStart"/>
      <w:r w:rsidRPr="00023E40">
        <w:rPr>
          <w:bCs/>
        </w:rPr>
        <w:t>ZnO</w:t>
      </w:r>
      <w:proofErr w:type="spellEnd"/>
      <w:r w:rsidRPr="00023E40">
        <w:rPr>
          <w:bCs/>
        </w:rPr>
        <w:t>/Al</w:t>
      </w:r>
      <w:r w:rsidRPr="00023E40">
        <w:rPr>
          <w:bCs/>
          <w:vertAlign w:val="subscript"/>
        </w:rPr>
        <w:t>2</w:t>
      </w:r>
      <w:r w:rsidRPr="00023E40">
        <w:rPr>
          <w:bCs/>
        </w:rPr>
        <w:t>O</w:t>
      </w:r>
      <w:r w:rsidRPr="00023E40">
        <w:rPr>
          <w:bCs/>
          <w:vertAlign w:val="subscript"/>
        </w:rPr>
        <w:t>3</w:t>
      </w:r>
      <w:r w:rsidRPr="00023E40">
        <w:rPr>
          <w:bCs/>
        </w:rPr>
        <w:t xml:space="preserve">) is </w:t>
      </w:r>
      <w:r w:rsidR="00895E39">
        <w:rPr>
          <w:bCs/>
        </w:rPr>
        <w:t xml:space="preserve">loaded into </w:t>
      </w:r>
      <w:r w:rsidRPr="00023E40">
        <w:rPr>
          <w:bCs/>
        </w:rPr>
        <w:t>tubes where the syngas is flowing, while the diathermic oil (</w:t>
      </w:r>
      <w:proofErr w:type="spellStart"/>
      <w:r w:rsidRPr="00023E40">
        <w:rPr>
          <w:bCs/>
        </w:rPr>
        <w:t>Therminol</w:t>
      </w:r>
      <w:proofErr w:type="spellEnd"/>
      <w:r w:rsidRPr="00023E40">
        <w:rPr>
          <w:bCs/>
        </w:rPr>
        <w:t xml:space="preserve"> 66)</w:t>
      </w:r>
      <w:r>
        <w:rPr>
          <w:bCs/>
        </w:rPr>
        <w:t xml:space="preserve"> or water</w:t>
      </w:r>
      <w:r w:rsidRPr="00023E40">
        <w:rPr>
          <w:bCs/>
        </w:rPr>
        <w:t xml:space="preserve">, used as </w:t>
      </w:r>
      <w:r>
        <w:rPr>
          <w:bCs/>
        </w:rPr>
        <w:t>coolant</w:t>
      </w:r>
      <w:r w:rsidRPr="00023E40">
        <w:rPr>
          <w:bCs/>
        </w:rPr>
        <w:t xml:space="preserve">, </w:t>
      </w:r>
      <w:r w:rsidR="00BC390A">
        <w:rPr>
          <w:bCs/>
        </w:rPr>
        <w:t>is</w:t>
      </w:r>
      <w:r w:rsidR="00BC390A" w:rsidRPr="00023E40">
        <w:rPr>
          <w:bCs/>
        </w:rPr>
        <w:t xml:space="preserve"> </w:t>
      </w:r>
      <w:r w:rsidRPr="00023E40">
        <w:rPr>
          <w:bCs/>
        </w:rPr>
        <w:t xml:space="preserve">flowing </w:t>
      </w:r>
      <w:r w:rsidR="00895E39">
        <w:rPr>
          <w:bCs/>
        </w:rPr>
        <w:t>on</w:t>
      </w:r>
      <w:r w:rsidR="00895E39" w:rsidRPr="00023E40">
        <w:rPr>
          <w:bCs/>
        </w:rPr>
        <w:t xml:space="preserve"> </w:t>
      </w:r>
      <w:r w:rsidRPr="00023E40">
        <w:rPr>
          <w:bCs/>
        </w:rPr>
        <w:t xml:space="preserve">the </w:t>
      </w:r>
      <w:r w:rsidR="00895E39" w:rsidRPr="00023E40">
        <w:rPr>
          <w:bCs/>
        </w:rPr>
        <w:t>shell</w:t>
      </w:r>
      <w:r w:rsidR="00895E39">
        <w:rPr>
          <w:bCs/>
        </w:rPr>
        <w:t>-</w:t>
      </w:r>
      <w:r w:rsidRPr="00023E40">
        <w:rPr>
          <w:bCs/>
        </w:rPr>
        <w:t>side</w:t>
      </w:r>
      <w:r w:rsidR="00895E39">
        <w:rPr>
          <w:bCs/>
        </w:rPr>
        <w:t xml:space="preserve"> and</w:t>
      </w:r>
      <w:r w:rsidR="00AA3D28">
        <w:rPr>
          <w:bCs/>
        </w:rPr>
        <w:t xml:space="preserve"> </w:t>
      </w:r>
      <w:r w:rsidR="00BC390A">
        <w:rPr>
          <w:bCs/>
        </w:rPr>
        <w:t xml:space="preserve">is </w:t>
      </w:r>
      <w:r w:rsidR="00895E39">
        <w:rPr>
          <w:bCs/>
        </w:rPr>
        <w:t>removing</w:t>
      </w:r>
      <w:r w:rsidRPr="00023E40">
        <w:rPr>
          <w:bCs/>
        </w:rPr>
        <w:t xml:space="preserve"> the reaction heat.</w:t>
      </w:r>
      <w:r w:rsidR="00895E39">
        <w:rPr>
          <w:bCs/>
        </w:rPr>
        <w:t xml:space="preserve"> Baffles are also installed on shell-side to support the tubes and make the shell-side flow tortuous.</w:t>
      </w:r>
    </w:p>
    <w:p w14:paraId="49268349" w14:textId="3B16E080" w:rsidR="00263581" w:rsidRDefault="006E315F" w:rsidP="00600535">
      <w:pPr>
        <w:pStyle w:val="CETBodytext"/>
      </w:pPr>
      <w:r w:rsidRPr="006E315F">
        <w:t xml:space="preserve">The two zones are in fluid communication via a </w:t>
      </w:r>
      <w:r w:rsidR="00C0027B">
        <w:t>peripherical</w:t>
      </w:r>
      <w:r w:rsidR="00AA3D28">
        <w:t xml:space="preserve"> </w:t>
      </w:r>
      <w:r w:rsidRPr="006E315F">
        <w:t xml:space="preserve">duct surrounding the tube bundle and delimited by the shell. </w:t>
      </w:r>
      <w:r w:rsidR="00592258">
        <w:t>In particular, t</w:t>
      </w:r>
      <w:r w:rsidRPr="006E315F">
        <w:t xml:space="preserve">he </w:t>
      </w:r>
      <w:r w:rsidR="00C0027B">
        <w:t>peripherical</w:t>
      </w:r>
      <w:r w:rsidR="00AA3D28">
        <w:t xml:space="preserve"> </w:t>
      </w:r>
      <w:r w:rsidRPr="006E315F">
        <w:t>duct has an annular shape and surrounds only the second zone.</w:t>
      </w:r>
      <w:r>
        <w:t xml:space="preserve"> </w:t>
      </w:r>
      <w:r w:rsidRPr="006E315F">
        <w:t>A</w:t>
      </w:r>
      <w:r w:rsidR="00964970">
        <w:t xml:space="preserve"> second</w:t>
      </w:r>
      <w:r w:rsidRPr="006E315F">
        <w:t xml:space="preserve"> fraction of </w:t>
      </w:r>
      <w:r w:rsidR="00C0027B">
        <w:t xml:space="preserve">cooling </w:t>
      </w:r>
      <w:r w:rsidRPr="006E315F">
        <w:t>oil</w:t>
      </w:r>
      <w:r>
        <w:t xml:space="preserve"> </w:t>
      </w:r>
      <w:r w:rsidR="00C0027B">
        <w:t xml:space="preserve">or </w:t>
      </w:r>
      <w:r>
        <w:t>wate</w:t>
      </w:r>
      <w:r w:rsidR="00592258">
        <w:t>r</w:t>
      </w:r>
      <w:r>
        <w:t>, respectively in the oil-</w:t>
      </w:r>
      <w:r w:rsidR="00C0027B">
        <w:t xml:space="preserve">cooled or water-cooled </w:t>
      </w:r>
      <w:r>
        <w:t>configuration,</w:t>
      </w:r>
      <w:r w:rsidRPr="006E315F">
        <w:t xml:space="preserve"> is fed</w:t>
      </w:r>
      <w:r w:rsidR="00C0027B">
        <w:t xml:space="preserve"> into</w:t>
      </w:r>
      <w:r w:rsidRPr="006E315F">
        <w:t xml:space="preserve"> the </w:t>
      </w:r>
      <w:r w:rsidR="00C0027B">
        <w:t>peripherical</w:t>
      </w:r>
      <w:r w:rsidRPr="006E315F">
        <w:t xml:space="preserve"> duct</w:t>
      </w:r>
      <w:r w:rsidR="00C0027B">
        <w:t xml:space="preserve">: consequently, such a </w:t>
      </w:r>
      <w:r w:rsidR="00964970">
        <w:t xml:space="preserve">second </w:t>
      </w:r>
      <w:r w:rsidR="00C0027B">
        <w:t>fraction</w:t>
      </w:r>
      <w:r w:rsidR="00964970">
        <w:t xml:space="preserve"> of coolant</w:t>
      </w:r>
      <w:r w:rsidR="00C0027B">
        <w:t xml:space="preserve"> flows across only one shell-side zone and</w:t>
      </w:r>
      <w:r w:rsidRPr="006E315F">
        <w:t xml:space="preserve"> undergoes partial heat exchange with the tube-side fluid.</w:t>
      </w:r>
    </w:p>
    <w:p w14:paraId="266275E1" w14:textId="4650F75C" w:rsidR="002D6285" w:rsidRDefault="00263581" w:rsidP="00600535">
      <w:pPr>
        <w:pStyle w:val="CETBodytext"/>
        <w:rPr>
          <w:lang w:val="en-GB"/>
        </w:rPr>
      </w:pPr>
      <w:r w:rsidRPr="00263581">
        <w:rPr>
          <w:lang w:val="en-GB"/>
        </w:rPr>
        <w:t xml:space="preserve">Overall, </w:t>
      </w:r>
      <w:r w:rsidR="00BC390A">
        <w:rPr>
          <w:lang w:val="en-GB"/>
        </w:rPr>
        <w:t xml:space="preserve">the </w:t>
      </w:r>
      <w:r w:rsidRPr="00263581">
        <w:rPr>
          <w:lang w:val="en-GB"/>
        </w:rPr>
        <w:t>syngas and</w:t>
      </w:r>
      <w:r w:rsidR="00964970">
        <w:rPr>
          <w:lang w:val="en-GB"/>
        </w:rPr>
        <w:t xml:space="preserve"> a first fraction of </w:t>
      </w:r>
      <w:r>
        <w:rPr>
          <w:lang w:val="en-GB"/>
        </w:rPr>
        <w:t>coolant</w:t>
      </w:r>
      <w:r w:rsidRPr="00263581">
        <w:rPr>
          <w:lang w:val="en-GB"/>
        </w:rPr>
        <w:t xml:space="preserve"> are fed in the first zone and move </w:t>
      </w:r>
      <w:r w:rsidR="0093628B">
        <w:rPr>
          <w:lang w:val="en-GB"/>
        </w:rPr>
        <w:t xml:space="preserve">downstream </w:t>
      </w:r>
      <w:r w:rsidRPr="00263581">
        <w:rPr>
          <w:lang w:val="en-GB"/>
        </w:rPr>
        <w:t>in a co-current way</w:t>
      </w:r>
      <w:r w:rsidR="0093628B">
        <w:rPr>
          <w:lang w:val="en-GB"/>
        </w:rPr>
        <w:t>,</w:t>
      </w:r>
      <w:r w:rsidRPr="00263581">
        <w:rPr>
          <w:lang w:val="en-GB"/>
        </w:rPr>
        <w:t xml:space="preserve"> respectively </w:t>
      </w:r>
      <w:r w:rsidR="00AA7A9B">
        <w:rPr>
          <w:lang w:val="en-GB"/>
        </w:rPr>
        <w:t>on</w:t>
      </w:r>
      <w:r w:rsidR="00AA7A9B" w:rsidRPr="00263581">
        <w:rPr>
          <w:lang w:val="en-GB"/>
        </w:rPr>
        <w:t xml:space="preserve"> </w:t>
      </w:r>
      <w:r w:rsidRPr="00263581">
        <w:rPr>
          <w:lang w:val="en-GB"/>
        </w:rPr>
        <w:t>tube</w:t>
      </w:r>
      <w:r w:rsidR="00AA7A9B">
        <w:rPr>
          <w:lang w:val="en-GB"/>
        </w:rPr>
        <w:t>-</w:t>
      </w:r>
      <w:r w:rsidRPr="00263581">
        <w:rPr>
          <w:lang w:val="en-GB"/>
        </w:rPr>
        <w:t xml:space="preserve"> and</w:t>
      </w:r>
      <w:r w:rsidR="00AA7A9B">
        <w:rPr>
          <w:lang w:val="en-GB"/>
        </w:rPr>
        <w:t xml:space="preserve"> </w:t>
      </w:r>
      <w:r w:rsidR="00AA7A9B" w:rsidRPr="00263581">
        <w:rPr>
          <w:lang w:val="en-GB"/>
        </w:rPr>
        <w:t>shell</w:t>
      </w:r>
      <w:r w:rsidR="00AA7A9B">
        <w:rPr>
          <w:lang w:val="en-GB"/>
        </w:rPr>
        <w:t>-</w:t>
      </w:r>
      <w:r w:rsidRPr="00263581">
        <w:rPr>
          <w:lang w:val="en-GB"/>
        </w:rPr>
        <w:t xml:space="preserve">side. At </w:t>
      </w:r>
      <w:r w:rsidR="00BC390A">
        <w:rPr>
          <w:lang w:val="en-GB"/>
        </w:rPr>
        <w:t>outlet</w:t>
      </w:r>
      <w:r w:rsidRPr="00263581">
        <w:rPr>
          <w:lang w:val="en-GB"/>
        </w:rPr>
        <w:t xml:space="preserve"> of </w:t>
      </w:r>
      <w:r w:rsidR="00AA7A9B">
        <w:rPr>
          <w:lang w:val="en-GB"/>
        </w:rPr>
        <w:t xml:space="preserve">the first </w:t>
      </w:r>
      <w:r w:rsidRPr="00263581">
        <w:rPr>
          <w:lang w:val="en-GB"/>
        </w:rPr>
        <w:t xml:space="preserve">zone, the </w:t>
      </w:r>
      <w:r w:rsidR="00964970">
        <w:rPr>
          <w:lang w:val="en-GB"/>
        </w:rPr>
        <w:t xml:space="preserve">first fraction of </w:t>
      </w:r>
      <w:r>
        <w:rPr>
          <w:lang w:val="en-GB"/>
        </w:rPr>
        <w:t>coolant</w:t>
      </w:r>
      <w:r w:rsidRPr="00263581">
        <w:rPr>
          <w:lang w:val="en-GB"/>
        </w:rPr>
        <w:t xml:space="preserve"> is mixed with </w:t>
      </w:r>
      <w:r w:rsidR="00BC390A">
        <w:rPr>
          <w:lang w:val="en-GB"/>
        </w:rPr>
        <w:t xml:space="preserve">a </w:t>
      </w:r>
      <w:r w:rsidR="00964970">
        <w:rPr>
          <w:lang w:val="en-GB"/>
        </w:rPr>
        <w:t xml:space="preserve">second fraction of </w:t>
      </w:r>
      <w:r>
        <w:rPr>
          <w:lang w:val="en-GB"/>
        </w:rPr>
        <w:t>coolant</w:t>
      </w:r>
      <w:r w:rsidRPr="00263581">
        <w:rPr>
          <w:lang w:val="en-GB"/>
        </w:rPr>
        <w:t xml:space="preserve"> </w:t>
      </w:r>
      <w:r w:rsidR="00964970">
        <w:rPr>
          <w:lang w:val="en-GB"/>
        </w:rPr>
        <w:t xml:space="preserve">in the </w:t>
      </w:r>
      <w:r w:rsidR="00D454A0">
        <w:rPr>
          <w:lang w:val="en-GB"/>
        </w:rPr>
        <w:t>peripherical</w:t>
      </w:r>
      <w:r w:rsidR="00964970">
        <w:rPr>
          <w:lang w:val="en-GB"/>
        </w:rPr>
        <w:t xml:space="preserve"> duct, </w:t>
      </w:r>
      <w:r w:rsidRPr="00263581">
        <w:rPr>
          <w:lang w:val="en-GB"/>
        </w:rPr>
        <w:t xml:space="preserve">so </w:t>
      </w:r>
      <w:r w:rsidR="00964970">
        <w:rPr>
          <w:lang w:val="en-GB"/>
        </w:rPr>
        <w:t xml:space="preserve">to form </w:t>
      </w:r>
      <w:r w:rsidRPr="00263581">
        <w:rPr>
          <w:lang w:val="en-GB"/>
        </w:rPr>
        <w:t xml:space="preserve">the overall </w:t>
      </w:r>
      <w:r w:rsidR="00964970">
        <w:rPr>
          <w:lang w:val="en-GB"/>
        </w:rPr>
        <w:t xml:space="preserve">coolant </w:t>
      </w:r>
      <w:r w:rsidRPr="00263581">
        <w:rPr>
          <w:lang w:val="en-GB"/>
        </w:rPr>
        <w:t xml:space="preserve">flow rate. </w:t>
      </w:r>
      <w:r w:rsidR="0093628B">
        <w:rPr>
          <w:lang w:val="en-GB"/>
        </w:rPr>
        <w:t xml:space="preserve">The coolant flows downstream in the duct. </w:t>
      </w:r>
      <w:r w:rsidRPr="00263581">
        <w:rPr>
          <w:lang w:val="en-GB"/>
        </w:rPr>
        <w:t xml:space="preserve">At the </w:t>
      </w:r>
      <w:r w:rsidR="00BC390A">
        <w:rPr>
          <w:lang w:val="en-GB"/>
        </w:rPr>
        <w:t>shell</w:t>
      </w:r>
      <w:r w:rsidR="00BC390A" w:rsidRPr="00263581">
        <w:rPr>
          <w:lang w:val="en-GB"/>
        </w:rPr>
        <w:t xml:space="preserve"> </w:t>
      </w:r>
      <w:r w:rsidRPr="00263581">
        <w:rPr>
          <w:lang w:val="en-GB"/>
        </w:rPr>
        <w:t xml:space="preserve">bottom, </w:t>
      </w:r>
      <w:r w:rsidR="00964970">
        <w:rPr>
          <w:lang w:val="en-GB"/>
        </w:rPr>
        <w:t xml:space="preserve">at exit of the peripherical duct, </w:t>
      </w:r>
      <w:r w:rsidRPr="00263581">
        <w:rPr>
          <w:lang w:val="en-GB"/>
        </w:rPr>
        <w:t xml:space="preserve">the </w:t>
      </w:r>
      <w:r>
        <w:rPr>
          <w:lang w:val="en-GB"/>
        </w:rPr>
        <w:t>coolant</w:t>
      </w:r>
      <w:r w:rsidRPr="00263581">
        <w:rPr>
          <w:lang w:val="en-GB"/>
        </w:rPr>
        <w:t xml:space="preserve"> reverses its direction and flows </w:t>
      </w:r>
      <w:r w:rsidR="0093628B">
        <w:rPr>
          <w:lang w:val="en-GB"/>
        </w:rPr>
        <w:t xml:space="preserve">upwardly </w:t>
      </w:r>
      <w:r w:rsidR="00964970">
        <w:rPr>
          <w:lang w:val="en-GB"/>
        </w:rPr>
        <w:t>in the second shell-side zone</w:t>
      </w:r>
      <w:r w:rsidRPr="00263581">
        <w:rPr>
          <w:lang w:val="en-GB"/>
        </w:rPr>
        <w:t xml:space="preserve"> in a counter-current direction </w:t>
      </w:r>
      <w:r w:rsidR="00964970">
        <w:rPr>
          <w:lang w:val="en-GB"/>
        </w:rPr>
        <w:t>relative to the gas</w:t>
      </w:r>
      <w:r w:rsidRPr="00263581">
        <w:rPr>
          <w:lang w:val="en-GB"/>
        </w:rPr>
        <w:t>.</w:t>
      </w:r>
    </w:p>
    <w:p w14:paraId="752F6A05" w14:textId="335024DC" w:rsidR="007E7339" w:rsidRDefault="007E7339" w:rsidP="007E7339">
      <w:pPr>
        <w:pStyle w:val="CETBodytext"/>
        <w:keepNext/>
        <w:jc w:val="center"/>
      </w:pPr>
    </w:p>
    <w:p w14:paraId="1BA606D9" w14:textId="18E26109" w:rsidR="005C71F2" w:rsidRDefault="005C71F2" w:rsidP="007E7339">
      <w:pPr>
        <w:pStyle w:val="CETBodytext"/>
        <w:keepNext/>
        <w:jc w:val="center"/>
      </w:pPr>
      <w:r>
        <w:rPr>
          <w:noProof/>
        </w:rPr>
        <w:drawing>
          <wp:inline distT="0" distB="0" distL="0" distR="0" wp14:anchorId="3785F837" wp14:editId="60748B0D">
            <wp:extent cx="3859699" cy="2395743"/>
            <wp:effectExtent l="0" t="0" r="7620" b="5080"/>
            <wp:docPr id="127151594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02"/>
                    <a:stretch/>
                  </pic:blipFill>
                  <pic:spPr bwMode="auto">
                    <a:xfrm>
                      <a:off x="0" y="0"/>
                      <a:ext cx="3882024" cy="24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054C2E" w14:textId="217B74A3" w:rsidR="007E7339" w:rsidRPr="00F30FA2" w:rsidRDefault="007E7339" w:rsidP="007E7339">
      <w:pPr>
        <w:pStyle w:val="Didascalia"/>
        <w:jc w:val="center"/>
        <w:rPr>
          <w:b w:val="0"/>
          <w:bCs w:val="0"/>
          <w:i/>
          <w:iCs/>
          <w:color w:val="000000" w:themeColor="text1"/>
        </w:rPr>
      </w:pPr>
      <w:r w:rsidRPr="00F30FA2">
        <w:rPr>
          <w:b w:val="0"/>
          <w:bCs w:val="0"/>
          <w:i/>
          <w:iCs/>
          <w:color w:val="000000" w:themeColor="text1"/>
        </w:rPr>
        <w:t xml:space="preserve">Figure </w:t>
      </w:r>
      <w:r w:rsidRPr="00F30FA2">
        <w:rPr>
          <w:b w:val="0"/>
          <w:bCs w:val="0"/>
          <w:i/>
          <w:iCs/>
          <w:color w:val="000000" w:themeColor="text1"/>
        </w:rPr>
        <w:fldChar w:fldCharType="begin"/>
      </w:r>
      <w:r w:rsidRPr="00F30FA2">
        <w:rPr>
          <w:b w:val="0"/>
          <w:bCs w:val="0"/>
          <w:i/>
          <w:iCs/>
          <w:color w:val="000000" w:themeColor="text1"/>
        </w:rPr>
        <w:instrText xml:space="preserve"> SEQ Figure \* ARABIC </w:instrText>
      </w:r>
      <w:r w:rsidRPr="00F30FA2">
        <w:rPr>
          <w:b w:val="0"/>
          <w:bCs w:val="0"/>
          <w:i/>
          <w:iCs/>
          <w:color w:val="000000" w:themeColor="text1"/>
        </w:rPr>
        <w:fldChar w:fldCharType="separate"/>
      </w:r>
      <w:r w:rsidR="008C2409">
        <w:rPr>
          <w:b w:val="0"/>
          <w:bCs w:val="0"/>
          <w:i/>
          <w:iCs/>
          <w:noProof/>
          <w:color w:val="000000" w:themeColor="text1"/>
        </w:rPr>
        <w:t>1</w:t>
      </w:r>
      <w:r w:rsidRPr="00F30FA2">
        <w:rPr>
          <w:b w:val="0"/>
          <w:bCs w:val="0"/>
          <w:i/>
          <w:iCs/>
          <w:color w:val="000000" w:themeColor="text1"/>
        </w:rPr>
        <w:fldChar w:fldCharType="end"/>
      </w:r>
      <w:r w:rsidRPr="00F30FA2">
        <w:rPr>
          <w:b w:val="0"/>
          <w:bCs w:val="0"/>
          <w:i/>
          <w:iCs/>
          <w:color w:val="000000" w:themeColor="text1"/>
        </w:rPr>
        <w:t xml:space="preserve"> </w:t>
      </w:r>
      <w:r w:rsidR="00895E39">
        <w:rPr>
          <w:b w:val="0"/>
          <w:bCs w:val="0"/>
          <w:i/>
          <w:iCs/>
          <w:color w:val="000000" w:themeColor="text1"/>
        </w:rPr>
        <w:t>Conceptual s</w:t>
      </w:r>
      <w:r w:rsidR="00895E39" w:rsidRPr="00F30FA2">
        <w:rPr>
          <w:b w:val="0"/>
          <w:bCs w:val="0"/>
          <w:i/>
          <w:iCs/>
          <w:color w:val="000000" w:themeColor="text1"/>
        </w:rPr>
        <w:t xml:space="preserve">cheme </w:t>
      </w:r>
      <w:r w:rsidRPr="00F30FA2">
        <w:rPr>
          <w:b w:val="0"/>
          <w:bCs w:val="0"/>
          <w:i/>
          <w:iCs/>
          <w:color w:val="000000" w:themeColor="text1"/>
        </w:rPr>
        <w:t xml:space="preserve">of the </w:t>
      </w:r>
      <w:r w:rsidR="004F02D3" w:rsidRPr="00F30FA2">
        <w:rPr>
          <w:b w:val="0"/>
          <w:bCs w:val="0"/>
          <w:i/>
          <w:iCs/>
          <w:color w:val="000000" w:themeColor="text1"/>
        </w:rPr>
        <w:t>double</w:t>
      </w:r>
      <w:r w:rsidR="004F02D3">
        <w:rPr>
          <w:b w:val="0"/>
          <w:bCs w:val="0"/>
          <w:i/>
          <w:iCs/>
          <w:color w:val="000000" w:themeColor="text1"/>
        </w:rPr>
        <w:t>-</w:t>
      </w:r>
      <w:r w:rsidRPr="00F30FA2">
        <w:rPr>
          <w:b w:val="0"/>
          <w:bCs w:val="0"/>
          <w:i/>
          <w:iCs/>
          <w:color w:val="000000" w:themeColor="text1"/>
        </w:rPr>
        <w:t>zone methanol reactor (DZMR)</w:t>
      </w:r>
    </w:p>
    <w:p w14:paraId="20FC2810" w14:textId="77777777" w:rsidR="007E7339" w:rsidRPr="00263581" w:rsidRDefault="007E7339" w:rsidP="00600535">
      <w:pPr>
        <w:pStyle w:val="CETBodytext"/>
        <w:rPr>
          <w:lang w:val="en-GB"/>
        </w:rPr>
      </w:pPr>
    </w:p>
    <w:p w14:paraId="2144AE30" w14:textId="2FC6A1E3" w:rsidR="006E315F" w:rsidRDefault="002D6285" w:rsidP="00F91063">
      <w:pPr>
        <w:pStyle w:val="CETheadingx"/>
      </w:pPr>
      <w:r>
        <w:t>Modelling</w:t>
      </w:r>
      <w:r w:rsidRPr="002D6285">
        <w:t xml:space="preserve"> of the double-zone methanol reactor </w:t>
      </w:r>
    </w:p>
    <w:p w14:paraId="5BA71CF6" w14:textId="77AF5155" w:rsidR="00C70629" w:rsidRDefault="00C70629" w:rsidP="00600535">
      <w:pPr>
        <w:pStyle w:val="CETBodytext"/>
      </w:pPr>
      <w:r w:rsidRPr="00C70629">
        <w:t xml:space="preserve">The double-zone methanol reactor is </w:t>
      </w:r>
      <w:r w:rsidR="00964970">
        <w:t>modelled by</w:t>
      </w:r>
      <w:r w:rsidR="00964970" w:rsidRPr="00C70629">
        <w:t xml:space="preserve"> </w:t>
      </w:r>
      <w:r w:rsidRPr="00C70629">
        <w:t>Aspen Plus software</w:t>
      </w:r>
      <w:r w:rsidR="006D4B2D">
        <w:t>, as shown in Figure 2,</w:t>
      </w:r>
      <w:r w:rsidRPr="00C70629">
        <w:t xml:space="preserve"> </w:t>
      </w:r>
      <w:r w:rsidR="0093628B">
        <w:t>as</w:t>
      </w:r>
      <w:r w:rsidR="007E7339">
        <w:t xml:space="preserve"> </w:t>
      </w:r>
      <w:r w:rsidR="007E7339">
        <w:rPr>
          <w:lang w:val="en-GB"/>
        </w:rPr>
        <w:t>t</w:t>
      </w:r>
      <w:r w:rsidRPr="00C70629">
        <w:rPr>
          <w:lang w:val="en-GB"/>
        </w:rPr>
        <w:t xml:space="preserve">wo </w:t>
      </w:r>
      <w:r w:rsidR="0093628B">
        <w:rPr>
          <w:lang w:val="en-GB"/>
        </w:rPr>
        <w:t xml:space="preserve">in-series </w:t>
      </w:r>
      <w:r w:rsidRPr="00C70629">
        <w:rPr>
          <w:lang w:val="en-GB"/>
        </w:rPr>
        <w:t xml:space="preserve">plug flow reactors, </w:t>
      </w:r>
      <w:r w:rsidR="00964970">
        <w:rPr>
          <w:lang w:val="en-GB"/>
        </w:rPr>
        <w:t>of</w:t>
      </w:r>
      <w:r w:rsidRPr="00C70629">
        <w:rPr>
          <w:lang w:val="en-GB"/>
        </w:rPr>
        <w:t xml:space="preserve"> different </w:t>
      </w:r>
      <w:r w:rsidR="00964970">
        <w:rPr>
          <w:lang w:val="en-GB"/>
        </w:rPr>
        <w:t xml:space="preserve">tube </w:t>
      </w:r>
      <w:r w:rsidRPr="00C70629">
        <w:rPr>
          <w:lang w:val="en-GB"/>
        </w:rPr>
        <w:t>length, both with</w:t>
      </w:r>
      <w:r w:rsidR="00964970">
        <w:rPr>
          <w:lang w:val="en-GB"/>
        </w:rPr>
        <w:t xml:space="preserve"> </w:t>
      </w:r>
      <w:r w:rsidRPr="00C70629">
        <w:rPr>
          <w:lang w:val="en-GB"/>
        </w:rPr>
        <w:t xml:space="preserve">44 tubes </w:t>
      </w:r>
      <w:r w:rsidR="00964970">
        <w:rPr>
          <w:lang w:val="en-GB"/>
        </w:rPr>
        <w:t>with</w:t>
      </w:r>
      <w:r w:rsidRPr="00C70629">
        <w:rPr>
          <w:lang w:val="en-GB"/>
        </w:rPr>
        <w:t xml:space="preserve"> </w:t>
      </w:r>
      <w:r w:rsidR="00E31B60">
        <w:rPr>
          <w:lang w:val="en-GB"/>
        </w:rPr>
        <w:t xml:space="preserve">an </w:t>
      </w:r>
      <w:r w:rsidRPr="00C70629">
        <w:rPr>
          <w:lang w:val="en-GB"/>
        </w:rPr>
        <w:t xml:space="preserve">outside diameter of 25.4 mm. In the first zone the tube length is 0.6 m </w:t>
      </w:r>
      <w:r w:rsidR="0093628B" w:rsidRPr="00C70629">
        <w:rPr>
          <w:lang w:val="en-GB"/>
        </w:rPr>
        <w:t>wh</w:t>
      </w:r>
      <w:r w:rsidR="0093628B">
        <w:rPr>
          <w:lang w:val="en-GB"/>
        </w:rPr>
        <w:t>ereas</w:t>
      </w:r>
      <w:r w:rsidR="0093628B" w:rsidRPr="00C70629">
        <w:rPr>
          <w:lang w:val="en-GB"/>
        </w:rPr>
        <w:t xml:space="preserve"> </w:t>
      </w:r>
      <w:r w:rsidRPr="00C70629">
        <w:rPr>
          <w:lang w:val="en-GB"/>
        </w:rPr>
        <w:t xml:space="preserve">in the second zone </w:t>
      </w:r>
      <w:r w:rsidR="00964970">
        <w:rPr>
          <w:lang w:val="en-GB"/>
        </w:rPr>
        <w:t>the tube length</w:t>
      </w:r>
      <w:r w:rsidRPr="00C70629">
        <w:rPr>
          <w:lang w:val="en-GB"/>
        </w:rPr>
        <w:t xml:space="preserve"> is 2.4 m</w:t>
      </w:r>
      <w:r w:rsidR="00E31B60">
        <w:rPr>
          <w:lang w:val="en-GB"/>
        </w:rPr>
        <w:t xml:space="preserve"> so that</w:t>
      </w:r>
      <w:r w:rsidR="00964970">
        <w:rPr>
          <w:lang w:val="en-GB"/>
        </w:rPr>
        <w:t xml:space="preserve"> </w:t>
      </w:r>
      <w:r w:rsidRPr="00C70629">
        <w:rPr>
          <w:lang w:val="en-GB"/>
        </w:rPr>
        <w:t xml:space="preserve">the </w:t>
      </w:r>
      <w:r w:rsidR="00964970">
        <w:rPr>
          <w:lang w:val="en-GB"/>
        </w:rPr>
        <w:t>DZMR</w:t>
      </w:r>
      <w:r w:rsidR="00964970" w:rsidRPr="00C70629">
        <w:rPr>
          <w:lang w:val="en-GB"/>
        </w:rPr>
        <w:t xml:space="preserve"> </w:t>
      </w:r>
      <w:r w:rsidR="00964970">
        <w:rPr>
          <w:lang w:val="en-GB"/>
        </w:rPr>
        <w:t xml:space="preserve">tube </w:t>
      </w:r>
      <w:r w:rsidRPr="00C70629">
        <w:rPr>
          <w:lang w:val="en-GB"/>
        </w:rPr>
        <w:t xml:space="preserve">has </w:t>
      </w:r>
      <w:r w:rsidRPr="00C70629">
        <w:rPr>
          <w:lang w:val="en-GB"/>
        </w:rPr>
        <w:lastRenderedPageBreak/>
        <w:t>a</w:t>
      </w:r>
      <w:r w:rsidR="00964970">
        <w:rPr>
          <w:lang w:val="en-GB"/>
        </w:rPr>
        <w:t>n overall</w:t>
      </w:r>
      <w:r w:rsidRPr="00C70629">
        <w:rPr>
          <w:lang w:val="en-GB"/>
        </w:rPr>
        <w:t xml:space="preserve"> length of 3 m. The shell </w:t>
      </w:r>
      <w:r w:rsidR="00964970">
        <w:rPr>
          <w:lang w:val="en-GB"/>
        </w:rPr>
        <w:t xml:space="preserve">internal </w:t>
      </w:r>
      <w:r w:rsidRPr="00C70629">
        <w:rPr>
          <w:lang w:val="en-GB"/>
        </w:rPr>
        <w:t xml:space="preserve">diameter is 260.3 mm, the baffle </w:t>
      </w:r>
      <w:r w:rsidR="00964970">
        <w:rPr>
          <w:lang w:val="en-GB"/>
        </w:rPr>
        <w:t>span</w:t>
      </w:r>
      <w:r w:rsidR="00964970" w:rsidRPr="00C70629">
        <w:rPr>
          <w:lang w:val="en-GB"/>
        </w:rPr>
        <w:t xml:space="preserve"> </w:t>
      </w:r>
      <w:r w:rsidRPr="00C70629">
        <w:rPr>
          <w:lang w:val="en-GB"/>
        </w:rPr>
        <w:t xml:space="preserve">is 200 mm and the </w:t>
      </w:r>
      <w:r w:rsidR="00043428">
        <w:rPr>
          <w:lang w:val="en-GB"/>
        </w:rPr>
        <w:t xml:space="preserve">average longitudinal </w:t>
      </w:r>
      <w:r w:rsidRPr="00C70629">
        <w:rPr>
          <w:lang w:val="en-GB"/>
        </w:rPr>
        <w:t xml:space="preserve">cross area </w:t>
      </w:r>
      <w:r w:rsidR="00964970">
        <w:rPr>
          <w:lang w:val="en-GB"/>
        </w:rPr>
        <w:t>for the shell-side coolant</w:t>
      </w:r>
      <w:r w:rsidR="00043428">
        <w:rPr>
          <w:lang w:val="en-GB"/>
        </w:rPr>
        <w:t>, between two adjacent baffles,</w:t>
      </w:r>
      <w:r w:rsidR="00964970">
        <w:rPr>
          <w:lang w:val="en-GB"/>
        </w:rPr>
        <w:t xml:space="preserve"> </w:t>
      </w:r>
      <w:r w:rsidRPr="00C70629">
        <w:rPr>
          <w:lang w:val="en-GB"/>
        </w:rPr>
        <w:t>is 0.011 m</w:t>
      </w:r>
      <w:r w:rsidRPr="00C70629">
        <w:rPr>
          <w:vertAlign w:val="superscript"/>
          <w:lang w:val="en-GB"/>
        </w:rPr>
        <w:t>2</w:t>
      </w:r>
      <w:r w:rsidRPr="00C70629">
        <w:rPr>
          <w:lang w:val="en-GB"/>
        </w:rPr>
        <w:t>.</w:t>
      </w:r>
      <w:r>
        <w:rPr>
          <w:lang w:val="en-GB"/>
        </w:rPr>
        <w:t xml:space="preserve"> </w:t>
      </w:r>
      <w:r w:rsidRPr="00C70629">
        <w:t xml:space="preserve">The reaction occurs at </w:t>
      </w:r>
      <w:r w:rsidR="0093628B">
        <w:t>6 MPa(a)</w:t>
      </w:r>
      <w:r w:rsidRPr="00C70629">
        <w:t xml:space="preserve"> </w:t>
      </w:r>
      <w:r w:rsidR="00043428">
        <w:t xml:space="preserve">on tube-side </w:t>
      </w:r>
      <w:r w:rsidRPr="00C70629">
        <w:t>and the catalyst is characterized by a density and void fraction respectively of 1140 kg/m</w:t>
      </w:r>
      <w:r w:rsidRPr="00C70629">
        <w:rPr>
          <w:vertAlign w:val="superscript"/>
        </w:rPr>
        <w:t>3</w:t>
      </w:r>
      <w:r w:rsidRPr="00C70629">
        <w:t xml:space="preserve"> and 0.387 (</w:t>
      </w:r>
      <w:proofErr w:type="spellStart"/>
      <w:r w:rsidRPr="00C70629">
        <w:t>Bisotti</w:t>
      </w:r>
      <w:proofErr w:type="spellEnd"/>
      <w:r w:rsidRPr="00C70629">
        <w:t xml:space="preserve"> et al., 2022).</w:t>
      </w:r>
      <w:r w:rsidR="00E94EF1">
        <w:t xml:space="preserve"> </w:t>
      </w:r>
      <w:r w:rsidR="00671060">
        <w:t xml:space="preserve">The reactor is designed to have the optimal yield at the maximum heat transfer rate, minimum pressure drops and dead zones. </w:t>
      </w:r>
      <w:r w:rsidRPr="00C70629">
        <w:t xml:space="preserve">The </w:t>
      </w:r>
      <w:r w:rsidR="00043428">
        <w:t>process feed</w:t>
      </w:r>
      <w:r w:rsidR="00043428" w:rsidRPr="00C70629">
        <w:t xml:space="preserve"> </w:t>
      </w:r>
      <w:r w:rsidR="0093628B">
        <w:t>is</w:t>
      </w:r>
      <w:r w:rsidRPr="00C70629">
        <w:t xml:space="preserve"> syngas at an overall flow rate of </w:t>
      </w:r>
      <w:r w:rsidR="00A62125">
        <w:t>126</w:t>
      </w:r>
      <w:r w:rsidRPr="00C70629">
        <w:t xml:space="preserve"> k</w:t>
      </w:r>
      <w:r w:rsidR="00A62125">
        <w:t>g</w:t>
      </w:r>
      <w:r w:rsidRPr="00C70629">
        <w:t xml:space="preserve">/h with a temperature and pressure respectively of 240 °C and </w:t>
      </w:r>
      <w:r w:rsidR="0093628B">
        <w:t>6 MPa(a)</w:t>
      </w:r>
      <w:r w:rsidRPr="00C70629">
        <w:t xml:space="preserve">. The </w:t>
      </w:r>
      <w:r w:rsidR="00043428">
        <w:t xml:space="preserve">feed </w:t>
      </w:r>
      <w:r w:rsidRPr="00C70629">
        <w:t>stoichiometric number ([H</w:t>
      </w:r>
      <w:r w:rsidRPr="00C70629">
        <w:rPr>
          <w:vertAlign w:val="subscript"/>
        </w:rPr>
        <w:t>2</w:t>
      </w:r>
      <w:r w:rsidRPr="00C70629">
        <w:t>]-[CO</w:t>
      </w:r>
      <w:r w:rsidRPr="00C70629">
        <w:rPr>
          <w:vertAlign w:val="subscript"/>
        </w:rPr>
        <w:t>2</w:t>
      </w:r>
      <w:r w:rsidRPr="00C70629">
        <w:t>]/[</w:t>
      </w:r>
      <w:proofErr w:type="gramStart"/>
      <w:r w:rsidRPr="00C70629">
        <w:t>CO</w:t>
      </w:r>
      <w:r w:rsidRPr="00C70629">
        <w:rPr>
          <w:vertAlign w:val="subscript"/>
        </w:rPr>
        <w:t>2</w:t>
      </w:r>
      <w:r w:rsidRPr="00C70629">
        <w:t>]+</w:t>
      </w:r>
      <w:proofErr w:type="gramEnd"/>
      <w:r w:rsidRPr="00C70629">
        <w:t>[CO]) is set to 2</w:t>
      </w:r>
      <w:r w:rsidR="0093628B">
        <w:t>.0</w:t>
      </w:r>
      <w:r w:rsidRPr="00C70629">
        <w:t xml:space="preserve"> </w:t>
      </w:r>
      <w:r w:rsidR="00133CBF">
        <w:t>(</w:t>
      </w:r>
      <w:r w:rsidR="00146B4E">
        <w:t>[H</w:t>
      </w:r>
      <w:r w:rsidR="00146B4E" w:rsidRPr="007D6A35">
        <w:rPr>
          <w:vertAlign w:val="subscript"/>
        </w:rPr>
        <w:t>2</w:t>
      </w:r>
      <w:r w:rsidR="00146B4E">
        <w:t>] of 73%, [CO] of 9% and [CO</w:t>
      </w:r>
      <w:r w:rsidR="00146B4E" w:rsidRPr="007D6A35">
        <w:rPr>
          <w:vertAlign w:val="subscript"/>
        </w:rPr>
        <w:t>2</w:t>
      </w:r>
      <w:r w:rsidR="00146B4E">
        <w:t>] of 18%</w:t>
      </w:r>
      <w:r w:rsidR="00133CBF">
        <w:t xml:space="preserve">) </w:t>
      </w:r>
      <w:r w:rsidRPr="00C70629">
        <w:t>as required for methanol synthesis to have the maximum yield (</w:t>
      </w:r>
      <w:proofErr w:type="spellStart"/>
      <w:r w:rsidRPr="00C70629">
        <w:t>Fajimi</w:t>
      </w:r>
      <w:proofErr w:type="spellEnd"/>
      <w:r w:rsidRPr="00C70629">
        <w:t xml:space="preserve"> et al., 2024).</w:t>
      </w:r>
      <w:r w:rsidR="00032A5D">
        <w:t xml:space="preserve"> The </w:t>
      </w:r>
      <w:r w:rsidR="00043428">
        <w:t xml:space="preserve">major </w:t>
      </w:r>
      <w:r w:rsidR="00032A5D">
        <w:t xml:space="preserve">reactions in methanol synthesis are the following (see </w:t>
      </w:r>
      <w:proofErr w:type="spellStart"/>
      <w:r w:rsidR="00032A5D">
        <w:t>Eqs</w:t>
      </w:r>
      <w:proofErr w:type="spellEnd"/>
      <w:r w:rsidR="00032A5D">
        <w:t>. 1-3) (Graaf et al., 1998):</w:t>
      </w:r>
    </w:p>
    <w:p w14:paraId="57A6E01C" w14:textId="77777777" w:rsidR="00032A5D" w:rsidRDefault="00032A5D" w:rsidP="00600535">
      <w:pPr>
        <w:pStyle w:val="CETBodytext"/>
      </w:pPr>
    </w:p>
    <w:p w14:paraId="1F53851E" w14:textId="77777777" w:rsidR="00032A5D" w:rsidRPr="00692C62" w:rsidRDefault="00032A5D" w:rsidP="00032A5D">
      <w:pPr>
        <w:spacing w:line="480" w:lineRule="auto"/>
      </w:pPr>
      <m:oMathPara>
        <m:oMathParaPr>
          <m:jc m:val="right"/>
        </m:oMathParaPr>
        <m:oMath>
          <m:r>
            <w:rPr>
              <w:rFonts w:ascii="Cambria Math" w:hAnsi="Cambria Math"/>
            </w:rPr>
            <m:t>C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O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 xml:space="preserve"> ↔ CO+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O                     ∆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298</m:t>
              </m:r>
            </m:sub>
            <m:sup>
              <m:r>
                <w:rPr>
                  <w:rFonts w:ascii="Cambria Math" w:hAnsi="Cambria Math"/>
                </w:rPr>
                <m:t>0</m:t>
              </m:r>
            </m:sup>
          </m:sSubSup>
          <m:r>
            <w:rPr>
              <w:rFonts w:ascii="Cambria Math" w:hAnsi="Cambria Math"/>
            </w:rPr>
            <m:t>= 41.2 kJ/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mol</m:t>
              </m:r>
            </m:e>
            <m:sub>
              <m:r>
                <w:rPr>
                  <w:rFonts w:ascii="Cambria Math" w:hAnsi="Cambria Math"/>
                </w:rPr>
                <m:t>C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sub>
          </m:sSub>
          <m:r>
            <w:rPr>
              <w:rFonts w:ascii="Cambria Math" w:hAnsi="Cambria Math"/>
            </w:rPr>
            <m:t xml:space="preserve">                        (1)</m:t>
          </m:r>
        </m:oMath>
      </m:oMathPara>
    </w:p>
    <w:p w14:paraId="62269E7F" w14:textId="77777777" w:rsidR="00032A5D" w:rsidRPr="00692C62" w:rsidRDefault="00032A5D" w:rsidP="00032A5D">
      <w:pPr>
        <w:spacing w:line="480" w:lineRule="auto"/>
      </w:pPr>
      <m:oMathPara>
        <m:oMathParaPr>
          <m:jc m:val="right"/>
        </m:oMathParaPr>
        <m:oMath>
          <m:r>
            <w:rPr>
              <w:rFonts w:ascii="Cambria Math" w:hAnsi="Cambria Math"/>
            </w:rPr>
            <m:t>CO+2∙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 xml:space="preserve"> ↔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CH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OH                     ∆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298</m:t>
              </m:r>
            </m:sub>
            <m:sup>
              <m:r>
                <w:rPr>
                  <w:rFonts w:ascii="Cambria Math" w:hAnsi="Cambria Math"/>
                </w:rPr>
                <m:t>0</m:t>
              </m:r>
            </m:sup>
          </m:sSubSup>
          <m:r>
            <w:rPr>
              <w:rFonts w:ascii="Cambria Math" w:hAnsi="Cambria Math"/>
            </w:rPr>
            <m:t>= -90.7 kJ/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mol</m:t>
              </m:r>
            </m:e>
            <m:sub>
              <m:r>
                <w:rPr>
                  <w:rFonts w:ascii="Cambria Math" w:hAnsi="Cambria Math"/>
                </w:rPr>
                <m:t>CO</m:t>
              </m:r>
            </m:sub>
          </m:sSub>
          <m:r>
            <w:rPr>
              <w:rFonts w:ascii="Cambria Math" w:hAnsi="Cambria Math"/>
            </w:rPr>
            <m:t xml:space="preserve">                       (2)</m:t>
          </m:r>
        </m:oMath>
      </m:oMathPara>
    </w:p>
    <w:p w14:paraId="7E9B5CBA" w14:textId="77777777" w:rsidR="00032A5D" w:rsidRPr="00692C62" w:rsidRDefault="00032A5D" w:rsidP="00032A5D">
      <w:pPr>
        <w:spacing w:line="480" w:lineRule="auto"/>
      </w:pPr>
      <m:oMathPara>
        <m:oMathParaPr>
          <m:jc m:val="right"/>
        </m:oMathParaPr>
        <m:oMath>
          <m:r>
            <w:rPr>
              <w:rFonts w:ascii="Cambria Math" w:hAnsi="Cambria Math"/>
            </w:rPr>
            <m:t>C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O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3∙H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 xml:space="preserve"> ↔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CH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 xml:space="preserve">OH+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O                 ∆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298</m:t>
              </m:r>
            </m:sub>
            <m:sup>
              <m:r>
                <w:rPr>
                  <w:rFonts w:ascii="Cambria Math" w:hAnsi="Cambria Math"/>
                </w:rPr>
                <m:t>0</m:t>
              </m:r>
            </m:sup>
          </m:sSubSup>
          <m:r>
            <w:rPr>
              <w:rFonts w:ascii="Cambria Math" w:hAnsi="Cambria Math"/>
            </w:rPr>
            <m:t>= -49.5 kJ/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mol</m:t>
              </m:r>
            </m:e>
            <m:sub>
              <m:r>
                <w:rPr>
                  <w:rFonts w:ascii="Cambria Math" w:hAnsi="Cambria Math"/>
                </w:rPr>
                <m:t>C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sub>
          </m:sSub>
          <m:r>
            <w:rPr>
              <w:rFonts w:ascii="Cambria Math" w:hAnsi="Cambria Math"/>
            </w:rPr>
            <m:t xml:space="preserve">                     (3)</m:t>
          </m:r>
        </m:oMath>
      </m:oMathPara>
    </w:p>
    <w:p w14:paraId="78B7B39A" w14:textId="2ED8D165" w:rsidR="002F2A98" w:rsidRDefault="00032A5D" w:rsidP="00600535">
      <w:pPr>
        <w:pStyle w:val="CETBodytext"/>
      </w:pPr>
      <w:r>
        <w:t xml:space="preserve">The </w:t>
      </w:r>
      <w:r w:rsidR="0093628B">
        <w:t xml:space="preserve">adopted </w:t>
      </w:r>
      <w:r>
        <w:t>kinetic model is that suggested by Graaf et al. (1998)</w:t>
      </w:r>
      <w:r w:rsidR="006D4B2D">
        <w:t xml:space="preserve"> and it is implemented in Aspen Plus as described in Kiss et al. (2016)</w:t>
      </w:r>
      <w:r w:rsidR="00E31B60">
        <w:t xml:space="preserve"> while,</w:t>
      </w:r>
      <w:r w:rsidR="00E94EF1">
        <w:t xml:space="preserve"> </w:t>
      </w:r>
      <w:r>
        <w:t xml:space="preserve">the </w:t>
      </w:r>
      <w:r w:rsidRPr="00032A5D">
        <w:t>Soave−Redlick−Kwong (SRK) equation of state (</w:t>
      </w:r>
      <w:proofErr w:type="spellStart"/>
      <w:r w:rsidRPr="00032A5D">
        <w:t>EoS</w:t>
      </w:r>
      <w:proofErr w:type="spellEnd"/>
      <w:r w:rsidRPr="00032A5D">
        <w:t>)</w:t>
      </w:r>
      <w:r>
        <w:t xml:space="preserve"> is considered </w:t>
      </w:r>
      <w:r w:rsidR="0093628B">
        <w:t xml:space="preserve">for </w:t>
      </w:r>
      <w:r>
        <w:t xml:space="preserve">the thermodynamic model </w:t>
      </w:r>
      <w:r w:rsidR="00133CBF">
        <w:t xml:space="preserve">because it shows a better </w:t>
      </w:r>
      <w:r w:rsidR="00133CBF" w:rsidRPr="00133CBF">
        <w:t xml:space="preserve">agreement with experimental data against other </w:t>
      </w:r>
      <w:r w:rsidR="00133CBF">
        <w:t xml:space="preserve">potential </w:t>
      </w:r>
      <w:r w:rsidR="00133CBF" w:rsidRPr="00133CBF">
        <w:t xml:space="preserve">thermodynamic models </w:t>
      </w:r>
      <w:r>
        <w:t>(</w:t>
      </w:r>
      <w:proofErr w:type="spellStart"/>
      <w:r>
        <w:t>Ostadi</w:t>
      </w:r>
      <w:proofErr w:type="spellEnd"/>
      <w:r>
        <w:t xml:space="preserve"> et al., 2020).</w:t>
      </w:r>
      <w:r w:rsidR="006D4B2D">
        <w:t xml:space="preserve"> </w:t>
      </w:r>
    </w:p>
    <w:p w14:paraId="701F030A" w14:textId="4347A256" w:rsidR="00C70629" w:rsidRDefault="00C70629" w:rsidP="00600535">
      <w:pPr>
        <w:pStyle w:val="CETBodytext"/>
      </w:pPr>
      <w:r>
        <w:t xml:space="preserve">In </w:t>
      </w:r>
      <w:r w:rsidR="00BC6F34">
        <w:t xml:space="preserve">the </w:t>
      </w:r>
      <w:r w:rsidR="00043428">
        <w:t>DZMR</w:t>
      </w:r>
      <w:r w:rsidR="00366618">
        <w:t xml:space="preserve"> configuration cooled by oil, </w:t>
      </w:r>
      <w:r w:rsidR="00043428">
        <w:t>the second fraction of the oil</w:t>
      </w:r>
      <w:r w:rsidR="00366618">
        <w:t xml:space="preserve"> is </w:t>
      </w:r>
      <w:r w:rsidR="00043428">
        <w:t xml:space="preserve">injected into the peripherical duct </w:t>
      </w:r>
      <w:r w:rsidR="00366618">
        <w:t xml:space="preserve">to cool down the oil exiting the first zone. In particular, </w:t>
      </w:r>
      <w:r w:rsidR="00043428">
        <w:t xml:space="preserve">the first oil fraction at </w:t>
      </w:r>
      <w:r w:rsidR="006E63CF">
        <w:t xml:space="preserve">the </w:t>
      </w:r>
      <w:r w:rsidR="00366618">
        <w:t>inlet and</w:t>
      </w:r>
      <w:r w:rsidR="00043428">
        <w:t xml:space="preserve"> </w:t>
      </w:r>
      <w:r w:rsidR="00366618">
        <w:t xml:space="preserve">outlet </w:t>
      </w:r>
      <w:r w:rsidR="00043428">
        <w:t>of</w:t>
      </w:r>
      <w:r w:rsidR="00366618">
        <w:t xml:space="preserve"> the first zone </w:t>
      </w:r>
      <w:r w:rsidR="00043428">
        <w:t xml:space="preserve">has a temperature </w:t>
      </w:r>
      <w:r w:rsidR="00366618">
        <w:t>respectively of 210 °C and 230 °C</w:t>
      </w:r>
      <w:r w:rsidR="00043428">
        <w:t>,</w:t>
      </w:r>
      <w:r w:rsidR="00366618">
        <w:t xml:space="preserve"> while </w:t>
      </w:r>
      <w:r w:rsidR="00043428">
        <w:t>the second fraction of oil is</w:t>
      </w:r>
      <w:r w:rsidR="00366618">
        <w:t xml:space="preserve"> at 215 °C</w:t>
      </w:r>
      <w:r w:rsidR="00E94EF1">
        <w:t xml:space="preserve"> </w:t>
      </w:r>
      <w:r w:rsidR="00043428">
        <w:t xml:space="preserve">at </w:t>
      </w:r>
      <w:r w:rsidR="006E63CF">
        <w:t xml:space="preserve">the </w:t>
      </w:r>
      <w:r w:rsidR="00043428">
        <w:t>inlet of the duct</w:t>
      </w:r>
      <w:r w:rsidR="0093628B">
        <w:t>.</w:t>
      </w:r>
      <w:r w:rsidR="00043428">
        <w:t xml:space="preserve"> </w:t>
      </w:r>
      <w:r w:rsidR="0093628B">
        <w:t>The mixing between the first fraction and the second fraction in the duct leads to an overall oil flow</w:t>
      </w:r>
      <w:r w:rsidR="00EC5714">
        <w:t xml:space="preserve"> </w:t>
      </w:r>
      <w:r w:rsidR="0093628B">
        <w:t xml:space="preserve">rate </w:t>
      </w:r>
      <w:r w:rsidR="00B74581">
        <w:t>having</w:t>
      </w:r>
      <w:r w:rsidR="0093628B">
        <w:t xml:space="preserve"> a temperature of </w:t>
      </w:r>
      <w:r w:rsidR="00366618" w:rsidRPr="002933A5">
        <w:t>220 °</w:t>
      </w:r>
      <w:proofErr w:type="spellStart"/>
      <w:r w:rsidR="00366618" w:rsidRPr="002933A5">
        <w:t>C</w:t>
      </w:r>
      <w:r w:rsidR="007D6A35">
        <w:t xml:space="preserve"> </w:t>
      </w:r>
      <w:r w:rsidR="0093628B">
        <w:t>at</w:t>
      </w:r>
      <w:proofErr w:type="spellEnd"/>
      <w:r w:rsidR="0093628B">
        <w:t xml:space="preserve"> inlet of</w:t>
      </w:r>
      <w:r w:rsidR="0093628B" w:rsidRPr="002933A5">
        <w:t xml:space="preserve"> </w:t>
      </w:r>
      <w:r w:rsidR="002F2A98" w:rsidRPr="002933A5">
        <w:t>the second zone</w:t>
      </w:r>
      <w:r w:rsidR="0093628B">
        <w:t>.</w:t>
      </w:r>
      <w:r w:rsidR="00B073EE">
        <w:t xml:space="preserve"> </w:t>
      </w:r>
      <w:r w:rsidR="0093628B">
        <w:t>Accordingly</w:t>
      </w:r>
      <w:r w:rsidR="00043428">
        <w:t xml:space="preserve">, </w:t>
      </w:r>
      <w:proofErr w:type="spellStart"/>
      <w:r w:rsidR="00B073EE">
        <w:t>non isothermal</w:t>
      </w:r>
      <w:proofErr w:type="spellEnd"/>
      <w:r w:rsidR="00B073EE">
        <w:t xml:space="preserve"> </w:t>
      </w:r>
      <w:r w:rsidR="00B74581">
        <w:t xml:space="preserve">shell-side </w:t>
      </w:r>
      <w:r w:rsidR="00B073EE">
        <w:t xml:space="preserve">conditions are </w:t>
      </w:r>
      <w:r w:rsidR="00043428">
        <w:t xml:space="preserve">installed </w:t>
      </w:r>
      <w:r w:rsidR="00B073EE">
        <w:t>in the first zone</w:t>
      </w:r>
      <w:r w:rsidR="00753AF6">
        <w:t>. On the contrary,</w:t>
      </w:r>
      <w:r w:rsidR="00043428">
        <w:t xml:space="preserve"> due to a</w:t>
      </w:r>
      <w:r w:rsidR="00B073EE">
        <w:t xml:space="preserve"> </w:t>
      </w:r>
      <w:r w:rsidR="00043428">
        <w:t>small</w:t>
      </w:r>
      <w:r w:rsidR="00503AF3">
        <w:t xml:space="preserve"> </w:t>
      </w:r>
      <w:r w:rsidR="00B073EE">
        <w:t>increase (</w:t>
      </w:r>
      <w:r w:rsidR="00753AF6">
        <w:t>max</w:t>
      </w:r>
      <w:r w:rsidR="00B073EE">
        <w:t xml:space="preserve"> 5 °C) of oil temperature</w:t>
      </w:r>
      <w:r w:rsidR="00753AF6">
        <w:t>,</w:t>
      </w:r>
      <w:r w:rsidR="00043428">
        <w:t xml:space="preserve"> </w:t>
      </w:r>
      <w:r w:rsidR="00B073EE">
        <w:t xml:space="preserve">isothermal </w:t>
      </w:r>
      <w:r w:rsidR="00B74581">
        <w:t xml:space="preserve">shell-side </w:t>
      </w:r>
      <w:r w:rsidR="00B073EE">
        <w:t>conditions</w:t>
      </w:r>
      <w:r w:rsidR="00043428">
        <w:t xml:space="preserve"> are installed</w:t>
      </w:r>
      <w:r w:rsidR="00753AF6">
        <w:t xml:space="preserve"> in the second zone</w:t>
      </w:r>
      <w:r w:rsidR="00B073EE">
        <w:t>.</w:t>
      </w:r>
      <w:r w:rsidR="006D4B2D">
        <w:t xml:space="preserve"> The overall heat transfer coefficient is evaluated by considering empirical correlations for both tube and shell sides after fixing the overall oil velocity to 0.2 m/s (</w:t>
      </w:r>
      <w:r w:rsidR="006D4B2D" w:rsidRPr="006D4B2D">
        <w:t>Adeyanju and Manohar, 2009</w:t>
      </w:r>
      <w:r w:rsidR="006D4B2D">
        <w:t xml:space="preserve">). </w:t>
      </w:r>
      <w:r w:rsidR="009120F7">
        <w:t xml:space="preserve">By fixing the reactor geometry and </w:t>
      </w:r>
      <w:r w:rsidR="00043428">
        <w:t xml:space="preserve">average shell-side </w:t>
      </w:r>
      <w:r w:rsidR="009120F7">
        <w:t>velocity</w:t>
      </w:r>
      <w:r w:rsidR="00043428">
        <w:t>,</w:t>
      </w:r>
      <w:r w:rsidR="009120F7">
        <w:t xml:space="preserve"> the</w:t>
      </w:r>
      <w:r w:rsidR="00C85AB0">
        <w:t xml:space="preserve"> </w:t>
      </w:r>
      <w:r w:rsidR="00043428">
        <w:t>flow</w:t>
      </w:r>
      <w:r w:rsidR="00C85AB0">
        <w:t xml:space="preserve"> </w:t>
      </w:r>
      <w:r w:rsidR="00043428">
        <w:t>rate</w:t>
      </w:r>
      <w:r w:rsidR="009120F7">
        <w:t xml:space="preserve"> </w:t>
      </w:r>
      <w:r w:rsidR="00043428">
        <w:t xml:space="preserve">of the </w:t>
      </w:r>
      <w:r w:rsidR="009120F7">
        <w:t>cool</w:t>
      </w:r>
      <w:r w:rsidR="002F2A98">
        <w:t>ant</w:t>
      </w:r>
      <w:r w:rsidR="009120F7">
        <w:t xml:space="preserve"> </w:t>
      </w:r>
      <w:r w:rsidR="00503AF3">
        <w:t>oil</w:t>
      </w:r>
      <w:r w:rsidR="00B74581">
        <w:t xml:space="preserve"> (or water)</w:t>
      </w:r>
      <w:r w:rsidR="009120F7">
        <w:t xml:space="preserve"> </w:t>
      </w:r>
      <w:r w:rsidR="00B74581">
        <w:t xml:space="preserve">corresponds to a </w:t>
      </w:r>
      <w:r w:rsidR="00043428">
        <w:t>dependent variable</w:t>
      </w:r>
      <w:r w:rsidR="009120F7">
        <w:t xml:space="preserve">. </w:t>
      </w:r>
    </w:p>
    <w:p w14:paraId="337608C0" w14:textId="3D41B9E3" w:rsidR="0092539A" w:rsidRDefault="00C70629" w:rsidP="00600535">
      <w:pPr>
        <w:pStyle w:val="CETBodytext"/>
      </w:pPr>
      <w:r>
        <w:t xml:space="preserve">In </w:t>
      </w:r>
      <w:r w:rsidR="00BC6F34">
        <w:t>the DZMR</w:t>
      </w:r>
      <w:r w:rsidR="006D4B2D">
        <w:t xml:space="preserve"> configuration cooled by water</w:t>
      </w:r>
      <w:r w:rsidR="003F2B3F">
        <w:t xml:space="preserve">, it is assumed that sensible heat </w:t>
      </w:r>
      <w:r w:rsidR="00B74581">
        <w:t xml:space="preserve">only </w:t>
      </w:r>
      <w:r w:rsidR="003F2B3F">
        <w:t xml:space="preserve">is exchanged with the </w:t>
      </w:r>
      <w:r w:rsidR="00BC6F34">
        <w:t>syngas</w:t>
      </w:r>
      <w:r w:rsidR="003F2B3F">
        <w:t xml:space="preserve"> in </w:t>
      </w:r>
      <w:r w:rsidR="00B74581">
        <w:t xml:space="preserve">both </w:t>
      </w:r>
      <w:r w:rsidR="003F2B3F">
        <w:t xml:space="preserve">the first </w:t>
      </w:r>
      <w:r w:rsidR="001D165D">
        <w:t xml:space="preserve">and second </w:t>
      </w:r>
      <w:r w:rsidR="003F2B3F">
        <w:t>zone</w:t>
      </w:r>
      <w:r w:rsidR="006E63CF">
        <w:t xml:space="preserve"> and</w:t>
      </w:r>
      <w:r w:rsidR="001D165D">
        <w:t xml:space="preserve"> the </w:t>
      </w:r>
      <w:r w:rsidR="00B74581">
        <w:t xml:space="preserve">water </w:t>
      </w:r>
      <w:r w:rsidR="001D165D">
        <w:t xml:space="preserve">pressure is set to </w:t>
      </w:r>
      <w:r w:rsidR="00B74581">
        <w:t xml:space="preserve">operate </w:t>
      </w:r>
      <w:r w:rsidR="00753AF6">
        <w:t xml:space="preserve">below </w:t>
      </w:r>
      <w:r w:rsidR="001D165D">
        <w:t xml:space="preserve">the saturation condition. </w:t>
      </w:r>
      <w:r w:rsidR="00B74581">
        <w:t>To install</w:t>
      </w:r>
      <w:r w:rsidR="00B70445">
        <w:t xml:space="preserve"> </w:t>
      </w:r>
      <w:r w:rsidR="00C85AB0">
        <w:t xml:space="preserve">in the first zone same </w:t>
      </w:r>
      <w:r w:rsidR="00B74581">
        <w:t xml:space="preserve">operating </w:t>
      </w:r>
      <w:r w:rsidR="00C85AB0">
        <w:t xml:space="preserve">temperatures </w:t>
      </w:r>
      <w:r w:rsidR="00B74581">
        <w:t xml:space="preserve">of the oil case study </w:t>
      </w:r>
      <w:r w:rsidR="00C85AB0">
        <w:t xml:space="preserve">(e.g. an inlet and outlet temperature respectively of 210 °C and 230 °C), </w:t>
      </w:r>
      <w:r w:rsidR="00B70445">
        <w:t xml:space="preserve">the </w:t>
      </w:r>
      <w:r w:rsidR="00B74581">
        <w:t xml:space="preserve">water </w:t>
      </w:r>
      <w:r w:rsidR="00B70445">
        <w:t xml:space="preserve">pressure is </w:t>
      </w:r>
      <w:r w:rsidR="00B74581">
        <w:t xml:space="preserve">set </w:t>
      </w:r>
      <w:r w:rsidR="00B70445">
        <w:t xml:space="preserve">to </w:t>
      </w:r>
      <w:r w:rsidR="00B74581">
        <w:t>3.062 MPa(a)</w:t>
      </w:r>
      <w:r w:rsidR="00B70445">
        <w:t xml:space="preserve">. </w:t>
      </w:r>
      <w:r w:rsidR="0092539A">
        <w:t xml:space="preserve">Imposing in the first zone the same thermal duty exchanged </w:t>
      </w:r>
      <w:r w:rsidR="00B74581">
        <w:t xml:space="preserve">in </w:t>
      </w:r>
      <w:r w:rsidR="0092539A">
        <w:t xml:space="preserve">the oil case study, the overall heat transfer coefficient is evaluated and </w:t>
      </w:r>
      <w:r w:rsidR="00B74581">
        <w:t xml:space="preserve">required </w:t>
      </w:r>
      <w:r w:rsidR="00753AF6">
        <w:t xml:space="preserve">first fraction </w:t>
      </w:r>
      <w:r w:rsidR="0092539A">
        <w:t xml:space="preserve">coolant </w:t>
      </w:r>
      <w:r w:rsidR="00B74581">
        <w:t>flow</w:t>
      </w:r>
      <w:r w:rsidR="00EC5714">
        <w:t xml:space="preserve"> </w:t>
      </w:r>
      <w:r w:rsidR="00B74581">
        <w:t xml:space="preserve">rate </w:t>
      </w:r>
      <w:r w:rsidR="0092539A">
        <w:t xml:space="preserve">is obtained in Aspen Plus through a design specification. </w:t>
      </w:r>
      <w:r w:rsidR="00B74581">
        <w:t>For</w:t>
      </w:r>
      <w:r w:rsidR="0092539A">
        <w:t xml:space="preserve"> the second zone, a </w:t>
      </w:r>
      <w:r w:rsidR="00753AF6">
        <w:t xml:space="preserve">second </w:t>
      </w:r>
      <w:r w:rsidR="0092539A">
        <w:t xml:space="preserve">fraction of cold water at 215 °C is added into the annular duct </w:t>
      </w:r>
      <w:r w:rsidR="00B74581">
        <w:t>so</w:t>
      </w:r>
      <w:r w:rsidR="0092539A">
        <w:t xml:space="preserve"> to have an overall average </w:t>
      </w:r>
      <w:r w:rsidR="00B74581">
        <w:t xml:space="preserve">water </w:t>
      </w:r>
      <w:r w:rsidR="0092539A">
        <w:t xml:space="preserve">velocity of 0.2 m/s </w:t>
      </w:r>
      <w:r w:rsidR="00B74581">
        <w:t xml:space="preserve">in the second zone, </w:t>
      </w:r>
      <w:r w:rsidR="0092539A">
        <w:t xml:space="preserve">as </w:t>
      </w:r>
      <w:r w:rsidR="00B74581">
        <w:t>for the oil case study</w:t>
      </w:r>
      <w:r w:rsidR="00753AF6">
        <w:t xml:space="preserve">. </w:t>
      </w:r>
      <w:r w:rsidR="00CD0F4F" w:rsidRPr="00CD0F4F">
        <w:t xml:space="preserve"> </w:t>
      </w:r>
      <w:r w:rsidR="00753AF6">
        <w:t>T</w:t>
      </w:r>
      <w:r w:rsidR="00CD0F4F">
        <w:t xml:space="preserve">he overall heat transfer coefficient is obtained by imposing the same heat exchanged in the oil-based solution. </w:t>
      </w:r>
      <w:r w:rsidR="00666A4B">
        <w:t xml:space="preserve">At the outlet of the second zone, the </w:t>
      </w:r>
      <w:r w:rsidR="00753AF6">
        <w:t xml:space="preserve">cooling </w:t>
      </w:r>
      <w:r w:rsidR="00666A4B">
        <w:t>w</w:t>
      </w:r>
      <w:r w:rsidR="00AD0482">
        <w:t xml:space="preserve">ater </w:t>
      </w:r>
      <w:r w:rsidR="00666A4B">
        <w:t xml:space="preserve">is </w:t>
      </w:r>
      <w:r w:rsidR="00AD0482">
        <w:t xml:space="preserve">at a temperature of 220 °C. </w:t>
      </w:r>
    </w:p>
    <w:p w14:paraId="78C2E581" w14:textId="73D1BDDE" w:rsidR="0007391A" w:rsidRPr="002933A5" w:rsidRDefault="0007391A" w:rsidP="002933A5">
      <w:pPr>
        <w:pStyle w:val="CETBodytext"/>
        <w:rPr>
          <w:highlight w:val="yellow"/>
        </w:rPr>
      </w:pPr>
    </w:p>
    <w:p w14:paraId="41E13699" w14:textId="70E70D39" w:rsidR="00611BBC" w:rsidRDefault="00611BBC" w:rsidP="008937A1">
      <w:pPr>
        <w:pStyle w:val="CETBodytext"/>
        <w:keepNext/>
        <w:jc w:val="center"/>
      </w:pPr>
      <w:r>
        <w:rPr>
          <w:noProof/>
        </w:rPr>
        <w:drawing>
          <wp:inline distT="0" distB="0" distL="0" distR="0" wp14:anchorId="59E09F97" wp14:editId="49CCF343">
            <wp:extent cx="5579745" cy="1345565"/>
            <wp:effectExtent l="0" t="0" r="1905" b="6985"/>
            <wp:docPr id="230330186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8B807" w14:textId="372054A5" w:rsidR="0007391A" w:rsidRPr="00E51F80" w:rsidRDefault="0007391A" w:rsidP="0007391A">
      <w:pPr>
        <w:pStyle w:val="Didascalia"/>
        <w:rPr>
          <w:b w:val="0"/>
          <w:bCs w:val="0"/>
          <w:i/>
          <w:iCs/>
          <w:color w:val="000000" w:themeColor="text1"/>
        </w:rPr>
      </w:pPr>
      <w:r w:rsidRPr="00E51F80">
        <w:rPr>
          <w:b w:val="0"/>
          <w:bCs w:val="0"/>
          <w:i/>
          <w:iCs/>
          <w:color w:val="000000" w:themeColor="text1"/>
        </w:rPr>
        <w:t xml:space="preserve">Figure </w:t>
      </w:r>
      <w:r w:rsidRPr="00E51F80">
        <w:rPr>
          <w:b w:val="0"/>
          <w:bCs w:val="0"/>
          <w:i/>
          <w:iCs/>
          <w:color w:val="000000" w:themeColor="text1"/>
        </w:rPr>
        <w:fldChar w:fldCharType="begin"/>
      </w:r>
      <w:r w:rsidRPr="00E51F80">
        <w:rPr>
          <w:b w:val="0"/>
          <w:bCs w:val="0"/>
          <w:i/>
          <w:iCs/>
          <w:color w:val="000000" w:themeColor="text1"/>
        </w:rPr>
        <w:instrText xml:space="preserve"> SEQ Figure \* ARABIC </w:instrText>
      </w:r>
      <w:r w:rsidRPr="00E51F80">
        <w:rPr>
          <w:b w:val="0"/>
          <w:bCs w:val="0"/>
          <w:i/>
          <w:iCs/>
          <w:color w:val="000000" w:themeColor="text1"/>
        </w:rPr>
        <w:fldChar w:fldCharType="separate"/>
      </w:r>
      <w:r w:rsidR="008C2409">
        <w:rPr>
          <w:b w:val="0"/>
          <w:bCs w:val="0"/>
          <w:i/>
          <w:iCs/>
          <w:noProof/>
          <w:color w:val="000000" w:themeColor="text1"/>
        </w:rPr>
        <w:t>2</w:t>
      </w:r>
      <w:r w:rsidRPr="00E51F80">
        <w:rPr>
          <w:b w:val="0"/>
          <w:bCs w:val="0"/>
          <w:i/>
          <w:iCs/>
          <w:color w:val="000000" w:themeColor="text1"/>
        </w:rPr>
        <w:fldChar w:fldCharType="end"/>
      </w:r>
      <w:r w:rsidRPr="00E51F80">
        <w:rPr>
          <w:b w:val="0"/>
          <w:bCs w:val="0"/>
          <w:i/>
          <w:iCs/>
          <w:color w:val="000000" w:themeColor="text1"/>
        </w:rPr>
        <w:t xml:space="preserve"> </w:t>
      </w:r>
      <w:r w:rsidR="00E51F80" w:rsidRPr="00E51F80">
        <w:rPr>
          <w:b w:val="0"/>
          <w:bCs w:val="0"/>
          <w:i/>
          <w:iCs/>
          <w:color w:val="000000" w:themeColor="text1"/>
        </w:rPr>
        <w:t xml:space="preserve">DZMR in Aspen Plus environment: A) diathermic oil is used as </w:t>
      </w:r>
      <w:r w:rsidR="00123C61">
        <w:rPr>
          <w:b w:val="0"/>
          <w:bCs w:val="0"/>
          <w:i/>
          <w:iCs/>
          <w:color w:val="000000" w:themeColor="text1"/>
        </w:rPr>
        <w:t xml:space="preserve">a </w:t>
      </w:r>
      <w:r w:rsidR="00E51F80" w:rsidRPr="00E51F80">
        <w:rPr>
          <w:b w:val="0"/>
          <w:bCs w:val="0"/>
          <w:i/>
          <w:iCs/>
          <w:color w:val="000000" w:themeColor="text1"/>
        </w:rPr>
        <w:t>coolant; B) water is used as</w:t>
      </w:r>
      <w:r w:rsidR="00123C61">
        <w:rPr>
          <w:b w:val="0"/>
          <w:bCs w:val="0"/>
          <w:i/>
          <w:iCs/>
          <w:color w:val="000000" w:themeColor="text1"/>
        </w:rPr>
        <w:t xml:space="preserve"> a</w:t>
      </w:r>
      <w:r w:rsidR="00E51F80" w:rsidRPr="00E51F80">
        <w:rPr>
          <w:b w:val="0"/>
          <w:bCs w:val="0"/>
          <w:i/>
          <w:iCs/>
          <w:color w:val="000000" w:themeColor="text1"/>
        </w:rPr>
        <w:t xml:space="preserve"> coolant</w:t>
      </w:r>
    </w:p>
    <w:p w14:paraId="6D6B0EA3" w14:textId="7FC78F53" w:rsidR="001F6CF6" w:rsidRDefault="00C70629" w:rsidP="00600535">
      <w:pPr>
        <w:pStyle w:val="CETHeading1"/>
      </w:pPr>
      <w:r>
        <w:t>Results and discussion</w:t>
      </w:r>
    </w:p>
    <w:p w14:paraId="2A23F796" w14:textId="12F4FC8F" w:rsidR="00657E80" w:rsidRDefault="00CE6C31" w:rsidP="00600535">
      <w:pPr>
        <w:pStyle w:val="CETBodytext"/>
      </w:pPr>
      <w:r>
        <w:t>Firstly,</w:t>
      </w:r>
      <w:r w:rsidR="00000EBD">
        <w:t xml:space="preserve"> it is interesting to report the </w:t>
      </w:r>
      <w:r w:rsidR="00DB0D6E">
        <w:t xml:space="preserve">calculated </w:t>
      </w:r>
      <w:r w:rsidR="00000EBD">
        <w:t>duty exchanged in both zones when diathermic oil is used</w:t>
      </w:r>
      <w:r w:rsidR="00A45993">
        <w:t xml:space="preserve"> as coolant</w:t>
      </w:r>
      <w:r w:rsidR="00000EBD">
        <w:t xml:space="preserve">: </w:t>
      </w:r>
      <w:r w:rsidR="00A45993">
        <w:t xml:space="preserve">15.28 kW and 15.95 kW are released </w:t>
      </w:r>
      <w:r>
        <w:t xml:space="preserve">in </w:t>
      </w:r>
      <w:r w:rsidR="00A45993">
        <w:t xml:space="preserve">the first and second zone respectively. </w:t>
      </w:r>
      <w:r w:rsidR="00790768">
        <w:t xml:space="preserve">These data are in agreement with the reference conditions reported in Leonzio et al. (2025). </w:t>
      </w:r>
      <w:r w:rsidR="00A45993">
        <w:t>From these values, the overall heat transfer coefficient</w:t>
      </w:r>
      <w:r>
        <w:t>s</w:t>
      </w:r>
      <w:r w:rsidR="00A45993">
        <w:t xml:space="preserve"> </w:t>
      </w:r>
      <w:r w:rsidR="00DB0D6E">
        <w:t xml:space="preserve">relative to </w:t>
      </w:r>
      <w:r w:rsidR="00A45993">
        <w:t xml:space="preserve">the first and second zone </w:t>
      </w:r>
      <w:r w:rsidR="00C25B11">
        <w:t xml:space="preserve">of </w:t>
      </w:r>
      <w:r>
        <w:t xml:space="preserve">the </w:t>
      </w:r>
      <w:r w:rsidR="00DB0D6E">
        <w:t xml:space="preserve">water-cooled </w:t>
      </w:r>
      <w:r w:rsidR="00C25B11">
        <w:t xml:space="preserve">reactor </w:t>
      </w:r>
      <w:r>
        <w:t xml:space="preserve">configuration can be inferred: these coefficients are respectively </w:t>
      </w:r>
      <w:r w:rsidR="00A45993">
        <w:t xml:space="preserve">equal to </w:t>
      </w:r>
      <w:r w:rsidR="00E574AD">
        <w:t>1</w:t>
      </w:r>
      <w:r w:rsidR="00393770">
        <w:t>49</w:t>
      </w:r>
      <w:r w:rsidR="00E574AD">
        <w:t xml:space="preserve"> </w:t>
      </w:r>
      <w:r w:rsidR="00A45993">
        <w:t>W/m</w:t>
      </w:r>
      <w:r w:rsidR="00A45993" w:rsidRPr="00C25B11">
        <w:rPr>
          <w:vertAlign w:val="superscript"/>
        </w:rPr>
        <w:t>2</w:t>
      </w:r>
      <w:r w:rsidR="00A45993">
        <w:t>K and 169 W/m</w:t>
      </w:r>
      <w:r w:rsidR="00A45993" w:rsidRPr="00C25B11">
        <w:rPr>
          <w:vertAlign w:val="superscript"/>
        </w:rPr>
        <w:t>2</w:t>
      </w:r>
      <w:r w:rsidR="00A45993">
        <w:t xml:space="preserve">K. </w:t>
      </w:r>
      <w:r>
        <w:t xml:space="preserve">Such </w:t>
      </w:r>
      <w:r w:rsidR="00DB0D6E">
        <w:t xml:space="preserve">overall </w:t>
      </w:r>
      <w:r>
        <w:t xml:space="preserve">heat transfer </w:t>
      </w:r>
      <w:r>
        <w:lastRenderedPageBreak/>
        <w:t xml:space="preserve">coefficients </w:t>
      </w:r>
      <w:r w:rsidR="00A45993">
        <w:t xml:space="preserve">allow </w:t>
      </w:r>
      <w:r w:rsidR="00DB0D6E">
        <w:t>installing</w:t>
      </w:r>
      <w:r>
        <w:t xml:space="preserve"> </w:t>
      </w:r>
      <w:r w:rsidR="00A45993">
        <w:t xml:space="preserve">gas temperatures as those </w:t>
      </w:r>
      <w:r>
        <w:t xml:space="preserve">installed </w:t>
      </w:r>
      <w:r w:rsidR="00A45993">
        <w:t xml:space="preserve">in the </w:t>
      </w:r>
      <w:r>
        <w:t xml:space="preserve">oil case study </w:t>
      </w:r>
      <w:r w:rsidR="007D066B">
        <w:t>and are in agreement with literature (</w:t>
      </w:r>
      <w:proofErr w:type="spellStart"/>
      <w:r w:rsidR="007D066B">
        <w:t>Bisotti</w:t>
      </w:r>
      <w:proofErr w:type="spellEnd"/>
      <w:r w:rsidR="007D066B">
        <w:t xml:space="preserve"> et al., 2022; Chen et al., 2011)</w:t>
      </w:r>
      <w:r w:rsidR="00A45993">
        <w:t xml:space="preserve">. </w:t>
      </w:r>
    </w:p>
    <w:p w14:paraId="6DB51156" w14:textId="59634E83" w:rsidR="00C25B11" w:rsidRDefault="00CE6C31" w:rsidP="00600535">
      <w:pPr>
        <w:pStyle w:val="CETBodytext"/>
      </w:pPr>
      <w:r>
        <w:t xml:space="preserve">Under these operating conditions, </w:t>
      </w:r>
      <w:r w:rsidR="00DB0D6E">
        <w:t>the computational model allows</w:t>
      </w:r>
      <w:r w:rsidR="00B47F16" w:rsidRPr="00B47F16">
        <w:t xml:space="preserve"> </w:t>
      </w:r>
      <w:r w:rsidR="00A45993">
        <w:t>verify</w:t>
      </w:r>
      <w:r w:rsidR="00DB0D6E">
        <w:t>ing</w:t>
      </w:r>
      <w:r w:rsidR="00B47F16" w:rsidRPr="00B47F16">
        <w:t xml:space="preserve"> that</w:t>
      </w:r>
      <w:r w:rsidR="00A45993">
        <w:t xml:space="preserve">, </w:t>
      </w:r>
      <w:r>
        <w:t xml:space="preserve">for </w:t>
      </w:r>
      <w:r w:rsidR="00A45993">
        <w:t xml:space="preserve">both </w:t>
      </w:r>
      <w:r>
        <w:t xml:space="preserve">oil and water </w:t>
      </w:r>
      <w:r w:rsidR="00C25B11">
        <w:t>case studies</w:t>
      </w:r>
      <w:r w:rsidR="00A45993">
        <w:t xml:space="preserve">, </w:t>
      </w:r>
      <w:r w:rsidR="00B47F16" w:rsidRPr="00B47F16">
        <w:t xml:space="preserve">the </w:t>
      </w:r>
      <w:r>
        <w:t>temperature peak</w:t>
      </w:r>
      <w:r w:rsidR="00B47F16" w:rsidRPr="00B47F16">
        <w:t xml:space="preserve"> achieved by </w:t>
      </w:r>
      <w:r>
        <w:t xml:space="preserve">process </w:t>
      </w:r>
      <w:r w:rsidR="00B47F16" w:rsidRPr="00B47F16">
        <w:t>gas</w:t>
      </w:r>
      <w:r w:rsidR="00B47F16">
        <w:t xml:space="preserve"> in the first zone</w:t>
      </w:r>
      <w:r w:rsidR="00B47F16" w:rsidRPr="00B47F16">
        <w:t xml:space="preserve"> is in all cases lower than the maximum </w:t>
      </w:r>
      <w:r>
        <w:t xml:space="preserve">value </w:t>
      </w:r>
      <w:r w:rsidR="00DB0D6E">
        <w:t xml:space="preserve">of </w:t>
      </w:r>
      <w:r w:rsidR="00B47F16" w:rsidRPr="00B47F16">
        <w:t>300 °C</w:t>
      </w:r>
      <w:r w:rsidR="00DB0D6E">
        <w:t>, beyond which</w:t>
      </w:r>
      <w:r w:rsidR="00B47F16" w:rsidRPr="00B47F16">
        <w:t xml:space="preserve"> sintering </w:t>
      </w:r>
      <w:r>
        <w:t xml:space="preserve">and deactivation </w:t>
      </w:r>
      <w:r w:rsidR="00B47F16" w:rsidRPr="00B47F16">
        <w:t xml:space="preserve">phenomena </w:t>
      </w:r>
      <w:r>
        <w:t>of</w:t>
      </w:r>
      <w:r w:rsidRPr="00B47F16">
        <w:t xml:space="preserve"> </w:t>
      </w:r>
      <w:r w:rsidR="00B47F16" w:rsidRPr="00B47F16">
        <w:t>the catalyst</w:t>
      </w:r>
      <w:r w:rsidR="00DB0D6E">
        <w:t xml:space="preserve"> may occur</w:t>
      </w:r>
      <w:r w:rsidR="00B47F16" w:rsidRPr="00B47F16">
        <w:t xml:space="preserve"> (Twigg et al., 2003).</w:t>
      </w:r>
    </w:p>
    <w:p w14:paraId="42DA8FB3" w14:textId="2BA0790F" w:rsidR="00C07168" w:rsidRDefault="00C25B11" w:rsidP="00C07168">
      <w:pPr>
        <w:pStyle w:val="CETBodytext"/>
      </w:pPr>
      <w:r>
        <w:t xml:space="preserve">Figure 3 </w:t>
      </w:r>
      <w:r w:rsidR="00CE6C31">
        <w:t xml:space="preserve">and Figure 4 </w:t>
      </w:r>
      <w:r>
        <w:t>show the flow rate profile</w:t>
      </w:r>
      <w:r w:rsidR="00CE6C31">
        <w:t>s</w:t>
      </w:r>
      <w:r>
        <w:t xml:space="preserve"> </w:t>
      </w:r>
      <w:r w:rsidR="00DB0D6E">
        <w:t>calculated or</w:t>
      </w:r>
      <w:r>
        <w:t xml:space="preserve"> each </w:t>
      </w:r>
      <w:r w:rsidR="00CE6C31">
        <w:t>process gas species</w:t>
      </w:r>
      <w:r w:rsidR="009D2113">
        <w:t>,</w:t>
      </w:r>
      <w:r w:rsidR="00CE6C31">
        <w:t xml:space="preserve"> relat</w:t>
      </w:r>
      <w:r w:rsidR="009D2113">
        <w:t>ed</w:t>
      </w:r>
      <w:r w:rsidR="00CE6C31">
        <w:t xml:space="preserve"> to </w:t>
      </w:r>
      <w:r>
        <w:t>the first (Figure 3A</w:t>
      </w:r>
      <w:r w:rsidR="009D2113">
        <w:t xml:space="preserve"> and Figure 4A</w:t>
      </w:r>
      <w:r>
        <w:t>) and second (Figure 3B</w:t>
      </w:r>
      <w:r w:rsidR="009D2113">
        <w:t xml:space="preserve"> and Figure 4B</w:t>
      </w:r>
      <w:r>
        <w:t>) zone</w:t>
      </w:r>
      <w:r w:rsidR="009D2113">
        <w:t>,</w:t>
      </w:r>
      <w:r>
        <w:t xml:space="preserve"> </w:t>
      </w:r>
      <w:r w:rsidR="009D2113">
        <w:t xml:space="preserve">respectively </w:t>
      </w:r>
      <w:r w:rsidR="00DB0D6E">
        <w:t>for the oil-cooled and water-cooled reactor</w:t>
      </w:r>
      <w:r>
        <w:t xml:space="preserve">. </w:t>
      </w:r>
      <w:r w:rsidR="009D2113">
        <w:t>The profiles given in Fig</w:t>
      </w:r>
      <w:r w:rsidR="00FA0052">
        <w:t>ure</w:t>
      </w:r>
      <w:r w:rsidR="009D2113">
        <w:t xml:space="preserve">3 and </w:t>
      </w:r>
      <w:r w:rsidR="00FA0052">
        <w:t xml:space="preserve">Figure </w:t>
      </w:r>
      <w:r w:rsidR="009D2113">
        <w:t xml:space="preserve">4 for the oil-cooled and water-cooled DZMR </w:t>
      </w:r>
      <w:r w:rsidR="003C76CC">
        <w:t xml:space="preserve">are </w:t>
      </w:r>
      <w:r w:rsidR="00DB0D6E">
        <w:t xml:space="preserve">the consequence </w:t>
      </w:r>
      <w:r w:rsidR="009D2113">
        <w:t>of</w:t>
      </w:r>
      <w:r w:rsidR="003C76CC">
        <w:t xml:space="preserve"> same gas temperatures </w:t>
      </w:r>
      <w:r w:rsidR="00DB0D6E">
        <w:t xml:space="preserve">installed </w:t>
      </w:r>
      <w:r w:rsidR="003C76CC">
        <w:t xml:space="preserve">in both zones. In particular, </w:t>
      </w:r>
      <w:r w:rsidR="009D2113">
        <w:t xml:space="preserve">for </w:t>
      </w:r>
      <w:r w:rsidR="003C76CC">
        <w:t>both case studies, in the first zone there is a continuous production of methanol and consumption of CO and H</w:t>
      </w:r>
      <w:r w:rsidR="003C76CC" w:rsidRPr="001D434D">
        <w:rPr>
          <w:vertAlign w:val="subscript"/>
        </w:rPr>
        <w:t>2</w:t>
      </w:r>
      <w:r w:rsidR="008B1C7A">
        <w:t>; H</w:t>
      </w:r>
      <w:r w:rsidR="008B1C7A" w:rsidRPr="007D6A35">
        <w:rPr>
          <w:vertAlign w:val="subscript"/>
        </w:rPr>
        <w:t>2</w:t>
      </w:r>
      <w:r w:rsidR="008B1C7A">
        <w:t xml:space="preserve">O </w:t>
      </w:r>
      <w:r w:rsidR="003C76CC">
        <w:t xml:space="preserve">production is </w:t>
      </w:r>
      <w:r w:rsidR="007349A6">
        <w:t xml:space="preserve">strongly </w:t>
      </w:r>
      <w:r w:rsidR="003C76CC">
        <w:t xml:space="preserve">increasing </w:t>
      </w:r>
      <w:r w:rsidR="007349A6">
        <w:t xml:space="preserve">along the tube length </w:t>
      </w:r>
      <w:r w:rsidR="003C76CC">
        <w:t xml:space="preserve">until </w:t>
      </w:r>
      <w:r w:rsidR="007349A6">
        <w:t>the temperature peak is reached</w:t>
      </w:r>
      <w:r w:rsidR="00C825B7">
        <w:t>, after that</w:t>
      </w:r>
      <w:r w:rsidR="007349A6">
        <w:t xml:space="preserve"> along the tube length</w:t>
      </w:r>
      <w:r w:rsidR="00C825B7">
        <w:t xml:space="preserve"> </w:t>
      </w:r>
      <w:r w:rsidR="008B1C7A">
        <w:t>the H</w:t>
      </w:r>
      <w:r w:rsidR="008B1C7A" w:rsidRPr="007D6A35">
        <w:rPr>
          <w:vertAlign w:val="subscript"/>
        </w:rPr>
        <w:t>2</w:t>
      </w:r>
      <w:r w:rsidR="008B1C7A">
        <w:t xml:space="preserve">O </w:t>
      </w:r>
      <w:r w:rsidR="003C76CC">
        <w:t xml:space="preserve">is decreasing due to the water gas shift reaction. </w:t>
      </w:r>
      <w:r w:rsidR="007349A6">
        <w:t>It is to be underlined that the CO</w:t>
      </w:r>
      <w:r w:rsidR="007349A6" w:rsidRPr="00267A16">
        <w:rPr>
          <w:vertAlign w:val="subscript"/>
        </w:rPr>
        <w:t>2</w:t>
      </w:r>
      <w:r w:rsidR="007349A6">
        <w:t xml:space="preserve"> decreases </w:t>
      </w:r>
      <w:r w:rsidR="00C75755">
        <w:t xml:space="preserve">along the tube till to the temperature peak is reached, then </w:t>
      </w:r>
      <w:r w:rsidR="007349A6">
        <w:t xml:space="preserve">the </w:t>
      </w:r>
      <w:r w:rsidR="00C75755">
        <w:t>CO</w:t>
      </w:r>
      <w:r w:rsidR="00C75755" w:rsidRPr="00267A16">
        <w:rPr>
          <w:vertAlign w:val="subscript"/>
        </w:rPr>
        <w:t>2</w:t>
      </w:r>
      <w:r w:rsidR="00C75755">
        <w:t xml:space="preserve"> increases due to the </w:t>
      </w:r>
      <w:r w:rsidR="007349A6">
        <w:t>water gas shift reaction</w:t>
      </w:r>
      <w:r w:rsidR="00C75755">
        <w:t>.</w:t>
      </w:r>
      <w:r w:rsidR="00881C61">
        <w:t xml:space="preserve"> are supported by the work of De Maria et al. (2013). </w:t>
      </w:r>
      <w:r w:rsidR="00C07168">
        <w:t>In the second zone, the flow rates of CO, CO</w:t>
      </w:r>
      <w:r w:rsidR="00C07168" w:rsidRPr="001D434D">
        <w:rPr>
          <w:vertAlign w:val="subscript"/>
        </w:rPr>
        <w:t>2</w:t>
      </w:r>
      <w:r w:rsidR="00C07168">
        <w:t xml:space="preserve"> and H</w:t>
      </w:r>
      <w:r w:rsidR="00C07168" w:rsidRPr="001D434D">
        <w:rPr>
          <w:vertAlign w:val="subscript"/>
        </w:rPr>
        <w:t>2</w:t>
      </w:r>
      <w:r w:rsidR="00C07168">
        <w:t xml:space="preserve"> are decreasing along the </w:t>
      </w:r>
      <w:r w:rsidR="00C75755">
        <w:t xml:space="preserve">tube length </w:t>
      </w:r>
      <w:r w:rsidR="00C07168">
        <w:t xml:space="preserve">while </w:t>
      </w:r>
      <w:r w:rsidR="008B1C7A">
        <w:t>CH</w:t>
      </w:r>
      <w:r w:rsidR="008B1C7A" w:rsidRPr="007D6A35">
        <w:rPr>
          <w:vertAlign w:val="subscript"/>
        </w:rPr>
        <w:t>3</w:t>
      </w:r>
      <w:r w:rsidR="008B1C7A">
        <w:t xml:space="preserve">OH </w:t>
      </w:r>
      <w:r w:rsidR="00C07168">
        <w:t xml:space="preserve">and </w:t>
      </w:r>
      <w:r w:rsidR="008B1C7A">
        <w:t>H</w:t>
      </w:r>
      <w:r w:rsidR="008B1C7A" w:rsidRPr="007D6A35">
        <w:rPr>
          <w:vertAlign w:val="subscript"/>
        </w:rPr>
        <w:t>2</w:t>
      </w:r>
      <w:r w:rsidR="008B1C7A">
        <w:t xml:space="preserve">O </w:t>
      </w:r>
      <w:r w:rsidR="00C07168">
        <w:t xml:space="preserve">flow rates are increasing. </w:t>
      </w:r>
      <w:r w:rsidR="00881C61">
        <w:t xml:space="preserve">The </w:t>
      </w:r>
      <w:r w:rsidR="00C75755">
        <w:t xml:space="preserve">gas </w:t>
      </w:r>
      <w:r w:rsidR="00881C61">
        <w:t>temperature profile</w:t>
      </w:r>
      <w:r w:rsidR="00C75755">
        <w:t xml:space="preserve"> related to the second zone</w:t>
      </w:r>
      <w:r w:rsidR="00881C61">
        <w:t xml:space="preserve"> is </w:t>
      </w:r>
      <w:r w:rsidR="00C75755">
        <w:t>monotonic</w:t>
      </w:r>
      <w:r w:rsidR="00C825B7">
        <w:t xml:space="preserve">: because </w:t>
      </w:r>
      <w:r w:rsidR="00C75755">
        <w:t>no</w:t>
      </w:r>
      <w:r w:rsidR="00881C61">
        <w:t xml:space="preserve"> d</w:t>
      </w:r>
      <w:r w:rsidR="00C07168">
        <w:t xml:space="preserve">iscontinuity points </w:t>
      </w:r>
      <w:r w:rsidR="00C75755">
        <w:t>in the profiles arise</w:t>
      </w:r>
      <w:r w:rsidR="00C07168">
        <w:t>.</w:t>
      </w:r>
    </w:p>
    <w:p w14:paraId="7AD7720F" w14:textId="43930A2B" w:rsidR="00751C56" w:rsidRDefault="00751C56" w:rsidP="008C2409">
      <w:pPr>
        <w:pStyle w:val="CETBodytext"/>
        <w:keepNext/>
      </w:pPr>
    </w:p>
    <w:p w14:paraId="40EE81AB" w14:textId="38B79BF4" w:rsidR="00751C56" w:rsidRDefault="00751C56" w:rsidP="008C2409">
      <w:pPr>
        <w:pStyle w:val="CETBodytext"/>
        <w:keepNext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AFA70D3" wp14:editId="5A54199F">
                <wp:simplePos x="0" y="0"/>
                <wp:positionH relativeFrom="margin">
                  <wp:posOffset>2767054</wp:posOffset>
                </wp:positionH>
                <wp:positionV relativeFrom="paragraph">
                  <wp:posOffset>44064</wp:posOffset>
                </wp:positionV>
                <wp:extent cx="2360930" cy="1404620"/>
                <wp:effectExtent l="0" t="0" r="0" b="2540"/>
                <wp:wrapNone/>
                <wp:docPr id="167062688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B536D" w14:textId="77777777" w:rsidR="00751C56" w:rsidRPr="008C2409" w:rsidRDefault="00751C56" w:rsidP="00751C56">
                            <w:pPr>
                              <w:rPr>
                                <w:lang w:val="it-IT"/>
                              </w:rPr>
                            </w:pPr>
                            <w:r>
                              <w:t>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FA70D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17.9pt;margin-top:3.45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M1NHVd8AAAAJAQAADwAAAAAAAAAA&#10;AAAAAABVBAAAZHJzL2Rvd25yZXYueG1sUEsFBgAAAAAEAAQA8wAAAGEFAAAAAA==&#10;" filled="f" stroked="f">
                <v:textbox style="mso-fit-shape-to-text:t">
                  <w:txbxContent>
                    <w:p w14:paraId="018B536D" w14:textId="77777777" w:rsidR="00751C56" w:rsidRPr="008C2409" w:rsidRDefault="00751C56" w:rsidP="00751C56">
                      <w:pPr>
                        <w:rPr>
                          <w:lang w:val="it-IT"/>
                        </w:rPr>
                      </w:pPr>
                      <w:r>
                        <w:t>B)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1459186" wp14:editId="04EC863E">
            <wp:extent cx="2703444" cy="1925955"/>
            <wp:effectExtent l="0" t="0" r="1905" b="0"/>
            <wp:docPr id="293166009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4A8CAEDE-3881-11E1-24E0-0248855EE91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t xml:space="preserve">  </w:t>
      </w:r>
      <w:r w:rsidR="00B27D8C">
        <w:rPr>
          <w:noProof/>
        </w:rPr>
        <w:drawing>
          <wp:inline distT="0" distB="0" distL="0" distR="0" wp14:anchorId="58E2638F" wp14:editId="2B7A2486">
            <wp:extent cx="2736850" cy="1854200"/>
            <wp:effectExtent l="0" t="0" r="6350" b="0"/>
            <wp:docPr id="1950779758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E044B347-BD0C-05AF-78DA-E0BED895A0C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316301B" w14:textId="67763B10" w:rsidR="00E94EF1" w:rsidRDefault="008C2409" w:rsidP="00E94EF1">
      <w:pPr>
        <w:pStyle w:val="Didascalia"/>
        <w:rPr>
          <w:b w:val="0"/>
          <w:bCs w:val="0"/>
          <w:i/>
          <w:iCs/>
          <w:color w:val="000000" w:themeColor="text1"/>
        </w:rPr>
      </w:pPr>
      <w:r w:rsidRPr="008C2409">
        <w:rPr>
          <w:b w:val="0"/>
          <w:bCs w:val="0"/>
          <w:i/>
          <w:iCs/>
          <w:color w:val="000000" w:themeColor="text1"/>
        </w:rPr>
        <w:t xml:space="preserve">Figure </w:t>
      </w:r>
      <w:r w:rsidRPr="008C2409">
        <w:rPr>
          <w:b w:val="0"/>
          <w:bCs w:val="0"/>
          <w:i/>
          <w:iCs/>
          <w:color w:val="000000" w:themeColor="text1"/>
        </w:rPr>
        <w:fldChar w:fldCharType="begin"/>
      </w:r>
      <w:r w:rsidRPr="008C2409">
        <w:rPr>
          <w:b w:val="0"/>
          <w:bCs w:val="0"/>
          <w:i/>
          <w:iCs/>
          <w:color w:val="000000" w:themeColor="text1"/>
        </w:rPr>
        <w:instrText xml:space="preserve"> SEQ Figure \* ARABIC </w:instrText>
      </w:r>
      <w:r w:rsidRPr="008C2409">
        <w:rPr>
          <w:b w:val="0"/>
          <w:bCs w:val="0"/>
          <w:i/>
          <w:iCs/>
          <w:color w:val="000000" w:themeColor="text1"/>
        </w:rPr>
        <w:fldChar w:fldCharType="separate"/>
      </w:r>
      <w:r>
        <w:rPr>
          <w:b w:val="0"/>
          <w:bCs w:val="0"/>
          <w:i/>
          <w:iCs/>
          <w:noProof/>
          <w:color w:val="000000" w:themeColor="text1"/>
        </w:rPr>
        <w:t>3</w:t>
      </w:r>
      <w:r w:rsidRPr="008C2409">
        <w:rPr>
          <w:b w:val="0"/>
          <w:bCs w:val="0"/>
          <w:i/>
          <w:iCs/>
          <w:color w:val="000000" w:themeColor="text1"/>
        </w:rPr>
        <w:fldChar w:fldCharType="end"/>
      </w:r>
      <w:r w:rsidRPr="008C2409">
        <w:rPr>
          <w:b w:val="0"/>
          <w:bCs w:val="0"/>
          <w:i/>
          <w:iCs/>
          <w:color w:val="000000" w:themeColor="text1"/>
        </w:rPr>
        <w:t xml:space="preserve"> Flow rate profiles along the </w:t>
      </w:r>
      <w:r w:rsidR="008B1C7A">
        <w:rPr>
          <w:b w:val="0"/>
          <w:bCs w:val="0"/>
          <w:i/>
          <w:iCs/>
          <w:color w:val="000000" w:themeColor="text1"/>
        </w:rPr>
        <w:t xml:space="preserve">oil-cooled DZMR </w:t>
      </w:r>
      <w:r w:rsidRPr="008C2409">
        <w:rPr>
          <w:b w:val="0"/>
          <w:bCs w:val="0"/>
          <w:i/>
          <w:iCs/>
          <w:color w:val="000000" w:themeColor="text1"/>
        </w:rPr>
        <w:t>length: A) first zone; B) second zon</w:t>
      </w:r>
      <w:r>
        <w:rPr>
          <w:b w:val="0"/>
          <w:bCs w:val="0"/>
          <w:i/>
          <w:iCs/>
          <w:color w:val="000000" w:themeColor="text1"/>
        </w:rPr>
        <w:t>e</w:t>
      </w:r>
    </w:p>
    <w:p w14:paraId="583C2AC3" w14:textId="77777777" w:rsidR="00453526" w:rsidRDefault="00453526" w:rsidP="002933A5">
      <w:pPr>
        <w:pStyle w:val="CETBodytext"/>
      </w:pPr>
    </w:p>
    <w:p w14:paraId="079B5273" w14:textId="768BE8F5" w:rsidR="00453526" w:rsidRDefault="00453526" w:rsidP="002933A5">
      <w:pPr>
        <w:pStyle w:val="CETBodytext"/>
      </w:pPr>
      <w:r>
        <w:rPr>
          <w:noProof/>
        </w:rPr>
        <w:drawing>
          <wp:inline distT="0" distB="0" distL="0" distR="0" wp14:anchorId="18BDA062" wp14:editId="7A938975">
            <wp:extent cx="2703444" cy="1925955"/>
            <wp:effectExtent l="0" t="0" r="1905" b="0"/>
            <wp:docPr id="1683530393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4A8CAEDE-3881-11E1-24E0-0248855EE91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>
        <w:t xml:space="preserve"> </w:t>
      </w:r>
      <w:r w:rsidR="00DE561D">
        <w:rPr>
          <w:noProof/>
        </w:rPr>
        <w:drawing>
          <wp:inline distT="0" distB="0" distL="0" distR="0" wp14:anchorId="7074FE28" wp14:editId="7D282A33">
            <wp:extent cx="2711450" cy="1905000"/>
            <wp:effectExtent l="0" t="0" r="0" b="0"/>
            <wp:docPr id="1972482584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B35168BD-C459-FC5C-CCA3-EBF29331920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29650A95" w14:textId="45FDA7C1" w:rsidR="008C2409" w:rsidRPr="008C2409" w:rsidRDefault="008C2409" w:rsidP="008C2409">
      <w:pPr>
        <w:pStyle w:val="Didascalia"/>
        <w:rPr>
          <w:b w:val="0"/>
          <w:bCs w:val="0"/>
          <w:i/>
          <w:iCs/>
          <w:color w:val="000000" w:themeColor="text1"/>
        </w:rPr>
      </w:pPr>
      <w:r w:rsidRPr="008C2409">
        <w:rPr>
          <w:b w:val="0"/>
          <w:bCs w:val="0"/>
          <w:i/>
          <w:iCs/>
          <w:color w:val="000000" w:themeColor="text1"/>
        </w:rPr>
        <w:t xml:space="preserve">Figure </w:t>
      </w:r>
      <w:r w:rsidRPr="008C2409">
        <w:rPr>
          <w:b w:val="0"/>
          <w:bCs w:val="0"/>
          <w:i/>
          <w:iCs/>
          <w:color w:val="000000" w:themeColor="text1"/>
        </w:rPr>
        <w:fldChar w:fldCharType="begin"/>
      </w:r>
      <w:r w:rsidRPr="008C2409">
        <w:rPr>
          <w:b w:val="0"/>
          <w:bCs w:val="0"/>
          <w:i/>
          <w:iCs/>
          <w:color w:val="000000" w:themeColor="text1"/>
        </w:rPr>
        <w:instrText xml:space="preserve"> SEQ Figure \* ARABIC </w:instrText>
      </w:r>
      <w:r w:rsidRPr="008C2409">
        <w:rPr>
          <w:b w:val="0"/>
          <w:bCs w:val="0"/>
          <w:i/>
          <w:iCs/>
          <w:color w:val="000000" w:themeColor="text1"/>
        </w:rPr>
        <w:fldChar w:fldCharType="separate"/>
      </w:r>
      <w:r w:rsidRPr="008C2409">
        <w:rPr>
          <w:b w:val="0"/>
          <w:bCs w:val="0"/>
          <w:i/>
          <w:iCs/>
          <w:noProof/>
          <w:color w:val="000000" w:themeColor="text1"/>
        </w:rPr>
        <w:t>4</w:t>
      </w:r>
      <w:r w:rsidRPr="008C2409">
        <w:rPr>
          <w:b w:val="0"/>
          <w:bCs w:val="0"/>
          <w:i/>
          <w:iCs/>
          <w:color w:val="000000" w:themeColor="text1"/>
        </w:rPr>
        <w:fldChar w:fldCharType="end"/>
      </w:r>
      <w:r w:rsidRPr="008C2409">
        <w:rPr>
          <w:b w:val="0"/>
          <w:bCs w:val="0"/>
          <w:i/>
          <w:iCs/>
          <w:color w:val="000000" w:themeColor="text1"/>
        </w:rPr>
        <w:t xml:space="preserve"> Flow rate profiles along the </w:t>
      </w:r>
      <w:r w:rsidR="008B1C7A">
        <w:rPr>
          <w:b w:val="0"/>
          <w:bCs w:val="0"/>
          <w:i/>
          <w:iCs/>
          <w:color w:val="000000" w:themeColor="text1"/>
        </w:rPr>
        <w:t>water-cooled DZMR</w:t>
      </w:r>
      <w:r w:rsidRPr="008C2409">
        <w:rPr>
          <w:b w:val="0"/>
          <w:bCs w:val="0"/>
          <w:i/>
          <w:iCs/>
          <w:color w:val="000000" w:themeColor="text1"/>
        </w:rPr>
        <w:t xml:space="preserve"> length: A) first zone; B) second zone</w:t>
      </w:r>
    </w:p>
    <w:p w14:paraId="02A77F80" w14:textId="6D42394E" w:rsidR="00D50B59" w:rsidRDefault="0065064D" w:rsidP="00600535">
      <w:pPr>
        <w:pStyle w:val="CETBodytext"/>
      </w:pPr>
      <w:r>
        <w:t xml:space="preserve">  </w:t>
      </w:r>
    </w:p>
    <w:p w14:paraId="6D9F53E5" w14:textId="4ABFC2B7" w:rsidR="00CA3E85" w:rsidRDefault="00C75755" w:rsidP="00B47F16">
      <w:pPr>
        <w:pStyle w:val="CETBodytext"/>
        <w:rPr>
          <w:lang w:val="en-GB"/>
        </w:rPr>
      </w:pPr>
      <w:r>
        <w:rPr>
          <w:lang w:val="en-GB"/>
        </w:rPr>
        <w:t>A comparison of</w:t>
      </w:r>
      <w:r w:rsidR="00F2125A">
        <w:rPr>
          <w:lang w:val="en-GB"/>
        </w:rPr>
        <w:t xml:space="preserve"> </w:t>
      </w:r>
      <w:r>
        <w:rPr>
          <w:lang w:val="en-GB"/>
        </w:rPr>
        <w:t>coolant flow</w:t>
      </w:r>
      <w:r w:rsidR="00EC5714">
        <w:rPr>
          <w:lang w:val="en-GB"/>
        </w:rPr>
        <w:t xml:space="preserve"> </w:t>
      </w:r>
      <w:r>
        <w:rPr>
          <w:lang w:val="en-GB"/>
        </w:rPr>
        <w:t xml:space="preserve">rates for </w:t>
      </w:r>
      <w:r w:rsidR="00F2125A">
        <w:rPr>
          <w:lang w:val="en-GB"/>
        </w:rPr>
        <w:t xml:space="preserve">oil-based and water-based </w:t>
      </w:r>
      <w:r>
        <w:rPr>
          <w:lang w:val="en-GB"/>
        </w:rPr>
        <w:t xml:space="preserve">reactor configurations </w:t>
      </w:r>
      <w:r w:rsidR="00F2125A">
        <w:rPr>
          <w:lang w:val="en-GB"/>
        </w:rPr>
        <w:t xml:space="preserve">is reported in Table 1. </w:t>
      </w:r>
      <w:r w:rsidR="00534125">
        <w:rPr>
          <w:lang w:val="en-GB"/>
        </w:rPr>
        <w:t xml:space="preserve">As said, the model is based on exchange of sensible heat only (i.e., no water boiling). </w:t>
      </w:r>
      <w:r w:rsidR="00F2125A">
        <w:rPr>
          <w:lang w:val="en-GB"/>
        </w:rPr>
        <w:t>For the same amount of methanol production (e.g. 3</w:t>
      </w:r>
      <w:r w:rsidR="00DE30E2">
        <w:rPr>
          <w:lang w:val="en-GB"/>
        </w:rPr>
        <w:t>8</w:t>
      </w:r>
      <w:r w:rsidR="00F2125A">
        <w:rPr>
          <w:lang w:val="en-GB"/>
        </w:rPr>
        <w:t xml:space="preserve"> </w:t>
      </w:r>
      <w:proofErr w:type="spellStart"/>
      <w:r w:rsidR="00F2125A">
        <w:rPr>
          <w:lang w:val="en-GB"/>
        </w:rPr>
        <w:t>kgMeOH</w:t>
      </w:r>
      <w:proofErr w:type="spellEnd"/>
      <w:r w:rsidR="00F2125A">
        <w:rPr>
          <w:lang w:val="en-GB"/>
        </w:rPr>
        <w:t xml:space="preserve">/h), a lower amount of </w:t>
      </w:r>
      <w:r>
        <w:rPr>
          <w:lang w:val="en-GB"/>
        </w:rPr>
        <w:t xml:space="preserve">cooling </w:t>
      </w:r>
      <w:r w:rsidR="00F2125A">
        <w:rPr>
          <w:lang w:val="en-GB"/>
        </w:rPr>
        <w:t xml:space="preserve">water is needed compared to that of oil. </w:t>
      </w:r>
      <w:r>
        <w:rPr>
          <w:lang w:val="en-GB"/>
        </w:rPr>
        <w:t>Specific consumption</w:t>
      </w:r>
      <w:r w:rsidR="00F2125A">
        <w:rPr>
          <w:lang w:val="en-GB"/>
        </w:rPr>
        <w:t xml:space="preserve"> for water and oil is respectively of </w:t>
      </w:r>
      <w:r w:rsidR="00393770">
        <w:rPr>
          <w:lang w:val="en-GB"/>
        </w:rPr>
        <w:t>129</w:t>
      </w:r>
      <w:r w:rsidR="00136D20">
        <w:rPr>
          <w:lang w:val="en-GB"/>
        </w:rPr>
        <w:t xml:space="preserve"> kg</w:t>
      </w:r>
      <w:r>
        <w:rPr>
          <w:lang w:val="en-GB"/>
        </w:rPr>
        <w:t>/h</w:t>
      </w:r>
      <w:r w:rsidR="000B5451">
        <w:rPr>
          <w:lang w:val="en-GB"/>
        </w:rPr>
        <w:t xml:space="preserve"> per </w:t>
      </w:r>
      <w:r w:rsidR="00136D20">
        <w:rPr>
          <w:lang w:val="en-GB"/>
        </w:rPr>
        <w:t>kg</w:t>
      </w:r>
      <w:r>
        <w:rPr>
          <w:lang w:val="en-GB"/>
        </w:rPr>
        <w:t>/h</w:t>
      </w:r>
      <w:r w:rsidR="000B5451">
        <w:rPr>
          <w:lang w:val="en-GB"/>
        </w:rPr>
        <w:t xml:space="preserve"> of </w:t>
      </w:r>
      <w:r w:rsidR="00136D20">
        <w:rPr>
          <w:lang w:val="en-GB"/>
        </w:rPr>
        <w:t>MeOH and 165 kg</w:t>
      </w:r>
      <w:r>
        <w:rPr>
          <w:lang w:val="en-GB"/>
        </w:rPr>
        <w:t>/h</w:t>
      </w:r>
      <w:r w:rsidR="000B5451">
        <w:rPr>
          <w:lang w:val="en-GB"/>
        </w:rPr>
        <w:t xml:space="preserve"> per </w:t>
      </w:r>
      <w:r w:rsidR="00136D20">
        <w:rPr>
          <w:lang w:val="en-GB"/>
        </w:rPr>
        <w:t>kg</w:t>
      </w:r>
      <w:r>
        <w:rPr>
          <w:lang w:val="en-GB"/>
        </w:rPr>
        <w:t>/h</w:t>
      </w:r>
      <w:r w:rsidR="000B5451">
        <w:rPr>
          <w:lang w:val="en-GB"/>
        </w:rPr>
        <w:t xml:space="preserve"> of </w:t>
      </w:r>
      <w:r w:rsidR="00136D20">
        <w:rPr>
          <w:lang w:val="en-GB"/>
        </w:rPr>
        <w:t>MeOH</w:t>
      </w:r>
      <w:r>
        <w:rPr>
          <w:lang w:val="en-GB"/>
        </w:rPr>
        <w:t xml:space="preserve">, corresponding to </w:t>
      </w:r>
      <w:r w:rsidR="00BF7011">
        <w:rPr>
          <w:lang w:val="en-GB"/>
        </w:rPr>
        <w:t xml:space="preserve">a difference of </w:t>
      </w:r>
      <w:r w:rsidR="00393770">
        <w:rPr>
          <w:lang w:val="en-GB"/>
        </w:rPr>
        <w:t>21</w:t>
      </w:r>
      <w:r w:rsidR="00BF7011">
        <w:rPr>
          <w:lang w:val="en-GB"/>
        </w:rPr>
        <w:t xml:space="preserve">% between the two </w:t>
      </w:r>
      <w:r>
        <w:rPr>
          <w:lang w:val="en-GB"/>
        </w:rPr>
        <w:t>coolants</w:t>
      </w:r>
      <w:r w:rsidR="00BF7011">
        <w:rPr>
          <w:lang w:val="en-GB"/>
        </w:rPr>
        <w:t>)</w:t>
      </w:r>
      <w:r w:rsidR="00136D20">
        <w:rPr>
          <w:lang w:val="en-GB"/>
        </w:rPr>
        <w:t xml:space="preserve">. </w:t>
      </w:r>
    </w:p>
    <w:p w14:paraId="2C388E6C" w14:textId="76A08A84" w:rsidR="008E6D2E" w:rsidRDefault="00136D20" w:rsidP="00B47F16">
      <w:pPr>
        <w:pStyle w:val="CETBodytext"/>
        <w:rPr>
          <w:lang w:val="en-GB"/>
        </w:rPr>
      </w:pPr>
      <w:r w:rsidRPr="002933A5">
        <w:rPr>
          <w:lang w:val="en-GB"/>
        </w:rPr>
        <w:t>The lower consumption of water</w:t>
      </w:r>
      <w:r w:rsidR="00393770" w:rsidRPr="002933A5">
        <w:rPr>
          <w:lang w:val="en-GB"/>
        </w:rPr>
        <w:t>, especially in the first zone of the reactor,</w:t>
      </w:r>
      <w:r w:rsidRPr="002933A5">
        <w:rPr>
          <w:lang w:val="en-GB"/>
        </w:rPr>
        <w:t xml:space="preserve"> is due to higher specific heat capacity of water compared to that of oil at a fixed amount of exchanged heat</w:t>
      </w:r>
      <w:r w:rsidR="0028353C" w:rsidRPr="002933A5">
        <w:rPr>
          <w:lang w:val="en-GB"/>
        </w:rPr>
        <w:t xml:space="preserve"> (e.g. at 10 °C the specific heat capacit</w:t>
      </w:r>
      <w:r w:rsidR="00B60CA7">
        <w:rPr>
          <w:lang w:val="en-GB"/>
        </w:rPr>
        <w:t>ies</w:t>
      </w:r>
      <w:r w:rsidR="0028353C" w:rsidRPr="002933A5">
        <w:rPr>
          <w:lang w:val="en-GB"/>
        </w:rPr>
        <w:t xml:space="preserve"> of oil and water are respectively of 1528 </w:t>
      </w:r>
      <w:r w:rsidR="00A81506" w:rsidRPr="002933A5">
        <w:rPr>
          <w:lang w:val="en-GB"/>
        </w:rPr>
        <w:t>J/</w:t>
      </w:r>
      <w:proofErr w:type="spellStart"/>
      <w:r w:rsidR="00A81506" w:rsidRPr="002933A5">
        <w:rPr>
          <w:lang w:val="en-GB"/>
        </w:rPr>
        <w:t>kgK</w:t>
      </w:r>
      <w:proofErr w:type="spellEnd"/>
      <w:r w:rsidR="00A81506" w:rsidRPr="002933A5">
        <w:rPr>
          <w:lang w:val="en-GB"/>
        </w:rPr>
        <w:t xml:space="preserve"> </w:t>
      </w:r>
      <w:r w:rsidR="0028353C" w:rsidRPr="002933A5">
        <w:rPr>
          <w:lang w:val="en-GB"/>
        </w:rPr>
        <w:t>and 4200 J/</w:t>
      </w:r>
      <w:proofErr w:type="spellStart"/>
      <w:r w:rsidR="0028353C" w:rsidRPr="002933A5">
        <w:rPr>
          <w:lang w:val="en-GB"/>
        </w:rPr>
        <w:t>kgK</w:t>
      </w:r>
      <w:proofErr w:type="spellEnd"/>
      <w:r w:rsidR="0028353C" w:rsidRPr="002933A5">
        <w:rPr>
          <w:lang w:val="en-GB"/>
        </w:rPr>
        <w:t>)</w:t>
      </w:r>
      <w:r w:rsidRPr="002933A5">
        <w:rPr>
          <w:lang w:val="en-GB"/>
        </w:rPr>
        <w:t>.</w:t>
      </w:r>
      <w:r>
        <w:rPr>
          <w:lang w:val="en-GB"/>
        </w:rPr>
        <w:t xml:space="preserve"> </w:t>
      </w:r>
    </w:p>
    <w:p w14:paraId="6A5167CF" w14:textId="674A8049" w:rsidR="00600535" w:rsidRPr="00B57B36" w:rsidRDefault="00600535" w:rsidP="00600535">
      <w:pPr>
        <w:pStyle w:val="CETTabletitle"/>
      </w:pPr>
      <w:r w:rsidRPr="00B57B36">
        <w:lastRenderedPageBreak/>
        <w:t xml:space="preserve">Table 1: </w:t>
      </w:r>
      <w:r w:rsidR="00DE30E2">
        <w:t>Comparison of DZMRs cooled by diathermic oil and water</w:t>
      </w:r>
      <w:r w:rsidR="00534125">
        <w:t xml:space="preserve"> (exchange of sensible heat only)</w:t>
      </w:r>
    </w:p>
    <w:tbl>
      <w:tblPr>
        <w:tblW w:w="0" w:type="auto"/>
        <w:jc w:val="center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71"/>
        <w:gridCol w:w="1983"/>
        <w:gridCol w:w="709"/>
        <w:gridCol w:w="567"/>
        <w:gridCol w:w="218"/>
      </w:tblGrid>
      <w:tr w:rsidR="00600535" w:rsidRPr="00B57B36" w14:paraId="4B29AA51" w14:textId="77777777" w:rsidTr="002933A5">
        <w:trPr>
          <w:jc w:val="center"/>
        </w:trPr>
        <w:tc>
          <w:tcPr>
            <w:tcW w:w="3971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500859EC" w14:textId="6FD8D98E" w:rsidR="00600535" w:rsidRPr="00B57B36" w:rsidRDefault="00F2125A" w:rsidP="00507B47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Coolant</w:t>
            </w:r>
            <w:r w:rsidR="00600535" w:rsidRPr="00B57B36">
              <w:rPr>
                <w:lang w:val="en-GB"/>
              </w:rPr>
              <w:t xml:space="preserve"> </w:t>
            </w:r>
          </w:p>
        </w:tc>
        <w:tc>
          <w:tcPr>
            <w:tcW w:w="1983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6B6E97E3" w14:textId="719178B7" w:rsidR="00600535" w:rsidRPr="00B57B36" w:rsidRDefault="00F2125A" w:rsidP="00507B47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Diathermic oil</w:t>
            </w:r>
          </w:p>
        </w:tc>
        <w:tc>
          <w:tcPr>
            <w:tcW w:w="709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0CC5C18D" w14:textId="5A6182B4" w:rsidR="00600535" w:rsidRPr="00B57B36" w:rsidRDefault="00F2125A" w:rsidP="00507B47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Water</w:t>
            </w:r>
          </w:p>
        </w:tc>
        <w:tc>
          <w:tcPr>
            <w:tcW w:w="567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199EE8DC" w14:textId="77777777" w:rsidR="00600535" w:rsidRPr="00B57B36" w:rsidRDefault="00600535" w:rsidP="00507B47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  <w:tc>
          <w:tcPr>
            <w:tcW w:w="218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005800F7" w14:textId="77777777" w:rsidR="00600535" w:rsidRPr="00B57B36" w:rsidRDefault="00600535" w:rsidP="00507B47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</w:tr>
      <w:tr w:rsidR="00600535" w:rsidRPr="00B57B36" w14:paraId="18FA68DB" w14:textId="77777777" w:rsidTr="002933A5">
        <w:trPr>
          <w:jc w:val="center"/>
        </w:trPr>
        <w:tc>
          <w:tcPr>
            <w:tcW w:w="3971" w:type="dxa"/>
            <w:shd w:val="clear" w:color="auto" w:fill="FFFFFF"/>
          </w:tcPr>
          <w:p w14:paraId="1877D42D" w14:textId="40DB82A3" w:rsidR="00600535" w:rsidRPr="00B57B36" w:rsidRDefault="00F2125A" w:rsidP="00507B47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Methanol production (kg/h)</w:t>
            </w:r>
          </w:p>
        </w:tc>
        <w:tc>
          <w:tcPr>
            <w:tcW w:w="1983" w:type="dxa"/>
            <w:shd w:val="clear" w:color="auto" w:fill="FFFFFF"/>
          </w:tcPr>
          <w:p w14:paraId="48136FAE" w14:textId="1107F11F" w:rsidR="00600535" w:rsidRPr="00B57B36" w:rsidRDefault="00DE30E2" w:rsidP="00507B47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38</w:t>
            </w:r>
          </w:p>
        </w:tc>
        <w:tc>
          <w:tcPr>
            <w:tcW w:w="709" w:type="dxa"/>
            <w:shd w:val="clear" w:color="auto" w:fill="FFFFFF"/>
          </w:tcPr>
          <w:p w14:paraId="2CB03BEE" w14:textId="0E70182E" w:rsidR="00600535" w:rsidRPr="00B57B36" w:rsidRDefault="00DE30E2" w:rsidP="00507B47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38</w:t>
            </w:r>
          </w:p>
        </w:tc>
        <w:tc>
          <w:tcPr>
            <w:tcW w:w="567" w:type="dxa"/>
            <w:shd w:val="clear" w:color="auto" w:fill="FFFFFF"/>
          </w:tcPr>
          <w:p w14:paraId="7FF7EB81" w14:textId="77777777" w:rsidR="00600535" w:rsidRPr="00B57B36" w:rsidRDefault="00600535" w:rsidP="00507B47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  <w:tc>
          <w:tcPr>
            <w:tcW w:w="218" w:type="dxa"/>
            <w:shd w:val="clear" w:color="auto" w:fill="FFFFFF"/>
          </w:tcPr>
          <w:p w14:paraId="6512B018" w14:textId="77777777" w:rsidR="00600535" w:rsidRPr="00B57B36" w:rsidRDefault="00600535" w:rsidP="00507B47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</w:tr>
      <w:tr w:rsidR="00600535" w:rsidRPr="00B57B36" w14:paraId="1777C522" w14:textId="77777777" w:rsidTr="002933A5">
        <w:trPr>
          <w:jc w:val="center"/>
        </w:trPr>
        <w:tc>
          <w:tcPr>
            <w:tcW w:w="3971" w:type="dxa"/>
            <w:shd w:val="clear" w:color="auto" w:fill="FFFFFF"/>
          </w:tcPr>
          <w:p w14:paraId="59954EC2" w14:textId="69AE2A7C" w:rsidR="00600535" w:rsidRPr="00B57B36" w:rsidRDefault="00F2125A" w:rsidP="00507B47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Cool</w:t>
            </w:r>
            <w:r w:rsidR="00AF6B0C">
              <w:rPr>
                <w:rFonts w:cs="Arial"/>
                <w:szCs w:val="18"/>
                <w:lang w:val="en-GB"/>
              </w:rPr>
              <w:t>ant</w:t>
            </w:r>
            <w:r>
              <w:rPr>
                <w:rFonts w:cs="Arial"/>
                <w:szCs w:val="18"/>
                <w:lang w:val="en-GB"/>
              </w:rPr>
              <w:t xml:space="preserve"> consumption (kg/h)</w:t>
            </w:r>
          </w:p>
        </w:tc>
        <w:tc>
          <w:tcPr>
            <w:tcW w:w="1983" w:type="dxa"/>
            <w:shd w:val="clear" w:color="auto" w:fill="FFFFFF"/>
          </w:tcPr>
          <w:p w14:paraId="4FFB40F7" w14:textId="4B49E6E0" w:rsidR="00600535" w:rsidRPr="00B57B36" w:rsidRDefault="00AF6B0C" w:rsidP="00507B47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6263</w:t>
            </w:r>
          </w:p>
        </w:tc>
        <w:tc>
          <w:tcPr>
            <w:tcW w:w="709" w:type="dxa"/>
            <w:shd w:val="clear" w:color="auto" w:fill="FFFFFF"/>
          </w:tcPr>
          <w:p w14:paraId="74F8316C" w14:textId="3CDEAFCD" w:rsidR="00600535" w:rsidRPr="00B57B36" w:rsidRDefault="00393770" w:rsidP="00507B47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4888</w:t>
            </w:r>
          </w:p>
        </w:tc>
        <w:tc>
          <w:tcPr>
            <w:tcW w:w="567" w:type="dxa"/>
            <w:shd w:val="clear" w:color="auto" w:fill="FFFFFF"/>
          </w:tcPr>
          <w:p w14:paraId="708CF970" w14:textId="77777777" w:rsidR="00600535" w:rsidRPr="00B57B36" w:rsidRDefault="00600535" w:rsidP="00507B47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  <w:tc>
          <w:tcPr>
            <w:tcW w:w="218" w:type="dxa"/>
            <w:shd w:val="clear" w:color="auto" w:fill="FFFFFF"/>
          </w:tcPr>
          <w:p w14:paraId="6B4A2B9B" w14:textId="77777777" w:rsidR="00600535" w:rsidRPr="00B57B36" w:rsidRDefault="00600535" w:rsidP="00507B47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</w:tr>
      <w:tr w:rsidR="00F2125A" w:rsidRPr="00B57B36" w14:paraId="1D4FA68F" w14:textId="77777777" w:rsidTr="002933A5">
        <w:trPr>
          <w:jc w:val="center"/>
        </w:trPr>
        <w:tc>
          <w:tcPr>
            <w:tcW w:w="3971" w:type="dxa"/>
            <w:shd w:val="clear" w:color="auto" w:fill="FFFFFF"/>
          </w:tcPr>
          <w:p w14:paraId="61F77B38" w14:textId="40263974" w:rsidR="00F2125A" w:rsidRDefault="00F2125A" w:rsidP="00507B47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Specific cooling consumption (kg/</w:t>
            </w:r>
            <w:proofErr w:type="spellStart"/>
            <w:r>
              <w:rPr>
                <w:rFonts w:cs="Arial"/>
                <w:szCs w:val="18"/>
                <w:lang w:val="en-GB"/>
              </w:rPr>
              <w:t>kgMeOH</w:t>
            </w:r>
            <w:proofErr w:type="spellEnd"/>
            <w:r>
              <w:rPr>
                <w:rFonts w:cs="Arial"/>
                <w:szCs w:val="18"/>
                <w:lang w:val="en-GB"/>
              </w:rPr>
              <w:t>)</w:t>
            </w:r>
          </w:p>
        </w:tc>
        <w:tc>
          <w:tcPr>
            <w:tcW w:w="1983" w:type="dxa"/>
            <w:shd w:val="clear" w:color="auto" w:fill="FFFFFF"/>
          </w:tcPr>
          <w:p w14:paraId="6E3F077B" w14:textId="29B535E7" w:rsidR="00F2125A" w:rsidRPr="00B57B36" w:rsidRDefault="00AF6B0C" w:rsidP="00507B47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165</w:t>
            </w:r>
          </w:p>
        </w:tc>
        <w:tc>
          <w:tcPr>
            <w:tcW w:w="709" w:type="dxa"/>
            <w:shd w:val="clear" w:color="auto" w:fill="FFFFFF"/>
          </w:tcPr>
          <w:p w14:paraId="030EE85B" w14:textId="460B1B45" w:rsidR="00F2125A" w:rsidRPr="00B57B36" w:rsidRDefault="00393770" w:rsidP="00507B47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129</w:t>
            </w:r>
          </w:p>
        </w:tc>
        <w:tc>
          <w:tcPr>
            <w:tcW w:w="567" w:type="dxa"/>
            <w:shd w:val="clear" w:color="auto" w:fill="FFFFFF"/>
          </w:tcPr>
          <w:p w14:paraId="6DF4A979" w14:textId="77777777" w:rsidR="00F2125A" w:rsidRPr="00B57B36" w:rsidRDefault="00F2125A" w:rsidP="00507B47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  <w:tc>
          <w:tcPr>
            <w:tcW w:w="218" w:type="dxa"/>
            <w:shd w:val="clear" w:color="auto" w:fill="FFFFFF"/>
          </w:tcPr>
          <w:p w14:paraId="5E166C90" w14:textId="77777777" w:rsidR="00F2125A" w:rsidRPr="00B57B36" w:rsidRDefault="00F2125A" w:rsidP="00507B47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</w:tr>
      <w:tr w:rsidR="00C07D71" w:rsidRPr="00B57B36" w14:paraId="7C8AFDCA" w14:textId="77777777" w:rsidTr="002933A5">
        <w:trPr>
          <w:jc w:val="center"/>
        </w:trPr>
        <w:tc>
          <w:tcPr>
            <w:tcW w:w="3971" w:type="dxa"/>
            <w:shd w:val="clear" w:color="auto" w:fill="FFFFFF"/>
          </w:tcPr>
          <w:p w14:paraId="08D73B99" w14:textId="09F6ED17" w:rsidR="00C07D71" w:rsidRDefault="00C07D71" w:rsidP="00507B47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Overall released heat (kW)</w:t>
            </w:r>
          </w:p>
        </w:tc>
        <w:tc>
          <w:tcPr>
            <w:tcW w:w="1983" w:type="dxa"/>
            <w:shd w:val="clear" w:color="auto" w:fill="FFFFFF"/>
          </w:tcPr>
          <w:p w14:paraId="44160A23" w14:textId="656F3DA1" w:rsidR="00C07D71" w:rsidRDefault="00C07D71" w:rsidP="00507B47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31.23</w:t>
            </w:r>
          </w:p>
        </w:tc>
        <w:tc>
          <w:tcPr>
            <w:tcW w:w="709" w:type="dxa"/>
            <w:shd w:val="clear" w:color="auto" w:fill="FFFFFF"/>
          </w:tcPr>
          <w:p w14:paraId="1C8FCB57" w14:textId="7741A458" w:rsidR="00C07D71" w:rsidRDefault="00C07D71" w:rsidP="00507B47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31.23</w:t>
            </w:r>
          </w:p>
        </w:tc>
        <w:tc>
          <w:tcPr>
            <w:tcW w:w="567" w:type="dxa"/>
            <w:shd w:val="clear" w:color="auto" w:fill="FFFFFF"/>
          </w:tcPr>
          <w:p w14:paraId="53788E4A" w14:textId="77777777" w:rsidR="00C07D71" w:rsidRPr="00B57B36" w:rsidRDefault="00C07D71" w:rsidP="00507B47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  <w:tc>
          <w:tcPr>
            <w:tcW w:w="218" w:type="dxa"/>
            <w:shd w:val="clear" w:color="auto" w:fill="FFFFFF"/>
          </w:tcPr>
          <w:p w14:paraId="52F783E0" w14:textId="77777777" w:rsidR="00C07D71" w:rsidRPr="00B57B36" w:rsidRDefault="00C07D71" w:rsidP="00507B47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</w:tr>
    </w:tbl>
    <w:p w14:paraId="30859F48" w14:textId="77777777" w:rsidR="00781A7E" w:rsidRDefault="00781A7E" w:rsidP="00136D20">
      <w:pPr>
        <w:pStyle w:val="CETBodytext"/>
        <w:rPr>
          <w:lang w:val="en-GB"/>
        </w:rPr>
      </w:pPr>
    </w:p>
    <w:p w14:paraId="555C3567" w14:textId="77777777" w:rsidR="00781A7E" w:rsidRDefault="00781A7E" w:rsidP="00136D20">
      <w:pPr>
        <w:pStyle w:val="CETBodytext"/>
        <w:rPr>
          <w:lang w:val="en-GB"/>
        </w:rPr>
      </w:pPr>
    </w:p>
    <w:p w14:paraId="6EE4C54B" w14:textId="2F19790C" w:rsidR="00CB475A" w:rsidRDefault="00CA3E85" w:rsidP="00CB475A">
      <w:pPr>
        <w:pStyle w:val="CETBodytext"/>
        <w:rPr>
          <w:lang w:val="en-GB"/>
        </w:rPr>
      </w:pPr>
      <w:r>
        <w:rPr>
          <w:lang w:val="en-GB"/>
        </w:rPr>
        <w:t xml:space="preserve">Results show that for a small-scale </w:t>
      </w:r>
      <w:r w:rsidR="00B60CA7">
        <w:rPr>
          <w:lang w:val="en-GB"/>
        </w:rPr>
        <w:t>DZMR</w:t>
      </w:r>
      <w:r>
        <w:rPr>
          <w:lang w:val="en-GB"/>
        </w:rPr>
        <w:t xml:space="preserve">, </w:t>
      </w:r>
      <w:r w:rsidR="00B60CA7">
        <w:rPr>
          <w:lang w:val="en-GB"/>
        </w:rPr>
        <w:t>the water-based configuration requires a coolant flow</w:t>
      </w:r>
      <w:r w:rsidR="00A476B3">
        <w:rPr>
          <w:lang w:val="en-GB"/>
        </w:rPr>
        <w:t xml:space="preserve"> </w:t>
      </w:r>
      <w:r w:rsidR="00B60CA7">
        <w:rPr>
          <w:lang w:val="en-GB"/>
        </w:rPr>
        <w:t xml:space="preserve">rate lower than the oil-based configuration by 20% approx. Such a difference can be important for </w:t>
      </w:r>
      <w:r w:rsidR="00B46227">
        <w:rPr>
          <w:lang w:val="en-GB"/>
        </w:rPr>
        <w:t>selecting</w:t>
      </w:r>
      <w:r w:rsidR="00B60CA7">
        <w:rPr>
          <w:lang w:val="en-GB"/>
        </w:rPr>
        <w:t xml:space="preserve"> </w:t>
      </w:r>
      <w:r w:rsidR="00B46227">
        <w:rPr>
          <w:lang w:val="en-GB"/>
        </w:rPr>
        <w:t>the proper</w:t>
      </w:r>
      <w:r w:rsidR="00B60CA7">
        <w:rPr>
          <w:lang w:val="en-GB"/>
        </w:rPr>
        <w:t xml:space="preserve"> coolant and </w:t>
      </w:r>
      <w:r w:rsidR="00B46227">
        <w:rPr>
          <w:lang w:val="en-GB"/>
        </w:rPr>
        <w:t>optimizing the</w:t>
      </w:r>
      <w:r w:rsidR="00B60CA7">
        <w:rPr>
          <w:lang w:val="en-GB"/>
        </w:rPr>
        <w:t xml:space="preserve"> operating expenditure of a small-scale methanol synthesis unit</w:t>
      </w:r>
      <w:r w:rsidR="00534125">
        <w:rPr>
          <w:lang w:val="en-GB"/>
        </w:rPr>
        <w:t>, as for local or on-site small methanol productions</w:t>
      </w:r>
      <w:r w:rsidR="00B60CA7">
        <w:rPr>
          <w:lang w:val="en-GB"/>
        </w:rPr>
        <w:t xml:space="preserve">. </w:t>
      </w:r>
      <w:r w:rsidR="00CB475A">
        <w:rPr>
          <w:lang w:val="en-GB"/>
        </w:rPr>
        <w:t xml:space="preserve">However, </w:t>
      </w:r>
      <w:r w:rsidR="00A476B3">
        <w:rPr>
          <w:lang w:val="en-GB"/>
        </w:rPr>
        <w:t xml:space="preserve">for </w:t>
      </w:r>
      <w:r w:rsidR="00CB475A">
        <w:rPr>
          <w:lang w:val="en-GB"/>
        </w:rPr>
        <w:t xml:space="preserve">the comparison given in Table </w:t>
      </w:r>
      <w:r w:rsidR="00534125">
        <w:rPr>
          <w:lang w:val="en-GB"/>
        </w:rPr>
        <w:t>1, it</w:t>
      </w:r>
      <w:r w:rsidR="00CB475A">
        <w:rPr>
          <w:lang w:val="en-GB"/>
        </w:rPr>
        <w:t xml:space="preserve"> must take into account that the oil-based DZMR works with a low shell-side </w:t>
      </w:r>
      <w:r w:rsidR="00534125">
        <w:rPr>
          <w:lang w:val="en-GB"/>
        </w:rPr>
        <w:t xml:space="preserve">operating </w:t>
      </w:r>
      <w:r w:rsidR="00CB475A">
        <w:rPr>
          <w:lang w:val="en-GB"/>
        </w:rPr>
        <w:t>pressure (0.3 to 0.5 MPa abs), whereas the water-based DZMR works with a high shell-side operating pressure (&gt;3 MPa abs). This may have an important impact on capital costs of a small-scale methanol unit.</w:t>
      </w:r>
    </w:p>
    <w:p w14:paraId="018F1B16" w14:textId="56CBEF99" w:rsidR="00B46227" w:rsidRDefault="00CA3E85" w:rsidP="00136D20">
      <w:pPr>
        <w:pStyle w:val="CETBodytext"/>
        <w:rPr>
          <w:lang w:val="en-GB"/>
        </w:rPr>
      </w:pPr>
      <w:r>
        <w:rPr>
          <w:lang w:val="en-GB"/>
        </w:rPr>
        <w:t>It is important to underline that</w:t>
      </w:r>
      <w:r w:rsidR="00B46227">
        <w:rPr>
          <w:lang w:val="en-GB"/>
        </w:rPr>
        <w:t>,</w:t>
      </w:r>
      <w:r>
        <w:rPr>
          <w:lang w:val="en-GB"/>
        </w:rPr>
        <w:t xml:space="preserve"> </w:t>
      </w:r>
      <w:r w:rsidR="00B46227">
        <w:rPr>
          <w:lang w:val="en-GB"/>
        </w:rPr>
        <w:t xml:space="preserve">in this study, a water-based DZMR with boiling water, as done for most part of industrial methanol reactors, </w:t>
      </w:r>
      <w:r>
        <w:rPr>
          <w:lang w:val="en-GB"/>
        </w:rPr>
        <w:t>is not</w:t>
      </w:r>
      <w:r w:rsidR="00B46227">
        <w:rPr>
          <w:lang w:val="en-GB"/>
        </w:rPr>
        <w:t xml:space="preserve"> considered </w:t>
      </w:r>
      <w:r>
        <w:rPr>
          <w:lang w:val="en-GB"/>
        </w:rPr>
        <w:t xml:space="preserve">due to </w:t>
      </w:r>
      <w:r w:rsidR="00B46227">
        <w:rPr>
          <w:lang w:val="en-GB"/>
        </w:rPr>
        <w:t xml:space="preserve">the </w:t>
      </w:r>
      <w:r w:rsidR="0028353C">
        <w:rPr>
          <w:lang w:val="en-GB"/>
        </w:rPr>
        <w:t>small-scale</w:t>
      </w:r>
      <w:r w:rsidR="00B46227">
        <w:rPr>
          <w:lang w:val="en-GB"/>
        </w:rPr>
        <w:t xml:space="preserve"> unit.</w:t>
      </w:r>
    </w:p>
    <w:p w14:paraId="23D48649" w14:textId="4D7A0FEE" w:rsidR="00CA3E85" w:rsidRDefault="00B46227" w:rsidP="00136D20">
      <w:pPr>
        <w:pStyle w:val="CETBodytext"/>
        <w:rPr>
          <w:lang w:val="en-GB"/>
        </w:rPr>
      </w:pPr>
      <w:r>
        <w:rPr>
          <w:lang w:val="en-GB"/>
        </w:rPr>
        <w:t>Finally, as a continuation of the present study,</w:t>
      </w:r>
      <w:r w:rsidR="00AA4E07">
        <w:rPr>
          <w:lang w:val="en-GB"/>
        </w:rPr>
        <w:t xml:space="preserve"> a</w:t>
      </w:r>
      <w:r w:rsidR="006A4E0F">
        <w:rPr>
          <w:lang w:val="en-GB"/>
        </w:rPr>
        <w:t xml:space="preserve"> detailed economic analysis</w:t>
      </w:r>
      <w:r>
        <w:rPr>
          <w:lang w:val="en-GB"/>
        </w:rPr>
        <w:t xml:space="preserve"> should be done </w:t>
      </w:r>
      <w:r w:rsidR="006A4E0F">
        <w:rPr>
          <w:lang w:val="en-GB"/>
        </w:rPr>
        <w:t>to evaluated the methanol production cost</w:t>
      </w:r>
      <w:r w:rsidR="00CB475A">
        <w:rPr>
          <w:lang w:val="en-GB"/>
        </w:rPr>
        <w:t xml:space="preserve"> and the economic breakeven point</w:t>
      </w:r>
      <w:r w:rsidR="006A4E0F">
        <w:rPr>
          <w:lang w:val="en-GB"/>
        </w:rPr>
        <w:t xml:space="preserve"> </w:t>
      </w:r>
      <w:r w:rsidR="00CB475A">
        <w:rPr>
          <w:lang w:val="en-GB"/>
        </w:rPr>
        <w:t xml:space="preserve">of the synthesis unit </w:t>
      </w:r>
      <w:r>
        <w:rPr>
          <w:lang w:val="en-GB"/>
        </w:rPr>
        <w:t xml:space="preserve">for the water-based and </w:t>
      </w:r>
      <w:r w:rsidR="00CB475A">
        <w:rPr>
          <w:lang w:val="en-GB"/>
        </w:rPr>
        <w:t xml:space="preserve">the </w:t>
      </w:r>
      <w:r>
        <w:rPr>
          <w:lang w:val="en-GB"/>
        </w:rPr>
        <w:t>oil-based DZMR configurations</w:t>
      </w:r>
      <w:r w:rsidR="006A4E0F">
        <w:rPr>
          <w:lang w:val="en-GB"/>
        </w:rPr>
        <w:t xml:space="preserve">. </w:t>
      </w:r>
    </w:p>
    <w:p w14:paraId="27CC7E0F" w14:textId="217F5FBD" w:rsidR="00F2125A" w:rsidRPr="00F2125A" w:rsidRDefault="00600535" w:rsidP="00F2125A">
      <w:pPr>
        <w:pStyle w:val="CETHeading1"/>
        <w:rPr>
          <w:lang w:val="en-GB"/>
        </w:rPr>
      </w:pPr>
      <w:r w:rsidRPr="00B57B36">
        <w:rPr>
          <w:lang w:val="en-GB"/>
        </w:rPr>
        <w:t>Co</w:t>
      </w:r>
      <w:r w:rsidRPr="00F2125A">
        <w:rPr>
          <w:lang w:val="en-GB"/>
        </w:rPr>
        <w:t>nclusions</w:t>
      </w:r>
    </w:p>
    <w:p w14:paraId="08095464" w14:textId="7F458457" w:rsidR="00B91182" w:rsidRPr="00781C69" w:rsidRDefault="00A3587C" w:rsidP="00781C69">
      <w:pPr>
        <w:pStyle w:val="CETAcknowledgementstitle"/>
        <w:jc w:val="both"/>
        <w:rPr>
          <w:b w:val="0"/>
          <w:bCs/>
        </w:rPr>
      </w:pPr>
      <w:r>
        <w:rPr>
          <w:b w:val="0"/>
          <w:bCs/>
        </w:rPr>
        <w:t xml:space="preserve">In this work, </w:t>
      </w:r>
      <w:r w:rsidR="003D42D0">
        <w:rPr>
          <w:b w:val="0"/>
          <w:bCs/>
        </w:rPr>
        <w:t xml:space="preserve">the process performance of an </w:t>
      </w:r>
      <w:r>
        <w:rPr>
          <w:b w:val="0"/>
          <w:bCs/>
        </w:rPr>
        <w:t xml:space="preserve">innovative </w:t>
      </w:r>
      <w:r w:rsidR="003D42D0">
        <w:rPr>
          <w:b w:val="0"/>
          <w:bCs/>
        </w:rPr>
        <w:t xml:space="preserve">methanol </w:t>
      </w:r>
      <w:r>
        <w:rPr>
          <w:b w:val="0"/>
          <w:bCs/>
        </w:rPr>
        <w:t xml:space="preserve">reactor (e.g. a </w:t>
      </w:r>
      <w:r w:rsidR="00310383">
        <w:rPr>
          <w:b w:val="0"/>
          <w:bCs/>
        </w:rPr>
        <w:t>double-</w:t>
      </w:r>
      <w:r>
        <w:rPr>
          <w:b w:val="0"/>
          <w:bCs/>
        </w:rPr>
        <w:t>zone methanol reactor</w:t>
      </w:r>
      <w:r w:rsidR="001F31D0">
        <w:rPr>
          <w:b w:val="0"/>
          <w:bCs/>
        </w:rPr>
        <w:t xml:space="preserve"> - DZMR</w:t>
      </w:r>
      <w:r>
        <w:rPr>
          <w:b w:val="0"/>
          <w:bCs/>
        </w:rPr>
        <w:t xml:space="preserve">) is </w:t>
      </w:r>
      <w:proofErr w:type="spellStart"/>
      <w:r>
        <w:rPr>
          <w:b w:val="0"/>
          <w:bCs/>
        </w:rPr>
        <w:t>analyzed</w:t>
      </w:r>
      <w:proofErr w:type="spellEnd"/>
      <w:r>
        <w:rPr>
          <w:b w:val="0"/>
          <w:bCs/>
        </w:rPr>
        <w:t xml:space="preserve"> for two different</w:t>
      </w:r>
      <w:r w:rsidR="001F31D0">
        <w:rPr>
          <w:b w:val="0"/>
          <w:bCs/>
        </w:rPr>
        <w:t xml:space="preserve"> shell-side</w:t>
      </w:r>
      <w:r>
        <w:rPr>
          <w:b w:val="0"/>
          <w:bCs/>
        </w:rPr>
        <w:t xml:space="preserve"> coolants</w:t>
      </w:r>
      <w:r w:rsidR="003D42D0">
        <w:rPr>
          <w:b w:val="0"/>
          <w:bCs/>
        </w:rPr>
        <w:t>,</w:t>
      </w:r>
      <w:r>
        <w:rPr>
          <w:b w:val="0"/>
          <w:bCs/>
        </w:rPr>
        <w:t xml:space="preserve"> such as diathermic oil and water</w:t>
      </w:r>
      <w:r w:rsidR="003D42D0">
        <w:rPr>
          <w:b w:val="0"/>
          <w:bCs/>
        </w:rPr>
        <w:t xml:space="preserve">, </w:t>
      </w:r>
      <w:r w:rsidR="008E6D2E">
        <w:rPr>
          <w:b w:val="0"/>
          <w:bCs/>
        </w:rPr>
        <w:t>exchanging sensible heat</w:t>
      </w:r>
      <w:r w:rsidR="003D42D0">
        <w:rPr>
          <w:b w:val="0"/>
          <w:bCs/>
        </w:rPr>
        <w:t xml:space="preserve"> only</w:t>
      </w:r>
      <w:r w:rsidR="00D454A0">
        <w:rPr>
          <w:b w:val="0"/>
          <w:bCs/>
        </w:rPr>
        <w:t>.</w:t>
      </w:r>
      <w:r>
        <w:rPr>
          <w:b w:val="0"/>
          <w:bCs/>
        </w:rPr>
        <w:t xml:space="preserve"> </w:t>
      </w:r>
      <w:r w:rsidR="001F31D0">
        <w:rPr>
          <w:b w:val="0"/>
          <w:bCs/>
        </w:rPr>
        <w:t>Given the</w:t>
      </w:r>
      <w:r>
        <w:rPr>
          <w:b w:val="0"/>
          <w:bCs/>
        </w:rPr>
        <w:t xml:space="preserve"> reactor geometry,</w:t>
      </w:r>
      <w:r w:rsidR="00C71914">
        <w:rPr>
          <w:b w:val="0"/>
          <w:bCs/>
        </w:rPr>
        <w:t xml:space="preserve"> </w:t>
      </w:r>
      <w:r>
        <w:rPr>
          <w:b w:val="0"/>
          <w:bCs/>
        </w:rPr>
        <w:t>coolant temperatures</w:t>
      </w:r>
      <w:r w:rsidR="001F31D0">
        <w:rPr>
          <w:b w:val="0"/>
          <w:bCs/>
        </w:rPr>
        <w:t xml:space="preserve">, </w:t>
      </w:r>
      <w:r w:rsidR="00AA4E07">
        <w:rPr>
          <w:b w:val="0"/>
          <w:bCs/>
        </w:rPr>
        <w:t xml:space="preserve">average </w:t>
      </w:r>
      <w:r w:rsidR="001F31D0">
        <w:rPr>
          <w:b w:val="0"/>
          <w:bCs/>
        </w:rPr>
        <w:t xml:space="preserve">coolant </w:t>
      </w:r>
      <w:r w:rsidR="00AA4E07">
        <w:rPr>
          <w:b w:val="0"/>
          <w:bCs/>
        </w:rPr>
        <w:t>velocity</w:t>
      </w:r>
      <w:r w:rsidR="001F31D0">
        <w:rPr>
          <w:b w:val="0"/>
          <w:bCs/>
        </w:rPr>
        <w:t xml:space="preserve"> and methanol production</w:t>
      </w:r>
      <w:r w:rsidR="00AA4E07">
        <w:rPr>
          <w:b w:val="0"/>
          <w:bCs/>
        </w:rPr>
        <w:t xml:space="preserve">, </w:t>
      </w:r>
      <w:r w:rsidR="001F31D0">
        <w:rPr>
          <w:b w:val="0"/>
          <w:bCs/>
        </w:rPr>
        <w:t>the flow</w:t>
      </w:r>
      <w:r w:rsidR="00A476B3">
        <w:rPr>
          <w:b w:val="0"/>
          <w:bCs/>
        </w:rPr>
        <w:t xml:space="preserve"> </w:t>
      </w:r>
      <w:r w:rsidR="001F31D0">
        <w:rPr>
          <w:b w:val="0"/>
          <w:bCs/>
        </w:rPr>
        <w:t>rate of the two different coolants is calculated</w:t>
      </w:r>
      <w:r w:rsidR="00AA4E07">
        <w:rPr>
          <w:b w:val="0"/>
          <w:bCs/>
        </w:rPr>
        <w:t xml:space="preserve">. </w:t>
      </w:r>
      <w:r>
        <w:rPr>
          <w:b w:val="0"/>
          <w:bCs/>
        </w:rPr>
        <w:t>Results show that</w:t>
      </w:r>
      <w:r w:rsidR="005A03C1">
        <w:rPr>
          <w:b w:val="0"/>
          <w:bCs/>
        </w:rPr>
        <w:t xml:space="preserve">, for a </w:t>
      </w:r>
      <w:r w:rsidR="00AA4E07">
        <w:rPr>
          <w:b w:val="0"/>
          <w:bCs/>
        </w:rPr>
        <w:t>small-scale</w:t>
      </w:r>
      <w:r w:rsidR="005A03C1">
        <w:rPr>
          <w:b w:val="0"/>
          <w:bCs/>
        </w:rPr>
        <w:t xml:space="preserve"> </w:t>
      </w:r>
      <w:r w:rsidR="001F31D0">
        <w:rPr>
          <w:b w:val="0"/>
          <w:bCs/>
        </w:rPr>
        <w:t>DZMR</w:t>
      </w:r>
      <w:r w:rsidR="005A03C1">
        <w:rPr>
          <w:b w:val="0"/>
          <w:bCs/>
        </w:rPr>
        <w:t>,</w:t>
      </w:r>
      <w:r w:rsidR="00AA4E07">
        <w:rPr>
          <w:b w:val="0"/>
          <w:bCs/>
        </w:rPr>
        <w:t xml:space="preserve"> </w:t>
      </w:r>
      <w:r w:rsidR="001F31D0">
        <w:rPr>
          <w:b w:val="0"/>
          <w:bCs/>
        </w:rPr>
        <w:t>cooling</w:t>
      </w:r>
      <w:r>
        <w:rPr>
          <w:b w:val="0"/>
          <w:bCs/>
        </w:rPr>
        <w:t xml:space="preserve"> water </w:t>
      </w:r>
      <w:r w:rsidR="001F31D0">
        <w:rPr>
          <w:b w:val="0"/>
          <w:bCs/>
        </w:rPr>
        <w:t>requires a flow</w:t>
      </w:r>
      <w:r w:rsidR="00A476B3">
        <w:rPr>
          <w:b w:val="0"/>
          <w:bCs/>
        </w:rPr>
        <w:t xml:space="preserve"> </w:t>
      </w:r>
      <w:r w:rsidR="001F31D0">
        <w:rPr>
          <w:b w:val="0"/>
          <w:bCs/>
        </w:rPr>
        <w:t xml:space="preserve">rate of </w:t>
      </w:r>
      <w:r w:rsidR="00AA4E07">
        <w:rPr>
          <w:b w:val="0"/>
          <w:bCs/>
        </w:rPr>
        <w:t>21</w:t>
      </w:r>
      <w:r w:rsidR="009208A8">
        <w:rPr>
          <w:b w:val="0"/>
          <w:bCs/>
        </w:rPr>
        <w:t xml:space="preserve">% lower </w:t>
      </w:r>
      <w:r w:rsidR="001F31D0">
        <w:rPr>
          <w:b w:val="0"/>
          <w:bCs/>
        </w:rPr>
        <w:t>than the required flow</w:t>
      </w:r>
      <w:r w:rsidR="00A476B3">
        <w:rPr>
          <w:b w:val="0"/>
          <w:bCs/>
        </w:rPr>
        <w:t xml:space="preserve"> </w:t>
      </w:r>
      <w:r w:rsidR="001F31D0">
        <w:rPr>
          <w:b w:val="0"/>
          <w:bCs/>
        </w:rPr>
        <w:t xml:space="preserve">rate of cooling oil, for the </w:t>
      </w:r>
      <w:r w:rsidR="009208A8">
        <w:rPr>
          <w:b w:val="0"/>
          <w:bCs/>
        </w:rPr>
        <w:t>same methanol</w:t>
      </w:r>
      <w:r w:rsidR="001F31D0">
        <w:rPr>
          <w:b w:val="0"/>
          <w:bCs/>
        </w:rPr>
        <w:t xml:space="preserve"> production</w:t>
      </w:r>
      <w:r w:rsidR="00310383">
        <w:rPr>
          <w:b w:val="0"/>
          <w:bCs/>
        </w:rPr>
        <w:t>, which may lead to a lower operating expenditure</w:t>
      </w:r>
      <w:r w:rsidR="009208A8">
        <w:rPr>
          <w:b w:val="0"/>
          <w:bCs/>
        </w:rPr>
        <w:t>.</w:t>
      </w:r>
      <w:r w:rsidR="002933A5">
        <w:rPr>
          <w:b w:val="0"/>
          <w:bCs/>
        </w:rPr>
        <w:t xml:space="preserve"> </w:t>
      </w:r>
      <w:r w:rsidR="00AA4E07">
        <w:rPr>
          <w:b w:val="0"/>
          <w:bCs/>
        </w:rPr>
        <w:t xml:space="preserve">However, </w:t>
      </w:r>
      <w:r w:rsidR="001F31D0">
        <w:rPr>
          <w:b w:val="0"/>
          <w:bCs/>
        </w:rPr>
        <w:t>use of water as a coolant requires a higher operating pressure on shell-side. A subsequent, detailed economical comparison between the water-based and oil-based DZMR configurations may reveal the best coolant for small-scale methanol synthesis units.</w:t>
      </w:r>
    </w:p>
    <w:p w14:paraId="459D05E6" w14:textId="0D8456D7" w:rsidR="00600535" w:rsidRPr="00B57B36" w:rsidRDefault="00600535" w:rsidP="00600535">
      <w:pPr>
        <w:pStyle w:val="CETAcknowledgementstitle"/>
      </w:pPr>
      <w:r w:rsidRPr="00B57B36">
        <w:t>Acknowledgments</w:t>
      </w:r>
    </w:p>
    <w:p w14:paraId="70D6218D" w14:textId="20F554DA" w:rsidR="007201E5" w:rsidRPr="00ED43AF" w:rsidRDefault="007201E5" w:rsidP="00ED43AF">
      <w:pPr>
        <w:pStyle w:val="CETReference"/>
        <w:jc w:val="both"/>
        <w:rPr>
          <w:b w:val="0"/>
          <w:bCs/>
          <w:lang w:val="en-US"/>
        </w:rPr>
      </w:pPr>
      <w:r w:rsidRPr="007201E5">
        <w:rPr>
          <w:b w:val="0"/>
          <w:bCs/>
        </w:rPr>
        <w:t>This work received funding from the</w:t>
      </w:r>
      <w:r w:rsidR="00ED43AF">
        <w:rPr>
          <w:b w:val="0"/>
          <w:bCs/>
        </w:rPr>
        <w:t xml:space="preserve"> European Union, </w:t>
      </w:r>
      <w:r w:rsidR="00ED43AF" w:rsidRPr="00ED43AF">
        <w:rPr>
          <w:b w:val="0"/>
          <w:bCs/>
        </w:rPr>
        <w:t xml:space="preserve">Next Generation EU, </w:t>
      </w:r>
      <w:proofErr w:type="spellStart"/>
      <w:r w:rsidR="00ED43AF" w:rsidRPr="00ED43AF">
        <w:rPr>
          <w:b w:val="0"/>
          <w:bCs/>
        </w:rPr>
        <w:t>Missione</w:t>
      </w:r>
      <w:proofErr w:type="spellEnd"/>
      <w:r w:rsidR="00ED43AF" w:rsidRPr="00ED43AF">
        <w:rPr>
          <w:b w:val="0"/>
          <w:bCs/>
        </w:rPr>
        <w:t xml:space="preserve"> 4 </w:t>
      </w:r>
      <w:proofErr w:type="spellStart"/>
      <w:r w:rsidR="00ED43AF" w:rsidRPr="00ED43AF">
        <w:rPr>
          <w:b w:val="0"/>
          <w:bCs/>
        </w:rPr>
        <w:t>Componente</w:t>
      </w:r>
      <w:proofErr w:type="spellEnd"/>
      <w:r w:rsidR="00ED43AF" w:rsidRPr="00ED43AF">
        <w:rPr>
          <w:b w:val="0"/>
          <w:bCs/>
        </w:rPr>
        <w:t xml:space="preserve"> 1, CUP F25F21002720001</w:t>
      </w:r>
    </w:p>
    <w:p w14:paraId="7AC35ABF" w14:textId="54702EBD" w:rsidR="00E35328" w:rsidRDefault="00600535" w:rsidP="00E35328">
      <w:pPr>
        <w:pStyle w:val="CETReference"/>
      </w:pPr>
      <w:r w:rsidRPr="00B57B36">
        <w:t>References</w:t>
      </w:r>
    </w:p>
    <w:p w14:paraId="0D6FAD9A" w14:textId="05C27EDC" w:rsidR="00E35328" w:rsidRDefault="00E35328" w:rsidP="00E35328">
      <w:pPr>
        <w:pStyle w:val="CETBodytext"/>
        <w:rPr>
          <w:lang w:val="en-GB"/>
        </w:rPr>
      </w:pPr>
      <w:proofErr w:type="spellStart"/>
      <w:r w:rsidRPr="00E35328">
        <w:rPr>
          <w:lang w:val="en-GB"/>
        </w:rPr>
        <w:t>Abashar</w:t>
      </w:r>
      <w:proofErr w:type="spellEnd"/>
      <w:r w:rsidRPr="00E35328">
        <w:rPr>
          <w:lang w:val="en-GB"/>
        </w:rPr>
        <w:t xml:space="preserve">, M., Al-Rabiah, A., 2018. Investigation of the efficiency of sorption-enhanced methanol synthesis process in </w:t>
      </w:r>
      <w:proofErr w:type="spellStart"/>
      <w:r w:rsidRPr="00E35328">
        <w:rPr>
          <w:lang w:val="en-GB"/>
        </w:rPr>
        <w:t>circulatingfast</w:t>
      </w:r>
      <w:proofErr w:type="spellEnd"/>
      <w:r w:rsidRPr="00E35328">
        <w:rPr>
          <w:lang w:val="en-GB"/>
        </w:rPr>
        <w:t xml:space="preserve"> fluidized bed reactors. Fuel Process. Technol. 179, 387–398</w:t>
      </w:r>
    </w:p>
    <w:p w14:paraId="41640885" w14:textId="77777777" w:rsidR="00E35328" w:rsidRDefault="00E35328" w:rsidP="00E35328">
      <w:pPr>
        <w:pStyle w:val="CETBodytext"/>
        <w:rPr>
          <w:lang w:val="en-GB"/>
        </w:rPr>
      </w:pPr>
    </w:p>
    <w:p w14:paraId="7EA78E7B" w14:textId="08BF57B5" w:rsidR="00E35328" w:rsidRDefault="00E35328" w:rsidP="00E35328">
      <w:pPr>
        <w:pStyle w:val="CETBodytext"/>
        <w:rPr>
          <w:lang w:val="en-GB"/>
        </w:rPr>
      </w:pPr>
      <w:r w:rsidRPr="00E35328">
        <w:rPr>
          <w:lang w:val="en-GB"/>
        </w:rPr>
        <w:t>Adeyanju, A.A. and Manohar, K., 2009. Theoretical and Experimental Investigation of Heat Transfer in Packed Beds, Research Journal of Applied Sciences 4 (5) 166-177</w:t>
      </w:r>
    </w:p>
    <w:p w14:paraId="5F745760" w14:textId="77777777" w:rsidR="00E35328" w:rsidRDefault="00E35328" w:rsidP="00E35328">
      <w:pPr>
        <w:pStyle w:val="CETBodytext"/>
        <w:rPr>
          <w:lang w:val="en-GB"/>
        </w:rPr>
      </w:pPr>
    </w:p>
    <w:p w14:paraId="66EF9F5C" w14:textId="34C1E4B4" w:rsidR="00E35328" w:rsidRDefault="00E35328" w:rsidP="00E35328">
      <w:pPr>
        <w:pStyle w:val="CETBodytext"/>
        <w:rPr>
          <w:lang w:val="en-GB"/>
        </w:rPr>
      </w:pPr>
      <w:proofErr w:type="spellStart"/>
      <w:r w:rsidRPr="00E35328">
        <w:rPr>
          <w:lang w:val="en-GB"/>
        </w:rPr>
        <w:t>Bazmi</w:t>
      </w:r>
      <w:proofErr w:type="spellEnd"/>
      <w:r w:rsidRPr="00E35328">
        <w:rPr>
          <w:lang w:val="en-GB"/>
        </w:rPr>
        <w:t xml:space="preserve">, M., Gong, J., Jessen, K., </w:t>
      </w:r>
      <w:proofErr w:type="spellStart"/>
      <w:r w:rsidRPr="00E35328">
        <w:rPr>
          <w:lang w:val="en-GB"/>
        </w:rPr>
        <w:t>Tsotsis</w:t>
      </w:r>
      <w:proofErr w:type="spellEnd"/>
      <w:r w:rsidRPr="00E35328">
        <w:rPr>
          <w:lang w:val="en-GB"/>
        </w:rPr>
        <w:t>, T. 2024. Waste CO2 capture and utilization for methanol production via a novel membrane contactor reactor process: Techno-economic analysis (TEA), and comparison with other existing and emerging technologies, Chemical Engineering &amp; Processing: Process Intensification 201, 109825</w:t>
      </w:r>
    </w:p>
    <w:p w14:paraId="754C56C8" w14:textId="77777777" w:rsidR="00E35328" w:rsidRDefault="00E35328" w:rsidP="00E35328">
      <w:pPr>
        <w:pStyle w:val="CETBodytext"/>
        <w:rPr>
          <w:lang w:val="en-GB"/>
        </w:rPr>
      </w:pPr>
    </w:p>
    <w:p w14:paraId="078A5C29" w14:textId="5EC20B28" w:rsidR="00781C69" w:rsidRDefault="00E35328" w:rsidP="00E35328">
      <w:pPr>
        <w:pStyle w:val="CETBodytext"/>
        <w:rPr>
          <w:lang w:val="en-GB"/>
        </w:rPr>
      </w:pPr>
      <w:proofErr w:type="spellStart"/>
      <w:r w:rsidRPr="00E35328">
        <w:rPr>
          <w:lang w:val="it-IT"/>
        </w:rPr>
        <w:t>Bisotti</w:t>
      </w:r>
      <w:proofErr w:type="spellEnd"/>
      <w:r w:rsidRPr="00E35328">
        <w:rPr>
          <w:lang w:val="it-IT"/>
        </w:rPr>
        <w:t xml:space="preserve">, F., Fedeli, M., Prifti, K., Galeazzi, A., Dell’Angelo, A., Manenti, F., 2022. </w:t>
      </w:r>
      <w:r w:rsidRPr="00E35328">
        <w:rPr>
          <w:lang w:val="en-GB"/>
        </w:rPr>
        <w:t>Impact of Kinetic Models on Methanol Synthesis Reactor Predictions: In Silico Assessment and Comparison with Industrial Data Ind. Eng. Chem. Res. 61, 2206−2226</w:t>
      </w:r>
    </w:p>
    <w:p w14:paraId="72749F77" w14:textId="77777777" w:rsidR="00E94EF1" w:rsidRDefault="00E94EF1" w:rsidP="00E35328">
      <w:pPr>
        <w:pStyle w:val="CETBodytext"/>
        <w:rPr>
          <w:lang w:val="en-GB"/>
        </w:rPr>
      </w:pPr>
    </w:p>
    <w:p w14:paraId="2E694D84" w14:textId="4594B577" w:rsidR="007D066B" w:rsidRDefault="007D066B" w:rsidP="00E35328">
      <w:pPr>
        <w:pStyle w:val="CETBodytext"/>
        <w:rPr>
          <w:lang w:val="en-GB"/>
        </w:rPr>
      </w:pPr>
      <w:r w:rsidRPr="007D066B">
        <w:rPr>
          <w:lang w:val="en-GB"/>
        </w:rPr>
        <w:t>Chen, L.</w:t>
      </w:r>
      <w:r>
        <w:rPr>
          <w:lang w:val="en-GB"/>
        </w:rPr>
        <w:t>,</w:t>
      </w:r>
      <w:r w:rsidRPr="007D066B">
        <w:rPr>
          <w:lang w:val="en-GB"/>
        </w:rPr>
        <w:t xml:space="preserve"> Jiang, Q.</w:t>
      </w:r>
      <w:r>
        <w:rPr>
          <w:lang w:val="en-GB"/>
        </w:rPr>
        <w:t>,</w:t>
      </w:r>
      <w:r w:rsidRPr="007D066B">
        <w:rPr>
          <w:lang w:val="en-GB"/>
        </w:rPr>
        <w:t xml:space="preserve"> Song, Z.</w:t>
      </w:r>
      <w:r>
        <w:rPr>
          <w:lang w:val="en-GB"/>
        </w:rPr>
        <w:t>,</w:t>
      </w:r>
      <w:r w:rsidRPr="007D066B">
        <w:rPr>
          <w:lang w:val="en-GB"/>
        </w:rPr>
        <w:t xml:space="preserve"> </w:t>
      </w:r>
      <w:proofErr w:type="spellStart"/>
      <w:r w:rsidRPr="007D066B">
        <w:rPr>
          <w:lang w:val="en-GB"/>
        </w:rPr>
        <w:t>Posarac</w:t>
      </w:r>
      <w:proofErr w:type="spellEnd"/>
      <w:r w:rsidRPr="007D066B">
        <w:rPr>
          <w:lang w:val="en-GB"/>
        </w:rPr>
        <w:t>, D.</w:t>
      </w:r>
      <w:r>
        <w:rPr>
          <w:lang w:val="en-GB"/>
        </w:rPr>
        <w:t xml:space="preserve"> 2011.</w:t>
      </w:r>
      <w:r w:rsidRPr="007D066B">
        <w:rPr>
          <w:lang w:val="en-GB"/>
        </w:rPr>
        <w:t xml:space="preserve"> Optimization of</w:t>
      </w:r>
      <w:r>
        <w:rPr>
          <w:lang w:val="en-GB"/>
        </w:rPr>
        <w:t xml:space="preserve"> </w:t>
      </w:r>
      <w:r w:rsidRPr="007D066B">
        <w:rPr>
          <w:lang w:val="en-GB"/>
        </w:rPr>
        <w:t>Methanol Yield from a Lurgi Reactor. Chem. Eng. Technol. 34,817−822</w:t>
      </w:r>
    </w:p>
    <w:p w14:paraId="4CE0B3C6" w14:textId="77777777" w:rsidR="00BE670D" w:rsidRDefault="00BE670D" w:rsidP="00C52C3C">
      <w:pPr>
        <w:pStyle w:val="CETBodytext"/>
        <w:ind w:left="360"/>
        <w:rPr>
          <w:lang w:val="en-GB"/>
        </w:rPr>
      </w:pPr>
    </w:p>
    <w:p w14:paraId="199D3455" w14:textId="6A40EFB1" w:rsidR="00BE670D" w:rsidRPr="008937A1" w:rsidRDefault="00BE670D" w:rsidP="00BE670D">
      <w:pPr>
        <w:pStyle w:val="CETBodytext"/>
        <w:rPr>
          <w:lang w:val="fr-FR"/>
        </w:rPr>
      </w:pPr>
      <w:r w:rsidRPr="00BE670D">
        <w:t xml:space="preserve">Dalena, F., Senatore, A., Basile, M., </w:t>
      </w:r>
      <w:proofErr w:type="spellStart"/>
      <w:r w:rsidRPr="00BE670D">
        <w:t>Knani</w:t>
      </w:r>
      <w:proofErr w:type="spellEnd"/>
      <w:r w:rsidRPr="00BE670D">
        <w:t xml:space="preserve">, S., Basile, A., </w:t>
      </w:r>
      <w:proofErr w:type="spellStart"/>
      <w:r w:rsidRPr="00BE670D">
        <w:t>Iulianelli</w:t>
      </w:r>
      <w:proofErr w:type="spellEnd"/>
      <w:r w:rsidRPr="00BE670D">
        <w:t xml:space="preserve">, A. 2018, </w:t>
      </w:r>
      <w:r w:rsidRPr="00BE670D">
        <w:rPr>
          <w:lang w:val="en-GB"/>
        </w:rPr>
        <w:t xml:space="preserve">Advances in Methanol Production and Utilization, with Particular Emphasis toward Hydrogen Generation via Membrane Reactor Technology. </w:t>
      </w:r>
      <w:r w:rsidRPr="008937A1">
        <w:rPr>
          <w:lang w:val="fr-FR"/>
        </w:rPr>
        <w:t>Membranes, 8, 98</w:t>
      </w:r>
    </w:p>
    <w:p w14:paraId="4FE59BCD" w14:textId="77777777" w:rsidR="007D066B" w:rsidRPr="008937A1" w:rsidRDefault="007D066B" w:rsidP="00BE670D">
      <w:pPr>
        <w:pStyle w:val="CETBodytext"/>
        <w:rPr>
          <w:lang w:val="fr-FR"/>
        </w:rPr>
      </w:pPr>
    </w:p>
    <w:p w14:paraId="5884A6BF" w14:textId="02D00F28" w:rsidR="007D066B" w:rsidRDefault="007D066B" w:rsidP="00BE670D">
      <w:pPr>
        <w:pStyle w:val="CETBodytext"/>
        <w:rPr>
          <w:lang w:val="en-GB"/>
        </w:rPr>
      </w:pPr>
      <w:r w:rsidRPr="008937A1">
        <w:rPr>
          <w:lang w:val="fr-FR"/>
        </w:rPr>
        <w:t xml:space="preserve">De María, R., </w:t>
      </w:r>
      <w:proofErr w:type="spellStart"/>
      <w:r w:rsidRPr="008937A1">
        <w:rPr>
          <w:lang w:val="fr-FR"/>
        </w:rPr>
        <w:t>Díaz</w:t>
      </w:r>
      <w:proofErr w:type="spellEnd"/>
      <w:r w:rsidRPr="008937A1">
        <w:rPr>
          <w:lang w:val="fr-FR"/>
        </w:rPr>
        <w:t xml:space="preserve">, I., </w:t>
      </w:r>
      <w:proofErr w:type="spellStart"/>
      <w:r w:rsidRPr="008937A1">
        <w:rPr>
          <w:lang w:val="fr-FR"/>
        </w:rPr>
        <w:t>Rodríguez</w:t>
      </w:r>
      <w:proofErr w:type="spellEnd"/>
      <w:r w:rsidRPr="008937A1">
        <w:rPr>
          <w:lang w:val="fr-FR"/>
        </w:rPr>
        <w:t xml:space="preserve">, M., </w:t>
      </w:r>
      <w:proofErr w:type="spellStart"/>
      <w:r w:rsidRPr="008937A1">
        <w:rPr>
          <w:lang w:val="fr-FR"/>
        </w:rPr>
        <w:t>Sáiz</w:t>
      </w:r>
      <w:proofErr w:type="spellEnd"/>
      <w:r w:rsidRPr="008937A1">
        <w:rPr>
          <w:lang w:val="fr-FR"/>
        </w:rPr>
        <w:t xml:space="preserve">, A. 2013. </w:t>
      </w:r>
      <w:r w:rsidRPr="007D066B">
        <w:rPr>
          <w:lang w:val="en-GB"/>
        </w:rPr>
        <w:t>Industrial Methanol from Syngas: Kinetic Study and Process Simulation</w:t>
      </w:r>
      <w:r>
        <w:rPr>
          <w:lang w:val="en-GB"/>
        </w:rPr>
        <w:t xml:space="preserve">, </w:t>
      </w:r>
      <w:r w:rsidRPr="007D066B">
        <w:rPr>
          <w:lang w:val="en-GB"/>
        </w:rPr>
        <w:t>International Journal of Chemical Reactor Engineering</w:t>
      </w:r>
      <w:r>
        <w:rPr>
          <w:lang w:val="en-GB"/>
        </w:rPr>
        <w:t xml:space="preserve">, </w:t>
      </w:r>
      <w:r w:rsidRPr="007D066B">
        <w:rPr>
          <w:lang w:val="en-GB"/>
        </w:rPr>
        <w:t>11(1) 469–477</w:t>
      </w:r>
    </w:p>
    <w:p w14:paraId="510EAD6D" w14:textId="77777777" w:rsidR="00FA0052" w:rsidRPr="007D066B" w:rsidRDefault="00FA0052" w:rsidP="00BE670D">
      <w:pPr>
        <w:pStyle w:val="CETBodytext"/>
      </w:pPr>
    </w:p>
    <w:p w14:paraId="1CA26113" w14:textId="3855F710" w:rsidR="00E35328" w:rsidRDefault="00E35328" w:rsidP="00BE670D">
      <w:pPr>
        <w:pStyle w:val="CETBodytext"/>
        <w:rPr>
          <w:lang w:val="en-GB"/>
        </w:rPr>
      </w:pPr>
      <w:r w:rsidRPr="00E35328">
        <w:rPr>
          <w:lang w:val="en-GB"/>
        </w:rPr>
        <w:t>Dehghani, Z., Rahimpour, M.R., Shariati, A., 2021. Simulation and multi-objective optimization of a radial flow gas-cooled membrane reactor, considering reduction of CO2 emissions in methanol synthesis, Journal of Environmental Chemical Engineering 9, 104910</w:t>
      </w:r>
    </w:p>
    <w:p w14:paraId="313E8FF4" w14:textId="77777777" w:rsidR="00E35328" w:rsidRDefault="00E35328" w:rsidP="00BE670D">
      <w:pPr>
        <w:pStyle w:val="CETBodytext"/>
        <w:rPr>
          <w:lang w:val="en-GB"/>
        </w:rPr>
      </w:pPr>
    </w:p>
    <w:p w14:paraId="5907D151" w14:textId="58CF77C9" w:rsidR="00E35328" w:rsidRDefault="00E35328" w:rsidP="00BE670D">
      <w:pPr>
        <w:pStyle w:val="CETBodytext"/>
        <w:rPr>
          <w:lang w:val="en-GB"/>
        </w:rPr>
      </w:pPr>
      <w:proofErr w:type="spellStart"/>
      <w:r w:rsidRPr="00E35328">
        <w:rPr>
          <w:lang w:val="en-GB"/>
        </w:rPr>
        <w:t>Eksiri</w:t>
      </w:r>
      <w:proofErr w:type="spellEnd"/>
      <w:r w:rsidRPr="00E35328">
        <w:rPr>
          <w:lang w:val="en-GB"/>
        </w:rPr>
        <w:t xml:space="preserve">, Z., </w:t>
      </w:r>
      <w:proofErr w:type="spellStart"/>
      <w:r w:rsidRPr="00E35328">
        <w:rPr>
          <w:lang w:val="en-GB"/>
        </w:rPr>
        <w:t>Mozdianfard</w:t>
      </w:r>
      <w:proofErr w:type="spellEnd"/>
      <w:r w:rsidRPr="00E35328">
        <w:rPr>
          <w:lang w:val="en-GB"/>
        </w:rPr>
        <w:t xml:space="preserve">, M.R., </w:t>
      </w:r>
      <w:proofErr w:type="spellStart"/>
      <w:r w:rsidRPr="00E35328">
        <w:rPr>
          <w:lang w:val="en-GB"/>
        </w:rPr>
        <w:t>Mirvakili</w:t>
      </w:r>
      <w:proofErr w:type="spellEnd"/>
      <w:r w:rsidRPr="00E35328">
        <w:rPr>
          <w:lang w:val="en-GB"/>
        </w:rPr>
        <w:t xml:space="preserve">, A., Rahimpour, M.R., 2020. Two-dimensional </w:t>
      </w:r>
      <w:proofErr w:type="spellStart"/>
      <w:r w:rsidRPr="00E35328">
        <w:rPr>
          <w:lang w:val="en-GB"/>
        </w:rPr>
        <w:t>modeling</w:t>
      </w:r>
      <w:proofErr w:type="spellEnd"/>
      <w:r w:rsidRPr="00E35328">
        <w:rPr>
          <w:lang w:val="en-GB"/>
        </w:rPr>
        <w:t xml:space="preserve"> investigation of </w:t>
      </w:r>
      <w:proofErr w:type="spellStart"/>
      <w:r w:rsidRPr="00E35328">
        <w:rPr>
          <w:lang w:val="en-GB"/>
        </w:rPr>
        <w:t>themodern</w:t>
      </w:r>
      <w:proofErr w:type="spellEnd"/>
      <w:r w:rsidRPr="00E35328">
        <w:rPr>
          <w:lang w:val="en-GB"/>
        </w:rPr>
        <w:t xml:space="preserve"> methanol plate reactors, Chemical Engineering Research and design, 162, 212-227.</w:t>
      </w:r>
    </w:p>
    <w:p w14:paraId="548E0981" w14:textId="77777777" w:rsidR="00E35328" w:rsidRDefault="00E35328" w:rsidP="00BE670D">
      <w:pPr>
        <w:pStyle w:val="CETBodytext"/>
        <w:rPr>
          <w:lang w:val="en-GB"/>
        </w:rPr>
      </w:pPr>
    </w:p>
    <w:p w14:paraId="35F8B97E" w14:textId="2CE5E5C1" w:rsidR="00E35328" w:rsidRDefault="00E35328" w:rsidP="00BE670D">
      <w:pPr>
        <w:pStyle w:val="CETBodytext"/>
        <w:rPr>
          <w:lang w:val="en-GB"/>
        </w:rPr>
      </w:pPr>
      <w:proofErr w:type="spellStart"/>
      <w:r w:rsidRPr="008937A1">
        <w:rPr>
          <w:lang w:val="fr-FR"/>
        </w:rPr>
        <w:t>Fajimi</w:t>
      </w:r>
      <w:proofErr w:type="spellEnd"/>
      <w:r w:rsidRPr="008937A1">
        <w:rPr>
          <w:lang w:val="fr-FR"/>
        </w:rPr>
        <w:t xml:space="preserve">, L.I., </w:t>
      </w:r>
      <w:proofErr w:type="spellStart"/>
      <w:r w:rsidRPr="008937A1">
        <w:rPr>
          <w:lang w:val="fr-FR"/>
        </w:rPr>
        <w:t>Chrisostomou</w:t>
      </w:r>
      <w:proofErr w:type="spellEnd"/>
      <w:r w:rsidRPr="008937A1">
        <w:rPr>
          <w:lang w:val="fr-FR"/>
        </w:rPr>
        <w:t xml:space="preserve">, J., </w:t>
      </w:r>
      <w:proofErr w:type="spellStart"/>
      <w:r w:rsidRPr="008937A1">
        <w:rPr>
          <w:lang w:val="fr-FR"/>
        </w:rPr>
        <w:t>Oboirien</w:t>
      </w:r>
      <w:proofErr w:type="spellEnd"/>
      <w:r w:rsidRPr="008937A1">
        <w:rPr>
          <w:lang w:val="fr-FR"/>
        </w:rPr>
        <w:t xml:space="preserve">, B.O., 2024. </w:t>
      </w:r>
      <w:r w:rsidRPr="00E35328">
        <w:rPr>
          <w:lang w:val="en-GB"/>
        </w:rPr>
        <w:t xml:space="preserve">A techno economic analysis (TEA) of a combined process of torrefaction and </w:t>
      </w:r>
      <w:proofErr w:type="spellStart"/>
      <w:r w:rsidRPr="00E35328">
        <w:rPr>
          <w:lang w:val="en-GB"/>
        </w:rPr>
        <w:t>gasifcation</w:t>
      </w:r>
      <w:proofErr w:type="spellEnd"/>
      <w:r w:rsidRPr="00E35328">
        <w:rPr>
          <w:lang w:val="en-GB"/>
        </w:rPr>
        <w:t xml:space="preserve"> of lignocellulose biomass (bagasse) for methanol and electricity production, Biomass Conversion and </w:t>
      </w:r>
      <w:proofErr w:type="spellStart"/>
      <w:r w:rsidRPr="00E35328">
        <w:rPr>
          <w:lang w:val="en-GB"/>
        </w:rPr>
        <w:t>Biorefnery</w:t>
      </w:r>
      <w:proofErr w:type="spellEnd"/>
      <w:r w:rsidRPr="00E35328">
        <w:rPr>
          <w:lang w:val="en-GB"/>
        </w:rPr>
        <w:t>, 14:12501–12516</w:t>
      </w:r>
    </w:p>
    <w:p w14:paraId="4EAD3EB1" w14:textId="77777777" w:rsidR="00E35328" w:rsidRDefault="00E35328" w:rsidP="00BE670D">
      <w:pPr>
        <w:pStyle w:val="CETBodytext"/>
        <w:rPr>
          <w:lang w:val="en-GB"/>
        </w:rPr>
      </w:pPr>
    </w:p>
    <w:p w14:paraId="416E4D9A" w14:textId="2A4D298F" w:rsidR="00E35328" w:rsidRDefault="00E35328" w:rsidP="00BE670D">
      <w:pPr>
        <w:pStyle w:val="CETBodytext"/>
        <w:rPr>
          <w:lang w:val="en-GB"/>
        </w:rPr>
      </w:pPr>
      <w:r w:rsidRPr="00E35328">
        <w:rPr>
          <w:lang w:val="en-GB"/>
        </w:rPr>
        <w:t xml:space="preserve">Farsi, M., </w:t>
      </w:r>
      <w:proofErr w:type="spellStart"/>
      <w:r w:rsidRPr="00E35328">
        <w:rPr>
          <w:lang w:val="en-GB"/>
        </w:rPr>
        <w:t>Jahanmiri</w:t>
      </w:r>
      <w:proofErr w:type="spellEnd"/>
      <w:r w:rsidRPr="00E35328">
        <w:rPr>
          <w:lang w:val="en-GB"/>
        </w:rPr>
        <w:t xml:space="preserve">, A., 2012. Dynamic </w:t>
      </w:r>
      <w:proofErr w:type="spellStart"/>
      <w:r w:rsidRPr="00E35328">
        <w:rPr>
          <w:lang w:val="en-GB"/>
        </w:rPr>
        <w:t>modeling</w:t>
      </w:r>
      <w:proofErr w:type="spellEnd"/>
      <w:r w:rsidRPr="00E35328">
        <w:rPr>
          <w:lang w:val="en-GB"/>
        </w:rPr>
        <w:t xml:space="preserve"> of a H2O-permselective membrane reactor to enhance methanol synthesis from syngas considering catalyst deactivation, J. Nat. Gas Chem. 21, 407–414.</w:t>
      </w:r>
    </w:p>
    <w:p w14:paraId="01B8692D" w14:textId="77777777" w:rsidR="00E35328" w:rsidRDefault="00E35328" w:rsidP="00BE670D">
      <w:pPr>
        <w:pStyle w:val="CETBodytext"/>
        <w:rPr>
          <w:lang w:val="en-GB"/>
        </w:rPr>
      </w:pPr>
    </w:p>
    <w:p w14:paraId="289D01FC" w14:textId="1669FC41" w:rsidR="00E35328" w:rsidRDefault="00E35328" w:rsidP="00BE670D">
      <w:pPr>
        <w:pStyle w:val="CETBodytext"/>
        <w:rPr>
          <w:lang w:val="en-GB"/>
        </w:rPr>
      </w:pPr>
      <w:r w:rsidRPr="00E35328">
        <w:rPr>
          <w:lang w:val="en-GB"/>
        </w:rPr>
        <w:t xml:space="preserve">Graaf, G. H., </w:t>
      </w:r>
      <w:proofErr w:type="spellStart"/>
      <w:r w:rsidRPr="00E35328">
        <w:rPr>
          <w:lang w:val="en-GB"/>
        </w:rPr>
        <w:t>Stamhuis</w:t>
      </w:r>
      <w:proofErr w:type="spellEnd"/>
      <w:r w:rsidRPr="00E35328">
        <w:rPr>
          <w:lang w:val="en-GB"/>
        </w:rPr>
        <w:t xml:space="preserve">, E. J., </w:t>
      </w:r>
      <w:proofErr w:type="spellStart"/>
      <w:r w:rsidRPr="00E35328">
        <w:rPr>
          <w:lang w:val="en-GB"/>
        </w:rPr>
        <w:t>Beenackers</w:t>
      </w:r>
      <w:proofErr w:type="spellEnd"/>
      <w:r w:rsidRPr="00E35328">
        <w:rPr>
          <w:lang w:val="en-GB"/>
        </w:rPr>
        <w:t>, A. A. C. M. 1988. Kinetics of Low-Pressure Methanol Synthesis. Chem. Eng. Sci. 43, 3185−3195.</w:t>
      </w:r>
    </w:p>
    <w:p w14:paraId="49C48127" w14:textId="77777777" w:rsidR="00E35328" w:rsidRDefault="00E35328" w:rsidP="00BE670D">
      <w:pPr>
        <w:pStyle w:val="CETBodytext"/>
        <w:rPr>
          <w:lang w:val="en-GB"/>
        </w:rPr>
      </w:pPr>
    </w:p>
    <w:p w14:paraId="760EE2C8" w14:textId="161839FC" w:rsidR="00E35328" w:rsidRDefault="00E35328" w:rsidP="00BE670D">
      <w:pPr>
        <w:pStyle w:val="CETBodytext"/>
        <w:rPr>
          <w:lang w:val="en-GB"/>
        </w:rPr>
      </w:pPr>
      <w:proofErr w:type="spellStart"/>
      <w:r w:rsidRPr="00E35328">
        <w:rPr>
          <w:lang w:val="en-GB"/>
        </w:rPr>
        <w:t>Hastadi</w:t>
      </w:r>
      <w:proofErr w:type="spellEnd"/>
      <w:r w:rsidRPr="00E35328">
        <w:rPr>
          <w:lang w:val="en-GB"/>
        </w:rPr>
        <w:t xml:space="preserve">, K.F., </w:t>
      </w:r>
      <w:proofErr w:type="spellStart"/>
      <w:r w:rsidRPr="00E35328">
        <w:rPr>
          <w:lang w:val="en-GB"/>
        </w:rPr>
        <w:t>Bhatelia</w:t>
      </w:r>
      <w:proofErr w:type="spellEnd"/>
      <w:r w:rsidRPr="00E35328">
        <w:rPr>
          <w:lang w:val="en-GB"/>
        </w:rPr>
        <w:t>, T., Patel, J., Webley, P.A., Pareek, V.K., Shah, M.T., 2022. Packed bed methanol reactor with flow diverters, Chemical Engineering &amp; Processing: Process Intensification 175, 108916</w:t>
      </w:r>
    </w:p>
    <w:p w14:paraId="6A758970" w14:textId="77777777" w:rsidR="004E31D0" w:rsidRDefault="004E31D0" w:rsidP="00BE670D">
      <w:pPr>
        <w:pStyle w:val="CETBodytext"/>
        <w:rPr>
          <w:lang w:val="en-GB"/>
        </w:rPr>
      </w:pPr>
    </w:p>
    <w:p w14:paraId="7274C8A3" w14:textId="4D55FD74" w:rsidR="004E31D0" w:rsidRDefault="004E31D0" w:rsidP="00BE670D">
      <w:pPr>
        <w:pStyle w:val="CETBodytext"/>
        <w:rPr>
          <w:lang w:val="en-GB"/>
        </w:rPr>
      </w:pPr>
      <w:proofErr w:type="spellStart"/>
      <w:r w:rsidRPr="004E31D0">
        <w:rPr>
          <w:lang w:val="en-GB"/>
        </w:rPr>
        <w:t>Jitrwung</w:t>
      </w:r>
      <w:proofErr w:type="spellEnd"/>
      <w:r w:rsidRPr="004E31D0">
        <w:rPr>
          <w:lang w:val="en-GB"/>
        </w:rPr>
        <w:t xml:space="preserve">, </w:t>
      </w:r>
      <w:r>
        <w:rPr>
          <w:lang w:val="en-GB"/>
        </w:rPr>
        <w:t>R</w:t>
      </w:r>
      <w:r w:rsidRPr="004E31D0">
        <w:rPr>
          <w:lang w:val="en-GB"/>
        </w:rPr>
        <w:t>.</w:t>
      </w:r>
      <w:r>
        <w:rPr>
          <w:lang w:val="en-GB"/>
        </w:rPr>
        <w:t>,</w:t>
      </w:r>
      <w:r w:rsidRPr="004E31D0">
        <w:rPr>
          <w:lang w:val="en-GB"/>
        </w:rPr>
        <w:t xml:space="preserve"> </w:t>
      </w:r>
      <w:proofErr w:type="spellStart"/>
      <w:r w:rsidRPr="004E31D0">
        <w:rPr>
          <w:lang w:val="en-GB"/>
        </w:rPr>
        <w:t>Krekkeitsakul</w:t>
      </w:r>
      <w:proofErr w:type="spellEnd"/>
      <w:r w:rsidRPr="004E31D0">
        <w:rPr>
          <w:lang w:val="en-GB"/>
        </w:rPr>
        <w:t xml:space="preserve">, </w:t>
      </w:r>
      <w:r>
        <w:rPr>
          <w:lang w:val="en-GB"/>
        </w:rPr>
        <w:t>K</w:t>
      </w:r>
      <w:r w:rsidRPr="004E31D0">
        <w:rPr>
          <w:lang w:val="en-GB"/>
        </w:rPr>
        <w:t>.</w:t>
      </w:r>
      <w:r>
        <w:rPr>
          <w:lang w:val="en-GB"/>
        </w:rPr>
        <w:t>,</w:t>
      </w:r>
      <w:r w:rsidRPr="004E31D0">
        <w:rPr>
          <w:lang w:val="en-GB"/>
        </w:rPr>
        <w:t xml:space="preserve"> </w:t>
      </w:r>
      <w:proofErr w:type="spellStart"/>
      <w:r w:rsidRPr="004E31D0">
        <w:rPr>
          <w:lang w:val="en-GB"/>
        </w:rPr>
        <w:t>Teerananont</w:t>
      </w:r>
      <w:proofErr w:type="spellEnd"/>
      <w:r w:rsidRPr="004E31D0">
        <w:rPr>
          <w:lang w:val="en-GB"/>
        </w:rPr>
        <w:t xml:space="preserve">, </w:t>
      </w:r>
      <w:r>
        <w:rPr>
          <w:lang w:val="en-GB"/>
        </w:rPr>
        <w:t>N</w:t>
      </w:r>
      <w:r w:rsidRPr="004E31D0">
        <w:rPr>
          <w:lang w:val="en-GB"/>
        </w:rPr>
        <w:t>.</w:t>
      </w:r>
      <w:r>
        <w:rPr>
          <w:lang w:val="en-GB"/>
        </w:rPr>
        <w:t>,</w:t>
      </w:r>
      <w:r w:rsidRPr="004E31D0">
        <w:rPr>
          <w:lang w:val="en-GB"/>
        </w:rPr>
        <w:t xml:space="preserve"> </w:t>
      </w:r>
      <w:proofErr w:type="spellStart"/>
      <w:r w:rsidRPr="004E31D0">
        <w:rPr>
          <w:lang w:val="en-GB"/>
        </w:rPr>
        <w:t>Thongyindee</w:t>
      </w:r>
      <w:proofErr w:type="spellEnd"/>
      <w:r w:rsidRPr="004E31D0">
        <w:rPr>
          <w:lang w:val="en-GB"/>
        </w:rPr>
        <w:t xml:space="preserve">, </w:t>
      </w:r>
      <w:r>
        <w:rPr>
          <w:lang w:val="en-GB"/>
        </w:rPr>
        <w:t>P</w:t>
      </w:r>
      <w:r w:rsidRPr="004E31D0">
        <w:rPr>
          <w:lang w:val="en-GB"/>
        </w:rPr>
        <w:t>.</w:t>
      </w:r>
      <w:r>
        <w:rPr>
          <w:lang w:val="en-GB"/>
        </w:rPr>
        <w:t>,</w:t>
      </w:r>
      <w:r w:rsidRPr="004E31D0">
        <w:rPr>
          <w:lang w:val="en-GB"/>
        </w:rPr>
        <w:t xml:space="preserve"> </w:t>
      </w:r>
      <w:proofErr w:type="spellStart"/>
      <w:r w:rsidRPr="004E31D0">
        <w:rPr>
          <w:lang w:val="en-GB"/>
        </w:rPr>
        <w:t>Patthaveekongka</w:t>
      </w:r>
      <w:proofErr w:type="spellEnd"/>
      <w:r w:rsidRPr="004E31D0">
        <w:rPr>
          <w:lang w:val="en-GB"/>
        </w:rPr>
        <w:t xml:space="preserve">, </w:t>
      </w:r>
      <w:r>
        <w:rPr>
          <w:lang w:val="en-GB"/>
        </w:rPr>
        <w:t>W</w:t>
      </w:r>
      <w:r w:rsidRPr="004E31D0">
        <w:rPr>
          <w:lang w:val="en-GB"/>
        </w:rPr>
        <w:t>.</w:t>
      </w:r>
      <w:r>
        <w:rPr>
          <w:lang w:val="en-GB"/>
        </w:rPr>
        <w:t>,</w:t>
      </w:r>
      <w:r w:rsidRPr="004E31D0">
        <w:rPr>
          <w:lang w:val="en-GB"/>
        </w:rPr>
        <w:t xml:space="preserve"> </w:t>
      </w:r>
      <w:proofErr w:type="spellStart"/>
      <w:r w:rsidRPr="004E31D0">
        <w:rPr>
          <w:lang w:val="en-GB"/>
        </w:rPr>
        <w:t>Areeprasert</w:t>
      </w:r>
      <w:proofErr w:type="spellEnd"/>
      <w:r w:rsidRPr="004E31D0">
        <w:rPr>
          <w:lang w:val="en-GB"/>
        </w:rPr>
        <w:t xml:space="preserve">, </w:t>
      </w:r>
      <w:r>
        <w:rPr>
          <w:lang w:val="en-GB"/>
        </w:rPr>
        <w:t xml:space="preserve">C., 2025. </w:t>
      </w:r>
      <w:r w:rsidRPr="004E31D0">
        <w:rPr>
          <w:lang w:val="en-GB"/>
        </w:rPr>
        <w:t>Utilization of CO2 and recycling of methanol Residue from the refining process for production of Bio-Methanol</w:t>
      </w:r>
      <w:r>
        <w:rPr>
          <w:lang w:val="en-GB"/>
        </w:rPr>
        <w:t xml:space="preserve">, </w:t>
      </w:r>
      <w:r w:rsidRPr="004E31D0">
        <w:rPr>
          <w:lang w:val="en-GB"/>
        </w:rPr>
        <w:t>Carbon Resources Conversion 8</w:t>
      </w:r>
      <w:r>
        <w:rPr>
          <w:lang w:val="en-GB"/>
        </w:rPr>
        <w:t xml:space="preserve">, </w:t>
      </w:r>
      <w:r w:rsidRPr="004E31D0">
        <w:rPr>
          <w:lang w:val="en-GB"/>
        </w:rPr>
        <w:t>100302</w:t>
      </w:r>
    </w:p>
    <w:p w14:paraId="0F7368F6" w14:textId="77777777" w:rsidR="00E35328" w:rsidRDefault="00E35328" w:rsidP="00BE670D">
      <w:pPr>
        <w:pStyle w:val="CETBodytext"/>
        <w:rPr>
          <w:lang w:val="en-GB"/>
        </w:rPr>
      </w:pPr>
    </w:p>
    <w:p w14:paraId="48711FEC" w14:textId="3E29A325" w:rsidR="00E35328" w:rsidRDefault="00E35328" w:rsidP="00BE670D">
      <w:pPr>
        <w:pStyle w:val="CETBodytext"/>
        <w:rPr>
          <w:lang w:val="en-GB"/>
        </w:rPr>
      </w:pPr>
      <w:r w:rsidRPr="008937A1">
        <w:rPr>
          <w:lang w:val="fr-FR"/>
        </w:rPr>
        <w:t xml:space="preserve">Kiss, A.A., </w:t>
      </w:r>
      <w:proofErr w:type="spellStart"/>
      <w:r w:rsidRPr="008937A1">
        <w:rPr>
          <w:lang w:val="fr-FR"/>
        </w:rPr>
        <w:t>Pragt</w:t>
      </w:r>
      <w:proofErr w:type="spellEnd"/>
      <w:r w:rsidRPr="008937A1">
        <w:rPr>
          <w:lang w:val="fr-FR"/>
        </w:rPr>
        <w:t xml:space="preserve">, J.J., Vos, H.J., </w:t>
      </w:r>
      <w:proofErr w:type="spellStart"/>
      <w:r w:rsidRPr="008937A1">
        <w:rPr>
          <w:lang w:val="fr-FR"/>
        </w:rPr>
        <w:t>Bargeman</w:t>
      </w:r>
      <w:proofErr w:type="spellEnd"/>
      <w:r w:rsidRPr="008937A1">
        <w:rPr>
          <w:lang w:val="fr-FR"/>
        </w:rPr>
        <w:t xml:space="preserve">, G., de Groot, M.T., 2016. </w:t>
      </w:r>
      <w:r w:rsidRPr="00E35328">
        <w:rPr>
          <w:lang w:val="en-GB"/>
        </w:rPr>
        <w:t>Novel efficient process for methanol synthesis by CO2 hydrogenation, Chemical Engineering Journal 284, 260–269</w:t>
      </w:r>
    </w:p>
    <w:p w14:paraId="5626A835" w14:textId="77777777" w:rsidR="00E35328" w:rsidRDefault="00E35328" w:rsidP="00BE670D">
      <w:pPr>
        <w:pStyle w:val="CETBodytext"/>
        <w:rPr>
          <w:lang w:val="en-GB"/>
        </w:rPr>
      </w:pPr>
    </w:p>
    <w:p w14:paraId="0BE42154" w14:textId="133D7553" w:rsidR="00E35328" w:rsidRDefault="00E35328" w:rsidP="00BE670D">
      <w:pPr>
        <w:pStyle w:val="CETBodytext"/>
        <w:rPr>
          <w:lang w:val="en-GB"/>
        </w:rPr>
      </w:pPr>
      <w:r w:rsidRPr="00E35328">
        <w:rPr>
          <w:lang w:val="en-GB"/>
        </w:rPr>
        <w:t>Leonzio, G. 2020. Analysis and optimization of a methanol reactor with the adsorption of carbon monoxide and water, Renewable Energy, 146, 2744-2757</w:t>
      </w:r>
    </w:p>
    <w:p w14:paraId="7F1A1C6F" w14:textId="77777777" w:rsidR="00E35328" w:rsidRDefault="00E35328" w:rsidP="00BE670D">
      <w:pPr>
        <w:pStyle w:val="CETBodytext"/>
        <w:rPr>
          <w:lang w:val="en-GB"/>
        </w:rPr>
      </w:pPr>
    </w:p>
    <w:p w14:paraId="4E682208" w14:textId="48675584" w:rsidR="00E35328" w:rsidRPr="006F0454" w:rsidRDefault="00E35328" w:rsidP="00BE670D">
      <w:pPr>
        <w:pStyle w:val="CETBodytext"/>
      </w:pPr>
      <w:r w:rsidRPr="00813270">
        <w:t>Leonzio, G.</w:t>
      </w:r>
      <w:r w:rsidR="00813270" w:rsidRPr="00813270">
        <w:t xml:space="preserve">, Manenti, G., Bozzini, M.M., Baratti, R., Manenti, F., </w:t>
      </w:r>
      <w:r w:rsidRPr="00813270">
        <w:t>2025</w:t>
      </w:r>
      <w:r w:rsidR="00813270" w:rsidRPr="00813270">
        <w:t>,</w:t>
      </w:r>
      <w:r w:rsidRPr="00813270">
        <w:t xml:space="preserve"> </w:t>
      </w:r>
      <w:r w:rsidR="006F0454" w:rsidRPr="00813270">
        <w:t xml:space="preserve">Analysis of a methanol synthesis reactor </w:t>
      </w:r>
      <w:r w:rsidR="00813270">
        <w:t>operating in</w:t>
      </w:r>
      <w:r w:rsidR="006F0454" w:rsidRPr="00813270">
        <w:t xml:space="preserve"> non-isothermal cooling conditions, </w:t>
      </w:r>
      <w:r w:rsidR="00813270">
        <w:t xml:space="preserve">to be </w:t>
      </w:r>
      <w:r w:rsidRPr="00813270">
        <w:t>submitted</w:t>
      </w:r>
      <w:r w:rsidR="00813270">
        <w:t xml:space="preserve"> to Fuel Journal.</w:t>
      </w:r>
    </w:p>
    <w:p w14:paraId="4DD0DB18" w14:textId="77777777" w:rsidR="000C5B8E" w:rsidRPr="006F0454" w:rsidRDefault="000C5B8E" w:rsidP="00BE670D">
      <w:pPr>
        <w:pStyle w:val="CETBodytext"/>
      </w:pPr>
    </w:p>
    <w:p w14:paraId="120E6CFA" w14:textId="7D7420CF" w:rsidR="000C5B8E" w:rsidRDefault="000C5B8E" w:rsidP="00BE670D">
      <w:pPr>
        <w:pStyle w:val="CETBodytext"/>
        <w:rPr>
          <w:lang w:val="en-GB"/>
        </w:rPr>
      </w:pPr>
      <w:r w:rsidRPr="000C5B8E">
        <w:rPr>
          <w:lang w:val="en-GB"/>
        </w:rPr>
        <w:t xml:space="preserve">Manenti, </w:t>
      </w:r>
      <w:r>
        <w:rPr>
          <w:lang w:val="en-GB"/>
        </w:rPr>
        <w:t xml:space="preserve">F., </w:t>
      </w:r>
      <w:r w:rsidRPr="000C5B8E">
        <w:rPr>
          <w:lang w:val="en-GB"/>
        </w:rPr>
        <w:t xml:space="preserve">Bozzano, </w:t>
      </w:r>
      <w:r>
        <w:rPr>
          <w:lang w:val="en-GB"/>
        </w:rPr>
        <w:t xml:space="preserve">G., </w:t>
      </w:r>
      <w:r w:rsidRPr="000C5B8E">
        <w:rPr>
          <w:lang w:val="en-GB"/>
        </w:rPr>
        <w:t>2016, Efficient methanol synthesis: Perspectives, technologies and optimization strategies</w:t>
      </w:r>
      <w:r>
        <w:rPr>
          <w:lang w:val="en-GB"/>
        </w:rPr>
        <w:t xml:space="preserve">, </w:t>
      </w:r>
      <w:r w:rsidRPr="000C5B8E">
        <w:rPr>
          <w:lang w:val="en-GB"/>
        </w:rPr>
        <w:t>Progress in Energy and Combustion Science, 56, Pages 71-105</w:t>
      </w:r>
    </w:p>
    <w:p w14:paraId="50F52174" w14:textId="77777777" w:rsidR="00BE670D" w:rsidRDefault="00BE670D" w:rsidP="00BE670D">
      <w:pPr>
        <w:pStyle w:val="CETBodytext"/>
        <w:rPr>
          <w:lang w:val="en-GB"/>
        </w:rPr>
      </w:pPr>
    </w:p>
    <w:p w14:paraId="3003D707" w14:textId="253C78D6" w:rsidR="004E31D0" w:rsidRDefault="004E31D0" w:rsidP="00BE670D">
      <w:pPr>
        <w:pStyle w:val="CETBodytext"/>
        <w:rPr>
          <w:lang w:val="en-GB"/>
        </w:rPr>
      </w:pPr>
      <w:proofErr w:type="spellStart"/>
      <w:r>
        <w:rPr>
          <w:lang w:val="en-GB"/>
        </w:rPr>
        <w:t>MethanolPrice</w:t>
      </w:r>
      <w:proofErr w:type="spellEnd"/>
      <w:r>
        <w:rPr>
          <w:lang w:val="en-GB"/>
        </w:rPr>
        <w:t xml:space="preserve">, 2024, available at: </w:t>
      </w:r>
      <w:hyperlink r:id="rId17" w:history="1">
        <w:r w:rsidR="00E35328" w:rsidRPr="00AF195F">
          <w:rPr>
            <w:rStyle w:val="Collegamentoipertestuale"/>
            <w:lang w:val="en-GB"/>
          </w:rPr>
          <w:t>https://www.methanol.org/methanol-price-supply-demand/</w:t>
        </w:r>
      </w:hyperlink>
      <w:r w:rsidR="00E35328">
        <w:rPr>
          <w:lang w:val="en-GB"/>
        </w:rPr>
        <w:t>, accessed on 9.10.2024</w:t>
      </w:r>
    </w:p>
    <w:p w14:paraId="5AEE1527" w14:textId="77777777" w:rsidR="00E35328" w:rsidRDefault="00E35328" w:rsidP="00BE670D">
      <w:pPr>
        <w:pStyle w:val="CETBodytext"/>
        <w:rPr>
          <w:lang w:val="en-GB"/>
        </w:rPr>
      </w:pPr>
    </w:p>
    <w:p w14:paraId="0DC738FD" w14:textId="654298A7" w:rsidR="00E35328" w:rsidRDefault="00E35328" w:rsidP="00BE670D">
      <w:pPr>
        <w:pStyle w:val="CETBodytext"/>
        <w:rPr>
          <w:lang w:val="en-GB"/>
        </w:rPr>
      </w:pPr>
      <w:proofErr w:type="spellStart"/>
      <w:r w:rsidRPr="00E35328">
        <w:rPr>
          <w:lang w:val="it-IT"/>
        </w:rPr>
        <w:t>Ostadi</w:t>
      </w:r>
      <w:proofErr w:type="spellEnd"/>
      <w:r w:rsidRPr="00E35328">
        <w:rPr>
          <w:lang w:val="it-IT"/>
        </w:rPr>
        <w:t xml:space="preserve">, M.; Paso, K. G.; Rodriguez-Fabia, S.; </w:t>
      </w:r>
      <w:proofErr w:type="spellStart"/>
      <w:r w:rsidRPr="00E35328">
        <w:rPr>
          <w:lang w:val="it-IT"/>
        </w:rPr>
        <w:t>Øi</w:t>
      </w:r>
      <w:proofErr w:type="spellEnd"/>
      <w:r w:rsidRPr="00E35328">
        <w:rPr>
          <w:lang w:val="it-IT"/>
        </w:rPr>
        <w:t xml:space="preserve">, L. E.; Manenti, F.; </w:t>
      </w:r>
      <w:proofErr w:type="spellStart"/>
      <w:r w:rsidRPr="00E35328">
        <w:rPr>
          <w:lang w:val="it-IT"/>
        </w:rPr>
        <w:t>Hillestad</w:t>
      </w:r>
      <w:proofErr w:type="spellEnd"/>
      <w:r w:rsidRPr="00E35328">
        <w:rPr>
          <w:lang w:val="it-IT"/>
        </w:rPr>
        <w:t xml:space="preserve">, M. 2020. </w:t>
      </w:r>
      <w:r w:rsidRPr="00E35328">
        <w:rPr>
          <w:lang w:val="en-GB"/>
        </w:rPr>
        <w:t>Process Integration of Green Hydrogen: Decarbonization of Chemical Industries. Energies, 13, 4859.</w:t>
      </w:r>
    </w:p>
    <w:p w14:paraId="0C607436" w14:textId="77777777" w:rsidR="00E35328" w:rsidRDefault="00E35328" w:rsidP="00BE670D">
      <w:pPr>
        <w:pStyle w:val="CETBodytext"/>
        <w:rPr>
          <w:lang w:val="en-GB"/>
        </w:rPr>
      </w:pPr>
    </w:p>
    <w:p w14:paraId="598A7E5F" w14:textId="722BC8C3" w:rsidR="00E35328" w:rsidRDefault="00E35328" w:rsidP="00BE670D">
      <w:pPr>
        <w:pStyle w:val="CETBodytext"/>
        <w:rPr>
          <w:lang w:val="en-GB"/>
        </w:rPr>
      </w:pPr>
      <w:proofErr w:type="spellStart"/>
      <w:r w:rsidRPr="00E35328">
        <w:rPr>
          <w:lang w:val="en-GB"/>
        </w:rPr>
        <w:t>Rahmatmand</w:t>
      </w:r>
      <w:proofErr w:type="spellEnd"/>
      <w:r w:rsidRPr="00E35328">
        <w:rPr>
          <w:lang w:val="en-GB"/>
        </w:rPr>
        <w:t>, B., Rahimpour, M.R., Keshavarz, P., 2019. Introducing a novel process to enhance the syngas conversion to methanol over Cu/</w:t>
      </w:r>
      <w:proofErr w:type="spellStart"/>
      <w:r w:rsidRPr="00E35328">
        <w:rPr>
          <w:lang w:val="en-GB"/>
        </w:rPr>
        <w:t>ZnO</w:t>
      </w:r>
      <w:proofErr w:type="spellEnd"/>
      <w:r w:rsidRPr="00E35328">
        <w:rPr>
          <w:lang w:val="en-GB"/>
        </w:rPr>
        <w:t>/Al2O3 catalyst, Fuel Processing Technology 193,159–179</w:t>
      </w:r>
    </w:p>
    <w:p w14:paraId="6A623181" w14:textId="77777777" w:rsidR="00E35328" w:rsidRDefault="00E35328" w:rsidP="00BE670D">
      <w:pPr>
        <w:pStyle w:val="CETBodytext"/>
        <w:rPr>
          <w:lang w:val="en-GB"/>
        </w:rPr>
      </w:pPr>
    </w:p>
    <w:p w14:paraId="039A80D0" w14:textId="47FBC702" w:rsidR="00E35328" w:rsidRDefault="00E35328" w:rsidP="00BE670D">
      <w:pPr>
        <w:pStyle w:val="CETBodytext"/>
        <w:rPr>
          <w:lang w:val="en-GB"/>
        </w:rPr>
      </w:pPr>
      <w:r w:rsidRPr="00E35328">
        <w:rPr>
          <w:lang w:val="en-GB"/>
        </w:rPr>
        <w:t xml:space="preserve">Samimi, F., </w:t>
      </w:r>
      <w:proofErr w:type="spellStart"/>
      <w:r w:rsidRPr="00E35328">
        <w:rPr>
          <w:lang w:val="en-GB"/>
        </w:rPr>
        <w:t>Karimipourfard</w:t>
      </w:r>
      <w:proofErr w:type="spellEnd"/>
      <w:r w:rsidRPr="00E35328">
        <w:rPr>
          <w:lang w:val="en-GB"/>
        </w:rPr>
        <w:t xml:space="preserve">, D., Rahimpour, M.R., 2018. Green methanol synthesis process from </w:t>
      </w:r>
      <w:proofErr w:type="spellStart"/>
      <w:r w:rsidRPr="00E35328">
        <w:rPr>
          <w:lang w:val="en-GB"/>
        </w:rPr>
        <w:t>carbondioxide</w:t>
      </w:r>
      <w:proofErr w:type="spellEnd"/>
      <w:r w:rsidRPr="00E35328">
        <w:rPr>
          <w:lang w:val="en-GB"/>
        </w:rPr>
        <w:t xml:space="preserve"> via reverse water gas shift reaction in a membrane reactor, Chemical Engineering Research and design, 140, 44–67</w:t>
      </w:r>
    </w:p>
    <w:p w14:paraId="1BDD7A2F" w14:textId="77777777" w:rsidR="00BE670D" w:rsidRDefault="00BE670D" w:rsidP="00BE670D">
      <w:pPr>
        <w:pStyle w:val="CETBodytext"/>
        <w:rPr>
          <w:lang w:val="en-GB"/>
        </w:rPr>
      </w:pPr>
    </w:p>
    <w:p w14:paraId="19C4FC68" w14:textId="7208E014" w:rsidR="004628D2" w:rsidRDefault="00BE670D" w:rsidP="00B47F16">
      <w:pPr>
        <w:pStyle w:val="CETBodytext"/>
        <w:rPr>
          <w:lang w:val="en-GB"/>
        </w:rPr>
      </w:pPr>
      <w:r w:rsidRPr="00BE670D">
        <w:rPr>
          <w:lang w:val="en-GB"/>
        </w:rPr>
        <w:t>Suseno</w:t>
      </w:r>
      <w:r>
        <w:rPr>
          <w:lang w:val="en-GB"/>
        </w:rPr>
        <w:t xml:space="preserve">, T., </w:t>
      </w:r>
      <w:r w:rsidRPr="00BE670D">
        <w:rPr>
          <w:lang w:val="en-GB"/>
        </w:rPr>
        <w:t>Umar</w:t>
      </w:r>
      <w:r>
        <w:rPr>
          <w:lang w:val="en-GB"/>
        </w:rPr>
        <w:t>, D.F.</w:t>
      </w:r>
      <w:r w:rsidRPr="00BE670D">
        <w:rPr>
          <w:lang w:val="en-GB"/>
        </w:rPr>
        <w:t xml:space="preserve"> 2021 Prospect of coal-based methanol market in Indonesia</w:t>
      </w:r>
      <w:r>
        <w:rPr>
          <w:lang w:val="en-GB"/>
        </w:rPr>
        <w:t xml:space="preserve">, </w:t>
      </w:r>
      <w:r w:rsidRPr="00BE670D">
        <w:rPr>
          <w:lang w:val="en-GB"/>
        </w:rPr>
        <w:t>IOP Conf. Ser.: Earth Environ. Sci. 882 012073</w:t>
      </w:r>
    </w:p>
    <w:p w14:paraId="0EC2FA09" w14:textId="77777777" w:rsidR="00B47F16" w:rsidRDefault="00B47F16" w:rsidP="00B47F16">
      <w:pPr>
        <w:pStyle w:val="CETBodytext"/>
        <w:rPr>
          <w:lang w:val="en-GB"/>
        </w:rPr>
      </w:pPr>
    </w:p>
    <w:p w14:paraId="182C4F1A" w14:textId="5FF1F827" w:rsidR="00B47F16" w:rsidRPr="00B47F16" w:rsidRDefault="00B47F16" w:rsidP="00B47F16">
      <w:pPr>
        <w:pStyle w:val="CETBodytext"/>
        <w:rPr>
          <w:lang w:val="en-GB"/>
        </w:rPr>
      </w:pPr>
      <w:r w:rsidRPr="00B47F16">
        <w:rPr>
          <w:lang w:val="en-GB"/>
        </w:rPr>
        <w:t>Twigg, M.V., Spencer, M.S., 2003. Deactivation of copper metal catalysts for methanol decomposition, methanol steam reforming and methanol synthesis, Topics in Catalysis 22, 3–4</w:t>
      </w:r>
    </w:p>
    <w:sectPr w:rsidR="00B47F16" w:rsidRPr="00B47F16" w:rsidSect="00DC73EE">
      <w:type w:val="continuous"/>
      <w:pgSz w:w="11906" w:h="16838" w:code="9"/>
      <w:pgMar w:top="1701" w:right="1418" w:bottom="1701" w:left="1701" w:header="1701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C258E" w14:textId="77777777" w:rsidR="00CB648A" w:rsidRDefault="00CB648A" w:rsidP="004F5E36">
      <w:r>
        <w:separator/>
      </w:r>
    </w:p>
  </w:endnote>
  <w:endnote w:type="continuationSeparator" w:id="0">
    <w:p w14:paraId="1F673569" w14:textId="77777777" w:rsidR="00CB648A" w:rsidRDefault="00CB648A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vP6960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8E55D" w14:textId="77777777" w:rsidR="00CB648A" w:rsidRDefault="00CB648A" w:rsidP="004F5E36">
      <w:r>
        <w:separator/>
      </w:r>
    </w:p>
  </w:footnote>
  <w:footnote w:type="continuationSeparator" w:id="0">
    <w:p w14:paraId="54416F20" w14:textId="77777777" w:rsidR="00CB648A" w:rsidRDefault="00CB648A" w:rsidP="004F5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266B64"/>
    <w:multiLevelType w:val="hybridMultilevel"/>
    <w:tmpl w:val="059214A0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38217E"/>
    <w:multiLevelType w:val="multilevel"/>
    <w:tmpl w:val="F17228D6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30B7370"/>
    <w:multiLevelType w:val="hybridMultilevel"/>
    <w:tmpl w:val="12E2AD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E0394"/>
    <w:multiLevelType w:val="hybridMultilevel"/>
    <w:tmpl w:val="806658E2"/>
    <w:lvl w:ilvl="0" w:tplc="14B0F7A8">
      <w:start w:val="1"/>
      <w:numFmt w:val="bullet"/>
      <w:pStyle w:val="CETnumberingbullets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329B9"/>
    <w:multiLevelType w:val="hybridMultilevel"/>
    <w:tmpl w:val="A2E6C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100E8"/>
    <w:multiLevelType w:val="hybridMultilevel"/>
    <w:tmpl w:val="6F34C070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87BA7"/>
    <w:multiLevelType w:val="hybridMultilevel"/>
    <w:tmpl w:val="1F6A8AD4"/>
    <w:lvl w:ilvl="0" w:tplc="14B0F7A8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217387"/>
    <w:multiLevelType w:val="hybridMultilevel"/>
    <w:tmpl w:val="C2AE185A"/>
    <w:lvl w:ilvl="0" w:tplc="14090011">
      <w:start w:val="1"/>
      <w:numFmt w:val="decimal"/>
      <w:lvlText w:val="%1)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2015B5"/>
    <w:multiLevelType w:val="hybridMultilevel"/>
    <w:tmpl w:val="CCDE09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5266D"/>
    <w:multiLevelType w:val="hybridMultilevel"/>
    <w:tmpl w:val="F5BE3C4A"/>
    <w:lvl w:ilvl="0" w:tplc="9FC4D28C">
      <w:start w:val="1"/>
      <w:numFmt w:val="lowerLetter"/>
      <w:pStyle w:val="CETnumberinga"/>
      <w:lvlText w:val="%1.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882765">
    <w:abstractNumId w:val="11"/>
  </w:num>
  <w:num w:numId="2" w16cid:durableId="1954094313">
    <w:abstractNumId w:val="8"/>
  </w:num>
  <w:num w:numId="3" w16cid:durableId="2001083081">
    <w:abstractNumId w:val="3"/>
  </w:num>
  <w:num w:numId="4" w16cid:durableId="665287687">
    <w:abstractNumId w:val="2"/>
  </w:num>
  <w:num w:numId="5" w16cid:durableId="1763211618">
    <w:abstractNumId w:val="1"/>
  </w:num>
  <w:num w:numId="6" w16cid:durableId="733351894">
    <w:abstractNumId w:val="0"/>
  </w:num>
  <w:num w:numId="7" w16cid:durableId="1265187038">
    <w:abstractNumId w:val="9"/>
  </w:num>
  <w:num w:numId="8" w16cid:durableId="458382672">
    <w:abstractNumId w:val="7"/>
  </w:num>
  <w:num w:numId="9" w16cid:durableId="652636510">
    <w:abstractNumId w:val="6"/>
  </w:num>
  <w:num w:numId="10" w16cid:durableId="1972591888">
    <w:abstractNumId w:val="5"/>
  </w:num>
  <w:num w:numId="11" w16cid:durableId="1179278139">
    <w:abstractNumId w:val="4"/>
  </w:num>
  <w:num w:numId="12" w16cid:durableId="1575509198">
    <w:abstractNumId w:val="18"/>
  </w:num>
  <w:num w:numId="13" w16cid:durableId="695733619">
    <w:abstractNumId w:val="13"/>
  </w:num>
  <w:num w:numId="14" w16cid:durableId="145903400">
    <w:abstractNumId w:val="19"/>
  </w:num>
  <w:num w:numId="15" w16cid:durableId="19162326">
    <w:abstractNumId w:val="21"/>
  </w:num>
  <w:num w:numId="16" w16cid:durableId="1977102699">
    <w:abstractNumId w:val="20"/>
  </w:num>
  <w:num w:numId="17" w16cid:durableId="860774865">
    <w:abstractNumId w:val="12"/>
  </w:num>
  <w:num w:numId="18" w16cid:durableId="313221457">
    <w:abstractNumId w:val="13"/>
    <w:lvlOverride w:ilvl="0">
      <w:startOverride w:val="1"/>
    </w:lvlOverride>
  </w:num>
  <w:num w:numId="19" w16cid:durableId="534971577">
    <w:abstractNumId w:val="17"/>
  </w:num>
  <w:num w:numId="20" w16cid:durableId="1150947773">
    <w:abstractNumId w:val="16"/>
  </w:num>
  <w:num w:numId="21" w16cid:durableId="124660497">
    <w:abstractNumId w:val="15"/>
  </w:num>
  <w:num w:numId="22" w16cid:durableId="2099861471">
    <w:abstractNumId w:val="14"/>
  </w:num>
  <w:num w:numId="23" w16cid:durableId="843513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autoFormatOverride/>
  <w:styleLockTheme/>
  <w:styleLockQFSet/>
  <w:defaultTabStop w:val="708"/>
  <w:hyphenationZone w:val="283"/>
  <w:clickAndTypeStyle w:val="CETBodytext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0NzezsDA3M7MwMTJW0lEKTi0uzszPAymwrAUAugS3IywAAAA="/>
  </w:docVars>
  <w:rsids>
    <w:rsidRoot w:val="000E414A"/>
    <w:rsid w:val="00000EBD"/>
    <w:rsid w:val="000027C0"/>
    <w:rsid w:val="000052FB"/>
    <w:rsid w:val="00005A19"/>
    <w:rsid w:val="000117CB"/>
    <w:rsid w:val="000135CE"/>
    <w:rsid w:val="00023E40"/>
    <w:rsid w:val="00027EAA"/>
    <w:rsid w:val="0003148D"/>
    <w:rsid w:val="00031EEC"/>
    <w:rsid w:val="00032A5D"/>
    <w:rsid w:val="00037CD4"/>
    <w:rsid w:val="00043428"/>
    <w:rsid w:val="00051566"/>
    <w:rsid w:val="000517CD"/>
    <w:rsid w:val="00052151"/>
    <w:rsid w:val="000562A9"/>
    <w:rsid w:val="00062A9A"/>
    <w:rsid w:val="00065058"/>
    <w:rsid w:val="0007391A"/>
    <w:rsid w:val="0008643D"/>
    <w:rsid w:val="00086C39"/>
    <w:rsid w:val="000A03B2"/>
    <w:rsid w:val="000B3630"/>
    <w:rsid w:val="000B5451"/>
    <w:rsid w:val="000C5AD9"/>
    <w:rsid w:val="000C5B8E"/>
    <w:rsid w:val="000D0268"/>
    <w:rsid w:val="000D0363"/>
    <w:rsid w:val="000D2CE4"/>
    <w:rsid w:val="000D34BE"/>
    <w:rsid w:val="000E0B3C"/>
    <w:rsid w:val="000E102F"/>
    <w:rsid w:val="000E323F"/>
    <w:rsid w:val="000E36F1"/>
    <w:rsid w:val="000E3A73"/>
    <w:rsid w:val="000E414A"/>
    <w:rsid w:val="000E6A65"/>
    <w:rsid w:val="000E75FD"/>
    <w:rsid w:val="000F093C"/>
    <w:rsid w:val="000F787B"/>
    <w:rsid w:val="0012091F"/>
    <w:rsid w:val="00123C61"/>
    <w:rsid w:val="00126BC2"/>
    <w:rsid w:val="001308B6"/>
    <w:rsid w:val="0013121F"/>
    <w:rsid w:val="00131F11"/>
    <w:rsid w:val="00131FE6"/>
    <w:rsid w:val="0013263F"/>
    <w:rsid w:val="001331DF"/>
    <w:rsid w:val="00133CBF"/>
    <w:rsid w:val="00134DE4"/>
    <w:rsid w:val="00135345"/>
    <w:rsid w:val="00136D20"/>
    <w:rsid w:val="0014034D"/>
    <w:rsid w:val="00140FE3"/>
    <w:rsid w:val="00144D16"/>
    <w:rsid w:val="00146B4E"/>
    <w:rsid w:val="0015054D"/>
    <w:rsid w:val="00150E59"/>
    <w:rsid w:val="00152DE3"/>
    <w:rsid w:val="001545A3"/>
    <w:rsid w:val="00164CF9"/>
    <w:rsid w:val="00165A6A"/>
    <w:rsid w:val="001667A6"/>
    <w:rsid w:val="00172D55"/>
    <w:rsid w:val="0018171E"/>
    <w:rsid w:val="00184AD6"/>
    <w:rsid w:val="00194791"/>
    <w:rsid w:val="001A4AF7"/>
    <w:rsid w:val="001B0349"/>
    <w:rsid w:val="001B1E93"/>
    <w:rsid w:val="001B65C1"/>
    <w:rsid w:val="001C260F"/>
    <w:rsid w:val="001C5C3A"/>
    <w:rsid w:val="001C684B"/>
    <w:rsid w:val="001C6F77"/>
    <w:rsid w:val="001D0CFB"/>
    <w:rsid w:val="001D165D"/>
    <w:rsid w:val="001D21AF"/>
    <w:rsid w:val="001D434D"/>
    <w:rsid w:val="001D53FC"/>
    <w:rsid w:val="001F31D0"/>
    <w:rsid w:val="001F42A5"/>
    <w:rsid w:val="001F5226"/>
    <w:rsid w:val="001F6CF6"/>
    <w:rsid w:val="001F7B9D"/>
    <w:rsid w:val="0020041C"/>
    <w:rsid w:val="00201C93"/>
    <w:rsid w:val="002110D1"/>
    <w:rsid w:val="002155C0"/>
    <w:rsid w:val="00217B85"/>
    <w:rsid w:val="002224B4"/>
    <w:rsid w:val="002243C0"/>
    <w:rsid w:val="002314A0"/>
    <w:rsid w:val="0023166A"/>
    <w:rsid w:val="002447EF"/>
    <w:rsid w:val="00251550"/>
    <w:rsid w:val="00253ABE"/>
    <w:rsid w:val="002542BE"/>
    <w:rsid w:val="00257022"/>
    <w:rsid w:val="00263581"/>
    <w:rsid w:val="00263B05"/>
    <w:rsid w:val="00267A16"/>
    <w:rsid w:val="0027221A"/>
    <w:rsid w:val="00275B61"/>
    <w:rsid w:val="00280FAF"/>
    <w:rsid w:val="00281C01"/>
    <w:rsid w:val="00282656"/>
    <w:rsid w:val="0028353C"/>
    <w:rsid w:val="002933A5"/>
    <w:rsid w:val="00296B83"/>
    <w:rsid w:val="002A5268"/>
    <w:rsid w:val="002B33F1"/>
    <w:rsid w:val="002B4015"/>
    <w:rsid w:val="002B46B4"/>
    <w:rsid w:val="002B78CE"/>
    <w:rsid w:val="002C2FB6"/>
    <w:rsid w:val="002C7ABB"/>
    <w:rsid w:val="002D6285"/>
    <w:rsid w:val="002E5FA7"/>
    <w:rsid w:val="002F2A98"/>
    <w:rsid w:val="002F3309"/>
    <w:rsid w:val="003008CE"/>
    <w:rsid w:val="003009B7"/>
    <w:rsid w:val="00300E56"/>
    <w:rsid w:val="0030152C"/>
    <w:rsid w:val="0030469C"/>
    <w:rsid w:val="00310383"/>
    <w:rsid w:val="00321CA6"/>
    <w:rsid w:val="00323763"/>
    <w:rsid w:val="00323C5F"/>
    <w:rsid w:val="00327C97"/>
    <w:rsid w:val="00334C09"/>
    <w:rsid w:val="003364A6"/>
    <w:rsid w:val="00352EBF"/>
    <w:rsid w:val="003615A0"/>
    <w:rsid w:val="00366618"/>
    <w:rsid w:val="003723D4"/>
    <w:rsid w:val="00372D0D"/>
    <w:rsid w:val="00381905"/>
    <w:rsid w:val="00384CC8"/>
    <w:rsid w:val="003871FD"/>
    <w:rsid w:val="003904D3"/>
    <w:rsid w:val="00393770"/>
    <w:rsid w:val="0039717E"/>
    <w:rsid w:val="003A1E30"/>
    <w:rsid w:val="003A2829"/>
    <w:rsid w:val="003A7D1C"/>
    <w:rsid w:val="003B0183"/>
    <w:rsid w:val="003B304B"/>
    <w:rsid w:val="003B3146"/>
    <w:rsid w:val="003B34FD"/>
    <w:rsid w:val="003B49CD"/>
    <w:rsid w:val="003C76CC"/>
    <w:rsid w:val="003D1E02"/>
    <w:rsid w:val="003D35D0"/>
    <w:rsid w:val="003D42CD"/>
    <w:rsid w:val="003D42D0"/>
    <w:rsid w:val="003F015E"/>
    <w:rsid w:val="003F2B3F"/>
    <w:rsid w:val="00400414"/>
    <w:rsid w:val="00400C73"/>
    <w:rsid w:val="0040156C"/>
    <w:rsid w:val="0041446B"/>
    <w:rsid w:val="00423FC1"/>
    <w:rsid w:val="0044071E"/>
    <w:rsid w:val="0044329C"/>
    <w:rsid w:val="00453526"/>
    <w:rsid w:val="00453E24"/>
    <w:rsid w:val="00457456"/>
    <w:rsid w:val="004577FE"/>
    <w:rsid w:val="00457B9C"/>
    <w:rsid w:val="0046164A"/>
    <w:rsid w:val="004628D2"/>
    <w:rsid w:val="00462DCD"/>
    <w:rsid w:val="004648AD"/>
    <w:rsid w:val="004703A9"/>
    <w:rsid w:val="004760DE"/>
    <w:rsid w:val="004763D7"/>
    <w:rsid w:val="004A004E"/>
    <w:rsid w:val="004A24CF"/>
    <w:rsid w:val="004B04FF"/>
    <w:rsid w:val="004C3D1D"/>
    <w:rsid w:val="004C3D84"/>
    <w:rsid w:val="004C45F7"/>
    <w:rsid w:val="004C7913"/>
    <w:rsid w:val="004E1DC0"/>
    <w:rsid w:val="004E2B84"/>
    <w:rsid w:val="004E31D0"/>
    <w:rsid w:val="004E4DD6"/>
    <w:rsid w:val="004F02D3"/>
    <w:rsid w:val="004F5E36"/>
    <w:rsid w:val="00503AF3"/>
    <w:rsid w:val="00507B47"/>
    <w:rsid w:val="00507BEF"/>
    <w:rsid w:val="00507CC9"/>
    <w:rsid w:val="005119A5"/>
    <w:rsid w:val="005164EA"/>
    <w:rsid w:val="00516FE3"/>
    <w:rsid w:val="005278B7"/>
    <w:rsid w:val="00532016"/>
    <w:rsid w:val="00534125"/>
    <w:rsid w:val="005346C8"/>
    <w:rsid w:val="00543E7D"/>
    <w:rsid w:val="00547A68"/>
    <w:rsid w:val="005531C9"/>
    <w:rsid w:val="00554879"/>
    <w:rsid w:val="00570C43"/>
    <w:rsid w:val="005849C0"/>
    <w:rsid w:val="00592258"/>
    <w:rsid w:val="00592274"/>
    <w:rsid w:val="005A03C1"/>
    <w:rsid w:val="005B2110"/>
    <w:rsid w:val="005B350B"/>
    <w:rsid w:val="005B61E6"/>
    <w:rsid w:val="005C71F2"/>
    <w:rsid w:val="005C77E1"/>
    <w:rsid w:val="005D668A"/>
    <w:rsid w:val="005D6A2F"/>
    <w:rsid w:val="005E0592"/>
    <w:rsid w:val="005E1A82"/>
    <w:rsid w:val="005E794C"/>
    <w:rsid w:val="005F0A28"/>
    <w:rsid w:val="005F0E5E"/>
    <w:rsid w:val="00600535"/>
    <w:rsid w:val="00610C5B"/>
    <w:rsid w:val="00610CD6"/>
    <w:rsid w:val="00611BBC"/>
    <w:rsid w:val="00620DEE"/>
    <w:rsid w:val="00621F92"/>
    <w:rsid w:val="0062280A"/>
    <w:rsid w:val="006231E1"/>
    <w:rsid w:val="00625639"/>
    <w:rsid w:val="00625717"/>
    <w:rsid w:val="00631B33"/>
    <w:rsid w:val="0064184D"/>
    <w:rsid w:val="006422CC"/>
    <w:rsid w:val="00643027"/>
    <w:rsid w:val="0064732A"/>
    <w:rsid w:val="0065064D"/>
    <w:rsid w:val="00651D18"/>
    <w:rsid w:val="00657E80"/>
    <w:rsid w:val="00660E3E"/>
    <w:rsid w:val="00662E74"/>
    <w:rsid w:val="00666A4B"/>
    <w:rsid w:val="00671060"/>
    <w:rsid w:val="00680C23"/>
    <w:rsid w:val="00683E23"/>
    <w:rsid w:val="00693766"/>
    <w:rsid w:val="006A3281"/>
    <w:rsid w:val="006A4E0F"/>
    <w:rsid w:val="006A6DE5"/>
    <w:rsid w:val="006B0C14"/>
    <w:rsid w:val="006B34FF"/>
    <w:rsid w:val="006B4175"/>
    <w:rsid w:val="006B4888"/>
    <w:rsid w:val="006C2E45"/>
    <w:rsid w:val="006C359C"/>
    <w:rsid w:val="006C5579"/>
    <w:rsid w:val="006D4B2D"/>
    <w:rsid w:val="006D65D8"/>
    <w:rsid w:val="006D6E8B"/>
    <w:rsid w:val="006D7209"/>
    <w:rsid w:val="006E315F"/>
    <w:rsid w:val="006E63CF"/>
    <w:rsid w:val="006E6BCA"/>
    <w:rsid w:val="006E737D"/>
    <w:rsid w:val="006F0454"/>
    <w:rsid w:val="006F5BFF"/>
    <w:rsid w:val="0070680A"/>
    <w:rsid w:val="00707DD1"/>
    <w:rsid w:val="00713973"/>
    <w:rsid w:val="007201E5"/>
    <w:rsid w:val="00720A24"/>
    <w:rsid w:val="00720D0C"/>
    <w:rsid w:val="007226E2"/>
    <w:rsid w:val="007255EC"/>
    <w:rsid w:val="00732386"/>
    <w:rsid w:val="007349A6"/>
    <w:rsid w:val="0073514D"/>
    <w:rsid w:val="007447F3"/>
    <w:rsid w:val="00746957"/>
    <w:rsid w:val="00751C56"/>
    <w:rsid w:val="00753AF6"/>
    <w:rsid w:val="0075499F"/>
    <w:rsid w:val="007617D3"/>
    <w:rsid w:val="007661C8"/>
    <w:rsid w:val="0077098D"/>
    <w:rsid w:val="00781A7E"/>
    <w:rsid w:val="00781C69"/>
    <w:rsid w:val="00782FDF"/>
    <w:rsid w:val="00785BF9"/>
    <w:rsid w:val="007875C8"/>
    <w:rsid w:val="00790768"/>
    <w:rsid w:val="007931FA"/>
    <w:rsid w:val="00794F5E"/>
    <w:rsid w:val="00797D69"/>
    <w:rsid w:val="007A4861"/>
    <w:rsid w:val="007A7BBA"/>
    <w:rsid w:val="007B0C50"/>
    <w:rsid w:val="007B48F9"/>
    <w:rsid w:val="007C0EF4"/>
    <w:rsid w:val="007C1A43"/>
    <w:rsid w:val="007C3266"/>
    <w:rsid w:val="007D066B"/>
    <w:rsid w:val="007D0951"/>
    <w:rsid w:val="007D610D"/>
    <w:rsid w:val="007D6A35"/>
    <w:rsid w:val="007E5870"/>
    <w:rsid w:val="007E7339"/>
    <w:rsid w:val="0080013E"/>
    <w:rsid w:val="00801759"/>
    <w:rsid w:val="00813270"/>
    <w:rsid w:val="00813288"/>
    <w:rsid w:val="008168FC"/>
    <w:rsid w:val="00830996"/>
    <w:rsid w:val="008345F1"/>
    <w:rsid w:val="00853CC2"/>
    <w:rsid w:val="008630A9"/>
    <w:rsid w:val="00865B07"/>
    <w:rsid w:val="008667EA"/>
    <w:rsid w:val="0087637F"/>
    <w:rsid w:val="00881C61"/>
    <w:rsid w:val="008832AA"/>
    <w:rsid w:val="008911E5"/>
    <w:rsid w:val="008913B7"/>
    <w:rsid w:val="00892AD5"/>
    <w:rsid w:val="008937A1"/>
    <w:rsid w:val="00895E39"/>
    <w:rsid w:val="008A1512"/>
    <w:rsid w:val="008B1C7A"/>
    <w:rsid w:val="008B2DC0"/>
    <w:rsid w:val="008C2409"/>
    <w:rsid w:val="008D32B9"/>
    <w:rsid w:val="008D433B"/>
    <w:rsid w:val="008D4A16"/>
    <w:rsid w:val="008E5401"/>
    <w:rsid w:val="008E566E"/>
    <w:rsid w:val="008E6919"/>
    <w:rsid w:val="008E6D2E"/>
    <w:rsid w:val="0090161A"/>
    <w:rsid w:val="00901EB6"/>
    <w:rsid w:val="009041F8"/>
    <w:rsid w:val="00904C62"/>
    <w:rsid w:val="00906BF7"/>
    <w:rsid w:val="009120F7"/>
    <w:rsid w:val="00916E9F"/>
    <w:rsid w:val="009208A8"/>
    <w:rsid w:val="00922BA8"/>
    <w:rsid w:val="00923D8D"/>
    <w:rsid w:val="00924DAC"/>
    <w:rsid w:val="0092539A"/>
    <w:rsid w:val="00927058"/>
    <w:rsid w:val="00933D61"/>
    <w:rsid w:val="0093628B"/>
    <w:rsid w:val="00942750"/>
    <w:rsid w:val="00943B30"/>
    <w:rsid w:val="009450CE"/>
    <w:rsid w:val="009459BB"/>
    <w:rsid w:val="00947179"/>
    <w:rsid w:val="0095164B"/>
    <w:rsid w:val="00954090"/>
    <w:rsid w:val="009573E7"/>
    <w:rsid w:val="00962152"/>
    <w:rsid w:val="00963E05"/>
    <w:rsid w:val="00964970"/>
    <w:rsid w:val="00964A45"/>
    <w:rsid w:val="00967843"/>
    <w:rsid w:val="00967D54"/>
    <w:rsid w:val="00971028"/>
    <w:rsid w:val="00985E5C"/>
    <w:rsid w:val="00993B84"/>
    <w:rsid w:val="00994C6A"/>
    <w:rsid w:val="00996483"/>
    <w:rsid w:val="00996B29"/>
    <w:rsid w:val="00996F5A"/>
    <w:rsid w:val="009A7B17"/>
    <w:rsid w:val="009B041A"/>
    <w:rsid w:val="009B1D86"/>
    <w:rsid w:val="009B1EBA"/>
    <w:rsid w:val="009C3553"/>
    <w:rsid w:val="009C37C3"/>
    <w:rsid w:val="009C5B37"/>
    <w:rsid w:val="009C7C86"/>
    <w:rsid w:val="009D2113"/>
    <w:rsid w:val="009D2FF7"/>
    <w:rsid w:val="009E7884"/>
    <w:rsid w:val="009E788A"/>
    <w:rsid w:val="009F0E08"/>
    <w:rsid w:val="00A079AE"/>
    <w:rsid w:val="00A168D9"/>
    <w:rsid w:val="00A1763D"/>
    <w:rsid w:val="00A17CEC"/>
    <w:rsid w:val="00A2387A"/>
    <w:rsid w:val="00A27EF0"/>
    <w:rsid w:val="00A3587C"/>
    <w:rsid w:val="00A377A5"/>
    <w:rsid w:val="00A42361"/>
    <w:rsid w:val="00A45993"/>
    <w:rsid w:val="00A46407"/>
    <w:rsid w:val="00A476B3"/>
    <w:rsid w:val="00A47CB2"/>
    <w:rsid w:val="00A50B20"/>
    <w:rsid w:val="00A51390"/>
    <w:rsid w:val="00A60D13"/>
    <w:rsid w:val="00A62125"/>
    <w:rsid w:val="00A7223D"/>
    <w:rsid w:val="00A72745"/>
    <w:rsid w:val="00A76EFC"/>
    <w:rsid w:val="00A81506"/>
    <w:rsid w:val="00A87D50"/>
    <w:rsid w:val="00A91010"/>
    <w:rsid w:val="00A97F29"/>
    <w:rsid w:val="00AA3D28"/>
    <w:rsid w:val="00AA4E07"/>
    <w:rsid w:val="00AA702E"/>
    <w:rsid w:val="00AA7A9B"/>
    <w:rsid w:val="00AA7D26"/>
    <w:rsid w:val="00AB0964"/>
    <w:rsid w:val="00AB5011"/>
    <w:rsid w:val="00AB73F2"/>
    <w:rsid w:val="00AC7368"/>
    <w:rsid w:val="00AD0482"/>
    <w:rsid w:val="00AD16B9"/>
    <w:rsid w:val="00AD7216"/>
    <w:rsid w:val="00AE377D"/>
    <w:rsid w:val="00AF0EBA"/>
    <w:rsid w:val="00AF2463"/>
    <w:rsid w:val="00AF3C82"/>
    <w:rsid w:val="00AF6B0C"/>
    <w:rsid w:val="00B02C8A"/>
    <w:rsid w:val="00B073EE"/>
    <w:rsid w:val="00B17FBD"/>
    <w:rsid w:val="00B23486"/>
    <w:rsid w:val="00B262C8"/>
    <w:rsid w:val="00B26E91"/>
    <w:rsid w:val="00B27D8C"/>
    <w:rsid w:val="00B315A6"/>
    <w:rsid w:val="00B31813"/>
    <w:rsid w:val="00B33365"/>
    <w:rsid w:val="00B41175"/>
    <w:rsid w:val="00B42E5D"/>
    <w:rsid w:val="00B46227"/>
    <w:rsid w:val="00B47F16"/>
    <w:rsid w:val="00B57B36"/>
    <w:rsid w:val="00B57E6F"/>
    <w:rsid w:val="00B60CA7"/>
    <w:rsid w:val="00B63142"/>
    <w:rsid w:val="00B70445"/>
    <w:rsid w:val="00B74581"/>
    <w:rsid w:val="00B8525A"/>
    <w:rsid w:val="00B8686D"/>
    <w:rsid w:val="00B91182"/>
    <w:rsid w:val="00B93F69"/>
    <w:rsid w:val="00B94445"/>
    <w:rsid w:val="00BA309B"/>
    <w:rsid w:val="00BA7B55"/>
    <w:rsid w:val="00BB1DDC"/>
    <w:rsid w:val="00BB5EC0"/>
    <w:rsid w:val="00BC30C9"/>
    <w:rsid w:val="00BC390A"/>
    <w:rsid w:val="00BC6F34"/>
    <w:rsid w:val="00BD077D"/>
    <w:rsid w:val="00BD39FF"/>
    <w:rsid w:val="00BE3E58"/>
    <w:rsid w:val="00BE44E0"/>
    <w:rsid w:val="00BE670D"/>
    <w:rsid w:val="00BF13CE"/>
    <w:rsid w:val="00BF7011"/>
    <w:rsid w:val="00C0027B"/>
    <w:rsid w:val="00C01616"/>
    <w:rsid w:val="00C0162B"/>
    <w:rsid w:val="00C068ED"/>
    <w:rsid w:val="00C07168"/>
    <w:rsid w:val="00C0792D"/>
    <w:rsid w:val="00C07D71"/>
    <w:rsid w:val="00C22E0C"/>
    <w:rsid w:val="00C25B11"/>
    <w:rsid w:val="00C32C7D"/>
    <w:rsid w:val="00C345B1"/>
    <w:rsid w:val="00C40142"/>
    <w:rsid w:val="00C51622"/>
    <w:rsid w:val="00C52C3C"/>
    <w:rsid w:val="00C53E8D"/>
    <w:rsid w:val="00C56050"/>
    <w:rsid w:val="00C57182"/>
    <w:rsid w:val="00C57863"/>
    <w:rsid w:val="00C640AF"/>
    <w:rsid w:val="00C655FD"/>
    <w:rsid w:val="00C70629"/>
    <w:rsid w:val="00C71062"/>
    <w:rsid w:val="00C71914"/>
    <w:rsid w:val="00C75407"/>
    <w:rsid w:val="00C75593"/>
    <w:rsid w:val="00C75755"/>
    <w:rsid w:val="00C81E7D"/>
    <w:rsid w:val="00C825B7"/>
    <w:rsid w:val="00C83CEE"/>
    <w:rsid w:val="00C841C6"/>
    <w:rsid w:val="00C85AB0"/>
    <w:rsid w:val="00C861B4"/>
    <w:rsid w:val="00C870A8"/>
    <w:rsid w:val="00C933AB"/>
    <w:rsid w:val="00C94434"/>
    <w:rsid w:val="00CA0D75"/>
    <w:rsid w:val="00CA1C95"/>
    <w:rsid w:val="00CA3E85"/>
    <w:rsid w:val="00CA5A9C"/>
    <w:rsid w:val="00CB1610"/>
    <w:rsid w:val="00CB475A"/>
    <w:rsid w:val="00CB648A"/>
    <w:rsid w:val="00CC4C20"/>
    <w:rsid w:val="00CD0F4F"/>
    <w:rsid w:val="00CD111B"/>
    <w:rsid w:val="00CD3517"/>
    <w:rsid w:val="00CD5FE2"/>
    <w:rsid w:val="00CE6C31"/>
    <w:rsid w:val="00CE7C68"/>
    <w:rsid w:val="00D02B4C"/>
    <w:rsid w:val="00D02C9E"/>
    <w:rsid w:val="00D040C4"/>
    <w:rsid w:val="00D13593"/>
    <w:rsid w:val="00D20AD1"/>
    <w:rsid w:val="00D2582C"/>
    <w:rsid w:val="00D25F20"/>
    <w:rsid w:val="00D326B4"/>
    <w:rsid w:val="00D331E7"/>
    <w:rsid w:val="00D454A0"/>
    <w:rsid w:val="00D4600B"/>
    <w:rsid w:val="00D46B7E"/>
    <w:rsid w:val="00D47A0C"/>
    <w:rsid w:val="00D50B59"/>
    <w:rsid w:val="00D53887"/>
    <w:rsid w:val="00D57C84"/>
    <w:rsid w:val="00D60225"/>
    <w:rsid w:val="00D6057D"/>
    <w:rsid w:val="00D71640"/>
    <w:rsid w:val="00D73FD9"/>
    <w:rsid w:val="00D748B1"/>
    <w:rsid w:val="00D775AE"/>
    <w:rsid w:val="00D836C5"/>
    <w:rsid w:val="00D84576"/>
    <w:rsid w:val="00D95F44"/>
    <w:rsid w:val="00DA1399"/>
    <w:rsid w:val="00DA1CF8"/>
    <w:rsid w:val="00DA24C6"/>
    <w:rsid w:val="00DA4D7B"/>
    <w:rsid w:val="00DA6CCE"/>
    <w:rsid w:val="00DB0D6E"/>
    <w:rsid w:val="00DC2840"/>
    <w:rsid w:val="00DC73EE"/>
    <w:rsid w:val="00DD271C"/>
    <w:rsid w:val="00DD62F1"/>
    <w:rsid w:val="00DE264A"/>
    <w:rsid w:val="00DE30E2"/>
    <w:rsid w:val="00DE561D"/>
    <w:rsid w:val="00DF2385"/>
    <w:rsid w:val="00DF5072"/>
    <w:rsid w:val="00E02D18"/>
    <w:rsid w:val="00E041E7"/>
    <w:rsid w:val="00E05269"/>
    <w:rsid w:val="00E0731A"/>
    <w:rsid w:val="00E22A9C"/>
    <w:rsid w:val="00E23CA1"/>
    <w:rsid w:val="00E263B8"/>
    <w:rsid w:val="00E31579"/>
    <w:rsid w:val="00E31B60"/>
    <w:rsid w:val="00E35328"/>
    <w:rsid w:val="00E409A8"/>
    <w:rsid w:val="00E50C12"/>
    <w:rsid w:val="00E51F80"/>
    <w:rsid w:val="00E574AD"/>
    <w:rsid w:val="00E60DFF"/>
    <w:rsid w:val="00E65B91"/>
    <w:rsid w:val="00E7209D"/>
    <w:rsid w:val="00E72A2F"/>
    <w:rsid w:val="00E72EAD"/>
    <w:rsid w:val="00E753FC"/>
    <w:rsid w:val="00E77223"/>
    <w:rsid w:val="00E8528B"/>
    <w:rsid w:val="00E85B94"/>
    <w:rsid w:val="00E94EF1"/>
    <w:rsid w:val="00E9625F"/>
    <w:rsid w:val="00E978D0"/>
    <w:rsid w:val="00EA4613"/>
    <w:rsid w:val="00EA7F91"/>
    <w:rsid w:val="00EB1523"/>
    <w:rsid w:val="00EC0E49"/>
    <w:rsid w:val="00EC101F"/>
    <w:rsid w:val="00EC1D9F"/>
    <w:rsid w:val="00EC5714"/>
    <w:rsid w:val="00ED3C03"/>
    <w:rsid w:val="00ED43AF"/>
    <w:rsid w:val="00EE0131"/>
    <w:rsid w:val="00EE17B0"/>
    <w:rsid w:val="00EE63F3"/>
    <w:rsid w:val="00EF06D9"/>
    <w:rsid w:val="00F2125A"/>
    <w:rsid w:val="00F3049E"/>
    <w:rsid w:val="00F30C64"/>
    <w:rsid w:val="00F30FA2"/>
    <w:rsid w:val="00F32BA2"/>
    <w:rsid w:val="00F32CDB"/>
    <w:rsid w:val="00F35DF1"/>
    <w:rsid w:val="00F4071F"/>
    <w:rsid w:val="00F41EE4"/>
    <w:rsid w:val="00F562C8"/>
    <w:rsid w:val="00F565FE"/>
    <w:rsid w:val="00F6103C"/>
    <w:rsid w:val="00F63A70"/>
    <w:rsid w:val="00F63D8C"/>
    <w:rsid w:val="00F63F59"/>
    <w:rsid w:val="00F655D3"/>
    <w:rsid w:val="00F65C28"/>
    <w:rsid w:val="00F7534E"/>
    <w:rsid w:val="00F837E3"/>
    <w:rsid w:val="00F92FA8"/>
    <w:rsid w:val="00F93EDF"/>
    <w:rsid w:val="00FA0052"/>
    <w:rsid w:val="00FA1802"/>
    <w:rsid w:val="00FA21D0"/>
    <w:rsid w:val="00FA5F5F"/>
    <w:rsid w:val="00FB730C"/>
    <w:rsid w:val="00FC2695"/>
    <w:rsid w:val="00FC3E03"/>
    <w:rsid w:val="00FC3FC1"/>
    <w:rsid w:val="00FD0EFD"/>
    <w:rsid w:val="00FD1871"/>
    <w:rsid w:val="00FD18E8"/>
    <w:rsid w:val="00FD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2AE0CC22"/>
  <w14:defaultImageDpi w14:val="330"/>
  <w15:docId w15:val="{0B95FB59-9D38-42B5-B090-D2348EE1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qFormat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qFormat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qFormat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autoRedefine/>
    <w:qFormat/>
    <w:rsid w:val="00FA5F5F"/>
    <w:pPr>
      <w:keepNext/>
      <w:numPr>
        <w:ilvl w:val="2"/>
        <w:numId w:val="1"/>
      </w:numPr>
      <w:suppressAutoHyphens/>
      <w:spacing w:before="120" w:after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qFormat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qFormat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Caption">
    <w:name w:val="CET Caption"/>
    <w:link w:val="CETCaptionCarattere"/>
    <w:qFormat/>
    <w:rsid w:val="00F7534E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CETheadingxCarattere">
    <w:name w:val="CET headingx Carattere"/>
    <w:link w:val="CETheadingx"/>
    <w:rsid w:val="00FA5F5F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F7534E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4577FE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CETReferencetext"/>
    <w:uiPriority w:val="37"/>
    <w:unhideWhenUsed/>
    <w:rsid w:val="00631B33"/>
    <w:pPr>
      <w:spacing w:line="240" w:lineRule="auto"/>
      <w:ind w:left="720" w:hanging="720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unhideWhenUsed/>
    <w:qFormat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unhideWhenUs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rsid w:val="00901EB6"/>
    <w:rPr>
      <w:b/>
    </w:rPr>
  </w:style>
  <w:style w:type="paragraph" w:customStyle="1" w:styleId="CETnumberingbullets">
    <w:name w:val="CET numbering (bullets)"/>
    <w:rsid w:val="008D433B"/>
    <w:pPr>
      <w:numPr>
        <w:numId w:val="13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B57B36"/>
    <w:pPr>
      <w:numPr>
        <w:numId w:val="14"/>
      </w:numPr>
      <w:spacing w:after="0" w:line="264" w:lineRule="auto"/>
      <w:ind w:left="340" w:hanging="22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B57B36"/>
    <w:pPr>
      <w:numPr>
        <w:numId w:val="15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04C62"/>
    <w:rPr>
      <w:color w:val="0000FF" w:themeColor="hyperlink"/>
      <w:u w:val="single"/>
    </w:rPr>
  </w:style>
  <w:style w:type="character" w:customStyle="1" w:styleId="eudoraheader">
    <w:name w:val="eudoraheader"/>
    <w:basedOn w:val="Carpredefinitoparagrafo"/>
    <w:rsid w:val="00904C62"/>
  </w:style>
  <w:style w:type="paragraph" w:customStyle="1" w:styleId="CETListbullets">
    <w:name w:val="CET List bullets"/>
    <w:qFormat/>
    <w:rsid w:val="004577FE"/>
    <w:pPr>
      <w:spacing w:after="0" w:line="264" w:lineRule="auto"/>
      <w:ind w:left="340" w:hanging="227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Referencetext">
    <w:name w:val="CET Reference text"/>
    <w:qFormat/>
    <w:rsid w:val="00600535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Tabletitle">
    <w:name w:val="CET Table title"/>
    <w:qFormat/>
    <w:rsid w:val="00600535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Acknowledgementstitle">
    <w:name w:val="CET Acknowledgements title"/>
    <w:next w:val="CETBodytext"/>
    <w:qFormat/>
    <w:rsid w:val="0060053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Equation">
    <w:name w:val="CET Equation"/>
    <w:basedOn w:val="CETBodytext"/>
    <w:next w:val="CETBodytext"/>
    <w:qFormat/>
    <w:rsid w:val="00600535"/>
    <w:pPr>
      <w:spacing w:before="120" w:after="120"/>
      <w:jc w:val="left"/>
    </w:pPr>
    <w:rPr>
      <w:lang w:val="en-GB"/>
    </w:rPr>
  </w:style>
  <w:style w:type="paragraph" w:customStyle="1" w:styleId="CETHeadingxx">
    <w:name w:val="CET Headingxx"/>
    <w:basedOn w:val="CETheadingx"/>
    <w:link w:val="CETHeadingxxChar"/>
    <w:qFormat/>
    <w:rsid w:val="000F787B"/>
    <w:pPr>
      <w:numPr>
        <w:ilvl w:val="0"/>
        <w:numId w:val="0"/>
      </w:numPr>
    </w:pPr>
  </w:style>
  <w:style w:type="character" w:customStyle="1" w:styleId="CETHeadingxxChar">
    <w:name w:val="CET Headingxx Char"/>
    <w:basedOn w:val="CETheadingxCarattere"/>
    <w:link w:val="CETHeadingxx"/>
    <w:rsid w:val="000F787B"/>
    <w:rPr>
      <w:rFonts w:ascii="Arial" w:eastAsia="Times New Roman" w:hAnsi="Arial" w:cs="Times New Roman"/>
      <w:b/>
      <w:sz w:val="18"/>
      <w:szCs w:val="20"/>
      <w:lang w:val="en-US"/>
    </w:rPr>
  </w:style>
  <w:style w:type="paragraph" w:styleId="Paragrafoelenco">
    <w:name w:val="List Paragraph"/>
    <w:basedOn w:val="Normale"/>
    <w:uiPriority w:val="34"/>
    <w:rsid w:val="00280FAF"/>
    <w:pPr>
      <w:ind w:left="720"/>
      <w:contextualSpacing/>
    </w:pPr>
  </w:style>
  <w:style w:type="character" w:customStyle="1" w:styleId="gmail-apple-converted-space">
    <w:name w:val="gmail-apple-converted-space"/>
    <w:basedOn w:val="Carpredefinitoparagrafo"/>
    <w:rsid w:val="00005A19"/>
  </w:style>
  <w:style w:type="character" w:styleId="Menzionenonrisolta">
    <w:name w:val="Unresolved Mention"/>
    <w:basedOn w:val="Carpredefinitoparagrafo"/>
    <w:uiPriority w:val="99"/>
    <w:semiHidden/>
    <w:unhideWhenUsed/>
    <w:rsid w:val="00194791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0D2CE4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7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0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6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7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4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9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www.methanol.org/methanol-price-supply-demand/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10" Type="http://schemas.openxmlformats.org/officeDocument/2006/relationships/hyperlink" Target="mailto:grazia.leonzio@unica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H:\UniCa\UniCagliari\Bando%20Musa\Simulazioni\reattore%20doppio%20stadio\Simulazioni%20Reattore_44%20tubi\OK%20SIMULAZIONE%2044%20TUBI\Dati%20reattore%20acqua%20E2DT%20conf3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H:\UniCa\UniCagliari\Bando%20Musa\Simulazioni\reattore%20doppio%20stadio\Simulazioni%20Reattore_44%20tubi\OK%20SIMULAZIONE%2044%20TUBI\Dati%20reattore%20acqua%20E2DT%20conf3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H:\UniCa\UniCagliari\Bando%20Musa\Simulazioni\reattore%20doppio%20stadio\Simulazioni%20Reattore_44%20tubi\OK%20SIMULAZIONE%2044%20TUBI\Dati%20reattore%20acqua%20E2DT%20conf3.xlsx" TargetMode="Externa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H:\UniCa\UniCagliari\Bando%20Musa\Simulazioni\reattore%20doppio%20stadio\Simulazioni%20Reattore_44%20tubi\OK%20SIMULAZIONE%2044%20TUBI\Dati%20reattore%20acqua%20E2DT%20conf3.xlsx" TargetMode="Externa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chartUserShapes" Target="../drawings/drawing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320910678020452"/>
          <c:y val="6.274957216200798E-2"/>
          <c:w val="0.78601026116079387"/>
          <c:h val="0.68218576927741414"/>
        </c:manualLayout>
      </c:layout>
      <c:scatterChart>
        <c:scatterStyle val="smoothMarker"/>
        <c:varyColors val="0"/>
        <c:ser>
          <c:idx val="0"/>
          <c:order val="0"/>
          <c:tx>
            <c:strRef>
              <c:f>water!$D$5</c:f>
              <c:strCache>
                <c:ptCount val="1"/>
                <c:pt idx="0">
                  <c:v>CO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triang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water!$C$6:$C$16</c:f>
              <c:numCache>
                <c:formatCode>General</c:formatCode>
                <c:ptCount val="11"/>
                <c:pt idx="0">
                  <c:v>0</c:v>
                </c:pt>
                <c:pt idx="1">
                  <c:v>0.06</c:v>
                </c:pt>
                <c:pt idx="2">
                  <c:v>0.12</c:v>
                </c:pt>
                <c:pt idx="3">
                  <c:v>0.18</c:v>
                </c:pt>
                <c:pt idx="4">
                  <c:v>0.24</c:v>
                </c:pt>
                <c:pt idx="5">
                  <c:v>0.3</c:v>
                </c:pt>
                <c:pt idx="6">
                  <c:v>0.36</c:v>
                </c:pt>
                <c:pt idx="7">
                  <c:v>0.42</c:v>
                </c:pt>
                <c:pt idx="8">
                  <c:v>0.48</c:v>
                </c:pt>
                <c:pt idx="9">
                  <c:v>0.54</c:v>
                </c:pt>
                <c:pt idx="10">
                  <c:v>0.6</c:v>
                </c:pt>
              </c:numCache>
            </c:numRef>
          </c:xVal>
          <c:yVal>
            <c:numRef>
              <c:f>water!$D$6:$D$16</c:f>
              <c:numCache>
                <c:formatCode>General</c:formatCode>
                <c:ptCount val="11"/>
                <c:pt idx="0">
                  <c:v>26.734500000000001</c:v>
                </c:pt>
                <c:pt idx="1">
                  <c:v>25.3978</c:v>
                </c:pt>
                <c:pt idx="2">
                  <c:v>23.8886</c:v>
                </c:pt>
                <c:pt idx="3">
                  <c:v>22.4587</c:v>
                </c:pt>
                <c:pt idx="4">
                  <c:v>21.102799999999998</c:v>
                </c:pt>
                <c:pt idx="5">
                  <c:v>19.816500000000001</c:v>
                </c:pt>
                <c:pt idx="6">
                  <c:v>18.596499999999999</c:v>
                </c:pt>
                <c:pt idx="7">
                  <c:v>17.439499999999999</c:v>
                </c:pt>
                <c:pt idx="8">
                  <c:v>16.343</c:v>
                </c:pt>
                <c:pt idx="9">
                  <c:v>15.304500000000001</c:v>
                </c:pt>
                <c:pt idx="10">
                  <c:v>14.3218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63AD-4130-AC89-67657FD69C12}"/>
            </c:ext>
          </c:extLst>
        </c:ser>
        <c:ser>
          <c:idx val="1"/>
          <c:order val="1"/>
          <c:tx>
            <c:strRef>
              <c:f>water!$E$5</c:f>
              <c:strCache>
                <c:ptCount val="1"/>
                <c:pt idx="0">
                  <c:v>CO2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squar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water!$C$6:$C$16</c:f>
              <c:numCache>
                <c:formatCode>General</c:formatCode>
                <c:ptCount val="11"/>
                <c:pt idx="0">
                  <c:v>0</c:v>
                </c:pt>
                <c:pt idx="1">
                  <c:v>0.06</c:v>
                </c:pt>
                <c:pt idx="2">
                  <c:v>0.12</c:v>
                </c:pt>
                <c:pt idx="3">
                  <c:v>0.18</c:v>
                </c:pt>
                <c:pt idx="4">
                  <c:v>0.24</c:v>
                </c:pt>
                <c:pt idx="5">
                  <c:v>0.3</c:v>
                </c:pt>
                <c:pt idx="6">
                  <c:v>0.36</c:v>
                </c:pt>
                <c:pt idx="7">
                  <c:v>0.42</c:v>
                </c:pt>
                <c:pt idx="8">
                  <c:v>0.48</c:v>
                </c:pt>
                <c:pt idx="9">
                  <c:v>0.54</c:v>
                </c:pt>
                <c:pt idx="10">
                  <c:v>0.6</c:v>
                </c:pt>
              </c:numCache>
            </c:numRef>
          </c:xVal>
          <c:yVal>
            <c:numRef>
              <c:f>water!$E$6:$E$16</c:f>
              <c:numCache>
                <c:formatCode>General</c:formatCode>
                <c:ptCount val="11"/>
                <c:pt idx="0">
                  <c:v>84.010300000000001</c:v>
                </c:pt>
                <c:pt idx="1">
                  <c:v>70.274299999999997</c:v>
                </c:pt>
                <c:pt idx="2">
                  <c:v>70.66</c:v>
                </c:pt>
                <c:pt idx="3">
                  <c:v>70.965599999999995</c:v>
                </c:pt>
                <c:pt idx="4">
                  <c:v>71.206100000000006</c:v>
                </c:pt>
                <c:pt idx="5">
                  <c:v>71.392700000000005</c:v>
                </c:pt>
                <c:pt idx="6">
                  <c:v>71.533600000000007</c:v>
                </c:pt>
                <c:pt idx="7">
                  <c:v>71.635300000000001</c:v>
                </c:pt>
                <c:pt idx="8">
                  <c:v>71.702799999999996</c:v>
                </c:pt>
                <c:pt idx="9">
                  <c:v>71.740200000000002</c:v>
                </c:pt>
                <c:pt idx="10">
                  <c:v>71.751199999999997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63AD-4130-AC89-67657FD69C12}"/>
            </c:ext>
          </c:extLst>
        </c:ser>
        <c:ser>
          <c:idx val="2"/>
          <c:order val="2"/>
          <c:tx>
            <c:v>MeOH</c:v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diamond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water!$C$6:$C$16</c:f>
              <c:numCache>
                <c:formatCode>General</c:formatCode>
                <c:ptCount val="11"/>
                <c:pt idx="0">
                  <c:v>0</c:v>
                </c:pt>
                <c:pt idx="1">
                  <c:v>0.06</c:v>
                </c:pt>
                <c:pt idx="2">
                  <c:v>0.12</c:v>
                </c:pt>
                <c:pt idx="3">
                  <c:v>0.18</c:v>
                </c:pt>
                <c:pt idx="4">
                  <c:v>0.24</c:v>
                </c:pt>
                <c:pt idx="5">
                  <c:v>0.3</c:v>
                </c:pt>
                <c:pt idx="6">
                  <c:v>0.36</c:v>
                </c:pt>
                <c:pt idx="7">
                  <c:v>0.42</c:v>
                </c:pt>
                <c:pt idx="8">
                  <c:v>0.48</c:v>
                </c:pt>
                <c:pt idx="9">
                  <c:v>0.54</c:v>
                </c:pt>
                <c:pt idx="10">
                  <c:v>0.6</c:v>
                </c:pt>
              </c:numCache>
            </c:numRef>
          </c:xVal>
          <c:yVal>
            <c:numRef>
              <c:f>water!$F$6:$F$16</c:f>
              <c:numCache>
                <c:formatCode>General</c:formatCode>
                <c:ptCount val="11"/>
                <c:pt idx="0">
                  <c:v>0</c:v>
                </c:pt>
                <c:pt idx="1">
                  <c:v>11.5299</c:v>
                </c:pt>
                <c:pt idx="2">
                  <c:v>12.9755</c:v>
                </c:pt>
                <c:pt idx="3">
                  <c:v>14.3887</c:v>
                </c:pt>
                <c:pt idx="4">
                  <c:v>15.764699999999999</c:v>
                </c:pt>
                <c:pt idx="5">
                  <c:v>17.100200000000001</c:v>
                </c:pt>
                <c:pt idx="6">
                  <c:v>18.3933</c:v>
                </c:pt>
                <c:pt idx="7">
                  <c:v>19.642800000000001</c:v>
                </c:pt>
                <c:pt idx="8">
                  <c:v>20.848099999999999</c:v>
                </c:pt>
                <c:pt idx="9">
                  <c:v>22.008800000000001</c:v>
                </c:pt>
                <c:pt idx="10">
                  <c:v>23.1249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63AD-4130-AC89-67657FD69C12}"/>
            </c:ext>
          </c:extLst>
        </c:ser>
        <c:ser>
          <c:idx val="3"/>
          <c:order val="3"/>
          <c:tx>
            <c:strRef>
              <c:f>water!$G$5</c:f>
              <c:strCache>
                <c:ptCount val="1"/>
                <c:pt idx="0">
                  <c:v>H2O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xVal>
            <c:numRef>
              <c:f>water!$C$6:$C$16</c:f>
              <c:numCache>
                <c:formatCode>General</c:formatCode>
                <c:ptCount val="11"/>
                <c:pt idx="0">
                  <c:v>0</c:v>
                </c:pt>
                <c:pt idx="1">
                  <c:v>0.06</c:v>
                </c:pt>
                <c:pt idx="2">
                  <c:v>0.12</c:v>
                </c:pt>
                <c:pt idx="3">
                  <c:v>0.18</c:v>
                </c:pt>
                <c:pt idx="4">
                  <c:v>0.24</c:v>
                </c:pt>
                <c:pt idx="5">
                  <c:v>0.3</c:v>
                </c:pt>
                <c:pt idx="6">
                  <c:v>0.36</c:v>
                </c:pt>
                <c:pt idx="7">
                  <c:v>0.42</c:v>
                </c:pt>
                <c:pt idx="8">
                  <c:v>0.48</c:v>
                </c:pt>
                <c:pt idx="9">
                  <c:v>0.54</c:v>
                </c:pt>
                <c:pt idx="10">
                  <c:v>0.6</c:v>
                </c:pt>
              </c:numCache>
            </c:numRef>
          </c:xVal>
          <c:yVal>
            <c:numRef>
              <c:f>water!$G$6:$G$16</c:f>
              <c:numCache>
                <c:formatCode>General</c:formatCode>
                <c:ptCount val="11"/>
                <c:pt idx="0">
                  <c:v>0</c:v>
                </c:pt>
                <c:pt idx="1">
                  <c:v>5.6227999999999998</c:v>
                </c:pt>
                <c:pt idx="2">
                  <c:v>5.4649200000000002</c:v>
                </c:pt>
                <c:pt idx="3">
                  <c:v>5.3398199999999996</c:v>
                </c:pt>
                <c:pt idx="4">
                  <c:v>5.2413499999999997</c:v>
                </c:pt>
                <c:pt idx="5">
                  <c:v>5.1649799999999999</c:v>
                </c:pt>
                <c:pt idx="6">
                  <c:v>5.1073000000000004</c:v>
                </c:pt>
                <c:pt idx="7">
                  <c:v>5.06569</c:v>
                </c:pt>
                <c:pt idx="8">
                  <c:v>5.0380599999999998</c:v>
                </c:pt>
                <c:pt idx="9">
                  <c:v>5.02271</c:v>
                </c:pt>
                <c:pt idx="10">
                  <c:v>5.0182399999999996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63AD-4130-AC89-67657FD69C12}"/>
            </c:ext>
          </c:extLst>
        </c:ser>
        <c:ser>
          <c:idx val="4"/>
          <c:order val="4"/>
          <c:tx>
            <c:strRef>
              <c:f>water!$H$5</c:f>
              <c:strCache>
                <c:ptCount val="1"/>
                <c:pt idx="0">
                  <c:v>H2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dot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xVal>
            <c:numRef>
              <c:f>water!$C$6:$C$16</c:f>
              <c:numCache>
                <c:formatCode>General</c:formatCode>
                <c:ptCount val="11"/>
                <c:pt idx="0">
                  <c:v>0</c:v>
                </c:pt>
                <c:pt idx="1">
                  <c:v>0.06</c:v>
                </c:pt>
                <c:pt idx="2">
                  <c:v>0.12</c:v>
                </c:pt>
                <c:pt idx="3">
                  <c:v>0.18</c:v>
                </c:pt>
                <c:pt idx="4">
                  <c:v>0.24</c:v>
                </c:pt>
                <c:pt idx="5">
                  <c:v>0.3</c:v>
                </c:pt>
                <c:pt idx="6">
                  <c:v>0.36</c:v>
                </c:pt>
                <c:pt idx="7">
                  <c:v>0.42</c:v>
                </c:pt>
                <c:pt idx="8">
                  <c:v>0.48</c:v>
                </c:pt>
                <c:pt idx="9">
                  <c:v>0.54</c:v>
                </c:pt>
                <c:pt idx="10">
                  <c:v>0.6</c:v>
                </c:pt>
              </c:numCache>
            </c:numRef>
          </c:xVal>
          <c:yVal>
            <c:numRef>
              <c:f>water!$H$6:$H$16</c:f>
              <c:numCache>
                <c:formatCode>General</c:formatCode>
                <c:ptCount val="11"/>
                <c:pt idx="0">
                  <c:v>15.3925</c:v>
                </c:pt>
                <c:pt idx="1">
                  <c:v>13.3125</c:v>
                </c:pt>
                <c:pt idx="2">
                  <c:v>13.148300000000001</c:v>
                </c:pt>
                <c:pt idx="3">
                  <c:v>12.984500000000001</c:v>
                </c:pt>
                <c:pt idx="4">
                  <c:v>12.8223</c:v>
                </c:pt>
                <c:pt idx="5">
                  <c:v>12.662800000000001</c:v>
                </c:pt>
                <c:pt idx="6">
                  <c:v>12.506600000000001</c:v>
                </c:pt>
                <c:pt idx="7">
                  <c:v>12.353999999999999</c:v>
                </c:pt>
                <c:pt idx="8">
                  <c:v>12.205500000000001</c:v>
                </c:pt>
                <c:pt idx="9">
                  <c:v>12.0611</c:v>
                </c:pt>
                <c:pt idx="10">
                  <c:v>11.921200000000001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4-63AD-4130-AC89-67657FD69C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92453183"/>
        <c:axId val="1192463743"/>
      </c:scatterChart>
      <c:valAx>
        <c:axId val="1192453183"/>
        <c:scaling>
          <c:orientation val="minMax"/>
          <c:max val="0.60000000000000009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it-IT" sz="800" b="1">
                    <a:solidFill>
                      <a:schemeClr val="tx1"/>
                    </a:solidFill>
                  </a:rPr>
                  <a:t>Reactor length (m)</a:t>
                </a:r>
              </a:p>
            </c:rich>
          </c:tx>
          <c:layout>
            <c:manualLayout>
              <c:xMode val="edge"/>
              <c:yMode val="edge"/>
              <c:x val="0.38103324188548832"/>
              <c:y val="0.8104706891672768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92463743"/>
        <c:crosses val="autoZero"/>
        <c:crossBetween val="midCat"/>
      </c:valAx>
      <c:valAx>
        <c:axId val="1192463743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it-IT" sz="800" b="1">
                    <a:solidFill>
                      <a:schemeClr val="tx1"/>
                    </a:solidFill>
                  </a:rPr>
                  <a:t>Flow rate (kg/h)</a:t>
                </a:r>
              </a:p>
            </c:rich>
          </c:tx>
          <c:layout>
            <c:manualLayout>
              <c:xMode val="edge"/>
              <c:yMode val="edge"/>
              <c:x val="2.2624338976655407E-2"/>
              <c:y val="0.2194630715670926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92453183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54366257265246"/>
          <c:y val="6.5281899109792291E-2"/>
          <c:w val="0.76688860844990314"/>
          <c:h val="0.67529474987733362"/>
        </c:manualLayout>
      </c:layout>
      <c:scatterChart>
        <c:scatterStyle val="smoothMarker"/>
        <c:varyColors val="0"/>
        <c:ser>
          <c:idx val="0"/>
          <c:order val="0"/>
          <c:tx>
            <c:strRef>
              <c:f>Foglio2!$C$6</c:f>
              <c:strCache>
                <c:ptCount val="1"/>
                <c:pt idx="0">
                  <c:v>CO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triang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Foglio2!$B$7:$B$17</c:f>
              <c:numCache>
                <c:formatCode>General</c:formatCode>
                <c:ptCount val="11"/>
                <c:pt idx="0">
                  <c:v>0.6</c:v>
                </c:pt>
                <c:pt idx="1">
                  <c:v>0.84</c:v>
                </c:pt>
                <c:pt idx="2">
                  <c:v>1.08</c:v>
                </c:pt>
                <c:pt idx="3">
                  <c:v>1.32</c:v>
                </c:pt>
                <c:pt idx="4">
                  <c:v>1.56</c:v>
                </c:pt>
                <c:pt idx="5">
                  <c:v>1.8</c:v>
                </c:pt>
                <c:pt idx="6">
                  <c:v>2.04</c:v>
                </c:pt>
                <c:pt idx="7">
                  <c:v>2.2800000000000002</c:v>
                </c:pt>
                <c:pt idx="8">
                  <c:v>2.5200000000000005</c:v>
                </c:pt>
                <c:pt idx="9">
                  <c:v>2.7600000000000007</c:v>
                </c:pt>
                <c:pt idx="10">
                  <c:v>3.0000000000000009</c:v>
                </c:pt>
              </c:numCache>
            </c:numRef>
          </c:xVal>
          <c:yVal>
            <c:numRef>
              <c:f>Foglio2!$C$7:$C$17</c:f>
              <c:numCache>
                <c:formatCode>General</c:formatCode>
                <c:ptCount val="11"/>
                <c:pt idx="0">
                  <c:v>14.327500000000001</c:v>
                </c:pt>
                <c:pt idx="1">
                  <c:v>9.9811200000000007</c:v>
                </c:pt>
                <c:pt idx="2">
                  <c:v>7.1885500000000002</c:v>
                </c:pt>
                <c:pt idx="3">
                  <c:v>5.4820500000000001</c:v>
                </c:pt>
                <c:pt idx="4">
                  <c:v>4.4910500000000004</c:v>
                </c:pt>
                <c:pt idx="5">
                  <c:v>3.9396399999999998</c:v>
                </c:pt>
                <c:pt idx="6">
                  <c:v>3.64209</c:v>
                </c:pt>
                <c:pt idx="7">
                  <c:v>3.4844400000000002</c:v>
                </c:pt>
                <c:pt idx="8">
                  <c:v>3.4021699999999999</c:v>
                </c:pt>
                <c:pt idx="9">
                  <c:v>3.3594599999999999</c:v>
                </c:pt>
                <c:pt idx="10">
                  <c:v>3.33779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4F17-45A6-9D69-8A56AB2839C6}"/>
            </c:ext>
          </c:extLst>
        </c:ser>
        <c:ser>
          <c:idx val="1"/>
          <c:order val="1"/>
          <c:tx>
            <c:strRef>
              <c:f>Foglio2!$D$6</c:f>
              <c:strCache>
                <c:ptCount val="1"/>
                <c:pt idx="0">
                  <c:v>CO2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squar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Foglio2!$B$7:$B$17</c:f>
              <c:numCache>
                <c:formatCode>General</c:formatCode>
                <c:ptCount val="11"/>
                <c:pt idx="0">
                  <c:v>0.6</c:v>
                </c:pt>
                <c:pt idx="1">
                  <c:v>0.84</c:v>
                </c:pt>
                <c:pt idx="2">
                  <c:v>1.08</c:v>
                </c:pt>
                <c:pt idx="3">
                  <c:v>1.32</c:v>
                </c:pt>
                <c:pt idx="4">
                  <c:v>1.56</c:v>
                </c:pt>
                <c:pt idx="5">
                  <c:v>1.8</c:v>
                </c:pt>
                <c:pt idx="6">
                  <c:v>2.04</c:v>
                </c:pt>
                <c:pt idx="7">
                  <c:v>2.2800000000000002</c:v>
                </c:pt>
                <c:pt idx="8">
                  <c:v>2.5200000000000005</c:v>
                </c:pt>
                <c:pt idx="9">
                  <c:v>2.7600000000000007</c:v>
                </c:pt>
                <c:pt idx="10">
                  <c:v>3.0000000000000009</c:v>
                </c:pt>
              </c:numCache>
            </c:numRef>
          </c:xVal>
          <c:yVal>
            <c:numRef>
              <c:f>Foglio2!$D$7:$D$17</c:f>
              <c:numCache>
                <c:formatCode>General</c:formatCode>
                <c:ptCount val="11"/>
                <c:pt idx="0">
                  <c:v>71.750900000000001</c:v>
                </c:pt>
                <c:pt idx="1">
                  <c:v>71.491</c:v>
                </c:pt>
                <c:pt idx="2">
                  <c:v>70.980999999999995</c:v>
                </c:pt>
                <c:pt idx="3">
                  <c:v>70.471100000000007</c:v>
                </c:pt>
                <c:pt idx="4">
                  <c:v>70.0428</c:v>
                </c:pt>
                <c:pt idx="5">
                  <c:v>69.697500000000005</c:v>
                </c:pt>
                <c:pt idx="6">
                  <c:v>69.417500000000004</c:v>
                </c:pt>
                <c:pt idx="7">
                  <c:v>69.187899999999999</c:v>
                </c:pt>
                <c:pt idx="8">
                  <c:v>68.998099999999994</c:v>
                </c:pt>
                <c:pt idx="9">
                  <c:v>68.840800000000002</c:v>
                </c:pt>
                <c:pt idx="10">
                  <c:v>68.709999999999994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4F17-45A6-9D69-8A56AB2839C6}"/>
            </c:ext>
          </c:extLst>
        </c:ser>
        <c:ser>
          <c:idx val="2"/>
          <c:order val="2"/>
          <c:tx>
            <c:v>MeOH</c:v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diamond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Foglio2!$B$7:$B$17</c:f>
              <c:numCache>
                <c:formatCode>General</c:formatCode>
                <c:ptCount val="11"/>
                <c:pt idx="0">
                  <c:v>0.6</c:v>
                </c:pt>
                <c:pt idx="1">
                  <c:v>0.84</c:v>
                </c:pt>
                <c:pt idx="2">
                  <c:v>1.08</c:v>
                </c:pt>
                <c:pt idx="3">
                  <c:v>1.32</c:v>
                </c:pt>
                <c:pt idx="4">
                  <c:v>1.56</c:v>
                </c:pt>
                <c:pt idx="5">
                  <c:v>1.8</c:v>
                </c:pt>
                <c:pt idx="6">
                  <c:v>2.04</c:v>
                </c:pt>
                <c:pt idx="7">
                  <c:v>2.2800000000000002</c:v>
                </c:pt>
                <c:pt idx="8">
                  <c:v>2.5200000000000005</c:v>
                </c:pt>
                <c:pt idx="9">
                  <c:v>2.7600000000000007</c:v>
                </c:pt>
                <c:pt idx="10">
                  <c:v>3.0000000000000009</c:v>
                </c:pt>
              </c:numCache>
            </c:numRef>
          </c:xVal>
          <c:yVal>
            <c:numRef>
              <c:f>Foglio2!$E$7:$E$17</c:f>
              <c:numCache>
                <c:formatCode>General</c:formatCode>
                <c:ptCount val="11"/>
                <c:pt idx="0">
                  <c:v>23.118600000000001</c:v>
                </c:pt>
                <c:pt idx="1">
                  <c:v>28.279800000000002</c:v>
                </c:pt>
                <c:pt idx="2">
                  <c:v>31.845600000000001</c:v>
                </c:pt>
                <c:pt idx="3">
                  <c:v>34.168999999999997</c:v>
                </c:pt>
                <c:pt idx="4">
                  <c:v>35.6145</c:v>
                </c:pt>
                <c:pt idx="5">
                  <c:v>36.496600000000001</c:v>
                </c:pt>
                <c:pt idx="6">
                  <c:v>37.040900000000001</c:v>
                </c:pt>
                <c:pt idx="7">
                  <c:v>37.388399999999997</c:v>
                </c:pt>
                <c:pt idx="8">
                  <c:v>37.620699999999999</c:v>
                </c:pt>
                <c:pt idx="9">
                  <c:v>37.784100000000002</c:v>
                </c:pt>
                <c:pt idx="10">
                  <c:v>37.9041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4F17-45A6-9D69-8A56AB2839C6}"/>
            </c:ext>
          </c:extLst>
        </c:ser>
        <c:ser>
          <c:idx val="3"/>
          <c:order val="3"/>
          <c:tx>
            <c:strRef>
              <c:f>Foglio2!$F$6</c:f>
              <c:strCache>
                <c:ptCount val="1"/>
                <c:pt idx="0">
                  <c:v>H2O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xVal>
            <c:numRef>
              <c:f>Foglio2!$B$7:$B$17</c:f>
              <c:numCache>
                <c:formatCode>General</c:formatCode>
                <c:ptCount val="11"/>
                <c:pt idx="0">
                  <c:v>0.6</c:v>
                </c:pt>
                <c:pt idx="1">
                  <c:v>0.84</c:v>
                </c:pt>
                <c:pt idx="2">
                  <c:v>1.08</c:v>
                </c:pt>
                <c:pt idx="3">
                  <c:v>1.32</c:v>
                </c:pt>
                <c:pt idx="4">
                  <c:v>1.56</c:v>
                </c:pt>
                <c:pt idx="5">
                  <c:v>1.8</c:v>
                </c:pt>
                <c:pt idx="6">
                  <c:v>2.04</c:v>
                </c:pt>
                <c:pt idx="7">
                  <c:v>2.2800000000000002</c:v>
                </c:pt>
                <c:pt idx="8">
                  <c:v>2.5200000000000005</c:v>
                </c:pt>
                <c:pt idx="9">
                  <c:v>2.7600000000000007</c:v>
                </c:pt>
                <c:pt idx="10">
                  <c:v>3.0000000000000009</c:v>
                </c:pt>
              </c:numCache>
            </c:numRef>
          </c:xVal>
          <c:yVal>
            <c:numRef>
              <c:f>Foglio2!$F$7:$F$17</c:f>
              <c:numCache>
                <c:formatCode>General</c:formatCode>
                <c:ptCount val="11"/>
                <c:pt idx="0">
                  <c:v>5.0183299999999997</c:v>
                </c:pt>
                <c:pt idx="1">
                  <c:v>5.1247600000000002</c:v>
                </c:pt>
                <c:pt idx="2">
                  <c:v>5.3335299999999997</c:v>
                </c:pt>
                <c:pt idx="3">
                  <c:v>5.5422500000000001</c:v>
                </c:pt>
                <c:pt idx="4">
                  <c:v>5.7175599999999998</c:v>
                </c:pt>
                <c:pt idx="5">
                  <c:v>5.8588899999999997</c:v>
                </c:pt>
                <c:pt idx="6">
                  <c:v>5.9735300000000002</c:v>
                </c:pt>
                <c:pt idx="7">
                  <c:v>6.0675299999999996</c:v>
                </c:pt>
                <c:pt idx="8">
                  <c:v>6.1452</c:v>
                </c:pt>
                <c:pt idx="9">
                  <c:v>6.2096099999999996</c:v>
                </c:pt>
                <c:pt idx="10">
                  <c:v>6.2631600000000001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4F17-45A6-9D69-8A56AB2839C6}"/>
            </c:ext>
          </c:extLst>
        </c:ser>
        <c:ser>
          <c:idx val="4"/>
          <c:order val="4"/>
          <c:tx>
            <c:strRef>
              <c:f>Foglio2!$G$6</c:f>
              <c:strCache>
                <c:ptCount val="1"/>
                <c:pt idx="0">
                  <c:v>H2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dot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xVal>
            <c:numRef>
              <c:f>Foglio2!$B$7:$B$17</c:f>
              <c:numCache>
                <c:formatCode>General</c:formatCode>
                <c:ptCount val="11"/>
                <c:pt idx="0">
                  <c:v>0.6</c:v>
                </c:pt>
                <c:pt idx="1">
                  <c:v>0.84</c:v>
                </c:pt>
                <c:pt idx="2">
                  <c:v>1.08</c:v>
                </c:pt>
                <c:pt idx="3">
                  <c:v>1.32</c:v>
                </c:pt>
                <c:pt idx="4">
                  <c:v>1.56</c:v>
                </c:pt>
                <c:pt idx="5">
                  <c:v>1.8</c:v>
                </c:pt>
                <c:pt idx="6">
                  <c:v>2.04</c:v>
                </c:pt>
                <c:pt idx="7">
                  <c:v>2.2800000000000002</c:v>
                </c:pt>
                <c:pt idx="8">
                  <c:v>2.5200000000000005</c:v>
                </c:pt>
                <c:pt idx="9">
                  <c:v>2.7600000000000007</c:v>
                </c:pt>
                <c:pt idx="10">
                  <c:v>3.0000000000000009</c:v>
                </c:pt>
              </c:numCache>
            </c:numRef>
          </c:xVal>
          <c:yVal>
            <c:numRef>
              <c:f>Foglio2!$G$7:$G$17</c:f>
              <c:numCache>
                <c:formatCode>General</c:formatCode>
                <c:ptCount val="11"/>
                <c:pt idx="0">
                  <c:v>11.922000000000001</c:v>
                </c:pt>
                <c:pt idx="1">
                  <c:v>11.2607</c:v>
                </c:pt>
                <c:pt idx="2">
                  <c:v>10.788600000000001</c:v>
                </c:pt>
                <c:pt idx="3">
                  <c:v>10.472899999999999</c:v>
                </c:pt>
                <c:pt idx="4">
                  <c:v>10.2714</c:v>
                </c:pt>
                <c:pt idx="5">
                  <c:v>10.144600000000001</c:v>
                </c:pt>
                <c:pt idx="6">
                  <c:v>10.0633</c:v>
                </c:pt>
                <c:pt idx="7">
                  <c:v>10.009</c:v>
                </c:pt>
                <c:pt idx="8">
                  <c:v>9.9711300000000005</c:v>
                </c:pt>
                <c:pt idx="9">
                  <c:v>9.9433600000000002</c:v>
                </c:pt>
                <c:pt idx="10">
                  <c:v>9.9222599999999996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4-4F17-45A6-9D69-8A56AB2839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33455936"/>
        <c:axId val="1233457376"/>
      </c:scatterChart>
      <c:valAx>
        <c:axId val="1233455936"/>
        <c:scaling>
          <c:orientation val="minMax"/>
          <c:max val="3"/>
          <c:min val="0.60000000000000009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it-IT" sz="800" b="1">
                    <a:solidFill>
                      <a:schemeClr val="tx1"/>
                    </a:solidFill>
                  </a:rPr>
                  <a:t>Reactor</a:t>
                </a:r>
                <a:r>
                  <a:rPr lang="it-IT" sz="800" b="1" baseline="0">
                    <a:solidFill>
                      <a:schemeClr val="tx1"/>
                    </a:solidFill>
                  </a:rPr>
                  <a:t> lenght (m)</a:t>
                </a:r>
                <a:endParaRPr lang="it-IT" sz="800" b="1">
                  <a:solidFill>
                    <a:schemeClr val="tx1"/>
                  </a:solidFill>
                </a:endParaRPr>
              </a:p>
            </c:rich>
          </c:tx>
          <c:layout>
            <c:manualLayout>
              <c:xMode val="edge"/>
              <c:yMode val="edge"/>
              <c:x val="0.37375659870958566"/>
              <c:y val="0.8087567466529591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33457376"/>
        <c:crosses val="autoZero"/>
        <c:crossBetween val="midCat"/>
        <c:majorUnit val="0.2"/>
      </c:valAx>
      <c:valAx>
        <c:axId val="1233457376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it-IT" sz="800" b="1">
                    <a:solidFill>
                      <a:schemeClr val="tx1"/>
                    </a:solidFill>
                  </a:rPr>
                  <a:t>Flow rate (kg/h)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33455936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320910678020452"/>
          <c:y val="6.274957216200798E-2"/>
          <c:w val="0.78601026116079387"/>
          <c:h val="0.68218576927741414"/>
        </c:manualLayout>
      </c:layout>
      <c:scatterChart>
        <c:scatterStyle val="smoothMarker"/>
        <c:varyColors val="0"/>
        <c:ser>
          <c:idx val="0"/>
          <c:order val="0"/>
          <c:tx>
            <c:strRef>
              <c:f>water!$D$5</c:f>
              <c:strCache>
                <c:ptCount val="1"/>
                <c:pt idx="0">
                  <c:v>CO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triang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water!$C$6:$C$16</c:f>
              <c:numCache>
                <c:formatCode>General</c:formatCode>
                <c:ptCount val="11"/>
                <c:pt idx="0">
                  <c:v>0</c:v>
                </c:pt>
                <c:pt idx="1">
                  <c:v>0.06</c:v>
                </c:pt>
                <c:pt idx="2">
                  <c:v>0.12</c:v>
                </c:pt>
                <c:pt idx="3">
                  <c:v>0.18</c:v>
                </c:pt>
                <c:pt idx="4">
                  <c:v>0.24</c:v>
                </c:pt>
                <c:pt idx="5">
                  <c:v>0.3</c:v>
                </c:pt>
                <c:pt idx="6">
                  <c:v>0.36</c:v>
                </c:pt>
                <c:pt idx="7">
                  <c:v>0.42</c:v>
                </c:pt>
                <c:pt idx="8">
                  <c:v>0.48</c:v>
                </c:pt>
                <c:pt idx="9">
                  <c:v>0.54</c:v>
                </c:pt>
                <c:pt idx="10">
                  <c:v>0.6</c:v>
                </c:pt>
              </c:numCache>
            </c:numRef>
          </c:xVal>
          <c:yVal>
            <c:numRef>
              <c:f>water!$D$6:$D$16</c:f>
              <c:numCache>
                <c:formatCode>General</c:formatCode>
                <c:ptCount val="11"/>
                <c:pt idx="0">
                  <c:v>26.734500000000001</c:v>
                </c:pt>
                <c:pt idx="1">
                  <c:v>25.3978</c:v>
                </c:pt>
                <c:pt idx="2">
                  <c:v>23.8886</c:v>
                </c:pt>
                <c:pt idx="3">
                  <c:v>22.4587</c:v>
                </c:pt>
                <c:pt idx="4">
                  <c:v>21.102799999999998</c:v>
                </c:pt>
                <c:pt idx="5">
                  <c:v>19.816500000000001</c:v>
                </c:pt>
                <c:pt idx="6">
                  <c:v>18.596499999999999</c:v>
                </c:pt>
                <c:pt idx="7">
                  <c:v>17.439499999999999</c:v>
                </c:pt>
                <c:pt idx="8">
                  <c:v>16.343</c:v>
                </c:pt>
                <c:pt idx="9">
                  <c:v>15.304500000000001</c:v>
                </c:pt>
                <c:pt idx="10">
                  <c:v>14.3218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276D-455B-BE56-18A94BA2062A}"/>
            </c:ext>
          </c:extLst>
        </c:ser>
        <c:ser>
          <c:idx val="1"/>
          <c:order val="1"/>
          <c:tx>
            <c:strRef>
              <c:f>water!$E$5</c:f>
              <c:strCache>
                <c:ptCount val="1"/>
                <c:pt idx="0">
                  <c:v>CO2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squar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water!$C$6:$C$16</c:f>
              <c:numCache>
                <c:formatCode>General</c:formatCode>
                <c:ptCount val="11"/>
                <c:pt idx="0">
                  <c:v>0</c:v>
                </c:pt>
                <c:pt idx="1">
                  <c:v>0.06</c:v>
                </c:pt>
                <c:pt idx="2">
                  <c:v>0.12</c:v>
                </c:pt>
                <c:pt idx="3">
                  <c:v>0.18</c:v>
                </c:pt>
                <c:pt idx="4">
                  <c:v>0.24</c:v>
                </c:pt>
                <c:pt idx="5">
                  <c:v>0.3</c:v>
                </c:pt>
                <c:pt idx="6">
                  <c:v>0.36</c:v>
                </c:pt>
                <c:pt idx="7">
                  <c:v>0.42</c:v>
                </c:pt>
                <c:pt idx="8">
                  <c:v>0.48</c:v>
                </c:pt>
                <c:pt idx="9">
                  <c:v>0.54</c:v>
                </c:pt>
                <c:pt idx="10">
                  <c:v>0.6</c:v>
                </c:pt>
              </c:numCache>
            </c:numRef>
          </c:xVal>
          <c:yVal>
            <c:numRef>
              <c:f>water!$E$6:$E$16</c:f>
              <c:numCache>
                <c:formatCode>General</c:formatCode>
                <c:ptCount val="11"/>
                <c:pt idx="0">
                  <c:v>84.010300000000001</c:v>
                </c:pt>
                <c:pt idx="1">
                  <c:v>70.274299999999997</c:v>
                </c:pt>
                <c:pt idx="2">
                  <c:v>70.66</c:v>
                </c:pt>
                <c:pt idx="3">
                  <c:v>70.965599999999995</c:v>
                </c:pt>
                <c:pt idx="4">
                  <c:v>71.206100000000006</c:v>
                </c:pt>
                <c:pt idx="5">
                  <c:v>71.392700000000005</c:v>
                </c:pt>
                <c:pt idx="6">
                  <c:v>71.533600000000007</c:v>
                </c:pt>
                <c:pt idx="7">
                  <c:v>71.635300000000001</c:v>
                </c:pt>
                <c:pt idx="8">
                  <c:v>71.702799999999996</c:v>
                </c:pt>
                <c:pt idx="9">
                  <c:v>71.740200000000002</c:v>
                </c:pt>
                <c:pt idx="10">
                  <c:v>71.751199999999997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276D-455B-BE56-18A94BA2062A}"/>
            </c:ext>
          </c:extLst>
        </c:ser>
        <c:ser>
          <c:idx val="2"/>
          <c:order val="2"/>
          <c:tx>
            <c:v>MeOH</c:v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diamond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water!$C$6:$C$16</c:f>
              <c:numCache>
                <c:formatCode>General</c:formatCode>
                <c:ptCount val="11"/>
                <c:pt idx="0">
                  <c:v>0</c:v>
                </c:pt>
                <c:pt idx="1">
                  <c:v>0.06</c:v>
                </c:pt>
                <c:pt idx="2">
                  <c:v>0.12</c:v>
                </c:pt>
                <c:pt idx="3">
                  <c:v>0.18</c:v>
                </c:pt>
                <c:pt idx="4">
                  <c:v>0.24</c:v>
                </c:pt>
                <c:pt idx="5">
                  <c:v>0.3</c:v>
                </c:pt>
                <c:pt idx="6">
                  <c:v>0.36</c:v>
                </c:pt>
                <c:pt idx="7">
                  <c:v>0.42</c:v>
                </c:pt>
                <c:pt idx="8">
                  <c:v>0.48</c:v>
                </c:pt>
                <c:pt idx="9">
                  <c:v>0.54</c:v>
                </c:pt>
                <c:pt idx="10">
                  <c:v>0.6</c:v>
                </c:pt>
              </c:numCache>
            </c:numRef>
          </c:xVal>
          <c:yVal>
            <c:numRef>
              <c:f>water!$F$6:$F$16</c:f>
              <c:numCache>
                <c:formatCode>General</c:formatCode>
                <c:ptCount val="11"/>
                <c:pt idx="0">
                  <c:v>0</c:v>
                </c:pt>
                <c:pt idx="1">
                  <c:v>11.5299</c:v>
                </c:pt>
                <c:pt idx="2">
                  <c:v>12.9755</c:v>
                </c:pt>
                <c:pt idx="3">
                  <c:v>14.3887</c:v>
                </c:pt>
                <c:pt idx="4">
                  <c:v>15.764699999999999</c:v>
                </c:pt>
                <c:pt idx="5">
                  <c:v>17.100200000000001</c:v>
                </c:pt>
                <c:pt idx="6">
                  <c:v>18.3933</c:v>
                </c:pt>
                <c:pt idx="7">
                  <c:v>19.642800000000001</c:v>
                </c:pt>
                <c:pt idx="8">
                  <c:v>20.848099999999999</c:v>
                </c:pt>
                <c:pt idx="9">
                  <c:v>22.008800000000001</c:v>
                </c:pt>
                <c:pt idx="10">
                  <c:v>23.1249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276D-455B-BE56-18A94BA2062A}"/>
            </c:ext>
          </c:extLst>
        </c:ser>
        <c:ser>
          <c:idx val="3"/>
          <c:order val="3"/>
          <c:tx>
            <c:strRef>
              <c:f>water!$G$5</c:f>
              <c:strCache>
                <c:ptCount val="1"/>
                <c:pt idx="0">
                  <c:v>H2O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xVal>
            <c:numRef>
              <c:f>water!$C$6:$C$16</c:f>
              <c:numCache>
                <c:formatCode>General</c:formatCode>
                <c:ptCount val="11"/>
                <c:pt idx="0">
                  <c:v>0</c:v>
                </c:pt>
                <c:pt idx="1">
                  <c:v>0.06</c:v>
                </c:pt>
                <c:pt idx="2">
                  <c:v>0.12</c:v>
                </c:pt>
                <c:pt idx="3">
                  <c:v>0.18</c:v>
                </c:pt>
                <c:pt idx="4">
                  <c:v>0.24</c:v>
                </c:pt>
                <c:pt idx="5">
                  <c:v>0.3</c:v>
                </c:pt>
                <c:pt idx="6">
                  <c:v>0.36</c:v>
                </c:pt>
                <c:pt idx="7">
                  <c:v>0.42</c:v>
                </c:pt>
                <c:pt idx="8">
                  <c:v>0.48</c:v>
                </c:pt>
                <c:pt idx="9">
                  <c:v>0.54</c:v>
                </c:pt>
                <c:pt idx="10">
                  <c:v>0.6</c:v>
                </c:pt>
              </c:numCache>
            </c:numRef>
          </c:xVal>
          <c:yVal>
            <c:numRef>
              <c:f>water!$G$6:$G$16</c:f>
              <c:numCache>
                <c:formatCode>General</c:formatCode>
                <c:ptCount val="11"/>
                <c:pt idx="0">
                  <c:v>0</c:v>
                </c:pt>
                <c:pt idx="1">
                  <c:v>5.6227999999999998</c:v>
                </c:pt>
                <c:pt idx="2">
                  <c:v>5.4649200000000002</c:v>
                </c:pt>
                <c:pt idx="3">
                  <c:v>5.3398199999999996</c:v>
                </c:pt>
                <c:pt idx="4">
                  <c:v>5.2413499999999997</c:v>
                </c:pt>
                <c:pt idx="5">
                  <c:v>5.1649799999999999</c:v>
                </c:pt>
                <c:pt idx="6">
                  <c:v>5.1073000000000004</c:v>
                </c:pt>
                <c:pt idx="7">
                  <c:v>5.06569</c:v>
                </c:pt>
                <c:pt idx="8">
                  <c:v>5.0380599999999998</c:v>
                </c:pt>
                <c:pt idx="9">
                  <c:v>5.02271</c:v>
                </c:pt>
                <c:pt idx="10">
                  <c:v>5.0182399999999996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276D-455B-BE56-18A94BA2062A}"/>
            </c:ext>
          </c:extLst>
        </c:ser>
        <c:ser>
          <c:idx val="4"/>
          <c:order val="4"/>
          <c:tx>
            <c:strRef>
              <c:f>water!$H$5</c:f>
              <c:strCache>
                <c:ptCount val="1"/>
                <c:pt idx="0">
                  <c:v>H2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dot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xVal>
            <c:numRef>
              <c:f>water!$C$6:$C$16</c:f>
              <c:numCache>
                <c:formatCode>General</c:formatCode>
                <c:ptCount val="11"/>
                <c:pt idx="0">
                  <c:v>0</c:v>
                </c:pt>
                <c:pt idx="1">
                  <c:v>0.06</c:v>
                </c:pt>
                <c:pt idx="2">
                  <c:v>0.12</c:v>
                </c:pt>
                <c:pt idx="3">
                  <c:v>0.18</c:v>
                </c:pt>
                <c:pt idx="4">
                  <c:v>0.24</c:v>
                </c:pt>
                <c:pt idx="5">
                  <c:v>0.3</c:v>
                </c:pt>
                <c:pt idx="6">
                  <c:v>0.36</c:v>
                </c:pt>
                <c:pt idx="7">
                  <c:v>0.42</c:v>
                </c:pt>
                <c:pt idx="8">
                  <c:v>0.48</c:v>
                </c:pt>
                <c:pt idx="9">
                  <c:v>0.54</c:v>
                </c:pt>
                <c:pt idx="10">
                  <c:v>0.6</c:v>
                </c:pt>
              </c:numCache>
            </c:numRef>
          </c:xVal>
          <c:yVal>
            <c:numRef>
              <c:f>water!$H$6:$H$16</c:f>
              <c:numCache>
                <c:formatCode>General</c:formatCode>
                <c:ptCount val="11"/>
                <c:pt idx="0">
                  <c:v>15.3925</c:v>
                </c:pt>
                <c:pt idx="1">
                  <c:v>13.3125</c:v>
                </c:pt>
                <c:pt idx="2">
                  <c:v>13.148300000000001</c:v>
                </c:pt>
                <c:pt idx="3">
                  <c:v>12.984500000000001</c:v>
                </c:pt>
                <c:pt idx="4">
                  <c:v>12.8223</c:v>
                </c:pt>
                <c:pt idx="5">
                  <c:v>12.662800000000001</c:v>
                </c:pt>
                <c:pt idx="6">
                  <c:v>12.506600000000001</c:v>
                </c:pt>
                <c:pt idx="7">
                  <c:v>12.353999999999999</c:v>
                </c:pt>
                <c:pt idx="8">
                  <c:v>12.205500000000001</c:v>
                </c:pt>
                <c:pt idx="9">
                  <c:v>12.0611</c:v>
                </c:pt>
                <c:pt idx="10">
                  <c:v>11.921200000000001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4-276D-455B-BE56-18A94BA206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92453183"/>
        <c:axId val="1192463743"/>
      </c:scatterChart>
      <c:valAx>
        <c:axId val="1192453183"/>
        <c:scaling>
          <c:orientation val="minMax"/>
          <c:max val="0.60000000000000009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it-IT" sz="800" b="1">
                    <a:solidFill>
                      <a:schemeClr val="tx1"/>
                    </a:solidFill>
                  </a:rPr>
                  <a:t>Reactor length (m)</a:t>
                </a:r>
              </a:p>
            </c:rich>
          </c:tx>
          <c:layout>
            <c:manualLayout>
              <c:xMode val="edge"/>
              <c:yMode val="edge"/>
              <c:x val="0.38103324188548832"/>
              <c:y val="0.8104706891672768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92463743"/>
        <c:crosses val="autoZero"/>
        <c:crossBetween val="midCat"/>
      </c:valAx>
      <c:valAx>
        <c:axId val="1192463743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it-IT" sz="800" b="1">
                    <a:solidFill>
                      <a:schemeClr val="tx1"/>
                    </a:solidFill>
                  </a:rPr>
                  <a:t>Flow rate (kg/h)</a:t>
                </a:r>
              </a:p>
            </c:rich>
          </c:tx>
          <c:layout>
            <c:manualLayout>
              <c:xMode val="edge"/>
              <c:yMode val="edge"/>
              <c:x val="2.2624338976655407E-2"/>
              <c:y val="0.2194630715670926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92453183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  <c:userShapes r:id="rId4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709823157351233"/>
          <c:y val="9.9688473520249218E-2"/>
          <c:w val="0.79914805731250804"/>
          <c:h val="0.63332913385826772"/>
        </c:manualLayout>
      </c:layout>
      <c:scatterChart>
        <c:scatterStyle val="smoothMarker"/>
        <c:varyColors val="0"/>
        <c:ser>
          <c:idx val="0"/>
          <c:order val="0"/>
          <c:tx>
            <c:strRef>
              <c:f>water!$K$5</c:f>
              <c:strCache>
                <c:ptCount val="1"/>
                <c:pt idx="0">
                  <c:v>CO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triang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water!$J$6:$J$16</c:f>
              <c:numCache>
                <c:formatCode>General</c:formatCode>
                <c:ptCount val="11"/>
                <c:pt idx="0">
                  <c:v>0.6</c:v>
                </c:pt>
                <c:pt idx="1">
                  <c:v>0.84</c:v>
                </c:pt>
                <c:pt idx="2">
                  <c:v>1.08</c:v>
                </c:pt>
                <c:pt idx="3">
                  <c:v>1.32</c:v>
                </c:pt>
                <c:pt idx="4">
                  <c:v>1.56</c:v>
                </c:pt>
                <c:pt idx="5">
                  <c:v>1.8</c:v>
                </c:pt>
                <c:pt idx="6">
                  <c:v>2.04</c:v>
                </c:pt>
                <c:pt idx="7">
                  <c:v>2.2800000000000002</c:v>
                </c:pt>
                <c:pt idx="8">
                  <c:v>2.5200000000000005</c:v>
                </c:pt>
                <c:pt idx="9">
                  <c:v>2.7600000000000007</c:v>
                </c:pt>
                <c:pt idx="10">
                  <c:v>3.0000000000000009</c:v>
                </c:pt>
              </c:numCache>
            </c:numRef>
          </c:xVal>
          <c:yVal>
            <c:numRef>
              <c:f>water!$K$6:$K$16</c:f>
              <c:numCache>
                <c:formatCode>General</c:formatCode>
                <c:ptCount val="11"/>
                <c:pt idx="0">
                  <c:v>14.3218</c:v>
                </c:pt>
                <c:pt idx="1">
                  <c:v>10.8049</c:v>
                </c:pt>
                <c:pt idx="2">
                  <c:v>8.2755399999999995</c:v>
                </c:pt>
                <c:pt idx="3">
                  <c:v>6.5095099999999997</c:v>
                </c:pt>
                <c:pt idx="4">
                  <c:v>5.3146000000000004</c:v>
                </c:pt>
                <c:pt idx="5">
                  <c:v>4.5300399999999996</c:v>
                </c:pt>
                <c:pt idx="6">
                  <c:v>4.0279600000000002</c:v>
                </c:pt>
                <c:pt idx="7">
                  <c:v>3.7128999999999999</c:v>
                </c:pt>
                <c:pt idx="8">
                  <c:v>3.5178799999999999</c:v>
                </c:pt>
                <c:pt idx="9">
                  <c:v>3.3980399999999999</c:v>
                </c:pt>
                <c:pt idx="10">
                  <c:v>3.3247599999999999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3D81-4E23-A9C7-612CB907197F}"/>
            </c:ext>
          </c:extLst>
        </c:ser>
        <c:ser>
          <c:idx val="1"/>
          <c:order val="1"/>
          <c:tx>
            <c:strRef>
              <c:f>water!$L$5</c:f>
              <c:strCache>
                <c:ptCount val="1"/>
                <c:pt idx="0">
                  <c:v>CO2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squar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water!$J$6:$J$16</c:f>
              <c:numCache>
                <c:formatCode>General</c:formatCode>
                <c:ptCount val="11"/>
                <c:pt idx="0">
                  <c:v>0.6</c:v>
                </c:pt>
                <c:pt idx="1">
                  <c:v>0.84</c:v>
                </c:pt>
                <c:pt idx="2">
                  <c:v>1.08</c:v>
                </c:pt>
                <c:pt idx="3">
                  <c:v>1.32</c:v>
                </c:pt>
                <c:pt idx="4">
                  <c:v>1.56</c:v>
                </c:pt>
                <c:pt idx="5">
                  <c:v>1.8</c:v>
                </c:pt>
                <c:pt idx="6">
                  <c:v>2.04</c:v>
                </c:pt>
                <c:pt idx="7">
                  <c:v>2.2800000000000002</c:v>
                </c:pt>
                <c:pt idx="8">
                  <c:v>2.5200000000000005</c:v>
                </c:pt>
                <c:pt idx="9">
                  <c:v>2.7600000000000007</c:v>
                </c:pt>
                <c:pt idx="10">
                  <c:v>3.0000000000000009</c:v>
                </c:pt>
              </c:numCache>
            </c:numRef>
          </c:xVal>
          <c:yVal>
            <c:numRef>
              <c:f>water!$L$6:$L$16</c:f>
              <c:numCache>
                <c:formatCode>General</c:formatCode>
                <c:ptCount val="11"/>
                <c:pt idx="0">
                  <c:v>71.751199999999997</c:v>
                </c:pt>
                <c:pt idx="1">
                  <c:v>71.574100000000001</c:v>
                </c:pt>
                <c:pt idx="2">
                  <c:v>71.188299999999998</c:v>
                </c:pt>
                <c:pt idx="3">
                  <c:v>70.744500000000002</c:v>
                </c:pt>
                <c:pt idx="4">
                  <c:v>70.325299999999999</c:v>
                </c:pt>
                <c:pt idx="5">
                  <c:v>69.960999999999999</c:v>
                </c:pt>
                <c:pt idx="6">
                  <c:v>69.653499999999994</c:v>
                </c:pt>
                <c:pt idx="7">
                  <c:v>69.3947</c:v>
                </c:pt>
                <c:pt idx="8">
                  <c:v>69.176000000000002</c:v>
                </c:pt>
                <c:pt idx="9">
                  <c:v>68.990499999999997</c:v>
                </c:pt>
                <c:pt idx="10">
                  <c:v>68.832400000000007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3D81-4E23-A9C7-612CB907197F}"/>
            </c:ext>
          </c:extLst>
        </c:ser>
        <c:ser>
          <c:idx val="2"/>
          <c:order val="2"/>
          <c:tx>
            <c:v>MeOH</c:v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diamond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water!$J$6:$J$16</c:f>
              <c:numCache>
                <c:formatCode>General</c:formatCode>
                <c:ptCount val="11"/>
                <c:pt idx="0">
                  <c:v>0.6</c:v>
                </c:pt>
                <c:pt idx="1">
                  <c:v>0.84</c:v>
                </c:pt>
                <c:pt idx="2">
                  <c:v>1.08</c:v>
                </c:pt>
                <c:pt idx="3">
                  <c:v>1.32</c:v>
                </c:pt>
                <c:pt idx="4">
                  <c:v>1.56</c:v>
                </c:pt>
                <c:pt idx="5">
                  <c:v>1.8</c:v>
                </c:pt>
                <c:pt idx="6">
                  <c:v>2.04</c:v>
                </c:pt>
                <c:pt idx="7">
                  <c:v>2.2800000000000002</c:v>
                </c:pt>
                <c:pt idx="8">
                  <c:v>2.5200000000000005</c:v>
                </c:pt>
                <c:pt idx="9">
                  <c:v>2.7600000000000007</c:v>
                </c:pt>
                <c:pt idx="10">
                  <c:v>3.0000000000000009</c:v>
                </c:pt>
              </c:numCache>
            </c:numRef>
          </c:xVal>
          <c:yVal>
            <c:numRef>
              <c:f>water!$M$6:$M$16</c:f>
              <c:numCache>
                <c:formatCode>General</c:formatCode>
                <c:ptCount val="11"/>
                <c:pt idx="0">
                  <c:v>23.1249</c:v>
                </c:pt>
                <c:pt idx="1">
                  <c:v>27.277000000000001</c:v>
                </c:pt>
                <c:pt idx="2">
                  <c:v>30.4513</c:v>
                </c:pt>
                <c:pt idx="3">
                  <c:v>32.794600000000003</c:v>
                </c:pt>
                <c:pt idx="4">
                  <c:v>34.466700000000003</c:v>
                </c:pt>
                <c:pt idx="5">
                  <c:v>35.629399999999997</c:v>
                </c:pt>
                <c:pt idx="6">
                  <c:v>36.427700000000002</c:v>
                </c:pt>
                <c:pt idx="7">
                  <c:v>36.976500000000001</c:v>
                </c:pt>
                <c:pt idx="8">
                  <c:v>37.358800000000002</c:v>
                </c:pt>
                <c:pt idx="9">
                  <c:v>37.631</c:v>
                </c:pt>
                <c:pt idx="10">
                  <c:v>37.829900000000002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3D81-4E23-A9C7-612CB907197F}"/>
            </c:ext>
          </c:extLst>
        </c:ser>
        <c:ser>
          <c:idx val="3"/>
          <c:order val="3"/>
          <c:tx>
            <c:strRef>
              <c:f>water!$N$5</c:f>
              <c:strCache>
                <c:ptCount val="1"/>
                <c:pt idx="0">
                  <c:v>H2O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xVal>
            <c:numRef>
              <c:f>water!$J$6:$J$16</c:f>
              <c:numCache>
                <c:formatCode>General</c:formatCode>
                <c:ptCount val="11"/>
                <c:pt idx="0">
                  <c:v>0.6</c:v>
                </c:pt>
                <c:pt idx="1">
                  <c:v>0.84</c:v>
                </c:pt>
                <c:pt idx="2">
                  <c:v>1.08</c:v>
                </c:pt>
                <c:pt idx="3">
                  <c:v>1.32</c:v>
                </c:pt>
                <c:pt idx="4">
                  <c:v>1.56</c:v>
                </c:pt>
                <c:pt idx="5">
                  <c:v>1.8</c:v>
                </c:pt>
                <c:pt idx="6">
                  <c:v>2.04</c:v>
                </c:pt>
                <c:pt idx="7">
                  <c:v>2.2800000000000002</c:v>
                </c:pt>
                <c:pt idx="8">
                  <c:v>2.5200000000000005</c:v>
                </c:pt>
                <c:pt idx="9">
                  <c:v>2.7600000000000007</c:v>
                </c:pt>
                <c:pt idx="10">
                  <c:v>3.0000000000000009</c:v>
                </c:pt>
              </c:numCache>
            </c:numRef>
          </c:xVal>
          <c:yVal>
            <c:numRef>
              <c:f>water!$N$6:$N$16</c:f>
              <c:numCache>
                <c:formatCode>General</c:formatCode>
                <c:ptCount val="11"/>
                <c:pt idx="0">
                  <c:v>5.0182399999999996</c:v>
                </c:pt>
                <c:pt idx="1">
                  <c:v>5.0907400000000003</c:v>
                </c:pt>
                <c:pt idx="2">
                  <c:v>5.2486499999999996</c:v>
                </c:pt>
                <c:pt idx="3">
                  <c:v>5.4303299999999997</c:v>
                </c:pt>
                <c:pt idx="4">
                  <c:v>5.6019100000000002</c:v>
                </c:pt>
                <c:pt idx="5">
                  <c:v>5.7510399999999997</c:v>
                </c:pt>
                <c:pt idx="6">
                  <c:v>5.8769299999999998</c:v>
                </c:pt>
                <c:pt idx="7">
                  <c:v>5.9828599999999996</c:v>
                </c:pt>
                <c:pt idx="8">
                  <c:v>6.0723599999999998</c:v>
                </c:pt>
                <c:pt idx="9">
                  <c:v>6.1483299999999996</c:v>
                </c:pt>
                <c:pt idx="10">
                  <c:v>6.2130299999999998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3D81-4E23-A9C7-612CB907197F}"/>
            </c:ext>
          </c:extLst>
        </c:ser>
        <c:ser>
          <c:idx val="4"/>
          <c:order val="4"/>
          <c:tx>
            <c:strRef>
              <c:f>water!$O$5</c:f>
              <c:strCache>
                <c:ptCount val="1"/>
                <c:pt idx="0">
                  <c:v>H2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dot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xVal>
            <c:numRef>
              <c:f>water!$J$6:$J$16</c:f>
              <c:numCache>
                <c:formatCode>General</c:formatCode>
                <c:ptCount val="11"/>
                <c:pt idx="0">
                  <c:v>0.6</c:v>
                </c:pt>
                <c:pt idx="1">
                  <c:v>0.84</c:v>
                </c:pt>
                <c:pt idx="2">
                  <c:v>1.08</c:v>
                </c:pt>
                <c:pt idx="3">
                  <c:v>1.32</c:v>
                </c:pt>
                <c:pt idx="4">
                  <c:v>1.56</c:v>
                </c:pt>
                <c:pt idx="5">
                  <c:v>1.8</c:v>
                </c:pt>
                <c:pt idx="6">
                  <c:v>2.04</c:v>
                </c:pt>
                <c:pt idx="7">
                  <c:v>2.2800000000000002</c:v>
                </c:pt>
                <c:pt idx="8">
                  <c:v>2.5200000000000005</c:v>
                </c:pt>
                <c:pt idx="9">
                  <c:v>2.7600000000000007</c:v>
                </c:pt>
                <c:pt idx="10">
                  <c:v>3.0000000000000009</c:v>
                </c:pt>
              </c:numCache>
            </c:numRef>
          </c:xVal>
          <c:yVal>
            <c:numRef>
              <c:f>water!$O$6:$O$16</c:f>
              <c:numCache>
                <c:formatCode>General</c:formatCode>
                <c:ptCount val="11"/>
                <c:pt idx="0">
                  <c:v>11.921200000000001</c:v>
                </c:pt>
                <c:pt idx="1">
                  <c:v>11.390599999999999</c:v>
                </c:pt>
                <c:pt idx="2">
                  <c:v>10.973599999999999</c:v>
                </c:pt>
                <c:pt idx="3">
                  <c:v>10.6584</c:v>
                </c:pt>
                <c:pt idx="4">
                  <c:v>10.428800000000001</c:v>
                </c:pt>
                <c:pt idx="5">
                  <c:v>10.2658</c:v>
                </c:pt>
                <c:pt idx="6">
                  <c:v>10.151300000000001</c:v>
                </c:pt>
                <c:pt idx="7">
                  <c:v>10.070399999999999</c:v>
                </c:pt>
                <c:pt idx="8">
                  <c:v>10.0122</c:v>
                </c:pt>
                <c:pt idx="9">
                  <c:v>9.9694800000000008</c:v>
                </c:pt>
                <c:pt idx="10">
                  <c:v>9.9372199999999999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4-3D81-4E23-A9C7-612CB90719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05363983"/>
        <c:axId val="1405349583"/>
      </c:scatterChart>
      <c:valAx>
        <c:axId val="1405363983"/>
        <c:scaling>
          <c:orientation val="minMax"/>
          <c:max val="3"/>
          <c:min val="0.60000000000000009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it-IT" sz="800" b="1">
                    <a:solidFill>
                      <a:schemeClr val="tx1"/>
                    </a:solidFill>
                  </a:rPr>
                  <a:t>Reactor length (m)</a:t>
                </a:r>
              </a:p>
            </c:rich>
          </c:tx>
          <c:layout>
            <c:manualLayout>
              <c:xMode val="edge"/>
              <c:yMode val="edge"/>
              <c:x val="0.37347102104040275"/>
              <c:y val="0.794526509186351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05349583"/>
        <c:crosses val="autoZero"/>
        <c:crossBetween val="midCat"/>
        <c:majorUnit val="0.2"/>
      </c:valAx>
      <c:valAx>
        <c:axId val="1405349583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it-IT" sz="800" b="1">
                    <a:solidFill>
                      <a:schemeClr val="tx1"/>
                    </a:solidFill>
                  </a:rPr>
                  <a:t>Flow rate (kg/h)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05363983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9999815596820887E-2"/>
          <c:y val="0.85555118110236228"/>
          <c:w val="0.9"/>
          <c:h val="0.104448818897637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0.01043</cdr:y>
    </cdr:from>
    <cdr:to>
      <cdr:x>0.74497</cdr:x>
      <cdr:y>0.116</cdr:y>
    </cdr:to>
    <cdr:sp macro="" textlink="">
      <cdr:nvSpPr>
        <cdr:cNvPr id="2" name="Casella di testo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-1081377" y="23222"/>
          <a:ext cx="2090920" cy="23502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sp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just">
            <a:lnSpc>
              <a:spcPct val="110000"/>
            </a:lnSpc>
            <a:tabLst>
              <a:tab pos="4508500" algn="r"/>
            </a:tabLst>
          </a:pPr>
          <a:r>
            <a:rPr lang="en-GB" sz="900">
              <a:effectLst/>
              <a:latin typeface="Arial" panose="020B060402020202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A)</a:t>
          </a:r>
          <a:endParaRPr lang="it-IT" sz="900">
            <a:effectLst/>
            <a:latin typeface="Arial" panose="020B060402020202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</cdr:x>
      <cdr:y>0.01043</cdr:y>
    </cdr:from>
    <cdr:to>
      <cdr:x>0.74497</cdr:x>
      <cdr:y>0.116</cdr:y>
    </cdr:to>
    <cdr:sp macro="" textlink="">
      <cdr:nvSpPr>
        <cdr:cNvPr id="2" name="Casella di testo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-1081377" y="23222"/>
          <a:ext cx="2090920" cy="23502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sp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just">
            <a:lnSpc>
              <a:spcPct val="110000"/>
            </a:lnSpc>
            <a:tabLst>
              <a:tab pos="4508500" algn="r"/>
            </a:tabLst>
          </a:pPr>
          <a:r>
            <a:rPr lang="en-GB" sz="900">
              <a:effectLst/>
              <a:latin typeface="Arial" panose="020B060402020202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A)</a:t>
          </a:r>
          <a:endParaRPr lang="it-IT" sz="900">
            <a:effectLst/>
            <a:latin typeface="Arial" panose="020B060402020202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</cdr:x>
      <cdr:y>0.02054</cdr:y>
    </cdr:from>
    <cdr:to>
      <cdr:x>0.7427</cdr:x>
      <cdr:y>0.13929</cdr:y>
    </cdr:to>
    <cdr:sp macro="" textlink="">
      <cdr:nvSpPr>
        <cdr:cNvPr id="2" name="Casella di testo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0" y="39138"/>
          <a:ext cx="2013799" cy="22621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sp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just">
            <a:lnSpc>
              <a:spcPct val="110000"/>
            </a:lnSpc>
            <a:tabLst>
              <a:tab pos="4508500" algn="r"/>
            </a:tabLst>
          </a:pPr>
          <a:r>
            <a:rPr lang="en-GB" sz="900">
              <a:effectLst/>
              <a:latin typeface="Arial" panose="020B060402020202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B)</a:t>
          </a:r>
          <a:endParaRPr lang="it-IT" sz="900">
            <a:effectLst/>
            <a:latin typeface="Arial" panose="020B060402020202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983C9-6D0A-480C-BF79-A63BD3D99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3376</Words>
  <Characters>19247</Characters>
  <Application>Microsoft Office Word</Application>
  <DocSecurity>0</DocSecurity>
  <Lines>160</Lines>
  <Paragraphs>45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22578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raffaella</dc:creator>
  <cp:lastModifiedBy>GRAZIA</cp:lastModifiedBy>
  <cp:revision>2</cp:revision>
  <cp:lastPrinted>2015-05-12T18:31:00Z</cp:lastPrinted>
  <dcterms:created xsi:type="dcterms:W3CDTF">2025-05-01T10:46:00Z</dcterms:created>
  <dcterms:modified xsi:type="dcterms:W3CDTF">2025-05-01T10:46:00Z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zotero-version="4.0.29.17"&gt;&lt;session id="s8VwuD2U"/&gt;&lt;style id="http://www.zotero.org/styles/chemical-engineering-transactions" hasBibliography="1" bibliographyStyleHasBeenSet="1"/&gt;&lt;prefs&gt;&lt;pref name="fieldType" value="Field"/&gt;&lt;pref na</vt:lpwstr>
  </property>
  <property fmtid="{D5CDD505-2E9C-101B-9397-08002B2CF9AE}" pid="3" name="ZOTERO_PREF_2">
    <vt:lpwstr>me="storeReferences" value="true"/&gt;&lt;pref name="automaticJournalAbbreviations" value=""/&gt;&lt;pref name="noteType" value=""/&gt;&lt;/prefs&gt;&lt;/data&gt;</vt:lpwstr>
  </property>
</Properties>
</file>