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1B7853">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1B7853">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1B7853">
        <w:trPr>
          <w:trHeight w:val="68"/>
          <w:jc w:val="center"/>
        </w:trPr>
        <w:tc>
          <w:tcPr>
            <w:tcW w:w="8782"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6097B7D0" w14:textId="77777777" w:rsidR="001B7853" w:rsidRDefault="001B7853" w:rsidP="001B7853">
      <w:pPr>
        <w:pStyle w:val="CETAuthors"/>
        <w:jc w:val="center"/>
      </w:pPr>
      <w:r w:rsidRPr="001B7853">
        <w:rPr>
          <w:noProof w:val="0"/>
          <w:sz w:val="32"/>
        </w:rPr>
        <w:t>High-Performance CO</w:t>
      </w:r>
      <w:r w:rsidRPr="001B7853">
        <w:rPr>
          <w:rFonts w:ascii="Cambria Math" w:hAnsi="Cambria Math" w:cs="Cambria Math"/>
          <w:noProof w:val="0"/>
          <w:sz w:val="32"/>
        </w:rPr>
        <w:t>₂</w:t>
      </w:r>
      <w:r w:rsidRPr="001B7853">
        <w:rPr>
          <w:noProof w:val="0"/>
          <w:sz w:val="32"/>
        </w:rPr>
        <w:t xml:space="preserve"> Sequestration via Magnesium Hydroxide in Slurry Reactor Systems</w:t>
      </w:r>
    </w:p>
    <w:p w14:paraId="0488FED2" w14:textId="104CF74B" w:rsidR="00B57E6F" w:rsidRPr="00B57B36" w:rsidRDefault="001B7853" w:rsidP="001B7853">
      <w:pPr>
        <w:pStyle w:val="CETAuthors"/>
      </w:pPr>
      <w:r>
        <w:t>Leila Vafajoo</w:t>
      </w:r>
      <w:r w:rsidRPr="001B7853">
        <w:rPr>
          <w:vertAlign w:val="superscript"/>
        </w:rPr>
        <w:t>a,b</w:t>
      </w:r>
      <w:r w:rsidR="00B57E6F" w:rsidRPr="00B57B36">
        <w:t xml:space="preserve">, </w:t>
      </w:r>
      <w:r>
        <w:t>Farbod Zamani</w:t>
      </w:r>
      <w:r w:rsidR="006A6A22">
        <w:rPr>
          <w:vertAlign w:val="superscript"/>
        </w:rPr>
        <w:t>c</w:t>
      </w:r>
      <w:r w:rsidR="00B57E6F" w:rsidRPr="00B57B36">
        <w:t xml:space="preserve">, </w:t>
      </w:r>
      <w:r>
        <w:t>Ali Chegeni</w:t>
      </w:r>
      <w:r w:rsidR="006A6A22">
        <w:rPr>
          <w:vertAlign w:val="superscript"/>
        </w:rPr>
        <w:t>d</w:t>
      </w:r>
    </w:p>
    <w:p w14:paraId="02B92289" w14:textId="607F1918" w:rsidR="006A6A22" w:rsidRPr="00B37D32" w:rsidRDefault="006A6A22" w:rsidP="006A6A22">
      <w:pPr>
        <w:tabs>
          <w:tab w:val="clear" w:pos="7100"/>
        </w:tabs>
        <w:spacing w:line="240" w:lineRule="auto"/>
        <w:rPr>
          <w:rFonts w:asciiTheme="minorBidi" w:hAnsiTheme="minorBidi" w:cstheme="minorBidi"/>
          <w:noProof/>
          <w:sz w:val="15"/>
          <w:szCs w:val="15"/>
        </w:rPr>
      </w:pPr>
      <w:r w:rsidRPr="00B37D32">
        <w:rPr>
          <w:rFonts w:asciiTheme="minorBidi" w:hAnsiTheme="minorBidi" w:cstheme="minorBidi"/>
          <w:noProof/>
          <w:sz w:val="15"/>
          <w:szCs w:val="15"/>
          <w:vertAlign w:val="superscript"/>
        </w:rPr>
        <w:t>a</w:t>
      </w:r>
      <w:r w:rsidR="00340152" w:rsidRPr="00B37D32">
        <w:rPr>
          <w:rFonts w:asciiTheme="minorBidi" w:hAnsiTheme="minorBidi" w:cstheme="minorBidi"/>
          <w:noProof/>
          <w:sz w:val="15"/>
          <w:szCs w:val="15"/>
          <w:vertAlign w:val="superscript"/>
        </w:rPr>
        <w:t xml:space="preserve"> </w:t>
      </w:r>
      <w:r w:rsidRPr="00B37D32">
        <w:rPr>
          <w:rFonts w:asciiTheme="minorBidi" w:hAnsiTheme="minorBidi" w:cstheme="minorBidi"/>
          <w:noProof/>
          <w:sz w:val="15"/>
          <w:szCs w:val="15"/>
        </w:rPr>
        <w:t>Department of Chemical and Polymer Engineering, S</w:t>
      </w:r>
      <w:r w:rsidR="000A7546">
        <w:rPr>
          <w:rFonts w:asciiTheme="minorBidi" w:hAnsiTheme="minorBidi" w:cstheme="minorBidi"/>
          <w:noProof/>
          <w:sz w:val="15"/>
          <w:szCs w:val="15"/>
        </w:rPr>
        <w:t>T. C.</w:t>
      </w:r>
      <w:r w:rsidRPr="00B37D32">
        <w:rPr>
          <w:rFonts w:asciiTheme="minorBidi" w:hAnsiTheme="minorBidi" w:cstheme="minorBidi"/>
          <w:noProof/>
          <w:sz w:val="15"/>
          <w:szCs w:val="15"/>
        </w:rPr>
        <w:t>, Islamic Azad University, Tehran, Iran</w:t>
      </w:r>
      <w:r w:rsidRPr="00B37D32">
        <w:rPr>
          <w:rFonts w:asciiTheme="minorBidi" w:hAnsiTheme="minorBidi" w:cstheme="minorBidi"/>
          <w:noProof/>
          <w:sz w:val="15"/>
          <w:szCs w:val="15"/>
          <w:rtl/>
        </w:rPr>
        <w:t>.</w:t>
      </w:r>
    </w:p>
    <w:p w14:paraId="136E867D" w14:textId="2CB8D4EF" w:rsidR="006A6A22" w:rsidRPr="00B37D32" w:rsidRDefault="006A6A22" w:rsidP="006A6A22">
      <w:pPr>
        <w:keepNext/>
        <w:tabs>
          <w:tab w:val="clear" w:pos="7100"/>
        </w:tabs>
        <w:suppressAutoHyphens/>
        <w:spacing w:line="276" w:lineRule="auto"/>
        <w:contextualSpacing/>
        <w:jc w:val="left"/>
        <w:rPr>
          <w:rFonts w:asciiTheme="minorBidi" w:hAnsiTheme="minorBidi" w:cstheme="minorBidi"/>
          <w:noProof/>
          <w:sz w:val="15"/>
          <w:szCs w:val="15"/>
        </w:rPr>
      </w:pPr>
      <w:r w:rsidRPr="00B37D32">
        <w:rPr>
          <w:rFonts w:asciiTheme="minorBidi" w:hAnsiTheme="minorBidi" w:cstheme="minorBidi"/>
          <w:noProof/>
          <w:sz w:val="15"/>
          <w:szCs w:val="15"/>
          <w:vertAlign w:val="superscript"/>
        </w:rPr>
        <w:t>b</w:t>
      </w:r>
      <w:r w:rsidR="00340152" w:rsidRPr="00B37D32">
        <w:rPr>
          <w:rFonts w:asciiTheme="minorBidi" w:hAnsiTheme="minorBidi" w:cstheme="minorBidi"/>
          <w:noProof/>
          <w:sz w:val="15"/>
          <w:szCs w:val="15"/>
          <w:vertAlign w:val="superscript"/>
        </w:rPr>
        <w:t xml:space="preserve"> </w:t>
      </w:r>
      <w:r w:rsidRPr="00B37D32">
        <w:rPr>
          <w:rFonts w:asciiTheme="minorBidi" w:hAnsiTheme="minorBidi" w:cstheme="minorBidi"/>
          <w:noProof/>
          <w:sz w:val="15"/>
          <w:szCs w:val="15"/>
        </w:rPr>
        <w:t xml:space="preserve">Nanotechnology Research Centre, </w:t>
      </w:r>
      <w:r w:rsidR="000A7546" w:rsidRPr="00B37D32">
        <w:rPr>
          <w:rFonts w:asciiTheme="minorBidi" w:hAnsiTheme="minorBidi" w:cstheme="minorBidi"/>
          <w:noProof/>
          <w:sz w:val="15"/>
          <w:szCs w:val="15"/>
        </w:rPr>
        <w:t>S</w:t>
      </w:r>
      <w:r w:rsidR="000A7546">
        <w:rPr>
          <w:rFonts w:asciiTheme="minorBidi" w:hAnsiTheme="minorBidi" w:cstheme="minorBidi"/>
          <w:noProof/>
          <w:sz w:val="15"/>
          <w:szCs w:val="15"/>
        </w:rPr>
        <w:t>T. C.</w:t>
      </w:r>
      <w:r w:rsidR="000A7546" w:rsidRPr="00B37D32">
        <w:rPr>
          <w:rFonts w:asciiTheme="minorBidi" w:hAnsiTheme="minorBidi" w:cstheme="minorBidi"/>
          <w:noProof/>
          <w:sz w:val="15"/>
          <w:szCs w:val="15"/>
        </w:rPr>
        <w:t>, Islamic Azad University, Tehran, Iran</w:t>
      </w:r>
      <w:r w:rsidR="000A7546" w:rsidRPr="00B37D32">
        <w:rPr>
          <w:rFonts w:asciiTheme="minorBidi" w:hAnsiTheme="minorBidi" w:cstheme="minorBidi"/>
          <w:noProof/>
          <w:sz w:val="15"/>
          <w:szCs w:val="15"/>
          <w:rtl/>
        </w:rPr>
        <w:t>.</w:t>
      </w:r>
      <w:r w:rsidRPr="00B37D32">
        <w:rPr>
          <w:rFonts w:asciiTheme="minorBidi" w:hAnsiTheme="minorBidi" w:cstheme="minorBidi"/>
          <w:noProof/>
          <w:sz w:val="15"/>
          <w:szCs w:val="15"/>
        </w:rPr>
        <w:t xml:space="preserve"> </w:t>
      </w:r>
    </w:p>
    <w:p w14:paraId="36FD6A71" w14:textId="6EE6ED24" w:rsidR="006A6A22" w:rsidRPr="00B37D32" w:rsidRDefault="006A6A22" w:rsidP="006A6A22">
      <w:pPr>
        <w:pStyle w:val="CETAddress"/>
        <w:rPr>
          <w:rFonts w:asciiTheme="minorBidi" w:hAnsiTheme="minorBidi" w:cstheme="minorBidi"/>
          <w:sz w:val="15"/>
          <w:szCs w:val="15"/>
        </w:rPr>
      </w:pPr>
      <w:r w:rsidRPr="00B37D32">
        <w:rPr>
          <w:rFonts w:asciiTheme="minorBidi" w:hAnsiTheme="minorBidi" w:cstheme="minorBidi"/>
          <w:sz w:val="15"/>
          <w:szCs w:val="15"/>
          <w:vertAlign w:val="superscript"/>
        </w:rPr>
        <w:t>c</w:t>
      </w:r>
      <w:r w:rsidR="00340152" w:rsidRPr="00B37D32">
        <w:rPr>
          <w:rFonts w:asciiTheme="minorBidi" w:hAnsiTheme="minorBidi" w:cstheme="minorBidi"/>
          <w:sz w:val="15"/>
          <w:szCs w:val="15"/>
          <w:vertAlign w:val="superscript"/>
        </w:rPr>
        <w:t xml:space="preserve"> </w:t>
      </w:r>
      <w:r w:rsidRPr="00B37D32">
        <w:rPr>
          <w:rFonts w:asciiTheme="minorBidi" w:hAnsiTheme="minorBidi" w:cstheme="minorBidi"/>
          <w:sz w:val="15"/>
          <w:szCs w:val="15"/>
        </w:rPr>
        <w:t xml:space="preserve">Energy Engineering Departement, </w:t>
      </w:r>
      <w:r w:rsidR="000A7546" w:rsidRPr="00B37D32">
        <w:rPr>
          <w:rFonts w:asciiTheme="minorBidi" w:hAnsiTheme="minorBidi" w:cstheme="minorBidi"/>
          <w:sz w:val="15"/>
          <w:szCs w:val="15"/>
        </w:rPr>
        <w:t>S</w:t>
      </w:r>
      <w:r w:rsidR="000A7546">
        <w:rPr>
          <w:rFonts w:asciiTheme="minorBidi" w:hAnsiTheme="minorBidi" w:cstheme="minorBidi"/>
          <w:sz w:val="15"/>
          <w:szCs w:val="15"/>
        </w:rPr>
        <w:t>T. C.</w:t>
      </w:r>
      <w:r w:rsidR="000A7546" w:rsidRPr="00B37D32">
        <w:rPr>
          <w:rFonts w:asciiTheme="minorBidi" w:hAnsiTheme="minorBidi" w:cstheme="minorBidi"/>
          <w:sz w:val="15"/>
          <w:szCs w:val="15"/>
        </w:rPr>
        <w:t>, Islamic Azad University, Tehran, Iran</w:t>
      </w:r>
      <w:r w:rsidR="000A7546" w:rsidRPr="00B37D32">
        <w:rPr>
          <w:rFonts w:asciiTheme="minorBidi" w:hAnsiTheme="minorBidi" w:cstheme="minorBidi"/>
          <w:sz w:val="15"/>
          <w:szCs w:val="15"/>
          <w:rtl/>
        </w:rPr>
        <w:t>.</w:t>
      </w:r>
    </w:p>
    <w:p w14:paraId="18A2827B" w14:textId="45AD926E" w:rsidR="001B7853" w:rsidRPr="00B37D32" w:rsidRDefault="006A6A22" w:rsidP="00B37D32">
      <w:pPr>
        <w:pStyle w:val="CETAddress"/>
        <w:rPr>
          <w:rFonts w:asciiTheme="minorBidi" w:hAnsiTheme="minorBidi" w:cstheme="minorBidi"/>
          <w:sz w:val="15"/>
          <w:szCs w:val="15"/>
        </w:rPr>
      </w:pPr>
      <w:r w:rsidRPr="00B37D32">
        <w:rPr>
          <w:rFonts w:asciiTheme="minorBidi" w:hAnsiTheme="minorBidi" w:cstheme="minorBidi"/>
          <w:sz w:val="15"/>
          <w:szCs w:val="15"/>
          <w:vertAlign w:val="superscript"/>
        </w:rPr>
        <w:t>d</w:t>
      </w:r>
      <w:r w:rsidR="00340152" w:rsidRPr="00B37D32">
        <w:rPr>
          <w:rFonts w:asciiTheme="minorBidi" w:hAnsiTheme="minorBidi" w:cstheme="minorBidi"/>
          <w:sz w:val="15"/>
          <w:szCs w:val="15"/>
          <w:vertAlign w:val="superscript"/>
        </w:rPr>
        <w:t xml:space="preserve"> </w:t>
      </w:r>
      <w:r w:rsidR="00010673" w:rsidRPr="00010673">
        <w:rPr>
          <w:rFonts w:asciiTheme="minorBidi" w:hAnsiTheme="minorBidi" w:cstheme="minorBidi"/>
          <w:sz w:val="15"/>
          <w:szCs w:val="15"/>
        </w:rPr>
        <w:t>Department of Chemical and Petroleum Engineering</w:t>
      </w:r>
      <w:r w:rsidR="00010673">
        <w:rPr>
          <w:rFonts w:asciiTheme="minorBidi" w:hAnsiTheme="minorBidi" w:cstheme="minorBidi"/>
          <w:sz w:val="15"/>
          <w:szCs w:val="15"/>
        </w:rPr>
        <w:t xml:space="preserve">, </w:t>
      </w:r>
      <w:r w:rsidR="001B7853" w:rsidRPr="00B37D32">
        <w:rPr>
          <w:rFonts w:asciiTheme="minorBidi" w:hAnsiTheme="minorBidi" w:cstheme="minorBidi"/>
          <w:sz w:val="15"/>
          <w:szCs w:val="15"/>
        </w:rPr>
        <w:t xml:space="preserve">Sharif University of Technology, </w:t>
      </w:r>
      <w:r w:rsidR="00B37D32" w:rsidRPr="00B37D32">
        <w:rPr>
          <w:rFonts w:asciiTheme="minorBidi" w:hAnsiTheme="minorBidi" w:cstheme="minorBidi"/>
          <w:sz w:val="15"/>
          <w:szCs w:val="15"/>
        </w:rPr>
        <w:t>Tehran, Iran</w:t>
      </w:r>
      <w:r w:rsidR="00B37D32">
        <w:rPr>
          <w:rFonts w:asciiTheme="minorBidi" w:hAnsiTheme="minorBidi" w:cstheme="minorBidi"/>
          <w:sz w:val="15"/>
          <w:szCs w:val="15"/>
        </w:rPr>
        <w:t>.</w:t>
      </w:r>
    </w:p>
    <w:p w14:paraId="3E00D5C0" w14:textId="4C6F5107" w:rsidR="006A6A22" w:rsidRPr="00B37D32" w:rsidRDefault="00301FA4" w:rsidP="006A6A22">
      <w:pPr>
        <w:tabs>
          <w:tab w:val="clear" w:pos="7100"/>
        </w:tabs>
        <w:spacing w:line="276" w:lineRule="auto"/>
        <w:jc w:val="left"/>
        <w:rPr>
          <w:rFonts w:asciiTheme="minorBidi" w:hAnsiTheme="minorBidi" w:cstheme="minorBidi"/>
          <w:noProof/>
          <w:sz w:val="15"/>
          <w:szCs w:val="15"/>
        </w:rPr>
      </w:pPr>
      <w:r>
        <w:rPr>
          <w:rFonts w:asciiTheme="minorBidi" w:hAnsiTheme="minorBidi" w:cstheme="minorBidi"/>
          <w:noProof/>
          <w:sz w:val="15"/>
          <w:szCs w:val="15"/>
        </w:rPr>
        <w:t>C</w:t>
      </w:r>
      <w:r w:rsidR="006A6A22" w:rsidRPr="00B37D32">
        <w:rPr>
          <w:rFonts w:asciiTheme="minorBidi" w:hAnsiTheme="minorBidi" w:cstheme="minorBidi"/>
          <w:noProof/>
          <w:sz w:val="15"/>
          <w:szCs w:val="15"/>
        </w:rPr>
        <w:t xml:space="preserve">orresponding author e-mail: </w:t>
      </w:r>
      <w:hyperlink r:id="rId10" w:history="1">
        <w:r w:rsidR="006A6A22" w:rsidRPr="00B37D32">
          <w:rPr>
            <w:rFonts w:asciiTheme="minorBidi" w:hAnsiTheme="minorBidi" w:cstheme="minorBidi"/>
            <w:noProof/>
            <w:sz w:val="15"/>
            <w:szCs w:val="15"/>
          </w:rPr>
          <w:t>vafajoo@azad.ac.ir</w:t>
        </w:r>
      </w:hyperlink>
      <w:r w:rsidR="00FE73C9">
        <w:rPr>
          <w:rFonts w:asciiTheme="minorBidi" w:hAnsiTheme="minorBidi" w:cstheme="minorBidi"/>
          <w:noProof/>
          <w:sz w:val="15"/>
          <w:szCs w:val="15"/>
        </w:rPr>
        <w:t>; vafajoo@iau.ac.ir</w:t>
      </w:r>
    </w:p>
    <w:p w14:paraId="1A38DEC1" w14:textId="77777777" w:rsidR="006A6A22" w:rsidRDefault="006A6A22" w:rsidP="00913C01">
      <w:pPr>
        <w:pStyle w:val="CETBodytext"/>
        <w:rPr>
          <w:lang w:val="en-GB"/>
        </w:rPr>
      </w:pPr>
    </w:p>
    <w:p w14:paraId="04B38FC6" w14:textId="761EE4B5" w:rsidR="00913C01" w:rsidRPr="00B677FF" w:rsidRDefault="00913C01" w:rsidP="00913C01">
      <w:pPr>
        <w:pStyle w:val="CETBodytext"/>
        <w:rPr>
          <w:rtl/>
          <w:lang w:bidi="fa-IR"/>
        </w:rPr>
      </w:pPr>
      <w:r w:rsidRPr="00913C01">
        <w:rPr>
          <w:lang w:val="en-GB"/>
        </w:rPr>
        <w:t>CO</w:t>
      </w:r>
      <w:r w:rsidRPr="00913C01">
        <w:rPr>
          <w:rFonts w:ascii="Cambria Math" w:hAnsi="Cambria Math" w:cs="Cambria Math"/>
          <w:lang w:val="en-GB"/>
        </w:rPr>
        <w:t>₂</w:t>
      </w:r>
      <w:r w:rsidRPr="00913C01">
        <w:rPr>
          <w:lang w:val="en-GB"/>
        </w:rPr>
        <w:t xml:space="preserve"> sequestration from industrial gas streams is pivotal in curbing greenhouse gas emissions and mitigating the severe repercussions of global warming. By employing a slurry reactor charged with alkaline reagents, both physical dissolution and chemical absorption can be leveraged in a single system, thereby capturing CO</w:t>
      </w:r>
      <w:r w:rsidRPr="00913C01">
        <w:rPr>
          <w:rFonts w:ascii="Cambria Math" w:hAnsi="Cambria Math" w:cs="Cambria Math"/>
          <w:lang w:val="en-GB"/>
        </w:rPr>
        <w:t>₂</w:t>
      </w:r>
      <w:r w:rsidRPr="00913C01">
        <w:rPr>
          <w:lang w:val="en-GB"/>
        </w:rPr>
        <w:t xml:space="preserve"> in dissolved and solid forms concurrently. In this study, magnesium hydroxide served as the principal alkaline medium, owing to its capacity to produce hydroxyl ions that chemically bind with aqueous CO</w:t>
      </w:r>
      <w:r w:rsidRPr="00913C01">
        <w:rPr>
          <w:rFonts w:ascii="Cambria Math" w:hAnsi="Cambria Math" w:cs="Cambria Math"/>
          <w:lang w:val="en-GB"/>
        </w:rPr>
        <w:t>₂</w:t>
      </w:r>
      <w:r w:rsidRPr="00913C01">
        <w:rPr>
          <w:lang w:val="en-GB"/>
        </w:rPr>
        <w:t xml:space="preserve"> to form bicarbonate and carbonate species. These species subsequently react with dissolved magnesium to generate magnesium carbonate solids, effectively isolating CO</w:t>
      </w:r>
      <w:r w:rsidRPr="00913C01">
        <w:rPr>
          <w:rFonts w:ascii="Cambria Math" w:hAnsi="Cambria Math" w:cs="Cambria Math"/>
          <w:lang w:val="en-GB"/>
        </w:rPr>
        <w:t>₂</w:t>
      </w:r>
      <w:r w:rsidRPr="00913C01">
        <w:rPr>
          <w:lang w:val="en-GB"/>
        </w:rPr>
        <w:t xml:space="preserve"> from the gas phase. Key operational variables including slurry concentration, gas hold-up, and temperature were systematically examined to elucidate their effects on mass transfer dynamics and reaction selectivity. The relevance of this approach extends beyond conventional industrial flue-gas treatment. Sectors such as petrochemical refining, power generation, cement manufacturing, and steel production can benefit from scalable, efficient CO</w:t>
      </w:r>
      <w:r w:rsidRPr="00913C01">
        <w:rPr>
          <w:rFonts w:ascii="Cambria Math" w:hAnsi="Cambria Math" w:cs="Cambria Math"/>
          <w:lang w:val="en-GB"/>
        </w:rPr>
        <w:t>₂</w:t>
      </w:r>
      <w:r w:rsidRPr="00913C01">
        <w:rPr>
          <w:lang w:val="en-GB"/>
        </w:rPr>
        <w:t xml:space="preserve"> mitigation. By reducing the carbon footprint in these energy- and emission-intensive industries, this technology contributes significantly to global decarbonization efforts while aligning with emerging regulations and sustainability targets. To optimize performance and clarify the complex interplay among operational parameters, a D-Optimal design within the RSM framework was employed. Repeated trials confirmed strong congruence between experimental data and model predictions, demonstrating that enhanced slurry concentration and lower operating temperatures led to substantial gains in CO</w:t>
      </w:r>
      <w:r w:rsidRPr="00913C01">
        <w:rPr>
          <w:rFonts w:ascii="Cambria Math" w:hAnsi="Cambria Math" w:cs="Cambria Math"/>
          <w:lang w:val="en-GB"/>
        </w:rPr>
        <w:t>₂</w:t>
      </w:r>
      <w:r w:rsidRPr="00913C01">
        <w:rPr>
          <w:lang w:val="en-GB"/>
        </w:rPr>
        <w:t xml:space="preserve"> removal. Under these optimized parameters, removal efficiencies exceeding 80% were consistently attained, as verified through ANOVA and additional statistical evaluations. Furthermore, extended run tests indicated that high removal rates could be maintained over time without a marked increase in operational complexity. Collectively, these findings underscore the slurry reactor’s potential as a robust and scalable system for industrial CO</w:t>
      </w:r>
      <w:r w:rsidRPr="00913C01">
        <w:rPr>
          <w:rFonts w:ascii="Cambria Math" w:hAnsi="Cambria Math" w:cs="Cambria Math"/>
          <w:lang w:val="en-GB"/>
        </w:rPr>
        <w:t>₂</w:t>
      </w:r>
      <w:r w:rsidRPr="00913C01">
        <w:rPr>
          <w:lang w:val="en-GB"/>
        </w:rPr>
        <w:t xml:space="preserve"> capture, offering a technologically sound and economically viable pathway for mitigating greenhouse gas emissions on a broad scale.</w:t>
      </w:r>
    </w:p>
    <w:p w14:paraId="52C3F222" w14:textId="152AE264" w:rsidR="00A34B2D" w:rsidRDefault="00600535" w:rsidP="00A34B2D">
      <w:pPr>
        <w:pStyle w:val="CETHeading1"/>
        <w:rPr>
          <w:lang w:val="en-GB"/>
        </w:rPr>
      </w:pPr>
      <w:r w:rsidRPr="00B57B36">
        <w:rPr>
          <w:lang w:val="en-GB"/>
        </w:rPr>
        <w:t>Introduction</w:t>
      </w:r>
    </w:p>
    <w:p w14:paraId="7E22D552" w14:textId="1FAE325E" w:rsidR="00A34B2D" w:rsidRPr="00A34B2D" w:rsidRDefault="00A34B2D" w:rsidP="00A34B2D">
      <w:pPr>
        <w:pStyle w:val="ListParagraph"/>
        <w:ind w:left="0"/>
        <w:rPr>
          <w:rFonts w:asciiTheme="minorBidi" w:hAnsiTheme="minorBidi" w:cstheme="minorBidi"/>
          <w:szCs w:val="18"/>
        </w:rPr>
      </w:pPr>
      <w:r w:rsidRPr="00A34B2D">
        <w:rPr>
          <w:rFonts w:asciiTheme="minorBidi" w:hAnsiTheme="minorBidi" w:cstheme="minorBidi"/>
          <w:szCs w:val="18"/>
        </w:rPr>
        <w:t>Anthropogenic climate change constitutes a multifaceted global crisis, precipitated by the escalation of atmospheric CO</w:t>
      </w:r>
      <w:r w:rsidRPr="00A34B2D">
        <w:rPr>
          <w:rFonts w:ascii="Cambria Math" w:hAnsi="Cambria Math" w:cs="Cambria Math"/>
          <w:szCs w:val="18"/>
        </w:rPr>
        <w:t>₂</w:t>
      </w:r>
      <w:r w:rsidRPr="00A34B2D">
        <w:rPr>
          <w:rFonts w:asciiTheme="minorBidi" w:hAnsiTheme="minorBidi" w:cstheme="minorBidi"/>
          <w:szCs w:val="18"/>
        </w:rPr>
        <w:t xml:space="preserve"> concentrations due to industrial expansion, fossil fuel combustion, and unsustainable resource extraction. These processes </w:t>
      </w:r>
      <w:r w:rsidR="00C05380" w:rsidRPr="00A34B2D">
        <w:rPr>
          <w:rFonts w:asciiTheme="minorBidi" w:hAnsiTheme="minorBidi" w:cstheme="minorBidi"/>
          <w:szCs w:val="18"/>
        </w:rPr>
        <w:t>catalyse</w:t>
      </w:r>
      <w:r w:rsidRPr="00A34B2D">
        <w:rPr>
          <w:rFonts w:asciiTheme="minorBidi" w:hAnsiTheme="minorBidi" w:cstheme="minorBidi"/>
          <w:szCs w:val="18"/>
        </w:rPr>
        <w:t xml:space="preserve"> systemic disruptions, exacerbating meteorological extremes, accelerating biodiversity attrition, and destabilizing socio-economic structures on a planetary scale </w:t>
      </w:r>
      <w:r w:rsidRPr="00A34B2D">
        <w:rPr>
          <w:rFonts w:asciiTheme="minorBidi" w:hAnsiTheme="minorBidi" w:cstheme="minorBidi"/>
          <w:szCs w:val="18"/>
        </w:rPr>
        <w:fldChar w:fldCharType="begin" w:fldLock="1"/>
      </w:r>
      <w:r w:rsidR="00F03DD1">
        <w:rPr>
          <w:rFonts w:asciiTheme="minorBidi" w:hAnsiTheme="minorBidi" w:cstheme="minorBidi"/>
          <w:szCs w:val="18"/>
        </w:rPr>
        <w:instrText>ADDIN CSL_CITATION {"citationItems":[{"id":"ITEM-1","itemData":{"ISBN":"9783031155017","ISSN":"23520701","abstract":"Indonesia, particularly in the urban area, is prone to extreme events, especially floods. In addition, the duration, frequency, and intensity of such disasters are projected to increase due to the climate change. However, in Indonesia, little is known about the effects of those climate disasters on human health. Given the population’s extremely limited adaptive capacity, this is a critical information gap. We estimated the risk probability of waterborne diseases caused by flood utilizing the quantitative microbiological risk assessment (QMRA) approach. We used the RCP 4.5 climate scenario of daily precipitation data of MRI-CGCM 3, MIROC5, HadGEM to determine the future projection of waterborne disease under the flood 50-year return period scenario in 2030. In two of the main cities in Indonesia, Medan and Surabaya, we looked at norovirus as a worst-case scenario waterborne disease. We found that the mean probability of the health risk during the extreme event in the future is 0.079 (increased by 22%) and 0.12 (increased by 35%) in Medan and Surabaya, respectively. The total number of infected people will have at least a twofold increase in Medan and Surabaya. It is critical to address the growing risk of norovirus in the face of climate change and to find local context-relevant adaptation measures by conducting a workshop with local stakeholders in each city. The most relevant and urgent actions listed during the workshop were raising awareness in hygiene and behavior during the flood, increasing green space, and providing leak-proof communal septic tanks.","author":[{"dropping-particle":"","family":"Chatterjee","given":"Uday","non-dropping-particle":"","parse-names":false,"suffix":""},{"dropping-particle":"","family":"Akanwa","given":"Angela Oyilieze","non-dropping-particle":"","parse-names":false,"suffix":""},{"dropping-particle":"","family":"Kumar","given":"Suresh","non-dropping-particle":"","parse-names":false,"suffix":""},{"dropping-particle":"","family":"Singh","given":"Sudhir Kumar","non-dropping-particle":"","parse-names":false,"suffix":""},{"dropping-particle":"","family":"Roy","given":"Abira Dutta","non-dropping-particle":"","parse-names":false,"suffix":""}],"container-title":"Springer Climate","id":"ITEM-1","issued":{"date-parts":[["2022"]]},"page":"xxx, 776","title":"Ecological Footprints of Climate Change: Adaptive Approaches and Sustainability","type":"article-journal"},"uris":["http://www.mendeley.com/documents/?uuid=720ade49-8234-4587-a8ee-b008bce29cf0","http://www.mendeley.com/documents/?uuid=a010b845-f98b-47a9-863b-b00db08b9bb8"]},{"id":"ITEM-2","itemData":{"ISBN":"9783031443978","author":[{"dropping-particle":"","family":"Chatterjee","given":"Uday","non-dropping-particle":"","parse-names":false,"suffix":""},{"dropping-particle":"","family":"Shaw","given":"Rajib","non-dropping-particle":"","parse-names":false,"suffix":""},{"dropping-particle":"","family":"Kumar","given":"Suresh","non-dropping-particle":"","parse-names":false,"suffix":""},{"dropping-particle":"","family":"Raj","given":"Anu David","non-dropping-particle":"","parse-names":false,"suffix":""}],"id":"ITEM-2","issue":"November 2022","issued":{"date-parts":[["2022"]]},"page":"8-9","title":"“ Climate Crisis : Adaptive Approaches and Sustainability ”","type":"article-journal"},"uris":["http://www.mendeley.com/documents/?uuid=409125da-58b6-4166-be42-ea57df07523d","http://www.mendeley.com/documents/?uuid=cf8c31e4-f136-4198-95c1-e00ba3283333"]},{"id":"ITEM-3","itemData":{"DOI":"10.1016/j.gsf.2023.101757","ISSN":"16749871","abstract":"Natural resource scarcity, fossil fuel energy consumption, and total greenhouse gas emissions are critical issues that require immediate attention. With the global population steadily increasing and economies expanding, the demand for natural resources, particularly fossil fuels, has experienced an unprecedented surge. This surge in consumption is directly linked to the alarming rise in greenhouse gas emissions. The study examines the nexus between agricultural nitrous oxide emissions and natural resource scarcity, taking into account the dynamics of agriculture, forestry, fishing value addition, fossil fuels, and total greenhouse gas emissions in top-emitting countries between 1971 and 2020. Natural resource scarcity positively correlates with agriculture, forestry, fishing, fossil fuel energy consumption, and total greenhouse gas emissions. There is a decrease in natural resource scarcity in countries that emit agricultural nitrous oxide, forestry, fishing emissions, fossil fuel energy consumption, and greenhouse gas emissions. Policy-makers may promote sustainable development, mitigate climate change, and ensure the long-term viability of agricultural systems by addressing the dynamics of agriculture, forestry, and fishing value addition in top-emitting countries. Through strategic policy interventions, supported by technology transfer, capacity building, and market-based instruments, the agricultural, forestry, and fishing sector can achieve a more sustainable future while addressing the challenges of natural resource scarcity.","author":[{"dropping-particle":"","family":"Wang","given":"Jiannan","non-dropping-particle":"","parse-names":false,"suffix":""},{"dropping-particle":"","family":"Azam","given":"Waseem","non-dropping-particle":"","parse-names":false,"suffix":""}],"container-title":"Geoscience Frontiers","id":"ITEM-3","issue":"2","issued":{"date-parts":[["2024"]]},"title":"Natural resource scarcity, fossil fuel energy consumption, and total greenhouse gas emissions in top emitting countries","type":"article-journal","volume":"15"},"uris":["http://www.mendeley.com/documents/?uuid=2a3d3f50-9a5b-4244-be0c-728450b6db48","http://www.mendeley.com/documents/?uuid=7ed17fd5-9e81-43de-ab77-824ae8e0ceb3"]}],"mendeley":{"formattedCitation":"(Chatterjee, Akanwa, et al. 2022; Chatterjee, Shaw, et al. 2022; Wang and Azam 2024)","plainTextFormattedCitation":"(Chatterjee, Akanwa, et al. 2022; Chatterjee, Shaw, et al. 2022; Wang and Azam 2024)","previouslyFormattedCitation":"(Chatterjee, Akanwa, et al. 2022; Chatterjee, Shaw, et al. 2022; Wang and Azam 2024)"},"properties":{"noteIndex":0},"schema":"https://github.com/citation-style-language/schema/raw/master/csl-citation.json"}</w:instrText>
      </w:r>
      <w:r w:rsidRPr="00A34B2D">
        <w:rPr>
          <w:rFonts w:asciiTheme="minorBidi" w:hAnsiTheme="minorBidi" w:cstheme="minorBidi"/>
          <w:szCs w:val="18"/>
        </w:rPr>
        <w:fldChar w:fldCharType="separate"/>
      </w:r>
      <w:r w:rsidR="00F03DD1" w:rsidRPr="00F03DD1">
        <w:rPr>
          <w:rFonts w:asciiTheme="minorBidi" w:hAnsiTheme="minorBidi" w:cstheme="minorBidi"/>
          <w:noProof/>
          <w:szCs w:val="18"/>
        </w:rPr>
        <w:t>(Chatterjee, Akanwa, et al. 2022; Chatterjee, Shaw, et al. 2022; Wang and Azam 2024)</w:t>
      </w:r>
      <w:r w:rsidRPr="00A34B2D">
        <w:rPr>
          <w:rFonts w:asciiTheme="minorBidi" w:hAnsiTheme="minorBidi" w:cstheme="minorBidi"/>
          <w:szCs w:val="18"/>
        </w:rPr>
        <w:fldChar w:fldCharType="end"/>
      </w:r>
      <w:r w:rsidRPr="00A34B2D">
        <w:rPr>
          <w:rFonts w:asciiTheme="minorBidi" w:hAnsiTheme="minorBidi" w:cstheme="minorBidi"/>
          <w:szCs w:val="18"/>
        </w:rPr>
        <w:t>. Addressing these exigencies necessitates a synergistic integration of mitigation frameworks, notably carbon capture and utilization (CCU) and carbon capture and sequestration (CCS). CCU offers an avenue for repurposing CO</w:t>
      </w:r>
      <w:r w:rsidRPr="00A34B2D">
        <w:rPr>
          <w:rFonts w:ascii="Cambria Math" w:hAnsi="Cambria Math" w:cs="Cambria Math"/>
          <w:szCs w:val="18"/>
        </w:rPr>
        <w:t>₂</w:t>
      </w:r>
      <w:r w:rsidRPr="00A34B2D">
        <w:rPr>
          <w:rFonts w:asciiTheme="minorBidi" w:hAnsiTheme="minorBidi" w:cstheme="minorBidi"/>
          <w:szCs w:val="18"/>
        </w:rPr>
        <w:t xml:space="preserve"> into economically viable commodities such as carbonates and polymers, whereas CCS</w:t>
      </w:r>
      <w:r w:rsidRPr="00A34B2D">
        <w:rPr>
          <w:rFonts w:cs="Arial"/>
          <w:szCs w:val="18"/>
        </w:rPr>
        <w:t>—</w:t>
      </w:r>
      <w:r w:rsidRPr="00A34B2D">
        <w:rPr>
          <w:rFonts w:asciiTheme="minorBidi" w:hAnsiTheme="minorBidi" w:cstheme="minorBidi"/>
          <w:szCs w:val="18"/>
        </w:rPr>
        <w:t>particularly post-combustion technologies</w:t>
      </w:r>
      <w:r w:rsidRPr="00A34B2D">
        <w:rPr>
          <w:rFonts w:cs="Arial"/>
          <w:szCs w:val="18"/>
        </w:rPr>
        <w:t>—</w:t>
      </w:r>
      <w:r w:rsidRPr="00A34B2D">
        <w:rPr>
          <w:rFonts w:asciiTheme="minorBidi" w:hAnsiTheme="minorBidi" w:cstheme="minorBidi"/>
          <w:szCs w:val="18"/>
        </w:rPr>
        <w:t>facilitates the removal of CO</w:t>
      </w:r>
      <w:r w:rsidRPr="00A34B2D">
        <w:rPr>
          <w:rFonts w:ascii="Cambria Math" w:hAnsi="Cambria Math" w:cs="Cambria Math"/>
          <w:szCs w:val="18"/>
        </w:rPr>
        <w:t>₂</w:t>
      </w:r>
      <w:r w:rsidRPr="00A34B2D">
        <w:rPr>
          <w:rFonts w:asciiTheme="minorBidi" w:hAnsiTheme="minorBidi" w:cstheme="minorBidi"/>
          <w:szCs w:val="18"/>
        </w:rPr>
        <w:t xml:space="preserve"> from industrial effluent streams, ensuring its long-term sequestration in geological formations or oceanic reservoirs</w:t>
      </w:r>
      <w:r w:rsidR="00F03DD1">
        <w:rPr>
          <w:rFonts w:asciiTheme="minorBidi" w:hAnsiTheme="minorBidi" w:cstheme="minorBidi"/>
          <w:szCs w:val="18"/>
        </w:rPr>
        <w:t xml:space="preserve">. </w:t>
      </w:r>
      <w:r w:rsidRPr="00A34B2D">
        <w:rPr>
          <w:rFonts w:asciiTheme="minorBidi" w:hAnsiTheme="minorBidi" w:cstheme="minorBidi"/>
          <w:szCs w:val="18"/>
        </w:rPr>
        <w:t>While CCU enhances the economic viability of carbon management by transforming emissions into valuable materials, CCS remains indispensable for achieving atmospheric CO</w:t>
      </w:r>
      <w:r w:rsidRPr="00A34B2D">
        <w:rPr>
          <w:rFonts w:ascii="Cambria Math" w:hAnsi="Cambria Math" w:cs="Cambria Math"/>
          <w:szCs w:val="18"/>
        </w:rPr>
        <w:t>₂</w:t>
      </w:r>
      <w:r w:rsidRPr="00A34B2D">
        <w:rPr>
          <w:rFonts w:asciiTheme="minorBidi" w:hAnsiTheme="minorBidi" w:cstheme="minorBidi"/>
          <w:szCs w:val="18"/>
        </w:rPr>
        <w:t xml:space="preserve"> stabilization and reducing fossil fuel dependence </w:t>
      </w:r>
      <w:r w:rsidR="00733F30">
        <w:rPr>
          <w:rFonts w:asciiTheme="minorBidi" w:hAnsiTheme="minorBidi" w:cstheme="minorBidi"/>
          <w:szCs w:val="18"/>
        </w:rPr>
        <w:fldChar w:fldCharType="begin" w:fldLock="1"/>
      </w:r>
      <w:r w:rsidR="00BD0002">
        <w:rPr>
          <w:rFonts w:asciiTheme="minorBidi" w:hAnsiTheme="minorBidi" w:cstheme="minorBidi"/>
          <w:szCs w:val="18"/>
        </w:rPr>
        <w:instrText>ADDIN CSL_CITATION {"citationItems":[{"id":"ITEM-1","itemData":{"DOI":"10.1016/j.seta.2022.102623","ISSN":"22131388","abstract":"In the race to net zero, attention is turning to solutions that remove carbon dioxide from the atmosphere. Among them, technologies for the capture and geological storage of atmospheric CO2 are promising, while the capture and utilization of CO2 is a more uncertain way to significantly mitigate climate change. In this review, we aim at examining solutions to utilize and store CO2 in products in order to identify those eligible for negative emissions and quantify their potentials. First, we review the scientific literature and point out that CO2 utilization could both enable the production of goods and suck CO2 out of the atmosphere if employed for solvents, refrigerants or working fluids, or converted into carbonates and plastics. Then, we review energy models that explore the future potential of CO2 utilization to understand whether negative emissions are envisioned through CO2 utilization routes. We note that only a few models represent the negative emissions value chains through CO2 utilization, and even fewer report them in the results of their exercise. Finally, we discuss the feasibility and impacts of CO2 utilization deployment as well as its representation in energy models, considering the complexity of this value chain.","author":[{"dropping-particle":"","family":"Desport","given":"Lucas","non-dropping-particle":"","parse-names":false,"suffix":""},{"dropping-particle":"","family":"Selosse","given":"Sandrine","non-dropping-particle":"","parse-names":false,"suffix":""}],"container-title":"Sustainable Energy Technologies and Assessments","id":"ITEM-1","issued":{"date-parts":[["2022"]]},"title":"Perspectives of CO2 utilization as a negative emission technology","type":"article-journal","volume":"53"},"uris":["http://www.mendeley.com/documents/?uuid=233175f2-1b1a-4001-a062-d50c527a3473"]},{"id":"ITEM-2","itemData":{"DOI":"10.1002/tqem.22180","ISSN":"15206483","abstract":"Technologies for capturing and storing carbon dioxide (CO2) and strategies for sequestering carbon dioxide have received a lot of interest in recent years as potential remedies for the curtailment of the growing concerns of emissions of greenhouse gases and global warming. This article provides a comprehensive analysis on the trends in research and development in the area of CO2 carbon capture and sequestration at the moment. The review explores various technological approaches for capturing CO2 from industrial emissions, such as post-combustion capture systems, pre-combustion capture systems, and oxy-fuel combustion system. It also gives a major insight into the post-combustion capture of carbon by means of a summary, information obtained via a personal interview with a Combustion Based Unit (CBU) plant manager. Additionally, different methods for storing and sequestering the aforementioned gas, including geological and oceanic archiving, and mineralization, are examined. By synthesizing the findings from a wide range of studies and research papers, this literature review provides valuable insights into the current technologies for CO2 capture, storage, and sequestration, contributing to the ongoing efforts in addressing climate change and achieving sustainable development goals.","author":[{"dropping-particle":"","family":"Ibigbami","given":"Olayinka Abidemi","non-dropping-particle":"","parse-names":false,"suffix":""},{"dropping-particle":"","family":"Onilearo","given":"Oluwatimilehin Daniel","non-dropping-particle":"","parse-names":false,"suffix":""},{"dropping-particle":"","family":"Akinyeye","given":"Richard Odunayo","non-dropping-particle":"","parse-names":false,"suffix":""}],"container-title":"Environmental Quality Management","id":"ITEM-2","issue":"1","issued":{"date-parts":[["2024"]]},"title":"Post-combustion capture and other Carbon Capture and Sequestration (CCS) technologies: A review","type":"article-journal","volume":"34"},"uris":["http://www.mendeley.com/documents/?uuid=d11db5f0-9c64-497e-bbfe-a3c99b9af719"]}],"mendeley":{"formattedCitation":"(Desport and Selosse 2022; Ibigbami, Onilearo, and Akinyeye 2024)","plainTextFormattedCitation":"(Desport and Selosse 2022; Ibigbami, Onilearo, and Akinyeye 2024)","previouslyFormattedCitation":"(Desport and Selosse 2022; Ibigbami, Onilearo, and Akinyeye 2024)"},"properties":{"noteIndex":0},"schema":"https://github.com/citation-style-language/schema/raw/master/csl-citation.json"}</w:instrText>
      </w:r>
      <w:r w:rsidR="00733F30">
        <w:rPr>
          <w:rFonts w:asciiTheme="minorBidi" w:hAnsiTheme="minorBidi" w:cstheme="minorBidi"/>
          <w:szCs w:val="18"/>
        </w:rPr>
        <w:fldChar w:fldCharType="separate"/>
      </w:r>
      <w:r w:rsidR="00BD0002" w:rsidRPr="00BD0002">
        <w:rPr>
          <w:rFonts w:asciiTheme="minorBidi" w:hAnsiTheme="minorBidi" w:cstheme="minorBidi"/>
          <w:noProof/>
          <w:szCs w:val="18"/>
        </w:rPr>
        <w:t>(Desport and Selosse 2022; Ibigbami, Onilearo, and Akinyeye 2024)</w:t>
      </w:r>
      <w:r w:rsidR="00733F30">
        <w:rPr>
          <w:rFonts w:asciiTheme="minorBidi" w:hAnsiTheme="minorBidi" w:cstheme="minorBidi"/>
          <w:szCs w:val="18"/>
        </w:rPr>
        <w:fldChar w:fldCharType="end"/>
      </w:r>
      <w:r w:rsidRPr="00A34B2D">
        <w:rPr>
          <w:rFonts w:asciiTheme="minorBidi" w:hAnsiTheme="minorBidi" w:cstheme="minorBidi"/>
          <w:szCs w:val="18"/>
        </w:rPr>
        <w:t xml:space="preserve">. A comprehensive climate policy paradigm must concurrently advance renewable energy proliferation, optimize carbon sequestration methodologies, and integrate CCU and CCS within a holistic sustainability </w:t>
      </w:r>
      <w:r w:rsidRPr="00A34B2D">
        <w:rPr>
          <w:rFonts w:asciiTheme="minorBidi" w:hAnsiTheme="minorBidi" w:cstheme="minorBidi"/>
          <w:szCs w:val="18"/>
        </w:rPr>
        <w:lastRenderedPageBreak/>
        <w:t>framework to foster economic resilience and long-term ecological equilibrium</w:t>
      </w:r>
      <w:r w:rsidR="00733F30">
        <w:rPr>
          <w:rFonts w:asciiTheme="minorBidi" w:hAnsiTheme="minorBidi" w:cstheme="minorBidi"/>
          <w:szCs w:val="18"/>
        </w:rPr>
        <w:fldChar w:fldCharType="begin" w:fldLock="1"/>
      </w:r>
      <w:r w:rsidR="00BD0002">
        <w:rPr>
          <w:rFonts w:asciiTheme="minorBidi" w:hAnsiTheme="minorBidi" w:cstheme="minorBidi"/>
          <w:szCs w:val="18"/>
        </w:rPr>
        <w:instrText>ADDIN CSL_CITATION {"citationItems":[{"id":"ITEM-1","itemData":{"ISBN":"9783031155017","ISSN":"23520701","abstract":"Indonesia, particularly in the urban area, is prone to extreme events, especially floods. In addition, the duration, frequency, and intensity of such disasters are projected to increase due to the climate change. However, in Indonesia, little is known about the effects of those climate disasters on human health. Given the population’s extremely limited adaptive capacity, this is a critical information gap. We estimated the risk probability of waterborne diseases caused by flood utilizing the quantitative microbiological risk assessment (QMRA) approach. We used the RCP 4.5 climate scenario of daily precipitation data of MRI-CGCM 3, MIROC5, HadGEM to determine the future projection of waterborne disease under the flood 50-year return period scenario in 2030. In two of the main cities in Indonesia, Medan and Surabaya, we looked at norovirus as a worst-case scenario waterborne disease. We found that the mean probability of the health risk during the extreme event in the future is 0.079 (increased by 22%) and 0.12 (increased by 35%) in Medan and Surabaya, respectively. The total number of infected people will have at least a twofold increase in Medan and Surabaya. It is critical to address the growing risk of norovirus in the face of climate change and to find local context-relevant adaptation measures by conducting a workshop with local stakeholders in each city. The most relevant and urgent actions listed during the workshop were raising awareness in hygiene and behavior during the flood, increasing green space, and providing leak-proof communal septic tanks.","author":[{"dropping-particle":"","family":"Chatterjee","given":"Uday","non-dropping-particle":"","parse-names":false,"suffix":""},{"dropping-particle":"","family":"Akanwa","given":"Angela Oyilieze","non-dropping-particle":"","parse-names":false,"suffix":""},{"dropping-particle":"","family":"Kumar","given":"Suresh","non-dropping-particle":"","parse-names":false,"suffix":""},{"dropping-particle":"","family":"Singh","given":"Sudhir Kumar","non-dropping-particle":"","parse-names":false,"suffix":""},{"dropping-particle":"","family":"Roy","given":"Abira Dutta","non-dropping-particle":"","parse-names":false,"suffix":""}],"container-title":"Springer Climate","id":"ITEM-1","issued":{"date-parts":[["2022"]]},"page":"xxx, 776","title":"Ecological Footprints of Climate Change: Adaptive Approaches and Sustainability","type":"article-journal"},"uris":["http://www.mendeley.com/documents/?uuid=a010b845-f98b-47a9-863b-b00db08b9bb8"]},{"id":"ITEM-2","itemData":{"DOI":"10.1002/tqem.22180","ISSN":"15206483","abstract":"Technologies for capturing and storing carbon dioxide (CO2) and strategies for sequestering carbon dioxide have received a lot of interest in recent years as potential remedies for the curtailment of the growing concerns of emissions of greenhouse gases and global warming. This article provides a comprehensive analysis on the trends in research and development in the area of CO2 carbon capture and sequestration at the moment. The review explores various technological approaches for capturing CO2 from industrial emissions, such as post-combustion capture systems, pre-combustion capture systems, and oxy-fuel combustion system. It also gives a major insight into the post-combustion capture of carbon by means of a summary, information obtained via a personal interview with a Combustion Based Unit (CBU) plant manager. Additionally, different methods for storing and sequestering the aforementioned gas, including geological and oceanic archiving, and mineralization, are examined. By synthesizing the findings from a wide range of studies and research papers, this literature review provides valuable insights into the current technologies for CO2 capture, storage, and sequestration, contributing to the ongoing efforts in addressing climate change and achieving sustainable development goals.","author":[{"dropping-particle":"","family":"Ibigbami","given":"Olayinka Abidemi","non-dropping-particle":"","parse-names":false,"suffix":""},{"dropping-particle":"","family":"Onilearo","given":"Oluwatimilehin Daniel","non-dropping-particle":"","parse-names":false,"suffix":""},{"dropping-particle":"","family":"Akinyeye","given":"Richard Odunayo","non-dropping-particle":"","parse-names":false,"suffix":""}],"container-title":"Environmental Quality Management","id":"ITEM-2","issue":"1","issued":{"date-parts":[["2024"]]},"title":"Post-combustion capture and other Carbon Capture and Sequestration (CCS) technologies: A review","type":"article-journal","volume":"34"},"uris":["http://www.mendeley.com/documents/?uuid=d11db5f0-9c64-497e-bbfe-a3c99b9af719"]}],"mendeley":{"formattedCitation":"(Chatterjee, Akanwa, et al. 2022; Ibigbami, Onilearo, and Akinyeye 2024)","plainTextFormattedCitation":"(Chatterjee, Akanwa, et al. 2022; Ibigbami, Onilearo, and Akinyeye 2024)","previouslyFormattedCitation":"(Chatterjee, Akanwa, et al. 2022; Ibigbami, Onilearo, and Akinyeye 2024)"},"properties":{"noteIndex":0},"schema":"https://github.com/citation-style-language/schema/raw/master/csl-citation.json"}</w:instrText>
      </w:r>
      <w:r w:rsidR="00733F30">
        <w:rPr>
          <w:rFonts w:asciiTheme="minorBidi" w:hAnsiTheme="minorBidi" w:cstheme="minorBidi"/>
          <w:szCs w:val="18"/>
        </w:rPr>
        <w:fldChar w:fldCharType="separate"/>
      </w:r>
      <w:r w:rsidR="00BD0002" w:rsidRPr="00BD0002">
        <w:rPr>
          <w:rFonts w:asciiTheme="minorBidi" w:hAnsiTheme="minorBidi" w:cstheme="minorBidi"/>
          <w:noProof/>
          <w:szCs w:val="18"/>
        </w:rPr>
        <w:t>(Chatterjee, Akanwa, et al. 2022; Ibigbami, Onilearo, and Akinyeye 2024)</w:t>
      </w:r>
      <w:r w:rsidR="00733F30">
        <w:rPr>
          <w:rFonts w:asciiTheme="minorBidi" w:hAnsiTheme="minorBidi" w:cstheme="minorBidi"/>
          <w:szCs w:val="18"/>
        </w:rPr>
        <w:fldChar w:fldCharType="end"/>
      </w:r>
      <w:r w:rsidR="00733F30">
        <w:rPr>
          <w:rFonts w:asciiTheme="minorBidi" w:hAnsiTheme="minorBidi" w:cstheme="minorBidi"/>
          <w:szCs w:val="18"/>
        </w:rPr>
        <w:t>.</w:t>
      </w:r>
    </w:p>
    <w:p w14:paraId="195E9DF5" w14:textId="286901D7" w:rsidR="00A34B2D" w:rsidRPr="00A34B2D" w:rsidRDefault="00A34B2D" w:rsidP="00A34B2D">
      <w:pPr>
        <w:pStyle w:val="ListParagraph"/>
        <w:ind w:left="0"/>
        <w:rPr>
          <w:rFonts w:asciiTheme="minorBidi" w:hAnsiTheme="minorBidi" w:cstheme="minorBidi"/>
          <w:szCs w:val="18"/>
        </w:rPr>
      </w:pPr>
      <w:r w:rsidRPr="00A34B2D">
        <w:rPr>
          <w:rFonts w:asciiTheme="minorBidi" w:hAnsiTheme="minorBidi" w:cstheme="minorBidi"/>
          <w:szCs w:val="18"/>
        </w:rPr>
        <w:t>Physical-chemical absorption using aqueous amine-based solvents remains the foremost industrial approach for post-combustion CO</w:t>
      </w:r>
      <w:r w:rsidRPr="00A34B2D">
        <w:rPr>
          <w:rFonts w:ascii="Cambria Math" w:hAnsi="Cambria Math" w:cs="Cambria Math"/>
          <w:szCs w:val="18"/>
        </w:rPr>
        <w:t>₂</w:t>
      </w:r>
      <w:r w:rsidRPr="00A34B2D">
        <w:rPr>
          <w:rFonts w:asciiTheme="minorBidi" w:hAnsiTheme="minorBidi" w:cstheme="minorBidi"/>
          <w:szCs w:val="18"/>
        </w:rPr>
        <w:t xml:space="preserve"> capture, widely employed in large-scale applications such as natural gas purification, hydrogen production, and power generation </w:t>
      </w:r>
      <w:r w:rsidRPr="00A34B2D">
        <w:rPr>
          <w:rFonts w:asciiTheme="minorBidi" w:hAnsiTheme="minorBidi" w:cstheme="minorBidi"/>
          <w:szCs w:val="18"/>
        </w:rPr>
        <w:fldChar w:fldCharType="begin" w:fldLock="1"/>
      </w:r>
      <w:r w:rsidR="00F03DD1">
        <w:rPr>
          <w:rFonts w:asciiTheme="minorBidi" w:hAnsiTheme="minorBidi" w:cstheme="minorBidi"/>
          <w:szCs w:val="18"/>
        </w:rPr>
        <w:instrText>ADDIN CSL_CITATION {"citationItems":[{"id":"ITEM-1","itemData":{"DOI":"10.1016/j.coche.2022.100868","ISSN":"22113398","abstract":"This review presents the typical industrial CO2 removal unit using aqueous amines, including pretreatment, compression and dehydration, and water, solvent, and emission management. The return of operational experience is summarized for two post-combustion capture plants. Recent advances in the field of solvent development, emission and waste management, heat integration, process modeling, optimization, and control are briefly discussed. We show that all those topics are strongly related and that any future improvement ideally needs to address them simultaneously. More research on the environmental and health impact of emissions and waste is also required before large-scale implementation of the technology.","author":[{"dropping-particle":"","family":"Meyer","given":"Frédérick","non-dropping-particle":"de","parse-names":false,"suffix":""},{"dropping-particle":"","family":"Jouenne","given":"Stéphane","non-dropping-particle":"","parse-names":false,"suffix":""}],"container-title":"Current Opinion in Chemical Engineering","id":"ITEM-1","issued":{"date-parts":[["2022"]]},"title":"Industrial carbon capture by absorption: recent advances and path forward","type":"article-journal","volume":"38"},"uris":["http://www.mendeley.com/documents/?uuid=88983439-1563-4374-98fd-1da7b3a3017c","http://www.mendeley.com/documents/?uuid=77a8388b-75bf-4d0e-b1f3-6a735cca4173"]}],"mendeley":{"formattedCitation":"(de Meyer and Jouenne 2022)","plainTextFormattedCitation":"(de Meyer and Jouenne 2022)","previouslyFormattedCitation":"(de Meyer and Jouenne 2022)"},"properties":{"noteIndex":0},"schema":"https://github.com/citation-style-language/schema/raw/master/csl-citation.json"}</w:instrText>
      </w:r>
      <w:r w:rsidRPr="00A34B2D">
        <w:rPr>
          <w:rFonts w:asciiTheme="minorBidi" w:hAnsiTheme="minorBidi" w:cstheme="minorBidi"/>
          <w:szCs w:val="18"/>
        </w:rPr>
        <w:fldChar w:fldCharType="separate"/>
      </w:r>
      <w:r w:rsidR="00F03DD1" w:rsidRPr="00F03DD1">
        <w:rPr>
          <w:rFonts w:asciiTheme="minorBidi" w:hAnsiTheme="minorBidi" w:cstheme="minorBidi"/>
          <w:noProof/>
          <w:szCs w:val="18"/>
        </w:rPr>
        <w:t>(de Meyer and Jouenne 2022)</w:t>
      </w:r>
      <w:r w:rsidRPr="00A34B2D">
        <w:rPr>
          <w:rFonts w:asciiTheme="minorBidi" w:hAnsiTheme="minorBidi" w:cstheme="minorBidi"/>
          <w:szCs w:val="18"/>
        </w:rPr>
        <w:fldChar w:fldCharType="end"/>
      </w:r>
      <w:r w:rsidRPr="00A34B2D">
        <w:rPr>
          <w:rFonts w:asciiTheme="minorBidi" w:hAnsiTheme="minorBidi" w:cstheme="minorBidi"/>
          <w:szCs w:val="18"/>
        </w:rPr>
        <w:t>. This method exploits the strong chemical reactivity between CO</w:t>
      </w:r>
      <w:r w:rsidRPr="00A34B2D">
        <w:rPr>
          <w:rFonts w:ascii="Cambria Math" w:hAnsi="Cambria Math" w:cs="Cambria Math"/>
          <w:szCs w:val="18"/>
        </w:rPr>
        <w:t>₂</w:t>
      </w:r>
      <w:r w:rsidRPr="00A34B2D">
        <w:rPr>
          <w:rFonts w:asciiTheme="minorBidi" w:hAnsiTheme="minorBidi" w:cstheme="minorBidi"/>
          <w:szCs w:val="18"/>
        </w:rPr>
        <w:t xml:space="preserve"> and amines, particularly monoethanolamide (MEA) and its advanced derivatives, to enable selective absorption in packed columns, followed by thermal regeneration in stripping units for solvent recovery and CO</w:t>
      </w:r>
      <w:r w:rsidRPr="00A34B2D">
        <w:rPr>
          <w:rFonts w:ascii="Cambria Math" w:hAnsi="Cambria Math" w:cs="Cambria Math"/>
          <w:szCs w:val="18"/>
        </w:rPr>
        <w:t>₂</w:t>
      </w:r>
      <w:r w:rsidRPr="00A34B2D">
        <w:rPr>
          <w:rFonts w:asciiTheme="minorBidi" w:hAnsiTheme="minorBidi" w:cstheme="minorBidi"/>
          <w:szCs w:val="18"/>
        </w:rPr>
        <w:t xml:space="preserve"> sequestration</w:t>
      </w:r>
      <w:r w:rsidR="00733F30">
        <w:rPr>
          <w:rFonts w:asciiTheme="minorBidi" w:hAnsiTheme="minorBidi" w:cstheme="minorBidi"/>
          <w:szCs w:val="18"/>
        </w:rPr>
        <w:fldChar w:fldCharType="begin" w:fldLock="1"/>
      </w:r>
      <w:r w:rsidR="00BD0002">
        <w:rPr>
          <w:rFonts w:asciiTheme="minorBidi" w:hAnsiTheme="minorBidi" w:cstheme="minorBidi"/>
          <w:szCs w:val="18"/>
        </w:rPr>
        <w:instrText>ADDIN CSL_CITATION {"citationItems":[{"id":"ITEM-1","itemData":{"DOI":"10.1016/j.coche.2022.100868","ISSN":"22113398","abstract":"This review presents the typical industrial CO2 removal unit using aqueous amines, including pretreatment, compression and dehydration, and water, solvent, and emission management. The return of operational experience is summarized for two post-combustion capture plants. Recent advances in the field of solvent development, emission and waste management, heat integration, process modeling, optimization, and control are briefly discussed. We show that all those topics are strongly related and that any future improvement ideally needs to address them simultaneously. More research on the environmental and health impact of emissions and waste is also required before large-scale implementation of the technology.","author":[{"dropping-particle":"","family":"Meyer","given":"Frédérick","non-dropping-particle":"de","parse-names":false,"suffix":""},{"dropping-particle":"","family":"Jouenne","given":"Stéphane","non-dropping-particle":"","parse-names":false,"suffix":""}],"container-title":"Current Opinion in Chemical Engineering","id":"ITEM-1","issued":{"date-parts":[["2022"]]},"title":"Industrial carbon capture by absorption: recent advances and path forward","type":"article-journal","volume":"38"},"uris":["http://www.mendeley.com/documents/?uuid=77a8388b-75bf-4d0e-b1f3-6a735cca4173"]},{"id":"ITEM-2","itemData":{"DOI":"10.1016/j.energy.2012.06.038","ISSN":"03605442","abstract":"This paper deals with the simultaneously optimization of operating conditions (pressures, temperatures and flow-rates) and dimensions (diameter and height) of the amine regeneration unit in the post-combustion CO2 capture process. The proposed model takes into account the effect of kinetic reactions on the mass transfer, the hydraulics of the random packing and the pressure drop along the column. In addition, profiles of temperature, composition and flow-rate along the height of the regenerator are also predicted.The resulting mathematical model is implemented into the optimization environment General Algebraic Modeling System (GAMS) which is a high-level modeling system for mathematical programming and optimization. The benefits of the mathematical programming techniques (equation-oriented modeling tools) are exploited for the simultaneous optimization not only of the operating conditions but also the dimensions of the all piece of equipments (heat exchangers, regeneration unit, condenser and reboiler).The mathematical model was successfully verified by comparison of the obtained results with published experimental data and simulated solutions obtained by a process simulator (HYSYS). Once validated, the model was used for optimization purpose.Finally, in order to study the effect of the main process parameters on the optimized results a sensitivity analysis is also investigated and discussed in detail. © 2012 Elsevier Ltd.","author":[{"dropping-particle":"","family":"Mores","given":"Patricia","non-dropping-particle":"","parse-names":false,"suffix":""},{"dropping-particle":"","family":"Scenna","given":"Nicolás","non-dropping-particle":"","parse-names":false,"suffix":""},{"dropping-particle":"","family":"Mussati","given":"Sergio","non-dropping-particle":"","parse-names":false,"suffix":""}],"container-title":"Energy","id":"ITEM-2","issue":"1","issued":{"date-parts":[["2012"]]},"page":"1042-1058","title":"CO2 capture using monoethanolamine (MEA) aqueous solution: Modeling and optimization of the solvent regeneration and CO2 desorption process","type":"article-journal","volume":"45"},"uris":["http://www.mendeley.com/documents/?uuid=81db8bfd-3f84-4edc-8404-ac5f72e5d640"]}],"mendeley":{"formattedCitation":"(de Meyer and Jouenne 2022; Mores, Scenna, and Mussati 2012)","plainTextFormattedCitation":"(de Meyer and Jouenne 2022; Mores, Scenna, and Mussati 2012)","previouslyFormattedCitation":"(de Meyer and Jouenne 2022; Mores, Scenna, and Mussati 2012)"},"properties":{"noteIndex":0},"schema":"https://github.com/citation-style-language/schema/raw/master/csl-citation.json"}</w:instrText>
      </w:r>
      <w:r w:rsidR="00733F30">
        <w:rPr>
          <w:rFonts w:asciiTheme="minorBidi" w:hAnsiTheme="minorBidi" w:cstheme="minorBidi"/>
          <w:szCs w:val="18"/>
        </w:rPr>
        <w:fldChar w:fldCharType="separate"/>
      </w:r>
      <w:r w:rsidR="00BD0002" w:rsidRPr="00BD0002">
        <w:rPr>
          <w:rFonts w:asciiTheme="minorBidi" w:hAnsiTheme="minorBidi" w:cstheme="minorBidi"/>
          <w:noProof/>
          <w:szCs w:val="18"/>
        </w:rPr>
        <w:t>(de Meyer and Jouenne 2022; Mores, Scenna, and Mussati 2012)</w:t>
      </w:r>
      <w:r w:rsidR="00733F30">
        <w:rPr>
          <w:rFonts w:asciiTheme="minorBidi" w:hAnsiTheme="minorBidi" w:cstheme="minorBidi"/>
          <w:szCs w:val="18"/>
        </w:rPr>
        <w:fldChar w:fldCharType="end"/>
      </w:r>
      <w:r w:rsidRPr="00A34B2D">
        <w:rPr>
          <w:rFonts w:asciiTheme="minorBidi" w:hAnsiTheme="minorBidi" w:cstheme="minorBidi"/>
          <w:szCs w:val="18"/>
        </w:rPr>
        <w:t xml:space="preserve">. Despite its technological maturity, traditional amine-based systems suffer from high energy consumption for solvent regeneration, degradation through oxidative and thermal pathways, and corrosivity, necessitating advancements in solvent chemistry, process intensification, and energy integration </w:t>
      </w:r>
      <w:r w:rsidRPr="00A34B2D">
        <w:rPr>
          <w:rFonts w:asciiTheme="minorBidi" w:hAnsiTheme="minorBidi" w:cstheme="minorBidi"/>
          <w:szCs w:val="18"/>
        </w:rPr>
        <w:fldChar w:fldCharType="begin" w:fldLock="1"/>
      </w:r>
      <w:r w:rsidR="00F03DD1">
        <w:rPr>
          <w:rFonts w:asciiTheme="minorBidi" w:hAnsiTheme="minorBidi" w:cstheme="minorBidi"/>
          <w:szCs w:val="18"/>
        </w:rPr>
        <w:instrText>ADDIN CSL_CITATION {"citationItems":[{"id":"ITEM-1","itemData":{"DOI":"10.1016/j.coche.2022.100868","ISSN":"22113398","abstract":"This review presents the typical industrial CO2 removal unit using aqueous amines, including pretreatment, compression and dehydration, and water, solvent, and emission management. The return of operational experience is summarized for two post-combustion capture plants. Recent advances in the field of solvent development, emission and waste management, heat integration, process modeling, optimization, and control are briefly discussed. We show that all those topics are strongly related and that any future improvement ideally needs to address them simultaneously. More research on the environmental and health impact of emissions and waste is also required before large-scale implementation of the technology.","author":[{"dropping-particle":"","family":"Meyer","given":"Frédérick","non-dropping-particle":"de","parse-names":false,"suffix":""},{"dropping-particle":"","family":"Jouenne","given":"Stéphane","non-dropping-particle":"","parse-names":false,"suffix":""}],"container-title":"Current Opinion in Chemical Engineering","id":"ITEM-1","issued":{"date-parts":[["2022"]]},"title":"Industrial carbon capture by absorption: recent advances and path forward","type":"article-journal","volume":"38"},"uris":["http://www.mendeley.com/documents/?uuid=77a8388b-75bf-4d0e-b1f3-6a735cca4173","http://www.mendeley.com/documents/?uuid=88983439-1563-4374-98fd-1da7b3a3017c"]}],"mendeley":{"formattedCitation":"(de Meyer and Jouenne 2022)","plainTextFormattedCitation":"(de Meyer and Jouenne 2022)","previouslyFormattedCitation":"(de Meyer and Jouenne 2022)"},"properties":{"noteIndex":0},"schema":"https://github.com/citation-style-language/schema/raw/master/csl-citation.json"}</w:instrText>
      </w:r>
      <w:r w:rsidRPr="00A34B2D">
        <w:rPr>
          <w:rFonts w:asciiTheme="minorBidi" w:hAnsiTheme="minorBidi" w:cstheme="minorBidi"/>
          <w:szCs w:val="18"/>
        </w:rPr>
        <w:fldChar w:fldCharType="separate"/>
      </w:r>
      <w:r w:rsidR="00F03DD1" w:rsidRPr="00F03DD1">
        <w:rPr>
          <w:rFonts w:asciiTheme="minorBidi" w:hAnsiTheme="minorBidi" w:cstheme="minorBidi"/>
          <w:noProof/>
          <w:szCs w:val="18"/>
        </w:rPr>
        <w:t>(de Meyer and Jouenne 2022)</w:t>
      </w:r>
      <w:r w:rsidRPr="00A34B2D">
        <w:rPr>
          <w:rFonts w:asciiTheme="minorBidi" w:hAnsiTheme="minorBidi" w:cstheme="minorBidi"/>
          <w:szCs w:val="18"/>
        </w:rPr>
        <w:fldChar w:fldCharType="end"/>
      </w:r>
      <w:r w:rsidRPr="00A34B2D">
        <w:rPr>
          <w:rFonts w:asciiTheme="minorBidi" w:hAnsiTheme="minorBidi" w:cstheme="minorBidi"/>
          <w:szCs w:val="18"/>
        </w:rPr>
        <w:t>. To address these limitations, next-generation solvent systems incorporating water-lean amines, ionic liquids, and amino acid salts have been developed, offering superior CO</w:t>
      </w:r>
      <w:r w:rsidRPr="00A34B2D">
        <w:rPr>
          <w:rFonts w:ascii="Cambria Math" w:hAnsi="Cambria Math" w:cs="Cambria Math"/>
          <w:szCs w:val="18"/>
        </w:rPr>
        <w:t>₂</w:t>
      </w:r>
      <w:r w:rsidRPr="00A34B2D">
        <w:rPr>
          <w:rFonts w:asciiTheme="minorBidi" w:hAnsiTheme="minorBidi" w:cstheme="minorBidi"/>
          <w:szCs w:val="18"/>
        </w:rPr>
        <w:t xml:space="preserve"> absorption kinetics, enhanced stability, and lower energy penalties for solvent regeneration</w:t>
      </w:r>
      <w:r w:rsidR="00733F30">
        <w:rPr>
          <w:rFonts w:asciiTheme="minorBidi" w:hAnsiTheme="minorBidi" w:cstheme="minorBidi"/>
          <w:szCs w:val="18"/>
        </w:rPr>
        <w:fldChar w:fldCharType="begin" w:fldLock="1"/>
      </w:r>
      <w:r w:rsidR="00BD0002">
        <w:rPr>
          <w:rFonts w:asciiTheme="minorBidi" w:hAnsiTheme="minorBidi" w:cstheme="minorBidi"/>
          <w:szCs w:val="18"/>
        </w:rPr>
        <w:instrText>ADDIN CSL_CITATION {"citationItems":[{"id":"ITEM-1","itemData":{"DOI":"10.1016/j.energy.2015.06.059","ISSN":"03605442","abstract":"There is an increasing interest in post-combustion CO2 capture related to climate change and further use of the captured CO2 in enhanced oil and gas recovery, as well as a feed to produce products such as methanol or dimethylether, the use in hot dry rock technologies, etc. The currently used post-combustion capture method based on MEA (monoethanolamine) absorption without stream split has significant steam consumption to regenerate the amine solution. In this work, the HEN ADU (Heat Exchanger Network of an Absorption Desorption Unit) is analysed using the Process Integration methodology. It is supplemented with the search of economically viable options of desorption column parameters by computer modelling and the use of compact PHEs (plate heat exchangers) with intensified heat transfer. Based on the presented case study, the variation of temperature approach inside the rich/lean heat exchanger is considered. Its influence on the heat consumption, the energy efficiency and the investment cost of the HEN ADU unit are discussed. The use of PHEs in HEN ADU allows with the same or even smaller purchased cost of heat exchangers to save up to 13% more energy as compare to HEN with conventional shell and tube heat exchangers.","author":[{"dropping-particle":"","family":"Perevertaylenko","given":"Olexander Yu","non-dropping-particle":"","parse-names":false,"suffix":""},{"dropping-particle":"","family":"Gariev","given":"Andriy O.","non-dropping-particle":"","parse-names":false,"suffix":""},{"dropping-particle":"","family":"Damartzis","given":"Theodoros","non-dropping-particle":"","parse-names":false,"suffix":""},{"dropping-particle":"","family":"Tovazhnyanskyy","given":"Leonid L.","non-dropping-particle":"","parse-names":false,"suffix":""},{"dropping-particle":"","family":"Kapustenko","given":"Petro O.","non-dropping-particle":"","parse-names":false,"suffix":""},{"dropping-particle":"","family":"Arsenyeva","given":"Olga P.","non-dropping-particle":"","parse-names":false,"suffix":""}],"container-title":"Energy","id":"ITEM-1","issued":{"date-parts":[["2014"]]},"page":"105-112","title":"Searches of cost effective ways for amine absorption unit design in CO2 post-combustion capture process","type":"article-journal","volume":"90"},"uris":["http://www.mendeley.com/documents/?uuid=db0eb5b2-f673-443a-8ea7-17220388b514"]},{"id":"ITEM-2","itemData":{"DOI":"10.1016/j.cej.2023.144918","ISSN":"13858947","abstract":"A commercial-ready amine-based CO2 capture process (CCP) restricts its potential for industrial deployment at a high capture rate to achieve a net-zero carbon target due to its energy-intensive nature. This study aims to enhance the energy efficiency of a monoethanolamine (MEA)-based CCP, operating at a 95% capture rate, by developing advanced process modules that utilize low-grade waste heat. To establish a foundation for designing cascade modules that can recover energy from all available waste heat, the waste heat characteristics were analyzed, and the feasibility of four single modules was explored to recover the latent heat in a stripped gas. Subsequently, this study comparatively investigated the equivalent electrical works of the two designed cascade modules combined with lean vapor compression (LVC). A techno-analysis indicated that cascade modules provided outstanding energy-saving performance ranging from 12.27% to 24.55%, with an average improvement of 50% over single modules. Although the cascade modules combined with LVC showed similar energy-saving performances, higher robustness for equivalence factor (EF) and more energy-savings were discovered in the electricity generation and direct heat supply strategies, respectively. Economic analysis indicated that advanced process modules were economically feasible, with a savings-to-investment ratio (SIR) exceeding 1. The SIR and payback period (PBP) depended on EF and electricity prices. Significantly, the cascade module for direct heat supply emerged as the most appropriate in terms of both economic viability and energy-saving efficiency in amine-based CCPs, particularly at a higher EF.","author":[{"dropping-particle":"","family":"Zhang","given":"Zhiwei","non-dropping-particle":"","parse-names":false,"suffix":""},{"dropping-particle":"","family":"Vo","given":"Dat Nguyen","non-dropping-particle":"","parse-names":false,"suffix":""},{"dropping-particle":"","family":"Kum","given":"Jaesung","non-dropping-particle":"","parse-names":false,"suffix":""},{"dropping-particle":"","family":"Hong","given":"Suk Hoon","non-dropping-particle":"","parse-names":false,"suffix":""},{"dropping-particle":"","family":"Lee","given":"Chang Ha","non-dropping-particle":"","parse-names":false,"suffix":""}],"container-title":"Chemical Engineering Journal","id":"ITEM-2","issued":{"date-parts":[["2023"]]},"title":"Enhancing energy efficiency of chemical absorption-based CO2 capture process with advanced waste-heat recovery modules at a high capture rate","type":"article-journal","volume":"472"},"uris":["http://www.mendeley.com/documents/?uuid=84e7f8c2-e470-4c3a-992e-a24140f2b6c8"]}],"mendeley":{"formattedCitation":"(Perevertaylenko et al. 2014; Zhang et al. 2023)","plainTextFormattedCitation":"(Perevertaylenko et al. 2014; Zhang et al. 2023)","previouslyFormattedCitation":"(Perevertaylenko et al. 2014; Zhang et al. 2023)"},"properties":{"noteIndex":0},"schema":"https://github.com/citation-style-language/schema/raw/master/csl-citation.json"}</w:instrText>
      </w:r>
      <w:r w:rsidR="00733F30">
        <w:rPr>
          <w:rFonts w:asciiTheme="minorBidi" w:hAnsiTheme="minorBidi" w:cstheme="minorBidi"/>
          <w:szCs w:val="18"/>
        </w:rPr>
        <w:fldChar w:fldCharType="separate"/>
      </w:r>
      <w:r w:rsidR="00BD0002" w:rsidRPr="00BD0002">
        <w:rPr>
          <w:rFonts w:asciiTheme="minorBidi" w:hAnsiTheme="minorBidi" w:cstheme="minorBidi"/>
          <w:noProof/>
          <w:szCs w:val="18"/>
        </w:rPr>
        <w:t>(Perevertaylenko et al. 2014; Zhang et al. 2023)</w:t>
      </w:r>
      <w:r w:rsidR="00733F30">
        <w:rPr>
          <w:rFonts w:asciiTheme="minorBidi" w:hAnsiTheme="minorBidi" w:cstheme="minorBidi"/>
          <w:szCs w:val="18"/>
        </w:rPr>
        <w:fldChar w:fldCharType="end"/>
      </w:r>
      <w:r w:rsidR="00733F30">
        <w:rPr>
          <w:rFonts w:asciiTheme="minorBidi" w:hAnsiTheme="minorBidi" w:cstheme="minorBidi"/>
          <w:szCs w:val="18"/>
        </w:rPr>
        <w:t xml:space="preserve">. </w:t>
      </w:r>
      <w:r w:rsidRPr="00A34B2D">
        <w:rPr>
          <w:rFonts w:asciiTheme="minorBidi" w:hAnsiTheme="minorBidi" w:cstheme="minorBidi"/>
          <w:szCs w:val="18"/>
        </w:rPr>
        <w:t xml:space="preserve">Computational </w:t>
      </w:r>
      <w:r w:rsidR="00C05380" w:rsidRPr="00A34B2D">
        <w:rPr>
          <w:rFonts w:asciiTheme="minorBidi" w:hAnsiTheme="minorBidi" w:cstheme="minorBidi"/>
          <w:szCs w:val="18"/>
        </w:rPr>
        <w:t>modelling</w:t>
      </w:r>
      <w:r w:rsidRPr="00A34B2D">
        <w:rPr>
          <w:rFonts w:asciiTheme="minorBidi" w:hAnsiTheme="minorBidi" w:cstheme="minorBidi"/>
          <w:szCs w:val="18"/>
        </w:rPr>
        <w:t xml:space="preserve"> and process intensification strategies such as rotating packed beds, absorber intercooling, and lean vapor compression (LVC) have significantly improved mass transfer rates and overall system efficiency, enabling reductions in operational costs and energy consumption </w:t>
      </w:r>
      <w:r w:rsidRPr="00A34B2D">
        <w:rPr>
          <w:rFonts w:asciiTheme="minorBidi" w:hAnsiTheme="minorBidi" w:cstheme="minorBidi"/>
          <w:szCs w:val="18"/>
        </w:rPr>
        <w:fldChar w:fldCharType="begin" w:fldLock="1"/>
      </w:r>
      <w:r w:rsidR="00F03DD1">
        <w:rPr>
          <w:rFonts w:asciiTheme="minorBidi" w:hAnsiTheme="minorBidi" w:cstheme="minorBidi"/>
          <w:szCs w:val="18"/>
        </w:rPr>
        <w:instrText>ADDIN CSL_CITATION {"citationItems":[{"id":"ITEM-1","itemData":{"DOI":"10.1016/j.ijggc.2022.103673","ISSN":"17505836","abstract":"Here the energy-efficiency performance of CO2 capture is investigated based on the combination of bench-scale experiments and simulated calculation. A comprehensive evaluation is performed by L25(56) orthogonal tests to analyze the effect of crucial operating conditions on CO2 capture. Experiments reveal desorption temperature and flue gas flow play a major role for CO2 capture efficiency. Rising flue gas flow could promote interfacial area, but decreases contact time, overally, net CO2 flow approximately determines the linear relationship of capture efficiency and absorption rate. With combination of Eulerian-Eulerian method with the population balance model, we predict the dynamics evolution process of dispersed bubble, in order to provide the detailed information of interphase contact area and multiphase flow for modelling complete mass transfer parameters. Meanwhile, rigorous process simulation is developed to analyze the energy consumption of carbon capture. Higher desorption temperature provides much leaner solvent, which is beneficial to CO2 absorption, but consumes greater energy penalty.","author":[{"dropping-particle":"","family":"Yuan","given":"Bingling","non-dropping-particle":"","parse-names":false,"suffix":""},{"dropping-particle":"","family":"Zhan","given":"Guoxiong","non-dropping-particle":"","parse-names":false,"suffix":""},{"dropping-particle":"","family":"Chen","given":"Zhen","non-dropping-particle":"","parse-names":false,"suffix":""},{"dropping-particle":"","family":"Li","given":"Yuchen","non-dropping-particle":"","parse-names":false,"suffix":""},{"dropping-particle":"","family":"Wang","given":"Lidong","non-dropping-particle":"","parse-names":false,"suffix":""},{"dropping-particle":"","family":"You","given":"Changfu","non-dropping-particle":"","parse-names":false,"suffix":""},{"dropping-particle":"","family":"Li","given":"Junhua","non-dropping-particle":"","parse-names":false,"suffix":""}],"container-title":"International Journal of Greenhouse Gas Control","id":"ITEM-1","issued":{"date-parts":[["2022"]]},"title":"Intrinsic insight of energy-efficiency optimization for CO2 capture by amine-based solvent: effect of mass transfer and solvent regeneration","type":"article-journal","volume":"118"},"uris":["http://www.mendeley.com/documents/?uuid=70cdc69c-e5fd-43e3-8e12-6a0cc0a75ecc","http://www.mendeley.com/documents/?uuid=9e2da198-3eb1-445d-9c82-54097ee0177e"]},{"id":"ITEM-2","itemData":{"DOI":"10.1016/j.energy.2015.06.059","ISSN":"03605442","abstract":"There is an increasing interest in post-combustion CO2 capture related to climate change and further use of the captured CO2 in enhanced oil and gas recovery, as well as a feed to produce products such as methanol or dimethylether, the use in hot dry rock technologies, etc. The currently used post-combustion capture method based on MEA (monoethanolamine) absorption without stream split has significant steam consumption to regenerate the amine solution. In this work, the HEN ADU (Heat Exchanger Network of an Absorption Desorption Unit) is analysed using the Process Integration methodology. It is supplemented with the search of economically viable options of desorption column parameters by computer modelling and the use of compact PHEs (plate heat exchangers) with intensified heat transfer. Based on the presented case study, the variation of temperature approach inside the rich/lean heat exchanger is considered. Its influence on the heat consumption, the energy efficiency and the investment cost of the HEN ADU unit are discussed. The use of PHEs in HEN ADU allows with the same or even smaller purchased cost of heat exchangers to save up to 13% more energy as compare to HEN with conventional shell and tube heat exchangers.","author":[{"dropping-particle":"","family":"Perevertaylenko","given":"Olexander Yu","non-dropping-particle":"","parse-names":false,"suffix":""},{"dropping-particle":"","family":"Gariev","given":"Andriy O.","non-dropping-particle":"","parse-names":false,"suffix":""},{"dropping-particle":"","family":"Damartzis","given":"Theodoros","non-dropping-particle":"","parse-names":false,"suffix":""},{"dropping-particle":"","family":"Tovazhnyanskyy","given":"Leonid L.","non-dropping-particle":"","parse-names":false,"suffix":""},{"dropping-particle":"","family":"Kapustenko","given":"Petro O.","non-dropping-particle":"","parse-names":false,"suffix":""},{"dropping-particle":"","family":"Arsenyeva","given":"Olga P.","non-dropping-particle":"","parse-names":false,"suffix":""}],"container-title":"Energy","id":"ITEM-2","issued":{"date-parts":[["2014"]]},"page":"105-112","title":"Searches of cost effective ways for amine absorption unit design in CO2 post-combustion capture process","type":"article-journal","volume":"90"},"uris":["http://www.mendeley.com/documents/?uuid=db0eb5b2-f673-443a-8ea7-17220388b514","http://www.mendeley.com/documents/?uuid=c6f13833-249b-4d39-beec-c71be8b15410"]}],"mendeley":{"formattedCitation":"(Perevertaylenko et al. 2014; Yuan et al. 2022)","plainTextFormattedCitation":"(Perevertaylenko et al. 2014; Yuan et al. 2022)","previouslyFormattedCitation":"(Perevertaylenko et al. 2014; Yuan et al. 2022)"},"properties":{"noteIndex":0},"schema":"https://github.com/citation-style-language/schema/raw/master/csl-citation.json"}</w:instrText>
      </w:r>
      <w:r w:rsidRPr="00A34B2D">
        <w:rPr>
          <w:rFonts w:asciiTheme="minorBidi" w:hAnsiTheme="minorBidi" w:cstheme="minorBidi"/>
          <w:szCs w:val="18"/>
        </w:rPr>
        <w:fldChar w:fldCharType="separate"/>
      </w:r>
      <w:r w:rsidR="00F03DD1" w:rsidRPr="00F03DD1">
        <w:rPr>
          <w:rFonts w:asciiTheme="minorBidi" w:hAnsiTheme="minorBidi" w:cstheme="minorBidi"/>
          <w:noProof/>
          <w:szCs w:val="18"/>
        </w:rPr>
        <w:t>(Perevertaylenko et al. 2014; Yuan et al. 2022)</w:t>
      </w:r>
      <w:r w:rsidRPr="00A34B2D">
        <w:rPr>
          <w:rFonts w:asciiTheme="minorBidi" w:hAnsiTheme="minorBidi" w:cstheme="minorBidi"/>
          <w:szCs w:val="18"/>
        </w:rPr>
        <w:fldChar w:fldCharType="end"/>
      </w:r>
      <w:r w:rsidRPr="00A34B2D">
        <w:rPr>
          <w:rFonts w:asciiTheme="minorBidi" w:hAnsiTheme="minorBidi" w:cstheme="minorBidi"/>
          <w:szCs w:val="18"/>
        </w:rPr>
        <w:t xml:space="preserve">. Additionally, waste heat recovery modules integrated into absorption-desorption units (ADUs) have further improved thermodynamic efficiency, while computational fluid dynamics (CFD)-based simulations have provided deeper insights into interfacial mass transfer, solvent </w:t>
      </w:r>
      <w:r w:rsidR="00C05380" w:rsidRPr="00A34B2D">
        <w:rPr>
          <w:rFonts w:asciiTheme="minorBidi" w:hAnsiTheme="minorBidi" w:cstheme="minorBidi"/>
          <w:szCs w:val="18"/>
        </w:rPr>
        <w:t>behaviour</w:t>
      </w:r>
      <w:r w:rsidRPr="00A34B2D">
        <w:rPr>
          <w:rFonts w:asciiTheme="minorBidi" w:hAnsiTheme="minorBidi" w:cstheme="minorBidi"/>
          <w:szCs w:val="18"/>
        </w:rPr>
        <w:t xml:space="preserve">, and gas-liquid flow dynamics, refining process optimization strategies </w:t>
      </w:r>
      <w:r w:rsidRPr="00A34B2D">
        <w:rPr>
          <w:rFonts w:asciiTheme="minorBidi" w:hAnsiTheme="minorBidi" w:cstheme="minorBidi"/>
          <w:szCs w:val="18"/>
        </w:rPr>
        <w:fldChar w:fldCharType="begin" w:fldLock="1"/>
      </w:r>
      <w:r w:rsidR="00F03DD1">
        <w:rPr>
          <w:rFonts w:asciiTheme="minorBidi" w:hAnsiTheme="minorBidi" w:cstheme="minorBidi"/>
          <w:szCs w:val="18"/>
        </w:rPr>
        <w:instrText>ADDIN CSL_CITATION {"citationItems":[{"id":"ITEM-1","itemData":{"DOI":"10.1007/s10311-020-01093-8","ISSN":"16103661","abstract":"Anthropogenic emissions of greenhouse gases into the atmosphere is inducing global warming, ocean acidification, polar ice melting, rise in sea level, droughts and hurricanes, thus threatening human health and the global economy. Therefore, there is a need to develop cost-effective technologies for CO2 capture. For instance, solution absorption is promising due to a large processing capacity, high flexibility and reliability, and rich experience in engineering applications. Nonetheless, actual commercial solutions, solvents and processes for CO2 capture suffer from slow reaction kinetics, low absorption capacity, high-energy consumption, susceptibility to corrosion, toxicity, low stability and high costs. Therefore, current research focuses on developing more economical, effective, green and sustainable technologies. Here we review 2015–2020 findings on CO2 capture using liquid absorption methods. Methods are based on various solutions, solvents and processes such as carbonate solution, ammonia solution, amine-based solution, ionic liquid, amino acid salt, phase changing absorbent, microcapsulated and membrane absorption, nanofluids and phenoxide salt solution. We discuss absorption performance, absorption mechanism, enhancement pathways and challenges. Amine- and NH3-based absorbents are widely used, yet they are limited by high regeneration energy, corrosiveness and degradation, reagent loss and secondary pollution caused by NH3 escape. Phase changing absorbents are getting more attention due to their lower cost and lower energy penalty. The incorporation of membrane and microencapsulation technologies to absorbing solvents could enhance CO2 absorption performance by reducing corrosion and increasing selectivity. Adding nanoparticles to solvents could improve CO2 absorption performance and reduce energy requirement. Besides, solvent blends and promoter-improved solvents performed better than single and non-promoted solvents because they combine the benefits of individual solvents and promoters.","author":[{"dropping-particle":"","family":"Ochedi","given":"Friday O.","non-dropping-particle":"","parse-names":false,"suffix":""},{"dropping-particle":"","family":"Yu","given":"Jianglong","non-dropping-particle":"","parse-names":false,"suffix":""},{"dropping-particle":"","family":"Yu","given":"Hai","non-dropping-particle":"","parse-names":false,"suffix":""},{"dropping-particle":"","family":"Liu","given":"Yangxian","non-dropping-particle":"","parse-names":false,"suffix":""},{"dropping-particle":"","family":"Hussain","given":"Arshad","non-dropping-particle":"","parse-names":false,"suffix":""}],"container-title":"Environmental Chemistry Letters","id":"ITEM-1","issue":"1","issued":{"date-parts":[["2021"]]},"page":"77-109","title":"Carbon dioxide capture using liquid absorption methods: a review","type":"article-journal","volume":"19"},"uris":["http://www.mendeley.com/documents/?uuid=57a07105-67b1-4958-a568-c45d3bf54823","http://www.mendeley.com/documents/?uuid=1c39a713-527f-412b-bab3-f0ec1cc4ea52"]}],"mendeley":{"formattedCitation":"(Ochedi et al. 2021)","plainTextFormattedCitation":"(Ochedi et al. 2021)","previouslyFormattedCitation":"(Ochedi et al. 2021)"},"properties":{"noteIndex":0},"schema":"https://github.com/citation-style-language/schema/raw/master/csl-citation.json"}</w:instrText>
      </w:r>
      <w:r w:rsidRPr="00A34B2D">
        <w:rPr>
          <w:rFonts w:asciiTheme="minorBidi" w:hAnsiTheme="minorBidi" w:cstheme="minorBidi"/>
          <w:szCs w:val="18"/>
        </w:rPr>
        <w:fldChar w:fldCharType="separate"/>
      </w:r>
      <w:r w:rsidR="00F03DD1" w:rsidRPr="00F03DD1">
        <w:rPr>
          <w:rFonts w:asciiTheme="minorBidi" w:hAnsiTheme="minorBidi" w:cstheme="minorBidi"/>
          <w:noProof/>
          <w:szCs w:val="18"/>
        </w:rPr>
        <w:t>(Ochedi et al. 2021)</w:t>
      </w:r>
      <w:r w:rsidRPr="00A34B2D">
        <w:rPr>
          <w:rFonts w:asciiTheme="minorBidi" w:hAnsiTheme="minorBidi" w:cstheme="minorBidi"/>
          <w:szCs w:val="18"/>
        </w:rPr>
        <w:fldChar w:fldCharType="end"/>
      </w:r>
      <w:r w:rsidRPr="00A34B2D">
        <w:rPr>
          <w:rFonts w:asciiTheme="minorBidi" w:hAnsiTheme="minorBidi" w:cstheme="minorBidi"/>
          <w:szCs w:val="18"/>
        </w:rPr>
        <w:t>. Emerging blended solvent systems, particularly amino acid salt-enhanced amines, exhibit enhanced CO</w:t>
      </w:r>
      <w:r w:rsidRPr="00A34B2D">
        <w:rPr>
          <w:rFonts w:ascii="Cambria Math" w:hAnsi="Cambria Math" w:cs="Cambria Math"/>
          <w:szCs w:val="18"/>
        </w:rPr>
        <w:t>₂</w:t>
      </w:r>
      <w:r w:rsidRPr="00A34B2D">
        <w:rPr>
          <w:rFonts w:asciiTheme="minorBidi" w:hAnsiTheme="minorBidi" w:cstheme="minorBidi"/>
          <w:szCs w:val="18"/>
        </w:rPr>
        <w:t xml:space="preserve"> capture capacity, solvent longevity, and resistance to degradation, positioning them as viable alternatives to conventional amines</w:t>
      </w:r>
      <w:r w:rsidR="00733F30">
        <w:rPr>
          <w:rFonts w:asciiTheme="minorBidi" w:hAnsiTheme="minorBidi" w:cstheme="minorBidi"/>
          <w:szCs w:val="18"/>
        </w:rPr>
        <w:fldChar w:fldCharType="begin" w:fldLock="1"/>
      </w:r>
      <w:r w:rsidR="00BD0002">
        <w:rPr>
          <w:rFonts w:asciiTheme="minorBidi" w:hAnsiTheme="minorBidi" w:cstheme="minorBidi"/>
          <w:szCs w:val="18"/>
        </w:rPr>
        <w:instrText>ADDIN CSL_CITATION {"citationItems":[{"id":"ITEM-1","itemData":{"DOI":"10.1007/s10311-020-01093-8","ISSN":"16103661","abstract":"Anthropogenic emissions of greenhouse gases into the atmosphere is inducing global warming, ocean acidification, polar ice melting, rise in sea level, droughts and hurricanes, thus threatening human health and the global economy. Therefore, there is a need to develop cost-effective technologies for CO2 capture. For instance, solution absorption is promising due to a large processing capacity, high flexibility and reliability, and rich experience in engineering applications. Nonetheless, actual commercial solutions, solvents and processes for CO2 capture suffer from slow reaction kinetics, low absorption capacity, high-energy consumption, susceptibility to corrosion, toxicity, low stability and high costs. Therefore, current research focuses on developing more economical, effective, green and sustainable technologies. Here we review 2015–2020 findings on CO2 capture using liquid absorption methods. Methods are based on various solutions, solvents and processes such as carbonate solution, ammonia solution, amine-based solution, ionic liquid, amino acid salt, phase changing absorbent, microcapsulated and membrane absorption, nanofluids and phenoxide salt solution. We discuss absorption performance, absorption mechanism, enhancement pathways and challenges. Amine- and NH3-based absorbents are widely used, yet they are limited by high regeneration energy, corrosiveness and degradation, reagent loss and secondary pollution caused by NH3 escape. Phase changing absorbents are getting more attention due to their lower cost and lower energy penalty. The incorporation of membrane and microencapsulation technologies to absorbing solvents could enhance CO2 absorption performance by reducing corrosion and increasing selectivity. Adding nanoparticles to solvents could improve CO2 absorption performance and reduce energy requirement. Besides, solvent blends and promoter-improved solvents performed better than single and non-promoted solvents because they combine the benefits of individual solvents and promoters.","author":[{"dropping-particle":"","family":"Ochedi","given":"Friday O.","non-dropping-particle":"","parse-names":false,"suffix":""},{"dropping-particle":"","family":"Yu","given":"Jianglong","non-dropping-particle":"","parse-names":false,"suffix":""},{"dropping-particle":"","family":"Yu","given":"Hai","non-dropping-particle":"","parse-names":false,"suffix":""},{"dropping-particle":"","family":"Liu","given":"Yangxian","non-dropping-particle":"","parse-names":false,"suffix":""},{"dropping-particle":"","family":"Hussain","given":"Arshad","non-dropping-particle":"","parse-names":false,"suffix":""}],"container-title":"Environmental Chemistry Letters","id":"ITEM-1","issue":"1","issued":{"date-parts":[["2021"]]},"page":"77-109","title":"Carbon dioxide capture using liquid absorption methods: a review","type":"article-journal","volume":"19"},"uris":["http://www.mendeley.com/documents/?uuid=1c39a713-527f-412b-bab3-f0ec1cc4ea52"]},{"id":"ITEM-2","itemData":{"DOI":"10.1021/acs.energyfuels.9b02158","ISSN":"15205029","abstract":"Solvent-based absorption using aqueous monoethanolamine (MEA) is the most mature and commercially available carbon dioxide capture technique. However, high capital cost and large energy consumption required for solvent regeneration still remain major disadvantages, which results in delaying the worldwide large-scale deployment of this technology. Several newly developed absorbents have been recently proposed to solve the main issue for the energy-efficient capture process. In this work, several advanced solvents, i.e., aqueous and water-lean amino acid salts (potassium lysinate, potassium prolinate, or potassium sarcosinate) and blends of amines with glycol ethers, were selected as the representatives for aqueous, non-aqueous, and phase-change systems. The CO2 absorption-desorption performance of these absorbents was characterized. The relative heat duty of those CO2-loaded absorbents was also evaluated and compared to conventional aqueous 30 mass % MEA. Preliminary results indicate that non-aqueous and phase-change absorbents investigated in this work have huge potential in reducing energy consumption of regeneration, at about 40-60% reduction.","author":[{"dropping-particle":"","family":"Li","given":"Chenxu","non-dropping-particle":"","parse-names":false,"suffix":""},{"dropping-particle":"","family":"Shi","given":"Xiaoqin","non-dropping-particle":"","parse-names":false,"suffix":""},{"dropping-particle":"","family":"Shen","given":"Shufeng","non-dropping-particle":"","parse-names":false,"suffix":""}],"container-title":"Energy and Fuels","id":"ITEM-2","issue":"9","issued":{"date-parts":[["2019"]]},"page":"9032-9039","title":"Performance Evaluation of Newly Developed Absorbents for Solvent-Based Carbon Dioxide Capture","type":"article-journal","volume":"33"},"uris":["http://www.mendeley.com/documents/?uuid=54dba09e-9952-4e60-b3ba-dc1d53edefb4"]}],"mendeley":{"formattedCitation":"(Li, Shi, and Shen 2019; Ochedi et al. 2021)","plainTextFormattedCitation":"(Li, Shi, and Shen 2019; Ochedi et al. 2021)","previouslyFormattedCitation":"(Li, Shi, and Shen 2019; Ochedi et al. 2021)"},"properties":{"noteIndex":0},"schema":"https://github.com/citation-style-language/schema/raw/master/csl-citation.json"}</w:instrText>
      </w:r>
      <w:r w:rsidR="00733F30">
        <w:rPr>
          <w:rFonts w:asciiTheme="minorBidi" w:hAnsiTheme="minorBidi" w:cstheme="minorBidi"/>
          <w:szCs w:val="18"/>
        </w:rPr>
        <w:fldChar w:fldCharType="separate"/>
      </w:r>
      <w:r w:rsidR="00BD0002" w:rsidRPr="00BD0002">
        <w:rPr>
          <w:rFonts w:asciiTheme="minorBidi" w:hAnsiTheme="minorBidi" w:cstheme="minorBidi"/>
          <w:noProof/>
          <w:szCs w:val="18"/>
        </w:rPr>
        <w:t>(Li, Shi, and Shen 2019; Ochedi et al. 2021)</w:t>
      </w:r>
      <w:r w:rsidR="00733F30">
        <w:rPr>
          <w:rFonts w:asciiTheme="minorBidi" w:hAnsiTheme="minorBidi" w:cstheme="minorBidi"/>
          <w:szCs w:val="18"/>
        </w:rPr>
        <w:fldChar w:fldCharType="end"/>
      </w:r>
      <w:r w:rsidR="00BD0002">
        <w:rPr>
          <w:rFonts w:asciiTheme="minorBidi" w:hAnsiTheme="minorBidi" w:cstheme="minorBidi"/>
          <w:szCs w:val="18"/>
        </w:rPr>
        <w:t>.</w:t>
      </w:r>
      <w:r w:rsidRPr="00A34B2D">
        <w:rPr>
          <w:rFonts w:asciiTheme="minorBidi" w:hAnsiTheme="minorBidi" w:cstheme="minorBidi"/>
          <w:szCs w:val="18"/>
        </w:rPr>
        <w:t xml:space="preserve"> Nevertheless, large-scale industrial implementation remains constrained by economic, regulatory, and logistical challenges, requiring strategic policy reforms, financial incentives, and sustained technological advancements to bridge the gap between laboratory innovation and full-scale commercial deployment </w:t>
      </w:r>
      <w:r w:rsidRPr="00A34B2D">
        <w:rPr>
          <w:rFonts w:asciiTheme="minorBidi" w:hAnsiTheme="minorBidi" w:cstheme="minorBidi"/>
          <w:szCs w:val="18"/>
        </w:rPr>
        <w:fldChar w:fldCharType="begin" w:fldLock="1"/>
      </w:r>
      <w:r w:rsidR="00F03DD1">
        <w:rPr>
          <w:rFonts w:asciiTheme="minorBidi" w:hAnsiTheme="minorBidi" w:cstheme="minorBidi"/>
          <w:szCs w:val="18"/>
        </w:rPr>
        <w:instrText>ADDIN CSL_CITATION {"citationItems":[{"id":"ITEM-1","itemData":{"DOI":"10.1016/j.coche.2017.06.005","ISSN":"22113398","abstract":"This paper provides a short review of the multitude of processes proposed for solvent-based and sorbent-based post-combustion CO2 capture. (Membrane-based systems, another important technology for CO2 capture is outside the scope of this review.) The majority of process configurations discussed in the open literature focus on reducing the energy penalty with little consideration of capital cost or operability — key factors for industrial implementation. This paper highlights advances in all three areas and identifies opportunities for future research.","author":[{"dropping-particle":"","family":"Bhattacharyya","given":"Debangsu","non-dropping-particle":"","parse-names":false,"suffix":""},{"dropping-particle":"","family":"Miller","given":"David C.","non-dropping-particle":"","parse-names":false,"suffix":""}],"container-title":"Current Opinion in Chemical Engineering","id":"ITEM-1","issued":{"date-parts":[["2017"]]},"page":"78-92","title":"Post-combustion CO2 capture technologies — a review of processes for solvent-based and sorbent-based CO2 capture","type":"article-journal","volume":"17"},"uris":["http://www.mendeley.com/documents/?uuid=ec6afa68-e9e6-4304-add2-eb9cd124bde0","http://www.mendeley.com/documents/?uuid=de5e3582-693e-4295-9402-a0ac289496e3"]},{"id":"ITEM-2","itemData":{"DOI":"10.1016/j.coche.2022.100874","ISSN":"22113398","abstract":"The deployment of CCUS plants does not match the enormous requirements to meet the CO2 emission reductions fixed during the Paris agreement, and we must ask ourselves what is refraining the technology deployment, especially in light of the recent high CO2 prices. Owing to the higher costs than their fossil counterparts, Carbon Capture &amp; Utilization represents a long-term solution. In addition to a gigantic scale-up effort even for the most mature Carbon Capture &amp; Storage (CCS) technologies, various factors are responsible for the slow roll-out of CCS projects. Luckily, the financial sector and governments are playing their role. Support from the public is however key, and an open communication is required to convert social tolerance into social acceptance.","author":[{"dropping-particle":"","family":"Perreault","given":"Patrice","non-dropping-particle":"","parse-names":false,"suffix":""},{"dropping-particle":"","family":"Kummamuru","given":"Nithin B.","non-dropping-particle":"","parse-names":false,"suffix":""},{"dropping-particle":"","family":"Gonzalez Quiroga","given":"Arturo","non-dropping-particle":"","parse-names":false,"suffix":""},{"dropping-particle":"","family":"Lenaerts","given":"Silvia","non-dropping-particle":"","parse-names":false,"suffix":""}],"container-title":"Current Opinion in Chemical Engineering","id":"ITEM-2","issued":{"date-parts":[["2022"]]},"title":"CO2 capture initiatives: are governments, society, industry and the financial sector ready?","type":"article-journal","volume":"38"},"uris":["http://www.mendeley.com/documents/?uuid=6ef38e9c-4bb8-4247-b837-36409cd4a8b5","http://www.mendeley.com/documents/?uuid=b5864192-e8db-4e9d-98e3-10f0e87d0bf1"]}],"mendeley":{"formattedCitation":"(Bhattacharyya and Miller 2017; Perreault et al. 2022)","plainTextFormattedCitation":"(Bhattacharyya and Miller 2017; Perreault et al. 2022)","previouslyFormattedCitation":"(Bhattacharyya and Miller 2017; Perreault et al. 2022)"},"properties":{"noteIndex":0},"schema":"https://github.com/citation-style-language/schema/raw/master/csl-citation.json"}</w:instrText>
      </w:r>
      <w:r w:rsidRPr="00A34B2D">
        <w:rPr>
          <w:rFonts w:asciiTheme="minorBidi" w:hAnsiTheme="minorBidi" w:cstheme="minorBidi"/>
          <w:szCs w:val="18"/>
        </w:rPr>
        <w:fldChar w:fldCharType="separate"/>
      </w:r>
      <w:r w:rsidR="00F03DD1" w:rsidRPr="00F03DD1">
        <w:rPr>
          <w:rFonts w:asciiTheme="minorBidi" w:hAnsiTheme="minorBidi" w:cstheme="minorBidi"/>
          <w:noProof/>
          <w:szCs w:val="18"/>
        </w:rPr>
        <w:t>(Bhattacharyya and Miller 2017; Perreault et al. 2022)</w:t>
      </w:r>
      <w:r w:rsidRPr="00A34B2D">
        <w:rPr>
          <w:rFonts w:asciiTheme="minorBidi" w:hAnsiTheme="minorBidi" w:cstheme="minorBidi"/>
          <w:szCs w:val="18"/>
        </w:rPr>
        <w:fldChar w:fldCharType="end"/>
      </w:r>
      <w:r w:rsidRPr="00A34B2D">
        <w:rPr>
          <w:rFonts w:asciiTheme="minorBidi" w:hAnsiTheme="minorBidi" w:cstheme="minorBidi"/>
          <w:szCs w:val="18"/>
        </w:rPr>
        <w:t>.</w:t>
      </w:r>
    </w:p>
    <w:p w14:paraId="5DDE7A85" w14:textId="4CE2FCFE" w:rsidR="00A34B2D" w:rsidRPr="00A34B2D" w:rsidRDefault="00A34B2D" w:rsidP="00A34B2D">
      <w:pPr>
        <w:pStyle w:val="ListParagraph"/>
        <w:ind w:left="0"/>
        <w:rPr>
          <w:rFonts w:asciiTheme="minorBidi" w:hAnsiTheme="minorBidi" w:cstheme="minorBidi"/>
          <w:szCs w:val="18"/>
        </w:rPr>
      </w:pPr>
      <w:r w:rsidRPr="00A34B2D">
        <w:rPr>
          <w:rFonts w:asciiTheme="minorBidi" w:hAnsiTheme="minorBidi" w:cstheme="minorBidi"/>
          <w:szCs w:val="18"/>
        </w:rPr>
        <w:t>Solvents for CO</w:t>
      </w:r>
      <w:r w:rsidRPr="00A34B2D">
        <w:rPr>
          <w:rFonts w:ascii="Cambria Math" w:hAnsi="Cambria Math" w:cs="Cambria Math"/>
          <w:szCs w:val="18"/>
        </w:rPr>
        <w:t>₂</w:t>
      </w:r>
      <w:r w:rsidRPr="00A34B2D">
        <w:rPr>
          <w:rFonts w:asciiTheme="minorBidi" w:hAnsiTheme="minorBidi" w:cstheme="minorBidi"/>
          <w:szCs w:val="18"/>
        </w:rPr>
        <w:t xml:space="preserve"> absorption include amines, ammonia solutions, alkaline salts, and ionic liquids, each with distinct properties affecting their industrial performance. Monoethanolamide (MEA) is widely used for its rapid CO</w:t>
      </w:r>
      <w:r w:rsidRPr="00A34B2D">
        <w:rPr>
          <w:rFonts w:ascii="Cambria Math" w:hAnsi="Cambria Math" w:cs="Cambria Math"/>
          <w:szCs w:val="18"/>
        </w:rPr>
        <w:t>₂</w:t>
      </w:r>
      <w:r w:rsidRPr="00A34B2D">
        <w:rPr>
          <w:rFonts w:asciiTheme="minorBidi" w:hAnsiTheme="minorBidi" w:cstheme="minorBidi"/>
          <w:szCs w:val="18"/>
        </w:rPr>
        <w:t xml:space="preserve"> absorption but suffers from thermal degradation, corrosion, and high regeneration energy demand </w:t>
      </w:r>
      <w:r w:rsidRPr="00A34B2D">
        <w:rPr>
          <w:rFonts w:asciiTheme="minorBidi" w:hAnsiTheme="minorBidi" w:cstheme="minorBidi"/>
          <w:szCs w:val="18"/>
        </w:rPr>
        <w:fldChar w:fldCharType="begin" w:fldLock="1"/>
      </w:r>
      <w:r w:rsidR="00F03DD1">
        <w:rPr>
          <w:rFonts w:asciiTheme="minorBidi" w:hAnsiTheme="minorBidi" w:cstheme="minorBidi"/>
          <w:szCs w:val="18"/>
        </w:rPr>
        <w:instrText>ADDIN CSL_CITATION {"citationItems":[{"id":"ITEM-1","itemData":{"DOI":"10.1007/s10311-020-01093-8","ISSN":"16103661","abstract":"Anthropogenic emissions of greenhouse gases into the atmosphere is inducing global warming, ocean acidification, polar ice melting, rise in sea level, droughts and hurricanes, thus threatening human health and the global economy. Therefore, there is a need to develop cost-effective technologies for CO2 capture. For instance, solution absorption is promising due to a large processing capacity, high flexibility and reliability, and rich experience in engineering applications. Nonetheless, actual commercial solutions, solvents and processes for CO2 capture suffer from slow reaction kinetics, low absorption capacity, high-energy consumption, susceptibility to corrosion, toxicity, low stability and high costs. Therefore, current research focuses on developing more economical, effective, green and sustainable technologies. Here we review 2015–2020 findings on CO2 capture using liquid absorption methods. Methods are based on various solutions, solvents and processes such as carbonate solution, ammonia solution, amine-based solution, ionic liquid, amino acid salt, phase changing absorbent, microcapsulated and membrane absorption, nanofluids and phenoxide salt solution. We discuss absorption performance, absorption mechanism, enhancement pathways and challenges. Amine- and NH3-based absorbents are widely used, yet they are limited by high regeneration energy, corrosiveness and degradation, reagent loss and secondary pollution caused by NH3 escape. Phase changing absorbents are getting more attention due to their lower cost and lower energy penalty. The incorporation of membrane and microencapsulation technologies to absorbing solvents could enhance CO2 absorption performance by reducing corrosion and increasing selectivity. Adding nanoparticles to solvents could improve CO2 absorption performance and reduce energy requirement. Besides, solvent blends and promoter-improved solvents performed better than single and non-promoted solvents because they combine the benefits of individual solvents and promoters.","author":[{"dropping-particle":"","family":"Ochedi","given":"Friday O.","non-dropping-particle":"","parse-names":false,"suffix":""},{"dropping-particle":"","family":"Yu","given":"Jianglong","non-dropping-particle":"","parse-names":false,"suffix":""},{"dropping-particle":"","family":"Yu","given":"Hai","non-dropping-particle":"","parse-names":false,"suffix":""},{"dropping-particle":"","family":"Liu","given":"Yangxian","non-dropping-particle":"","parse-names":false,"suffix":""},{"dropping-particle":"","family":"Hussain","given":"Arshad","non-dropping-particle":"","parse-names":false,"suffix":""}],"container-title":"Environmental Chemistry Letters","id":"ITEM-1","issue":"1","issued":{"date-parts":[["2021"]]},"page":"77-109","title":"Carbon dioxide capture using liquid absorption methods: a review","type":"article-journal","volume":"19"},"uris":["http://www.mendeley.com/documents/?uuid=1c39a713-527f-412b-bab3-f0ec1cc4ea52","http://www.mendeley.com/documents/?uuid=57a07105-67b1-4958-a568-c45d3bf54823"]}],"mendeley":{"formattedCitation":"(Ochedi et al. 2021)","plainTextFormattedCitation":"(Ochedi et al. 2021)","previouslyFormattedCitation":"(Ochedi et al. 2021)"},"properties":{"noteIndex":0},"schema":"https://github.com/citation-style-language/schema/raw/master/csl-citation.json"}</w:instrText>
      </w:r>
      <w:r w:rsidRPr="00A34B2D">
        <w:rPr>
          <w:rFonts w:asciiTheme="minorBidi" w:hAnsiTheme="minorBidi" w:cstheme="minorBidi"/>
          <w:szCs w:val="18"/>
        </w:rPr>
        <w:fldChar w:fldCharType="separate"/>
      </w:r>
      <w:r w:rsidR="00F03DD1" w:rsidRPr="00F03DD1">
        <w:rPr>
          <w:rFonts w:asciiTheme="minorBidi" w:hAnsiTheme="minorBidi" w:cstheme="minorBidi"/>
          <w:noProof/>
          <w:szCs w:val="18"/>
        </w:rPr>
        <w:t>(Ochedi et al. 2021)</w:t>
      </w:r>
      <w:r w:rsidRPr="00A34B2D">
        <w:rPr>
          <w:rFonts w:asciiTheme="minorBidi" w:hAnsiTheme="minorBidi" w:cstheme="minorBidi"/>
          <w:szCs w:val="18"/>
        </w:rPr>
        <w:fldChar w:fldCharType="end"/>
      </w:r>
      <w:r w:rsidRPr="00A34B2D">
        <w:rPr>
          <w:rFonts w:asciiTheme="minorBidi" w:hAnsiTheme="minorBidi" w:cstheme="minorBidi"/>
          <w:szCs w:val="18"/>
        </w:rPr>
        <w:t>. Ammonia solutions offer lower corrosivity and cost but face challenges with volatility and recovery inefficiency. Alkaline salts like potassium carbonate (K</w:t>
      </w:r>
      <w:r w:rsidRPr="00A34B2D">
        <w:rPr>
          <w:rFonts w:ascii="Cambria Math" w:hAnsi="Cambria Math" w:cs="Cambria Math"/>
          <w:szCs w:val="18"/>
        </w:rPr>
        <w:t>₂</w:t>
      </w:r>
      <w:r w:rsidRPr="00A34B2D">
        <w:rPr>
          <w:rFonts w:asciiTheme="minorBidi" w:hAnsiTheme="minorBidi" w:cstheme="minorBidi"/>
          <w:szCs w:val="18"/>
        </w:rPr>
        <w:t>CO</w:t>
      </w:r>
      <w:r w:rsidRPr="00A34B2D">
        <w:rPr>
          <w:rFonts w:ascii="Cambria Math" w:hAnsi="Cambria Math" w:cs="Cambria Math"/>
          <w:szCs w:val="18"/>
        </w:rPr>
        <w:t>₃</w:t>
      </w:r>
      <w:r w:rsidRPr="00A34B2D">
        <w:rPr>
          <w:rFonts w:asciiTheme="minorBidi" w:hAnsiTheme="minorBidi" w:cstheme="minorBidi"/>
          <w:szCs w:val="18"/>
        </w:rPr>
        <w:t xml:space="preserve">) are effective in gas purification but have low reaction kinetics in power plant emissions </w:t>
      </w:r>
      <w:r w:rsidRPr="00A34B2D">
        <w:rPr>
          <w:rFonts w:asciiTheme="minorBidi" w:hAnsiTheme="minorBidi" w:cstheme="minorBidi"/>
          <w:szCs w:val="18"/>
        </w:rPr>
        <w:fldChar w:fldCharType="begin" w:fldLock="1"/>
      </w:r>
      <w:r w:rsidR="00F03DD1">
        <w:rPr>
          <w:rFonts w:asciiTheme="minorBidi" w:hAnsiTheme="minorBidi" w:cstheme="minorBidi"/>
          <w:szCs w:val="18"/>
        </w:rPr>
        <w:instrText>ADDIN CSL_CITATION {"citationItems":[{"id":"ITEM-1","itemData":{"author":[{"dropping-particle":"","family":"Bararpourhamzehkolaei","given":"Seyedtoufigh","non-dropping-particle":"","parse-names":false,"suffix":""}],"id":"ITEM-1","issued":{"date-parts":[["2021"]]},"title":"Post-Combustion Carbon Dioxide Capture using Alumina-Supported Potassium Carbonate","type":"article-journal"},"uris":["http://www.mendeley.com/documents/?uuid=5008a1bc-f5ec-45dc-a9eb-3a71b5549031","http://www.mendeley.com/documents/?uuid=c1367380-b702-4c97-a0f4-5369b408d911"]}],"mendeley":{"formattedCitation":"(Bararpourhamzehkolaei 2021)","plainTextFormattedCitation":"(Bararpourhamzehkolaei 2021)","previouslyFormattedCitation":"(Bararpourhamzehkolaei 2021)"},"properties":{"noteIndex":0},"schema":"https://github.com/citation-style-language/schema/raw/master/csl-citation.json"}</w:instrText>
      </w:r>
      <w:r w:rsidRPr="00A34B2D">
        <w:rPr>
          <w:rFonts w:asciiTheme="minorBidi" w:hAnsiTheme="minorBidi" w:cstheme="minorBidi"/>
          <w:szCs w:val="18"/>
        </w:rPr>
        <w:fldChar w:fldCharType="separate"/>
      </w:r>
      <w:r w:rsidR="00F03DD1" w:rsidRPr="00F03DD1">
        <w:rPr>
          <w:rFonts w:asciiTheme="minorBidi" w:hAnsiTheme="minorBidi" w:cstheme="minorBidi"/>
          <w:noProof/>
          <w:szCs w:val="18"/>
        </w:rPr>
        <w:t>(Bararpourhamzehkolaei 2021)</w:t>
      </w:r>
      <w:r w:rsidRPr="00A34B2D">
        <w:rPr>
          <w:rFonts w:asciiTheme="minorBidi" w:hAnsiTheme="minorBidi" w:cstheme="minorBidi"/>
          <w:szCs w:val="18"/>
        </w:rPr>
        <w:fldChar w:fldCharType="end"/>
      </w:r>
      <w:r w:rsidRPr="00A34B2D">
        <w:rPr>
          <w:rFonts w:asciiTheme="minorBidi" w:hAnsiTheme="minorBidi" w:cstheme="minorBidi"/>
          <w:szCs w:val="18"/>
        </w:rPr>
        <w:t xml:space="preserve">. Ionic liquids, including sodium and potassium hydroxides, provide </w:t>
      </w:r>
      <w:r w:rsidR="00C05380" w:rsidRPr="00A34B2D">
        <w:rPr>
          <w:rFonts w:asciiTheme="minorBidi" w:hAnsiTheme="minorBidi" w:cstheme="minorBidi"/>
          <w:szCs w:val="18"/>
        </w:rPr>
        <w:t>tuneable</w:t>
      </w:r>
      <w:r w:rsidRPr="00A34B2D">
        <w:rPr>
          <w:rFonts w:asciiTheme="minorBidi" w:hAnsiTheme="minorBidi" w:cstheme="minorBidi"/>
          <w:szCs w:val="18"/>
        </w:rPr>
        <w:t xml:space="preserve"> CO</w:t>
      </w:r>
      <w:r w:rsidRPr="00A34B2D">
        <w:rPr>
          <w:rFonts w:ascii="Cambria Math" w:hAnsi="Cambria Math" w:cs="Cambria Math"/>
          <w:szCs w:val="18"/>
        </w:rPr>
        <w:t>₂</w:t>
      </w:r>
      <w:r w:rsidRPr="00A34B2D">
        <w:rPr>
          <w:rFonts w:asciiTheme="minorBidi" w:hAnsiTheme="minorBidi" w:cstheme="minorBidi"/>
          <w:szCs w:val="18"/>
        </w:rPr>
        <w:t xml:space="preserve"> solubility but require further optimization to address viscosity and regeneration costs </w:t>
      </w:r>
      <w:r w:rsidRPr="00A34B2D">
        <w:rPr>
          <w:rFonts w:asciiTheme="minorBidi" w:hAnsiTheme="minorBidi" w:cstheme="minorBidi"/>
          <w:szCs w:val="18"/>
        </w:rPr>
        <w:fldChar w:fldCharType="begin" w:fldLock="1"/>
      </w:r>
      <w:r w:rsidR="00F03DD1">
        <w:rPr>
          <w:rFonts w:asciiTheme="minorBidi" w:hAnsiTheme="minorBidi" w:cstheme="minorBidi"/>
          <w:szCs w:val="18"/>
        </w:rPr>
        <w:instrText>ADDIN CSL_CITATION {"citationItems":[{"id":"ITEM-1","itemData":{"DOI":"10.1016/j.ces.2014.05.050","ISSN":"00092509","abstract":"Potassium carbonate-bicarbonate (K2CO3-KHCO3) aqueous solutions could be used as an alternative to amines as solvents in CO2 capture from the flue gas of coal-fired power plants. The rate of CO2 absorption into K2CO3-KHCO3 solutions is governed by the reaction between CO2 and OH -, which is first order with respect to both CO2 and [OH -] (r = kOH [OH -] [CO2]). Knowledge of the reaction kinetics and dynamic changes in kinetics along an absorber is essential for process design. However, this information, particularly the values of the rate constant of the reaction between CO2 and OH -, kOH, in K2CO3-KHCO3 solutions with different ionic strengths and CO2 loadings are seldom available in the literature. In this study, we investigated the kinetics of CO2 absorption into 5-40wt% solutions with different levels of CO2 loading at 25-80°C. The kOH values were determined by measuring rates of CO2 absorption into the solutions in a stirred cell reactor and by using the classic Danckwerts theory for interpretation of the data. The method was validated by the good agreement between the rate constants obtained for infinitely dilute solutions and those reported in the literature. The CO2 loading of K2CO3-KHCO3 solutions was found to govern the activation energy (Ea) of the absorption reaction. In K2CO3-KHCO3 solutions with the same CO2 loading, the Ea values were comparable, regardless of the concentration or total ionic strength of the solution. The Ea decreased as the CO2 loading of the solution increased. The ionic strength of the solution substantially affected the Arrhenius pre-exponential factor term [ln(A)] of kOH. Functional formulae have been developed that can be readily used to calculate kOH for K2CO3-KHCO3 solutions with different levels of CO2 loading over the applicable range. The results provide extensive information on the kinetics of the CO2 reaction in K2CO3-KHCO3 solutions, particularly in concentrated solutions (20-40wt%) with a CO2 loading up to 40% of potassium carbonate to bicarbonate conversion at temperatures up to 80°C. © 2014 Elsevier Ltd.","author":[{"dropping-particle":"","family":"Ye","given":"Xinhuai","non-dropping-particle":"","parse-names":false,"suffix":""},{"dropping-particle":"","family":"Lu","given":"Yongqi","non-dropping-particle":"","parse-names":false,"suffix":""}],"container-title":"Chemical Engineering Science","id":"ITEM-1","issued":{"date-parts":[["2014"]]},"page":"657-667","title":"Kinetics of CO2 absorption into uncatalyzed potassium carbonate-bicarbonate solutions: Effects of CO2 loading and ionic strength in the solutions","type":"article-journal","volume":"116"},"uris":["http://www.mendeley.com/documents/?uuid=70395b94-9d45-4bed-b6e8-e81d0e0bae6e","http://www.mendeley.com/documents/?uuid=476af70d-8591-40d5-b34b-da45ad0f5f33"]}],"mendeley":{"formattedCitation":"(Ye and Lu 2014)","plainTextFormattedCitation":"(Ye and Lu 2014)","previouslyFormattedCitation":"(Ye and Lu 2014)"},"properties":{"noteIndex":0},"schema":"https://github.com/citation-style-language/schema/raw/master/csl-citation.json"}</w:instrText>
      </w:r>
      <w:r w:rsidRPr="00A34B2D">
        <w:rPr>
          <w:rFonts w:asciiTheme="minorBidi" w:hAnsiTheme="minorBidi" w:cstheme="minorBidi"/>
          <w:szCs w:val="18"/>
        </w:rPr>
        <w:fldChar w:fldCharType="separate"/>
      </w:r>
      <w:r w:rsidR="00F03DD1" w:rsidRPr="00F03DD1">
        <w:rPr>
          <w:rFonts w:asciiTheme="minorBidi" w:hAnsiTheme="minorBidi" w:cstheme="minorBidi"/>
          <w:noProof/>
          <w:szCs w:val="18"/>
        </w:rPr>
        <w:t>(Ye and Lu 2014)</w:t>
      </w:r>
      <w:r w:rsidRPr="00A34B2D">
        <w:rPr>
          <w:rFonts w:asciiTheme="minorBidi" w:hAnsiTheme="minorBidi" w:cstheme="minorBidi"/>
          <w:szCs w:val="18"/>
        </w:rPr>
        <w:fldChar w:fldCharType="end"/>
      </w:r>
      <w:r w:rsidRPr="00A34B2D">
        <w:rPr>
          <w:rFonts w:asciiTheme="minorBidi" w:hAnsiTheme="minorBidi" w:cstheme="minorBidi"/>
          <w:szCs w:val="18"/>
        </w:rPr>
        <w:t>.</w:t>
      </w:r>
    </w:p>
    <w:p w14:paraId="525EE92B" w14:textId="6C437165" w:rsidR="00A34B2D" w:rsidRPr="00A34B2D" w:rsidRDefault="00A34B2D" w:rsidP="00A34B2D">
      <w:pPr>
        <w:pStyle w:val="ListParagraph"/>
        <w:ind w:left="0"/>
        <w:rPr>
          <w:rFonts w:asciiTheme="minorBidi" w:hAnsiTheme="minorBidi" w:cstheme="minorBidi"/>
          <w:szCs w:val="18"/>
        </w:rPr>
      </w:pPr>
      <w:r w:rsidRPr="00A34B2D">
        <w:rPr>
          <w:rFonts w:asciiTheme="minorBidi" w:hAnsiTheme="minorBidi" w:cstheme="minorBidi"/>
          <w:szCs w:val="18"/>
        </w:rPr>
        <w:t>The selection of a suitable reactor configuration plays a crucial role in optimizing CO</w:t>
      </w:r>
      <w:r w:rsidRPr="00A34B2D">
        <w:rPr>
          <w:rFonts w:ascii="Cambria Math" w:hAnsi="Cambria Math" w:cs="Cambria Math"/>
          <w:szCs w:val="18"/>
        </w:rPr>
        <w:t>₂</w:t>
      </w:r>
      <w:r w:rsidRPr="00A34B2D">
        <w:rPr>
          <w:rFonts w:asciiTheme="minorBidi" w:hAnsiTheme="minorBidi" w:cstheme="minorBidi"/>
          <w:szCs w:val="18"/>
        </w:rPr>
        <w:t xml:space="preserve"> absorption efficiency in large-scale industrial applications employing alkaline absorbents. Among the various reactor designs, including packed bed scrubbers, sieve-plate towers, spray towers, and bubble column reactors (BCRs), BCRs have emerged as a preferred option due to their simple construction, high interfacial surface area, and superior gas-liquid mass transfer efficiency</w:t>
      </w:r>
      <w:r w:rsidR="00733F30">
        <w:rPr>
          <w:rFonts w:asciiTheme="minorBidi" w:hAnsiTheme="minorBidi" w:cstheme="minorBidi"/>
          <w:szCs w:val="18"/>
        </w:rPr>
        <w:fldChar w:fldCharType="begin" w:fldLock="1"/>
      </w:r>
      <w:r w:rsidR="00BD0002">
        <w:rPr>
          <w:rFonts w:asciiTheme="minorBidi" w:hAnsiTheme="minorBidi" w:cstheme="minorBidi"/>
          <w:szCs w:val="18"/>
        </w:rPr>
        <w:instrText>ADDIN CSL_CITATION {"citationItems":[{"id":"ITEM-1","itemData":{"DOI":"10.1002/tqem.22020","ISSN":"15206483","abstract":"Carbon dioxide absorption using amine based solvents is a well-known approach for carbon dioxide removal. Especially with the increasing concerns about greenhouse gas emissions, there is a need for an optimization approach capable of multifactor calibration and prediction of interactions. Since conventional methods based on empirical relations are not efficiently applicable, this study investigates use of Response Surface Methodology as a strong optimization tool. A bubble column reactor was used and the effect of solvent concentration (10.0, 20.0 and 30.0 vol%), flow rate (4.0, 5.0 and 6.0 L min−1), diffuser pore size (0.5, 1.0 and 1.5 mm) and temperature (20.0, 25.0 and 30.0°C) on the absorption capacity and also overall mass transfer coefficient was evaluated. The optimization results for maintaining maximum capacity and overall mass transfer coefficient revealed that different optimization targets led to different tuned operational factors. Overall mass transfer coefficient decreased to 34.7 min−1 when the maximum capacity was the desired target. High reaction rate along with the highest absorption capacity was set as desirable two factor target in this application. As a result, a third scenario was designed to maximize both mass transfer coefficient and absorption capacity simultaneously. The optimized condition was achieved when a gas flow rate of 5.9 L min−1, MEA solution of 29.6 vol%, diffuser pore size of 0.5 mm and temperature of 20.6°C was adjusted. At this condition, mass transfer coefficient reached a maximum of 38.4 min−1, with a forecasted achievable absorption capacity of 120.5 g CO2 per kg MEA.","author":[{"dropping-particle":"","family":"Gul","given":"Ayşe","non-dropping-particle":"","parse-names":false,"suffix":""},{"dropping-particle":"","family":"Derakhshandeh","given":"Masoud","non-dropping-particle":"","parse-names":false,"suffix":""},{"dropping-particle":"","family":"Un","given":"Umran Tezcan","non-dropping-particle":"","parse-names":false,"suffix":""}],"container-title":"Environmental Quality Management","id":"ITEM-1","issue":"1","issued":{"date-parts":[["2023"]]},"page":"79-93","title":"Optimization of carbon dioxide absorption in a continuous bubble column reactor using response surface methodology","type":"article-journal","volume":"33"},"uris":["http://www.mendeley.com/documents/?uuid=d3771d67-4ac3-4f9a-aa5b-93443348bee4"]},{"id":"ITEM-2","itemData":{"DOI":"10.1016/j.apenergy.2017.01.027","ISSN":"03062619","abstract":"The CO2absorption in the bubble column using ammonia solution has been proved a viable approach for the post-combustion CO2capture, so it is of benefit to the energy saving of CO2absorption and the bubble column design to clarify the impacts of the geometry and running parameters on the mass transfer and energy consumption of CO2capture. Based on the representative elementary volume method, a computational model of both the CO2capture and ammonia slip was developed and validated by the experimental data, by which the hydrodynamic characteristics, mass transfer performances and energy consumption in CO2capture process were investigated. The results show that at the same inlet velocity of CO2, the higher height-to-diameter ratio of the column can improve the mass transfer performances of both the CO2capture and ammonia escape. What's more, the energy consumption decreases with the reduced orifice number on the bottom of column, and increases as the orifice size increases. An optimal height-to-diameter ratio of 5.76 is recommended when taking both the energy consumption and CO2removal efficiency into consideration. This work can provide the viable guidance and suggestions of the better mass transfer performance and energy saving for the industrial application of CO2capture, as well as the inhibition of ammonia escape.","author":[{"dropping-particle":"","family":"Chu","given":"Fengming","non-dropping-particle":"","parse-names":false,"suffix":""},{"dropping-particle":"","family":"Yang","given":"Lijun","non-dropping-particle":"","parse-names":false,"suffix":""},{"dropping-particle":"","family":"Du","given":"Xiaoze","non-dropping-particle":"","parse-names":false,"suffix":""},{"dropping-particle":"","family":"Yang","given":"Yongping","non-dropping-particle":"","parse-names":false,"suffix":""}],"container-title":"Applied Energy","id":"ITEM-2","issued":{"date-parts":[["2017"]]},"page":"1068-1080","title":"Mass transfer and energy consumption for CO2 absorption by ammonia solution in bubble column","type":"article-journal","volume":"190"},"uris":["http://www.mendeley.com/documents/?uuid=794ddac1-c6b6-4a66-8624-61317d4c9e79"]}],"mendeley":{"formattedCitation":"(Chu et al. 2017; Gul, Derakhshandeh, and Un 2023)","plainTextFormattedCitation":"(Chu et al. 2017; Gul, Derakhshandeh, and Un 2023)","previouslyFormattedCitation":"(Chu et al. 2017; Gul, Derakhshandeh, and Un 2023)"},"properties":{"noteIndex":0},"schema":"https://github.com/citation-style-language/schema/raw/master/csl-citation.json"}</w:instrText>
      </w:r>
      <w:r w:rsidR="00733F30">
        <w:rPr>
          <w:rFonts w:asciiTheme="minorBidi" w:hAnsiTheme="minorBidi" w:cstheme="minorBidi"/>
          <w:szCs w:val="18"/>
        </w:rPr>
        <w:fldChar w:fldCharType="separate"/>
      </w:r>
      <w:r w:rsidR="00BD0002" w:rsidRPr="00BD0002">
        <w:rPr>
          <w:rFonts w:asciiTheme="minorBidi" w:hAnsiTheme="minorBidi" w:cstheme="minorBidi"/>
          <w:noProof/>
          <w:szCs w:val="18"/>
        </w:rPr>
        <w:t>(Chu et al. 2017; Gul, Derakhshandeh, and Un 2023)</w:t>
      </w:r>
      <w:r w:rsidR="00733F30">
        <w:rPr>
          <w:rFonts w:asciiTheme="minorBidi" w:hAnsiTheme="minorBidi" w:cstheme="minorBidi"/>
          <w:szCs w:val="18"/>
        </w:rPr>
        <w:fldChar w:fldCharType="end"/>
      </w:r>
      <w:r w:rsidR="00BD0002">
        <w:rPr>
          <w:rFonts w:asciiTheme="minorBidi" w:hAnsiTheme="minorBidi" w:cstheme="minorBidi"/>
          <w:szCs w:val="18"/>
        </w:rPr>
        <w:t>.</w:t>
      </w:r>
      <w:r w:rsidRPr="00A34B2D">
        <w:rPr>
          <w:rFonts w:asciiTheme="minorBidi" w:hAnsiTheme="minorBidi" w:cstheme="minorBidi"/>
          <w:szCs w:val="18"/>
        </w:rPr>
        <w:t xml:space="preserve"> Studies utilizing computational fluid dynamics (CFD) simulations have demonstrated that optimizing hydrodynamic conditions, such as bubble size distribution and flow turbulence, enhances CO</w:t>
      </w:r>
      <w:r w:rsidRPr="00A34B2D">
        <w:rPr>
          <w:rFonts w:ascii="Cambria Math" w:hAnsi="Cambria Math" w:cs="Cambria Math"/>
          <w:szCs w:val="18"/>
        </w:rPr>
        <w:t>₂</w:t>
      </w:r>
      <w:r w:rsidRPr="00A34B2D">
        <w:rPr>
          <w:rFonts w:asciiTheme="minorBidi" w:hAnsiTheme="minorBidi" w:cstheme="minorBidi"/>
          <w:szCs w:val="18"/>
        </w:rPr>
        <w:t xml:space="preserve"> uptake rates and minimizes residence time constraints, leading to improved reactor performance </w:t>
      </w:r>
      <w:r w:rsidRPr="00A34B2D">
        <w:rPr>
          <w:rFonts w:asciiTheme="minorBidi" w:hAnsiTheme="minorBidi" w:cstheme="minorBidi"/>
          <w:szCs w:val="18"/>
        </w:rPr>
        <w:fldChar w:fldCharType="begin" w:fldLock="1"/>
      </w:r>
      <w:r w:rsidR="00F03DD1">
        <w:rPr>
          <w:rFonts w:asciiTheme="minorBidi" w:hAnsiTheme="minorBidi" w:cstheme="minorBidi"/>
          <w:szCs w:val="18"/>
        </w:rPr>
        <w:instrText>ADDIN CSL_CITATION {"citationItems":[{"id":"ITEM-1","itemData":{"DOI":"10.1021/acs.iecr.3c02941","ISSN":"15205045","abstract":"The effective removal of gas phase species relies on effective gas liquid hydrodynamic contact coupling with fast chemical reaction rates. To promote mass transfer rate and the development of reagents, computational fluid dynamic modeling has long been recognized as an effective methodology for the quantification of physical and chemical parameters. The simulation of the gas liquid process involves the coupling of models including multiphase flow, turbulence, interfacial forces, mass transfer, and chemical reactions. The selection of suitable models according to practical applications has been challenging. In terms of multiphase flow, volume of fraction, Euler-Euler, and Euler-Lagrange approaches are discussed. With regard to turbulence, direct numerical simulation, large eddy simulation, and Reynolds averaged Navier-Stokes approach are compared. With respect to interfacial forces, the dominance of drag, lift, virtual mass, wall lubrication, and turbulent dispersion forces for different situations are obtained. In terms of mass transfer, the development and applications of film model, dimensionless analysis, penetration model, and surface renewal model are discussed. Different methodologies to enhance mass transfer include improvement of equipment structure, addition of nanofluid, and exposure to an energy field are summarized. To accelerate the computational process, four methods including the space-time conservation element and solution element model, compartmental model, reduction in dimension, and multiscale approach are discussed. This paper intends to provide a thorough review on the applications of different models to different situations and, in particular, to reveal the restrictions of different models. Overall, this study lays the foundation for future studies on the optimization of scrubbers for large scale practical applications. It also allows a deeper understanding of the interactions of fluid dynamics, mass transfer, and chemical reactions.","author":[{"dropping-particle":"","family":"Liu","given":"Dunyu","non-dropping-particle":"","parse-names":false,"suffix":""},{"dropping-particle":"","family":"Wang","given":"Zhen","non-dropping-particle":"","parse-names":false,"suffix":""},{"dropping-particle":"","family":"Cai","given":"Yuyang","non-dropping-particle":"","parse-names":false,"suffix":""},{"dropping-particle":"","family":"Chen","given":"Jun","non-dropping-particle":"","parse-names":false,"suffix":""},{"dropping-particle":"","family":"Jin","given":"Jing","non-dropping-particle":"","parse-names":false,"suffix":""},{"dropping-particle":"","family":"Zhao","given":"Bingtao","non-dropping-particle":"","parse-names":false,"suffix":""}],"container-title":"Industrial and Engineering Chemistry Research","id":"ITEM-1","issue":"18","issued":{"date-parts":[["2024"]]},"page":"7959-8002","title":"Computational Fluid Dynamics Based Modeling of Gas Absorption Process: A State-of-the-Art Review","type":"article-journal","volume":"63"},"uris":["http://www.mendeley.com/documents/?uuid=88613de0-7393-4bf4-bc6b-ca5ea97b105c","http://www.mendeley.com/documents/?uuid=e0cedff8-84af-4c91-9e13-6ea2a064213b"]}],"mendeley":{"formattedCitation":"(Liu et al. 2024)","plainTextFormattedCitation":"(Liu et al. 2024)","previouslyFormattedCitation":"(Liu et al. 2024)"},"properties":{"noteIndex":0},"schema":"https://github.com/citation-style-language/schema/raw/master/csl-citation.json"}</w:instrText>
      </w:r>
      <w:r w:rsidRPr="00A34B2D">
        <w:rPr>
          <w:rFonts w:asciiTheme="minorBidi" w:hAnsiTheme="minorBidi" w:cstheme="minorBidi"/>
          <w:szCs w:val="18"/>
        </w:rPr>
        <w:fldChar w:fldCharType="separate"/>
      </w:r>
      <w:r w:rsidR="00F03DD1" w:rsidRPr="00F03DD1">
        <w:rPr>
          <w:rFonts w:asciiTheme="minorBidi" w:hAnsiTheme="minorBidi" w:cstheme="minorBidi"/>
          <w:noProof/>
          <w:szCs w:val="18"/>
        </w:rPr>
        <w:t>(Liu et al. 2024)</w:t>
      </w:r>
      <w:r w:rsidRPr="00A34B2D">
        <w:rPr>
          <w:rFonts w:asciiTheme="minorBidi" w:hAnsiTheme="minorBidi" w:cstheme="minorBidi"/>
          <w:szCs w:val="18"/>
        </w:rPr>
        <w:fldChar w:fldCharType="end"/>
      </w:r>
      <w:r w:rsidRPr="00A34B2D">
        <w:rPr>
          <w:rFonts w:asciiTheme="minorBidi" w:hAnsiTheme="minorBidi" w:cstheme="minorBidi"/>
          <w:szCs w:val="18"/>
        </w:rPr>
        <w:t>. Furthermore, pH-stat control strategies in bubble column scrubbers have been identified as effective mechanisms for stabilizing absorption conditions and maintaining high CO</w:t>
      </w:r>
      <w:r w:rsidRPr="00A34B2D">
        <w:rPr>
          <w:rFonts w:ascii="Cambria Math" w:hAnsi="Cambria Math" w:cs="Cambria Math"/>
          <w:szCs w:val="18"/>
        </w:rPr>
        <w:t>₂</w:t>
      </w:r>
      <w:r w:rsidRPr="00A34B2D">
        <w:rPr>
          <w:rFonts w:asciiTheme="minorBidi" w:hAnsiTheme="minorBidi" w:cstheme="minorBidi"/>
          <w:szCs w:val="18"/>
        </w:rPr>
        <w:t xml:space="preserve"> removal efficiencies over extended operational periods </w:t>
      </w:r>
      <w:r w:rsidRPr="00A34B2D">
        <w:rPr>
          <w:rFonts w:asciiTheme="minorBidi" w:hAnsiTheme="minorBidi" w:cstheme="minorBidi"/>
          <w:szCs w:val="18"/>
        </w:rPr>
        <w:fldChar w:fldCharType="begin" w:fldLock="1"/>
      </w:r>
      <w:r w:rsidR="00F03DD1">
        <w:rPr>
          <w:rFonts w:asciiTheme="minorBidi" w:hAnsiTheme="minorBidi" w:cstheme="minorBidi"/>
          <w:szCs w:val="18"/>
        </w:rPr>
        <w:instrText>ADDIN CSL_CITATION {"citationItems":[{"id":"ITEM-1","itemData":{"DOI":"10.1016/j.biortech.2007.02.012","ISSN":"09608524","PMID":"17383870","abstract":"The combined effect of superficial gas velocity, pH, initial phosphate concentration, and light intensity on cell growth was investigated for the mass production of cyanobacterial cells. The light intensity was manipulated to maintain a specific irradiation rate (qi) at a constant level for high cell density culture. The optimum condition for the batch culture was achieved at a superficial gas velocity of 2.0 cm/s, pH 7.0, and an initial phosphate concentration of 55 mg/l when the specific irradiation rate was controlled above 11.5 μmol/s/g dry cell. In this condition, the specific growth rate and cell productivity were 1.47 day-1 and 0.98 g dry cell/l/day, respectively. © 2007 Elsevier Ltd. All rights reserved.","author":[{"dropping-particle":"","family":"Yoon","given":"Jong Hyun","non-dropping-particle":"","parse-names":false,"suffix":""},{"dropping-particle":"","family":"Shin","given":"Jong Hwan","non-dropping-particle":"","parse-names":false,"suffix":""},{"dropping-particle":"","family":"Park","given":"Tai Hyun","non-dropping-particle":"","parse-names":false,"suffix":""}],"container-title":"Bioresource Technology","id":"ITEM-1","issue":"5","issued":{"date-parts":[["2008"]]},"page":"1204-1210","title":"Characterization of factors influencing the growth of Anabaena variabilis in a bubble column reactor","type":"article-journal","volume":"99"},"uris":["http://www.mendeley.com/documents/?uuid=9acf805f-2a39-4a2a-abe5-0e7cfc9a3e0f","http://www.mendeley.com/documents/?uuid=833bd4d6-1b37-4978-9bb9-544f8807653a"]}],"mendeley":{"formattedCitation":"(Yoon, Shin, and Park 2008)","plainTextFormattedCitation":"(Yoon, Shin, and Park 2008)","previouslyFormattedCitation":"(Yoon, Shin, and Park 2008)"},"properties":{"noteIndex":0},"schema":"https://github.com/citation-style-language/schema/raw/master/csl-citation.json"}</w:instrText>
      </w:r>
      <w:r w:rsidRPr="00A34B2D">
        <w:rPr>
          <w:rFonts w:asciiTheme="minorBidi" w:hAnsiTheme="minorBidi" w:cstheme="minorBidi"/>
          <w:szCs w:val="18"/>
        </w:rPr>
        <w:fldChar w:fldCharType="separate"/>
      </w:r>
      <w:r w:rsidR="00F03DD1" w:rsidRPr="00F03DD1">
        <w:rPr>
          <w:rFonts w:asciiTheme="minorBidi" w:hAnsiTheme="minorBidi" w:cstheme="minorBidi"/>
          <w:noProof/>
          <w:szCs w:val="18"/>
        </w:rPr>
        <w:t>(Yoon, Shin, and Park 2008)</w:t>
      </w:r>
      <w:r w:rsidRPr="00A34B2D">
        <w:rPr>
          <w:rFonts w:asciiTheme="minorBidi" w:hAnsiTheme="minorBidi" w:cstheme="minorBidi"/>
          <w:szCs w:val="18"/>
        </w:rPr>
        <w:fldChar w:fldCharType="end"/>
      </w:r>
      <w:r w:rsidRPr="00A34B2D">
        <w:rPr>
          <w:rFonts w:asciiTheme="minorBidi" w:hAnsiTheme="minorBidi" w:cstheme="minorBidi"/>
          <w:szCs w:val="18"/>
        </w:rPr>
        <w:t xml:space="preserve">. Additionally, incorporating pulsation-assisted gas-liquid mass transfer techniques within BCRs has been shown to improve interfacial turbulence, increase solubility rates, and enhance overall process intensification </w:t>
      </w:r>
      <w:r w:rsidRPr="00A34B2D">
        <w:rPr>
          <w:rFonts w:asciiTheme="minorBidi" w:hAnsiTheme="minorBidi" w:cstheme="minorBidi"/>
          <w:szCs w:val="18"/>
        </w:rPr>
        <w:fldChar w:fldCharType="begin" w:fldLock="1"/>
      </w:r>
      <w:r w:rsidR="00F03DD1">
        <w:rPr>
          <w:rFonts w:asciiTheme="minorBidi" w:hAnsiTheme="minorBidi" w:cstheme="minorBidi"/>
          <w:szCs w:val="18"/>
        </w:rPr>
        <w:instrText>ADDIN CSL_CITATION {"citationItems":[{"id":"ITEM-1","itemData":{"DOI":"10.1016/j.apenergy.2017.01.027","ISSN":"03062619","abstract":"The CO2absorption in the bubble column using ammonia solution has been proved a viable approach for the post-combustion CO2capture, so it is of benefit to the energy saving of CO2absorption and the bubble column design to clarify the impacts of the geometry and running parameters on the mass transfer and energy consumption of CO2capture. Based on the representative elementary volume method, a computational model of both the CO2capture and ammonia slip was developed and validated by the experimental data, by which the hydrodynamic characteristics, mass transfer performances and energy consumption in CO2capture process were investigated. The results show that at the same inlet velocity of CO2, the higher height-to-diameter ratio of the column can improve the mass transfer performances of both the CO2capture and ammonia escape. What's more, the energy consumption decreases with the reduced orifice number on the bottom of column, and increases as the orifice size increases. An optimal height-to-diameter ratio of 5.76 is recommended when taking both the energy consumption and CO2removal efficiency into consideration. This work can provide the viable guidance and suggestions of the better mass transfer performance and energy saving for the industrial application of CO2capture, as well as the inhibition of ammonia escape.","author":[{"dropping-particle":"","family":"Chu","given":"Fengming","non-dropping-particle":"","parse-names":false,"suffix":""},{"dropping-particle":"","family":"Yang","given":"Lijun","non-dropping-particle":"","parse-names":false,"suffix":""},{"dropping-particle":"","family":"Du","given":"Xiaoze","non-dropping-particle":"","parse-names":false,"suffix":""},{"dropping-particle":"","family":"Yang","given":"Yongping","non-dropping-particle":"","parse-names":false,"suffix":""}],"container-title":"Applied Energy","id":"ITEM-1","issued":{"date-parts":[["2017"]]},"page":"1068-1080","title":"Mass transfer and energy consumption for CO2 absorption by ammonia solution in bubble column","type":"article-journal","volume":"190"},"uris":["http://www.mendeley.com/documents/?uuid=794ddac1-c6b6-4a66-8624-61317d4c9e79","http://www.mendeley.com/documents/?uuid=932cdce6-e270-49e8-87c1-d7a383dfc991"]}],"mendeley":{"formattedCitation":"(Chu et al. 2017)","plainTextFormattedCitation":"(Chu et al. 2017)","previouslyFormattedCitation":"(Chu et al. 2017)"},"properties":{"noteIndex":0},"schema":"https://github.com/citation-style-language/schema/raw/master/csl-citation.json"}</w:instrText>
      </w:r>
      <w:r w:rsidRPr="00A34B2D">
        <w:rPr>
          <w:rFonts w:asciiTheme="minorBidi" w:hAnsiTheme="minorBidi" w:cstheme="minorBidi"/>
          <w:szCs w:val="18"/>
        </w:rPr>
        <w:fldChar w:fldCharType="separate"/>
      </w:r>
      <w:r w:rsidR="00F03DD1" w:rsidRPr="00F03DD1">
        <w:rPr>
          <w:rFonts w:asciiTheme="minorBidi" w:hAnsiTheme="minorBidi" w:cstheme="minorBidi"/>
          <w:noProof/>
          <w:szCs w:val="18"/>
        </w:rPr>
        <w:t>(Chu et al. 2017)</w:t>
      </w:r>
      <w:r w:rsidRPr="00A34B2D">
        <w:rPr>
          <w:rFonts w:asciiTheme="minorBidi" w:hAnsiTheme="minorBidi" w:cstheme="minorBidi"/>
          <w:szCs w:val="18"/>
        </w:rPr>
        <w:fldChar w:fldCharType="end"/>
      </w:r>
      <w:r w:rsidRPr="00A34B2D">
        <w:rPr>
          <w:rFonts w:asciiTheme="minorBidi" w:hAnsiTheme="minorBidi" w:cstheme="minorBidi"/>
          <w:szCs w:val="18"/>
        </w:rPr>
        <w:t xml:space="preserve">. Comparative assessments of reactor configurations reveal that BCRs outperform other absorption reactors by maintaining low pressure drops, reducing energy consumption, and lowering operational expenditures, making them economically viable for large-scale deployment </w:t>
      </w:r>
      <w:r w:rsidRPr="00A34B2D">
        <w:rPr>
          <w:rFonts w:asciiTheme="minorBidi" w:hAnsiTheme="minorBidi" w:cstheme="minorBidi"/>
          <w:szCs w:val="18"/>
        </w:rPr>
        <w:fldChar w:fldCharType="begin" w:fldLock="1"/>
      </w:r>
      <w:r w:rsidR="00F03DD1">
        <w:rPr>
          <w:rFonts w:asciiTheme="minorBidi" w:hAnsiTheme="minorBidi" w:cstheme="minorBidi"/>
          <w:szCs w:val="18"/>
        </w:rPr>
        <w:instrText>ADDIN CSL_CITATION {"citationItems":[{"id":"ITEM-1","itemData":{"DOI":"10.1016/j.apenergy.2017.01.027","ISSN":"03062619","abstract":"The CO2absorption in the bubble column using ammonia solution has been proved a viable approach for the post-combustion CO2capture, so it is of benefit to the energy saving of CO2absorption and the bubble column design to clarify the impacts of the geometry and running parameters on the mass transfer and energy consumption of CO2capture. Based on the representative elementary volume method, a computational model of both the CO2capture and ammonia slip was developed and validated by the experimental data, by which the hydrodynamic characteristics, mass transfer performances and energy consumption in CO2capture process were investigated. The results show that at the same inlet velocity of CO2, the higher height-to-diameter ratio of the column can improve the mass transfer performances of both the CO2capture and ammonia escape. What's more, the energy consumption decreases with the reduced orifice number on the bottom of column, and increases as the orifice size increases. An optimal height-to-diameter ratio of 5.76 is recommended when taking both the energy consumption and CO2removal efficiency into consideration. This work can provide the viable guidance and suggestions of the better mass transfer performance and energy saving for the industrial application of CO2capture, as well as the inhibition of ammonia escape.","author":[{"dropping-particle":"","family":"Chu","given":"Fengming","non-dropping-particle":"","parse-names":false,"suffix":""},{"dropping-particle":"","family":"Yang","given":"Lijun","non-dropping-particle":"","parse-names":false,"suffix":""},{"dropping-particle":"","family":"Du","given":"Xiaoze","non-dropping-particle":"","parse-names":false,"suffix":""},{"dropping-particle":"","family":"Yang","given":"Yongping","non-dropping-particle":"","parse-names":false,"suffix":""}],"container-title":"Applied Energy","id":"ITEM-1","issued":{"date-parts":[["2017"]]},"page":"1068-1080","title":"Mass transfer and energy consumption for CO2 absorption by ammonia solution in bubble column","type":"article-journal","volume":"190"},"uris":["http://www.mendeley.com/documents/?uuid=794ddac1-c6b6-4a66-8624-61317d4c9e79","http://www.mendeley.com/documents/?uuid=932cdce6-e270-49e8-87c1-d7a383dfc991"]},{"id":"ITEM-2","itemData":{"DOI":"10.1016/j.biortech.2007.02.012","ISSN":"09608524","PMID":"17383870","abstract":"The combined effect of superficial gas velocity, pH, initial phosphate concentration, and light intensity on cell growth was investigated for the mass production of cyanobacterial cells. The light intensity was manipulated to maintain a specific irradiation rate (qi) at a constant level for high cell density culture. The optimum condition for the batch culture was achieved at a superficial gas velocity of 2.0 cm/s, pH 7.0, and an initial phosphate concentration of 55 mg/l when the specific irradiation rate was controlled above 11.5 μmol/s/g dry cell. In this condition, the specific growth rate and cell productivity were 1.47 day-1 and 0.98 g dry cell/l/day, respectively. © 2007 Elsevier Ltd. All rights reserved.","author":[{"dropping-particle":"","family":"Yoon","given":"Jong Hyun","non-dropping-particle":"","parse-names":false,"suffix":""},{"dropping-particle":"","family":"Shin","given":"Jong Hwan","non-dropping-particle":"","parse-names":false,"suffix":""},{"dropping-particle":"","family":"Park","given":"Tai Hyun","non-dropping-particle":"","parse-names":false,"suffix":""}],"container-title":"Bioresource Technology","id":"ITEM-2","issue":"5","issued":{"date-parts":[["2008"]]},"page":"1204-1210","title":"Characterization of factors influencing the growth of Anabaena variabilis in a bubble column reactor","type":"article-journal","volume":"99"},"uris":["http://www.mendeley.com/documents/?uuid=833bd4d6-1b37-4978-9bb9-544f8807653a","http://www.mendeley.com/documents/?uuid=9acf805f-2a39-4a2a-abe5-0e7cfc9a3e0f","http://www.mendeley.com/documents/?uuid=330b68f8-b684-4f3a-85b8-67fe8e62833e"]}],"mendeley":{"formattedCitation":"(Chu et al. 2017; Yoon, Shin, and Park 2008)","plainTextFormattedCitation":"(Chu et al. 2017; Yoon, Shin, and Park 2008)","previouslyFormattedCitation":"(Chu et al. 2017; Yoon, Shin, and Park 2008)"},"properties":{"noteIndex":0},"schema":"https://github.com/citation-style-language/schema/raw/master/csl-citation.json"}</w:instrText>
      </w:r>
      <w:r w:rsidRPr="00A34B2D">
        <w:rPr>
          <w:rFonts w:asciiTheme="minorBidi" w:hAnsiTheme="minorBidi" w:cstheme="minorBidi"/>
          <w:szCs w:val="18"/>
        </w:rPr>
        <w:fldChar w:fldCharType="separate"/>
      </w:r>
      <w:r w:rsidR="00F03DD1" w:rsidRPr="00F03DD1">
        <w:rPr>
          <w:rFonts w:asciiTheme="minorBidi" w:hAnsiTheme="minorBidi" w:cstheme="minorBidi"/>
          <w:noProof/>
          <w:szCs w:val="18"/>
        </w:rPr>
        <w:t>(Chu et al. 2017; Yoon, Shin, and Park 2008)</w:t>
      </w:r>
      <w:r w:rsidRPr="00A34B2D">
        <w:rPr>
          <w:rFonts w:asciiTheme="minorBidi" w:hAnsiTheme="minorBidi" w:cstheme="minorBidi"/>
          <w:szCs w:val="18"/>
        </w:rPr>
        <w:fldChar w:fldCharType="end"/>
      </w:r>
    </w:p>
    <w:p w14:paraId="1E240811" w14:textId="3BF31EB2" w:rsidR="00A34B2D" w:rsidRDefault="00A34B2D" w:rsidP="00A34B2D">
      <w:pPr>
        <w:pStyle w:val="ListParagraph"/>
        <w:ind w:left="0"/>
        <w:rPr>
          <w:rFonts w:asciiTheme="minorBidi" w:hAnsiTheme="minorBidi" w:cstheme="minorBidi"/>
          <w:szCs w:val="18"/>
          <w:lang w:val="en-US"/>
        </w:rPr>
      </w:pPr>
      <w:r w:rsidRPr="00A34B2D">
        <w:rPr>
          <w:rFonts w:asciiTheme="minorBidi" w:hAnsiTheme="minorBidi" w:cstheme="minorBidi"/>
          <w:szCs w:val="18"/>
        </w:rPr>
        <w:t>Magnesium hydroxide (Mg(OH)</w:t>
      </w:r>
      <w:r w:rsidRPr="00A34B2D">
        <w:rPr>
          <w:rFonts w:ascii="Cambria Math" w:hAnsi="Cambria Math" w:cs="Cambria Math"/>
          <w:szCs w:val="18"/>
        </w:rPr>
        <w:t>₂</w:t>
      </w:r>
      <w:r w:rsidRPr="00A34B2D">
        <w:rPr>
          <w:rFonts w:asciiTheme="minorBidi" w:hAnsiTheme="minorBidi" w:cstheme="minorBidi"/>
          <w:szCs w:val="18"/>
        </w:rPr>
        <w:t>) is a highly efficient and sustainable CO</w:t>
      </w:r>
      <w:r w:rsidRPr="00A34B2D">
        <w:rPr>
          <w:rFonts w:ascii="Cambria Math" w:hAnsi="Cambria Math" w:cs="Cambria Math"/>
          <w:szCs w:val="18"/>
        </w:rPr>
        <w:t>₂</w:t>
      </w:r>
      <w:r w:rsidRPr="00A34B2D">
        <w:rPr>
          <w:rFonts w:asciiTheme="minorBidi" w:hAnsiTheme="minorBidi" w:cstheme="minorBidi"/>
          <w:szCs w:val="18"/>
        </w:rPr>
        <w:t xml:space="preserve"> absorbent with superior chemical stability and high recoverability, making it ideal for industrial carbon capture</w:t>
      </w:r>
      <w:r w:rsidR="00733F30">
        <w:rPr>
          <w:rFonts w:asciiTheme="minorBidi" w:hAnsiTheme="minorBidi" w:cstheme="minorBidi"/>
          <w:szCs w:val="18"/>
        </w:rPr>
        <w:fldChar w:fldCharType="begin" w:fldLock="1"/>
      </w:r>
      <w:r w:rsidR="00733F30">
        <w:rPr>
          <w:rFonts w:asciiTheme="minorBidi" w:hAnsiTheme="minorBidi" w:cstheme="minorBidi"/>
          <w:szCs w:val="18"/>
        </w:rPr>
        <w:instrText>ADDIN CSL_CITATION {"citationItems":[{"id":"ITEM-1","itemData":{"DOI":"10.1016/j.fuel.2019.115924","ISSN":"00162361","abstract":"The present work deals with an efficient synthesis of calcium hydroxide-based materials modified with magnesium oxide and ammonium phosphate for Calcium Looping technology in Post-combustion CO2 capture. This modification produced 3 %wt of struvite, MgNH4PO4·6H2O, and hydroxyapatite Ca10(PO4)6(OH)2, in the material. These minerals are very hard, which contributes to increase the mechanical strength of the materials. The modified materials are four times more resistant to impact and abrasion than materials containing pure calcium hydroxide freshly prepared, and therefore, can generate less fractures and dusts. In addition, struvite and hydroxyapatite can create open pores and channels into the sorbent structure when they release water or ammonia by thermal decomposition above 200 °C identified by X-ray microtomography. Due to this porous structure the materials are more resistant to sintering during absorption/regeneration cycles. The new developed absorbent are harder, less brittle, generate less frictional dust, and are more resistant to high temperature sintering (400–700 °C) compared to pure Ca(OH)2 based materials. The results showed that calcium hydroxide modified materials can be considered highly efficiency to CO2 absorption, with particular achievement of greater than 50%wt.","author":[{"dropping-particle":"","family":"César de Carvalho Pinto","given":"Plínio","non-dropping-particle":"","parse-names":false,"suffix":""},{"dropping-particle":"","family":"Voga Pereira","given":"Geison","non-dropping-particle":"","parse-names":false,"suffix":""},{"dropping-particle":"","family":"Schiavo de Rezende","given":"Leonardo","non-dropping-particle":"","parse-names":false,"suffix":""},{"dropping-particle":"","family":"C.C. Moura","given":"Flávia","non-dropping-particle":"","parse-names":false,"suffix":""},{"dropping-particle":"","family":"Cláudio Belchior","given":"Jadson","non-dropping-particle":"","parse-names":false,"suffix":""}],"container-title":"Fuel","id":"ITEM-1","issued":{"date-parts":[["2019"]]},"title":"CO2 capture performance and mechanical properties of Ca(OH)2-based sorbent modified with MgO and (NH4)2HPO4 for Calcium Looping cycle","type":"article-journal","volume":"256"},"uris":["http://www.mendeley.com/documents/?uuid=df1e5664-ce44-49b5-ac5b-a86e08f94ed0"]}],"mendeley":{"formattedCitation":"(César de Carvalho Pinto et al. 2019)","plainTextFormattedCitation":"(César de Carvalho Pinto et al. 2019)","previouslyFormattedCitation":"(César de Carvalho Pinto et al. 2019)"},"properties":{"noteIndex":0},"schema":"https://github.com/citation-style-language/schema/raw/master/csl-citation.json"}</w:instrText>
      </w:r>
      <w:r w:rsidR="00733F30">
        <w:rPr>
          <w:rFonts w:asciiTheme="minorBidi" w:hAnsiTheme="minorBidi" w:cstheme="minorBidi"/>
          <w:szCs w:val="18"/>
        </w:rPr>
        <w:fldChar w:fldCharType="separate"/>
      </w:r>
      <w:r w:rsidR="00733F30" w:rsidRPr="00733F30">
        <w:rPr>
          <w:rFonts w:asciiTheme="minorBidi" w:hAnsiTheme="minorBidi" w:cstheme="minorBidi"/>
          <w:noProof/>
          <w:szCs w:val="18"/>
        </w:rPr>
        <w:t>(César de Carvalho Pinto et al. 2019)</w:t>
      </w:r>
      <w:r w:rsidR="00733F30">
        <w:rPr>
          <w:rFonts w:asciiTheme="minorBidi" w:hAnsiTheme="minorBidi" w:cstheme="minorBidi"/>
          <w:szCs w:val="18"/>
        </w:rPr>
        <w:fldChar w:fldCharType="end"/>
      </w:r>
      <w:r w:rsidRPr="00A34B2D">
        <w:rPr>
          <w:rFonts w:asciiTheme="minorBidi" w:hAnsiTheme="minorBidi" w:cstheme="minorBidi"/>
          <w:szCs w:val="18"/>
        </w:rPr>
        <w:t>. Its use in bubble column reactors (BCRs) enhances gas-liquid interactions, interfacial mass transfer, and CO</w:t>
      </w:r>
      <w:r w:rsidRPr="00A34B2D">
        <w:rPr>
          <w:rFonts w:ascii="Cambria Math" w:hAnsi="Cambria Math" w:cs="Cambria Math"/>
          <w:szCs w:val="18"/>
        </w:rPr>
        <w:t>₂</w:t>
      </w:r>
      <w:r w:rsidRPr="00A34B2D">
        <w:rPr>
          <w:rFonts w:asciiTheme="minorBidi" w:hAnsiTheme="minorBidi" w:cstheme="minorBidi"/>
          <w:szCs w:val="18"/>
        </w:rPr>
        <w:t xml:space="preserve"> sequestration due to increased surface area and </w:t>
      </w:r>
      <w:r w:rsidR="00C05380" w:rsidRPr="00A34B2D">
        <w:rPr>
          <w:rFonts w:asciiTheme="minorBidi" w:hAnsiTheme="minorBidi" w:cstheme="minorBidi"/>
          <w:szCs w:val="18"/>
        </w:rPr>
        <w:t>favourable</w:t>
      </w:r>
      <w:r w:rsidRPr="00A34B2D">
        <w:rPr>
          <w:rFonts w:asciiTheme="minorBidi" w:hAnsiTheme="minorBidi" w:cstheme="minorBidi"/>
          <w:szCs w:val="18"/>
        </w:rPr>
        <w:t xml:space="preserve"> absorption kinetics. Key operational parameters such as slurry concentration, gas hold-up, and temperature significantly impact efficiency, with process </w:t>
      </w:r>
      <w:r w:rsidR="00C05380" w:rsidRPr="00A34B2D">
        <w:rPr>
          <w:rFonts w:asciiTheme="minorBidi" w:hAnsiTheme="minorBidi" w:cstheme="minorBidi"/>
          <w:szCs w:val="18"/>
        </w:rPr>
        <w:t>modelling</w:t>
      </w:r>
      <w:r w:rsidRPr="00A34B2D">
        <w:rPr>
          <w:rFonts w:asciiTheme="minorBidi" w:hAnsiTheme="minorBidi" w:cstheme="minorBidi"/>
          <w:szCs w:val="18"/>
        </w:rPr>
        <w:t xml:space="preserve"> via Response Surface Methodology (RSM) optimizing conditions for energy-efficient CO</w:t>
      </w:r>
      <w:r w:rsidRPr="00A34B2D">
        <w:rPr>
          <w:rFonts w:ascii="Cambria Math" w:hAnsi="Cambria Math" w:cs="Cambria Math"/>
          <w:szCs w:val="18"/>
        </w:rPr>
        <w:t>₂</w:t>
      </w:r>
      <w:r w:rsidRPr="00A34B2D">
        <w:rPr>
          <w:rFonts w:asciiTheme="minorBidi" w:hAnsiTheme="minorBidi" w:cstheme="minorBidi"/>
          <w:szCs w:val="18"/>
        </w:rPr>
        <w:t xml:space="preserve"> removal</w:t>
      </w:r>
      <w:r w:rsidR="00733F30">
        <w:rPr>
          <w:rFonts w:asciiTheme="minorBidi" w:hAnsiTheme="minorBidi" w:cstheme="minorBidi"/>
          <w:szCs w:val="18"/>
        </w:rPr>
        <w:fldChar w:fldCharType="begin" w:fldLock="1"/>
      </w:r>
      <w:r w:rsidR="00BD0002">
        <w:rPr>
          <w:rFonts w:asciiTheme="minorBidi" w:hAnsiTheme="minorBidi" w:cstheme="minorBidi"/>
          <w:szCs w:val="18"/>
        </w:rPr>
        <w:instrText>ADDIN CSL_CITATION {"citationItems":[{"id":"ITEM-1","itemData":{"ISBN":"9513862380","ISSN":"12350621","PMID":"23641116","abstract":"superhydrophobic surfaces can be used to reduce the minimum voltage and to increase the maximum speed under certain conditions, but there are some harmful side-effects. First of all, the electrostatic pressure can push water into the surface pores, which hinders actuation. The phenomenon can also be treated as a vertical electrowetting effect. Another drawback is that the use of superhydrophobic surfaces makes actuation more critical to the properties of the liquid. For example, actuation of biological buffer solutions was not successful. For these reasons, it is concluded that it is more beneficial to use a smooth surface with low hysteresis than a superhydrophobic surface in droplet actuation. Electrostatic droplet actuation is a potential method for manipulating liquid on a microscopic scale, but there is still work to do. This work contains a detailed examination of the droplet actuation mechanism, and trapping of charges in the solid-liquid interface is found to be the most severe problem that needs to be solved.","author":[{"dropping-particle":"","family":"Xin","given":"Zhang","non-dropping-particle":"","parse-names":false,"suffix":""},{"dropping-particle":"","family":"Di","given":"Bao","non-dropping-particle":"","parse-names":false,"suffix":""},{"dropping-particle":"","family":"Ying","given":"Huang","non-dropping-particle":"","parse-names":false,"suffix":""},{"dropping-particle":"","family":"Halfeng","given":"Dong","non-dropping-particle":"","parse-names":false,"suffix":""},{"dropping-particle":"","family":"Xianping","given":"Zhang","non-dropping-particle":"","parse-names":false,"suffix":""},{"dropping-particle":"","family":"Suojang","given":"Zhang","non-dropping-particle":"","parse-names":false,"suffix":""}],"container-title":"AIChE Journal","id":"ITEM-1","issue":"4","issued":{"date-parts":[["2012"]]},"page":"215-228","title":"Gas–Liquid Mass-Transfer Properties in CO2 Absorption System with Ionic Liquids","type":"article-journal","volume":"59"},"uris":["http://www.mendeley.com/documents/?uuid=591967d1-3dd3-4d31-ba9d-5a4bf7556698"]},{"id":"ITEM-2","itemData":{"DOI":"10.1177/0958305X241230944","ISSN":"20484070","abstract":"A pilot-scale bubble column contactor has been utilized for carbon dioxide chemisorption from simulated flue gas in the temperature range 30°C to 50°C. The influence of the most important operating parameters has been investigated. A total of 25 experiments were designed using the response surface methodology (RSM) and were then carried out in the bubble contact column. The results revealed that the liquid volume in the column, the alkaline concentration, and the temperature had a positive effect, while the gas hold-up had a negative effect on the CO2 removal efficiency. A statistical model has been developed using the RSM D-optimal experimental design method. To achieve the highest CO2 chemisorption, several operating conditions have been optimized. The model predicted that the maximum percentage of carbon dioxide removal would be 86.64%, and under the same operating conditions the experimental removal efficiency was 87.12%.","author":[{"dropping-particle":"","family":"Ghavamipour","given":"Shokooh","non-dropping-particle":"","parse-names":false,"suffix":""},{"dropping-particle":"","family":"Vafajoo","given":"Leila","non-dropping-particle":"","parse-names":false,"suffix":""},{"dropping-particle":"","family":"Pourhossein","given":"Gilava","non-dropping-particle":"","parse-names":false,"suffix":""},{"dropping-particle":"","family":"Parthasarathy","given":"Prakash","non-dropping-particle":"","parse-names":false,"suffix":""},{"dropping-particle":"","family":"McKay","given":"Gordon","non-dropping-particle":"","parse-names":false,"suffix":""}],"container-title":"Energy and Environment","id":"ITEM-2","issued":{"date-parts":[["2024"]]},"title":"Post-combustion CO2 capturing by KOH solution: An experimental and statistical optimization modeling study","type":"article-journal"},"uris":["http://www.mendeley.com/documents/?uuid=08e81936-a175-4740-b5ba-edc4440eb4bc"]}],"mendeley":{"formattedCitation":"(Ghavamipour et al. 2024; Xin et al. 2012)","plainTextFormattedCitation":"(Ghavamipour et al. 2024; Xin et al. 2012)","previouslyFormattedCitation":"(Xin et al. 2012)"},"properties":{"noteIndex":0},"schema":"https://github.com/citation-style-language/schema/raw/master/csl-citation.json"}</w:instrText>
      </w:r>
      <w:r w:rsidR="00733F30">
        <w:rPr>
          <w:rFonts w:asciiTheme="minorBidi" w:hAnsiTheme="minorBidi" w:cstheme="minorBidi"/>
          <w:szCs w:val="18"/>
        </w:rPr>
        <w:fldChar w:fldCharType="separate"/>
      </w:r>
      <w:r w:rsidR="00BD0002" w:rsidRPr="00BD0002">
        <w:rPr>
          <w:rFonts w:asciiTheme="minorBidi" w:hAnsiTheme="minorBidi" w:cstheme="minorBidi"/>
          <w:noProof/>
          <w:szCs w:val="18"/>
        </w:rPr>
        <w:t>(Ghavamipour et al. 2024; Xin et al. 2012)</w:t>
      </w:r>
      <w:r w:rsidR="00733F30">
        <w:rPr>
          <w:rFonts w:asciiTheme="minorBidi" w:hAnsiTheme="minorBidi" w:cstheme="minorBidi"/>
          <w:szCs w:val="18"/>
        </w:rPr>
        <w:fldChar w:fldCharType="end"/>
      </w:r>
      <w:r w:rsidRPr="00A34B2D">
        <w:rPr>
          <w:rFonts w:asciiTheme="minorBidi" w:hAnsiTheme="minorBidi" w:cstheme="minorBidi"/>
          <w:szCs w:val="18"/>
        </w:rPr>
        <w:t>. Integrating Mg(OH)</w:t>
      </w:r>
      <w:r w:rsidRPr="00A34B2D">
        <w:rPr>
          <w:rFonts w:ascii="Cambria Math" w:hAnsi="Cambria Math" w:cs="Cambria Math"/>
          <w:szCs w:val="18"/>
        </w:rPr>
        <w:t>₂</w:t>
      </w:r>
      <w:r w:rsidRPr="00A34B2D">
        <w:rPr>
          <w:rFonts w:asciiTheme="minorBidi" w:hAnsiTheme="minorBidi" w:cstheme="minorBidi"/>
          <w:szCs w:val="18"/>
        </w:rPr>
        <w:t xml:space="preserve">-based systems into industrial </w:t>
      </w:r>
      <w:r w:rsidRPr="00A34B2D">
        <w:rPr>
          <w:rFonts w:asciiTheme="minorBidi" w:hAnsiTheme="minorBidi" w:cstheme="minorBidi"/>
          <w:szCs w:val="18"/>
        </w:rPr>
        <w:lastRenderedPageBreak/>
        <w:t>decarbonization enhances economic feasibility and sustainability, positioning it as a next-generation CO</w:t>
      </w:r>
      <w:r w:rsidRPr="00A34B2D">
        <w:rPr>
          <w:rFonts w:ascii="Cambria Math" w:hAnsi="Cambria Math" w:cs="Cambria Math"/>
          <w:szCs w:val="18"/>
        </w:rPr>
        <w:t>₂</w:t>
      </w:r>
      <w:r w:rsidRPr="00A34B2D">
        <w:rPr>
          <w:rFonts w:asciiTheme="minorBidi" w:hAnsiTheme="minorBidi" w:cstheme="minorBidi"/>
          <w:szCs w:val="18"/>
        </w:rPr>
        <w:t xml:space="preserve"> absorbent </w:t>
      </w:r>
      <w:r w:rsidRPr="00A34B2D">
        <w:rPr>
          <w:rFonts w:asciiTheme="minorBidi" w:hAnsiTheme="minorBidi" w:cstheme="minorBidi"/>
          <w:szCs w:val="18"/>
        </w:rPr>
        <w:fldChar w:fldCharType="begin" w:fldLock="1"/>
      </w:r>
      <w:r w:rsidR="00F03DD1">
        <w:rPr>
          <w:rFonts w:asciiTheme="minorBidi" w:hAnsiTheme="minorBidi" w:cstheme="minorBidi"/>
          <w:szCs w:val="18"/>
        </w:rPr>
        <w:instrText>ADDIN CSL_CITATION {"citationItems":[{"id":"ITEM-1","itemData":{"DOI":"10.1016/j.energy.2012.06.038","ISSN":"03605442","abstract":"This paper deals with the simultaneously optimization of operating conditions (pressures, temperatures and flow-rates) and dimensions (diameter and height) of the amine regeneration unit in the post-combustion CO2 capture process. The proposed model takes into account the effect of kinetic reactions on the mass transfer, the hydraulics of the random packing and the pressure drop along the column. In addition, profiles of temperature, composition and flow-rate along the height of the regenerator are also predicted.The resulting mathematical model is implemented into the optimization environment General Algebraic Modeling System (GAMS) which is a high-level modeling system for mathematical programming and optimization. The benefits of the mathematical programming techniques (equation-oriented modeling tools) are exploited for the simultaneous optimization not only of the operating conditions but also the dimensions of the all piece of equipments (heat exchangers, regeneration unit, condenser and reboiler).The mathematical model was successfully verified by comparison of the obtained results with published experimental data and simulated solutions obtained by a process simulator (HYSYS). Once validated, the model was used for optimization purpose.Finally, in order to study the effect of the main process parameters on the optimized results a sensitivity analysis is also investigated and discussed in detail. © 2012 Elsevier Ltd.","author":[{"dropping-particle":"","family":"Mores","given":"Patricia","non-dropping-particle":"","parse-names":false,"suffix":""},{"dropping-particle":"","family":"Scenna","given":"Nicolás","non-dropping-particle":"","parse-names":false,"suffix":""},{"dropping-particle":"","family":"Mussati","given":"Sergio","non-dropping-particle":"","parse-names":false,"suffix":""}],"container-title":"Energy","id":"ITEM-1","issue":"1","issued":{"date-parts":[["2012"]]},"page":"1042-1058","title":"CO2 capture using monoethanolamine (MEA) aqueous solution: Modeling and optimization of the solvent regeneration and CO2 desorption process","type":"article-journal","volume":"45"},"uris":["http://www.mendeley.com/documents/?uuid=81db8bfd-3f84-4edc-8404-ac5f72e5d640","http://www.mendeley.com/documents/?uuid=21ded192-4455-4917-b8c3-34b85b97bc1c"]}],"mendeley":{"formattedCitation":"(Mores, Scenna, and Mussati 2012)","plainTextFormattedCitation":"(Mores, Scenna, and Mussati 2012)","previouslyFormattedCitation":"(Mores, Scenna, and Mussati 2012)"},"properties":{"noteIndex":0},"schema":"https://github.com/citation-style-language/schema/raw/master/csl-citation.json"}</w:instrText>
      </w:r>
      <w:r w:rsidRPr="00A34B2D">
        <w:rPr>
          <w:rFonts w:asciiTheme="minorBidi" w:hAnsiTheme="minorBidi" w:cstheme="minorBidi"/>
          <w:szCs w:val="18"/>
        </w:rPr>
        <w:fldChar w:fldCharType="separate"/>
      </w:r>
      <w:r w:rsidR="00F03DD1" w:rsidRPr="00F03DD1">
        <w:rPr>
          <w:rFonts w:asciiTheme="minorBidi" w:hAnsiTheme="minorBidi" w:cstheme="minorBidi"/>
          <w:noProof/>
          <w:szCs w:val="18"/>
        </w:rPr>
        <w:t>(Mores, Scenna, and Mussati 2012)</w:t>
      </w:r>
      <w:r w:rsidRPr="00A34B2D">
        <w:rPr>
          <w:rFonts w:asciiTheme="minorBidi" w:hAnsiTheme="minorBidi" w:cstheme="minorBidi"/>
          <w:szCs w:val="18"/>
        </w:rPr>
        <w:fldChar w:fldCharType="end"/>
      </w:r>
      <w:r w:rsidRPr="00A34B2D">
        <w:rPr>
          <w:rFonts w:asciiTheme="minorBidi" w:hAnsiTheme="minorBidi" w:cstheme="minorBidi"/>
          <w:szCs w:val="18"/>
        </w:rPr>
        <w:t>.</w:t>
      </w:r>
    </w:p>
    <w:p w14:paraId="2397CE8A" w14:textId="77777777" w:rsidR="00B677FF" w:rsidRPr="00B677FF" w:rsidRDefault="00B677FF" w:rsidP="00B677FF">
      <w:pPr>
        <w:pStyle w:val="ListParagraph"/>
        <w:ind w:left="0"/>
        <w:rPr>
          <w:rFonts w:asciiTheme="minorBidi" w:hAnsiTheme="minorBidi" w:cstheme="minorBidi"/>
          <w:szCs w:val="18"/>
          <w:lang w:val="en-US"/>
        </w:rPr>
      </w:pPr>
      <w:r w:rsidRPr="00B677FF">
        <w:rPr>
          <w:rFonts w:asciiTheme="minorBidi" w:hAnsiTheme="minorBidi" w:cstheme="minorBidi"/>
          <w:szCs w:val="18"/>
          <w:lang w:val="en-US"/>
        </w:rPr>
        <w:t>This study optimizes CO</w:t>
      </w:r>
      <w:r w:rsidRPr="00B677FF">
        <w:rPr>
          <w:rFonts w:ascii="Cambria Math" w:hAnsi="Cambria Math" w:cs="Cambria Math"/>
          <w:szCs w:val="18"/>
          <w:lang w:val="en-US"/>
        </w:rPr>
        <w:t>₂</w:t>
      </w:r>
      <w:r w:rsidRPr="00B677FF">
        <w:rPr>
          <w:rFonts w:asciiTheme="minorBidi" w:hAnsiTheme="minorBidi" w:cstheme="minorBidi"/>
          <w:szCs w:val="18"/>
          <w:lang w:val="en-US"/>
        </w:rPr>
        <w:t xml:space="preserve"> sequestration using Mg(OH)</w:t>
      </w:r>
      <w:r w:rsidRPr="00B677FF">
        <w:rPr>
          <w:rFonts w:ascii="Cambria Math" w:hAnsi="Cambria Math" w:cs="Cambria Math"/>
          <w:szCs w:val="18"/>
          <w:lang w:val="en-US"/>
        </w:rPr>
        <w:t>₂</w:t>
      </w:r>
      <w:r w:rsidRPr="00B677FF">
        <w:rPr>
          <w:rFonts w:asciiTheme="minorBidi" w:hAnsiTheme="minorBidi" w:cstheme="minorBidi"/>
          <w:szCs w:val="18"/>
          <w:lang w:val="en-US"/>
        </w:rPr>
        <w:t xml:space="preserve"> in a bubble column reactor by analyzing key operational parameters, including slurry volume, absorbent concentration, gas hold-up, and temperature. A quadratic regression model is employed to establish the nonlinear relationships between these variables and determine the optimal conditions for maximizing CO</w:t>
      </w:r>
      <w:r w:rsidRPr="00B677FF">
        <w:rPr>
          <w:rFonts w:ascii="Cambria Math" w:hAnsi="Cambria Math" w:cs="Cambria Math"/>
          <w:szCs w:val="18"/>
          <w:lang w:val="en-US"/>
        </w:rPr>
        <w:t>₂</w:t>
      </w:r>
      <w:r w:rsidRPr="00B677FF">
        <w:rPr>
          <w:rFonts w:asciiTheme="minorBidi" w:hAnsiTheme="minorBidi" w:cstheme="minorBidi"/>
          <w:szCs w:val="18"/>
          <w:lang w:val="en-US"/>
        </w:rPr>
        <w:t xml:space="preserve"> removal efficiency. The findings contribute to refining CO</w:t>
      </w:r>
      <w:r w:rsidRPr="00B677FF">
        <w:rPr>
          <w:rFonts w:ascii="Cambria Math" w:hAnsi="Cambria Math" w:cs="Cambria Math"/>
          <w:szCs w:val="18"/>
          <w:lang w:val="en-US"/>
        </w:rPr>
        <w:t>₂</w:t>
      </w:r>
      <w:r w:rsidRPr="00B677FF">
        <w:rPr>
          <w:rFonts w:asciiTheme="minorBidi" w:hAnsiTheme="minorBidi" w:cstheme="minorBidi"/>
          <w:szCs w:val="18"/>
          <w:lang w:val="en-US"/>
        </w:rPr>
        <w:t xml:space="preserve"> capture processes, improving sequestration performance, and enhancing the economic feasibility of large-scale implementation.</w:t>
      </w:r>
    </w:p>
    <w:p w14:paraId="5741900F" w14:textId="1A89DBAB" w:rsidR="00453E24" w:rsidRDefault="00913C01" w:rsidP="00453E24">
      <w:pPr>
        <w:pStyle w:val="CETHeading1"/>
      </w:pPr>
      <w:r w:rsidRPr="00913C01">
        <w:t>Experiments</w:t>
      </w:r>
    </w:p>
    <w:p w14:paraId="0636B784" w14:textId="488A45B9" w:rsidR="00453E24" w:rsidRDefault="00913C01" w:rsidP="00453E24">
      <w:pPr>
        <w:pStyle w:val="CETheadingx"/>
      </w:pPr>
      <w:r w:rsidRPr="00913C01">
        <w:t>Experimental setup &amp; Materials</w:t>
      </w:r>
    </w:p>
    <w:p w14:paraId="0613A3E2" w14:textId="77777777" w:rsidR="00913C01" w:rsidRDefault="00913C01" w:rsidP="0023346A">
      <w:pPr>
        <w:pStyle w:val="CETheadingx"/>
        <w:numPr>
          <w:ilvl w:val="0"/>
          <w:numId w:val="0"/>
        </w:numPr>
        <w:jc w:val="both"/>
        <w:rPr>
          <w:b w:val="0"/>
        </w:rPr>
      </w:pPr>
      <w:r w:rsidRPr="00913C01">
        <w:rPr>
          <w:b w:val="0"/>
        </w:rPr>
        <w:t>In this study, a three-phase bubble column reactor was employed for CO</w:t>
      </w:r>
      <w:r w:rsidRPr="00913C01">
        <w:rPr>
          <w:rFonts w:ascii="Cambria Math" w:hAnsi="Cambria Math" w:cs="Cambria Math"/>
          <w:b w:val="0"/>
        </w:rPr>
        <w:t>₂</w:t>
      </w:r>
      <w:r w:rsidRPr="00913C01">
        <w:rPr>
          <w:b w:val="0"/>
        </w:rPr>
        <w:t xml:space="preserve"> capture. The reactor comprised a 2.57 m high, 14.85 cm inner diameter Plexiglas column, equipped with a sparger mesh featuring 98 apertures (4</w:t>
      </w:r>
      <w:r w:rsidRPr="00913C01">
        <w:rPr>
          <w:rFonts w:cs="Arial"/>
          <w:b w:val="0"/>
        </w:rPr>
        <w:t>–</w:t>
      </w:r>
      <w:r w:rsidRPr="00913C01">
        <w:rPr>
          <w:b w:val="0"/>
        </w:rPr>
        <w:t xml:space="preserve">5 </w:t>
      </w:r>
      <w:r w:rsidRPr="00913C01">
        <w:rPr>
          <w:rFonts w:cs="Arial"/>
          <w:b w:val="0"/>
        </w:rPr>
        <w:t>μ</w:t>
      </w:r>
      <w:r w:rsidRPr="00913C01">
        <w:rPr>
          <w:b w:val="0"/>
        </w:rPr>
        <w:t>m). A bottom-mounted heater with a temperature control system ensured thermal stability. CO</w:t>
      </w:r>
      <w:r w:rsidRPr="00913C01">
        <w:rPr>
          <w:rFonts w:ascii="Cambria Math" w:hAnsi="Cambria Math" w:cs="Cambria Math"/>
          <w:b w:val="0"/>
        </w:rPr>
        <w:t>₂</w:t>
      </w:r>
      <w:r w:rsidRPr="00913C01">
        <w:rPr>
          <w:b w:val="0"/>
        </w:rPr>
        <w:t xml:space="preserve"> concentration in the inlet gas was regulated using separate CO</w:t>
      </w:r>
      <w:r w:rsidRPr="00913C01">
        <w:rPr>
          <w:rFonts w:ascii="Cambria Math" w:hAnsi="Cambria Math" w:cs="Cambria Math"/>
          <w:b w:val="0"/>
        </w:rPr>
        <w:t>₂</w:t>
      </w:r>
      <w:r w:rsidRPr="00913C01">
        <w:rPr>
          <w:b w:val="0"/>
        </w:rPr>
        <w:t xml:space="preserve"> and N</w:t>
      </w:r>
      <w:r w:rsidRPr="00913C01">
        <w:rPr>
          <w:rFonts w:ascii="Cambria Math" w:hAnsi="Cambria Math" w:cs="Cambria Math"/>
          <w:b w:val="0"/>
        </w:rPr>
        <w:t>₂</w:t>
      </w:r>
      <w:r w:rsidRPr="00913C01">
        <w:rPr>
          <w:b w:val="0"/>
        </w:rPr>
        <w:t xml:space="preserve"> cylinders, with a Glover (Art-6614) flow controller managing gas flow rate and pressure. CO</w:t>
      </w:r>
      <w:r w:rsidRPr="00913C01">
        <w:rPr>
          <w:rFonts w:ascii="Cambria Math" w:hAnsi="Cambria Math" w:cs="Cambria Math"/>
          <w:b w:val="0"/>
        </w:rPr>
        <w:t>₂</w:t>
      </w:r>
      <w:r w:rsidRPr="00913C01">
        <w:rPr>
          <w:b w:val="0"/>
        </w:rPr>
        <w:t xml:space="preserve"> levels in inlet and outlet streams were measured using a Kimmo AQ110 detector, while solution pH variations were monitored via a Milwaukee PH55 meter. The alkaline slurry, composed of magnesium hydroxide (Merck, Germany) and distilled water (Sabalan Co., Iran), was prepared under controlled conditions. A schematic representation of the reactor setup is provided in Figure 1.</w:t>
      </w:r>
    </w:p>
    <w:p w14:paraId="4ED2577B" w14:textId="77777777" w:rsidR="00913C01" w:rsidRDefault="00913C01" w:rsidP="00913C01">
      <w:pPr>
        <w:keepNext/>
      </w:pPr>
      <w:r>
        <w:rPr>
          <w:rFonts w:asciiTheme="majorBidi" w:hAnsiTheme="majorBidi" w:cstheme="majorBidi"/>
          <w:noProof/>
        </w:rPr>
        <w:drawing>
          <wp:inline distT="0" distB="0" distL="0" distR="0" wp14:anchorId="33DF5734" wp14:editId="23D76501">
            <wp:extent cx="3866992" cy="2327563"/>
            <wp:effectExtent l="0" t="0" r="635" b="0"/>
            <wp:docPr id="894396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8358" cy="2346442"/>
                    </a:xfrm>
                    <a:prstGeom prst="rect">
                      <a:avLst/>
                    </a:prstGeom>
                    <a:noFill/>
                    <a:ln>
                      <a:noFill/>
                    </a:ln>
                  </pic:spPr>
                </pic:pic>
              </a:graphicData>
            </a:graphic>
          </wp:inline>
        </w:drawing>
      </w:r>
    </w:p>
    <w:p w14:paraId="7672F9A0" w14:textId="2A19EF76" w:rsidR="00913C01" w:rsidRPr="00913C01" w:rsidRDefault="00913C01" w:rsidP="00913C01">
      <w:pPr>
        <w:pStyle w:val="Caption"/>
        <w:jc w:val="left"/>
        <w:rPr>
          <w:rFonts w:asciiTheme="minorBidi" w:hAnsiTheme="minorBidi" w:cstheme="minorBidi"/>
          <w:b w:val="0"/>
          <w:bCs w:val="0"/>
          <w:i/>
          <w:iCs/>
          <w:color w:val="auto"/>
        </w:rPr>
      </w:pPr>
      <w:r w:rsidRPr="00913C01">
        <w:rPr>
          <w:rFonts w:asciiTheme="minorBidi" w:hAnsiTheme="minorBidi" w:cstheme="minorBidi"/>
          <w:b w:val="0"/>
          <w:bCs w:val="0"/>
          <w:i/>
          <w:iCs/>
          <w:color w:val="auto"/>
        </w:rPr>
        <w:t xml:space="preserve">Figure </w:t>
      </w:r>
      <w:r w:rsidRPr="00913C01">
        <w:rPr>
          <w:rFonts w:asciiTheme="minorBidi" w:hAnsiTheme="minorBidi" w:cstheme="minorBidi"/>
          <w:b w:val="0"/>
          <w:bCs w:val="0"/>
          <w:i/>
          <w:iCs/>
          <w:color w:val="auto"/>
        </w:rPr>
        <w:fldChar w:fldCharType="begin"/>
      </w:r>
      <w:r w:rsidRPr="00913C01">
        <w:rPr>
          <w:rFonts w:asciiTheme="minorBidi" w:hAnsiTheme="minorBidi" w:cstheme="minorBidi"/>
          <w:b w:val="0"/>
          <w:bCs w:val="0"/>
          <w:i/>
          <w:iCs/>
          <w:color w:val="auto"/>
        </w:rPr>
        <w:instrText xml:space="preserve"> SEQ Figure \* ARABIC </w:instrText>
      </w:r>
      <w:r w:rsidRPr="00913C01">
        <w:rPr>
          <w:rFonts w:asciiTheme="minorBidi" w:hAnsiTheme="minorBidi" w:cstheme="minorBidi"/>
          <w:b w:val="0"/>
          <w:bCs w:val="0"/>
          <w:i/>
          <w:iCs/>
          <w:color w:val="auto"/>
        </w:rPr>
        <w:fldChar w:fldCharType="separate"/>
      </w:r>
      <w:r w:rsidR="00301FA4">
        <w:rPr>
          <w:rFonts w:asciiTheme="minorBidi" w:hAnsiTheme="minorBidi" w:cstheme="minorBidi"/>
          <w:b w:val="0"/>
          <w:bCs w:val="0"/>
          <w:i/>
          <w:iCs/>
          <w:noProof/>
          <w:color w:val="auto"/>
        </w:rPr>
        <w:t>1</w:t>
      </w:r>
      <w:r w:rsidRPr="00913C01">
        <w:rPr>
          <w:rFonts w:asciiTheme="minorBidi" w:hAnsiTheme="minorBidi" w:cstheme="minorBidi"/>
          <w:b w:val="0"/>
          <w:bCs w:val="0"/>
          <w:i/>
          <w:iCs/>
          <w:color w:val="auto"/>
        </w:rPr>
        <w:fldChar w:fldCharType="end"/>
      </w:r>
      <w:r w:rsidRPr="00913C01">
        <w:rPr>
          <w:rFonts w:asciiTheme="minorBidi" w:hAnsiTheme="minorBidi" w:cstheme="minorBidi"/>
          <w:b w:val="0"/>
          <w:bCs w:val="0"/>
          <w:i/>
          <w:iCs/>
          <w:noProof/>
          <w:color w:val="auto"/>
        </w:rPr>
        <w:t>: Schematic of reactor and equipment</w:t>
      </w:r>
    </w:p>
    <w:p w14:paraId="3E9628C4" w14:textId="531BBED6" w:rsidR="00913C01" w:rsidRDefault="00913C01" w:rsidP="00913C01">
      <w:pPr>
        <w:pStyle w:val="CETheadingx"/>
      </w:pPr>
      <w:r w:rsidRPr="00913C01">
        <w:t>Method of testing</w:t>
      </w:r>
    </w:p>
    <w:p w14:paraId="00C0D80F" w14:textId="77777777" w:rsidR="0023346A" w:rsidRDefault="0023346A" w:rsidP="0023346A">
      <w:pPr>
        <w:rPr>
          <w:rFonts w:asciiTheme="minorBidi" w:hAnsiTheme="minorBidi" w:cstheme="minorBidi"/>
          <w:szCs w:val="18"/>
          <w:lang w:bidi="fa-IR"/>
        </w:rPr>
      </w:pPr>
      <w:r w:rsidRPr="0023346A">
        <w:rPr>
          <w:rFonts w:asciiTheme="minorBidi" w:hAnsiTheme="minorBidi" w:cstheme="minorBidi"/>
          <w:szCs w:val="18"/>
          <w:lang w:bidi="fa-IR"/>
        </w:rPr>
        <w:t>The experiments were conducted under the operational conditions outlined in Table 1.</w:t>
      </w:r>
    </w:p>
    <w:p w14:paraId="0A3D0DB9" w14:textId="30A9E4F2" w:rsidR="0023346A" w:rsidRPr="0023346A" w:rsidRDefault="0023346A" w:rsidP="0023346A">
      <w:pPr>
        <w:rPr>
          <w:rFonts w:asciiTheme="minorBidi" w:hAnsiTheme="minorBidi" w:cstheme="minorBidi"/>
          <w:szCs w:val="18"/>
        </w:rPr>
      </w:pPr>
      <w:r w:rsidRPr="00B57B36">
        <w:t xml:space="preserve">Table 1: </w:t>
      </w:r>
      <w:r>
        <w:t>T</w:t>
      </w:r>
      <w:r w:rsidRPr="0023346A">
        <w:t>he operational condition of the tests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92"/>
        <w:gridCol w:w="1301"/>
      </w:tblGrid>
      <w:tr w:rsidR="0023346A" w:rsidRPr="00B57B36" w14:paraId="291FEAFE" w14:textId="77777777" w:rsidTr="0023346A">
        <w:tc>
          <w:tcPr>
            <w:tcW w:w="2992" w:type="dxa"/>
          </w:tcPr>
          <w:p w14:paraId="63441DD0" w14:textId="0EA39C8B" w:rsidR="0023346A" w:rsidRPr="0023346A" w:rsidRDefault="0023346A" w:rsidP="0023346A">
            <w:pPr>
              <w:pStyle w:val="CETBodytext"/>
              <w:rPr>
                <w:lang w:val="en-GB"/>
              </w:rPr>
            </w:pPr>
            <w:r w:rsidRPr="0023346A">
              <w:rPr>
                <w:rFonts w:asciiTheme="minorBidi" w:hAnsiTheme="minorBidi" w:cstheme="minorBidi"/>
                <w:szCs w:val="18"/>
                <w:lang w:bidi="fa-IR"/>
              </w:rPr>
              <w:t>Operational condition</w:t>
            </w:r>
          </w:p>
        </w:tc>
        <w:tc>
          <w:tcPr>
            <w:tcW w:w="1301" w:type="dxa"/>
          </w:tcPr>
          <w:p w14:paraId="4738A9D3" w14:textId="1E2DFC12" w:rsidR="0023346A" w:rsidRPr="0023346A" w:rsidRDefault="0023346A" w:rsidP="0023346A">
            <w:pPr>
              <w:pStyle w:val="CETBodytext"/>
              <w:rPr>
                <w:lang w:val="en-GB"/>
              </w:rPr>
            </w:pPr>
            <w:r w:rsidRPr="0023346A">
              <w:rPr>
                <w:rFonts w:asciiTheme="minorBidi" w:hAnsiTheme="minorBidi" w:cstheme="minorBidi"/>
                <w:szCs w:val="18"/>
                <w:lang w:bidi="fa-IR"/>
              </w:rPr>
              <w:t>Amount</w:t>
            </w:r>
          </w:p>
        </w:tc>
      </w:tr>
      <w:tr w:rsidR="0023346A" w:rsidRPr="00B57B36" w14:paraId="71BC38A3" w14:textId="77777777" w:rsidTr="0023346A">
        <w:tc>
          <w:tcPr>
            <w:tcW w:w="2992" w:type="dxa"/>
          </w:tcPr>
          <w:p w14:paraId="4886D5DC" w14:textId="275B0F3F" w:rsidR="0023346A" w:rsidRPr="00B57B36" w:rsidRDefault="0023346A" w:rsidP="0023346A">
            <w:pPr>
              <w:pStyle w:val="CETBodytext"/>
              <w:rPr>
                <w:lang w:val="en-GB"/>
              </w:rPr>
            </w:pPr>
            <w:r w:rsidRPr="0023346A">
              <w:rPr>
                <w:rFonts w:asciiTheme="minorBidi" w:hAnsiTheme="minorBidi" w:cstheme="minorBidi"/>
                <w:szCs w:val="18"/>
                <w:lang w:bidi="fa-IR"/>
              </w:rPr>
              <w:t>Magnesium hydroxide concentration</w:t>
            </w:r>
          </w:p>
        </w:tc>
        <w:tc>
          <w:tcPr>
            <w:tcW w:w="1301" w:type="dxa"/>
          </w:tcPr>
          <w:p w14:paraId="77C72C9D" w14:textId="11DB053D" w:rsidR="0023346A" w:rsidRPr="00B57B36" w:rsidRDefault="0023346A" w:rsidP="0023346A">
            <w:pPr>
              <w:pStyle w:val="CETBodytext"/>
              <w:rPr>
                <w:lang w:val="en-GB"/>
              </w:rPr>
            </w:pPr>
            <w:r w:rsidRPr="0023346A">
              <w:rPr>
                <w:rFonts w:asciiTheme="minorBidi" w:hAnsiTheme="minorBidi" w:cstheme="minorBidi"/>
                <w:szCs w:val="18"/>
                <w:lang w:bidi="fa-IR"/>
              </w:rPr>
              <w:t>0.1 – 0.3 mol%</w:t>
            </w:r>
          </w:p>
        </w:tc>
      </w:tr>
      <w:tr w:rsidR="0023346A" w:rsidRPr="00B57B36" w14:paraId="0CDBB351" w14:textId="77777777" w:rsidTr="0023346A">
        <w:trPr>
          <w:trHeight w:val="57"/>
        </w:trPr>
        <w:tc>
          <w:tcPr>
            <w:tcW w:w="2992" w:type="dxa"/>
          </w:tcPr>
          <w:p w14:paraId="5CD5B934" w14:textId="23587EDF" w:rsidR="0023346A" w:rsidRPr="00B57B36" w:rsidRDefault="0023346A" w:rsidP="0023346A">
            <w:pPr>
              <w:pStyle w:val="CETBodytext"/>
              <w:ind w:right="-1"/>
              <w:rPr>
                <w:rFonts w:cs="Arial"/>
                <w:szCs w:val="18"/>
                <w:lang w:val="en-GB"/>
              </w:rPr>
            </w:pPr>
            <w:r w:rsidRPr="0023346A">
              <w:rPr>
                <w:rFonts w:asciiTheme="minorBidi" w:hAnsiTheme="minorBidi" w:cstheme="minorBidi"/>
                <w:szCs w:val="18"/>
                <w:lang w:bidi="fa-IR"/>
              </w:rPr>
              <w:t>Slurry volume</w:t>
            </w:r>
          </w:p>
        </w:tc>
        <w:tc>
          <w:tcPr>
            <w:tcW w:w="1301" w:type="dxa"/>
          </w:tcPr>
          <w:p w14:paraId="0E2EE0A0" w14:textId="6CB84B5A" w:rsidR="0023346A" w:rsidRPr="00B57B36" w:rsidRDefault="0023346A" w:rsidP="0023346A">
            <w:pPr>
              <w:pStyle w:val="CETBodytext"/>
              <w:ind w:right="-1"/>
              <w:rPr>
                <w:rFonts w:cs="Arial"/>
                <w:szCs w:val="18"/>
                <w:lang w:val="en-GB"/>
              </w:rPr>
            </w:pPr>
            <w:r w:rsidRPr="0023346A">
              <w:rPr>
                <w:rFonts w:asciiTheme="minorBidi" w:hAnsiTheme="minorBidi" w:cstheme="minorBidi"/>
                <w:szCs w:val="18"/>
                <w:lang w:bidi="fa-IR"/>
              </w:rPr>
              <w:t>15 – 25 liters</w:t>
            </w:r>
          </w:p>
        </w:tc>
      </w:tr>
      <w:tr w:rsidR="0023346A" w:rsidRPr="00B57B36" w14:paraId="798E7FE6" w14:textId="77777777" w:rsidTr="0023346A">
        <w:tc>
          <w:tcPr>
            <w:tcW w:w="2992" w:type="dxa"/>
          </w:tcPr>
          <w:p w14:paraId="436BA3FA" w14:textId="42F1FC2E" w:rsidR="0023346A" w:rsidRPr="00B57B36" w:rsidRDefault="0023346A" w:rsidP="0023346A">
            <w:pPr>
              <w:pStyle w:val="CETBodytext"/>
              <w:ind w:right="-1"/>
              <w:rPr>
                <w:rFonts w:cs="Arial"/>
                <w:szCs w:val="18"/>
                <w:lang w:val="en-GB"/>
              </w:rPr>
            </w:pPr>
            <w:r w:rsidRPr="0023346A">
              <w:rPr>
                <w:rFonts w:asciiTheme="minorBidi" w:hAnsiTheme="minorBidi" w:cstheme="minorBidi"/>
                <w:szCs w:val="18"/>
                <w:lang w:bidi="fa-IR"/>
              </w:rPr>
              <w:t>Temperature</w:t>
            </w:r>
          </w:p>
        </w:tc>
        <w:tc>
          <w:tcPr>
            <w:tcW w:w="1301" w:type="dxa"/>
          </w:tcPr>
          <w:p w14:paraId="137E9107" w14:textId="03C92F3F" w:rsidR="0023346A" w:rsidRPr="00B57B36" w:rsidRDefault="0023346A" w:rsidP="0023346A">
            <w:pPr>
              <w:pStyle w:val="CETBodytext"/>
              <w:ind w:right="-1"/>
              <w:rPr>
                <w:rFonts w:cs="Arial"/>
                <w:szCs w:val="18"/>
                <w:lang w:val="en-GB"/>
              </w:rPr>
            </w:pPr>
            <w:r w:rsidRPr="0023346A">
              <w:rPr>
                <w:rFonts w:asciiTheme="minorBidi" w:hAnsiTheme="minorBidi" w:cstheme="minorBidi"/>
                <w:szCs w:val="18"/>
                <w:lang w:bidi="fa-IR"/>
              </w:rPr>
              <w:t>30 – 50</w:t>
            </w:r>
            <w:r w:rsidRPr="0023346A">
              <w:rPr>
                <w:rFonts w:asciiTheme="minorBidi" w:hAnsiTheme="minorBidi" w:cstheme="minorBidi"/>
                <w:szCs w:val="18"/>
                <w:vertAlign w:val="superscript"/>
                <w:lang w:bidi="fa-IR"/>
              </w:rPr>
              <w:t>o</w:t>
            </w:r>
            <w:r w:rsidRPr="0023346A">
              <w:rPr>
                <w:rFonts w:asciiTheme="minorBidi" w:hAnsiTheme="minorBidi" w:cstheme="minorBidi"/>
                <w:szCs w:val="18"/>
                <w:lang w:bidi="fa-IR"/>
              </w:rPr>
              <w:t>C</w:t>
            </w:r>
          </w:p>
        </w:tc>
      </w:tr>
      <w:tr w:rsidR="0023346A" w:rsidRPr="00B57B36" w14:paraId="7D69CB12" w14:textId="77777777" w:rsidTr="0023346A">
        <w:tc>
          <w:tcPr>
            <w:tcW w:w="2992" w:type="dxa"/>
          </w:tcPr>
          <w:p w14:paraId="4C01A898" w14:textId="12CF2151" w:rsidR="0023346A" w:rsidRPr="0023346A" w:rsidRDefault="0023346A" w:rsidP="0023346A">
            <w:pPr>
              <w:pStyle w:val="CETBodytext"/>
              <w:ind w:right="-1"/>
              <w:rPr>
                <w:rFonts w:asciiTheme="minorBidi" w:hAnsiTheme="minorBidi" w:cstheme="minorBidi"/>
                <w:szCs w:val="18"/>
                <w:lang w:bidi="fa-IR"/>
              </w:rPr>
            </w:pPr>
            <w:r w:rsidRPr="0023346A">
              <w:rPr>
                <w:rFonts w:asciiTheme="minorBidi" w:hAnsiTheme="minorBidi" w:cstheme="minorBidi"/>
                <w:szCs w:val="18"/>
                <w:lang w:bidi="fa-IR"/>
              </w:rPr>
              <w:t>Inlet gas CO</w:t>
            </w:r>
            <w:r w:rsidRPr="0023346A">
              <w:rPr>
                <w:rFonts w:asciiTheme="minorBidi" w:hAnsiTheme="minorBidi" w:cstheme="minorBidi"/>
                <w:szCs w:val="18"/>
                <w:vertAlign w:val="subscript"/>
                <w:lang w:bidi="fa-IR"/>
              </w:rPr>
              <w:t xml:space="preserve">2 </w:t>
            </w:r>
            <w:r w:rsidRPr="0023346A">
              <w:rPr>
                <w:rFonts w:asciiTheme="minorBidi" w:hAnsiTheme="minorBidi" w:cstheme="minorBidi"/>
                <w:szCs w:val="18"/>
                <w:lang w:bidi="fa-IR"/>
              </w:rPr>
              <w:t>Concentration</w:t>
            </w:r>
          </w:p>
        </w:tc>
        <w:tc>
          <w:tcPr>
            <w:tcW w:w="1301" w:type="dxa"/>
          </w:tcPr>
          <w:p w14:paraId="76AD9CEB" w14:textId="727B50A3" w:rsidR="0023346A" w:rsidRPr="0023346A" w:rsidRDefault="0023346A" w:rsidP="0023346A">
            <w:pPr>
              <w:pStyle w:val="CETBodytext"/>
              <w:ind w:right="-1"/>
              <w:rPr>
                <w:rFonts w:asciiTheme="minorBidi" w:hAnsiTheme="minorBidi" w:cstheme="minorBidi"/>
                <w:szCs w:val="18"/>
                <w:lang w:bidi="fa-IR"/>
              </w:rPr>
            </w:pPr>
            <w:r w:rsidRPr="0023346A">
              <w:rPr>
                <w:rFonts w:asciiTheme="minorBidi" w:hAnsiTheme="minorBidi" w:cstheme="minorBidi"/>
                <w:szCs w:val="18"/>
                <w:lang w:bidi="fa-IR"/>
              </w:rPr>
              <w:t>2500 ppm</w:t>
            </w:r>
          </w:p>
        </w:tc>
      </w:tr>
      <w:tr w:rsidR="0023346A" w:rsidRPr="00B57B36" w14:paraId="786FF1E3" w14:textId="77777777" w:rsidTr="0023346A">
        <w:tc>
          <w:tcPr>
            <w:tcW w:w="2992" w:type="dxa"/>
          </w:tcPr>
          <w:p w14:paraId="12B3918F" w14:textId="7FD17F36" w:rsidR="0023346A" w:rsidRPr="0023346A" w:rsidRDefault="0023346A" w:rsidP="0023346A">
            <w:pPr>
              <w:pStyle w:val="CETBodytext"/>
              <w:ind w:right="-1"/>
              <w:rPr>
                <w:rFonts w:asciiTheme="minorBidi" w:hAnsiTheme="minorBidi" w:cstheme="minorBidi"/>
                <w:szCs w:val="18"/>
                <w:lang w:bidi="fa-IR"/>
              </w:rPr>
            </w:pPr>
            <w:r w:rsidRPr="0023346A">
              <w:rPr>
                <w:rFonts w:asciiTheme="minorBidi" w:hAnsiTheme="minorBidi" w:cstheme="minorBidi"/>
                <w:szCs w:val="18"/>
                <w:lang w:bidi="fa-IR"/>
              </w:rPr>
              <w:t>The gas hold-up</w:t>
            </w:r>
          </w:p>
        </w:tc>
        <w:tc>
          <w:tcPr>
            <w:tcW w:w="1301" w:type="dxa"/>
          </w:tcPr>
          <w:p w14:paraId="0DE3D506" w14:textId="230A4084" w:rsidR="0023346A" w:rsidRPr="0023346A" w:rsidRDefault="0023346A" w:rsidP="0023346A">
            <w:pPr>
              <w:pStyle w:val="CETBodytext"/>
              <w:ind w:right="-1"/>
              <w:rPr>
                <w:rFonts w:asciiTheme="minorBidi" w:hAnsiTheme="minorBidi" w:cstheme="minorBidi"/>
                <w:szCs w:val="18"/>
                <w:lang w:bidi="fa-IR"/>
              </w:rPr>
            </w:pPr>
            <w:r w:rsidRPr="0023346A">
              <w:rPr>
                <w:rFonts w:asciiTheme="minorBidi" w:hAnsiTheme="minorBidi" w:cstheme="minorBidi"/>
                <w:szCs w:val="18"/>
                <w:lang w:bidi="fa-IR"/>
              </w:rPr>
              <w:t>1 – 4 cm</w:t>
            </w:r>
          </w:p>
        </w:tc>
      </w:tr>
    </w:tbl>
    <w:p w14:paraId="76E924E8" w14:textId="1FEE6CCB" w:rsidR="0023346A" w:rsidRPr="0023346A" w:rsidRDefault="0023346A" w:rsidP="0023346A">
      <w:pPr>
        <w:tabs>
          <w:tab w:val="left" w:pos="6647"/>
        </w:tabs>
        <w:rPr>
          <w:rFonts w:asciiTheme="minorBidi" w:hAnsiTheme="minorBidi" w:cstheme="minorBidi"/>
          <w:szCs w:val="18"/>
        </w:rPr>
      </w:pPr>
      <w:r w:rsidRPr="002E7C5B">
        <w:rPr>
          <w:rFonts w:asciiTheme="minorBidi" w:hAnsiTheme="minorBidi" w:cstheme="minorBidi"/>
          <w:szCs w:val="18"/>
        </w:rPr>
        <w:t>Throughout the experiments, the mass transfer rate was assumed constant along the reactor column. The slurry was homogenized using a stirrer-heater, and the gas inlet velocity was regulated via a flow meter to maintain the desired gas hold-up levels. CO</w:t>
      </w:r>
      <w:r w:rsidRPr="002E7C5B">
        <w:rPr>
          <w:rFonts w:ascii="Cambria Math" w:hAnsi="Cambria Math" w:cs="Cambria Math"/>
          <w:szCs w:val="18"/>
        </w:rPr>
        <w:t>₂</w:t>
      </w:r>
      <w:r w:rsidRPr="002E7C5B">
        <w:rPr>
          <w:rFonts w:asciiTheme="minorBidi" w:hAnsiTheme="minorBidi" w:cstheme="minorBidi"/>
          <w:szCs w:val="18"/>
        </w:rPr>
        <w:t xml:space="preserve"> was introduced from the reactor</w:t>
      </w:r>
      <w:r w:rsidRPr="002E7C5B">
        <w:rPr>
          <w:rFonts w:cs="Arial"/>
          <w:szCs w:val="18"/>
        </w:rPr>
        <w:t>’</w:t>
      </w:r>
      <w:r w:rsidRPr="002E7C5B">
        <w:rPr>
          <w:rFonts w:asciiTheme="minorBidi" w:hAnsiTheme="minorBidi" w:cstheme="minorBidi"/>
          <w:szCs w:val="18"/>
        </w:rPr>
        <w:t>s base, initiating multi-stage chemical absorption as it ascended through the slurry. After a 30-minute reaction time, CO</w:t>
      </w:r>
      <w:r w:rsidRPr="002E7C5B">
        <w:rPr>
          <w:rFonts w:ascii="Cambria Math" w:hAnsi="Cambria Math" w:cs="Cambria Math"/>
          <w:szCs w:val="18"/>
        </w:rPr>
        <w:t>₂</w:t>
      </w:r>
      <w:r w:rsidRPr="002E7C5B">
        <w:rPr>
          <w:rFonts w:asciiTheme="minorBidi" w:hAnsiTheme="minorBidi" w:cstheme="minorBidi"/>
          <w:szCs w:val="18"/>
        </w:rPr>
        <w:t xml:space="preserve"> concentration in the outlet gas was measured to determine the removal efficiency, calculated using Equation (1):</w:t>
      </w:r>
    </w:p>
    <w:p w14:paraId="6939D782" w14:textId="238113C7" w:rsidR="0023346A" w:rsidRPr="002E7C5B" w:rsidRDefault="000752DE" w:rsidP="0023346A">
      <w:pPr>
        <w:tabs>
          <w:tab w:val="left" w:pos="6647"/>
        </w:tabs>
        <w:spacing w:after="160" w:line="259" w:lineRule="auto"/>
        <w:rPr>
          <w:rFonts w:asciiTheme="minorBidi" w:hAnsiTheme="minorBidi" w:cstheme="minorBidi"/>
          <w:szCs w:val="18"/>
        </w:rPr>
      </w:pPr>
      <m:oMath>
        <m:sSub>
          <m:sSubPr>
            <m:ctrlPr>
              <w:rPr>
                <w:rFonts w:ascii="Cambria Math" w:eastAsiaTheme="minorHAnsi" w:hAnsi="Cambria Math" w:cstheme="minorBidi"/>
                <w:i/>
                <w:kern w:val="2"/>
                <w:szCs w:val="18"/>
                <w:lang w:val="en-US" w:bidi="fa-IR"/>
                <w14:ligatures w14:val="standardContextual"/>
              </w:rPr>
            </m:ctrlPr>
          </m:sSubPr>
          <m:e>
            <m:r>
              <w:rPr>
                <w:rFonts w:ascii="Cambria Math" w:hAnsi="Cambria Math" w:cstheme="minorBidi"/>
                <w:szCs w:val="18"/>
              </w:rPr>
              <m:t>R</m:t>
            </m:r>
          </m:e>
          <m:sub>
            <m:r>
              <w:rPr>
                <w:rFonts w:ascii="Cambria Math" w:hAnsi="Cambria Math" w:cstheme="minorBidi"/>
                <w:szCs w:val="18"/>
              </w:rPr>
              <m:t>(%)</m:t>
            </m:r>
          </m:sub>
        </m:sSub>
        <m:r>
          <w:rPr>
            <w:rFonts w:ascii="Cambria Math" w:hAnsi="Cambria Math" w:cstheme="minorBidi"/>
            <w:szCs w:val="18"/>
          </w:rPr>
          <m:t>=</m:t>
        </m:r>
        <m:f>
          <m:fPr>
            <m:ctrlPr>
              <w:rPr>
                <w:rFonts w:ascii="Cambria Math" w:hAnsi="Cambria Math" w:cstheme="minorBidi"/>
                <w:i/>
                <w:szCs w:val="18"/>
                <w:lang w:bidi="fa-IR"/>
              </w:rPr>
            </m:ctrlPr>
          </m:fPr>
          <m:num>
            <m:sSub>
              <m:sSubPr>
                <m:ctrlPr>
                  <w:rPr>
                    <w:rFonts w:ascii="Cambria Math" w:hAnsi="Cambria Math" w:cstheme="minorBidi"/>
                    <w:i/>
                    <w:szCs w:val="18"/>
                    <w:lang w:bidi="fa-IR"/>
                  </w:rPr>
                </m:ctrlPr>
              </m:sSubPr>
              <m:e>
                <m:r>
                  <w:rPr>
                    <w:rFonts w:ascii="Cambria Math" w:hAnsi="Cambria Math" w:cstheme="minorBidi"/>
                    <w:szCs w:val="18"/>
                    <w:lang w:bidi="fa-IR"/>
                  </w:rPr>
                  <m:t>C</m:t>
                </m:r>
              </m:e>
              <m:sub>
                <m:r>
                  <w:rPr>
                    <w:rFonts w:ascii="Cambria Math" w:hAnsi="Cambria Math" w:cstheme="minorBidi"/>
                    <w:szCs w:val="18"/>
                    <w:lang w:bidi="fa-IR"/>
                  </w:rPr>
                  <m:t xml:space="preserve">in, </m:t>
                </m:r>
                <m:sSub>
                  <m:sSubPr>
                    <m:ctrlPr>
                      <w:rPr>
                        <w:rFonts w:ascii="Cambria Math" w:hAnsi="Cambria Math" w:cstheme="minorBidi"/>
                        <w:i/>
                        <w:szCs w:val="18"/>
                        <w:lang w:bidi="fa-IR"/>
                      </w:rPr>
                    </m:ctrlPr>
                  </m:sSubPr>
                  <m:e>
                    <m:r>
                      <w:rPr>
                        <w:rFonts w:ascii="Cambria Math" w:hAnsi="Cambria Math" w:cstheme="minorBidi"/>
                        <w:szCs w:val="18"/>
                        <w:lang w:bidi="fa-IR"/>
                      </w:rPr>
                      <m:t>CO</m:t>
                    </m:r>
                  </m:e>
                  <m:sub>
                    <m:r>
                      <w:rPr>
                        <w:rFonts w:ascii="Cambria Math" w:hAnsi="Cambria Math" w:cstheme="minorBidi"/>
                        <w:szCs w:val="18"/>
                        <w:lang w:bidi="fa-IR"/>
                      </w:rPr>
                      <m:t>2</m:t>
                    </m:r>
                  </m:sub>
                </m:sSub>
              </m:sub>
            </m:sSub>
            <m:r>
              <w:rPr>
                <w:rFonts w:ascii="Cambria Math" w:hAnsi="Cambria Math" w:cstheme="minorBidi"/>
                <w:szCs w:val="18"/>
                <w:lang w:bidi="fa-IR"/>
              </w:rPr>
              <m:t xml:space="preserve">- </m:t>
            </m:r>
            <m:sSub>
              <m:sSubPr>
                <m:ctrlPr>
                  <w:rPr>
                    <w:rFonts w:ascii="Cambria Math" w:hAnsi="Cambria Math" w:cstheme="minorBidi"/>
                    <w:i/>
                    <w:szCs w:val="18"/>
                    <w:lang w:bidi="fa-IR"/>
                  </w:rPr>
                </m:ctrlPr>
              </m:sSubPr>
              <m:e>
                <m:r>
                  <w:rPr>
                    <w:rFonts w:ascii="Cambria Math" w:hAnsi="Cambria Math" w:cstheme="minorBidi"/>
                    <w:szCs w:val="18"/>
                    <w:lang w:bidi="fa-IR"/>
                  </w:rPr>
                  <m:t>C</m:t>
                </m:r>
              </m:e>
              <m:sub>
                <m:r>
                  <w:rPr>
                    <w:rFonts w:ascii="Cambria Math" w:hAnsi="Cambria Math" w:cstheme="minorBidi"/>
                    <w:szCs w:val="18"/>
                    <w:lang w:bidi="fa-IR"/>
                  </w:rPr>
                  <m:t>out,</m:t>
                </m:r>
                <m:sSub>
                  <m:sSubPr>
                    <m:ctrlPr>
                      <w:rPr>
                        <w:rFonts w:ascii="Cambria Math" w:hAnsi="Cambria Math" w:cstheme="minorBidi"/>
                        <w:i/>
                        <w:szCs w:val="18"/>
                        <w:lang w:bidi="fa-IR"/>
                      </w:rPr>
                    </m:ctrlPr>
                  </m:sSubPr>
                  <m:e>
                    <m:r>
                      <w:rPr>
                        <w:rFonts w:ascii="Cambria Math" w:hAnsi="Cambria Math" w:cstheme="minorBidi"/>
                        <w:szCs w:val="18"/>
                        <w:lang w:bidi="fa-IR"/>
                      </w:rPr>
                      <m:t>CO</m:t>
                    </m:r>
                  </m:e>
                  <m:sub>
                    <m:r>
                      <w:rPr>
                        <w:rFonts w:ascii="Cambria Math" w:hAnsi="Cambria Math" w:cstheme="minorBidi"/>
                        <w:szCs w:val="18"/>
                        <w:lang w:bidi="fa-IR"/>
                      </w:rPr>
                      <m:t>2</m:t>
                    </m:r>
                  </m:sub>
                </m:sSub>
              </m:sub>
            </m:sSub>
          </m:num>
          <m:den>
            <m:sSub>
              <m:sSubPr>
                <m:ctrlPr>
                  <w:rPr>
                    <w:rFonts w:ascii="Cambria Math" w:hAnsi="Cambria Math" w:cstheme="minorBidi"/>
                    <w:i/>
                    <w:szCs w:val="18"/>
                    <w:lang w:bidi="fa-IR"/>
                  </w:rPr>
                </m:ctrlPr>
              </m:sSubPr>
              <m:e>
                <m:r>
                  <w:rPr>
                    <w:rFonts w:ascii="Cambria Math" w:hAnsi="Cambria Math" w:cstheme="minorBidi"/>
                    <w:szCs w:val="18"/>
                    <w:lang w:bidi="fa-IR"/>
                  </w:rPr>
                  <m:t>C</m:t>
                </m:r>
              </m:e>
              <m:sub>
                <m:r>
                  <w:rPr>
                    <w:rFonts w:ascii="Cambria Math" w:hAnsi="Cambria Math" w:cstheme="minorBidi"/>
                    <w:szCs w:val="18"/>
                    <w:lang w:bidi="fa-IR"/>
                  </w:rPr>
                  <m:t>in,</m:t>
                </m:r>
                <m:sSub>
                  <m:sSubPr>
                    <m:ctrlPr>
                      <w:rPr>
                        <w:rFonts w:ascii="Cambria Math" w:hAnsi="Cambria Math" w:cstheme="minorBidi"/>
                        <w:i/>
                        <w:szCs w:val="18"/>
                        <w:lang w:bidi="fa-IR"/>
                      </w:rPr>
                    </m:ctrlPr>
                  </m:sSubPr>
                  <m:e>
                    <m:r>
                      <w:rPr>
                        <w:rFonts w:ascii="Cambria Math" w:hAnsi="Cambria Math" w:cstheme="minorBidi"/>
                        <w:szCs w:val="18"/>
                        <w:lang w:bidi="fa-IR"/>
                      </w:rPr>
                      <m:t>CO</m:t>
                    </m:r>
                  </m:e>
                  <m:sub>
                    <m:r>
                      <w:rPr>
                        <w:rFonts w:ascii="Cambria Math" w:hAnsi="Cambria Math" w:cstheme="minorBidi"/>
                        <w:szCs w:val="18"/>
                        <w:lang w:bidi="fa-IR"/>
                      </w:rPr>
                      <m:t>2</m:t>
                    </m:r>
                  </m:sub>
                </m:sSub>
              </m:sub>
            </m:sSub>
          </m:den>
        </m:f>
        <m:r>
          <w:rPr>
            <w:rFonts w:ascii="Cambria Math" w:hAnsi="Cambria Math" w:cstheme="minorBidi"/>
            <w:szCs w:val="18"/>
            <w:lang w:bidi="fa-IR"/>
          </w:rPr>
          <m:t>×100</m:t>
        </m:r>
      </m:oMath>
      <w:r w:rsidR="0023346A" w:rsidRPr="0023346A">
        <w:rPr>
          <w:rFonts w:asciiTheme="minorBidi" w:hAnsiTheme="minorBidi" w:cstheme="minorBidi"/>
          <w:szCs w:val="18"/>
        </w:rPr>
        <w:t xml:space="preserve">                                                                                    </w:t>
      </w:r>
      <w:r w:rsidR="0023346A">
        <w:rPr>
          <w:rFonts w:asciiTheme="minorBidi" w:hAnsiTheme="minorBidi" w:cstheme="minorBidi"/>
          <w:szCs w:val="18"/>
        </w:rPr>
        <w:t xml:space="preserve">                                         </w:t>
      </w:r>
      <w:r w:rsidR="0023346A" w:rsidRPr="0023346A">
        <w:rPr>
          <w:rFonts w:asciiTheme="minorBidi" w:hAnsiTheme="minorBidi" w:cstheme="minorBidi"/>
          <w:szCs w:val="18"/>
        </w:rPr>
        <w:t xml:space="preserve">     </w:t>
      </w:r>
      <w:r w:rsidR="0023346A">
        <w:rPr>
          <w:rFonts w:asciiTheme="minorBidi" w:hAnsiTheme="minorBidi" w:cstheme="minorBidi"/>
          <w:szCs w:val="18"/>
        </w:rPr>
        <w:t>(</w:t>
      </w:r>
      <w:r w:rsidR="0023346A" w:rsidRPr="0023346A">
        <w:rPr>
          <w:rFonts w:asciiTheme="minorBidi" w:hAnsiTheme="minorBidi" w:cstheme="minorBidi"/>
          <w:szCs w:val="18"/>
        </w:rPr>
        <w:t>1)</w:t>
      </w:r>
    </w:p>
    <w:p w14:paraId="201E0895" w14:textId="77777777" w:rsidR="0023346A" w:rsidRDefault="0023346A" w:rsidP="0023346A">
      <w:pPr>
        <w:tabs>
          <w:tab w:val="left" w:pos="6647"/>
        </w:tabs>
        <w:spacing w:after="160" w:line="259" w:lineRule="auto"/>
        <w:rPr>
          <w:bCs/>
        </w:rPr>
      </w:pPr>
      <w:r w:rsidRPr="002E7C5B">
        <w:rPr>
          <w:rFonts w:asciiTheme="minorBidi" w:hAnsiTheme="minorBidi" w:cstheme="minorBidi"/>
          <w:szCs w:val="18"/>
        </w:rPr>
        <w:t>To optimize the experimental design, Response Surface Methodology (RSM) with a D-optimal design was implemented using Design-Expert software. A total of 25 experiments were conducted, each performed in triplicate, with final results derived from arithmetic mean calculations.</w:t>
      </w:r>
      <w:r>
        <w:rPr>
          <w:rFonts w:asciiTheme="minorBidi" w:hAnsiTheme="minorBidi" w:cstheme="minorBidi"/>
          <w:szCs w:val="18"/>
        </w:rPr>
        <w:t xml:space="preserve"> </w:t>
      </w:r>
    </w:p>
    <w:p w14:paraId="677EBFF0" w14:textId="6AA5D68F" w:rsidR="00600535" w:rsidRPr="00B57B36" w:rsidRDefault="0023346A" w:rsidP="00600535">
      <w:pPr>
        <w:pStyle w:val="CETHeading1"/>
        <w:tabs>
          <w:tab w:val="clear" w:pos="360"/>
          <w:tab w:val="right" w:pos="7100"/>
        </w:tabs>
        <w:jc w:val="both"/>
        <w:rPr>
          <w:lang w:val="en-GB"/>
        </w:rPr>
      </w:pPr>
      <w:r w:rsidRPr="0023346A">
        <w:rPr>
          <w:lang w:val="en-GB"/>
        </w:rPr>
        <w:lastRenderedPageBreak/>
        <w:t>Results &amp; Discussion</w:t>
      </w:r>
    </w:p>
    <w:p w14:paraId="04963A06" w14:textId="73573149" w:rsidR="00600535" w:rsidRPr="00B57B36" w:rsidRDefault="00AD0657" w:rsidP="00FA5F5F">
      <w:pPr>
        <w:pStyle w:val="CETheadingx"/>
      </w:pPr>
      <w:r>
        <w:t>Reaction Mechanism</w:t>
      </w:r>
    </w:p>
    <w:p w14:paraId="44A9F55C" w14:textId="3CED80FE" w:rsidR="009D6E80" w:rsidRPr="00AD0657" w:rsidRDefault="00AD0657" w:rsidP="009D6E80">
      <w:pPr>
        <w:pStyle w:val="CETBodytext"/>
        <w:rPr>
          <w:rFonts w:asciiTheme="minorBidi" w:hAnsiTheme="minorBidi" w:cstheme="minorBidi"/>
        </w:rPr>
      </w:pPr>
      <w:r w:rsidRPr="00AD0657">
        <w:rPr>
          <w:bCs/>
          <w:lang w:bidi="fa-IR"/>
        </w:rPr>
        <w:t>The CO</w:t>
      </w:r>
      <w:r w:rsidRPr="00AD0657">
        <w:rPr>
          <w:rFonts w:ascii="Cambria Math" w:hAnsi="Cambria Math" w:cs="Cambria Math"/>
          <w:bCs/>
          <w:lang w:bidi="fa-IR"/>
        </w:rPr>
        <w:t>₂</w:t>
      </w:r>
      <w:r w:rsidRPr="00AD0657">
        <w:rPr>
          <w:bCs/>
          <w:lang w:bidi="fa-IR"/>
        </w:rPr>
        <w:t xml:space="preserve"> sequestration process using Mg(OH)</w:t>
      </w:r>
      <w:r w:rsidRPr="00AD0657">
        <w:rPr>
          <w:rFonts w:ascii="Cambria Math" w:hAnsi="Cambria Math" w:cs="Cambria Math"/>
          <w:bCs/>
          <w:lang w:bidi="fa-IR"/>
        </w:rPr>
        <w:t>₂</w:t>
      </w:r>
      <w:r w:rsidRPr="00AD0657">
        <w:rPr>
          <w:bCs/>
          <w:lang w:bidi="fa-IR"/>
        </w:rPr>
        <w:t xml:space="preserve"> involves a series of equilibrium reactions governing the </w:t>
      </w:r>
      <w:r w:rsidRPr="00AD0657">
        <w:rPr>
          <w:rFonts w:asciiTheme="minorBidi" w:hAnsiTheme="minorBidi" w:cstheme="minorBidi"/>
          <w:bCs/>
          <w:lang w:bidi="fa-IR"/>
        </w:rPr>
        <w:t>dissolution, ionization, and precipitation phenomena. The fundamental chemical reactions occurring during CO</w:t>
      </w:r>
      <w:r w:rsidRPr="00AD0657">
        <w:rPr>
          <w:rFonts w:ascii="Cambria Math" w:hAnsi="Cambria Math" w:cs="Cambria Math"/>
          <w:bCs/>
          <w:lang w:bidi="fa-IR"/>
        </w:rPr>
        <w:t>₂</w:t>
      </w:r>
      <w:r w:rsidRPr="00AD0657">
        <w:rPr>
          <w:rFonts w:asciiTheme="minorBidi" w:hAnsiTheme="minorBidi" w:cstheme="minorBidi"/>
          <w:bCs/>
          <w:lang w:bidi="fa-IR"/>
        </w:rPr>
        <w:t xml:space="preserve"> capture are as follows:</w:t>
      </w:r>
    </w:p>
    <w:p w14:paraId="671BAC8E" w14:textId="18E987A3" w:rsidR="00AD0657" w:rsidRPr="00AD0657" w:rsidRDefault="00AD0657" w:rsidP="00AD0657">
      <w:pPr>
        <w:rPr>
          <w:rFonts w:asciiTheme="minorBidi" w:eastAsiaTheme="minorEastAsia" w:hAnsiTheme="minorBidi" w:cstheme="minorBidi"/>
          <w:szCs w:val="18"/>
          <w:lang w:bidi="fa-IR"/>
        </w:rPr>
      </w:pPr>
      <w:r w:rsidRPr="00AD0657">
        <w:rPr>
          <w:rFonts w:asciiTheme="minorBidi" w:eastAsiaTheme="minorEastAsia" w:hAnsiTheme="minorBidi" w:cstheme="minorBidi"/>
          <w:szCs w:val="18"/>
          <w:lang w:bidi="fa-IR"/>
        </w:rPr>
        <w:t xml:space="preserve">1) </w:t>
      </w:r>
      <m:oMath>
        <m:r>
          <w:rPr>
            <w:rFonts w:ascii="Cambria Math" w:hAnsi="Cambria Math" w:cstheme="minorBidi"/>
            <w:szCs w:val="18"/>
            <w:lang w:bidi="fa-IR"/>
          </w:rPr>
          <m:t>Mg(OH)</m:t>
        </m:r>
      </m:oMath>
      <w:r w:rsidRPr="00AD0657">
        <w:rPr>
          <w:rFonts w:asciiTheme="minorBidi" w:eastAsiaTheme="minorEastAsia" w:hAnsiTheme="minorBidi" w:cstheme="minorBidi"/>
          <w:szCs w:val="18"/>
          <w:vertAlign w:val="subscript"/>
          <w:lang w:bidi="fa-IR"/>
        </w:rPr>
        <w:t>2</w:t>
      </w:r>
      <w:r w:rsidRPr="00AD0657">
        <w:rPr>
          <w:rFonts w:asciiTheme="minorBidi" w:hAnsiTheme="minorBidi" w:cstheme="minorBidi"/>
          <w:szCs w:val="18"/>
          <w:lang w:bidi="fa-IR"/>
        </w:rPr>
        <w:t xml:space="preserve"> </w:t>
      </w:r>
      <w:r w:rsidRPr="00AD0657">
        <w:rPr>
          <w:rFonts w:asciiTheme="minorBidi" w:hAnsiTheme="minorBidi" w:cstheme="minorBidi"/>
          <w:szCs w:val="18"/>
          <w:vertAlign w:val="subscript"/>
          <w:lang w:bidi="fa-IR"/>
        </w:rPr>
        <w:t>(S)</w:t>
      </w:r>
      <w:r w:rsidRPr="00AD0657">
        <w:rPr>
          <w:rFonts w:asciiTheme="minorBidi" w:hAnsiTheme="minorBidi" w:cstheme="minorBidi"/>
          <w:szCs w:val="18"/>
          <w:lang w:bidi="fa-IR"/>
        </w:rPr>
        <w:t xml:space="preserve"> ↔ </w:t>
      </w:r>
      <m:oMath>
        <m:sSubSup>
          <m:sSubSupPr>
            <m:ctrlPr>
              <w:rPr>
                <w:rFonts w:ascii="Cambria Math" w:hAnsi="Cambria Math" w:cstheme="minorBidi"/>
                <w:i/>
                <w:szCs w:val="18"/>
                <w:lang w:bidi="fa-IR"/>
              </w:rPr>
            </m:ctrlPr>
          </m:sSubSupPr>
          <m:e>
            <m:r>
              <w:rPr>
                <w:rFonts w:ascii="Cambria Math" w:hAnsi="Cambria Math" w:cstheme="minorBidi"/>
                <w:szCs w:val="18"/>
                <w:lang w:bidi="fa-IR"/>
              </w:rPr>
              <m:t>Mg</m:t>
            </m:r>
          </m:e>
          <m:sub>
            <m:r>
              <w:rPr>
                <w:rFonts w:ascii="Cambria Math" w:hAnsi="Cambria Math" w:cstheme="minorBidi"/>
                <w:szCs w:val="18"/>
                <w:lang w:bidi="fa-IR"/>
              </w:rPr>
              <m:t>(aq)</m:t>
            </m:r>
          </m:sub>
          <m:sup>
            <m:r>
              <w:rPr>
                <w:rFonts w:ascii="Cambria Math" w:hAnsi="Cambria Math" w:cstheme="minorBidi"/>
                <w:szCs w:val="18"/>
                <w:lang w:bidi="fa-IR"/>
              </w:rPr>
              <m:t>2+</m:t>
            </m:r>
          </m:sup>
        </m:sSubSup>
        <m:r>
          <w:rPr>
            <w:rFonts w:ascii="Cambria Math" w:hAnsi="Cambria Math" w:cstheme="minorBidi"/>
            <w:szCs w:val="18"/>
            <w:lang w:bidi="fa-IR"/>
          </w:rPr>
          <m:t>+2</m:t>
        </m:r>
        <m:sSubSup>
          <m:sSubSupPr>
            <m:ctrlPr>
              <w:rPr>
                <w:rFonts w:ascii="Cambria Math" w:hAnsi="Cambria Math" w:cstheme="minorBidi"/>
                <w:i/>
                <w:szCs w:val="18"/>
                <w:lang w:bidi="fa-IR"/>
              </w:rPr>
            </m:ctrlPr>
          </m:sSubSupPr>
          <m:e>
            <m:r>
              <w:rPr>
                <w:rFonts w:ascii="Cambria Math" w:hAnsi="Cambria Math" w:cstheme="minorBidi"/>
                <w:szCs w:val="18"/>
                <w:lang w:bidi="fa-IR"/>
              </w:rPr>
              <m:t>OH</m:t>
            </m:r>
          </m:e>
          <m:sub>
            <m:r>
              <w:rPr>
                <w:rFonts w:ascii="Cambria Math" w:hAnsi="Cambria Math" w:cstheme="minorBidi"/>
                <w:szCs w:val="18"/>
                <w:lang w:bidi="fa-IR"/>
              </w:rPr>
              <m:t>(aq)</m:t>
            </m:r>
          </m:sub>
          <m:sup>
            <m:r>
              <w:rPr>
                <w:rFonts w:ascii="Cambria Math" w:hAnsi="Cambria Math" w:cstheme="minorBidi"/>
                <w:szCs w:val="18"/>
                <w:lang w:bidi="fa-IR"/>
              </w:rPr>
              <m:t>-</m:t>
            </m:r>
          </m:sup>
        </m:sSubSup>
      </m:oMath>
      <w:r w:rsidRPr="00AD0657">
        <w:rPr>
          <w:rFonts w:asciiTheme="minorBidi" w:eastAsiaTheme="minorEastAsia" w:hAnsiTheme="minorBidi" w:cstheme="minorBidi"/>
          <w:szCs w:val="18"/>
          <w:lang w:bidi="fa-IR"/>
        </w:rPr>
        <w:t xml:space="preserve"> </w:t>
      </w:r>
      <w:r w:rsidRPr="00AD0657">
        <w:rPr>
          <w:rFonts w:asciiTheme="minorBidi" w:hAnsiTheme="minorBidi" w:cstheme="minorBidi"/>
          <w:szCs w:val="18"/>
        </w:rPr>
        <w:t xml:space="preserve">                                                                                                                                (2)</w:t>
      </w:r>
    </w:p>
    <w:p w14:paraId="2BB7B81A" w14:textId="71A9F0CA" w:rsidR="00AD0657" w:rsidRPr="00AD0657" w:rsidRDefault="00AD0657" w:rsidP="00AD0657">
      <w:pPr>
        <w:rPr>
          <w:rFonts w:asciiTheme="minorBidi" w:eastAsiaTheme="minorEastAsia" w:hAnsiTheme="minorBidi" w:cstheme="minorBidi"/>
          <w:szCs w:val="18"/>
          <w:lang w:bidi="fa-IR"/>
        </w:rPr>
      </w:pPr>
      <w:r w:rsidRPr="00AD0657">
        <w:rPr>
          <w:rFonts w:asciiTheme="minorBidi" w:eastAsiaTheme="minorEastAsia" w:hAnsiTheme="minorBidi" w:cstheme="minorBidi"/>
          <w:szCs w:val="18"/>
          <w:lang w:bidi="fa-IR"/>
        </w:rPr>
        <w:t xml:space="preserve">2) </w:t>
      </w:r>
      <m:oMath>
        <m:sSub>
          <m:sSubPr>
            <m:ctrlPr>
              <w:rPr>
                <w:rFonts w:ascii="Cambria Math" w:eastAsiaTheme="minorEastAsia" w:hAnsi="Cambria Math" w:cstheme="minorBidi"/>
                <w:i/>
                <w:szCs w:val="18"/>
                <w:lang w:bidi="fa-IR"/>
              </w:rPr>
            </m:ctrlPr>
          </m:sSubPr>
          <m:e>
            <m:r>
              <w:rPr>
                <w:rFonts w:ascii="Cambria Math" w:eastAsiaTheme="minorEastAsia" w:hAnsi="Cambria Math" w:cstheme="minorBidi"/>
                <w:szCs w:val="18"/>
                <w:lang w:bidi="fa-IR"/>
              </w:rPr>
              <m:t>CO</m:t>
            </m:r>
          </m:e>
          <m:sub>
            <m:r>
              <w:rPr>
                <w:rFonts w:ascii="Cambria Math" w:eastAsiaTheme="minorEastAsia" w:hAnsi="Cambria Math" w:cstheme="minorBidi"/>
                <w:szCs w:val="18"/>
                <w:lang w:bidi="fa-IR"/>
              </w:rPr>
              <m:t>2 (g)</m:t>
            </m:r>
          </m:sub>
        </m:sSub>
        <m:r>
          <w:rPr>
            <w:rFonts w:ascii="Cambria Math" w:eastAsiaTheme="minorEastAsia" w:hAnsi="Cambria Math" w:cstheme="minorBidi"/>
            <w:szCs w:val="18"/>
            <w:lang w:bidi="fa-IR"/>
          </w:rPr>
          <m:t>↔</m:t>
        </m:r>
        <m:sSub>
          <m:sSubPr>
            <m:ctrlPr>
              <w:rPr>
                <w:rFonts w:ascii="Cambria Math" w:eastAsiaTheme="minorEastAsia" w:hAnsi="Cambria Math" w:cstheme="minorBidi"/>
                <w:i/>
                <w:szCs w:val="18"/>
                <w:lang w:bidi="fa-IR"/>
              </w:rPr>
            </m:ctrlPr>
          </m:sSubPr>
          <m:e>
            <m:r>
              <w:rPr>
                <w:rFonts w:ascii="Cambria Math" w:eastAsiaTheme="minorEastAsia" w:hAnsi="Cambria Math" w:cstheme="minorBidi"/>
                <w:szCs w:val="18"/>
                <w:lang w:bidi="fa-IR"/>
              </w:rPr>
              <m:t>CO</m:t>
            </m:r>
          </m:e>
          <m:sub>
            <m:r>
              <w:rPr>
                <w:rFonts w:ascii="Cambria Math" w:eastAsiaTheme="minorEastAsia" w:hAnsi="Cambria Math" w:cstheme="minorBidi"/>
                <w:szCs w:val="18"/>
                <w:lang w:bidi="fa-IR"/>
              </w:rPr>
              <m:t>2 (aq)</m:t>
            </m:r>
          </m:sub>
        </m:sSub>
      </m:oMath>
      <w:r w:rsidRPr="00AD0657">
        <w:rPr>
          <w:rFonts w:asciiTheme="minorBidi" w:eastAsiaTheme="minorEastAsia" w:hAnsiTheme="minorBidi" w:cstheme="minorBidi"/>
          <w:szCs w:val="18"/>
          <w:lang w:bidi="fa-IR"/>
        </w:rPr>
        <w:t xml:space="preserve">   </w:t>
      </w:r>
      <w:r w:rsidRPr="00AD0657">
        <w:rPr>
          <w:rFonts w:asciiTheme="minorBidi" w:hAnsiTheme="minorBidi" w:cstheme="minorBidi"/>
          <w:szCs w:val="18"/>
        </w:rPr>
        <w:t xml:space="preserve">                                                                                                                                         (3)</w:t>
      </w:r>
    </w:p>
    <w:p w14:paraId="421E823B" w14:textId="0EA928F4" w:rsidR="00AD0657" w:rsidRPr="00AD0657" w:rsidRDefault="00AD0657" w:rsidP="00AD0657">
      <w:pPr>
        <w:rPr>
          <w:rFonts w:asciiTheme="minorBidi" w:eastAsiaTheme="minorEastAsia" w:hAnsiTheme="minorBidi" w:cstheme="minorBidi"/>
          <w:szCs w:val="18"/>
          <w:lang w:bidi="fa-IR"/>
        </w:rPr>
      </w:pPr>
      <w:r w:rsidRPr="00AD0657">
        <w:rPr>
          <w:rFonts w:asciiTheme="minorBidi" w:eastAsiaTheme="minorEastAsia" w:hAnsiTheme="minorBidi" w:cstheme="minorBidi"/>
          <w:szCs w:val="18"/>
          <w:lang w:bidi="fa-IR"/>
        </w:rPr>
        <w:t xml:space="preserve">3) </w:t>
      </w:r>
      <m:oMath>
        <m:sSub>
          <m:sSubPr>
            <m:ctrlPr>
              <w:rPr>
                <w:rFonts w:ascii="Cambria Math" w:eastAsiaTheme="minorEastAsia" w:hAnsi="Cambria Math" w:cstheme="minorBidi"/>
                <w:i/>
                <w:szCs w:val="18"/>
                <w:lang w:bidi="fa-IR"/>
              </w:rPr>
            </m:ctrlPr>
          </m:sSubPr>
          <m:e>
            <m:r>
              <w:rPr>
                <w:rFonts w:ascii="Cambria Math" w:eastAsiaTheme="minorEastAsia" w:hAnsi="Cambria Math" w:cstheme="minorBidi"/>
                <w:szCs w:val="18"/>
                <w:lang w:bidi="fa-IR"/>
              </w:rPr>
              <m:t>CO</m:t>
            </m:r>
          </m:e>
          <m:sub>
            <m:r>
              <w:rPr>
                <w:rFonts w:ascii="Cambria Math" w:eastAsiaTheme="minorEastAsia" w:hAnsi="Cambria Math" w:cstheme="minorBidi"/>
                <w:szCs w:val="18"/>
                <w:lang w:bidi="fa-IR"/>
              </w:rPr>
              <m:t>2 (aq)</m:t>
            </m:r>
          </m:sub>
        </m:sSub>
        <m:r>
          <w:rPr>
            <w:rFonts w:ascii="Cambria Math" w:eastAsiaTheme="minorEastAsia" w:hAnsi="Cambria Math" w:cstheme="minorBidi"/>
            <w:szCs w:val="18"/>
            <w:lang w:bidi="fa-IR"/>
          </w:rPr>
          <m:t>+</m:t>
        </m:r>
        <m:sSub>
          <m:sSubPr>
            <m:ctrlPr>
              <w:rPr>
                <w:rFonts w:ascii="Cambria Math" w:eastAsiaTheme="minorEastAsia" w:hAnsi="Cambria Math" w:cstheme="minorBidi"/>
                <w:i/>
                <w:szCs w:val="18"/>
                <w:lang w:bidi="fa-IR"/>
              </w:rPr>
            </m:ctrlPr>
          </m:sSubPr>
          <m:e>
            <m:r>
              <w:rPr>
                <w:rFonts w:ascii="Cambria Math" w:eastAsiaTheme="minorEastAsia" w:hAnsi="Cambria Math" w:cstheme="minorBidi"/>
                <w:szCs w:val="18"/>
                <w:lang w:bidi="fa-IR"/>
              </w:rPr>
              <m:t>H</m:t>
            </m:r>
          </m:e>
          <m:sub>
            <m:r>
              <w:rPr>
                <w:rFonts w:ascii="Cambria Math" w:eastAsiaTheme="minorEastAsia" w:hAnsi="Cambria Math" w:cstheme="minorBidi"/>
                <w:szCs w:val="18"/>
                <w:lang w:bidi="fa-IR"/>
              </w:rPr>
              <m:t>2</m:t>
            </m:r>
          </m:sub>
        </m:sSub>
        <m:sSub>
          <m:sSubPr>
            <m:ctrlPr>
              <w:rPr>
                <w:rFonts w:ascii="Cambria Math" w:eastAsiaTheme="minorEastAsia" w:hAnsi="Cambria Math" w:cstheme="minorBidi"/>
                <w:i/>
                <w:szCs w:val="18"/>
                <w:lang w:bidi="fa-IR"/>
              </w:rPr>
            </m:ctrlPr>
          </m:sSubPr>
          <m:e>
            <m:r>
              <w:rPr>
                <w:rFonts w:ascii="Cambria Math" w:eastAsiaTheme="minorEastAsia" w:hAnsi="Cambria Math" w:cstheme="minorBidi"/>
                <w:szCs w:val="18"/>
                <w:lang w:bidi="fa-IR"/>
              </w:rPr>
              <m:t>O</m:t>
            </m:r>
          </m:e>
          <m:sub>
            <m:r>
              <w:rPr>
                <w:rFonts w:ascii="Cambria Math" w:eastAsiaTheme="minorEastAsia" w:hAnsi="Cambria Math" w:cstheme="minorBidi"/>
                <w:szCs w:val="18"/>
                <w:lang w:bidi="fa-IR"/>
              </w:rPr>
              <m:t>(L)</m:t>
            </m:r>
          </m:sub>
        </m:sSub>
        <m:r>
          <w:rPr>
            <w:rFonts w:ascii="Cambria Math" w:eastAsiaTheme="minorEastAsia" w:hAnsi="Cambria Math" w:cstheme="minorBidi"/>
            <w:szCs w:val="18"/>
            <w:lang w:bidi="fa-IR"/>
          </w:rPr>
          <m:t>↔</m:t>
        </m:r>
        <m:sSub>
          <m:sSubPr>
            <m:ctrlPr>
              <w:rPr>
                <w:rFonts w:ascii="Cambria Math" w:eastAsiaTheme="minorEastAsia" w:hAnsi="Cambria Math" w:cstheme="minorBidi"/>
                <w:i/>
                <w:szCs w:val="18"/>
                <w:lang w:bidi="fa-IR"/>
              </w:rPr>
            </m:ctrlPr>
          </m:sSubPr>
          <m:e>
            <m:r>
              <w:rPr>
                <w:rFonts w:ascii="Cambria Math" w:eastAsiaTheme="minorEastAsia" w:hAnsi="Cambria Math" w:cstheme="minorBidi"/>
                <w:szCs w:val="18"/>
                <w:lang w:bidi="fa-IR"/>
              </w:rPr>
              <m:t>H</m:t>
            </m:r>
          </m:e>
          <m:sub>
            <m:r>
              <w:rPr>
                <w:rFonts w:ascii="Cambria Math" w:eastAsiaTheme="minorEastAsia" w:hAnsi="Cambria Math" w:cstheme="minorBidi"/>
                <w:szCs w:val="18"/>
                <w:lang w:bidi="fa-IR"/>
              </w:rPr>
              <m:t>2</m:t>
            </m:r>
          </m:sub>
        </m:sSub>
        <m:sSub>
          <m:sSubPr>
            <m:ctrlPr>
              <w:rPr>
                <w:rFonts w:ascii="Cambria Math" w:eastAsiaTheme="minorEastAsia" w:hAnsi="Cambria Math" w:cstheme="minorBidi"/>
                <w:i/>
                <w:szCs w:val="18"/>
                <w:lang w:bidi="fa-IR"/>
              </w:rPr>
            </m:ctrlPr>
          </m:sSubPr>
          <m:e>
            <m:r>
              <w:rPr>
                <w:rFonts w:ascii="Cambria Math" w:eastAsiaTheme="minorEastAsia" w:hAnsi="Cambria Math" w:cstheme="minorBidi"/>
                <w:szCs w:val="18"/>
                <w:lang w:bidi="fa-IR"/>
              </w:rPr>
              <m:t>CO</m:t>
            </m:r>
          </m:e>
          <m:sub>
            <m:r>
              <w:rPr>
                <w:rFonts w:ascii="Cambria Math" w:eastAsiaTheme="minorEastAsia" w:hAnsi="Cambria Math" w:cstheme="minorBidi"/>
                <w:szCs w:val="18"/>
                <w:lang w:bidi="fa-IR"/>
              </w:rPr>
              <m:t>3 (aq)</m:t>
            </m:r>
          </m:sub>
        </m:sSub>
      </m:oMath>
      <w:r w:rsidRPr="00AD0657">
        <w:rPr>
          <w:rFonts w:asciiTheme="minorBidi" w:eastAsiaTheme="minorEastAsia" w:hAnsiTheme="minorBidi" w:cstheme="minorBidi"/>
          <w:szCs w:val="18"/>
          <w:lang w:bidi="fa-IR"/>
        </w:rPr>
        <w:t xml:space="preserve"> </w:t>
      </w:r>
      <w:r w:rsidRPr="00AD0657">
        <w:rPr>
          <w:rFonts w:asciiTheme="minorBidi" w:hAnsiTheme="minorBidi" w:cstheme="minorBidi"/>
          <w:szCs w:val="18"/>
        </w:rPr>
        <w:t xml:space="preserve">                                                                                                                                 (4)</w:t>
      </w:r>
    </w:p>
    <w:p w14:paraId="2776E189" w14:textId="0B0839D2" w:rsidR="00AD0657" w:rsidRPr="00AD0657" w:rsidRDefault="00AD0657" w:rsidP="00AD0657">
      <w:pPr>
        <w:rPr>
          <w:rFonts w:asciiTheme="minorBidi" w:eastAsiaTheme="minorEastAsia" w:hAnsiTheme="minorBidi" w:cstheme="minorBidi"/>
          <w:szCs w:val="18"/>
          <w:lang w:bidi="fa-IR"/>
        </w:rPr>
      </w:pPr>
      <w:r w:rsidRPr="00AD0657">
        <w:rPr>
          <w:rFonts w:asciiTheme="minorBidi" w:eastAsiaTheme="minorEastAsia" w:hAnsiTheme="minorBidi" w:cstheme="minorBidi"/>
          <w:szCs w:val="18"/>
          <w:lang w:bidi="fa-IR"/>
        </w:rPr>
        <w:t xml:space="preserve">4) </w:t>
      </w:r>
      <m:oMath>
        <m:sSub>
          <m:sSubPr>
            <m:ctrlPr>
              <w:rPr>
                <w:rFonts w:ascii="Cambria Math" w:eastAsiaTheme="minorEastAsia" w:hAnsi="Cambria Math" w:cstheme="minorBidi"/>
                <w:i/>
                <w:szCs w:val="18"/>
                <w:lang w:bidi="fa-IR"/>
              </w:rPr>
            </m:ctrlPr>
          </m:sSubPr>
          <m:e>
            <m:r>
              <w:rPr>
                <w:rFonts w:ascii="Cambria Math" w:eastAsiaTheme="minorEastAsia" w:hAnsi="Cambria Math" w:cstheme="minorBidi"/>
                <w:szCs w:val="18"/>
                <w:lang w:bidi="fa-IR"/>
              </w:rPr>
              <m:t>H</m:t>
            </m:r>
          </m:e>
          <m:sub>
            <m:r>
              <w:rPr>
                <w:rFonts w:ascii="Cambria Math" w:eastAsiaTheme="minorEastAsia" w:hAnsi="Cambria Math" w:cstheme="minorBidi"/>
                <w:szCs w:val="18"/>
                <w:lang w:bidi="fa-IR"/>
              </w:rPr>
              <m:t>2</m:t>
            </m:r>
          </m:sub>
        </m:sSub>
        <m:sSub>
          <m:sSubPr>
            <m:ctrlPr>
              <w:rPr>
                <w:rFonts w:ascii="Cambria Math" w:eastAsiaTheme="minorEastAsia" w:hAnsi="Cambria Math" w:cstheme="minorBidi"/>
                <w:i/>
                <w:szCs w:val="18"/>
                <w:lang w:bidi="fa-IR"/>
              </w:rPr>
            </m:ctrlPr>
          </m:sSubPr>
          <m:e>
            <m:r>
              <w:rPr>
                <w:rFonts w:ascii="Cambria Math" w:eastAsiaTheme="minorEastAsia" w:hAnsi="Cambria Math" w:cstheme="minorBidi"/>
                <w:szCs w:val="18"/>
                <w:lang w:bidi="fa-IR"/>
              </w:rPr>
              <m:t>CO</m:t>
            </m:r>
          </m:e>
          <m:sub>
            <m:r>
              <w:rPr>
                <w:rFonts w:ascii="Cambria Math" w:eastAsiaTheme="minorEastAsia" w:hAnsi="Cambria Math" w:cstheme="minorBidi"/>
                <w:szCs w:val="18"/>
                <w:lang w:bidi="fa-IR"/>
              </w:rPr>
              <m:t>3 (aq)</m:t>
            </m:r>
          </m:sub>
        </m:sSub>
        <m:r>
          <w:rPr>
            <w:rFonts w:ascii="Cambria Math" w:eastAsiaTheme="minorEastAsia" w:hAnsi="Cambria Math" w:cstheme="minorBidi"/>
            <w:szCs w:val="18"/>
            <w:lang w:bidi="fa-IR"/>
          </w:rPr>
          <m:t>↔</m:t>
        </m:r>
        <m:sSubSup>
          <m:sSubSupPr>
            <m:ctrlPr>
              <w:rPr>
                <w:rFonts w:ascii="Cambria Math" w:eastAsiaTheme="minorEastAsia" w:hAnsi="Cambria Math" w:cstheme="minorBidi"/>
                <w:i/>
                <w:szCs w:val="18"/>
                <w:lang w:bidi="fa-IR"/>
              </w:rPr>
            </m:ctrlPr>
          </m:sSubSupPr>
          <m:e>
            <m:r>
              <w:rPr>
                <w:rFonts w:ascii="Cambria Math" w:eastAsiaTheme="minorEastAsia" w:hAnsi="Cambria Math" w:cstheme="minorBidi"/>
                <w:szCs w:val="18"/>
                <w:lang w:bidi="fa-IR"/>
              </w:rPr>
              <m:t>H</m:t>
            </m:r>
          </m:e>
          <m:sub>
            <m:r>
              <w:rPr>
                <w:rFonts w:ascii="Cambria Math" w:eastAsiaTheme="minorEastAsia" w:hAnsi="Cambria Math" w:cstheme="minorBidi"/>
                <w:szCs w:val="18"/>
                <w:lang w:bidi="fa-IR"/>
              </w:rPr>
              <m:t>aq</m:t>
            </m:r>
          </m:sub>
          <m:sup>
            <m:r>
              <w:rPr>
                <w:rFonts w:ascii="Cambria Math" w:eastAsiaTheme="minorEastAsia" w:hAnsi="Cambria Math" w:cstheme="minorBidi"/>
                <w:szCs w:val="18"/>
                <w:lang w:bidi="fa-IR"/>
              </w:rPr>
              <m:t>+</m:t>
            </m:r>
          </m:sup>
        </m:sSubSup>
        <m:r>
          <w:rPr>
            <w:rFonts w:ascii="Cambria Math" w:eastAsiaTheme="minorEastAsia" w:hAnsi="Cambria Math" w:cstheme="minorBidi"/>
            <w:szCs w:val="18"/>
            <w:lang w:bidi="fa-IR"/>
          </w:rPr>
          <m:t>+H</m:t>
        </m:r>
        <m:sSubSup>
          <m:sSubSupPr>
            <m:ctrlPr>
              <w:rPr>
                <w:rFonts w:ascii="Cambria Math" w:eastAsiaTheme="minorEastAsia" w:hAnsi="Cambria Math" w:cstheme="minorBidi"/>
                <w:i/>
                <w:szCs w:val="18"/>
                <w:lang w:bidi="fa-IR"/>
              </w:rPr>
            </m:ctrlPr>
          </m:sSubSupPr>
          <m:e>
            <m:r>
              <w:rPr>
                <w:rFonts w:ascii="Cambria Math" w:eastAsiaTheme="minorEastAsia" w:hAnsi="Cambria Math" w:cstheme="minorBidi"/>
                <w:szCs w:val="18"/>
                <w:lang w:bidi="fa-IR"/>
              </w:rPr>
              <m:t>CO</m:t>
            </m:r>
          </m:e>
          <m:sub>
            <m:r>
              <w:rPr>
                <w:rFonts w:ascii="Cambria Math" w:eastAsiaTheme="minorEastAsia" w:hAnsi="Cambria Math" w:cstheme="minorBidi"/>
                <w:szCs w:val="18"/>
                <w:lang w:bidi="fa-IR"/>
              </w:rPr>
              <m:t>3 (aq)</m:t>
            </m:r>
          </m:sub>
          <m:sup>
            <m:r>
              <w:rPr>
                <w:rFonts w:ascii="Cambria Math" w:eastAsiaTheme="minorEastAsia" w:hAnsi="Cambria Math" w:cstheme="minorBidi"/>
                <w:szCs w:val="18"/>
                <w:lang w:bidi="fa-IR"/>
              </w:rPr>
              <m:t>-</m:t>
            </m:r>
          </m:sup>
        </m:sSubSup>
      </m:oMath>
      <w:r w:rsidRPr="00AD0657">
        <w:rPr>
          <w:rFonts w:asciiTheme="minorBidi" w:eastAsiaTheme="minorEastAsia" w:hAnsiTheme="minorBidi" w:cstheme="minorBidi"/>
          <w:szCs w:val="18"/>
          <w:lang w:bidi="fa-IR"/>
        </w:rPr>
        <w:t xml:space="preserve"> </w:t>
      </w:r>
      <w:r w:rsidRPr="00AD0657">
        <w:rPr>
          <w:rFonts w:asciiTheme="minorBidi" w:hAnsiTheme="minorBidi" w:cstheme="minorBidi"/>
          <w:szCs w:val="18"/>
        </w:rPr>
        <w:t xml:space="preserve">                                                                                                                               (5)</w:t>
      </w:r>
    </w:p>
    <w:p w14:paraId="16B6FEEB" w14:textId="72F16A7C" w:rsidR="00AD0657" w:rsidRPr="00AD0657" w:rsidRDefault="00AD0657" w:rsidP="00AD0657">
      <w:pPr>
        <w:rPr>
          <w:rFonts w:asciiTheme="minorBidi" w:eastAsiaTheme="minorEastAsia" w:hAnsiTheme="minorBidi" w:cstheme="minorBidi"/>
          <w:szCs w:val="18"/>
          <w:lang w:bidi="fa-IR"/>
        </w:rPr>
      </w:pPr>
      <w:r w:rsidRPr="00AD0657">
        <w:rPr>
          <w:rFonts w:asciiTheme="minorBidi" w:eastAsiaTheme="minorEastAsia" w:hAnsiTheme="minorBidi" w:cstheme="minorBidi"/>
          <w:szCs w:val="18"/>
          <w:lang w:bidi="fa-IR"/>
        </w:rPr>
        <w:t xml:space="preserve">5) </w:t>
      </w:r>
      <m:oMath>
        <m:r>
          <w:rPr>
            <w:rFonts w:ascii="Cambria Math" w:eastAsiaTheme="minorEastAsia" w:hAnsi="Cambria Math" w:cstheme="minorBidi"/>
            <w:szCs w:val="18"/>
            <w:lang w:bidi="fa-IR"/>
          </w:rPr>
          <m:t>H</m:t>
        </m:r>
        <m:sSubSup>
          <m:sSubSupPr>
            <m:ctrlPr>
              <w:rPr>
                <w:rFonts w:ascii="Cambria Math" w:eastAsiaTheme="minorEastAsia" w:hAnsi="Cambria Math" w:cstheme="minorBidi"/>
                <w:i/>
                <w:szCs w:val="18"/>
                <w:lang w:bidi="fa-IR"/>
              </w:rPr>
            </m:ctrlPr>
          </m:sSubSupPr>
          <m:e>
            <m:r>
              <w:rPr>
                <w:rFonts w:ascii="Cambria Math" w:eastAsiaTheme="minorEastAsia" w:hAnsi="Cambria Math" w:cstheme="minorBidi"/>
                <w:szCs w:val="18"/>
                <w:lang w:bidi="fa-IR"/>
              </w:rPr>
              <m:t>CO</m:t>
            </m:r>
          </m:e>
          <m:sub>
            <m:r>
              <w:rPr>
                <w:rFonts w:ascii="Cambria Math" w:eastAsiaTheme="minorEastAsia" w:hAnsi="Cambria Math" w:cstheme="minorBidi"/>
                <w:szCs w:val="18"/>
                <w:lang w:bidi="fa-IR"/>
              </w:rPr>
              <m:t>3 (aq)</m:t>
            </m:r>
          </m:sub>
          <m:sup>
            <m:r>
              <w:rPr>
                <w:rFonts w:ascii="Cambria Math" w:eastAsiaTheme="minorEastAsia" w:hAnsi="Cambria Math" w:cstheme="minorBidi"/>
                <w:szCs w:val="18"/>
                <w:lang w:bidi="fa-IR"/>
              </w:rPr>
              <m:t>-</m:t>
            </m:r>
          </m:sup>
        </m:sSubSup>
        <m:r>
          <w:rPr>
            <w:rFonts w:ascii="Cambria Math" w:eastAsiaTheme="minorEastAsia" w:hAnsi="Cambria Math" w:cstheme="minorBidi"/>
            <w:szCs w:val="18"/>
            <w:lang w:bidi="fa-IR"/>
          </w:rPr>
          <m:t>↔</m:t>
        </m:r>
        <m:sSubSup>
          <m:sSubSupPr>
            <m:ctrlPr>
              <w:rPr>
                <w:rFonts w:ascii="Cambria Math" w:eastAsiaTheme="minorEastAsia" w:hAnsi="Cambria Math" w:cstheme="minorBidi"/>
                <w:i/>
                <w:szCs w:val="18"/>
                <w:lang w:bidi="fa-IR"/>
              </w:rPr>
            </m:ctrlPr>
          </m:sSubSupPr>
          <m:e>
            <m:r>
              <w:rPr>
                <w:rFonts w:ascii="Cambria Math" w:eastAsiaTheme="minorEastAsia" w:hAnsi="Cambria Math" w:cstheme="minorBidi"/>
                <w:szCs w:val="18"/>
                <w:lang w:bidi="fa-IR"/>
              </w:rPr>
              <m:t>H</m:t>
            </m:r>
          </m:e>
          <m:sub>
            <m:r>
              <w:rPr>
                <w:rFonts w:ascii="Cambria Math" w:eastAsiaTheme="minorEastAsia" w:hAnsi="Cambria Math" w:cstheme="minorBidi"/>
                <w:szCs w:val="18"/>
                <w:lang w:bidi="fa-IR"/>
              </w:rPr>
              <m:t>aq</m:t>
            </m:r>
          </m:sub>
          <m:sup>
            <m:r>
              <w:rPr>
                <w:rFonts w:ascii="Cambria Math" w:eastAsiaTheme="minorEastAsia" w:hAnsi="Cambria Math" w:cstheme="minorBidi"/>
                <w:szCs w:val="18"/>
                <w:lang w:bidi="fa-IR"/>
              </w:rPr>
              <m:t>+</m:t>
            </m:r>
          </m:sup>
        </m:sSubSup>
        <m:r>
          <w:rPr>
            <w:rFonts w:ascii="Cambria Math" w:eastAsiaTheme="minorEastAsia" w:hAnsi="Cambria Math" w:cstheme="minorBidi"/>
            <w:szCs w:val="18"/>
            <w:lang w:bidi="fa-IR"/>
          </w:rPr>
          <m:t>+</m:t>
        </m:r>
        <m:sSubSup>
          <m:sSubSupPr>
            <m:ctrlPr>
              <w:rPr>
                <w:rFonts w:ascii="Cambria Math" w:eastAsiaTheme="minorEastAsia" w:hAnsi="Cambria Math" w:cstheme="minorBidi"/>
                <w:i/>
                <w:szCs w:val="18"/>
                <w:lang w:bidi="fa-IR"/>
              </w:rPr>
            </m:ctrlPr>
          </m:sSubSupPr>
          <m:e>
            <m:r>
              <w:rPr>
                <w:rFonts w:ascii="Cambria Math" w:eastAsiaTheme="minorEastAsia" w:hAnsi="Cambria Math" w:cstheme="minorBidi"/>
                <w:szCs w:val="18"/>
                <w:lang w:bidi="fa-IR"/>
              </w:rPr>
              <m:t>CO</m:t>
            </m:r>
          </m:e>
          <m:sub>
            <m:r>
              <w:rPr>
                <w:rFonts w:ascii="Cambria Math" w:eastAsiaTheme="minorEastAsia" w:hAnsi="Cambria Math" w:cstheme="minorBidi"/>
                <w:szCs w:val="18"/>
                <w:lang w:bidi="fa-IR"/>
              </w:rPr>
              <m:t>3 (aq)</m:t>
            </m:r>
          </m:sub>
          <m:sup>
            <m:r>
              <w:rPr>
                <w:rFonts w:ascii="Cambria Math" w:eastAsiaTheme="minorEastAsia" w:hAnsi="Cambria Math" w:cstheme="minorBidi"/>
                <w:szCs w:val="18"/>
                <w:lang w:bidi="fa-IR"/>
              </w:rPr>
              <m:t>2-</m:t>
            </m:r>
          </m:sup>
        </m:sSubSup>
      </m:oMath>
      <w:r w:rsidRPr="00AD0657">
        <w:rPr>
          <w:rFonts w:asciiTheme="minorBidi" w:eastAsiaTheme="minorEastAsia" w:hAnsiTheme="minorBidi" w:cstheme="minorBidi"/>
          <w:szCs w:val="18"/>
          <w:lang w:bidi="fa-IR"/>
        </w:rPr>
        <w:t xml:space="preserve">   </w:t>
      </w:r>
      <w:r w:rsidRPr="00AD0657">
        <w:rPr>
          <w:rFonts w:asciiTheme="minorBidi" w:hAnsiTheme="minorBidi" w:cstheme="minorBidi"/>
          <w:szCs w:val="18"/>
        </w:rPr>
        <w:t xml:space="preserve">                                                                                                                               (6)</w:t>
      </w:r>
    </w:p>
    <w:p w14:paraId="055E2F0D" w14:textId="364DC611" w:rsidR="00AD0657" w:rsidRPr="00AD0657" w:rsidRDefault="00AD0657" w:rsidP="00AD0657">
      <w:pPr>
        <w:rPr>
          <w:rFonts w:asciiTheme="minorBidi" w:eastAsiaTheme="minorEastAsia" w:hAnsiTheme="minorBidi" w:cstheme="minorBidi"/>
          <w:szCs w:val="18"/>
          <w:lang w:bidi="fa-IR"/>
        </w:rPr>
      </w:pPr>
      <w:r w:rsidRPr="00AD0657">
        <w:rPr>
          <w:rFonts w:asciiTheme="minorBidi" w:eastAsiaTheme="minorEastAsia" w:hAnsiTheme="minorBidi" w:cstheme="minorBidi"/>
          <w:szCs w:val="18"/>
          <w:lang w:bidi="fa-IR"/>
        </w:rPr>
        <w:t xml:space="preserve">6) </w:t>
      </w:r>
      <m:oMath>
        <m:sSub>
          <m:sSubPr>
            <m:ctrlPr>
              <w:rPr>
                <w:rFonts w:ascii="Cambria Math" w:eastAsiaTheme="minorEastAsia" w:hAnsi="Cambria Math" w:cstheme="minorBidi"/>
                <w:i/>
                <w:szCs w:val="18"/>
                <w:lang w:bidi="fa-IR"/>
              </w:rPr>
            </m:ctrlPr>
          </m:sSubPr>
          <m:e>
            <m:r>
              <w:rPr>
                <w:rFonts w:ascii="Cambria Math" w:eastAsiaTheme="minorEastAsia" w:hAnsi="Cambria Math" w:cstheme="minorBidi"/>
                <w:szCs w:val="18"/>
                <w:lang w:bidi="fa-IR"/>
              </w:rPr>
              <m:t>CO</m:t>
            </m:r>
          </m:e>
          <m:sub>
            <m:r>
              <w:rPr>
                <w:rFonts w:ascii="Cambria Math" w:eastAsiaTheme="minorEastAsia" w:hAnsi="Cambria Math" w:cstheme="minorBidi"/>
                <w:szCs w:val="18"/>
                <w:lang w:bidi="fa-IR"/>
              </w:rPr>
              <m:t>2 (aq)</m:t>
            </m:r>
          </m:sub>
        </m:sSub>
        <m:r>
          <w:rPr>
            <w:rFonts w:ascii="Cambria Math" w:eastAsiaTheme="minorEastAsia" w:hAnsi="Cambria Math" w:cstheme="minorBidi"/>
            <w:szCs w:val="18"/>
            <w:lang w:bidi="fa-IR"/>
          </w:rPr>
          <m:t>+</m:t>
        </m:r>
        <m:sSubSup>
          <m:sSubSupPr>
            <m:ctrlPr>
              <w:rPr>
                <w:rFonts w:ascii="Cambria Math" w:hAnsi="Cambria Math" w:cstheme="minorBidi"/>
                <w:i/>
                <w:szCs w:val="18"/>
                <w:lang w:bidi="fa-IR"/>
              </w:rPr>
            </m:ctrlPr>
          </m:sSubSupPr>
          <m:e>
            <m:r>
              <w:rPr>
                <w:rFonts w:ascii="Cambria Math" w:hAnsi="Cambria Math" w:cstheme="minorBidi"/>
                <w:szCs w:val="18"/>
                <w:lang w:bidi="fa-IR"/>
              </w:rPr>
              <m:t>OH</m:t>
            </m:r>
          </m:e>
          <m:sub>
            <m:r>
              <w:rPr>
                <w:rFonts w:ascii="Cambria Math" w:hAnsi="Cambria Math" w:cstheme="minorBidi"/>
                <w:szCs w:val="18"/>
                <w:lang w:bidi="fa-IR"/>
              </w:rPr>
              <m:t>(aq)</m:t>
            </m:r>
          </m:sub>
          <m:sup>
            <m:r>
              <w:rPr>
                <w:rFonts w:ascii="Cambria Math" w:hAnsi="Cambria Math" w:cstheme="minorBidi"/>
                <w:szCs w:val="18"/>
                <w:lang w:bidi="fa-IR"/>
              </w:rPr>
              <m:t>-</m:t>
            </m:r>
          </m:sup>
        </m:sSubSup>
        <m:r>
          <w:rPr>
            <w:rFonts w:ascii="Cambria Math" w:hAnsi="Cambria Math" w:cstheme="minorBidi"/>
            <w:szCs w:val="18"/>
            <w:lang w:bidi="fa-IR"/>
          </w:rPr>
          <m:t>↔</m:t>
        </m:r>
        <m:r>
          <w:rPr>
            <w:rFonts w:ascii="Cambria Math" w:eastAsiaTheme="minorEastAsia" w:hAnsi="Cambria Math" w:cstheme="minorBidi"/>
            <w:szCs w:val="18"/>
            <w:lang w:bidi="fa-IR"/>
          </w:rPr>
          <m:t xml:space="preserve"> H</m:t>
        </m:r>
        <m:sSubSup>
          <m:sSubSupPr>
            <m:ctrlPr>
              <w:rPr>
                <w:rFonts w:ascii="Cambria Math" w:eastAsiaTheme="minorEastAsia" w:hAnsi="Cambria Math" w:cstheme="minorBidi"/>
                <w:i/>
                <w:szCs w:val="18"/>
                <w:lang w:bidi="fa-IR"/>
              </w:rPr>
            </m:ctrlPr>
          </m:sSubSupPr>
          <m:e>
            <m:r>
              <w:rPr>
                <w:rFonts w:ascii="Cambria Math" w:eastAsiaTheme="minorEastAsia" w:hAnsi="Cambria Math" w:cstheme="minorBidi"/>
                <w:szCs w:val="18"/>
                <w:lang w:bidi="fa-IR"/>
              </w:rPr>
              <m:t>CO</m:t>
            </m:r>
          </m:e>
          <m:sub>
            <m:r>
              <w:rPr>
                <w:rFonts w:ascii="Cambria Math" w:eastAsiaTheme="minorEastAsia" w:hAnsi="Cambria Math" w:cstheme="minorBidi"/>
                <w:szCs w:val="18"/>
                <w:lang w:bidi="fa-IR"/>
              </w:rPr>
              <m:t>3 (aq)</m:t>
            </m:r>
          </m:sub>
          <m:sup>
            <m:r>
              <w:rPr>
                <w:rFonts w:ascii="Cambria Math" w:eastAsiaTheme="minorEastAsia" w:hAnsi="Cambria Math" w:cstheme="minorBidi"/>
                <w:szCs w:val="18"/>
                <w:lang w:bidi="fa-IR"/>
              </w:rPr>
              <m:t>-</m:t>
            </m:r>
          </m:sup>
        </m:sSubSup>
      </m:oMath>
      <w:r w:rsidRPr="00AD0657">
        <w:rPr>
          <w:rFonts w:asciiTheme="minorBidi" w:eastAsiaTheme="minorEastAsia" w:hAnsiTheme="minorBidi" w:cstheme="minorBidi"/>
          <w:szCs w:val="18"/>
          <w:lang w:bidi="fa-IR"/>
        </w:rPr>
        <w:t xml:space="preserve">   </w:t>
      </w:r>
      <w:r w:rsidRPr="00AD0657">
        <w:rPr>
          <w:rFonts w:asciiTheme="minorBidi" w:hAnsiTheme="minorBidi" w:cstheme="minorBidi"/>
          <w:szCs w:val="18"/>
        </w:rPr>
        <w:t xml:space="preserve">                                                                                                                               (7)</w:t>
      </w:r>
    </w:p>
    <w:p w14:paraId="093FC99D" w14:textId="0D921543" w:rsidR="00AD0657" w:rsidRPr="00AD0657" w:rsidRDefault="00AD0657" w:rsidP="00AD0657">
      <w:pPr>
        <w:rPr>
          <w:rFonts w:asciiTheme="minorBidi" w:eastAsiaTheme="minorEastAsia" w:hAnsiTheme="minorBidi" w:cstheme="minorBidi"/>
          <w:szCs w:val="18"/>
          <w:lang w:bidi="fa-IR"/>
        </w:rPr>
      </w:pPr>
      <w:r w:rsidRPr="00AD0657">
        <w:rPr>
          <w:rFonts w:asciiTheme="minorBidi" w:eastAsiaTheme="minorEastAsia" w:hAnsiTheme="minorBidi" w:cstheme="minorBidi"/>
          <w:szCs w:val="18"/>
          <w:lang w:bidi="fa-IR"/>
        </w:rPr>
        <w:t xml:space="preserve">7) </w:t>
      </w:r>
      <m:oMath>
        <m:r>
          <w:rPr>
            <w:rFonts w:ascii="Cambria Math" w:eastAsiaTheme="minorEastAsia" w:hAnsi="Cambria Math" w:cstheme="minorBidi"/>
            <w:szCs w:val="18"/>
            <w:lang w:bidi="fa-IR"/>
          </w:rPr>
          <m:t>H</m:t>
        </m:r>
        <m:sSubSup>
          <m:sSubSupPr>
            <m:ctrlPr>
              <w:rPr>
                <w:rFonts w:ascii="Cambria Math" w:eastAsiaTheme="minorEastAsia" w:hAnsi="Cambria Math" w:cstheme="minorBidi"/>
                <w:i/>
                <w:szCs w:val="18"/>
                <w:lang w:bidi="fa-IR"/>
              </w:rPr>
            </m:ctrlPr>
          </m:sSubSupPr>
          <m:e>
            <m:r>
              <w:rPr>
                <w:rFonts w:ascii="Cambria Math" w:eastAsiaTheme="minorEastAsia" w:hAnsi="Cambria Math" w:cstheme="minorBidi"/>
                <w:szCs w:val="18"/>
                <w:lang w:bidi="fa-IR"/>
              </w:rPr>
              <m:t>CO</m:t>
            </m:r>
          </m:e>
          <m:sub>
            <m:r>
              <w:rPr>
                <w:rFonts w:ascii="Cambria Math" w:eastAsiaTheme="minorEastAsia" w:hAnsi="Cambria Math" w:cstheme="minorBidi"/>
                <w:szCs w:val="18"/>
                <w:lang w:bidi="fa-IR"/>
              </w:rPr>
              <m:t>3 (aq)</m:t>
            </m:r>
          </m:sub>
          <m:sup>
            <m:r>
              <w:rPr>
                <w:rFonts w:ascii="Cambria Math" w:eastAsiaTheme="minorEastAsia" w:hAnsi="Cambria Math" w:cstheme="minorBidi"/>
                <w:szCs w:val="18"/>
                <w:lang w:bidi="fa-IR"/>
              </w:rPr>
              <m:t>-</m:t>
            </m:r>
          </m:sup>
        </m:sSubSup>
        <m:r>
          <w:rPr>
            <w:rFonts w:ascii="Cambria Math" w:eastAsiaTheme="minorEastAsia" w:hAnsi="Cambria Math" w:cstheme="minorBidi"/>
            <w:szCs w:val="18"/>
            <w:lang w:bidi="fa-IR"/>
          </w:rPr>
          <m:t>+</m:t>
        </m:r>
        <m:sSubSup>
          <m:sSubSupPr>
            <m:ctrlPr>
              <w:rPr>
                <w:rFonts w:ascii="Cambria Math" w:hAnsi="Cambria Math" w:cstheme="minorBidi"/>
                <w:i/>
                <w:szCs w:val="18"/>
                <w:lang w:bidi="fa-IR"/>
              </w:rPr>
            </m:ctrlPr>
          </m:sSubSupPr>
          <m:e>
            <m:r>
              <w:rPr>
                <w:rFonts w:ascii="Cambria Math" w:hAnsi="Cambria Math" w:cstheme="minorBidi"/>
                <w:szCs w:val="18"/>
                <w:lang w:bidi="fa-IR"/>
              </w:rPr>
              <m:t>OH</m:t>
            </m:r>
          </m:e>
          <m:sub>
            <m:r>
              <w:rPr>
                <w:rFonts w:ascii="Cambria Math" w:hAnsi="Cambria Math" w:cstheme="minorBidi"/>
                <w:szCs w:val="18"/>
                <w:lang w:bidi="fa-IR"/>
              </w:rPr>
              <m:t>(aq)</m:t>
            </m:r>
          </m:sub>
          <m:sup>
            <m:r>
              <w:rPr>
                <w:rFonts w:ascii="Cambria Math" w:hAnsi="Cambria Math" w:cstheme="minorBidi"/>
                <w:szCs w:val="18"/>
                <w:lang w:bidi="fa-IR"/>
              </w:rPr>
              <m:t>-</m:t>
            </m:r>
          </m:sup>
        </m:sSubSup>
        <m:r>
          <w:rPr>
            <w:rFonts w:ascii="Cambria Math" w:hAnsi="Cambria Math" w:cstheme="minorBidi"/>
            <w:szCs w:val="18"/>
            <w:lang w:bidi="fa-IR"/>
          </w:rPr>
          <m:t>↔</m:t>
        </m:r>
        <m:r>
          <w:rPr>
            <w:rFonts w:ascii="Cambria Math" w:eastAsiaTheme="minorEastAsia" w:hAnsi="Cambria Math" w:cstheme="minorBidi"/>
            <w:szCs w:val="18"/>
            <w:lang w:bidi="fa-IR"/>
          </w:rPr>
          <m:t xml:space="preserve"> </m:t>
        </m:r>
        <m:sSub>
          <m:sSubPr>
            <m:ctrlPr>
              <w:rPr>
                <w:rFonts w:ascii="Cambria Math" w:eastAsiaTheme="minorEastAsia" w:hAnsi="Cambria Math" w:cstheme="minorBidi"/>
                <w:i/>
                <w:szCs w:val="18"/>
                <w:lang w:bidi="fa-IR"/>
              </w:rPr>
            </m:ctrlPr>
          </m:sSubPr>
          <m:e>
            <m:r>
              <w:rPr>
                <w:rFonts w:ascii="Cambria Math" w:eastAsiaTheme="minorEastAsia" w:hAnsi="Cambria Math" w:cstheme="minorBidi"/>
                <w:szCs w:val="18"/>
                <w:lang w:bidi="fa-IR"/>
              </w:rPr>
              <m:t>H</m:t>
            </m:r>
          </m:e>
          <m:sub>
            <m:r>
              <w:rPr>
                <w:rFonts w:ascii="Cambria Math" w:eastAsiaTheme="minorEastAsia" w:hAnsi="Cambria Math" w:cstheme="minorBidi"/>
                <w:szCs w:val="18"/>
                <w:lang w:bidi="fa-IR"/>
              </w:rPr>
              <m:t>2</m:t>
            </m:r>
          </m:sub>
        </m:sSub>
        <m:sSub>
          <m:sSubPr>
            <m:ctrlPr>
              <w:rPr>
                <w:rFonts w:ascii="Cambria Math" w:eastAsiaTheme="minorEastAsia" w:hAnsi="Cambria Math" w:cstheme="minorBidi"/>
                <w:i/>
                <w:szCs w:val="18"/>
                <w:lang w:bidi="fa-IR"/>
              </w:rPr>
            </m:ctrlPr>
          </m:sSubPr>
          <m:e>
            <m:r>
              <w:rPr>
                <w:rFonts w:ascii="Cambria Math" w:eastAsiaTheme="minorEastAsia" w:hAnsi="Cambria Math" w:cstheme="minorBidi"/>
                <w:szCs w:val="18"/>
                <w:lang w:bidi="fa-IR"/>
              </w:rPr>
              <m:t>O</m:t>
            </m:r>
          </m:e>
          <m:sub>
            <m:r>
              <w:rPr>
                <w:rFonts w:ascii="Cambria Math" w:eastAsiaTheme="minorEastAsia" w:hAnsi="Cambria Math" w:cstheme="minorBidi"/>
                <w:szCs w:val="18"/>
                <w:lang w:bidi="fa-IR"/>
              </w:rPr>
              <m:t>(L)</m:t>
            </m:r>
          </m:sub>
        </m:sSub>
        <m:r>
          <w:rPr>
            <w:rFonts w:ascii="Cambria Math" w:eastAsiaTheme="minorEastAsia" w:hAnsi="Cambria Math" w:cstheme="minorBidi"/>
            <w:szCs w:val="18"/>
            <w:lang w:bidi="fa-IR"/>
          </w:rPr>
          <m:t>+</m:t>
        </m:r>
        <m:sSubSup>
          <m:sSubSupPr>
            <m:ctrlPr>
              <w:rPr>
                <w:rFonts w:ascii="Cambria Math" w:eastAsiaTheme="minorEastAsia" w:hAnsi="Cambria Math" w:cstheme="minorBidi"/>
                <w:i/>
                <w:szCs w:val="18"/>
                <w:lang w:bidi="fa-IR"/>
              </w:rPr>
            </m:ctrlPr>
          </m:sSubSupPr>
          <m:e>
            <m:r>
              <w:rPr>
                <w:rFonts w:ascii="Cambria Math" w:eastAsiaTheme="minorEastAsia" w:hAnsi="Cambria Math" w:cstheme="minorBidi"/>
                <w:szCs w:val="18"/>
                <w:lang w:bidi="fa-IR"/>
              </w:rPr>
              <m:t>CO</m:t>
            </m:r>
          </m:e>
          <m:sub>
            <m:r>
              <w:rPr>
                <w:rFonts w:ascii="Cambria Math" w:eastAsiaTheme="minorEastAsia" w:hAnsi="Cambria Math" w:cstheme="minorBidi"/>
                <w:szCs w:val="18"/>
                <w:lang w:bidi="fa-IR"/>
              </w:rPr>
              <m:t>3 (aq)</m:t>
            </m:r>
          </m:sub>
          <m:sup>
            <m:r>
              <w:rPr>
                <w:rFonts w:ascii="Cambria Math" w:eastAsiaTheme="minorEastAsia" w:hAnsi="Cambria Math" w:cstheme="minorBidi"/>
                <w:szCs w:val="18"/>
                <w:lang w:bidi="fa-IR"/>
              </w:rPr>
              <m:t>2-</m:t>
            </m:r>
          </m:sup>
        </m:sSubSup>
      </m:oMath>
      <w:r w:rsidRPr="00AD0657">
        <w:rPr>
          <w:rFonts w:asciiTheme="minorBidi" w:eastAsiaTheme="minorEastAsia" w:hAnsiTheme="minorBidi" w:cstheme="minorBidi"/>
          <w:szCs w:val="18"/>
          <w:lang w:bidi="fa-IR"/>
        </w:rPr>
        <w:t xml:space="preserve">  </w:t>
      </w:r>
      <w:r w:rsidRPr="00AD0657">
        <w:rPr>
          <w:rFonts w:asciiTheme="minorBidi" w:hAnsiTheme="minorBidi" w:cstheme="minorBidi"/>
          <w:szCs w:val="18"/>
        </w:rPr>
        <w:t xml:space="preserve">                                                                                                                               (8)</w:t>
      </w:r>
    </w:p>
    <w:p w14:paraId="6F262EE0" w14:textId="0153CB36" w:rsidR="00AD0657" w:rsidRPr="00AD0657" w:rsidRDefault="00AD0657" w:rsidP="00AD0657">
      <w:pPr>
        <w:rPr>
          <w:rFonts w:asciiTheme="minorBidi" w:hAnsiTheme="minorBidi" w:cstheme="minorBidi"/>
          <w:szCs w:val="18"/>
          <w:rtl/>
          <w:lang w:bidi="fa-IR"/>
        </w:rPr>
      </w:pPr>
      <w:r w:rsidRPr="00AD0657">
        <w:rPr>
          <w:rFonts w:asciiTheme="minorBidi" w:eastAsiaTheme="minorEastAsia" w:hAnsiTheme="minorBidi" w:cstheme="minorBidi"/>
          <w:szCs w:val="18"/>
          <w:lang w:bidi="fa-IR"/>
        </w:rPr>
        <w:t xml:space="preserve">8) </w:t>
      </w:r>
      <m:oMath>
        <m:sSubSup>
          <m:sSubSupPr>
            <m:ctrlPr>
              <w:rPr>
                <w:rFonts w:ascii="Cambria Math" w:hAnsi="Cambria Math" w:cstheme="minorBidi"/>
                <w:i/>
                <w:szCs w:val="18"/>
                <w:lang w:bidi="fa-IR"/>
              </w:rPr>
            </m:ctrlPr>
          </m:sSubSupPr>
          <m:e>
            <m:r>
              <w:rPr>
                <w:rFonts w:ascii="Cambria Math" w:hAnsi="Cambria Math" w:cstheme="minorBidi"/>
                <w:szCs w:val="18"/>
                <w:lang w:bidi="fa-IR"/>
              </w:rPr>
              <m:t>Mg</m:t>
            </m:r>
          </m:e>
          <m:sub>
            <m:r>
              <w:rPr>
                <w:rFonts w:ascii="Cambria Math" w:hAnsi="Cambria Math" w:cstheme="minorBidi"/>
                <w:szCs w:val="18"/>
                <w:lang w:bidi="fa-IR"/>
              </w:rPr>
              <m:t>(aq)</m:t>
            </m:r>
          </m:sub>
          <m:sup>
            <m:r>
              <w:rPr>
                <w:rFonts w:ascii="Cambria Math" w:hAnsi="Cambria Math" w:cstheme="minorBidi"/>
                <w:szCs w:val="18"/>
                <w:lang w:bidi="fa-IR"/>
              </w:rPr>
              <m:t>2+</m:t>
            </m:r>
          </m:sup>
        </m:sSubSup>
        <m:r>
          <w:rPr>
            <w:rFonts w:ascii="Cambria Math" w:hAnsi="Cambria Math" w:cstheme="minorBidi"/>
            <w:szCs w:val="18"/>
            <w:lang w:bidi="fa-IR"/>
          </w:rPr>
          <m:t>+</m:t>
        </m:r>
        <m:sSubSup>
          <m:sSubSupPr>
            <m:ctrlPr>
              <w:rPr>
                <w:rFonts w:ascii="Cambria Math" w:eastAsiaTheme="minorEastAsia" w:hAnsi="Cambria Math" w:cstheme="minorBidi"/>
                <w:i/>
                <w:szCs w:val="18"/>
                <w:lang w:bidi="fa-IR"/>
              </w:rPr>
            </m:ctrlPr>
          </m:sSubSupPr>
          <m:e>
            <m:r>
              <w:rPr>
                <w:rFonts w:ascii="Cambria Math" w:eastAsiaTheme="minorEastAsia" w:hAnsi="Cambria Math" w:cstheme="minorBidi"/>
                <w:szCs w:val="18"/>
                <w:lang w:bidi="fa-IR"/>
              </w:rPr>
              <m:t>CO</m:t>
            </m:r>
          </m:e>
          <m:sub>
            <m:r>
              <w:rPr>
                <w:rFonts w:ascii="Cambria Math" w:eastAsiaTheme="minorEastAsia" w:hAnsi="Cambria Math" w:cstheme="minorBidi"/>
                <w:szCs w:val="18"/>
                <w:lang w:bidi="fa-IR"/>
              </w:rPr>
              <m:t>3 (aq)</m:t>
            </m:r>
          </m:sub>
          <m:sup>
            <m:r>
              <w:rPr>
                <w:rFonts w:ascii="Cambria Math" w:eastAsiaTheme="minorEastAsia" w:hAnsi="Cambria Math" w:cstheme="minorBidi"/>
                <w:szCs w:val="18"/>
                <w:lang w:bidi="fa-IR"/>
              </w:rPr>
              <m:t>2-</m:t>
            </m:r>
          </m:sup>
        </m:sSubSup>
        <m:r>
          <w:rPr>
            <w:rFonts w:ascii="Cambria Math" w:eastAsiaTheme="minorEastAsia" w:hAnsi="Cambria Math" w:cstheme="minorBidi"/>
            <w:szCs w:val="18"/>
            <w:lang w:bidi="fa-IR"/>
          </w:rPr>
          <m:t>↔</m:t>
        </m:r>
        <m:r>
          <w:rPr>
            <w:rFonts w:ascii="Cambria Math" w:hAnsi="Cambria Math" w:cstheme="minorBidi"/>
            <w:szCs w:val="18"/>
            <w:lang w:bidi="fa-IR"/>
          </w:rPr>
          <m:t xml:space="preserve"> MgCO</m:t>
        </m:r>
      </m:oMath>
      <w:r w:rsidRPr="00AD0657">
        <w:rPr>
          <w:rFonts w:asciiTheme="minorBidi" w:eastAsiaTheme="minorEastAsia" w:hAnsiTheme="minorBidi" w:cstheme="minorBidi"/>
          <w:szCs w:val="18"/>
          <w:vertAlign w:val="subscript"/>
          <w:lang w:bidi="fa-IR"/>
        </w:rPr>
        <w:t>3</w:t>
      </w:r>
      <w:r w:rsidRPr="00AD0657">
        <w:rPr>
          <w:rFonts w:asciiTheme="minorBidi" w:hAnsiTheme="minorBidi" w:cstheme="minorBidi"/>
          <w:szCs w:val="18"/>
          <w:lang w:bidi="fa-IR"/>
        </w:rPr>
        <w:t xml:space="preserve"> </w:t>
      </w:r>
      <w:r w:rsidRPr="00AD0657">
        <w:rPr>
          <w:rFonts w:asciiTheme="minorBidi" w:hAnsiTheme="minorBidi" w:cstheme="minorBidi"/>
          <w:szCs w:val="18"/>
          <w:vertAlign w:val="subscript"/>
          <w:lang w:bidi="fa-IR"/>
        </w:rPr>
        <w:t>(S)</w:t>
      </w:r>
      <w:r w:rsidRPr="00AD0657">
        <w:rPr>
          <w:rFonts w:asciiTheme="minorBidi" w:hAnsiTheme="minorBidi" w:cstheme="minorBidi"/>
          <w:szCs w:val="18"/>
          <w:lang w:bidi="fa-IR"/>
        </w:rPr>
        <w:t xml:space="preserve">   </w:t>
      </w:r>
      <w:r w:rsidRPr="00AD0657">
        <w:rPr>
          <w:rFonts w:asciiTheme="minorBidi" w:hAnsiTheme="minorBidi" w:cstheme="minorBidi"/>
          <w:szCs w:val="18"/>
        </w:rPr>
        <w:t xml:space="preserve">                                                                                                                               (9)</w:t>
      </w:r>
    </w:p>
    <w:p w14:paraId="370C85D0" w14:textId="55E49BB9" w:rsidR="00AD0657" w:rsidRPr="00AD0657" w:rsidRDefault="00AD0657" w:rsidP="004C6D52">
      <w:pPr>
        <w:pStyle w:val="CETBodytext"/>
        <w:rPr>
          <w:rFonts w:asciiTheme="minorBidi" w:hAnsiTheme="minorBidi" w:cstheme="minorBidi"/>
        </w:rPr>
      </w:pPr>
      <w:r w:rsidRPr="00AD0657">
        <w:rPr>
          <w:rFonts w:asciiTheme="minorBidi" w:hAnsiTheme="minorBidi" w:cstheme="minorBidi"/>
        </w:rPr>
        <w:t>These reactions illustrate the dissolution of Mg(OH)</w:t>
      </w:r>
      <w:r w:rsidRPr="00AD0657">
        <w:rPr>
          <w:rFonts w:ascii="Cambria Math" w:hAnsi="Cambria Math" w:cs="Cambria Math"/>
        </w:rPr>
        <w:t>₂</w:t>
      </w:r>
      <w:r w:rsidRPr="00AD0657">
        <w:rPr>
          <w:rFonts w:asciiTheme="minorBidi" w:hAnsiTheme="minorBidi" w:cstheme="minorBidi"/>
        </w:rPr>
        <w:t>, the hydration of CO</w:t>
      </w:r>
      <w:r w:rsidRPr="00AD0657">
        <w:rPr>
          <w:rFonts w:ascii="Cambria Math" w:hAnsi="Cambria Math" w:cs="Cambria Math"/>
        </w:rPr>
        <w:t>₂</w:t>
      </w:r>
      <w:r w:rsidRPr="00AD0657">
        <w:rPr>
          <w:rFonts w:asciiTheme="minorBidi" w:hAnsiTheme="minorBidi" w:cstheme="minorBidi"/>
        </w:rPr>
        <w:t>, and the subsequent formation of carbonate and bicarbonate species, culminating in the precipitation of MgCO</w:t>
      </w:r>
      <w:r w:rsidRPr="00AD0657">
        <w:rPr>
          <w:rFonts w:ascii="Cambria Math" w:hAnsi="Cambria Math" w:cs="Cambria Math"/>
        </w:rPr>
        <w:t>₃</w:t>
      </w:r>
      <w:r w:rsidRPr="00AD0657">
        <w:rPr>
          <w:rFonts w:asciiTheme="minorBidi" w:hAnsiTheme="minorBidi" w:cstheme="minorBidi"/>
        </w:rPr>
        <w:t>. The competition between hydroxyl-driven carbonate formation and bicarbonate equilibrium influences the overall efficiency of CO</w:t>
      </w:r>
      <w:r w:rsidRPr="00AD0657">
        <w:rPr>
          <w:rFonts w:ascii="Cambria Math" w:hAnsi="Cambria Math" w:cs="Cambria Math"/>
        </w:rPr>
        <w:t>₂</w:t>
      </w:r>
      <w:r w:rsidRPr="00AD0657">
        <w:rPr>
          <w:rFonts w:asciiTheme="minorBidi" w:hAnsiTheme="minorBidi" w:cstheme="minorBidi"/>
        </w:rPr>
        <w:t xml:space="preserve"> sequestration. Optimizing pH conditions and reaction kinetics is crucial to enhancing system performance and minimizing secondary phase formation.</w:t>
      </w:r>
    </w:p>
    <w:p w14:paraId="097E0F12" w14:textId="21837934" w:rsidR="004C6D52" w:rsidRDefault="00AD0657" w:rsidP="00D52640">
      <w:pPr>
        <w:pStyle w:val="CETheadingx"/>
      </w:pPr>
      <w:r>
        <w:t>Reaction Optimization</w:t>
      </w:r>
    </w:p>
    <w:p w14:paraId="07564AE9" w14:textId="77777777" w:rsidR="008C6413" w:rsidRDefault="008C6413" w:rsidP="008C6413">
      <w:pPr>
        <w:pStyle w:val="CETBodytext"/>
      </w:pPr>
      <w:r>
        <w:t>The optimization of CO</w:t>
      </w:r>
      <w:r>
        <w:rPr>
          <w:rFonts w:ascii="Cambria Math" w:hAnsi="Cambria Math" w:cs="Cambria Math"/>
        </w:rPr>
        <w:t>₂</w:t>
      </w:r>
      <w:r>
        <w:t xml:space="preserve"> sequestration efficiency within a bubble column reactor was rigorously analyzed using Response Surface Methodology (RSM), a robust statistical framework that facilitates the assessment of nonlinear interactions among multiple process variables. By systematically evaluating parameter interdependencies, RSM enabled the identification of optimal conditions for maximizing CO</w:t>
      </w:r>
      <w:r>
        <w:rPr>
          <w:rFonts w:ascii="Cambria Math" w:hAnsi="Cambria Math" w:cs="Cambria Math"/>
        </w:rPr>
        <w:t>₂</w:t>
      </w:r>
      <w:r>
        <w:t xml:space="preserve"> absorption efficiency. The quadratic regression model developed in this study demonstrated exceptional predictive accuracy, with an R² value exceeding 0.92, reinforcing its capacity to effectively model the complex physicochemical interactions governing the absorption process. ANOVA analysis (Table 2) further substantiated the statistical significance of all primary operational parameters, including slurry volume, Mg(OH)</w:t>
      </w:r>
      <w:r>
        <w:rPr>
          <w:rFonts w:ascii="Cambria Math" w:hAnsi="Cambria Math" w:cs="Cambria Math"/>
        </w:rPr>
        <w:t>₂</w:t>
      </w:r>
      <w:r>
        <w:t xml:space="preserve"> concentration, gas hold-up, and temperature, each of which exhibited a pronounced effect on system performance. The model</w:t>
      </w:r>
      <w:r>
        <w:rPr>
          <w:rFonts w:cs="Arial"/>
        </w:rPr>
        <w:t>’</w:t>
      </w:r>
      <w:r>
        <w:t>s high predictive fidelity and strong alignment between experimental and calculated values underscore its applicability in optimizing CO</w:t>
      </w:r>
      <w:r>
        <w:rPr>
          <w:rFonts w:ascii="Cambria Math" w:hAnsi="Cambria Math" w:cs="Cambria Math"/>
        </w:rPr>
        <w:t>₂</w:t>
      </w:r>
      <w:r>
        <w:t xml:space="preserve"> sequestration processes for industrial deployment.</w:t>
      </w:r>
    </w:p>
    <w:p w14:paraId="3B8A078B" w14:textId="77777777" w:rsidR="008C6413" w:rsidRDefault="008C6413" w:rsidP="008C6413">
      <w:pPr>
        <w:pStyle w:val="CETBodytext"/>
      </w:pPr>
      <w:r>
        <w:t>Experimental data revealed that the maximum CO</w:t>
      </w:r>
      <w:r>
        <w:rPr>
          <w:rFonts w:ascii="Cambria Math" w:hAnsi="Cambria Math" w:cs="Cambria Math"/>
        </w:rPr>
        <w:t>₂</w:t>
      </w:r>
      <w:r>
        <w:t xml:space="preserve"> removal efficiency of 82.10% was attained under the optimized conditions of 25 L slurry volume, 0.003 M Mg(OH)</w:t>
      </w:r>
      <w:r>
        <w:rPr>
          <w:rFonts w:ascii="Cambria Math" w:hAnsi="Cambria Math" w:cs="Cambria Math"/>
        </w:rPr>
        <w:t>₂</w:t>
      </w:r>
      <w:r>
        <w:t xml:space="preserve"> concentration, 1 cm gas hold-up, and an operational temperature of 40</w:t>
      </w:r>
      <w:r>
        <w:rPr>
          <w:rFonts w:cs="Arial"/>
        </w:rPr>
        <w:t>°</w:t>
      </w:r>
      <w:r>
        <w:t>C. The model-predicted efficiency of 81.92% was in close agreement with empirical observations, further validating the precision and reliability of the developed regression model. Notably, ANOVA results highlighted the dominance of slurry volume and Mg(OH)</w:t>
      </w:r>
      <w:r>
        <w:rPr>
          <w:rFonts w:ascii="Cambria Math" w:hAnsi="Cambria Math" w:cs="Cambria Math"/>
        </w:rPr>
        <w:t>₂</w:t>
      </w:r>
      <w:r>
        <w:t xml:space="preserve"> concentration as primary determinants of sequestration efficiency, with their respective F-values confirming their substantial influence. The statistical insignificance of the lack-of-fit term reinforced the robustness of the model, indicating that the proposed equation adequately captured the experimental dataset’s variability.</w:t>
      </w:r>
    </w:p>
    <w:p w14:paraId="56E23C55" w14:textId="77777777" w:rsidR="008C6413" w:rsidRDefault="008C6413" w:rsidP="008C6413">
      <w:pPr>
        <w:pStyle w:val="CETBodytext"/>
      </w:pPr>
      <w:r>
        <w:t>The response surface plots and contour diagrams elucidated the intricate interplay between key process variables. The interaction between slurry volume and gas hold-up was particularly pronounced, as optimized gas dispersion significantly improved mass transfer efficiency by expanding the gas-liquid interfacial area. However, excessive gas hold-up led to turbulence-induced disruptions, reducing residence time and facilitating premature CO</w:t>
      </w:r>
      <w:r>
        <w:rPr>
          <w:rFonts w:ascii="Cambria Math" w:hAnsi="Cambria Math" w:cs="Cambria Math"/>
        </w:rPr>
        <w:t>₂</w:t>
      </w:r>
      <w:r>
        <w:t xml:space="preserve"> escape from the system. These findings underscore the necessity of precise gas dispersion control to maintain an optimal equilibrium between interfacial contact and fluid dynamics.</w:t>
      </w:r>
    </w:p>
    <w:p w14:paraId="45B86F92" w14:textId="77777777" w:rsidR="008C6413" w:rsidRDefault="008C6413" w:rsidP="008C6413">
      <w:pPr>
        <w:pStyle w:val="CETBodytext"/>
      </w:pPr>
      <w:r>
        <w:t>A similarly complex trend was observed for Mg(OH)</w:t>
      </w:r>
      <w:r>
        <w:rPr>
          <w:rFonts w:ascii="Cambria Math" w:hAnsi="Cambria Math" w:cs="Cambria Math"/>
        </w:rPr>
        <w:t>₂</w:t>
      </w:r>
      <w:r>
        <w:t xml:space="preserve"> concentration, which exhibited a nonlinear effect on absorption efficiency. While moderate increases in concentration enhanced CO</w:t>
      </w:r>
      <w:r>
        <w:rPr>
          <w:rFonts w:ascii="Cambria Math" w:hAnsi="Cambria Math" w:cs="Cambria Math"/>
        </w:rPr>
        <w:t>₂</w:t>
      </w:r>
      <w:r>
        <w:t xml:space="preserve"> sequestration due to elevated hydroxide ion availability, further increments beyond the optimal threshold resulted in mass transfer limitations. Increased viscosity and particle aggregation impeded molecular diffusion, ultimately constraining absorption efficiency. This behavior highlights the need for a carefully calibrated balance between chemical reactivity and fluid mechanics to prevent diffusion-related constraints.</w:t>
      </w:r>
    </w:p>
    <w:p w14:paraId="5721A2CC" w14:textId="77777777" w:rsidR="008C6413" w:rsidRDefault="008C6413" w:rsidP="008C6413">
      <w:pPr>
        <w:pStyle w:val="CETBodytext"/>
      </w:pPr>
      <w:r>
        <w:t>The temperature dependence of CO</w:t>
      </w:r>
      <w:r>
        <w:rPr>
          <w:rFonts w:ascii="Cambria Math" w:hAnsi="Cambria Math" w:cs="Cambria Math"/>
        </w:rPr>
        <w:t>₂</w:t>
      </w:r>
      <w:r>
        <w:t xml:space="preserve"> absorption efficiency revealed a critical thermodynamic trade-off. Elevated temperatures facilitated reaction kinetics, accelerating the formation of carbonate species; however, this effect was counteracted by a reduction in CO</w:t>
      </w:r>
      <w:r>
        <w:rPr>
          <w:rFonts w:ascii="Cambria Math" w:hAnsi="Cambria Math" w:cs="Cambria Math"/>
        </w:rPr>
        <w:t>₂</w:t>
      </w:r>
      <w:r>
        <w:t xml:space="preserve"> solubility within the alkaline medium. The selection of 40</w:t>
      </w:r>
      <w:r>
        <w:rPr>
          <w:rFonts w:cs="Arial"/>
        </w:rPr>
        <w:t>°</w:t>
      </w:r>
      <w:r>
        <w:t xml:space="preserve">C as the optimal operational temperature was justified by its ability to sustain favorable kinetic conditions while minimizing desorption losses. Response surface analysis further illustrated that exceeding this temperature threshold </w:t>
      </w:r>
      <w:r>
        <w:lastRenderedPageBreak/>
        <w:t>exacerbated desorption effects, diminishing net CO</w:t>
      </w:r>
      <w:r>
        <w:rPr>
          <w:rFonts w:ascii="Cambria Math" w:hAnsi="Cambria Math" w:cs="Cambria Math"/>
        </w:rPr>
        <w:t>₂</w:t>
      </w:r>
      <w:r>
        <w:t xml:space="preserve"> retention and reinforcing the necessity of stringent thermal regulation in maintaining sequestration efficiency.</w:t>
      </w:r>
    </w:p>
    <w:p w14:paraId="1AB8BD0A" w14:textId="6F86AE8B" w:rsidR="008C6413" w:rsidRDefault="008C6413" w:rsidP="008C6413">
      <w:pPr>
        <w:pStyle w:val="CETBodytext"/>
        <w:rPr>
          <w:rFonts w:asciiTheme="minorBidi" w:hAnsiTheme="minorBidi" w:cstheme="minorBidi"/>
        </w:rPr>
      </w:pPr>
      <w:r w:rsidRPr="008C6413">
        <w:rPr>
          <w:rFonts w:asciiTheme="minorBidi" w:hAnsiTheme="minorBidi" w:cstheme="minorBidi"/>
        </w:rPr>
        <w:t>The predictive modeling of CO</w:t>
      </w:r>
      <w:r w:rsidRPr="008C6413">
        <w:rPr>
          <w:rFonts w:ascii="Cambria Math" w:hAnsi="Cambria Math" w:cs="Cambria Math"/>
        </w:rPr>
        <w:t>₂</w:t>
      </w:r>
      <w:r w:rsidRPr="008C6413">
        <w:rPr>
          <w:rFonts w:asciiTheme="minorBidi" w:hAnsiTheme="minorBidi" w:cstheme="minorBidi"/>
        </w:rPr>
        <w:t xml:space="preserve"> absorption efficiency was represented by a quadratic regression equation:</w:t>
      </w:r>
    </w:p>
    <w:p w14:paraId="1CE31005" w14:textId="77777777" w:rsidR="00340152" w:rsidRPr="008C6413" w:rsidRDefault="00340152" w:rsidP="008C6413">
      <w:pPr>
        <w:pStyle w:val="CETBodytext"/>
        <w:rPr>
          <w:rFonts w:asciiTheme="minorBidi" w:hAnsiTheme="minorBidi" w:cstheme="minorBidi"/>
        </w:rPr>
      </w:pPr>
    </w:p>
    <w:p w14:paraId="2CCE4738" w14:textId="4DEA5DAB" w:rsidR="008C6413" w:rsidRDefault="008C6413" w:rsidP="008C6413">
      <w:pPr>
        <w:pStyle w:val="CETBodytext"/>
        <w:rPr>
          <w:rFonts w:asciiTheme="minorBidi" w:hAnsiTheme="minorBidi" w:cstheme="minorBidi"/>
        </w:rPr>
      </w:pPr>
      <m:oMath>
        <m:r>
          <w:rPr>
            <w:rFonts w:ascii="Cambria Math" w:hAnsi="Cambria Math" w:cstheme="minorBidi"/>
          </w:rPr>
          <m:t>Y=56.83+8.33A+2.52B-6.52C-1.74D-1.77AB+1.92AC+2.38BC-2.04CD+2.35</m:t>
        </m:r>
        <m:sSup>
          <m:sSupPr>
            <m:ctrlPr>
              <w:rPr>
                <w:rFonts w:ascii="Cambria Math" w:hAnsi="Cambria Math" w:cstheme="minorBidi"/>
                <w:i/>
                <w:iCs/>
              </w:rPr>
            </m:ctrlPr>
          </m:sSupPr>
          <m:e>
            <m:r>
              <w:rPr>
                <w:rFonts w:ascii="Cambria Math" w:hAnsi="Cambria Math" w:cstheme="minorBidi"/>
              </w:rPr>
              <m:t>B</m:t>
            </m:r>
          </m:e>
          <m:sup>
            <m:r>
              <w:rPr>
                <w:rFonts w:ascii="Cambria Math" w:hAnsi="Cambria Math" w:cstheme="minorBidi"/>
              </w:rPr>
              <m:t>2</m:t>
            </m:r>
          </m:sup>
        </m:sSup>
        <m:r>
          <w:rPr>
            <w:rFonts w:ascii="Cambria Math" w:hAnsi="Cambria Math" w:cstheme="minorBidi"/>
          </w:rPr>
          <m:t>+7.88</m:t>
        </m:r>
        <m:sSup>
          <m:sSupPr>
            <m:ctrlPr>
              <w:rPr>
                <w:rFonts w:ascii="Cambria Math" w:hAnsi="Cambria Math" w:cstheme="minorBidi"/>
                <w:i/>
                <w:iCs/>
              </w:rPr>
            </m:ctrlPr>
          </m:sSupPr>
          <m:e>
            <m:r>
              <w:rPr>
                <w:rFonts w:ascii="Cambria Math" w:hAnsi="Cambria Math" w:cstheme="minorBidi"/>
              </w:rPr>
              <m:t>C</m:t>
            </m:r>
          </m:e>
          <m:sup>
            <m:r>
              <w:rPr>
                <w:rFonts w:ascii="Cambria Math" w:hAnsi="Cambria Math" w:cstheme="minorBidi"/>
              </w:rPr>
              <m:t>2</m:t>
            </m:r>
          </m:sup>
        </m:sSup>
      </m:oMath>
      <w:r>
        <w:rPr>
          <w:rFonts w:asciiTheme="minorBidi" w:hAnsiTheme="minorBidi" w:cstheme="minorBidi"/>
          <w:i/>
          <w:iCs/>
        </w:rPr>
        <w:t xml:space="preserve"> </w:t>
      </w:r>
      <w:r w:rsidRPr="00F0162E">
        <w:rPr>
          <w:rFonts w:asciiTheme="minorBidi" w:hAnsiTheme="minorBidi" w:cstheme="minorBidi"/>
          <w:i/>
          <w:iCs/>
        </w:rPr>
        <w:t xml:space="preserve"> </w:t>
      </w:r>
      <w:r>
        <w:rPr>
          <w:rFonts w:asciiTheme="minorBidi" w:hAnsiTheme="minorBidi" w:cstheme="minorBidi"/>
          <w:i/>
          <w:iCs/>
        </w:rPr>
        <w:t xml:space="preserve">    </w:t>
      </w:r>
      <w:r w:rsidRPr="00D52640">
        <w:rPr>
          <w:rFonts w:asciiTheme="minorBidi" w:hAnsiTheme="minorBidi" w:cstheme="minorBidi"/>
          <w:i/>
          <w:iCs/>
        </w:rPr>
        <w:t xml:space="preserve"> </w:t>
      </w:r>
      <w:r w:rsidRPr="00D52640">
        <w:rPr>
          <w:rFonts w:asciiTheme="minorBidi" w:hAnsiTheme="minorBidi" w:cstheme="minorBidi"/>
        </w:rPr>
        <w:t>(10)</w:t>
      </w:r>
    </w:p>
    <w:p w14:paraId="33183865" w14:textId="77777777" w:rsidR="00340152" w:rsidRPr="008C6413" w:rsidRDefault="00340152" w:rsidP="008C6413">
      <w:pPr>
        <w:pStyle w:val="CETBodytext"/>
        <w:rPr>
          <w:rFonts w:asciiTheme="minorBidi" w:hAnsiTheme="minorBidi" w:cstheme="minorBidi"/>
          <w:i/>
          <w:iCs/>
        </w:rPr>
      </w:pPr>
    </w:p>
    <w:p w14:paraId="6B753A72" w14:textId="77777777" w:rsidR="008C6413" w:rsidRPr="008C6413" w:rsidRDefault="008C6413" w:rsidP="008C6413">
      <w:pPr>
        <w:pStyle w:val="CETBodytext"/>
        <w:rPr>
          <w:rFonts w:asciiTheme="minorBidi" w:hAnsiTheme="minorBidi" w:cstheme="minorBidi"/>
        </w:rPr>
      </w:pPr>
      <w:r w:rsidRPr="008C6413">
        <w:rPr>
          <w:rFonts w:asciiTheme="minorBidi" w:hAnsiTheme="minorBidi" w:cstheme="minorBidi"/>
        </w:rPr>
        <w:t>where Y denotes the CO</w:t>
      </w:r>
      <w:r w:rsidRPr="008C6413">
        <w:rPr>
          <w:rFonts w:ascii="Cambria Math" w:hAnsi="Cambria Math" w:cs="Cambria Math"/>
        </w:rPr>
        <w:t>₂</w:t>
      </w:r>
      <w:r w:rsidRPr="008C6413">
        <w:rPr>
          <w:rFonts w:asciiTheme="minorBidi" w:hAnsiTheme="minorBidi" w:cstheme="minorBidi"/>
        </w:rPr>
        <w:t xml:space="preserve"> removal efficiency, and A, B, C, and D represent the key operational parameters such as slurry volume, Mg(OH)</w:t>
      </w:r>
      <w:r w:rsidRPr="008C6413">
        <w:rPr>
          <w:rFonts w:ascii="Cambria Math" w:hAnsi="Cambria Math" w:cs="Cambria Math"/>
        </w:rPr>
        <w:t>₂</w:t>
      </w:r>
      <w:r w:rsidRPr="008C6413">
        <w:rPr>
          <w:rFonts w:asciiTheme="minorBidi" w:hAnsiTheme="minorBidi" w:cstheme="minorBidi"/>
        </w:rPr>
        <w:t xml:space="preserve"> concentration, gas hold-up, and temperature, respectively. The interaction terms highlight the nonlinear relationships between these parameters, with the coefficients indicating their respective contributions to the absorption process. Positive coefficients suggest a direct enhancement of CO</w:t>
      </w:r>
      <w:r w:rsidRPr="008C6413">
        <w:rPr>
          <w:rFonts w:ascii="Cambria Math" w:hAnsi="Cambria Math" w:cs="Cambria Math"/>
        </w:rPr>
        <w:t>₂</w:t>
      </w:r>
      <w:r w:rsidRPr="008C6413">
        <w:rPr>
          <w:rFonts w:asciiTheme="minorBidi" w:hAnsiTheme="minorBidi" w:cstheme="minorBidi"/>
        </w:rPr>
        <w:t xml:space="preserve"> removal, whereas negative coefficients imply inhibitory effects.</w:t>
      </w:r>
    </w:p>
    <w:p w14:paraId="27CF00C8" w14:textId="4C05E5D5" w:rsidR="00D52640" w:rsidRPr="00D52640" w:rsidRDefault="00D52640" w:rsidP="00D52640">
      <w:pPr>
        <w:pStyle w:val="CETBodytext"/>
        <w:rPr>
          <w:rFonts w:asciiTheme="minorBidi" w:hAnsiTheme="minorBidi" w:cstheme="minorBidi"/>
        </w:rPr>
      </w:pPr>
      <w:r w:rsidRPr="00D52640">
        <w:rPr>
          <w:rFonts w:asciiTheme="minorBidi" w:hAnsiTheme="minorBidi" w:cstheme="minorBidi"/>
        </w:rPr>
        <w:t xml:space="preserve">Table </w:t>
      </w:r>
      <w:r>
        <w:rPr>
          <w:rFonts w:asciiTheme="minorBidi" w:hAnsiTheme="minorBidi" w:cstheme="minorBidi"/>
        </w:rPr>
        <w:t>2</w:t>
      </w:r>
      <w:r w:rsidRPr="00D52640">
        <w:rPr>
          <w:rFonts w:asciiTheme="minorBidi" w:hAnsiTheme="minorBidi" w:cstheme="minorBidi"/>
        </w:rPr>
        <w:t xml:space="preserve">: </w:t>
      </w:r>
      <w:r>
        <w:rPr>
          <w:rFonts w:asciiTheme="minorBidi" w:hAnsiTheme="minorBidi" w:cstheme="minorBidi"/>
        </w:rPr>
        <w:t>ANOVA analysis of quadratic model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1"/>
        <w:gridCol w:w="1451"/>
        <w:gridCol w:w="361"/>
        <w:gridCol w:w="1241"/>
        <w:gridCol w:w="761"/>
        <w:gridCol w:w="866"/>
        <w:gridCol w:w="1176"/>
      </w:tblGrid>
      <w:tr w:rsidR="004C6D52" w:rsidRPr="004C6D52" w14:paraId="48846034" w14:textId="77777777" w:rsidTr="00D52640">
        <w:trPr>
          <w:tblCellSpacing w:w="15" w:type="dxa"/>
        </w:trPr>
        <w:tc>
          <w:tcPr>
            <w:tcW w:w="946" w:type="dxa"/>
            <w:tcBorders>
              <w:top w:val="single" w:sz="18" w:space="0" w:color="00B050"/>
            </w:tcBorders>
            <w:shd w:val="clear" w:color="auto" w:fill="FFFFFF"/>
            <w:vAlign w:val="center"/>
            <w:hideMark/>
          </w:tcPr>
          <w:p w14:paraId="3E0E3978"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Source</w:t>
            </w:r>
          </w:p>
        </w:tc>
        <w:tc>
          <w:tcPr>
            <w:tcW w:w="1421" w:type="dxa"/>
            <w:tcBorders>
              <w:top w:val="single" w:sz="18" w:space="0" w:color="00B050"/>
            </w:tcBorders>
            <w:shd w:val="clear" w:color="auto" w:fill="FFFFFF"/>
            <w:vAlign w:val="center"/>
            <w:hideMark/>
          </w:tcPr>
          <w:p w14:paraId="42BF7C6C"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Sum of Squares</w:t>
            </w:r>
          </w:p>
        </w:tc>
        <w:tc>
          <w:tcPr>
            <w:tcW w:w="331" w:type="dxa"/>
            <w:tcBorders>
              <w:top w:val="single" w:sz="18" w:space="0" w:color="00B050"/>
            </w:tcBorders>
            <w:shd w:val="clear" w:color="auto" w:fill="FFFFFF"/>
            <w:vAlign w:val="center"/>
            <w:hideMark/>
          </w:tcPr>
          <w:p w14:paraId="47150E2E"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df</w:t>
            </w:r>
          </w:p>
        </w:tc>
        <w:tc>
          <w:tcPr>
            <w:tcW w:w="1211" w:type="dxa"/>
            <w:tcBorders>
              <w:top w:val="single" w:sz="18" w:space="0" w:color="00B050"/>
            </w:tcBorders>
            <w:shd w:val="clear" w:color="auto" w:fill="FFFFFF"/>
            <w:vAlign w:val="center"/>
            <w:hideMark/>
          </w:tcPr>
          <w:p w14:paraId="0DCDD77A"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Mean Square</w:t>
            </w:r>
          </w:p>
        </w:tc>
        <w:tc>
          <w:tcPr>
            <w:tcW w:w="731" w:type="dxa"/>
            <w:tcBorders>
              <w:top w:val="single" w:sz="18" w:space="0" w:color="00B050"/>
            </w:tcBorders>
            <w:shd w:val="clear" w:color="auto" w:fill="FFFFFF"/>
            <w:vAlign w:val="center"/>
            <w:hideMark/>
          </w:tcPr>
          <w:p w14:paraId="2CD011DA"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F-value</w:t>
            </w:r>
          </w:p>
        </w:tc>
        <w:tc>
          <w:tcPr>
            <w:tcW w:w="836" w:type="dxa"/>
            <w:tcBorders>
              <w:top w:val="single" w:sz="18" w:space="0" w:color="00B050"/>
            </w:tcBorders>
            <w:shd w:val="clear" w:color="auto" w:fill="FFFFFF"/>
            <w:vAlign w:val="center"/>
            <w:hideMark/>
          </w:tcPr>
          <w:p w14:paraId="4549AA51"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p-value</w:t>
            </w:r>
          </w:p>
        </w:tc>
        <w:tc>
          <w:tcPr>
            <w:tcW w:w="0" w:type="auto"/>
            <w:tcBorders>
              <w:top w:val="single" w:sz="18" w:space="0" w:color="00B050"/>
            </w:tcBorders>
            <w:shd w:val="clear" w:color="auto" w:fill="FFFFFF"/>
            <w:vAlign w:val="center"/>
            <w:hideMark/>
          </w:tcPr>
          <w:p w14:paraId="3617C243" w14:textId="77777777" w:rsidR="004C6D52" w:rsidRPr="004C6D52" w:rsidRDefault="004C6D52" w:rsidP="004C6D52">
            <w:pPr>
              <w:jc w:val="left"/>
              <w:rPr>
                <w:rFonts w:asciiTheme="minorBidi" w:hAnsiTheme="minorBidi" w:cstheme="minorBidi"/>
                <w:color w:val="000000"/>
                <w:szCs w:val="18"/>
              </w:rPr>
            </w:pPr>
          </w:p>
        </w:tc>
      </w:tr>
      <w:tr w:rsidR="00D52640" w:rsidRPr="004C6D52" w14:paraId="08D175CA" w14:textId="77777777" w:rsidTr="00D52640">
        <w:trPr>
          <w:tblCellSpacing w:w="15" w:type="dxa"/>
        </w:trPr>
        <w:tc>
          <w:tcPr>
            <w:tcW w:w="946" w:type="dxa"/>
            <w:shd w:val="clear" w:color="auto" w:fill="FFFFFF"/>
            <w:vAlign w:val="center"/>
            <w:hideMark/>
          </w:tcPr>
          <w:p w14:paraId="196B78E5"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Model</w:t>
            </w:r>
          </w:p>
        </w:tc>
        <w:tc>
          <w:tcPr>
            <w:tcW w:w="1421" w:type="dxa"/>
            <w:shd w:val="clear" w:color="auto" w:fill="FFFFFF"/>
            <w:vAlign w:val="center"/>
            <w:hideMark/>
          </w:tcPr>
          <w:p w14:paraId="4B09A00A"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2452/93</w:t>
            </w:r>
          </w:p>
        </w:tc>
        <w:tc>
          <w:tcPr>
            <w:tcW w:w="331" w:type="dxa"/>
            <w:shd w:val="clear" w:color="auto" w:fill="FFFFFF"/>
            <w:vAlign w:val="center"/>
            <w:hideMark/>
          </w:tcPr>
          <w:p w14:paraId="4B4D77F9"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10</w:t>
            </w:r>
          </w:p>
        </w:tc>
        <w:tc>
          <w:tcPr>
            <w:tcW w:w="1211" w:type="dxa"/>
            <w:shd w:val="clear" w:color="auto" w:fill="FFFFFF"/>
            <w:vAlign w:val="center"/>
            <w:hideMark/>
          </w:tcPr>
          <w:p w14:paraId="76006B36"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245/29</w:t>
            </w:r>
          </w:p>
        </w:tc>
        <w:tc>
          <w:tcPr>
            <w:tcW w:w="731" w:type="dxa"/>
            <w:shd w:val="clear" w:color="auto" w:fill="FFFFFF"/>
            <w:vAlign w:val="center"/>
            <w:hideMark/>
          </w:tcPr>
          <w:p w14:paraId="091DFC11"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180/34</w:t>
            </w:r>
          </w:p>
        </w:tc>
        <w:tc>
          <w:tcPr>
            <w:tcW w:w="836" w:type="dxa"/>
            <w:shd w:val="clear" w:color="auto" w:fill="FFFFFF"/>
            <w:vAlign w:val="center"/>
            <w:hideMark/>
          </w:tcPr>
          <w:p w14:paraId="5E5BDEFB"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&lt; 0.0001</w:t>
            </w:r>
          </w:p>
        </w:tc>
        <w:tc>
          <w:tcPr>
            <w:tcW w:w="0" w:type="auto"/>
            <w:shd w:val="clear" w:color="auto" w:fill="FFFFFF"/>
            <w:vAlign w:val="center"/>
            <w:hideMark/>
          </w:tcPr>
          <w:p w14:paraId="058635FA"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significant</w:t>
            </w:r>
          </w:p>
        </w:tc>
      </w:tr>
      <w:tr w:rsidR="00D52640" w:rsidRPr="004C6D52" w14:paraId="03CD5B20" w14:textId="77777777" w:rsidTr="00D52640">
        <w:trPr>
          <w:tblCellSpacing w:w="15" w:type="dxa"/>
        </w:trPr>
        <w:tc>
          <w:tcPr>
            <w:tcW w:w="946" w:type="dxa"/>
            <w:shd w:val="clear" w:color="auto" w:fill="FFFFFF"/>
            <w:vAlign w:val="center"/>
            <w:hideMark/>
          </w:tcPr>
          <w:p w14:paraId="66A0822C" w14:textId="245B0E01"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A-</w:t>
            </w:r>
            <w:r w:rsidR="00756151">
              <w:rPr>
                <w:rFonts w:asciiTheme="minorBidi" w:hAnsiTheme="minorBidi" w:cstheme="minorBidi"/>
                <w:color w:val="000000"/>
                <w:szCs w:val="18"/>
              </w:rPr>
              <w:t xml:space="preserve"> </w:t>
            </w:r>
            <w:r w:rsidRPr="004C6D52">
              <w:rPr>
                <w:rFonts w:asciiTheme="minorBidi" w:hAnsiTheme="minorBidi" w:cstheme="minorBidi"/>
                <w:color w:val="000000"/>
                <w:szCs w:val="18"/>
              </w:rPr>
              <w:t>Volume</w:t>
            </w:r>
          </w:p>
        </w:tc>
        <w:tc>
          <w:tcPr>
            <w:tcW w:w="1421" w:type="dxa"/>
            <w:shd w:val="clear" w:color="auto" w:fill="FFFFFF"/>
            <w:vAlign w:val="center"/>
            <w:hideMark/>
          </w:tcPr>
          <w:p w14:paraId="36AED03D"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1102/45</w:t>
            </w:r>
          </w:p>
        </w:tc>
        <w:tc>
          <w:tcPr>
            <w:tcW w:w="331" w:type="dxa"/>
            <w:shd w:val="clear" w:color="auto" w:fill="FFFFFF"/>
            <w:vAlign w:val="center"/>
            <w:hideMark/>
          </w:tcPr>
          <w:p w14:paraId="6B779078"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w:t>
            </w:r>
          </w:p>
        </w:tc>
        <w:tc>
          <w:tcPr>
            <w:tcW w:w="1211" w:type="dxa"/>
            <w:shd w:val="clear" w:color="auto" w:fill="FFFFFF"/>
            <w:vAlign w:val="center"/>
            <w:hideMark/>
          </w:tcPr>
          <w:p w14:paraId="64EE4367"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1102/45</w:t>
            </w:r>
          </w:p>
        </w:tc>
        <w:tc>
          <w:tcPr>
            <w:tcW w:w="731" w:type="dxa"/>
            <w:shd w:val="clear" w:color="auto" w:fill="FFFFFF"/>
            <w:vAlign w:val="center"/>
            <w:hideMark/>
          </w:tcPr>
          <w:p w14:paraId="239CB158"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810/53</w:t>
            </w:r>
          </w:p>
        </w:tc>
        <w:tc>
          <w:tcPr>
            <w:tcW w:w="836" w:type="dxa"/>
            <w:shd w:val="clear" w:color="auto" w:fill="FFFFFF"/>
            <w:vAlign w:val="center"/>
            <w:hideMark/>
          </w:tcPr>
          <w:p w14:paraId="4D4C3829"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&lt; 0.0001</w:t>
            </w:r>
          </w:p>
        </w:tc>
        <w:tc>
          <w:tcPr>
            <w:tcW w:w="0" w:type="auto"/>
            <w:shd w:val="clear" w:color="auto" w:fill="FFFFFF"/>
            <w:vAlign w:val="center"/>
            <w:hideMark/>
          </w:tcPr>
          <w:p w14:paraId="001369C5" w14:textId="3D63BB62" w:rsidR="004C6D52" w:rsidRPr="004C6D52" w:rsidRDefault="00D52640" w:rsidP="004C6D52">
            <w:pPr>
              <w:jc w:val="left"/>
              <w:rPr>
                <w:rFonts w:asciiTheme="minorBidi" w:hAnsiTheme="minorBidi" w:cstheme="minorBidi"/>
                <w:color w:val="000000"/>
                <w:szCs w:val="18"/>
              </w:rPr>
            </w:pPr>
            <w:r w:rsidRPr="004C6D52">
              <w:rPr>
                <w:rFonts w:asciiTheme="minorBidi" w:hAnsiTheme="minorBidi" w:cstheme="minorBidi"/>
                <w:color w:val="000000"/>
                <w:szCs w:val="18"/>
              </w:rPr>
              <w:t>significant</w:t>
            </w:r>
          </w:p>
        </w:tc>
      </w:tr>
      <w:tr w:rsidR="00D52640" w:rsidRPr="004C6D52" w14:paraId="000AAD90" w14:textId="77777777" w:rsidTr="00D52640">
        <w:trPr>
          <w:tblCellSpacing w:w="15" w:type="dxa"/>
        </w:trPr>
        <w:tc>
          <w:tcPr>
            <w:tcW w:w="946" w:type="dxa"/>
            <w:shd w:val="clear" w:color="auto" w:fill="FFFFFF"/>
            <w:vAlign w:val="center"/>
            <w:hideMark/>
          </w:tcPr>
          <w:p w14:paraId="782D82B6" w14:textId="14F739E6"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B-</w:t>
            </w:r>
            <w:r w:rsidR="00756151">
              <w:rPr>
                <w:rFonts w:asciiTheme="minorBidi" w:hAnsiTheme="minorBidi" w:cstheme="minorBidi"/>
                <w:color w:val="000000"/>
                <w:szCs w:val="18"/>
              </w:rPr>
              <w:t xml:space="preserve"> </w:t>
            </w:r>
            <w:r w:rsidRPr="004C6D52">
              <w:rPr>
                <w:rFonts w:asciiTheme="minorBidi" w:hAnsiTheme="minorBidi" w:cstheme="minorBidi"/>
                <w:color w:val="000000"/>
                <w:szCs w:val="18"/>
              </w:rPr>
              <w:t>C</w:t>
            </w:r>
            <w:r w:rsidRPr="004C6D52">
              <w:rPr>
                <w:rFonts w:asciiTheme="minorBidi" w:hAnsiTheme="minorBidi" w:cstheme="minorBidi"/>
                <w:color w:val="000000"/>
                <w:szCs w:val="18"/>
                <w:vertAlign w:val="subscript"/>
              </w:rPr>
              <w:t>0</w:t>
            </w:r>
          </w:p>
        </w:tc>
        <w:tc>
          <w:tcPr>
            <w:tcW w:w="1421" w:type="dxa"/>
            <w:shd w:val="clear" w:color="auto" w:fill="FFFFFF"/>
            <w:vAlign w:val="center"/>
            <w:hideMark/>
          </w:tcPr>
          <w:p w14:paraId="04FC6E6F"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99/35</w:t>
            </w:r>
          </w:p>
        </w:tc>
        <w:tc>
          <w:tcPr>
            <w:tcW w:w="331" w:type="dxa"/>
            <w:shd w:val="clear" w:color="auto" w:fill="FFFFFF"/>
            <w:vAlign w:val="center"/>
            <w:hideMark/>
          </w:tcPr>
          <w:p w14:paraId="63255264"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w:t>
            </w:r>
          </w:p>
        </w:tc>
        <w:tc>
          <w:tcPr>
            <w:tcW w:w="1211" w:type="dxa"/>
            <w:shd w:val="clear" w:color="auto" w:fill="FFFFFF"/>
            <w:vAlign w:val="center"/>
            <w:hideMark/>
          </w:tcPr>
          <w:p w14:paraId="29D6BDC4"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99/35</w:t>
            </w:r>
          </w:p>
        </w:tc>
        <w:tc>
          <w:tcPr>
            <w:tcW w:w="731" w:type="dxa"/>
            <w:shd w:val="clear" w:color="auto" w:fill="FFFFFF"/>
            <w:vAlign w:val="center"/>
            <w:hideMark/>
          </w:tcPr>
          <w:p w14:paraId="2E3AD036"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73/04</w:t>
            </w:r>
          </w:p>
        </w:tc>
        <w:tc>
          <w:tcPr>
            <w:tcW w:w="836" w:type="dxa"/>
            <w:shd w:val="clear" w:color="auto" w:fill="FFFFFF"/>
            <w:vAlign w:val="center"/>
            <w:hideMark/>
          </w:tcPr>
          <w:p w14:paraId="21527073"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&lt; 0.0001</w:t>
            </w:r>
          </w:p>
        </w:tc>
        <w:tc>
          <w:tcPr>
            <w:tcW w:w="0" w:type="auto"/>
            <w:shd w:val="clear" w:color="auto" w:fill="FFFFFF"/>
            <w:vAlign w:val="center"/>
            <w:hideMark/>
          </w:tcPr>
          <w:p w14:paraId="72B0B488" w14:textId="36186ACE" w:rsidR="004C6D52" w:rsidRPr="004C6D52" w:rsidRDefault="00D52640" w:rsidP="004C6D52">
            <w:pPr>
              <w:jc w:val="left"/>
              <w:rPr>
                <w:rFonts w:asciiTheme="minorBidi" w:hAnsiTheme="minorBidi" w:cstheme="minorBidi"/>
                <w:color w:val="000000"/>
                <w:szCs w:val="18"/>
              </w:rPr>
            </w:pPr>
            <w:r w:rsidRPr="004C6D52">
              <w:rPr>
                <w:rFonts w:asciiTheme="minorBidi" w:hAnsiTheme="minorBidi" w:cstheme="minorBidi"/>
                <w:color w:val="000000"/>
                <w:szCs w:val="18"/>
              </w:rPr>
              <w:t>significant</w:t>
            </w:r>
          </w:p>
        </w:tc>
      </w:tr>
      <w:tr w:rsidR="00D52640" w:rsidRPr="004C6D52" w14:paraId="251F7153" w14:textId="77777777" w:rsidTr="00D52640">
        <w:trPr>
          <w:tblCellSpacing w:w="15" w:type="dxa"/>
        </w:trPr>
        <w:tc>
          <w:tcPr>
            <w:tcW w:w="946" w:type="dxa"/>
            <w:shd w:val="clear" w:color="auto" w:fill="FFFFFF"/>
            <w:vAlign w:val="center"/>
            <w:hideMark/>
          </w:tcPr>
          <w:p w14:paraId="34B10D02" w14:textId="6B74E2F3"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C-</w:t>
            </w:r>
            <w:r w:rsidR="00756151">
              <w:rPr>
                <w:rFonts w:asciiTheme="minorBidi" w:hAnsiTheme="minorBidi" w:cstheme="minorBidi"/>
                <w:color w:val="000000"/>
                <w:szCs w:val="18"/>
              </w:rPr>
              <w:t xml:space="preserve"> </w:t>
            </w:r>
            <w:r w:rsidRPr="004C6D52">
              <w:rPr>
                <w:rFonts w:asciiTheme="minorBidi" w:hAnsiTheme="minorBidi" w:cstheme="minorBidi"/>
                <w:color w:val="000000"/>
                <w:szCs w:val="18"/>
              </w:rPr>
              <w:t>hold up</w:t>
            </w:r>
          </w:p>
        </w:tc>
        <w:tc>
          <w:tcPr>
            <w:tcW w:w="1421" w:type="dxa"/>
            <w:shd w:val="clear" w:color="auto" w:fill="FFFFFF"/>
            <w:vAlign w:val="center"/>
            <w:hideMark/>
          </w:tcPr>
          <w:p w14:paraId="074CD934"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627/03</w:t>
            </w:r>
          </w:p>
        </w:tc>
        <w:tc>
          <w:tcPr>
            <w:tcW w:w="331" w:type="dxa"/>
            <w:shd w:val="clear" w:color="auto" w:fill="FFFFFF"/>
            <w:vAlign w:val="center"/>
            <w:hideMark/>
          </w:tcPr>
          <w:p w14:paraId="2A3547FB"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w:t>
            </w:r>
          </w:p>
        </w:tc>
        <w:tc>
          <w:tcPr>
            <w:tcW w:w="1211" w:type="dxa"/>
            <w:shd w:val="clear" w:color="auto" w:fill="FFFFFF"/>
            <w:vAlign w:val="center"/>
            <w:hideMark/>
          </w:tcPr>
          <w:p w14:paraId="5917227A"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627/03</w:t>
            </w:r>
          </w:p>
        </w:tc>
        <w:tc>
          <w:tcPr>
            <w:tcW w:w="731" w:type="dxa"/>
            <w:shd w:val="clear" w:color="auto" w:fill="FFFFFF"/>
            <w:vAlign w:val="center"/>
            <w:hideMark/>
          </w:tcPr>
          <w:p w14:paraId="6792884C"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460/99</w:t>
            </w:r>
          </w:p>
        </w:tc>
        <w:tc>
          <w:tcPr>
            <w:tcW w:w="836" w:type="dxa"/>
            <w:shd w:val="clear" w:color="auto" w:fill="FFFFFF"/>
            <w:vAlign w:val="center"/>
            <w:hideMark/>
          </w:tcPr>
          <w:p w14:paraId="7B83AD9D"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&lt; 0.0001</w:t>
            </w:r>
          </w:p>
        </w:tc>
        <w:tc>
          <w:tcPr>
            <w:tcW w:w="0" w:type="auto"/>
            <w:shd w:val="clear" w:color="auto" w:fill="FFFFFF"/>
            <w:vAlign w:val="center"/>
            <w:hideMark/>
          </w:tcPr>
          <w:p w14:paraId="05A8505B" w14:textId="61C63042" w:rsidR="004C6D52" w:rsidRPr="004C6D52" w:rsidRDefault="00D52640" w:rsidP="004C6D52">
            <w:pPr>
              <w:jc w:val="left"/>
              <w:rPr>
                <w:rFonts w:asciiTheme="minorBidi" w:hAnsiTheme="minorBidi" w:cstheme="minorBidi"/>
                <w:color w:val="000000"/>
                <w:szCs w:val="18"/>
              </w:rPr>
            </w:pPr>
            <w:r w:rsidRPr="004C6D52">
              <w:rPr>
                <w:rFonts w:asciiTheme="minorBidi" w:hAnsiTheme="minorBidi" w:cstheme="minorBidi"/>
                <w:color w:val="000000"/>
                <w:szCs w:val="18"/>
              </w:rPr>
              <w:t>significant</w:t>
            </w:r>
          </w:p>
        </w:tc>
      </w:tr>
      <w:tr w:rsidR="00D52640" w:rsidRPr="004C6D52" w14:paraId="3632FB6B" w14:textId="77777777" w:rsidTr="00D52640">
        <w:trPr>
          <w:tblCellSpacing w:w="15" w:type="dxa"/>
        </w:trPr>
        <w:tc>
          <w:tcPr>
            <w:tcW w:w="946" w:type="dxa"/>
            <w:shd w:val="clear" w:color="auto" w:fill="FFFFFF"/>
            <w:vAlign w:val="center"/>
            <w:hideMark/>
          </w:tcPr>
          <w:p w14:paraId="424B54D2" w14:textId="7E337F88"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D-</w:t>
            </w:r>
            <w:r w:rsidR="00756151">
              <w:rPr>
                <w:rFonts w:asciiTheme="minorBidi" w:hAnsiTheme="minorBidi" w:cstheme="minorBidi"/>
                <w:color w:val="000000"/>
                <w:szCs w:val="18"/>
              </w:rPr>
              <w:t xml:space="preserve"> </w:t>
            </w:r>
            <w:r w:rsidRPr="004C6D52">
              <w:rPr>
                <w:rFonts w:asciiTheme="minorBidi" w:hAnsiTheme="minorBidi" w:cstheme="minorBidi"/>
                <w:color w:val="000000"/>
                <w:szCs w:val="18"/>
              </w:rPr>
              <w:t>T</w:t>
            </w:r>
          </w:p>
        </w:tc>
        <w:tc>
          <w:tcPr>
            <w:tcW w:w="1421" w:type="dxa"/>
            <w:shd w:val="clear" w:color="auto" w:fill="FFFFFF"/>
            <w:vAlign w:val="center"/>
            <w:hideMark/>
          </w:tcPr>
          <w:p w14:paraId="5F01C3B2"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45/09</w:t>
            </w:r>
          </w:p>
        </w:tc>
        <w:tc>
          <w:tcPr>
            <w:tcW w:w="331" w:type="dxa"/>
            <w:shd w:val="clear" w:color="auto" w:fill="FFFFFF"/>
            <w:vAlign w:val="center"/>
            <w:hideMark/>
          </w:tcPr>
          <w:p w14:paraId="61BD6179"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w:t>
            </w:r>
          </w:p>
        </w:tc>
        <w:tc>
          <w:tcPr>
            <w:tcW w:w="1211" w:type="dxa"/>
            <w:shd w:val="clear" w:color="auto" w:fill="FFFFFF"/>
            <w:vAlign w:val="center"/>
            <w:hideMark/>
          </w:tcPr>
          <w:p w14:paraId="395148AE"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45/09</w:t>
            </w:r>
          </w:p>
        </w:tc>
        <w:tc>
          <w:tcPr>
            <w:tcW w:w="731" w:type="dxa"/>
            <w:shd w:val="clear" w:color="auto" w:fill="FFFFFF"/>
            <w:vAlign w:val="center"/>
            <w:hideMark/>
          </w:tcPr>
          <w:p w14:paraId="7E5E205C"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33/15</w:t>
            </w:r>
          </w:p>
        </w:tc>
        <w:tc>
          <w:tcPr>
            <w:tcW w:w="836" w:type="dxa"/>
            <w:shd w:val="clear" w:color="auto" w:fill="FFFFFF"/>
            <w:vAlign w:val="center"/>
            <w:hideMark/>
          </w:tcPr>
          <w:p w14:paraId="7C0C71DD"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&lt; 0.0001</w:t>
            </w:r>
          </w:p>
        </w:tc>
        <w:tc>
          <w:tcPr>
            <w:tcW w:w="0" w:type="auto"/>
            <w:shd w:val="clear" w:color="auto" w:fill="FFFFFF"/>
            <w:vAlign w:val="center"/>
            <w:hideMark/>
          </w:tcPr>
          <w:p w14:paraId="047922A6" w14:textId="0B364280" w:rsidR="004C6D52" w:rsidRPr="004C6D52" w:rsidRDefault="00D52640" w:rsidP="004C6D52">
            <w:pPr>
              <w:jc w:val="left"/>
              <w:rPr>
                <w:rFonts w:asciiTheme="minorBidi" w:hAnsiTheme="minorBidi" w:cstheme="minorBidi"/>
                <w:color w:val="000000"/>
                <w:szCs w:val="18"/>
              </w:rPr>
            </w:pPr>
            <w:r w:rsidRPr="004C6D52">
              <w:rPr>
                <w:rFonts w:asciiTheme="minorBidi" w:hAnsiTheme="minorBidi" w:cstheme="minorBidi"/>
                <w:color w:val="000000"/>
                <w:szCs w:val="18"/>
              </w:rPr>
              <w:t>significant</w:t>
            </w:r>
          </w:p>
        </w:tc>
      </w:tr>
      <w:tr w:rsidR="00D52640" w:rsidRPr="004C6D52" w14:paraId="31466E69" w14:textId="77777777" w:rsidTr="00D52640">
        <w:trPr>
          <w:tblCellSpacing w:w="15" w:type="dxa"/>
        </w:trPr>
        <w:tc>
          <w:tcPr>
            <w:tcW w:w="946" w:type="dxa"/>
            <w:shd w:val="clear" w:color="auto" w:fill="FFFFFF"/>
            <w:vAlign w:val="center"/>
            <w:hideMark/>
          </w:tcPr>
          <w:p w14:paraId="5CE40BCA"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AB</w:t>
            </w:r>
          </w:p>
        </w:tc>
        <w:tc>
          <w:tcPr>
            <w:tcW w:w="1421" w:type="dxa"/>
            <w:shd w:val="clear" w:color="auto" w:fill="FFFFFF"/>
            <w:vAlign w:val="center"/>
            <w:hideMark/>
          </w:tcPr>
          <w:p w14:paraId="33A52F02"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40/70</w:t>
            </w:r>
          </w:p>
        </w:tc>
        <w:tc>
          <w:tcPr>
            <w:tcW w:w="331" w:type="dxa"/>
            <w:shd w:val="clear" w:color="auto" w:fill="FFFFFF"/>
            <w:vAlign w:val="center"/>
            <w:hideMark/>
          </w:tcPr>
          <w:p w14:paraId="63092568"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w:t>
            </w:r>
          </w:p>
        </w:tc>
        <w:tc>
          <w:tcPr>
            <w:tcW w:w="1211" w:type="dxa"/>
            <w:shd w:val="clear" w:color="auto" w:fill="FFFFFF"/>
            <w:vAlign w:val="center"/>
            <w:hideMark/>
          </w:tcPr>
          <w:p w14:paraId="70ED0422"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40/70</w:t>
            </w:r>
          </w:p>
        </w:tc>
        <w:tc>
          <w:tcPr>
            <w:tcW w:w="731" w:type="dxa"/>
            <w:shd w:val="clear" w:color="auto" w:fill="FFFFFF"/>
            <w:vAlign w:val="center"/>
            <w:hideMark/>
          </w:tcPr>
          <w:p w14:paraId="4FC48822"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29/92</w:t>
            </w:r>
          </w:p>
        </w:tc>
        <w:tc>
          <w:tcPr>
            <w:tcW w:w="836" w:type="dxa"/>
            <w:shd w:val="clear" w:color="auto" w:fill="FFFFFF"/>
            <w:vAlign w:val="center"/>
            <w:hideMark/>
          </w:tcPr>
          <w:p w14:paraId="41A75CE3"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&lt; 0.0001</w:t>
            </w:r>
          </w:p>
        </w:tc>
        <w:tc>
          <w:tcPr>
            <w:tcW w:w="0" w:type="auto"/>
            <w:shd w:val="clear" w:color="auto" w:fill="FFFFFF"/>
            <w:vAlign w:val="center"/>
            <w:hideMark/>
          </w:tcPr>
          <w:p w14:paraId="4CA356D1" w14:textId="3BA1D8E7" w:rsidR="004C6D52" w:rsidRPr="004C6D52" w:rsidRDefault="00D52640" w:rsidP="004C6D52">
            <w:pPr>
              <w:jc w:val="left"/>
              <w:rPr>
                <w:rFonts w:asciiTheme="minorBidi" w:hAnsiTheme="minorBidi" w:cstheme="minorBidi"/>
                <w:color w:val="000000"/>
                <w:szCs w:val="18"/>
              </w:rPr>
            </w:pPr>
            <w:r w:rsidRPr="004C6D52">
              <w:rPr>
                <w:rFonts w:asciiTheme="minorBidi" w:hAnsiTheme="minorBidi" w:cstheme="minorBidi"/>
                <w:color w:val="000000"/>
                <w:szCs w:val="18"/>
              </w:rPr>
              <w:t>significant</w:t>
            </w:r>
          </w:p>
        </w:tc>
      </w:tr>
      <w:tr w:rsidR="00D52640" w:rsidRPr="004C6D52" w14:paraId="0E87BAA3" w14:textId="77777777" w:rsidTr="00D52640">
        <w:trPr>
          <w:tblCellSpacing w:w="15" w:type="dxa"/>
        </w:trPr>
        <w:tc>
          <w:tcPr>
            <w:tcW w:w="946" w:type="dxa"/>
            <w:shd w:val="clear" w:color="auto" w:fill="FFFFFF"/>
            <w:vAlign w:val="center"/>
            <w:hideMark/>
          </w:tcPr>
          <w:p w14:paraId="76068DDB"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AC</w:t>
            </w:r>
          </w:p>
        </w:tc>
        <w:tc>
          <w:tcPr>
            <w:tcW w:w="1421" w:type="dxa"/>
            <w:shd w:val="clear" w:color="auto" w:fill="FFFFFF"/>
            <w:vAlign w:val="center"/>
            <w:hideMark/>
          </w:tcPr>
          <w:p w14:paraId="747CF0FC"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46/37</w:t>
            </w:r>
          </w:p>
        </w:tc>
        <w:tc>
          <w:tcPr>
            <w:tcW w:w="331" w:type="dxa"/>
            <w:shd w:val="clear" w:color="auto" w:fill="FFFFFF"/>
            <w:vAlign w:val="center"/>
            <w:hideMark/>
          </w:tcPr>
          <w:p w14:paraId="7835D912"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w:t>
            </w:r>
          </w:p>
        </w:tc>
        <w:tc>
          <w:tcPr>
            <w:tcW w:w="1211" w:type="dxa"/>
            <w:shd w:val="clear" w:color="auto" w:fill="FFFFFF"/>
            <w:vAlign w:val="center"/>
            <w:hideMark/>
          </w:tcPr>
          <w:p w14:paraId="44D58C89"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46/37</w:t>
            </w:r>
          </w:p>
        </w:tc>
        <w:tc>
          <w:tcPr>
            <w:tcW w:w="731" w:type="dxa"/>
            <w:shd w:val="clear" w:color="auto" w:fill="FFFFFF"/>
            <w:vAlign w:val="center"/>
            <w:hideMark/>
          </w:tcPr>
          <w:p w14:paraId="4F7D4D7E"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34/09</w:t>
            </w:r>
          </w:p>
        </w:tc>
        <w:tc>
          <w:tcPr>
            <w:tcW w:w="836" w:type="dxa"/>
            <w:shd w:val="clear" w:color="auto" w:fill="FFFFFF"/>
            <w:vAlign w:val="center"/>
            <w:hideMark/>
          </w:tcPr>
          <w:p w14:paraId="1512BFEE"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&lt; 0.0001</w:t>
            </w:r>
          </w:p>
        </w:tc>
        <w:tc>
          <w:tcPr>
            <w:tcW w:w="0" w:type="auto"/>
            <w:shd w:val="clear" w:color="auto" w:fill="FFFFFF"/>
            <w:vAlign w:val="center"/>
            <w:hideMark/>
          </w:tcPr>
          <w:p w14:paraId="0B59C92F" w14:textId="4B0AFCCB" w:rsidR="004C6D52" w:rsidRPr="004C6D52" w:rsidRDefault="00D52640" w:rsidP="004C6D52">
            <w:pPr>
              <w:jc w:val="left"/>
              <w:rPr>
                <w:rFonts w:asciiTheme="minorBidi" w:hAnsiTheme="minorBidi" w:cstheme="minorBidi"/>
                <w:color w:val="000000"/>
                <w:szCs w:val="18"/>
              </w:rPr>
            </w:pPr>
            <w:r w:rsidRPr="004C6D52">
              <w:rPr>
                <w:rFonts w:asciiTheme="minorBidi" w:hAnsiTheme="minorBidi" w:cstheme="minorBidi"/>
                <w:color w:val="000000"/>
                <w:szCs w:val="18"/>
              </w:rPr>
              <w:t>significant</w:t>
            </w:r>
          </w:p>
        </w:tc>
      </w:tr>
      <w:tr w:rsidR="00D52640" w:rsidRPr="004C6D52" w14:paraId="4888500D" w14:textId="77777777" w:rsidTr="00D52640">
        <w:trPr>
          <w:tblCellSpacing w:w="15" w:type="dxa"/>
        </w:trPr>
        <w:tc>
          <w:tcPr>
            <w:tcW w:w="946" w:type="dxa"/>
            <w:shd w:val="clear" w:color="auto" w:fill="FFFFFF"/>
            <w:vAlign w:val="center"/>
            <w:hideMark/>
          </w:tcPr>
          <w:p w14:paraId="080FB94A"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BC</w:t>
            </w:r>
          </w:p>
        </w:tc>
        <w:tc>
          <w:tcPr>
            <w:tcW w:w="1421" w:type="dxa"/>
            <w:shd w:val="clear" w:color="auto" w:fill="FFFFFF"/>
            <w:vAlign w:val="center"/>
            <w:hideMark/>
          </w:tcPr>
          <w:p w14:paraId="5E43F697"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73/77</w:t>
            </w:r>
          </w:p>
        </w:tc>
        <w:tc>
          <w:tcPr>
            <w:tcW w:w="331" w:type="dxa"/>
            <w:shd w:val="clear" w:color="auto" w:fill="FFFFFF"/>
            <w:vAlign w:val="center"/>
            <w:hideMark/>
          </w:tcPr>
          <w:p w14:paraId="7057ED39"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w:t>
            </w:r>
          </w:p>
        </w:tc>
        <w:tc>
          <w:tcPr>
            <w:tcW w:w="1211" w:type="dxa"/>
            <w:shd w:val="clear" w:color="auto" w:fill="FFFFFF"/>
            <w:vAlign w:val="center"/>
            <w:hideMark/>
          </w:tcPr>
          <w:p w14:paraId="783492E6"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73/77</w:t>
            </w:r>
          </w:p>
        </w:tc>
        <w:tc>
          <w:tcPr>
            <w:tcW w:w="731" w:type="dxa"/>
            <w:shd w:val="clear" w:color="auto" w:fill="FFFFFF"/>
            <w:vAlign w:val="center"/>
            <w:hideMark/>
          </w:tcPr>
          <w:p w14:paraId="13F470AD"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54/24</w:t>
            </w:r>
          </w:p>
        </w:tc>
        <w:tc>
          <w:tcPr>
            <w:tcW w:w="836" w:type="dxa"/>
            <w:shd w:val="clear" w:color="auto" w:fill="FFFFFF"/>
            <w:vAlign w:val="center"/>
            <w:hideMark/>
          </w:tcPr>
          <w:p w14:paraId="23935EB6"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&lt; 0.0001</w:t>
            </w:r>
          </w:p>
        </w:tc>
        <w:tc>
          <w:tcPr>
            <w:tcW w:w="0" w:type="auto"/>
            <w:shd w:val="clear" w:color="auto" w:fill="FFFFFF"/>
            <w:vAlign w:val="center"/>
            <w:hideMark/>
          </w:tcPr>
          <w:p w14:paraId="67A538FE" w14:textId="7F90E0A4" w:rsidR="004C6D52" w:rsidRPr="004C6D52" w:rsidRDefault="00D52640" w:rsidP="004C6D52">
            <w:pPr>
              <w:jc w:val="left"/>
              <w:rPr>
                <w:rFonts w:asciiTheme="minorBidi" w:hAnsiTheme="minorBidi" w:cstheme="minorBidi"/>
                <w:color w:val="000000"/>
                <w:szCs w:val="18"/>
              </w:rPr>
            </w:pPr>
            <w:r w:rsidRPr="004C6D52">
              <w:rPr>
                <w:rFonts w:asciiTheme="minorBidi" w:hAnsiTheme="minorBidi" w:cstheme="minorBidi"/>
                <w:color w:val="000000"/>
                <w:szCs w:val="18"/>
              </w:rPr>
              <w:t>significant</w:t>
            </w:r>
          </w:p>
        </w:tc>
      </w:tr>
      <w:tr w:rsidR="00D52640" w:rsidRPr="004C6D52" w14:paraId="39651743" w14:textId="77777777" w:rsidTr="00D52640">
        <w:trPr>
          <w:tblCellSpacing w:w="15" w:type="dxa"/>
        </w:trPr>
        <w:tc>
          <w:tcPr>
            <w:tcW w:w="946" w:type="dxa"/>
            <w:shd w:val="clear" w:color="auto" w:fill="FFFFFF"/>
            <w:vAlign w:val="center"/>
            <w:hideMark/>
          </w:tcPr>
          <w:p w14:paraId="3073CC27"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CD</w:t>
            </w:r>
          </w:p>
        </w:tc>
        <w:tc>
          <w:tcPr>
            <w:tcW w:w="1421" w:type="dxa"/>
            <w:shd w:val="clear" w:color="auto" w:fill="FFFFFF"/>
            <w:vAlign w:val="center"/>
            <w:hideMark/>
          </w:tcPr>
          <w:p w14:paraId="656BCE4E"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52/00</w:t>
            </w:r>
          </w:p>
        </w:tc>
        <w:tc>
          <w:tcPr>
            <w:tcW w:w="331" w:type="dxa"/>
            <w:shd w:val="clear" w:color="auto" w:fill="FFFFFF"/>
            <w:vAlign w:val="center"/>
            <w:hideMark/>
          </w:tcPr>
          <w:p w14:paraId="73D673E1"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w:t>
            </w:r>
          </w:p>
        </w:tc>
        <w:tc>
          <w:tcPr>
            <w:tcW w:w="1211" w:type="dxa"/>
            <w:shd w:val="clear" w:color="auto" w:fill="FFFFFF"/>
            <w:vAlign w:val="center"/>
            <w:hideMark/>
          </w:tcPr>
          <w:p w14:paraId="05286E03"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52/00</w:t>
            </w:r>
          </w:p>
        </w:tc>
        <w:tc>
          <w:tcPr>
            <w:tcW w:w="731" w:type="dxa"/>
            <w:shd w:val="clear" w:color="auto" w:fill="FFFFFF"/>
            <w:vAlign w:val="center"/>
            <w:hideMark/>
          </w:tcPr>
          <w:p w14:paraId="7B111286"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38/23</w:t>
            </w:r>
          </w:p>
        </w:tc>
        <w:tc>
          <w:tcPr>
            <w:tcW w:w="836" w:type="dxa"/>
            <w:shd w:val="clear" w:color="auto" w:fill="FFFFFF"/>
            <w:vAlign w:val="center"/>
            <w:hideMark/>
          </w:tcPr>
          <w:p w14:paraId="590089AD"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&lt; 0.0001</w:t>
            </w:r>
          </w:p>
        </w:tc>
        <w:tc>
          <w:tcPr>
            <w:tcW w:w="0" w:type="auto"/>
            <w:shd w:val="clear" w:color="auto" w:fill="FFFFFF"/>
            <w:vAlign w:val="center"/>
            <w:hideMark/>
          </w:tcPr>
          <w:p w14:paraId="04AE9A60" w14:textId="7406FF2B" w:rsidR="004C6D52" w:rsidRPr="004C6D52" w:rsidRDefault="00D52640" w:rsidP="004C6D52">
            <w:pPr>
              <w:jc w:val="left"/>
              <w:rPr>
                <w:rFonts w:asciiTheme="minorBidi" w:hAnsiTheme="minorBidi" w:cstheme="minorBidi"/>
                <w:color w:val="000000"/>
                <w:szCs w:val="18"/>
              </w:rPr>
            </w:pPr>
            <w:r w:rsidRPr="004C6D52">
              <w:rPr>
                <w:rFonts w:asciiTheme="minorBidi" w:hAnsiTheme="minorBidi" w:cstheme="minorBidi"/>
                <w:color w:val="000000"/>
                <w:szCs w:val="18"/>
              </w:rPr>
              <w:t>significant</w:t>
            </w:r>
          </w:p>
        </w:tc>
      </w:tr>
      <w:tr w:rsidR="00D52640" w:rsidRPr="004C6D52" w14:paraId="71680C2F" w14:textId="77777777" w:rsidTr="00D52640">
        <w:trPr>
          <w:tblCellSpacing w:w="15" w:type="dxa"/>
        </w:trPr>
        <w:tc>
          <w:tcPr>
            <w:tcW w:w="946" w:type="dxa"/>
            <w:shd w:val="clear" w:color="auto" w:fill="FFFFFF"/>
            <w:vAlign w:val="center"/>
            <w:hideMark/>
          </w:tcPr>
          <w:p w14:paraId="763A3CA1"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B²</w:t>
            </w:r>
          </w:p>
        </w:tc>
        <w:tc>
          <w:tcPr>
            <w:tcW w:w="1421" w:type="dxa"/>
            <w:shd w:val="clear" w:color="auto" w:fill="FFFFFF"/>
            <w:vAlign w:val="center"/>
            <w:hideMark/>
          </w:tcPr>
          <w:p w14:paraId="3334DDC8"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16/87</w:t>
            </w:r>
          </w:p>
        </w:tc>
        <w:tc>
          <w:tcPr>
            <w:tcW w:w="331" w:type="dxa"/>
            <w:shd w:val="clear" w:color="auto" w:fill="FFFFFF"/>
            <w:vAlign w:val="center"/>
            <w:hideMark/>
          </w:tcPr>
          <w:p w14:paraId="0E2D0DB6"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w:t>
            </w:r>
          </w:p>
        </w:tc>
        <w:tc>
          <w:tcPr>
            <w:tcW w:w="1211" w:type="dxa"/>
            <w:shd w:val="clear" w:color="auto" w:fill="FFFFFF"/>
            <w:vAlign w:val="center"/>
            <w:hideMark/>
          </w:tcPr>
          <w:p w14:paraId="7173C09A"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16/87</w:t>
            </w:r>
          </w:p>
        </w:tc>
        <w:tc>
          <w:tcPr>
            <w:tcW w:w="731" w:type="dxa"/>
            <w:shd w:val="clear" w:color="auto" w:fill="FFFFFF"/>
            <w:vAlign w:val="center"/>
            <w:hideMark/>
          </w:tcPr>
          <w:p w14:paraId="00B0CAB6"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12/40</w:t>
            </w:r>
          </w:p>
        </w:tc>
        <w:tc>
          <w:tcPr>
            <w:tcW w:w="836" w:type="dxa"/>
            <w:shd w:val="clear" w:color="auto" w:fill="FFFFFF"/>
            <w:vAlign w:val="center"/>
            <w:hideMark/>
          </w:tcPr>
          <w:p w14:paraId="195D57D9"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0/0034</w:t>
            </w:r>
          </w:p>
        </w:tc>
        <w:tc>
          <w:tcPr>
            <w:tcW w:w="0" w:type="auto"/>
            <w:shd w:val="clear" w:color="auto" w:fill="FFFFFF"/>
            <w:vAlign w:val="center"/>
            <w:hideMark/>
          </w:tcPr>
          <w:p w14:paraId="2CFFEE5C" w14:textId="24296729" w:rsidR="004C6D52" w:rsidRPr="004C6D52" w:rsidRDefault="00D52640" w:rsidP="004C6D52">
            <w:pPr>
              <w:jc w:val="left"/>
              <w:rPr>
                <w:rFonts w:asciiTheme="minorBidi" w:hAnsiTheme="minorBidi" w:cstheme="minorBidi"/>
                <w:color w:val="000000"/>
                <w:szCs w:val="18"/>
              </w:rPr>
            </w:pPr>
            <w:r w:rsidRPr="004C6D52">
              <w:rPr>
                <w:rFonts w:asciiTheme="minorBidi" w:hAnsiTheme="minorBidi" w:cstheme="minorBidi"/>
                <w:color w:val="000000"/>
                <w:szCs w:val="18"/>
              </w:rPr>
              <w:t>significant</w:t>
            </w:r>
          </w:p>
        </w:tc>
      </w:tr>
      <w:tr w:rsidR="00D52640" w:rsidRPr="004C6D52" w14:paraId="1D55EC12" w14:textId="77777777" w:rsidTr="00D52640">
        <w:trPr>
          <w:tblCellSpacing w:w="15" w:type="dxa"/>
        </w:trPr>
        <w:tc>
          <w:tcPr>
            <w:tcW w:w="946" w:type="dxa"/>
            <w:shd w:val="clear" w:color="auto" w:fill="FFFFFF"/>
            <w:vAlign w:val="center"/>
            <w:hideMark/>
          </w:tcPr>
          <w:p w14:paraId="3FA85794"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C²</w:t>
            </w:r>
          </w:p>
        </w:tc>
        <w:tc>
          <w:tcPr>
            <w:tcW w:w="1421" w:type="dxa"/>
            <w:shd w:val="clear" w:color="auto" w:fill="FFFFFF"/>
            <w:vAlign w:val="center"/>
            <w:hideMark/>
          </w:tcPr>
          <w:p w14:paraId="3834AB99"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221/20</w:t>
            </w:r>
          </w:p>
        </w:tc>
        <w:tc>
          <w:tcPr>
            <w:tcW w:w="331" w:type="dxa"/>
            <w:shd w:val="clear" w:color="auto" w:fill="FFFFFF"/>
            <w:vAlign w:val="center"/>
            <w:hideMark/>
          </w:tcPr>
          <w:p w14:paraId="57A7D676"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w:t>
            </w:r>
          </w:p>
        </w:tc>
        <w:tc>
          <w:tcPr>
            <w:tcW w:w="1211" w:type="dxa"/>
            <w:shd w:val="clear" w:color="auto" w:fill="FFFFFF"/>
            <w:vAlign w:val="center"/>
            <w:hideMark/>
          </w:tcPr>
          <w:p w14:paraId="5CDB4A74"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221/20</w:t>
            </w:r>
          </w:p>
        </w:tc>
        <w:tc>
          <w:tcPr>
            <w:tcW w:w="731" w:type="dxa"/>
            <w:shd w:val="clear" w:color="auto" w:fill="FFFFFF"/>
            <w:vAlign w:val="center"/>
            <w:hideMark/>
          </w:tcPr>
          <w:p w14:paraId="63C418F5"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162/63</w:t>
            </w:r>
          </w:p>
        </w:tc>
        <w:tc>
          <w:tcPr>
            <w:tcW w:w="836" w:type="dxa"/>
            <w:shd w:val="clear" w:color="auto" w:fill="FFFFFF"/>
            <w:vAlign w:val="center"/>
            <w:hideMark/>
          </w:tcPr>
          <w:p w14:paraId="74FE6084"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&lt; 0.0001</w:t>
            </w:r>
          </w:p>
        </w:tc>
        <w:tc>
          <w:tcPr>
            <w:tcW w:w="0" w:type="auto"/>
            <w:shd w:val="clear" w:color="auto" w:fill="FFFFFF"/>
            <w:vAlign w:val="center"/>
            <w:hideMark/>
          </w:tcPr>
          <w:p w14:paraId="5DC9AF46" w14:textId="4B77FDBF" w:rsidR="004C6D52" w:rsidRPr="004C6D52" w:rsidRDefault="00D52640" w:rsidP="004C6D52">
            <w:pPr>
              <w:jc w:val="left"/>
              <w:rPr>
                <w:rFonts w:asciiTheme="minorBidi" w:hAnsiTheme="minorBidi" w:cstheme="minorBidi"/>
                <w:color w:val="000000"/>
                <w:szCs w:val="18"/>
              </w:rPr>
            </w:pPr>
            <w:r w:rsidRPr="004C6D52">
              <w:rPr>
                <w:rFonts w:asciiTheme="minorBidi" w:hAnsiTheme="minorBidi" w:cstheme="minorBidi"/>
                <w:color w:val="000000"/>
                <w:szCs w:val="18"/>
              </w:rPr>
              <w:t>significant</w:t>
            </w:r>
          </w:p>
        </w:tc>
      </w:tr>
      <w:tr w:rsidR="00D52640" w:rsidRPr="004C6D52" w14:paraId="746FDCF7" w14:textId="77777777" w:rsidTr="00D52640">
        <w:trPr>
          <w:tblCellSpacing w:w="15" w:type="dxa"/>
        </w:trPr>
        <w:tc>
          <w:tcPr>
            <w:tcW w:w="946" w:type="dxa"/>
            <w:shd w:val="clear" w:color="auto" w:fill="FFFFFF"/>
            <w:vAlign w:val="center"/>
            <w:hideMark/>
          </w:tcPr>
          <w:p w14:paraId="044E27A3"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Residual</w:t>
            </w:r>
          </w:p>
        </w:tc>
        <w:tc>
          <w:tcPr>
            <w:tcW w:w="1421" w:type="dxa"/>
            <w:shd w:val="clear" w:color="auto" w:fill="FFFFFF"/>
            <w:vAlign w:val="center"/>
            <w:hideMark/>
          </w:tcPr>
          <w:p w14:paraId="45535B6D"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19/04</w:t>
            </w:r>
          </w:p>
        </w:tc>
        <w:tc>
          <w:tcPr>
            <w:tcW w:w="331" w:type="dxa"/>
            <w:shd w:val="clear" w:color="auto" w:fill="FFFFFF"/>
            <w:vAlign w:val="center"/>
            <w:hideMark/>
          </w:tcPr>
          <w:p w14:paraId="29E73BD1"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14</w:t>
            </w:r>
          </w:p>
        </w:tc>
        <w:tc>
          <w:tcPr>
            <w:tcW w:w="1211" w:type="dxa"/>
            <w:shd w:val="clear" w:color="auto" w:fill="FFFFFF"/>
            <w:vAlign w:val="center"/>
            <w:hideMark/>
          </w:tcPr>
          <w:p w14:paraId="26EE84E3"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1/36</w:t>
            </w:r>
          </w:p>
        </w:tc>
        <w:tc>
          <w:tcPr>
            <w:tcW w:w="731" w:type="dxa"/>
            <w:shd w:val="clear" w:color="auto" w:fill="FFFFFF"/>
            <w:vAlign w:val="center"/>
            <w:hideMark/>
          </w:tcPr>
          <w:p w14:paraId="276CC8A4" w14:textId="77777777" w:rsidR="004C6D52" w:rsidRPr="004C6D52" w:rsidRDefault="004C6D52" w:rsidP="004C6D52">
            <w:pPr>
              <w:jc w:val="left"/>
              <w:rPr>
                <w:rFonts w:asciiTheme="minorBidi" w:hAnsiTheme="minorBidi" w:cstheme="minorBidi"/>
                <w:color w:val="000000"/>
                <w:szCs w:val="18"/>
              </w:rPr>
            </w:pPr>
          </w:p>
        </w:tc>
        <w:tc>
          <w:tcPr>
            <w:tcW w:w="836" w:type="dxa"/>
            <w:shd w:val="clear" w:color="auto" w:fill="FFFFFF"/>
            <w:vAlign w:val="center"/>
            <w:hideMark/>
          </w:tcPr>
          <w:p w14:paraId="1359FCB2" w14:textId="77777777" w:rsidR="004C6D52" w:rsidRPr="004C6D52" w:rsidRDefault="004C6D52" w:rsidP="004C6D52">
            <w:pPr>
              <w:jc w:val="left"/>
              <w:rPr>
                <w:rFonts w:asciiTheme="minorBidi" w:hAnsiTheme="minorBidi" w:cstheme="minorBidi"/>
                <w:szCs w:val="18"/>
              </w:rPr>
            </w:pPr>
          </w:p>
        </w:tc>
        <w:tc>
          <w:tcPr>
            <w:tcW w:w="0" w:type="auto"/>
            <w:shd w:val="clear" w:color="auto" w:fill="FFFFFF"/>
            <w:vAlign w:val="center"/>
            <w:hideMark/>
          </w:tcPr>
          <w:p w14:paraId="7E3FE638" w14:textId="77777777" w:rsidR="004C6D52" w:rsidRPr="004C6D52" w:rsidRDefault="004C6D52" w:rsidP="004C6D52">
            <w:pPr>
              <w:jc w:val="left"/>
              <w:rPr>
                <w:rFonts w:asciiTheme="minorBidi" w:hAnsiTheme="minorBidi" w:cstheme="minorBidi"/>
                <w:szCs w:val="18"/>
              </w:rPr>
            </w:pPr>
          </w:p>
        </w:tc>
      </w:tr>
      <w:tr w:rsidR="00D52640" w:rsidRPr="004C6D52" w14:paraId="507E4CF3" w14:textId="77777777" w:rsidTr="00D52640">
        <w:trPr>
          <w:tblCellSpacing w:w="15" w:type="dxa"/>
        </w:trPr>
        <w:tc>
          <w:tcPr>
            <w:tcW w:w="946" w:type="dxa"/>
            <w:shd w:val="clear" w:color="auto" w:fill="FFFFFF"/>
            <w:vAlign w:val="center"/>
            <w:hideMark/>
          </w:tcPr>
          <w:p w14:paraId="027CDBDB"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Lack of Fit</w:t>
            </w:r>
          </w:p>
        </w:tc>
        <w:tc>
          <w:tcPr>
            <w:tcW w:w="1421" w:type="dxa"/>
            <w:shd w:val="clear" w:color="auto" w:fill="FFFFFF"/>
            <w:vAlign w:val="center"/>
            <w:hideMark/>
          </w:tcPr>
          <w:p w14:paraId="0B0B183C"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12/43</w:t>
            </w:r>
          </w:p>
        </w:tc>
        <w:tc>
          <w:tcPr>
            <w:tcW w:w="331" w:type="dxa"/>
            <w:shd w:val="clear" w:color="auto" w:fill="FFFFFF"/>
            <w:vAlign w:val="center"/>
            <w:hideMark/>
          </w:tcPr>
          <w:p w14:paraId="43AD67B4"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9</w:t>
            </w:r>
          </w:p>
        </w:tc>
        <w:tc>
          <w:tcPr>
            <w:tcW w:w="1211" w:type="dxa"/>
            <w:shd w:val="clear" w:color="auto" w:fill="FFFFFF"/>
            <w:vAlign w:val="center"/>
            <w:hideMark/>
          </w:tcPr>
          <w:p w14:paraId="6E702DCF"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1/38</w:t>
            </w:r>
          </w:p>
        </w:tc>
        <w:tc>
          <w:tcPr>
            <w:tcW w:w="731" w:type="dxa"/>
            <w:shd w:val="clear" w:color="auto" w:fill="FFFFFF"/>
            <w:vAlign w:val="center"/>
            <w:hideMark/>
          </w:tcPr>
          <w:p w14:paraId="609A4F6A"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1/04</w:t>
            </w:r>
          </w:p>
        </w:tc>
        <w:tc>
          <w:tcPr>
            <w:tcW w:w="836" w:type="dxa"/>
            <w:shd w:val="clear" w:color="auto" w:fill="FFFFFF"/>
            <w:vAlign w:val="center"/>
            <w:hideMark/>
          </w:tcPr>
          <w:p w14:paraId="1AE58108"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0/5095</w:t>
            </w:r>
          </w:p>
        </w:tc>
        <w:tc>
          <w:tcPr>
            <w:tcW w:w="0" w:type="auto"/>
            <w:shd w:val="clear" w:color="auto" w:fill="FFFFFF"/>
            <w:vAlign w:val="center"/>
            <w:hideMark/>
          </w:tcPr>
          <w:p w14:paraId="7193DC7B"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not significant</w:t>
            </w:r>
          </w:p>
        </w:tc>
      </w:tr>
      <w:tr w:rsidR="00D52640" w:rsidRPr="004C6D52" w14:paraId="3ADAEDDE" w14:textId="77777777" w:rsidTr="00D52640">
        <w:trPr>
          <w:tblCellSpacing w:w="15" w:type="dxa"/>
        </w:trPr>
        <w:tc>
          <w:tcPr>
            <w:tcW w:w="946" w:type="dxa"/>
            <w:shd w:val="clear" w:color="auto" w:fill="FFFFFF"/>
            <w:vAlign w:val="center"/>
            <w:hideMark/>
          </w:tcPr>
          <w:p w14:paraId="185AE045"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Pure Error</w:t>
            </w:r>
          </w:p>
        </w:tc>
        <w:tc>
          <w:tcPr>
            <w:tcW w:w="1421" w:type="dxa"/>
            <w:shd w:val="clear" w:color="auto" w:fill="FFFFFF"/>
            <w:vAlign w:val="center"/>
            <w:hideMark/>
          </w:tcPr>
          <w:p w14:paraId="715A704F"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6/61</w:t>
            </w:r>
          </w:p>
        </w:tc>
        <w:tc>
          <w:tcPr>
            <w:tcW w:w="331" w:type="dxa"/>
            <w:shd w:val="clear" w:color="auto" w:fill="FFFFFF"/>
            <w:vAlign w:val="center"/>
            <w:hideMark/>
          </w:tcPr>
          <w:p w14:paraId="35937E36"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5</w:t>
            </w:r>
          </w:p>
        </w:tc>
        <w:tc>
          <w:tcPr>
            <w:tcW w:w="1211" w:type="dxa"/>
            <w:shd w:val="clear" w:color="auto" w:fill="FFFFFF"/>
            <w:vAlign w:val="center"/>
            <w:hideMark/>
          </w:tcPr>
          <w:p w14:paraId="765DACAA"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1/32</w:t>
            </w:r>
          </w:p>
        </w:tc>
        <w:tc>
          <w:tcPr>
            <w:tcW w:w="731" w:type="dxa"/>
            <w:shd w:val="clear" w:color="auto" w:fill="FFFFFF"/>
            <w:vAlign w:val="center"/>
            <w:hideMark/>
          </w:tcPr>
          <w:p w14:paraId="02B5E7CE" w14:textId="77777777" w:rsidR="004C6D52" w:rsidRPr="004C6D52" w:rsidRDefault="004C6D52" w:rsidP="004C6D52">
            <w:pPr>
              <w:jc w:val="left"/>
              <w:rPr>
                <w:rFonts w:asciiTheme="minorBidi" w:hAnsiTheme="minorBidi" w:cstheme="minorBidi"/>
                <w:color w:val="000000"/>
                <w:szCs w:val="18"/>
              </w:rPr>
            </w:pPr>
          </w:p>
        </w:tc>
        <w:tc>
          <w:tcPr>
            <w:tcW w:w="836" w:type="dxa"/>
            <w:shd w:val="clear" w:color="auto" w:fill="FFFFFF"/>
            <w:vAlign w:val="center"/>
            <w:hideMark/>
          </w:tcPr>
          <w:p w14:paraId="178A68A2" w14:textId="77777777" w:rsidR="004C6D52" w:rsidRPr="004C6D52" w:rsidRDefault="004C6D52" w:rsidP="004C6D52">
            <w:pPr>
              <w:jc w:val="left"/>
              <w:rPr>
                <w:rFonts w:asciiTheme="minorBidi" w:hAnsiTheme="minorBidi" w:cstheme="minorBidi"/>
                <w:szCs w:val="18"/>
              </w:rPr>
            </w:pPr>
          </w:p>
        </w:tc>
        <w:tc>
          <w:tcPr>
            <w:tcW w:w="0" w:type="auto"/>
            <w:shd w:val="clear" w:color="auto" w:fill="FFFFFF"/>
            <w:vAlign w:val="center"/>
            <w:hideMark/>
          </w:tcPr>
          <w:p w14:paraId="33DCDB6F" w14:textId="77777777" w:rsidR="004C6D52" w:rsidRPr="004C6D52" w:rsidRDefault="004C6D52" w:rsidP="004C6D52">
            <w:pPr>
              <w:jc w:val="left"/>
              <w:rPr>
                <w:rFonts w:asciiTheme="minorBidi" w:hAnsiTheme="minorBidi" w:cstheme="minorBidi"/>
                <w:szCs w:val="18"/>
              </w:rPr>
            </w:pPr>
          </w:p>
        </w:tc>
      </w:tr>
      <w:tr w:rsidR="00D52640" w:rsidRPr="004C6D52" w14:paraId="1C5C9C12" w14:textId="77777777" w:rsidTr="00D52640">
        <w:trPr>
          <w:tblCellSpacing w:w="15" w:type="dxa"/>
        </w:trPr>
        <w:tc>
          <w:tcPr>
            <w:tcW w:w="946" w:type="dxa"/>
            <w:tcBorders>
              <w:bottom w:val="single" w:sz="18" w:space="0" w:color="00B050"/>
            </w:tcBorders>
            <w:shd w:val="clear" w:color="auto" w:fill="FFFFFF"/>
            <w:vAlign w:val="center"/>
            <w:hideMark/>
          </w:tcPr>
          <w:p w14:paraId="7BE42E7E"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Cor Total</w:t>
            </w:r>
          </w:p>
        </w:tc>
        <w:tc>
          <w:tcPr>
            <w:tcW w:w="1421" w:type="dxa"/>
            <w:tcBorders>
              <w:bottom w:val="single" w:sz="18" w:space="0" w:color="00B050"/>
            </w:tcBorders>
            <w:shd w:val="clear" w:color="auto" w:fill="FFFFFF"/>
            <w:vAlign w:val="center"/>
            <w:hideMark/>
          </w:tcPr>
          <w:p w14:paraId="7BD89799"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2471/98</w:t>
            </w:r>
          </w:p>
        </w:tc>
        <w:tc>
          <w:tcPr>
            <w:tcW w:w="331" w:type="dxa"/>
            <w:tcBorders>
              <w:bottom w:val="single" w:sz="18" w:space="0" w:color="00B050"/>
            </w:tcBorders>
            <w:shd w:val="clear" w:color="auto" w:fill="FFFFFF"/>
            <w:vAlign w:val="center"/>
            <w:hideMark/>
          </w:tcPr>
          <w:p w14:paraId="3F3CC44A" w14:textId="77777777" w:rsidR="004C6D52" w:rsidRPr="004C6D52" w:rsidRDefault="004C6D52" w:rsidP="004C6D52">
            <w:pPr>
              <w:jc w:val="left"/>
              <w:rPr>
                <w:rFonts w:asciiTheme="minorBidi" w:hAnsiTheme="minorBidi" w:cstheme="minorBidi"/>
                <w:color w:val="000000"/>
                <w:szCs w:val="18"/>
              </w:rPr>
            </w:pPr>
            <w:r w:rsidRPr="004C6D52">
              <w:rPr>
                <w:rFonts w:asciiTheme="minorBidi" w:hAnsiTheme="minorBidi" w:cstheme="minorBidi"/>
                <w:color w:val="000000"/>
                <w:szCs w:val="18"/>
              </w:rPr>
              <w:t>24</w:t>
            </w:r>
          </w:p>
        </w:tc>
        <w:tc>
          <w:tcPr>
            <w:tcW w:w="1211" w:type="dxa"/>
            <w:tcBorders>
              <w:bottom w:val="single" w:sz="18" w:space="0" w:color="00B050"/>
            </w:tcBorders>
            <w:shd w:val="clear" w:color="auto" w:fill="FFFFFF"/>
            <w:vAlign w:val="center"/>
            <w:hideMark/>
          </w:tcPr>
          <w:p w14:paraId="19432087" w14:textId="77777777" w:rsidR="004C6D52" w:rsidRPr="004C6D52" w:rsidRDefault="004C6D52" w:rsidP="004C6D52">
            <w:pPr>
              <w:jc w:val="left"/>
              <w:rPr>
                <w:rFonts w:asciiTheme="minorBidi" w:hAnsiTheme="minorBidi" w:cstheme="minorBidi"/>
                <w:color w:val="000000"/>
                <w:szCs w:val="18"/>
              </w:rPr>
            </w:pPr>
          </w:p>
        </w:tc>
        <w:tc>
          <w:tcPr>
            <w:tcW w:w="731" w:type="dxa"/>
            <w:tcBorders>
              <w:bottom w:val="single" w:sz="18" w:space="0" w:color="00B050"/>
            </w:tcBorders>
            <w:shd w:val="clear" w:color="auto" w:fill="FFFFFF"/>
            <w:vAlign w:val="center"/>
            <w:hideMark/>
          </w:tcPr>
          <w:p w14:paraId="3F43A61F" w14:textId="77777777" w:rsidR="004C6D52" w:rsidRPr="004C6D52" w:rsidRDefault="004C6D52" w:rsidP="004C6D52">
            <w:pPr>
              <w:jc w:val="left"/>
              <w:rPr>
                <w:rFonts w:asciiTheme="minorBidi" w:hAnsiTheme="minorBidi" w:cstheme="minorBidi"/>
                <w:szCs w:val="18"/>
              </w:rPr>
            </w:pPr>
          </w:p>
        </w:tc>
        <w:tc>
          <w:tcPr>
            <w:tcW w:w="836" w:type="dxa"/>
            <w:tcBorders>
              <w:bottom w:val="single" w:sz="18" w:space="0" w:color="00B050"/>
            </w:tcBorders>
            <w:shd w:val="clear" w:color="auto" w:fill="FFFFFF"/>
            <w:vAlign w:val="center"/>
            <w:hideMark/>
          </w:tcPr>
          <w:p w14:paraId="2148CD41" w14:textId="77777777" w:rsidR="004C6D52" w:rsidRPr="004C6D52" w:rsidRDefault="004C6D52" w:rsidP="004C6D52">
            <w:pPr>
              <w:jc w:val="left"/>
              <w:rPr>
                <w:rFonts w:asciiTheme="minorBidi" w:hAnsiTheme="minorBidi" w:cstheme="minorBidi"/>
                <w:szCs w:val="18"/>
              </w:rPr>
            </w:pPr>
          </w:p>
        </w:tc>
        <w:tc>
          <w:tcPr>
            <w:tcW w:w="0" w:type="auto"/>
            <w:tcBorders>
              <w:bottom w:val="single" w:sz="18" w:space="0" w:color="00B050"/>
            </w:tcBorders>
            <w:shd w:val="clear" w:color="auto" w:fill="FFFFFF"/>
            <w:vAlign w:val="center"/>
            <w:hideMark/>
          </w:tcPr>
          <w:p w14:paraId="00F6EFDD" w14:textId="77777777" w:rsidR="004C6D52" w:rsidRPr="004C6D52" w:rsidRDefault="004C6D52" w:rsidP="004C6D52">
            <w:pPr>
              <w:jc w:val="left"/>
              <w:rPr>
                <w:rFonts w:asciiTheme="minorBidi" w:hAnsiTheme="minorBidi" w:cstheme="minorBidi"/>
                <w:szCs w:val="18"/>
              </w:rPr>
            </w:pPr>
          </w:p>
        </w:tc>
      </w:tr>
    </w:tbl>
    <w:p w14:paraId="41C5B5E1" w14:textId="53D5C1A1" w:rsidR="00756151" w:rsidRDefault="00F2410B" w:rsidP="00F2410B">
      <w:pPr>
        <w:pStyle w:val="CETHeading1"/>
      </w:pPr>
      <w:r>
        <w:t>Conclusion</w:t>
      </w:r>
    </w:p>
    <w:p w14:paraId="2AE6C2EE" w14:textId="17692811" w:rsidR="00BE5B0E" w:rsidRPr="00BE5B0E" w:rsidRDefault="00BE5B0E" w:rsidP="00BE5B0E">
      <w:pPr>
        <w:rPr>
          <w:lang w:val="en-US"/>
        </w:rPr>
      </w:pPr>
      <w:r w:rsidRPr="00BE5B0E">
        <w:rPr>
          <w:lang w:val="en-US"/>
        </w:rPr>
        <w:t>In light of the urgent global need for sustainable CO</w:t>
      </w:r>
      <w:r w:rsidRPr="00BE5B0E">
        <w:rPr>
          <w:rFonts w:ascii="Cambria Math" w:hAnsi="Cambria Math" w:cs="Cambria Math"/>
          <w:lang w:val="en-US"/>
        </w:rPr>
        <w:t>₂</w:t>
      </w:r>
      <w:r w:rsidRPr="00BE5B0E">
        <w:rPr>
          <w:lang w:val="en-US"/>
        </w:rPr>
        <w:t xml:space="preserve"> capture technologies, this study investigated the performance of a Mg(OH)</w:t>
      </w:r>
      <w:r w:rsidRPr="00BE5B0E">
        <w:rPr>
          <w:rFonts w:ascii="Cambria Math" w:hAnsi="Cambria Math" w:cs="Cambria Math"/>
          <w:lang w:val="en-US"/>
        </w:rPr>
        <w:t>₂</w:t>
      </w:r>
      <w:r w:rsidRPr="00BE5B0E">
        <w:rPr>
          <w:lang w:val="en-US"/>
        </w:rPr>
        <w:t>-based absorption system within a bubble column reactor as a viable alternative to conventional, energy-intensive capture methods. By combining experimental investigations with robust statistical modeling—specifically, a quadratic regression model with an R² exceeding 0.92</w:t>
      </w:r>
      <w:r>
        <w:rPr>
          <w:lang w:val="en-US"/>
        </w:rPr>
        <w:t xml:space="preserve">. It was </w:t>
      </w:r>
      <w:r w:rsidRPr="00BE5B0E">
        <w:rPr>
          <w:lang w:val="en-US"/>
        </w:rPr>
        <w:t>successfully identified and optimized the principal operational parameters: slurry volume, Mg(OH)</w:t>
      </w:r>
      <w:r w:rsidRPr="00BE5B0E">
        <w:rPr>
          <w:rFonts w:ascii="Cambria Math" w:hAnsi="Cambria Math" w:cs="Cambria Math"/>
          <w:lang w:val="en-US"/>
        </w:rPr>
        <w:t>₂</w:t>
      </w:r>
      <w:r w:rsidRPr="00BE5B0E">
        <w:rPr>
          <w:lang w:val="en-US"/>
        </w:rPr>
        <w:t xml:space="preserve"> concentration, gas hold-up, and temperature. Under </w:t>
      </w:r>
      <w:r w:rsidRPr="00BE5B0E">
        <w:t>optimal</w:t>
      </w:r>
      <w:r w:rsidRPr="00BE5B0E">
        <w:rPr>
          <w:lang w:val="en-US"/>
        </w:rPr>
        <w:t xml:space="preserve"> conditions (25 L slurry, 0.003 M Mg(OH)</w:t>
      </w:r>
      <w:r w:rsidRPr="00BE5B0E">
        <w:rPr>
          <w:rFonts w:ascii="Cambria Math" w:hAnsi="Cambria Math" w:cs="Cambria Math"/>
          <w:lang w:val="en-US"/>
        </w:rPr>
        <w:t>₂</w:t>
      </w:r>
      <w:r w:rsidRPr="00BE5B0E">
        <w:rPr>
          <w:lang w:val="en-US"/>
        </w:rPr>
        <w:t>, 1 cm gas hold-up, and 40</w:t>
      </w:r>
      <w:r w:rsidRPr="00BE5B0E">
        <w:rPr>
          <w:rFonts w:cs="Arial"/>
          <w:lang w:val="en-US"/>
        </w:rPr>
        <w:t>°</w:t>
      </w:r>
      <w:r w:rsidRPr="00BE5B0E">
        <w:rPr>
          <w:lang w:val="en-US"/>
        </w:rPr>
        <w:t>C), the system demonstrated a high CO</w:t>
      </w:r>
      <w:r w:rsidRPr="00BE5B0E">
        <w:rPr>
          <w:rFonts w:ascii="Cambria Math" w:hAnsi="Cambria Math" w:cs="Cambria Math"/>
          <w:lang w:val="en-US"/>
        </w:rPr>
        <w:t>₂</w:t>
      </w:r>
      <w:r w:rsidRPr="00BE5B0E">
        <w:rPr>
          <w:lang w:val="en-US"/>
        </w:rPr>
        <w:t xml:space="preserve"> removal efficiency of 82.10%, with the predictive model closely mirroring experimental results at 81.92%.</w:t>
      </w:r>
    </w:p>
    <w:p w14:paraId="781214A7" w14:textId="77777777" w:rsidR="00BE5B0E" w:rsidRPr="00BE5B0E" w:rsidRDefault="00BE5B0E" w:rsidP="00BE5B0E">
      <w:r w:rsidRPr="00BE5B0E">
        <w:rPr>
          <w:lang w:val="en-US"/>
        </w:rPr>
        <w:t>Looking ahead, future research should focus on scaling reactor designs for industrial implementation, developing hybrid systems that integrate Mg(OH)</w:t>
      </w:r>
      <w:r w:rsidRPr="00BE5B0E">
        <w:rPr>
          <w:rFonts w:ascii="Cambria Math" w:hAnsi="Cambria Math" w:cs="Cambria Math"/>
          <w:lang w:val="en-US"/>
        </w:rPr>
        <w:t>₂</w:t>
      </w:r>
      <w:r w:rsidRPr="00BE5B0E">
        <w:rPr>
          <w:lang w:val="en-US"/>
        </w:rPr>
        <w:t xml:space="preserve"> with complementary sorbents, and conducting comprehensive long-term stability and cost-benefit analyses. Additional open questions remain regarding the development of dynamic control strategies to accommodate fluctuating CO</w:t>
      </w:r>
      <w:r w:rsidRPr="00BE5B0E">
        <w:rPr>
          <w:rFonts w:ascii="Cambria Math" w:hAnsi="Cambria Math" w:cs="Cambria Math"/>
          <w:lang w:val="en-US"/>
        </w:rPr>
        <w:t>₂</w:t>
      </w:r>
      <w:r w:rsidRPr="00BE5B0E">
        <w:rPr>
          <w:lang w:val="en-US"/>
        </w:rPr>
        <w:t xml:space="preserve"> loads, the exploration of multi-stage absorption configurations for enhanced efficiency, and the integration of this technology with renewable energy sources to achieve carbon-negative operations. Advancing these research directions could establish Mg(OH)</w:t>
      </w:r>
      <w:r w:rsidRPr="00BE5B0E">
        <w:rPr>
          <w:rFonts w:ascii="Cambria Math" w:hAnsi="Cambria Math" w:cs="Cambria Math"/>
          <w:lang w:val="en-US"/>
        </w:rPr>
        <w:t>₂</w:t>
      </w:r>
      <w:r w:rsidRPr="00BE5B0E">
        <w:rPr>
          <w:lang w:val="en-US"/>
        </w:rPr>
        <w:t>-based absorption as a cornerstone of next-generation decarbonization strategies, effectively bridging laboratory innovation with practical climate solutions.</w:t>
      </w:r>
    </w:p>
    <w:p w14:paraId="5929048F" w14:textId="4F59D3F1" w:rsidR="00C74E2D" w:rsidRPr="00C74E2D" w:rsidRDefault="00C74E2D" w:rsidP="00C74E2D">
      <w:pPr>
        <w:pStyle w:val="CETHeading1"/>
      </w:pPr>
      <w:r w:rsidRPr="00C74E2D">
        <w:t>Funding</w:t>
      </w:r>
    </w:p>
    <w:p w14:paraId="25020290" w14:textId="15A0CF46" w:rsidR="00C74E2D" w:rsidRPr="00C74E2D" w:rsidRDefault="00C74E2D" w:rsidP="00C74E2D">
      <w:pPr>
        <w:pStyle w:val="CETBodytext"/>
        <w:rPr>
          <w:rFonts w:asciiTheme="minorBidi" w:hAnsiTheme="minorBidi" w:cstheme="minorBidi"/>
          <w:szCs w:val="18"/>
          <w:lang w:bidi="fa-IR"/>
        </w:rPr>
      </w:pPr>
      <w:r w:rsidRPr="00C74E2D">
        <w:rPr>
          <w:rFonts w:asciiTheme="minorBidi" w:hAnsiTheme="minorBidi" w:cstheme="minorBidi"/>
          <w:szCs w:val="18"/>
          <w:lang w:bidi="fa-IR"/>
        </w:rPr>
        <w:t>The authors of this manuscript would like to express their gratitude to the INSF for partially funding this research work under contract number 98018784.</w:t>
      </w:r>
    </w:p>
    <w:p w14:paraId="741E7FBB" w14:textId="77777777" w:rsidR="00756151" w:rsidRDefault="00756151" w:rsidP="006B4888">
      <w:pPr>
        <w:pStyle w:val="CETReferencetext"/>
      </w:pPr>
    </w:p>
    <w:p w14:paraId="0BF1DC3F" w14:textId="77777777" w:rsidR="00C74E2D" w:rsidRDefault="00C74E2D" w:rsidP="00D52640">
      <w:pPr>
        <w:pStyle w:val="CETReferencetext"/>
        <w:ind w:left="0" w:firstLine="0"/>
      </w:pPr>
    </w:p>
    <w:p w14:paraId="5A13856B" w14:textId="3FC53793" w:rsidR="006B4888" w:rsidRPr="00D52640" w:rsidRDefault="009D6E80" w:rsidP="00D52640">
      <w:pPr>
        <w:pStyle w:val="CETReferencetext"/>
        <w:ind w:left="0" w:firstLine="0"/>
        <w:rPr>
          <w:b/>
          <w:bCs/>
        </w:rPr>
      </w:pPr>
      <w:r w:rsidRPr="00D52640">
        <w:rPr>
          <w:b/>
          <w:bCs/>
        </w:rPr>
        <w:lastRenderedPageBreak/>
        <w:t>References</w:t>
      </w:r>
    </w:p>
    <w:p w14:paraId="372E3298" w14:textId="3789ABF8" w:rsidR="00BD0002" w:rsidRPr="00BD0002" w:rsidRDefault="00A34B2D" w:rsidP="00BD0002">
      <w:pPr>
        <w:widowControl w:val="0"/>
        <w:autoSpaceDE w:val="0"/>
        <w:autoSpaceDN w:val="0"/>
        <w:adjustRightInd w:val="0"/>
        <w:spacing w:line="240" w:lineRule="auto"/>
        <w:ind w:left="480" w:hanging="480"/>
        <w:rPr>
          <w:rFonts w:cs="Arial"/>
          <w:noProof/>
          <w:sz w:val="16"/>
          <w:szCs w:val="24"/>
        </w:rPr>
      </w:pPr>
      <w:r w:rsidRPr="00A34B2D">
        <w:rPr>
          <w:sz w:val="16"/>
          <w:szCs w:val="16"/>
        </w:rPr>
        <w:fldChar w:fldCharType="begin" w:fldLock="1"/>
      </w:r>
      <w:r w:rsidRPr="00A34B2D">
        <w:rPr>
          <w:sz w:val="16"/>
          <w:szCs w:val="16"/>
        </w:rPr>
        <w:instrText xml:space="preserve">ADDIN Mendeley Bibliography CSL_BIBLIOGRAPHY </w:instrText>
      </w:r>
      <w:r w:rsidRPr="00A34B2D">
        <w:rPr>
          <w:sz w:val="16"/>
          <w:szCs w:val="16"/>
        </w:rPr>
        <w:fldChar w:fldCharType="separate"/>
      </w:r>
      <w:r w:rsidR="00BD0002" w:rsidRPr="00BD0002">
        <w:rPr>
          <w:rFonts w:cs="Arial"/>
          <w:noProof/>
          <w:sz w:val="16"/>
          <w:szCs w:val="24"/>
        </w:rPr>
        <w:t>Bararpourhamzehkolaei, Seyedtoufigh. 2021. “Post-Combustion Carbon Dioxide Capture Using Alumina-Supported Potassium Carbonate.”</w:t>
      </w:r>
    </w:p>
    <w:p w14:paraId="0257B615"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Bhattacharyya, Debangsu, and David C. Miller. 2017. “Post-Combustion CO2 Capture Technologies — a Review of Processes for Solvent-Based and Sorbent-Based CO2 Capture.” </w:t>
      </w:r>
      <w:r w:rsidRPr="00BD0002">
        <w:rPr>
          <w:rFonts w:cs="Arial"/>
          <w:i/>
          <w:iCs/>
          <w:noProof/>
          <w:sz w:val="16"/>
          <w:szCs w:val="24"/>
        </w:rPr>
        <w:t>Current Opinion in Chemical Engineering</w:t>
      </w:r>
      <w:r w:rsidRPr="00BD0002">
        <w:rPr>
          <w:rFonts w:cs="Arial"/>
          <w:noProof/>
          <w:sz w:val="16"/>
          <w:szCs w:val="24"/>
        </w:rPr>
        <w:t xml:space="preserve"> 17: 78–92. doi:10.1016/j.coche.2017.06.005.</w:t>
      </w:r>
    </w:p>
    <w:p w14:paraId="79F0F454"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César de Carvalho Pinto, Plínio, Geison Voga Pereira, Leonardo Schiavo de Rezende, Flávia C.C. Moura, and Jadson Cláudio Belchior. 2019. “CO2 Capture Performance and Mechanical Properties of Ca(OH)2-Based Sorbent Modified with MgO and (NH4)2HPO4 for Calcium Looping Cycle.” </w:t>
      </w:r>
      <w:r w:rsidRPr="00BD0002">
        <w:rPr>
          <w:rFonts w:cs="Arial"/>
          <w:i/>
          <w:iCs/>
          <w:noProof/>
          <w:sz w:val="16"/>
          <w:szCs w:val="24"/>
        </w:rPr>
        <w:t>Fuel</w:t>
      </w:r>
      <w:r w:rsidRPr="00BD0002">
        <w:rPr>
          <w:rFonts w:cs="Arial"/>
          <w:noProof/>
          <w:sz w:val="16"/>
          <w:szCs w:val="24"/>
        </w:rPr>
        <w:t xml:space="preserve"> 256. doi:10.1016/j.fuel.2019.115924.</w:t>
      </w:r>
    </w:p>
    <w:p w14:paraId="2BDA3D45"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Chatterjee, Uday, Angela Oyilieze Akanwa, Suresh Kumar, Sudhir Kumar Singh, and Abira Dutta Roy. 2022. “Ecological Footprints of Climate Change: Adaptive Approaches and Sustainability.” </w:t>
      </w:r>
      <w:r w:rsidRPr="00BD0002">
        <w:rPr>
          <w:rFonts w:cs="Arial"/>
          <w:i/>
          <w:iCs/>
          <w:noProof/>
          <w:sz w:val="16"/>
          <w:szCs w:val="24"/>
        </w:rPr>
        <w:t>Springer Climate</w:t>
      </w:r>
      <w:r w:rsidRPr="00BD0002">
        <w:rPr>
          <w:rFonts w:cs="Arial"/>
          <w:noProof/>
          <w:sz w:val="16"/>
          <w:szCs w:val="24"/>
        </w:rPr>
        <w:t>: xxx, 776.</w:t>
      </w:r>
    </w:p>
    <w:p w14:paraId="6E6D491E"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Chatterjee, Uday, Rajib Shaw, Suresh Kumar, and Anu David Raj. 2022. “‘ Climate Crisis : Adaptive Approaches and Sustainability .’” (November 2022): 8–9.</w:t>
      </w:r>
    </w:p>
    <w:p w14:paraId="719B07EB"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Chu, Fengming, Lijun Yang, Xiaoze Du, and Yongping Yang. 2017. “Mass Transfer and Energy Consumption for CO2 Absorption by Ammonia Solution in Bubble Column.” </w:t>
      </w:r>
      <w:r w:rsidRPr="00BD0002">
        <w:rPr>
          <w:rFonts w:cs="Arial"/>
          <w:i/>
          <w:iCs/>
          <w:noProof/>
          <w:sz w:val="16"/>
          <w:szCs w:val="24"/>
        </w:rPr>
        <w:t>Applied Energy</w:t>
      </w:r>
      <w:r w:rsidRPr="00BD0002">
        <w:rPr>
          <w:rFonts w:cs="Arial"/>
          <w:noProof/>
          <w:sz w:val="16"/>
          <w:szCs w:val="24"/>
        </w:rPr>
        <w:t xml:space="preserve"> 190: 1068–80. doi:10.1016/j.apenergy.2017.01.027.</w:t>
      </w:r>
    </w:p>
    <w:p w14:paraId="638BC4AB"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Desport, Lucas, and Sandrine Selosse. 2022. “Perspectives of CO2 Utilization as a Negative Emission Technology.” </w:t>
      </w:r>
      <w:r w:rsidRPr="00BD0002">
        <w:rPr>
          <w:rFonts w:cs="Arial"/>
          <w:i/>
          <w:iCs/>
          <w:noProof/>
          <w:sz w:val="16"/>
          <w:szCs w:val="24"/>
        </w:rPr>
        <w:t>Sustainable Energy Technologies and Assessments</w:t>
      </w:r>
      <w:r w:rsidRPr="00BD0002">
        <w:rPr>
          <w:rFonts w:cs="Arial"/>
          <w:noProof/>
          <w:sz w:val="16"/>
          <w:szCs w:val="24"/>
        </w:rPr>
        <w:t xml:space="preserve"> 53. doi:10.1016/j.seta.2022.102623.</w:t>
      </w:r>
    </w:p>
    <w:p w14:paraId="0404CF88"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Ghavamipour, Shokooh, Leila Vafajoo, Gilava Pourhossein, Prakash Parthasarathy, and Gordon McKay. 2024. “Post-Combustion CO2 Capturing by KOH Solution: An Experimental and Statistical Optimization Modeling Study.” </w:t>
      </w:r>
      <w:r w:rsidRPr="00BD0002">
        <w:rPr>
          <w:rFonts w:cs="Arial"/>
          <w:i/>
          <w:iCs/>
          <w:noProof/>
          <w:sz w:val="16"/>
          <w:szCs w:val="24"/>
        </w:rPr>
        <w:t>Energy and Environment</w:t>
      </w:r>
      <w:r w:rsidRPr="00BD0002">
        <w:rPr>
          <w:rFonts w:cs="Arial"/>
          <w:noProof/>
          <w:sz w:val="16"/>
          <w:szCs w:val="24"/>
        </w:rPr>
        <w:t>. doi:10.1177/0958305X241230944.</w:t>
      </w:r>
    </w:p>
    <w:p w14:paraId="479A4E1A"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Gul, Ayşe, Masoud Derakhshandeh, and Umran Tezcan Un. 2023. “Optimization of Carbon Dioxide Absorption in a Continuous Bubble Column Reactor Using Response Surface Methodology.” </w:t>
      </w:r>
      <w:r w:rsidRPr="00BD0002">
        <w:rPr>
          <w:rFonts w:cs="Arial"/>
          <w:i/>
          <w:iCs/>
          <w:noProof/>
          <w:sz w:val="16"/>
          <w:szCs w:val="24"/>
        </w:rPr>
        <w:t>Environmental Quality Management</w:t>
      </w:r>
      <w:r w:rsidRPr="00BD0002">
        <w:rPr>
          <w:rFonts w:cs="Arial"/>
          <w:noProof/>
          <w:sz w:val="16"/>
          <w:szCs w:val="24"/>
        </w:rPr>
        <w:t xml:space="preserve"> 33(1): 79–93. doi:10.1002/tqem.22020.</w:t>
      </w:r>
    </w:p>
    <w:p w14:paraId="05B3100B"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Ibigbami, Olayinka Abidemi, Oluwatimilehin Daniel Onilearo, and Richard Odunayo Akinyeye. 2024. “Post-Combustion Capture and Other Carbon Capture and Sequestration (CCS) Technologies: A Review.” </w:t>
      </w:r>
      <w:r w:rsidRPr="00BD0002">
        <w:rPr>
          <w:rFonts w:cs="Arial"/>
          <w:i/>
          <w:iCs/>
          <w:noProof/>
          <w:sz w:val="16"/>
          <w:szCs w:val="24"/>
        </w:rPr>
        <w:t>Environmental Quality Management</w:t>
      </w:r>
      <w:r w:rsidRPr="00BD0002">
        <w:rPr>
          <w:rFonts w:cs="Arial"/>
          <w:noProof/>
          <w:sz w:val="16"/>
          <w:szCs w:val="24"/>
        </w:rPr>
        <w:t xml:space="preserve"> 34(1). doi:10.1002/tqem.22180.</w:t>
      </w:r>
    </w:p>
    <w:p w14:paraId="417B2C3F"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Li, Chenxu, Xiaoqin Shi, and Shufeng Shen. 2019. “Performance Evaluation of Newly Developed Absorbents for Solvent-Based Carbon Dioxide Capture.” </w:t>
      </w:r>
      <w:r w:rsidRPr="00BD0002">
        <w:rPr>
          <w:rFonts w:cs="Arial"/>
          <w:i/>
          <w:iCs/>
          <w:noProof/>
          <w:sz w:val="16"/>
          <w:szCs w:val="24"/>
        </w:rPr>
        <w:t>Energy and Fuels</w:t>
      </w:r>
      <w:r w:rsidRPr="00BD0002">
        <w:rPr>
          <w:rFonts w:cs="Arial"/>
          <w:noProof/>
          <w:sz w:val="16"/>
          <w:szCs w:val="24"/>
        </w:rPr>
        <w:t xml:space="preserve"> 33(9): 9032–39. doi:10.1021/acs.energyfuels.9b02158.</w:t>
      </w:r>
    </w:p>
    <w:p w14:paraId="2D5D33D8"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Liu, Dunyu, Zhen Wang, Yuyang Cai, Jun Chen, Jing Jin, and Bingtao Zhao. 2024. “Computational Fluid Dynamics Based Modeling of Gas Absorption Process: A State-of-the-Art Review.” </w:t>
      </w:r>
      <w:r w:rsidRPr="00BD0002">
        <w:rPr>
          <w:rFonts w:cs="Arial"/>
          <w:i/>
          <w:iCs/>
          <w:noProof/>
          <w:sz w:val="16"/>
          <w:szCs w:val="24"/>
        </w:rPr>
        <w:t>Industrial and Engineering Chemistry Research</w:t>
      </w:r>
      <w:r w:rsidRPr="00BD0002">
        <w:rPr>
          <w:rFonts w:cs="Arial"/>
          <w:noProof/>
          <w:sz w:val="16"/>
          <w:szCs w:val="24"/>
        </w:rPr>
        <w:t xml:space="preserve"> 63(18): 7959–8002. doi:10.1021/acs.iecr.3c02941.</w:t>
      </w:r>
    </w:p>
    <w:p w14:paraId="6B9ABFD4"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de Meyer, Frédérick, and Stéphane Jouenne. 2022. “Industrial Carbon Capture by Absorption: Recent Advances and Path Forward.” </w:t>
      </w:r>
      <w:r w:rsidRPr="00BD0002">
        <w:rPr>
          <w:rFonts w:cs="Arial"/>
          <w:i/>
          <w:iCs/>
          <w:noProof/>
          <w:sz w:val="16"/>
          <w:szCs w:val="24"/>
        </w:rPr>
        <w:t>Current Opinion in Chemical Engineering</w:t>
      </w:r>
      <w:r w:rsidRPr="00BD0002">
        <w:rPr>
          <w:rFonts w:cs="Arial"/>
          <w:noProof/>
          <w:sz w:val="16"/>
          <w:szCs w:val="24"/>
        </w:rPr>
        <w:t xml:space="preserve"> 38. doi:10.1016/j.coche.2022.100868.</w:t>
      </w:r>
    </w:p>
    <w:p w14:paraId="2ABE2A78"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Mores, Patricia, Nicolás Scenna, and Sergio Mussati. 2012. “CO2 Capture Using Monoethanolamine (MEA) Aqueous Solution: Modeling and Optimization of the Solvent Regeneration and CO2 Desorption Process.” </w:t>
      </w:r>
      <w:r w:rsidRPr="00BD0002">
        <w:rPr>
          <w:rFonts w:cs="Arial"/>
          <w:i/>
          <w:iCs/>
          <w:noProof/>
          <w:sz w:val="16"/>
          <w:szCs w:val="24"/>
        </w:rPr>
        <w:t>Energy</w:t>
      </w:r>
      <w:r w:rsidRPr="00BD0002">
        <w:rPr>
          <w:rFonts w:cs="Arial"/>
          <w:noProof/>
          <w:sz w:val="16"/>
          <w:szCs w:val="24"/>
        </w:rPr>
        <w:t xml:space="preserve"> 45(1): 1042–58. doi:10.1016/j.energy.2012.06.038.</w:t>
      </w:r>
    </w:p>
    <w:p w14:paraId="5C6FFA36"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Ochedi, Friday O., Jianglong Yu, Hai Yu, Yangxian Liu, and Arshad Hussain. 2021. “Carbon Dioxide Capture Using Liquid Absorption Methods: A Review.” </w:t>
      </w:r>
      <w:r w:rsidRPr="00BD0002">
        <w:rPr>
          <w:rFonts w:cs="Arial"/>
          <w:i/>
          <w:iCs/>
          <w:noProof/>
          <w:sz w:val="16"/>
          <w:szCs w:val="24"/>
        </w:rPr>
        <w:t>Environmental Chemistry Letters</w:t>
      </w:r>
      <w:r w:rsidRPr="00BD0002">
        <w:rPr>
          <w:rFonts w:cs="Arial"/>
          <w:noProof/>
          <w:sz w:val="16"/>
          <w:szCs w:val="24"/>
        </w:rPr>
        <w:t xml:space="preserve"> 19(1): 77–109. doi:10.1007/s10311-020-01093-8.</w:t>
      </w:r>
    </w:p>
    <w:p w14:paraId="4EDEC16F"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Perevertaylenko, Olexander Yu, Andriy O. Gariev, Theodoros Damartzis, Leonid L. Tovazhnyanskyy, Petro O. Kapustenko, and Olga P. Arsenyeva. 2014. “Searches of Cost Effective Ways for Amine Absorption Unit Design in CO2 Post-Combustion Capture Process.” </w:t>
      </w:r>
      <w:r w:rsidRPr="00BD0002">
        <w:rPr>
          <w:rFonts w:cs="Arial"/>
          <w:i/>
          <w:iCs/>
          <w:noProof/>
          <w:sz w:val="16"/>
          <w:szCs w:val="24"/>
        </w:rPr>
        <w:t>Energy</w:t>
      </w:r>
      <w:r w:rsidRPr="00BD0002">
        <w:rPr>
          <w:rFonts w:cs="Arial"/>
          <w:noProof/>
          <w:sz w:val="16"/>
          <w:szCs w:val="24"/>
        </w:rPr>
        <w:t xml:space="preserve"> 90: 105–12. doi:10.1016/j.energy.2015.06.059.</w:t>
      </w:r>
    </w:p>
    <w:p w14:paraId="52AF94AB"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Perreault, Patrice, Nithin B. Kummamuru, Arturo Gonzalez Quiroga, and Silvia Lenaerts. 2022. “CO2 Capture Initiatives: Are Governments, Society, Industry and the Financial Sector Ready?” </w:t>
      </w:r>
      <w:r w:rsidRPr="00BD0002">
        <w:rPr>
          <w:rFonts w:cs="Arial"/>
          <w:i/>
          <w:iCs/>
          <w:noProof/>
          <w:sz w:val="16"/>
          <w:szCs w:val="24"/>
        </w:rPr>
        <w:t>Current Opinion in Chemical Engineering</w:t>
      </w:r>
      <w:r w:rsidRPr="00BD0002">
        <w:rPr>
          <w:rFonts w:cs="Arial"/>
          <w:noProof/>
          <w:sz w:val="16"/>
          <w:szCs w:val="24"/>
        </w:rPr>
        <w:t xml:space="preserve"> 38. doi:10.1016/j.coche.2022.100874.</w:t>
      </w:r>
    </w:p>
    <w:p w14:paraId="34E739B1"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Wang, Jiannan, and Waseem Azam. 2024. “Natural Resource Scarcity, Fossil Fuel Energy Consumption, and Total Greenhouse Gas Emissions in Top Emitting Countries.” </w:t>
      </w:r>
      <w:r w:rsidRPr="00BD0002">
        <w:rPr>
          <w:rFonts w:cs="Arial"/>
          <w:i/>
          <w:iCs/>
          <w:noProof/>
          <w:sz w:val="16"/>
          <w:szCs w:val="24"/>
        </w:rPr>
        <w:t>Geoscience Frontiers</w:t>
      </w:r>
      <w:r w:rsidRPr="00BD0002">
        <w:rPr>
          <w:rFonts w:cs="Arial"/>
          <w:noProof/>
          <w:sz w:val="16"/>
          <w:szCs w:val="24"/>
        </w:rPr>
        <w:t xml:space="preserve"> 15(2). doi:10.1016/j.gsf.2023.101757.</w:t>
      </w:r>
    </w:p>
    <w:p w14:paraId="259CFF6A"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Xin, Zhang, Bao Di, Huang Ying, Dong Halfeng, Zhang Xianping, and Zhang Suojang. 2012. “Gas–Liquid Mass-Transfer Properties in CO2 Absorption System with Ionic Liquids.” </w:t>
      </w:r>
      <w:r w:rsidRPr="00BD0002">
        <w:rPr>
          <w:rFonts w:cs="Arial"/>
          <w:i/>
          <w:iCs/>
          <w:noProof/>
          <w:sz w:val="16"/>
          <w:szCs w:val="24"/>
        </w:rPr>
        <w:t>AIChE Journal</w:t>
      </w:r>
      <w:r w:rsidRPr="00BD0002">
        <w:rPr>
          <w:rFonts w:cs="Arial"/>
          <w:noProof/>
          <w:sz w:val="16"/>
          <w:szCs w:val="24"/>
        </w:rPr>
        <w:t xml:space="preserve"> 59(4): 215–28.</w:t>
      </w:r>
    </w:p>
    <w:p w14:paraId="12FF3D42"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Ye, Xinhuai, and Yongqi Lu. 2014. “Kinetics of CO2 Absorption into Uncatalyzed Potassium Carbonate-Bicarbonate Solutions: Effects of CO2 Loading and Ionic Strength in the Solutions.” </w:t>
      </w:r>
      <w:r w:rsidRPr="00BD0002">
        <w:rPr>
          <w:rFonts w:cs="Arial"/>
          <w:i/>
          <w:iCs/>
          <w:noProof/>
          <w:sz w:val="16"/>
          <w:szCs w:val="24"/>
        </w:rPr>
        <w:t>Chemical Engineering Science</w:t>
      </w:r>
      <w:r w:rsidRPr="00BD0002">
        <w:rPr>
          <w:rFonts w:cs="Arial"/>
          <w:noProof/>
          <w:sz w:val="16"/>
          <w:szCs w:val="24"/>
        </w:rPr>
        <w:t xml:space="preserve"> 116: 657–67. doi:10.1016/j.ces.2014.05.050.</w:t>
      </w:r>
    </w:p>
    <w:p w14:paraId="64DDC5D8"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Yoon, Jong Hyun, Jong Hwan Shin, and Tai Hyun Park. 2008. “Characterization of Factors Influencing the Growth of Anabaena Variabilis in a Bubble Column Reactor.” </w:t>
      </w:r>
      <w:r w:rsidRPr="00BD0002">
        <w:rPr>
          <w:rFonts w:cs="Arial"/>
          <w:i/>
          <w:iCs/>
          <w:noProof/>
          <w:sz w:val="16"/>
          <w:szCs w:val="24"/>
        </w:rPr>
        <w:t>Bioresource Technology</w:t>
      </w:r>
      <w:r w:rsidRPr="00BD0002">
        <w:rPr>
          <w:rFonts w:cs="Arial"/>
          <w:noProof/>
          <w:sz w:val="16"/>
          <w:szCs w:val="24"/>
        </w:rPr>
        <w:t xml:space="preserve"> 99(5): 1204–10. doi:10.1016/j.biortech.2007.02.012.</w:t>
      </w:r>
    </w:p>
    <w:p w14:paraId="2AFBEA81" w14:textId="77777777" w:rsidR="00BD0002" w:rsidRPr="00BD0002" w:rsidRDefault="00BD0002" w:rsidP="00BD0002">
      <w:pPr>
        <w:widowControl w:val="0"/>
        <w:autoSpaceDE w:val="0"/>
        <w:autoSpaceDN w:val="0"/>
        <w:adjustRightInd w:val="0"/>
        <w:spacing w:line="240" w:lineRule="auto"/>
        <w:ind w:left="480" w:hanging="480"/>
        <w:rPr>
          <w:rFonts w:cs="Arial"/>
          <w:noProof/>
          <w:sz w:val="16"/>
          <w:szCs w:val="24"/>
        </w:rPr>
      </w:pPr>
      <w:r w:rsidRPr="00BD0002">
        <w:rPr>
          <w:rFonts w:cs="Arial"/>
          <w:noProof/>
          <w:sz w:val="16"/>
          <w:szCs w:val="24"/>
        </w:rPr>
        <w:t xml:space="preserve">Yuan, Bingling, Guoxiong Zhan, Zhen Chen, Yuchen Li, Lidong Wang, Changfu You, and Junhua Li. 2022. “Intrinsic Insight of Energy-Efficiency Optimization for CO2 Capture by Amine-Based Solvent: Effect of Mass Transfer and Solvent Regeneration.” </w:t>
      </w:r>
      <w:r w:rsidRPr="00BD0002">
        <w:rPr>
          <w:rFonts w:cs="Arial"/>
          <w:i/>
          <w:iCs/>
          <w:noProof/>
          <w:sz w:val="16"/>
          <w:szCs w:val="24"/>
        </w:rPr>
        <w:t>International Journal of Greenhouse Gas Control</w:t>
      </w:r>
      <w:r w:rsidRPr="00BD0002">
        <w:rPr>
          <w:rFonts w:cs="Arial"/>
          <w:noProof/>
          <w:sz w:val="16"/>
          <w:szCs w:val="24"/>
        </w:rPr>
        <w:t xml:space="preserve"> 118. doi:10.1016/j.ijggc.2022.103673.</w:t>
      </w:r>
    </w:p>
    <w:p w14:paraId="1D601415" w14:textId="77777777" w:rsidR="00BD0002" w:rsidRPr="00BD0002" w:rsidRDefault="00BD0002" w:rsidP="00BD0002">
      <w:pPr>
        <w:widowControl w:val="0"/>
        <w:autoSpaceDE w:val="0"/>
        <w:autoSpaceDN w:val="0"/>
        <w:adjustRightInd w:val="0"/>
        <w:spacing w:line="240" w:lineRule="auto"/>
        <w:ind w:left="480" w:hanging="480"/>
        <w:rPr>
          <w:rFonts w:cs="Arial"/>
          <w:noProof/>
          <w:sz w:val="16"/>
        </w:rPr>
      </w:pPr>
      <w:r w:rsidRPr="00BD0002">
        <w:rPr>
          <w:rFonts w:cs="Arial"/>
          <w:noProof/>
          <w:sz w:val="16"/>
          <w:szCs w:val="24"/>
        </w:rPr>
        <w:t xml:space="preserve">Zhang, Zhiwei, Dat Nguyen Vo, Jaesung Kum, Suk Hoon Hong, and Chang Ha Lee. 2023. “Enhancing Energy Efficiency of Chemical Absorption-Based CO2 Capture Process with Advanced Waste-Heat Recovery Modules at a High Capture Rate.” </w:t>
      </w:r>
      <w:r w:rsidRPr="00BD0002">
        <w:rPr>
          <w:rFonts w:cs="Arial"/>
          <w:i/>
          <w:iCs/>
          <w:noProof/>
          <w:sz w:val="16"/>
          <w:szCs w:val="24"/>
        </w:rPr>
        <w:t>Chemical Engineering Journal</w:t>
      </w:r>
      <w:r w:rsidRPr="00BD0002">
        <w:rPr>
          <w:rFonts w:cs="Arial"/>
          <w:noProof/>
          <w:sz w:val="16"/>
          <w:szCs w:val="24"/>
        </w:rPr>
        <w:t xml:space="preserve"> 472. doi:10.1016/j.cej.2023.144918.</w:t>
      </w:r>
    </w:p>
    <w:p w14:paraId="19C4FC68" w14:textId="7EBD570F" w:rsidR="004628D2" w:rsidRDefault="00A34B2D" w:rsidP="00A34B2D">
      <w:pPr>
        <w:pStyle w:val="CETHeading1"/>
        <w:numPr>
          <w:ilvl w:val="0"/>
          <w:numId w:val="0"/>
        </w:numPr>
        <w:spacing w:before="0" w:after="0"/>
      </w:pPr>
      <w:r w:rsidRPr="00A34B2D">
        <w:rPr>
          <w:sz w:val="16"/>
          <w:szCs w:val="16"/>
        </w:rPr>
        <w:fldChar w:fldCharType="end"/>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5FDE" w14:textId="77777777" w:rsidR="000752DE" w:rsidRDefault="000752DE" w:rsidP="004F5E36">
      <w:r>
        <w:separator/>
      </w:r>
    </w:p>
  </w:endnote>
  <w:endnote w:type="continuationSeparator" w:id="0">
    <w:p w14:paraId="760504E8" w14:textId="77777777" w:rsidR="000752DE" w:rsidRDefault="000752D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D968" w14:textId="77777777" w:rsidR="000752DE" w:rsidRDefault="000752DE" w:rsidP="004F5E36">
      <w:r>
        <w:separator/>
      </w:r>
    </w:p>
  </w:footnote>
  <w:footnote w:type="continuationSeparator" w:id="0">
    <w:p w14:paraId="1AA9A31F" w14:textId="77777777" w:rsidR="000752DE" w:rsidRDefault="000752D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C443208"/>
    <w:multiLevelType w:val="multilevel"/>
    <w:tmpl w:val="0FD2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BA612E"/>
    <w:multiLevelType w:val="hybridMultilevel"/>
    <w:tmpl w:val="F7CAC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E2719"/>
    <w:multiLevelType w:val="multilevel"/>
    <w:tmpl w:val="6158F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 w:numId="24">
    <w:abstractNumId w:val="23"/>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0673"/>
    <w:rsid w:val="000117CB"/>
    <w:rsid w:val="0003148D"/>
    <w:rsid w:val="00031EEC"/>
    <w:rsid w:val="00051566"/>
    <w:rsid w:val="000562A9"/>
    <w:rsid w:val="00062A9A"/>
    <w:rsid w:val="00065058"/>
    <w:rsid w:val="000752DE"/>
    <w:rsid w:val="00086C39"/>
    <w:rsid w:val="000A03B2"/>
    <w:rsid w:val="000A7546"/>
    <w:rsid w:val="000D0268"/>
    <w:rsid w:val="000D34BE"/>
    <w:rsid w:val="000E0B3C"/>
    <w:rsid w:val="000E102F"/>
    <w:rsid w:val="000E323F"/>
    <w:rsid w:val="000E36F1"/>
    <w:rsid w:val="000E3A73"/>
    <w:rsid w:val="000E414A"/>
    <w:rsid w:val="000E70A6"/>
    <w:rsid w:val="000E75FD"/>
    <w:rsid w:val="000F093C"/>
    <w:rsid w:val="000F787B"/>
    <w:rsid w:val="0010118D"/>
    <w:rsid w:val="0012091F"/>
    <w:rsid w:val="00126BC2"/>
    <w:rsid w:val="001308B6"/>
    <w:rsid w:val="0013121F"/>
    <w:rsid w:val="00131FE6"/>
    <w:rsid w:val="0013263F"/>
    <w:rsid w:val="001331DF"/>
    <w:rsid w:val="00134DE4"/>
    <w:rsid w:val="0014034D"/>
    <w:rsid w:val="00140FE3"/>
    <w:rsid w:val="00144D16"/>
    <w:rsid w:val="00150E59"/>
    <w:rsid w:val="001511CC"/>
    <w:rsid w:val="00152DE3"/>
    <w:rsid w:val="001545A3"/>
    <w:rsid w:val="00164CF9"/>
    <w:rsid w:val="001667A6"/>
    <w:rsid w:val="0018171E"/>
    <w:rsid w:val="00184AD6"/>
    <w:rsid w:val="00186FAC"/>
    <w:rsid w:val="00192B11"/>
    <w:rsid w:val="001A4AF7"/>
    <w:rsid w:val="001B0349"/>
    <w:rsid w:val="001B1E93"/>
    <w:rsid w:val="001B65C1"/>
    <w:rsid w:val="001B7853"/>
    <w:rsid w:val="001C260F"/>
    <w:rsid w:val="001C5C3A"/>
    <w:rsid w:val="001C684B"/>
    <w:rsid w:val="001D0CFB"/>
    <w:rsid w:val="001D21AF"/>
    <w:rsid w:val="001D53FC"/>
    <w:rsid w:val="001F42A5"/>
    <w:rsid w:val="001F7B9D"/>
    <w:rsid w:val="0020146D"/>
    <w:rsid w:val="00201C93"/>
    <w:rsid w:val="0021756E"/>
    <w:rsid w:val="002224B4"/>
    <w:rsid w:val="0023346A"/>
    <w:rsid w:val="002447EF"/>
    <w:rsid w:val="00251550"/>
    <w:rsid w:val="00263B05"/>
    <w:rsid w:val="0027221A"/>
    <w:rsid w:val="00275B61"/>
    <w:rsid w:val="00280FAF"/>
    <w:rsid w:val="00282656"/>
    <w:rsid w:val="00296B83"/>
    <w:rsid w:val="002B4015"/>
    <w:rsid w:val="002B78CE"/>
    <w:rsid w:val="002C091A"/>
    <w:rsid w:val="002C2FB6"/>
    <w:rsid w:val="002E5FA7"/>
    <w:rsid w:val="002F3309"/>
    <w:rsid w:val="003008CE"/>
    <w:rsid w:val="003009B7"/>
    <w:rsid w:val="00300E56"/>
    <w:rsid w:val="0030152C"/>
    <w:rsid w:val="00301FA4"/>
    <w:rsid w:val="0030469C"/>
    <w:rsid w:val="00321CA6"/>
    <w:rsid w:val="00323763"/>
    <w:rsid w:val="00323C5F"/>
    <w:rsid w:val="003304BB"/>
    <w:rsid w:val="003305E1"/>
    <w:rsid w:val="00334C09"/>
    <w:rsid w:val="00340152"/>
    <w:rsid w:val="003723D4"/>
    <w:rsid w:val="00381905"/>
    <w:rsid w:val="00384CC8"/>
    <w:rsid w:val="003871FD"/>
    <w:rsid w:val="003904D3"/>
    <w:rsid w:val="003A1E30"/>
    <w:rsid w:val="003A2829"/>
    <w:rsid w:val="003A7D1C"/>
    <w:rsid w:val="003B304B"/>
    <w:rsid w:val="003B3146"/>
    <w:rsid w:val="003B49CD"/>
    <w:rsid w:val="003D1E02"/>
    <w:rsid w:val="003E32D1"/>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6D52"/>
    <w:rsid w:val="004C7913"/>
    <w:rsid w:val="004E2B84"/>
    <w:rsid w:val="004E4DD6"/>
    <w:rsid w:val="004F5E36"/>
    <w:rsid w:val="00507B47"/>
    <w:rsid w:val="00507BEF"/>
    <w:rsid w:val="00507CC9"/>
    <w:rsid w:val="005119A5"/>
    <w:rsid w:val="00512203"/>
    <w:rsid w:val="005278B7"/>
    <w:rsid w:val="00532016"/>
    <w:rsid w:val="005346C8"/>
    <w:rsid w:val="00543E7D"/>
    <w:rsid w:val="00547A68"/>
    <w:rsid w:val="005531C9"/>
    <w:rsid w:val="00554879"/>
    <w:rsid w:val="00570C43"/>
    <w:rsid w:val="005849C0"/>
    <w:rsid w:val="00592274"/>
    <w:rsid w:val="005B2110"/>
    <w:rsid w:val="005B350B"/>
    <w:rsid w:val="005B61E6"/>
    <w:rsid w:val="005C77E1"/>
    <w:rsid w:val="005D668A"/>
    <w:rsid w:val="005D6A2F"/>
    <w:rsid w:val="005E0592"/>
    <w:rsid w:val="005E1A82"/>
    <w:rsid w:val="005E794C"/>
    <w:rsid w:val="005F0A28"/>
    <w:rsid w:val="005F0E5E"/>
    <w:rsid w:val="00600535"/>
    <w:rsid w:val="00610CD6"/>
    <w:rsid w:val="00620DEE"/>
    <w:rsid w:val="00621F92"/>
    <w:rsid w:val="0062280A"/>
    <w:rsid w:val="006231E1"/>
    <w:rsid w:val="00625639"/>
    <w:rsid w:val="00631B33"/>
    <w:rsid w:val="0064184D"/>
    <w:rsid w:val="006422CC"/>
    <w:rsid w:val="00651D18"/>
    <w:rsid w:val="00660E3E"/>
    <w:rsid w:val="00662E74"/>
    <w:rsid w:val="006722F3"/>
    <w:rsid w:val="00680C23"/>
    <w:rsid w:val="00683E23"/>
    <w:rsid w:val="00693766"/>
    <w:rsid w:val="006A3281"/>
    <w:rsid w:val="006A6A22"/>
    <w:rsid w:val="006A6DE5"/>
    <w:rsid w:val="006B4888"/>
    <w:rsid w:val="006C2E45"/>
    <w:rsid w:val="006C359C"/>
    <w:rsid w:val="006C5579"/>
    <w:rsid w:val="006D1C85"/>
    <w:rsid w:val="006D6E8B"/>
    <w:rsid w:val="006D7209"/>
    <w:rsid w:val="006E737D"/>
    <w:rsid w:val="00707DD1"/>
    <w:rsid w:val="00713973"/>
    <w:rsid w:val="00720A24"/>
    <w:rsid w:val="00720A5B"/>
    <w:rsid w:val="00732386"/>
    <w:rsid w:val="00733C1D"/>
    <w:rsid w:val="00733F30"/>
    <w:rsid w:val="0073514D"/>
    <w:rsid w:val="007408DA"/>
    <w:rsid w:val="007447F3"/>
    <w:rsid w:val="0075499F"/>
    <w:rsid w:val="00756151"/>
    <w:rsid w:val="007661C8"/>
    <w:rsid w:val="0077098D"/>
    <w:rsid w:val="00785BF9"/>
    <w:rsid w:val="007931FA"/>
    <w:rsid w:val="007A0634"/>
    <w:rsid w:val="007A4861"/>
    <w:rsid w:val="007A7BBA"/>
    <w:rsid w:val="007B0C50"/>
    <w:rsid w:val="007B48F9"/>
    <w:rsid w:val="007C1A43"/>
    <w:rsid w:val="007D0951"/>
    <w:rsid w:val="007D610D"/>
    <w:rsid w:val="0080013E"/>
    <w:rsid w:val="00801759"/>
    <w:rsid w:val="00813288"/>
    <w:rsid w:val="008168FC"/>
    <w:rsid w:val="00830996"/>
    <w:rsid w:val="008345F1"/>
    <w:rsid w:val="00865B07"/>
    <w:rsid w:val="008667EA"/>
    <w:rsid w:val="0087637F"/>
    <w:rsid w:val="008832AA"/>
    <w:rsid w:val="00892AD5"/>
    <w:rsid w:val="008A1512"/>
    <w:rsid w:val="008C6413"/>
    <w:rsid w:val="008D32B9"/>
    <w:rsid w:val="008D3DF8"/>
    <w:rsid w:val="008D433B"/>
    <w:rsid w:val="008D4A16"/>
    <w:rsid w:val="008E5401"/>
    <w:rsid w:val="008E566E"/>
    <w:rsid w:val="008F67A5"/>
    <w:rsid w:val="0090161A"/>
    <w:rsid w:val="00901EB6"/>
    <w:rsid w:val="009041F8"/>
    <w:rsid w:val="00904C62"/>
    <w:rsid w:val="00913C01"/>
    <w:rsid w:val="00922BA8"/>
    <w:rsid w:val="00924DAC"/>
    <w:rsid w:val="00927058"/>
    <w:rsid w:val="00932EE9"/>
    <w:rsid w:val="00942750"/>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B041A"/>
    <w:rsid w:val="009C37C3"/>
    <w:rsid w:val="009C7C86"/>
    <w:rsid w:val="009D2FF7"/>
    <w:rsid w:val="009D6E80"/>
    <w:rsid w:val="009E7884"/>
    <w:rsid w:val="009E788A"/>
    <w:rsid w:val="009F0E08"/>
    <w:rsid w:val="00A079AE"/>
    <w:rsid w:val="00A1763D"/>
    <w:rsid w:val="00A17CEC"/>
    <w:rsid w:val="00A27EF0"/>
    <w:rsid w:val="00A34B2D"/>
    <w:rsid w:val="00A42361"/>
    <w:rsid w:val="00A50B20"/>
    <w:rsid w:val="00A51390"/>
    <w:rsid w:val="00A60D13"/>
    <w:rsid w:val="00A71A2C"/>
    <w:rsid w:val="00A7223D"/>
    <w:rsid w:val="00A72745"/>
    <w:rsid w:val="00A76EFC"/>
    <w:rsid w:val="00A87D50"/>
    <w:rsid w:val="00A91010"/>
    <w:rsid w:val="00A97F29"/>
    <w:rsid w:val="00AA702E"/>
    <w:rsid w:val="00AA7D26"/>
    <w:rsid w:val="00AB0964"/>
    <w:rsid w:val="00AB5011"/>
    <w:rsid w:val="00AC7368"/>
    <w:rsid w:val="00AD0657"/>
    <w:rsid w:val="00AD16B9"/>
    <w:rsid w:val="00AE377D"/>
    <w:rsid w:val="00AF0EBA"/>
    <w:rsid w:val="00AF2463"/>
    <w:rsid w:val="00AF33F4"/>
    <w:rsid w:val="00B02C8A"/>
    <w:rsid w:val="00B17FBD"/>
    <w:rsid w:val="00B315A6"/>
    <w:rsid w:val="00B31813"/>
    <w:rsid w:val="00B33365"/>
    <w:rsid w:val="00B37D32"/>
    <w:rsid w:val="00B57B36"/>
    <w:rsid w:val="00B57E6F"/>
    <w:rsid w:val="00B677FF"/>
    <w:rsid w:val="00B7184E"/>
    <w:rsid w:val="00B8686D"/>
    <w:rsid w:val="00B93F69"/>
    <w:rsid w:val="00BB1DDC"/>
    <w:rsid w:val="00BC30C9"/>
    <w:rsid w:val="00BD0002"/>
    <w:rsid w:val="00BD077D"/>
    <w:rsid w:val="00BE3E58"/>
    <w:rsid w:val="00BE44E0"/>
    <w:rsid w:val="00BE5B0E"/>
    <w:rsid w:val="00BF13CE"/>
    <w:rsid w:val="00C01616"/>
    <w:rsid w:val="00C0162B"/>
    <w:rsid w:val="00C05380"/>
    <w:rsid w:val="00C068ED"/>
    <w:rsid w:val="00C22E0C"/>
    <w:rsid w:val="00C32C7D"/>
    <w:rsid w:val="00C345B1"/>
    <w:rsid w:val="00C40142"/>
    <w:rsid w:val="00C52C3C"/>
    <w:rsid w:val="00C57182"/>
    <w:rsid w:val="00C57863"/>
    <w:rsid w:val="00C640AF"/>
    <w:rsid w:val="00C655FD"/>
    <w:rsid w:val="00C74E2D"/>
    <w:rsid w:val="00C75407"/>
    <w:rsid w:val="00C81E7D"/>
    <w:rsid w:val="00C841C6"/>
    <w:rsid w:val="00C870A8"/>
    <w:rsid w:val="00C94238"/>
    <w:rsid w:val="00C94434"/>
    <w:rsid w:val="00CA0D75"/>
    <w:rsid w:val="00CA1C95"/>
    <w:rsid w:val="00CA5A9C"/>
    <w:rsid w:val="00CC4C20"/>
    <w:rsid w:val="00CD3517"/>
    <w:rsid w:val="00CD5FE2"/>
    <w:rsid w:val="00CE7C68"/>
    <w:rsid w:val="00D02B4C"/>
    <w:rsid w:val="00D040C4"/>
    <w:rsid w:val="00D20AD1"/>
    <w:rsid w:val="00D2582C"/>
    <w:rsid w:val="00D46B7E"/>
    <w:rsid w:val="00D47A0C"/>
    <w:rsid w:val="00D52640"/>
    <w:rsid w:val="00D57C84"/>
    <w:rsid w:val="00D6057D"/>
    <w:rsid w:val="00D71640"/>
    <w:rsid w:val="00D73FD9"/>
    <w:rsid w:val="00D836C5"/>
    <w:rsid w:val="00D84576"/>
    <w:rsid w:val="00DA1399"/>
    <w:rsid w:val="00DA1CF8"/>
    <w:rsid w:val="00DA24C6"/>
    <w:rsid w:val="00DA4D7B"/>
    <w:rsid w:val="00DC2840"/>
    <w:rsid w:val="00DC73EE"/>
    <w:rsid w:val="00DD271C"/>
    <w:rsid w:val="00DE264A"/>
    <w:rsid w:val="00DF5072"/>
    <w:rsid w:val="00E02D18"/>
    <w:rsid w:val="00E041E7"/>
    <w:rsid w:val="00E23CA1"/>
    <w:rsid w:val="00E409A8"/>
    <w:rsid w:val="00E50C12"/>
    <w:rsid w:val="00E65B91"/>
    <w:rsid w:val="00E7209D"/>
    <w:rsid w:val="00E72EAD"/>
    <w:rsid w:val="00E74FAA"/>
    <w:rsid w:val="00E77223"/>
    <w:rsid w:val="00E82A04"/>
    <w:rsid w:val="00E8528B"/>
    <w:rsid w:val="00E85B94"/>
    <w:rsid w:val="00E96B92"/>
    <w:rsid w:val="00E978D0"/>
    <w:rsid w:val="00EA4613"/>
    <w:rsid w:val="00EA7F91"/>
    <w:rsid w:val="00EB1523"/>
    <w:rsid w:val="00EC0E49"/>
    <w:rsid w:val="00EC101F"/>
    <w:rsid w:val="00EC1D9F"/>
    <w:rsid w:val="00EE0131"/>
    <w:rsid w:val="00EE17B0"/>
    <w:rsid w:val="00EF06D9"/>
    <w:rsid w:val="00F0162E"/>
    <w:rsid w:val="00F03DD1"/>
    <w:rsid w:val="00F2410B"/>
    <w:rsid w:val="00F272B3"/>
    <w:rsid w:val="00F3049E"/>
    <w:rsid w:val="00F30C64"/>
    <w:rsid w:val="00F32BA2"/>
    <w:rsid w:val="00F32CDB"/>
    <w:rsid w:val="00F41EE4"/>
    <w:rsid w:val="00F565FE"/>
    <w:rsid w:val="00F63A70"/>
    <w:rsid w:val="00F63D8C"/>
    <w:rsid w:val="00F7534E"/>
    <w:rsid w:val="00F93EDF"/>
    <w:rsid w:val="00FA1802"/>
    <w:rsid w:val="00FA21D0"/>
    <w:rsid w:val="00FA5F5F"/>
    <w:rsid w:val="00FB730C"/>
    <w:rsid w:val="00FC2695"/>
    <w:rsid w:val="00FC3E03"/>
    <w:rsid w:val="00FC3FC1"/>
    <w:rsid w:val="00FE73C9"/>
  </w:rsids>
  <m:mathPr>
    <m:mathFont m:val="Cambria Math"/>
    <m:brkBin m:val="before"/>
    <m:brkBinSub m:val="--"/>
    <m:smallFrac m:val="0"/>
    <m:dispDef/>
    <m:lMargin m:val="0"/>
    <m:rMargin m:val="0"/>
    <m:defJc m:val="centerGroup"/>
    <m:wrapIndent m:val="1440"/>
    <m:intLim m:val="subSup"/>
    <m:naryLim m:val="undOvr"/>
  </m:mathPr>
  <w:themeFontLang w:val="it-IT" w:eastAsia="zh-CN"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table" w:styleId="PlainTable2">
    <w:name w:val="Plain Table 2"/>
    <w:basedOn w:val="TableNormal"/>
    <w:uiPriority w:val="42"/>
    <w:rsid w:val="0023346A"/>
    <w:pPr>
      <w:spacing w:after="0" w:line="240" w:lineRule="auto"/>
    </w:pPr>
    <w:rPr>
      <w:kern w:val="2"/>
      <w:lang w:val="en-US" w:bidi="fa-IR"/>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D52640"/>
    <w:rPr>
      <w:color w:val="666666"/>
    </w:rPr>
  </w:style>
  <w:style w:type="character" w:styleId="Strong">
    <w:name w:val="Strong"/>
    <w:basedOn w:val="DefaultParagraphFont"/>
    <w:uiPriority w:val="22"/>
    <w:qFormat/>
    <w:rsid w:val="00F2410B"/>
    <w:rPr>
      <w:b/>
      <w:bCs/>
    </w:rPr>
  </w:style>
  <w:style w:type="paragraph" w:customStyle="1" w:styleId="my-0">
    <w:name w:val="my-0"/>
    <w:basedOn w:val="Normal"/>
    <w:rsid w:val="00186FAC"/>
    <w:pPr>
      <w:tabs>
        <w:tab w:val="clear" w:pos="7100"/>
      </w:tabs>
      <w:spacing w:before="100" w:beforeAutospacing="1" w:after="100" w:afterAutospacing="1" w:line="240" w:lineRule="auto"/>
      <w:jc w:val="left"/>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8012">
      <w:bodyDiv w:val="1"/>
      <w:marLeft w:val="0"/>
      <w:marRight w:val="0"/>
      <w:marTop w:val="0"/>
      <w:marBottom w:val="0"/>
      <w:divBdr>
        <w:top w:val="none" w:sz="0" w:space="0" w:color="auto"/>
        <w:left w:val="none" w:sz="0" w:space="0" w:color="auto"/>
        <w:bottom w:val="none" w:sz="0" w:space="0" w:color="auto"/>
        <w:right w:val="none" w:sz="0" w:space="0" w:color="auto"/>
      </w:divBdr>
    </w:div>
    <w:div w:id="297493621">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65494697">
      <w:bodyDiv w:val="1"/>
      <w:marLeft w:val="0"/>
      <w:marRight w:val="0"/>
      <w:marTop w:val="0"/>
      <w:marBottom w:val="0"/>
      <w:divBdr>
        <w:top w:val="none" w:sz="0" w:space="0" w:color="auto"/>
        <w:left w:val="none" w:sz="0" w:space="0" w:color="auto"/>
        <w:bottom w:val="none" w:sz="0" w:space="0" w:color="auto"/>
        <w:right w:val="none" w:sz="0" w:space="0" w:color="auto"/>
      </w:divBdr>
    </w:div>
    <w:div w:id="621157619">
      <w:bodyDiv w:val="1"/>
      <w:marLeft w:val="0"/>
      <w:marRight w:val="0"/>
      <w:marTop w:val="0"/>
      <w:marBottom w:val="0"/>
      <w:divBdr>
        <w:top w:val="none" w:sz="0" w:space="0" w:color="auto"/>
        <w:left w:val="none" w:sz="0" w:space="0" w:color="auto"/>
        <w:bottom w:val="none" w:sz="0" w:space="0" w:color="auto"/>
        <w:right w:val="none" w:sz="0" w:space="0" w:color="auto"/>
      </w:divBdr>
    </w:div>
    <w:div w:id="705910058">
      <w:bodyDiv w:val="1"/>
      <w:marLeft w:val="0"/>
      <w:marRight w:val="0"/>
      <w:marTop w:val="0"/>
      <w:marBottom w:val="0"/>
      <w:divBdr>
        <w:top w:val="none" w:sz="0" w:space="0" w:color="auto"/>
        <w:left w:val="none" w:sz="0" w:space="0" w:color="auto"/>
        <w:bottom w:val="none" w:sz="0" w:space="0" w:color="auto"/>
        <w:right w:val="none" w:sz="0" w:space="0" w:color="auto"/>
      </w:divBdr>
    </w:div>
    <w:div w:id="725419454">
      <w:bodyDiv w:val="1"/>
      <w:marLeft w:val="0"/>
      <w:marRight w:val="0"/>
      <w:marTop w:val="0"/>
      <w:marBottom w:val="0"/>
      <w:divBdr>
        <w:top w:val="none" w:sz="0" w:space="0" w:color="auto"/>
        <w:left w:val="none" w:sz="0" w:space="0" w:color="auto"/>
        <w:bottom w:val="none" w:sz="0" w:space="0" w:color="auto"/>
        <w:right w:val="none" w:sz="0" w:space="0" w:color="auto"/>
      </w:divBdr>
    </w:div>
    <w:div w:id="74202867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1898">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84862804">
      <w:bodyDiv w:val="1"/>
      <w:marLeft w:val="0"/>
      <w:marRight w:val="0"/>
      <w:marTop w:val="0"/>
      <w:marBottom w:val="0"/>
      <w:divBdr>
        <w:top w:val="none" w:sz="0" w:space="0" w:color="auto"/>
        <w:left w:val="none" w:sz="0" w:space="0" w:color="auto"/>
        <w:bottom w:val="none" w:sz="0" w:space="0" w:color="auto"/>
        <w:right w:val="none" w:sz="0" w:space="0" w:color="auto"/>
      </w:divBdr>
      <w:divsChild>
        <w:div w:id="930163938">
          <w:marLeft w:val="0"/>
          <w:marRight w:val="0"/>
          <w:marTop w:val="0"/>
          <w:marBottom w:val="0"/>
          <w:divBdr>
            <w:top w:val="single" w:sz="2" w:space="0" w:color="E5E7EB"/>
            <w:left w:val="single" w:sz="2" w:space="0" w:color="E5E7EB"/>
            <w:bottom w:val="single" w:sz="2" w:space="0" w:color="E5E7EB"/>
            <w:right w:val="single" w:sz="2" w:space="0" w:color="E5E7EB"/>
          </w:divBdr>
          <w:divsChild>
            <w:div w:id="2100367259">
              <w:marLeft w:val="0"/>
              <w:marRight w:val="0"/>
              <w:marTop w:val="0"/>
              <w:marBottom w:val="0"/>
              <w:divBdr>
                <w:top w:val="none" w:sz="0" w:space="0" w:color="auto"/>
                <w:left w:val="none" w:sz="0" w:space="0" w:color="auto"/>
                <w:bottom w:val="none" w:sz="0" w:space="0" w:color="auto"/>
                <w:right w:val="none" w:sz="0" w:space="0" w:color="auto"/>
              </w:divBdr>
              <w:divsChild>
                <w:div w:id="1461535198">
                  <w:marLeft w:val="0"/>
                  <w:marRight w:val="0"/>
                  <w:marTop w:val="0"/>
                  <w:marBottom w:val="0"/>
                  <w:divBdr>
                    <w:top w:val="none" w:sz="0" w:space="0" w:color="auto"/>
                    <w:left w:val="none" w:sz="0" w:space="0" w:color="auto"/>
                    <w:bottom w:val="none" w:sz="0" w:space="0" w:color="auto"/>
                    <w:right w:val="none" w:sz="0" w:space="0" w:color="auto"/>
                  </w:divBdr>
                  <w:divsChild>
                    <w:div w:id="359744245">
                      <w:marLeft w:val="0"/>
                      <w:marRight w:val="0"/>
                      <w:marTop w:val="0"/>
                      <w:marBottom w:val="0"/>
                      <w:divBdr>
                        <w:top w:val="single" w:sz="2" w:space="0" w:color="E5E7EB"/>
                        <w:left w:val="single" w:sz="2" w:space="0" w:color="E5E7EB"/>
                        <w:bottom w:val="single" w:sz="2" w:space="0" w:color="E5E7EB"/>
                        <w:right w:val="single" w:sz="2" w:space="0" w:color="E5E7EB"/>
                      </w:divBdr>
                      <w:divsChild>
                        <w:div w:id="1204250892">
                          <w:marLeft w:val="0"/>
                          <w:marRight w:val="0"/>
                          <w:marTop w:val="0"/>
                          <w:marBottom w:val="0"/>
                          <w:divBdr>
                            <w:top w:val="single" w:sz="2" w:space="0" w:color="E5E7EB"/>
                            <w:left w:val="single" w:sz="2" w:space="0" w:color="E5E7EB"/>
                            <w:bottom w:val="single" w:sz="2" w:space="0" w:color="E5E7EB"/>
                            <w:right w:val="single" w:sz="2" w:space="0" w:color="E5E7EB"/>
                          </w:divBdr>
                          <w:divsChild>
                            <w:div w:id="1881824474">
                              <w:marLeft w:val="0"/>
                              <w:marRight w:val="0"/>
                              <w:marTop w:val="0"/>
                              <w:marBottom w:val="0"/>
                              <w:divBdr>
                                <w:top w:val="single" w:sz="2" w:space="0" w:color="E5E7EB"/>
                                <w:left w:val="single" w:sz="2" w:space="0" w:color="E5E7EB"/>
                                <w:bottom w:val="single" w:sz="2" w:space="0" w:color="E5E7EB"/>
                                <w:right w:val="single" w:sz="2" w:space="0" w:color="E5E7EB"/>
                              </w:divBdr>
                              <w:divsChild>
                                <w:div w:id="210462780">
                                  <w:marLeft w:val="0"/>
                                  <w:marRight w:val="0"/>
                                  <w:marTop w:val="0"/>
                                  <w:marBottom w:val="0"/>
                                  <w:divBdr>
                                    <w:top w:val="none" w:sz="0" w:space="0" w:color="auto"/>
                                    <w:left w:val="none" w:sz="0" w:space="0" w:color="auto"/>
                                    <w:bottom w:val="none" w:sz="0" w:space="0" w:color="auto"/>
                                    <w:right w:val="none" w:sz="0" w:space="0" w:color="auto"/>
                                  </w:divBdr>
                                  <w:divsChild>
                                    <w:div w:id="337927805">
                                      <w:marLeft w:val="0"/>
                                      <w:marRight w:val="0"/>
                                      <w:marTop w:val="0"/>
                                      <w:marBottom w:val="0"/>
                                      <w:divBdr>
                                        <w:top w:val="single" w:sz="2" w:space="12" w:color="E5E7EB"/>
                                        <w:left w:val="single" w:sz="2" w:space="12" w:color="E5E7EB"/>
                                        <w:bottom w:val="single" w:sz="2" w:space="0" w:color="E5E7EB"/>
                                        <w:right w:val="single" w:sz="2" w:space="12" w:color="E5E7EB"/>
                                      </w:divBdr>
                                      <w:divsChild>
                                        <w:div w:id="1701466805">
                                          <w:marLeft w:val="0"/>
                                          <w:marRight w:val="0"/>
                                          <w:marTop w:val="0"/>
                                          <w:marBottom w:val="0"/>
                                          <w:divBdr>
                                            <w:top w:val="single" w:sz="2" w:space="12" w:color="E5E7EB"/>
                                            <w:left w:val="single" w:sz="2" w:space="0" w:color="E5E7EB"/>
                                            <w:bottom w:val="single" w:sz="2" w:space="24" w:color="E5E7EB"/>
                                            <w:right w:val="single" w:sz="2" w:space="0" w:color="E5E7EB"/>
                                          </w:divBdr>
                                          <w:divsChild>
                                            <w:div w:id="757749412">
                                              <w:marLeft w:val="0"/>
                                              <w:marRight w:val="0"/>
                                              <w:marTop w:val="0"/>
                                              <w:marBottom w:val="0"/>
                                              <w:divBdr>
                                                <w:top w:val="single" w:sz="2" w:space="0" w:color="E5E7EB"/>
                                                <w:left w:val="single" w:sz="2" w:space="0" w:color="E5E7EB"/>
                                                <w:bottom w:val="single" w:sz="2" w:space="0" w:color="E5E7EB"/>
                                                <w:right w:val="single" w:sz="2" w:space="0" w:color="E5E7EB"/>
                                              </w:divBdr>
                                              <w:divsChild>
                                                <w:div w:id="1350178018">
                                                  <w:marLeft w:val="0"/>
                                                  <w:marRight w:val="0"/>
                                                  <w:marTop w:val="0"/>
                                                  <w:marBottom w:val="0"/>
                                                  <w:divBdr>
                                                    <w:top w:val="single" w:sz="2" w:space="0" w:color="E5E7EB"/>
                                                    <w:left w:val="single" w:sz="2" w:space="0" w:color="E5E7EB"/>
                                                    <w:bottom w:val="single" w:sz="2" w:space="0" w:color="E5E7EB"/>
                                                    <w:right w:val="single" w:sz="2" w:space="0" w:color="E5E7EB"/>
                                                  </w:divBdr>
                                                  <w:divsChild>
                                                    <w:div w:id="1141113675">
                                                      <w:marLeft w:val="0"/>
                                                      <w:marRight w:val="0"/>
                                                      <w:marTop w:val="120"/>
                                                      <w:marBottom w:val="0"/>
                                                      <w:divBdr>
                                                        <w:top w:val="single" w:sz="2" w:space="0" w:color="E5E7EB"/>
                                                        <w:left w:val="single" w:sz="2" w:space="0" w:color="E5E7EB"/>
                                                        <w:bottom w:val="single" w:sz="2" w:space="0" w:color="E5E7EB"/>
                                                        <w:right w:val="single" w:sz="2" w:space="0" w:color="E5E7EB"/>
                                                      </w:divBdr>
                                                      <w:divsChild>
                                                        <w:div w:id="1702585423">
                                                          <w:marLeft w:val="0"/>
                                                          <w:marRight w:val="0"/>
                                                          <w:marTop w:val="0"/>
                                                          <w:marBottom w:val="0"/>
                                                          <w:divBdr>
                                                            <w:top w:val="none" w:sz="0" w:space="0" w:color="auto"/>
                                                            <w:left w:val="none" w:sz="0" w:space="0" w:color="auto"/>
                                                            <w:bottom w:val="none" w:sz="0" w:space="0" w:color="auto"/>
                                                            <w:right w:val="none" w:sz="0" w:space="0" w:color="auto"/>
                                                          </w:divBdr>
                                                          <w:divsChild>
                                                            <w:div w:id="575013957">
                                                              <w:marLeft w:val="0"/>
                                                              <w:marRight w:val="0"/>
                                                              <w:marTop w:val="0"/>
                                                              <w:marBottom w:val="0"/>
                                                              <w:divBdr>
                                                                <w:top w:val="single" w:sz="2" w:space="0" w:color="E5E7EB"/>
                                                                <w:left w:val="single" w:sz="2" w:space="0" w:color="E5E7EB"/>
                                                                <w:bottom w:val="single" w:sz="2" w:space="0" w:color="E5E7EB"/>
                                                                <w:right w:val="single" w:sz="2" w:space="0" w:color="E5E7EB"/>
                                                              </w:divBdr>
                                                              <w:divsChild>
                                                                <w:div w:id="1074206523">
                                                                  <w:marLeft w:val="0"/>
                                                                  <w:marRight w:val="0"/>
                                                                  <w:marTop w:val="0"/>
                                                                  <w:marBottom w:val="0"/>
                                                                  <w:divBdr>
                                                                    <w:top w:val="single" w:sz="2" w:space="0" w:color="E5E7EB"/>
                                                                    <w:left w:val="single" w:sz="2" w:space="0" w:color="E5E7EB"/>
                                                                    <w:bottom w:val="single" w:sz="2" w:space="0" w:color="E5E7EB"/>
                                                                    <w:right w:val="single" w:sz="2" w:space="0" w:color="E5E7EB"/>
                                                                  </w:divBdr>
                                                                  <w:divsChild>
                                                                    <w:div w:id="931378">
                                                                      <w:marLeft w:val="0"/>
                                                                      <w:marRight w:val="0"/>
                                                                      <w:marTop w:val="0"/>
                                                                      <w:marBottom w:val="0"/>
                                                                      <w:divBdr>
                                                                        <w:top w:val="single" w:sz="2" w:space="0" w:color="E5E7EB"/>
                                                                        <w:left w:val="single" w:sz="2" w:space="0" w:color="E5E7EB"/>
                                                                        <w:bottom w:val="single" w:sz="2" w:space="0" w:color="E5E7EB"/>
                                                                        <w:right w:val="single" w:sz="2" w:space="0" w:color="E5E7EB"/>
                                                                      </w:divBdr>
                                                                      <w:divsChild>
                                                                        <w:div w:id="2104840081">
                                                                          <w:marLeft w:val="0"/>
                                                                          <w:marRight w:val="0"/>
                                                                          <w:marTop w:val="0"/>
                                                                          <w:marBottom w:val="0"/>
                                                                          <w:divBdr>
                                                                            <w:top w:val="single" w:sz="2" w:space="0" w:color="E5E7EB"/>
                                                                            <w:left w:val="single" w:sz="2" w:space="0" w:color="E5E7EB"/>
                                                                            <w:bottom w:val="single" w:sz="2" w:space="0" w:color="E5E7EB"/>
                                                                            <w:right w:val="single" w:sz="2" w:space="0" w:color="E5E7EB"/>
                                                                          </w:divBdr>
                                                                          <w:divsChild>
                                                                            <w:div w:id="1493598067">
                                                                              <w:marLeft w:val="0"/>
                                                                              <w:marRight w:val="0"/>
                                                                              <w:marTop w:val="0"/>
                                                                              <w:marBottom w:val="0"/>
                                                                              <w:divBdr>
                                                                                <w:top w:val="single" w:sz="2" w:space="0" w:color="E5E7EB"/>
                                                                                <w:left w:val="single" w:sz="2" w:space="0" w:color="E5E7EB"/>
                                                                                <w:bottom w:val="single" w:sz="2" w:space="0" w:color="E5E7EB"/>
                                                                                <w:right w:val="single" w:sz="2" w:space="0" w:color="E5E7EB"/>
                                                                              </w:divBdr>
                                                                              <w:divsChild>
                                                                                <w:div w:id="13470548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76056234">
                                                                  <w:marLeft w:val="0"/>
                                                                  <w:marRight w:val="0"/>
                                                                  <w:marTop w:val="0"/>
                                                                  <w:marBottom w:val="0"/>
                                                                  <w:divBdr>
                                                                    <w:top w:val="single" w:sz="2" w:space="0" w:color="E5E7EB"/>
                                                                    <w:left w:val="single" w:sz="2" w:space="0" w:color="E5E7EB"/>
                                                                    <w:bottom w:val="single" w:sz="2" w:space="0" w:color="E5E7EB"/>
                                                                    <w:right w:val="single" w:sz="2" w:space="0" w:color="E5E7EB"/>
                                                                  </w:divBdr>
                                                                  <w:divsChild>
                                                                    <w:div w:id="391776889">
                                                                      <w:marLeft w:val="-120"/>
                                                                      <w:marRight w:val="0"/>
                                                                      <w:marTop w:val="0"/>
                                                                      <w:marBottom w:val="0"/>
                                                                      <w:divBdr>
                                                                        <w:top w:val="single" w:sz="2" w:space="0" w:color="E5E7EB"/>
                                                                        <w:left w:val="single" w:sz="2" w:space="0" w:color="E5E7EB"/>
                                                                        <w:bottom w:val="single" w:sz="2" w:space="0" w:color="E5E7EB"/>
                                                                        <w:right w:val="single" w:sz="2" w:space="0" w:color="E5E7EB"/>
                                                                      </w:divBdr>
                                                                      <w:divsChild>
                                                                        <w:div w:id="575869015">
                                                                          <w:marLeft w:val="0"/>
                                                                          <w:marRight w:val="0"/>
                                                                          <w:marTop w:val="0"/>
                                                                          <w:marBottom w:val="0"/>
                                                                          <w:divBdr>
                                                                            <w:top w:val="single" w:sz="2" w:space="0" w:color="E5E7EB"/>
                                                                            <w:left w:val="single" w:sz="2" w:space="0" w:color="E5E7EB"/>
                                                                            <w:bottom w:val="single" w:sz="2" w:space="0" w:color="E5E7EB"/>
                                                                            <w:right w:val="single" w:sz="2" w:space="0" w:color="E5E7EB"/>
                                                                          </w:divBdr>
                                                                          <w:divsChild>
                                                                            <w:div w:id="931546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5346512">
                                                                          <w:marLeft w:val="0"/>
                                                                          <w:marRight w:val="0"/>
                                                                          <w:marTop w:val="0"/>
                                                                          <w:marBottom w:val="0"/>
                                                                          <w:divBdr>
                                                                            <w:top w:val="single" w:sz="2" w:space="0" w:color="E5E7EB"/>
                                                                            <w:left w:val="single" w:sz="2" w:space="0" w:color="E5E7EB"/>
                                                                            <w:bottom w:val="single" w:sz="2" w:space="0" w:color="E5E7EB"/>
                                                                            <w:right w:val="single" w:sz="2" w:space="0" w:color="E5E7EB"/>
                                                                          </w:divBdr>
                                                                          <w:divsChild>
                                                                            <w:div w:id="693269363">
                                                                              <w:marLeft w:val="0"/>
                                                                              <w:marRight w:val="0"/>
                                                                              <w:marTop w:val="0"/>
                                                                              <w:marBottom w:val="0"/>
                                                                              <w:divBdr>
                                                                                <w:top w:val="single" w:sz="2" w:space="0" w:color="E5E7EB"/>
                                                                                <w:left w:val="single" w:sz="2" w:space="0" w:color="E5E7EB"/>
                                                                                <w:bottom w:val="single" w:sz="2" w:space="0" w:color="E5E7EB"/>
                                                                                <w:right w:val="single" w:sz="2" w:space="0" w:color="E5E7EB"/>
                                                                              </w:divBdr>
                                                                              <w:divsChild>
                                                                                <w:div w:id="16323247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4972925">
                                                                          <w:marLeft w:val="0"/>
                                                                          <w:marRight w:val="0"/>
                                                                          <w:marTop w:val="0"/>
                                                                          <w:marBottom w:val="0"/>
                                                                          <w:divBdr>
                                                                            <w:top w:val="single" w:sz="2" w:space="0" w:color="E5E7EB"/>
                                                                            <w:left w:val="single" w:sz="2" w:space="0" w:color="E5E7EB"/>
                                                                            <w:bottom w:val="single" w:sz="2" w:space="0" w:color="E5E7EB"/>
                                                                            <w:right w:val="single" w:sz="2" w:space="0" w:color="E5E7EB"/>
                                                                          </w:divBdr>
                                                                          <w:divsChild>
                                                                            <w:div w:id="2027556897">
                                                                              <w:marLeft w:val="0"/>
                                                                              <w:marRight w:val="0"/>
                                                                              <w:marTop w:val="0"/>
                                                                              <w:marBottom w:val="0"/>
                                                                              <w:divBdr>
                                                                                <w:top w:val="single" w:sz="2" w:space="0" w:color="E5E7EB"/>
                                                                                <w:left w:val="single" w:sz="2" w:space="0" w:color="E5E7EB"/>
                                                                                <w:bottom w:val="single" w:sz="2" w:space="0" w:color="E5E7EB"/>
                                                                                <w:right w:val="single" w:sz="2" w:space="0" w:color="E5E7EB"/>
                                                                              </w:divBdr>
                                                                              <w:divsChild>
                                                                                <w:div w:id="20043538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40638543">
                                                          <w:marLeft w:val="0"/>
                                                          <w:marRight w:val="0"/>
                                                          <w:marTop w:val="0"/>
                                                          <w:marBottom w:val="0"/>
                                                          <w:divBdr>
                                                            <w:top w:val="single" w:sz="2" w:space="0" w:color="E5E7EB"/>
                                                            <w:left w:val="single" w:sz="2" w:space="0" w:color="E5E7EB"/>
                                                            <w:bottom w:val="single" w:sz="2" w:space="0" w:color="E5E7EB"/>
                                                            <w:right w:val="single" w:sz="2" w:space="0" w:color="E5E7EB"/>
                                                          </w:divBdr>
                                                          <w:divsChild>
                                                            <w:div w:id="1657950702">
                                                              <w:marLeft w:val="0"/>
                                                              <w:marRight w:val="0"/>
                                                              <w:marTop w:val="0"/>
                                                              <w:marBottom w:val="0"/>
                                                              <w:divBdr>
                                                                <w:top w:val="none" w:sz="0" w:space="0" w:color="auto"/>
                                                                <w:left w:val="none" w:sz="0" w:space="0" w:color="auto"/>
                                                                <w:bottom w:val="none" w:sz="0" w:space="0" w:color="auto"/>
                                                                <w:right w:val="none" w:sz="0" w:space="0" w:color="auto"/>
                                                              </w:divBdr>
                                                              <w:divsChild>
                                                                <w:div w:id="1137575762">
                                                                  <w:marLeft w:val="0"/>
                                                                  <w:marRight w:val="0"/>
                                                                  <w:marTop w:val="0"/>
                                                                  <w:marBottom w:val="0"/>
                                                                  <w:divBdr>
                                                                    <w:top w:val="none" w:sz="0" w:space="0" w:color="auto"/>
                                                                    <w:left w:val="none" w:sz="0" w:space="0" w:color="auto"/>
                                                                    <w:bottom w:val="none" w:sz="0" w:space="0" w:color="auto"/>
                                                                    <w:right w:val="none" w:sz="0" w:space="0" w:color="auto"/>
                                                                  </w:divBdr>
                                                                  <w:divsChild>
                                                                    <w:div w:id="430784755">
                                                                      <w:marLeft w:val="0"/>
                                                                      <w:marRight w:val="0"/>
                                                                      <w:marTop w:val="0"/>
                                                                      <w:marBottom w:val="0"/>
                                                                      <w:divBdr>
                                                                        <w:top w:val="none" w:sz="0" w:space="0" w:color="auto"/>
                                                                        <w:left w:val="none" w:sz="0" w:space="0" w:color="auto"/>
                                                                        <w:bottom w:val="none" w:sz="0" w:space="0" w:color="auto"/>
                                                                        <w:right w:val="none" w:sz="0" w:space="0" w:color="auto"/>
                                                                      </w:divBdr>
                                                                      <w:divsChild>
                                                                        <w:div w:id="418911654">
                                                                          <w:marLeft w:val="0"/>
                                                                          <w:marRight w:val="0"/>
                                                                          <w:marTop w:val="0"/>
                                                                          <w:marBottom w:val="120"/>
                                                                          <w:divBdr>
                                                                            <w:top w:val="single" w:sz="2" w:space="0" w:color="E5E7EB"/>
                                                                            <w:left w:val="single" w:sz="2" w:space="0" w:color="E5E7EB"/>
                                                                            <w:bottom w:val="single" w:sz="2" w:space="0" w:color="E5E7EB"/>
                                                                            <w:right w:val="single" w:sz="2" w:space="0" w:color="E5E7EB"/>
                                                                          </w:divBdr>
                                                                          <w:divsChild>
                                                                            <w:div w:id="883951197">
                                                                              <w:marLeft w:val="0"/>
                                                                              <w:marRight w:val="0"/>
                                                                              <w:marTop w:val="0"/>
                                                                              <w:marBottom w:val="0"/>
                                                                              <w:divBdr>
                                                                                <w:top w:val="single" w:sz="2" w:space="0" w:color="E5E7EB"/>
                                                                                <w:left w:val="single" w:sz="2" w:space="0" w:color="E5E7EB"/>
                                                                                <w:bottom w:val="single" w:sz="2" w:space="0" w:color="E5E7EB"/>
                                                                                <w:right w:val="single" w:sz="2" w:space="0" w:color="E5E7EB"/>
                                                                              </w:divBdr>
                                                                              <w:divsChild>
                                                                                <w:div w:id="430661590">
                                                                                  <w:marLeft w:val="0"/>
                                                                                  <w:marRight w:val="0"/>
                                                                                  <w:marTop w:val="0"/>
                                                                                  <w:marBottom w:val="0"/>
                                                                                  <w:divBdr>
                                                                                    <w:top w:val="single" w:sz="2" w:space="0" w:color="E5E7EB"/>
                                                                                    <w:left w:val="single" w:sz="2" w:space="0" w:color="E5E7EB"/>
                                                                                    <w:bottom w:val="single" w:sz="2" w:space="0" w:color="E5E7EB"/>
                                                                                    <w:right w:val="single" w:sz="2" w:space="0" w:color="E5E7EB"/>
                                                                                  </w:divBdr>
                                                                                  <w:divsChild>
                                                                                    <w:div w:id="1060589501">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97964168">
                                                                      <w:marLeft w:val="0"/>
                                                                      <w:marRight w:val="0"/>
                                                                      <w:marTop w:val="0"/>
                                                                      <w:marBottom w:val="0"/>
                                                                      <w:divBdr>
                                                                        <w:top w:val="single" w:sz="6" w:space="0" w:color="auto"/>
                                                                        <w:left w:val="single" w:sz="2" w:space="0" w:color="auto"/>
                                                                        <w:bottom w:val="single" w:sz="2" w:space="0" w:color="auto"/>
                                                                        <w:right w:val="single" w:sz="2" w:space="0" w:color="auto"/>
                                                                      </w:divBdr>
                                                                      <w:divsChild>
                                                                        <w:div w:id="837579963">
                                                                          <w:marLeft w:val="0"/>
                                                                          <w:marRight w:val="0"/>
                                                                          <w:marTop w:val="0"/>
                                                                          <w:marBottom w:val="0"/>
                                                                          <w:divBdr>
                                                                            <w:top w:val="single" w:sz="2" w:space="6" w:color="E5E7EB"/>
                                                                            <w:left w:val="single" w:sz="2" w:space="0" w:color="E5E7EB"/>
                                                                            <w:bottom w:val="single" w:sz="2" w:space="6" w:color="E5E7EB"/>
                                                                            <w:right w:val="single" w:sz="2" w:space="0" w:color="E5E7EB"/>
                                                                          </w:divBdr>
                                                                          <w:divsChild>
                                                                            <w:div w:id="856583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0557">
      <w:bodyDiv w:val="1"/>
      <w:marLeft w:val="0"/>
      <w:marRight w:val="0"/>
      <w:marTop w:val="0"/>
      <w:marBottom w:val="0"/>
      <w:divBdr>
        <w:top w:val="none" w:sz="0" w:space="0" w:color="auto"/>
        <w:left w:val="none" w:sz="0" w:space="0" w:color="auto"/>
        <w:bottom w:val="none" w:sz="0" w:space="0" w:color="auto"/>
        <w:right w:val="none" w:sz="0" w:space="0" w:color="auto"/>
      </w:divBdr>
    </w:div>
    <w:div w:id="1695231206">
      <w:bodyDiv w:val="1"/>
      <w:marLeft w:val="0"/>
      <w:marRight w:val="0"/>
      <w:marTop w:val="0"/>
      <w:marBottom w:val="0"/>
      <w:divBdr>
        <w:top w:val="none" w:sz="0" w:space="0" w:color="auto"/>
        <w:left w:val="none" w:sz="0" w:space="0" w:color="auto"/>
        <w:bottom w:val="none" w:sz="0" w:space="0" w:color="auto"/>
        <w:right w:val="none" w:sz="0" w:space="0" w:color="auto"/>
      </w:divBdr>
    </w:div>
    <w:div w:id="1725332131">
      <w:bodyDiv w:val="1"/>
      <w:marLeft w:val="0"/>
      <w:marRight w:val="0"/>
      <w:marTop w:val="0"/>
      <w:marBottom w:val="0"/>
      <w:divBdr>
        <w:top w:val="none" w:sz="0" w:space="0" w:color="auto"/>
        <w:left w:val="none" w:sz="0" w:space="0" w:color="auto"/>
        <w:bottom w:val="none" w:sz="0" w:space="0" w:color="auto"/>
        <w:right w:val="none" w:sz="0" w:space="0" w:color="auto"/>
      </w:divBdr>
      <w:divsChild>
        <w:div w:id="110788587">
          <w:marLeft w:val="0"/>
          <w:marRight w:val="0"/>
          <w:marTop w:val="0"/>
          <w:marBottom w:val="0"/>
          <w:divBdr>
            <w:top w:val="single" w:sz="2" w:space="0" w:color="E5E7EB"/>
            <w:left w:val="single" w:sz="2" w:space="0" w:color="E5E7EB"/>
            <w:bottom w:val="single" w:sz="2" w:space="0" w:color="E5E7EB"/>
            <w:right w:val="single" w:sz="2" w:space="0" w:color="E5E7EB"/>
          </w:divBdr>
          <w:divsChild>
            <w:div w:id="81337006">
              <w:marLeft w:val="0"/>
              <w:marRight w:val="0"/>
              <w:marTop w:val="0"/>
              <w:marBottom w:val="0"/>
              <w:divBdr>
                <w:top w:val="none" w:sz="0" w:space="0" w:color="auto"/>
                <w:left w:val="none" w:sz="0" w:space="0" w:color="auto"/>
                <w:bottom w:val="none" w:sz="0" w:space="0" w:color="auto"/>
                <w:right w:val="none" w:sz="0" w:space="0" w:color="auto"/>
              </w:divBdr>
              <w:divsChild>
                <w:div w:id="81536316">
                  <w:marLeft w:val="0"/>
                  <w:marRight w:val="0"/>
                  <w:marTop w:val="0"/>
                  <w:marBottom w:val="0"/>
                  <w:divBdr>
                    <w:top w:val="none" w:sz="0" w:space="0" w:color="auto"/>
                    <w:left w:val="none" w:sz="0" w:space="0" w:color="auto"/>
                    <w:bottom w:val="none" w:sz="0" w:space="0" w:color="auto"/>
                    <w:right w:val="none" w:sz="0" w:space="0" w:color="auto"/>
                  </w:divBdr>
                  <w:divsChild>
                    <w:div w:id="802040818">
                      <w:marLeft w:val="0"/>
                      <w:marRight w:val="0"/>
                      <w:marTop w:val="0"/>
                      <w:marBottom w:val="0"/>
                      <w:divBdr>
                        <w:top w:val="single" w:sz="2" w:space="0" w:color="E5E7EB"/>
                        <w:left w:val="single" w:sz="2" w:space="0" w:color="E5E7EB"/>
                        <w:bottom w:val="single" w:sz="2" w:space="0" w:color="E5E7EB"/>
                        <w:right w:val="single" w:sz="2" w:space="0" w:color="E5E7EB"/>
                      </w:divBdr>
                      <w:divsChild>
                        <w:div w:id="51001586">
                          <w:marLeft w:val="0"/>
                          <w:marRight w:val="0"/>
                          <w:marTop w:val="0"/>
                          <w:marBottom w:val="0"/>
                          <w:divBdr>
                            <w:top w:val="single" w:sz="2" w:space="0" w:color="E5E7EB"/>
                            <w:left w:val="single" w:sz="2" w:space="0" w:color="E5E7EB"/>
                            <w:bottom w:val="single" w:sz="2" w:space="0" w:color="E5E7EB"/>
                            <w:right w:val="single" w:sz="2" w:space="0" w:color="E5E7EB"/>
                          </w:divBdr>
                          <w:divsChild>
                            <w:div w:id="1521235038">
                              <w:marLeft w:val="0"/>
                              <w:marRight w:val="0"/>
                              <w:marTop w:val="0"/>
                              <w:marBottom w:val="0"/>
                              <w:divBdr>
                                <w:top w:val="single" w:sz="2" w:space="0" w:color="E5E7EB"/>
                                <w:left w:val="single" w:sz="2" w:space="0" w:color="E5E7EB"/>
                                <w:bottom w:val="single" w:sz="2" w:space="0" w:color="E5E7EB"/>
                                <w:right w:val="single" w:sz="2" w:space="0" w:color="E5E7EB"/>
                              </w:divBdr>
                              <w:divsChild>
                                <w:div w:id="1666395351">
                                  <w:marLeft w:val="0"/>
                                  <w:marRight w:val="0"/>
                                  <w:marTop w:val="0"/>
                                  <w:marBottom w:val="0"/>
                                  <w:divBdr>
                                    <w:top w:val="none" w:sz="0" w:space="0" w:color="auto"/>
                                    <w:left w:val="none" w:sz="0" w:space="0" w:color="auto"/>
                                    <w:bottom w:val="none" w:sz="0" w:space="0" w:color="auto"/>
                                    <w:right w:val="none" w:sz="0" w:space="0" w:color="auto"/>
                                  </w:divBdr>
                                  <w:divsChild>
                                    <w:div w:id="1680691335">
                                      <w:marLeft w:val="0"/>
                                      <w:marRight w:val="0"/>
                                      <w:marTop w:val="0"/>
                                      <w:marBottom w:val="0"/>
                                      <w:divBdr>
                                        <w:top w:val="single" w:sz="2" w:space="12" w:color="E5E7EB"/>
                                        <w:left w:val="single" w:sz="2" w:space="12" w:color="E5E7EB"/>
                                        <w:bottom w:val="single" w:sz="2" w:space="0" w:color="E5E7EB"/>
                                        <w:right w:val="single" w:sz="2" w:space="12" w:color="E5E7EB"/>
                                      </w:divBdr>
                                      <w:divsChild>
                                        <w:div w:id="968901689">
                                          <w:marLeft w:val="0"/>
                                          <w:marRight w:val="0"/>
                                          <w:marTop w:val="0"/>
                                          <w:marBottom w:val="0"/>
                                          <w:divBdr>
                                            <w:top w:val="single" w:sz="2" w:space="12" w:color="E5E7EB"/>
                                            <w:left w:val="single" w:sz="2" w:space="0" w:color="E5E7EB"/>
                                            <w:bottom w:val="single" w:sz="2" w:space="24" w:color="E5E7EB"/>
                                            <w:right w:val="single" w:sz="2" w:space="0" w:color="E5E7EB"/>
                                          </w:divBdr>
                                          <w:divsChild>
                                            <w:div w:id="1311523352">
                                              <w:marLeft w:val="0"/>
                                              <w:marRight w:val="0"/>
                                              <w:marTop w:val="0"/>
                                              <w:marBottom w:val="0"/>
                                              <w:divBdr>
                                                <w:top w:val="single" w:sz="2" w:space="0" w:color="E5E7EB"/>
                                                <w:left w:val="single" w:sz="2" w:space="0" w:color="E5E7EB"/>
                                                <w:bottom w:val="single" w:sz="2" w:space="0" w:color="E5E7EB"/>
                                                <w:right w:val="single" w:sz="2" w:space="0" w:color="E5E7EB"/>
                                              </w:divBdr>
                                              <w:divsChild>
                                                <w:div w:id="627321591">
                                                  <w:marLeft w:val="0"/>
                                                  <w:marRight w:val="0"/>
                                                  <w:marTop w:val="0"/>
                                                  <w:marBottom w:val="0"/>
                                                  <w:divBdr>
                                                    <w:top w:val="single" w:sz="2" w:space="0" w:color="E5E7EB"/>
                                                    <w:left w:val="single" w:sz="2" w:space="0" w:color="E5E7EB"/>
                                                    <w:bottom w:val="single" w:sz="2" w:space="0" w:color="E5E7EB"/>
                                                    <w:right w:val="single" w:sz="2" w:space="0" w:color="E5E7EB"/>
                                                  </w:divBdr>
                                                  <w:divsChild>
                                                    <w:div w:id="1669282417">
                                                      <w:marLeft w:val="0"/>
                                                      <w:marRight w:val="0"/>
                                                      <w:marTop w:val="120"/>
                                                      <w:marBottom w:val="0"/>
                                                      <w:divBdr>
                                                        <w:top w:val="single" w:sz="2" w:space="0" w:color="E5E7EB"/>
                                                        <w:left w:val="single" w:sz="2" w:space="0" w:color="E5E7EB"/>
                                                        <w:bottom w:val="single" w:sz="2" w:space="0" w:color="E5E7EB"/>
                                                        <w:right w:val="single" w:sz="2" w:space="0" w:color="E5E7EB"/>
                                                      </w:divBdr>
                                                      <w:divsChild>
                                                        <w:div w:id="962420604">
                                                          <w:marLeft w:val="0"/>
                                                          <w:marRight w:val="0"/>
                                                          <w:marTop w:val="0"/>
                                                          <w:marBottom w:val="0"/>
                                                          <w:divBdr>
                                                            <w:top w:val="none" w:sz="0" w:space="0" w:color="auto"/>
                                                            <w:left w:val="none" w:sz="0" w:space="0" w:color="auto"/>
                                                            <w:bottom w:val="none" w:sz="0" w:space="0" w:color="auto"/>
                                                            <w:right w:val="none" w:sz="0" w:space="0" w:color="auto"/>
                                                          </w:divBdr>
                                                          <w:divsChild>
                                                            <w:div w:id="1710837977">
                                                              <w:marLeft w:val="0"/>
                                                              <w:marRight w:val="0"/>
                                                              <w:marTop w:val="0"/>
                                                              <w:marBottom w:val="0"/>
                                                              <w:divBdr>
                                                                <w:top w:val="single" w:sz="2" w:space="0" w:color="E5E7EB"/>
                                                                <w:left w:val="single" w:sz="2" w:space="0" w:color="E5E7EB"/>
                                                                <w:bottom w:val="single" w:sz="2" w:space="0" w:color="E5E7EB"/>
                                                                <w:right w:val="single" w:sz="2" w:space="0" w:color="E5E7EB"/>
                                                              </w:divBdr>
                                                              <w:divsChild>
                                                                <w:div w:id="601228985">
                                                                  <w:marLeft w:val="0"/>
                                                                  <w:marRight w:val="0"/>
                                                                  <w:marTop w:val="0"/>
                                                                  <w:marBottom w:val="0"/>
                                                                  <w:divBdr>
                                                                    <w:top w:val="single" w:sz="2" w:space="0" w:color="E5E7EB"/>
                                                                    <w:left w:val="single" w:sz="2" w:space="0" w:color="E5E7EB"/>
                                                                    <w:bottom w:val="single" w:sz="2" w:space="0" w:color="E5E7EB"/>
                                                                    <w:right w:val="single" w:sz="2" w:space="0" w:color="E5E7EB"/>
                                                                  </w:divBdr>
                                                                  <w:divsChild>
                                                                    <w:div w:id="1342856700">
                                                                      <w:marLeft w:val="0"/>
                                                                      <w:marRight w:val="0"/>
                                                                      <w:marTop w:val="0"/>
                                                                      <w:marBottom w:val="0"/>
                                                                      <w:divBdr>
                                                                        <w:top w:val="single" w:sz="2" w:space="0" w:color="E5E7EB"/>
                                                                        <w:left w:val="single" w:sz="2" w:space="0" w:color="E5E7EB"/>
                                                                        <w:bottom w:val="single" w:sz="2" w:space="0" w:color="E5E7EB"/>
                                                                        <w:right w:val="single" w:sz="2" w:space="0" w:color="E5E7EB"/>
                                                                      </w:divBdr>
                                                                      <w:divsChild>
                                                                        <w:div w:id="423888752">
                                                                          <w:marLeft w:val="0"/>
                                                                          <w:marRight w:val="0"/>
                                                                          <w:marTop w:val="0"/>
                                                                          <w:marBottom w:val="0"/>
                                                                          <w:divBdr>
                                                                            <w:top w:val="single" w:sz="2" w:space="0" w:color="E5E7EB"/>
                                                                            <w:left w:val="single" w:sz="2" w:space="0" w:color="E5E7EB"/>
                                                                            <w:bottom w:val="single" w:sz="2" w:space="0" w:color="E5E7EB"/>
                                                                            <w:right w:val="single" w:sz="2" w:space="0" w:color="E5E7EB"/>
                                                                          </w:divBdr>
                                                                          <w:divsChild>
                                                                            <w:div w:id="724640951">
                                                                              <w:marLeft w:val="0"/>
                                                                              <w:marRight w:val="0"/>
                                                                              <w:marTop w:val="0"/>
                                                                              <w:marBottom w:val="0"/>
                                                                              <w:divBdr>
                                                                                <w:top w:val="single" w:sz="2" w:space="0" w:color="E5E7EB"/>
                                                                                <w:left w:val="single" w:sz="2" w:space="0" w:color="E5E7EB"/>
                                                                                <w:bottom w:val="single" w:sz="2" w:space="0" w:color="E5E7EB"/>
                                                                                <w:right w:val="single" w:sz="2" w:space="0" w:color="E5E7EB"/>
                                                                              </w:divBdr>
                                                                              <w:divsChild>
                                                                                <w:div w:id="11125555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55554777">
                                                                  <w:marLeft w:val="0"/>
                                                                  <w:marRight w:val="0"/>
                                                                  <w:marTop w:val="0"/>
                                                                  <w:marBottom w:val="0"/>
                                                                  <w:divBdr>
                                                                    <w:top w:val="single" w:sz="2" w:space="0" w:color="E5E7EB"/>
                                                                    <w:left w:val="single" w:sz="2" w:space="0" w:color="E5E7EB"/>
                                                                    <w:bottom w:val="single" w:sz="2" w:space="0" w:color="E5E7EB"/>
                                                                    <w:right w:val="single" w:sz="2" w:space="0" w:color="E5E7EB"/>
                                                                  </w:divBdr>
                                                                  <w:divsChild>
                                                                    <w:div w:id="1864512963">
                                                                      <w:marLeft w:val="-120"/>
                                                                      <w:marRight w:val="0"/>
                                                                      <w:marTop w:val="0"/>
                                                                      <w:marBottom w:val="0"/>
                                                                      <w:divBdr>
                                                                        <w:top w:val="single" w:sz="2" w:space="0" w:color="E5E7EB"/>
                                                                        <w:left w:val="single" w:sz="2" w:space="0" w:color="E5E7EB"/>
                                                                        <w:bottom w:val="single" w:sz="2" w:space="0" w:color="E5E7EB"/>
                                                                        <w:right w:val="single" w:sz="2" w:space="0" w:color="E5E7EB"/>
                                                                      </w:divBdr>
                                                                      <w:divsChild>
                                                                        <w:div w:id="1440181904">
                                                                          <w:marLeft w:val="0"/>
                                                                          <w:marRight w:val="0"/>
                                                                          <w:marTop w:val="0"/>
                                                                          <w:marBottom w:val="0"/>
                                                                          <w:divBdr>
                                                                            <w:top w:val="single" w:sz="2" w:space="0" w:color="E5E7EB"/>
                                                                            <w:left w:val="single" w:sz="2" w:space="0" w:color="E5E7EB"/>
                                                                            <w:bottom w:val="single" w:sz="2" w:space="0" w:color="E5E7EB"/>
                                                                            <w:right w:val="single" w:sz="2" w:space="0" w:color="E5E7EB"/>
                                                                          </w:divBdr>
                                                                          <w:divsChild>
                                                                            <w:div w:id="2136943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1936523">
                                                                          <w:marLeft w:val="0"/>
                                                                          <w:marRight w:val="0"/>
                                                                          <w:marTop w:val="0"/>
                                                                          <w:marBottom w:val="0"/>
                                                                          <w:divBdr>
                                                                            <w:top w:val="single" w:sz="2" w:space="0" w:color="E5E7EB"/>
                                                                            <w:left w:val="single" w:sz="2" w:space="0" w:color="E5E7EB"/>
                                                                            <w:bottom w:val="single" w:sz="2" w:space="0" w:color="E5E7EB"/>
                                                                            <w:right w:val="single" w:sz="2" w:space="0" w:color="E5E7EB"/>
                                                                          </w:divBdr>
                                                                          <w:divsChild>
                                                                            <w:div w:id="1429306856">
                                                                              <w:marLeft w:val="0"/>
                                                                              <w:marRight w:val="0"/>
                                                                              <w:marTop w:val="0"/>
                                                                              <w:marBottom w:val="0"/>
                                                                              <w:divBdr>
                                                                                <w:top w:val="single" w:sz="2" w:space="0" w:color="E5E7EB"/>
                                                                                <w:left w:val="single" w:sz="2" w:space="0" w:color="E5E7EB"/>
                                                                                <w:bottom w:val="single" w:sz="2" w:space="0" w:color="E5E7EB"/>
                                                                                <w:right w:val="single" w:sz="2" w:space="0" w:color="E5E7EB"/>
                                                                              </w:divBdr>
                                                                              <w:divsChild>
                                                                                <w:div w:id="917137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1158884">
                                                                          <w:marLeft w:val="0"/>
                                                                          <w:marRight w:val="0"/>
                                                                          <w:marTop w:val="0"/>
                                                                          <w:marBottom w:val="0"/>
                                                                          <w:divBdr>
                                                                            <w:top w:val="single" w:sz="2" w:space="0" w:color="E5E7EB"/>
                                                                            <w:left w:val="single" w:sz="2" w:space="0" w:color="E5E7EB"/>
                                                                            <w:bottom w:val="single" w:sz="2" w:space="0" w:color="E5E7EB"/>
                                                                            <w:right w:val="single" w:sz="2" w:space="0" w:color="E5E7EB"/>
                                                                          </w:divBdr>
                                                                          <w:divsChild>
                                                                            <w:div w:id="244992699">
                                                                              <w:marLeft w:val="0"/>
                                                                              <w:marRight w:val="0"/>
                                                                              <w:marTop w:val="0"/>
                                                                              <w:marBottom w:val="0"/>
                                                                              <w:divBdr>
                                                                                <w:top w:val="single" w:sz="2" w:space="0" w:color="E5E7EB"/>
                                                                                <w:left w:val="single" w:sz="2" w:space="0" w:color="E5E7EB"/>
                                                                                <w:bottom w:val="single" w:sz="2" w:space="0" w:color="E5E7EB"/>
                                                                                <w:right w:val="single" w:sz="2" w:space="0" w:color="E5E7EB"/>
                                                                              </w:divBdr>
                                                                              <w:divsChild>
                                                                                <w:div w:id="14408377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0265150">
                                                          <w:marLeft w:val="0"/>
                                                          <w:marRight w:val="0"/>
                                                          <w:marTop w:val="0"/>
                                                          <w:marBottom w:val="0"/>
                                                          <w:divBdr>
                                                            <w:top w:val="single" w:sz="2" w:space="0" w:color="E5E7EB"/>
                                                            <w:left w:val="single" w:sz="2" w:space="0" w:color="E5E7EB"/>
                                                            <w:bottom w:val="single" w:sz="2" w:space="0" w:color="E5E7EB"/>
                                                            <w:right w:val="single" w:sz="2" w:space="0" w:color="E5E7EB"/>
                                                          </w:divBdr>
                                                          <w:divsChild>
                                                            <w:div w:id="234782486">
                                                              <w:marLeft w:val="0"/>
                                                              <w:marRight w:val="0"/>
                                                              <w:marTop w:val="0"/>
                                                              <w:marBottom w:val="0"/>
                                                              <w:divBdr>
                                                                <w:top w:val="none" w:sz="0" w:space="0" w:color="auto"/>
                                                                <w:left w:val="none" w:sz="0" w:space="0" w:color="auto"/>
                                                                <w:bottom w:val="none" w:sz="0" w:space="0" w:color="auto"/>
                                                                <w:right w:val="none" w:sz="0" w:space="0" w:color="auto"/>
                                                              </w:divBdr>
                                                              <w:divsChild>
                                                                <w:div w:id="521937896">
                                                                  <w:marLeft w:val="0"/>
                                                                  <w:marRight w:val="0"/>
                                                                  <w:marTop w:val="0"/>
                                                                  <w:marBottom w:val="0"/>
                                                                  <w:divBdr>
                                                                    <w:top w:val="none" w:sz="0" w:space="0" w:color="auto"/>
                                                                    <w:left w:val="none" w:sz="0" w:space="0" w:color="auto"/>
                                                                    <w:bottom w:val="none" w:sz="0" w:space="0" w:color="auto"/>
                                                                    <w:right w:val="none" w:sz="0" w:space="0" w:color="auto"/>
                                                                  </w:divBdr>
                                                                  <w:divsChild>
                                                                    <w:div w:id="1451705881">
                                                                      <w:marLeft w:val="0"/>
                                                                      <w:marRight w:val="0"/>
                                                                      <w:marTop w:val="0"/>
                                                                      <w:marBottom w:val="0"/>
                                                                      <w:divBdr>
                                                                        <w:top w:val="none" w:sz="0" w:space="0" w:color="auto"/>
                                                                        <w:left w:val="none" w:sz="0" w:space="0" w:color="auto"/>
                                                                        <w:bottom w:val="none" w:sz="0" w:space="0" w:color="auto"/>
                                                                        <w:right w:val="none" w:sz="0" w:space="0" w:color="auto"/>
                                                                      </w:divBdr>
                                                                      <w:divsChild>
                                                                        <w:div w:id="74907733">
                                                                          <w:marLeft w:val="0"/>
                                                                          <w:marRight w:val="0"/>
                                                                          <w:marTop w:val="0"/>
                                                                          <w:marBottom w:val="120"/>
                                                                          <w:divBdr>
                                                                            <w:top w:val="single" w:sz="2" w:space="0" w:color="E5E7EB"/>
                                                                            <w:left w:val="single" w:sz="2" w:space="0" w:color="E5E7EB"/>
                                                                            <w:bottom w:val="single" w:sz="2" w:space="0" w:color="E5E7EB"/>
                                                                            <w:right w:val="single" w:sz="2" w:space="0" w:color="E5E7EB"/>
                                                                          </w:divBdr>
                                                                          <w:divsChild>
                                                                            <w:div w:id="260993803">
                                                                              <w:marLeft w:val="0"/>
                                                                              <w:marRight w:val="0"/>
                                                                              <w:marTop w:val="0"/>
                                                                              <w:marBottom w:val="0"/>
                                                                              <w:divBdr>
                                                                                <w:top w:val="single" w:sz="2" w:space="0" w:color="E5E7EB"/>
                                                                                <w:left w:val="single" w:sz="2" w:space="0" w:color="E5E7EB"/>
                                                                                <w:bottom w:val="single" w:sz="2" w:space="0" w:color="E5E7EB"/>
                                                                                <w:right w:val="single" w:sz="2" w:space="0" w:color="E5E7EB"/>
                                                                              </w:divBdr>
                                                                              <w:divsChild>
                                                                                <w:div w:id="861357735">
                                                                                  <w:marLeft w:val="0"/>
                                                                                  <w:marRight w:val="0"/>
                                                                                  <w:marTop w:val="0"/>
                                                                                  <w:marBottom w:val="0"/>
                                                                                  <w:divBdr>
                                                                                    <w:top w:val="single" w:sz="2" w:space="0" w:color="E5E7EB"/>
                                                                                    <w:left w:val="single" w:sz="2" w:space="0" w:color="E5E7EB"/>
                                                                                    <w:bottom w:val="single" w:sz="2" w:space="0" w:color="E5E7EB"/>
                                                                                    <w:right w:val="single" w:sz="2" w:space="0" w:color="E5E7EB"/>
                                                                                  </w:divBdr>
                                                                                  <w:divsChild>
                                                                                    <w:div w:id="904485072">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48736527">
                                                                      <w:marLeft w:val="0"/>
                                                                      <w:marRight w:val="0"/>
                                                                      <w:marTop w:val="0"/>
                                                                      <w:marBottom w:val="0"/>
                                                                      <w:divBdr>
                                                                        <w:top w:val="single" w:sz="6" w:space="0" w:color="auto"/>
                                                                        <w:left w:val="single" w:sz="2" w:space="0" w:color="auto"/>
                                                                        <w:bottom w:val="single" w:sz="2" w:space="0" w:color="auto"/>
                                                                        <w:right w:val="single" w:sz="2" w:space="0" w:color="auto"/>
                                                                      </w:divBdr>
                                                                      <w:divsChild>
                                                                        <w:div w:id="1488404404">
                                                                          <w:marLeft w:val="0"/>
                                                                          <w:marRight w:val="0"/>
                                                                          <w:marTop w:val="0"/>
                                                                          <w:marBottom w:val="0"/>
                                                                          <w:divBdr>
                                                                            <w:top w:val="single" w:sz="2" w:space="6" w:color="E5E7EB"/>
                                                                            <w:left w:val="single" w:sz="2" w:space="0" w:color="E5E7EB"/>
                                                                            <w:bottom w:val="single" w:sz="2" w:space="6" w:color="E5E7EB"/>
                                                                            <w:right w:val="single" w:sz="2" w:space="0" w:color="E5E7EB"/>
                                                                          </w:divBdr>
                                                                          <w:divsChild>
                                                                            <w:div w:id="965963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9420571">
                                                                          <w:marLeft w:val="0"/>
                                                                          <w:marRight w:val="0"/>
                                                                          <w:marTop w:val="0"/>
                                                                          <w:marBottom w:val="0"/>
                                                                          <w:divBdr>
                                                                            <w:top w:val="single" w:sz="4" w:space="6" w:color="auto"/>
                                                                            <w:left w:val="single" w:sz="2" w:space="0" w:color="auto"/>
                                                                            <w:bottom w:val="single" w:sz="2" w:space="6" w:color="auto"/>
                                                                            <w:right w:val="single" w:sz="2" w:space="0" w:color="auto"/>
                                                                          </w:divBdr>
                                                                          <w:divsChild>
                                                                            <w:div w:id="39520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vafajoo@azad.ac.i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16628</Words>
  <Characters>94782</Characters>
  <Application>Microsoft Office Word</Application>
  <DocSecurity>0</DocSecurity>
  <Lines>789</Lines>
  <Paragraphs>222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Vafajoo</cp:lastModifiedBy>
  <cp:revision>3</cp:revision>
  <cp:lastPrinted>2025-03-21T10:59:00Z</cp:lastPrinted>
  <dcterms:created xsi:type="dcterms:W3CDTF">2025-05-31T08:35:00Z</dcterms:created>
  <dcterms:modified xsi:type="dcterms:W3CDTF">2025-05-31T08:45:00Z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db3998b9-3d8c-37b4-a321-aeca06a0750f</vt:lpwstr>
  </property>
  <property fmtid="{D5CDD505-2E9C-101B-9397-08002B2CF9AE}" pid="6" name="Mendeley Citation Style_1">
    <vt:lpwstr>http://www.zotero.org/styles/american-political-science-association</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6th/7th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4th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