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A28F2" w14:paraId="2A131A54" w14:textId="77777777" w:rsidTr="008F001D">
        <w:trPr>
          <w:trHeight w:val="852"/>
          <w:jc w:val="center"/>
        </w:trPr>
        <w:tc>
          <w:tcPr>
            <w:tcW w:w="6940" w:type="dxa"/>
            <w:vMerge w:val="restart"/>
            <w:tcBorders>
              <w:right w:val="single" w:sz="4" w:space="0" w:color="auto"/>
            </w:tcBorders>
          </w:tcPr>
          <w:p w14:paraId="38C3D2BA" w14:textId="77777777" w:rsidR="000A03B2" w:rsidRPr="00BA28F2" w:rsidRDefault="000A03B2" w:rsidP="00DE264A">
            <w:pPr>
              <w:tabs>
                <w:tab w:val="left" w:pos="-108"/>
              </w:tabs>
              <w:ind w:left="-108"/>
              <w:jc w:val="left"/>
              <w:rPr>
                <w:rFonts w:cs="Arial"/>
                <w:b/>
                <w:bCs/>
                <w:i/>
                <w:iCs/>
                <w:color w:val="000066"/>
                <w:sz w:val="12"/>
                <w:szCs w:val="12"/>
                <w:lang w:eastAsia="it-IT"/>
              </w:rPr>
            </w:pPr>
            <w:r w:rsidRPr="00BA28F2">
              <w:rPr>
                <w:rFonts w:ascii="AdvP6960" w:hAnsi="AdvP6960" w:cs="AdvP6960"/>
                <w:noProof/>
                <w:color w:val="241F20"/>
                <w:szCs w:val="18"/>
                <w:lang w:eastAsia="en-GB"/>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A28F2">
              <w:rPr>
                <w:rFonts w:ascii="AdvP6960" w:hAnsi="AdvP6960" w:cs="AdvP6960"/>
                <w:color w:val="241F20"/>
                <w:szCs w:val="18"/>
                <w:lang w:eastAsia="it-IT"/>
              </w:rPr>
              <w:t xml:space="preserve"> </w:t>
            </w:r>
            <w:r w:rsidRPr="00BA28F2">
              <w:rPr>
                <w:rFonts w:cs="Arial"/>
                <w:b/>
                <w:bCs/>
                <w:i/>
                <w:iCs/>
                <w:color w:val="000066"/>
                <w:sz w:val="24"/>
                <w:szCs w:val="24"/>
                <w:lang w:eastAsia="it-IT"/>
              </w:rPr>
              <w:t>CHEMICAL ENGINEERING</w:t>
            </w:r>
            <w:r w:rsidRPr="00BA28F2">
              <w:rPr>
                <w:rFonts w:cs="Arial"/>
                <w:b/>
                <w:bCs/>
                <w:i/>
                <w:iCs/>
                <w:color w:val="0033FF"/>
                <w:sz w:val="24"/>
                <w:szCs w:val="24"/>
                <w:lang w:eastAsia="it-IT"/>
              </w:rPr>
              <w:t xml:space="preserve"> </w:t>
            </w:r>
            <w:r w:rsidRPr="00BA28F2">
              <w:rPr>
                <w:rFonts w:cs="Arial"/>
                <w:b/>
                <w:bCs/>
                <w:i/>
                <w:iCs/>
                <w:color w:val="666666"/>
                <w:sz w:val="24"/>
                <w:szCs w:val="24"/>
                <w:lang w:eastAsia="it-IT"/>
              </w:rPr>
              <w:t>TRANSACTIONS</w:t>
            </w:r>
            <w:r w:rsidRPr="00BA28F2">
              <w:rPr>
                <w:color w:val="333333"/>
                <w:sz w:val="24"/>
                <w:szCs w:val="24"/>
                <w:lang w:eastAsia="it-IT"/>
              </w:rPr>
              <w:t xml:space="preserve"> </w:t>
            </w:r>
            <w:r w:rsidRPr="00BA28F2">
              <w:rPr>
                <w:rFonts w:cs="Arial"/>
                <w:b/>
                <w:bCs/>
                <w:i/>
                <w:iCs/>
                <w:color w:val="000066"/>
                <w:sz w:val="27"/>
                <w:szCs w:val="27"/>
                <w:lang w:eastAsia="it-IT"/>
              </w:rPr>
              <w:br/>
            </w:r>
          </w:p>
          <w:p w14:paraId="4B780582" w14:textId="0DAB3DDA" w:rsidR="000A03B2" w:rsidRPr="00BA28F2" w:rsidRDefault="00A76EFC" w:rsidP="001D21AF">
            <w:pPr>
              <w:tabs>
                <w:tab w:val="left" w:pos="-108"/>
              </w:tabs>
              <w:ind w:left="-108"/>
              <w:rPr>
                <w:rFonts w:cs="Arial"/>
                <w:b/>
                <w:bCs/>
                <w:i/>
                <w:iCs/>
                <w:color w:val="000066"/>
                <w:sz w:val="22"/>
                <w:szCs w:val="22"/>
                <w:lang w:eastAsia="it-IT"/>
              </w:rPr>
            </w:pPr>
            <w:r w:rsidRPr="00BA28F2">
              <w:rPr>
                <w:rFonts w:cs="Arial"/>
                <w:b/>
                <w:bCs/>
                <w:i/>
                <w:iCs/>
                <w:color w:val="000066"/>
                <w:sz w:val="22"/>
                <w:szCs w:val="22"/>
                <w:lang w:eastAsia="it-IT"/>
              </w:rPr>
              <w:t xml:space="preserve">VOL. </w:t>
            </w:r>
            <w:r w:rsidR="0030152C" w:rsidRPr="00BA28F2">
              <w:rPr>
                <w:rFonts w:cs="Arial"/>
                <w:b/>
                <w:bCs/>
                <w:i/>
                <w:iCs/>
                <w:color w:val="000066"/>
                <w:sz w:val="22"/>
                <w:szCs w:val="22"/>
                <w:lang w:eastAsia="it-IT"/>
              </w:rPr>
              <w:t xml:space="preserve">   </w:t>
            </w:r>
            <w:r w:rsidR="007B48F9" w:rsidRPr="00BA28F2">
              <w:rPr>
                <w:rFonts w:cs="Arial"/>
                <w:b/>
                <w:bCs/>
                <w:i/>
                <w:iCs/>
                <w:color w:val="000066"/>
                <w:sz w:val="22"/>
                <w:szCs w:val="22"/>
                <w:lang w:eastAsia="it-IT"/>
              </w:rPr>
              <w:t>,</w:t>
            </w:r>
            <w:r w:rsidR="00FA5F5F" w:rsidRPr="00BA28F2">
              <w:rPr>
                <w:rFonts w:cs="Arial"/>
                <w:b/>
                <w:bCs/>
                <w:i/>
                <w:iCs/>
                <w:color w:val="000066"/>
                <w:sz w:val="22"/>
                <w:szCs w:val="22"/>
                <w:lang w:eastAsia="it-IT"/>
              </w:rPr>
              <w:t xml:space="preserve"> </w:t>
            </w:r>
            <w:r w:rsidR="0030152C" w:rsidRPr="00BA28F2">
              <w:rPr>
                <w:rFonts w:cs="Arial"/>
                <w:b/>
                <w:bCs/>
                <w:i/>
                <w:iCs/>
                <w:color w:val="000066"/>
                <w:sz w:val="22"/>
                <w:szCs w:val="22"/>
                <w:lang w:eastAsia="it-IT"/>
              </w:rPr>
              <w:t>202</w:t>
            </w:r>
            <w:r w:rsidR="00C24AF1" w:rsidRPr="00BA28F2">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A28F2" w:rsidRDefault="000A03B2" w:rsidP="00CD5FE2">
            <w:pPr>
              <w:spacing w:line="140" w:lineRule="atLeast"/>
              <w:jc w:val="right"/>
              <w:rPr>
                <w:rFonts w:cs="Arial"/>
                <w:sz w:val="14"/>
                <w:szCs w:val="14"/>
              </w:rPr>
            </w:pPr>
            <w:r w:rsidRPr="00BA28F2">
              <w:rPr>
                <w:rFonts w:cs="Arial"/>
                <w:sz w:val="14"/>
                <w:szCs w:val="14"/>
              </w:rPr>
              <w:t>A publication of</w:t>
            </w:r>
          </w:p>
          <w:p w14:paraId="599E5441" w14:textId="77777777" w:rsidR="000A03B2" w:rsidRPr="00BA28F2" w:rsidRDefault="000A03B2" w:rsidP="00CD5FE2">
            <w:pPr>
              <w:jc w:val="right"/>
            </w:pPr>
            <w:r w:rsidRPr="00BA28F2">
              <w:rPr>
                <w:noProof/>
                <w:lang w:eastAsia="en-GB"/>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A28F2" w14:paraId="380FA3CD" w14:textId="77777777" w:rsidTr="008F001D">
        <w:trPr>
          <w:trHeight w:val="567"/>
          <w:jc w:val="center"/>
        </w:trPr>
        <w:tc>
          <w:tcPr>
            <w:tcW w:w="6940" w:type="dxa"/>
            <w:vMerge/>
            <w:tcBorders>
              <w:right w:val="single" w:sz="4" w:space="0" w:color="auto"/>
            </w:tcBorders>
          </w:tcPr>
          <w:p w14:paraId="39E5E4C1" w14:textId="77777777" w:rsidR="000A03B2" w:rsidRPr="00BA28F2"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A28F2" w:rsidRDefault="000A03B2" w:rsidP="00CD5FE2">
            <w:pPr>
              <w:spacing w:line="140" w:lineRule="atLeast"/>
              <w:jc w:val="right"/>
              <w:rPr>
                <w:rFonts w:cs="Arial"/>
                <w:sz w:val="14"/>
                <w:szCs w:val="14"/>
              </w:rPr>
            </w:pPr>
            <w:r w:rsidRPr="00BA28F2">
              <w:rPr>
                <w:rFonts w:cs="Arial"/>
                <w:sz w:val="14"/>
                <w:szCs w:val="14"/>
              </w:rPr>
              <w:t>The Italian Association</w:t>
            </w:r>
          </w:p>
          <w:p w14:paraId="7522B1D2" w14:textId="77777777" w:rsidR="000A03B2" w:rsidRPr="00BA28F2" w:rsidRDefault="000A03B2" w:rsidP="00CD5FE2">
            <w:pPr>
              <w:spacing w:line="140" w:lineRule="atLeast"/>
              <w:jc w:val="right"/>
              <w:rPr>
                <w:rFonts w:cs="Arial"/>
                <w:sz w:val="14"/>
                <w:szCs w:val="14"/>
              </w:rPr>
            </w:pPr>
            <w:r w:rsidRPr="00BA28F2">
              <w:rPr>
                <w:rFonts w:cs="Arial"/>
                <w:sz w:val="14"/>
                <w:szCs w:val="14"/>
              </w:rPr>
              <w:t>of Chemical Engineering</w:t>
            </w:r>
          </w:p>
          <w:p w14:paraId="4F0CC5DE" w14:textId="47FDB2FC" w:rsidR="000A03B2" w:rsidRPr="00BA28F2" w:rsidRDefault="000D0268" w:rsidP="00CD5FE2">
            <w:pPr>
              <w:spacing w:line="140" w:lineRule="atLeast"/>
              <w:jc w:val="right"/>
              <w:rPr>
                <w:rFonts w:cs="Arial"/>
                <w:sz w:val="13"/>
                <w:szCs w:val="13"/>
              </w:rPr>
            </w:pPr>
            <w:r w:rsidRPr="00BA28F2">
              <w:rPr>
                <w:rFonts w:cs="Arial"/>
                <w:sz w:val="13"/>
                <w:szCs w:val="13"/>
              </w:rPr>
              <w:t>Online at www.cetjournal.it</w:t>
            </w:r>
          </w:p>
        </w:tc>
      </w:tr>
      <w:tr w:rsidR="000A03B2" w:rsidRPr="00BA28F2" w14:paraId="2D1B7169" w14:textId="77777777" w:rsidTr="008F001D">
        <w:trPr>
          <w:trHeight w:val="68"/>
          <w:jc w:val="center"/>
        </w:trPr>
        <w:tc>
          <w:tcPr>
            <w:tcW w:w="8782" w:type="dxa"/>
            <w:gridSpan w:val="2"/>
          </w:tcPr>
          <w:p w14:paraId="1D8DD3C9" w14:textId="086598E2" w:rsidR="00AA7D26" w:rsidRPr="00BA28F2" w:rsidRDefault="00AA7D26" w:rsidP="00AA7D26">
            <w:pPr>
              <w:ind w:left="-107"/>
              <w:outlineLvl w:val="2"/>
              <w:rPr>
                <w:rFonts w:ascii="Tahoma" w:hAnsi="Tahoma" w:cs="Tahoma"/>
                <w:bCs/>
                <w:color w:val="000000"/>
                <w:sz w:val="14"/>
                <w:szCs w:val="14"/>
                <w:lang w:eastAsia="it-IT"/>
              </w:rPr>
            </w:pPr>
            <w:r w:rsidRPr="00BA28F2">
              <w:rPr>
                <w:rFonts w:ascii="Tahoma" w:hAnsi="Tahoma" w:cs="Tahoma"/>
                <w:iCs/>
                <w:color w:val="333333"/>
                <w:sz w:val="14"/>
                <w:szCs w:val="14"/>
                <w:lang w:eastAsia="it-IT"/>
              </w:rPr>
              <w:t>Guest Editors:</w:t>
            </w:r>
            <w:r w:rsidRPr="00BA28F2">
              <w:rPr>
                <w:rFonts w:ascii="Tahoma" w:hAnsi="Tahoma" w:cs="Tahoma"/>
                <w:color w:val="000000"/>
                <w:sz w:val="14"/>
                <w:szCs w:val="14"/>
                <w:shd w:val="clear" w:color="auto" w:fill="FFFFFF"/>
              </w:rPr>
              <w:t xml:space="preserve"> </w:t>
            </w:r>
          </w:p>
          <w:p w14:paraId="1B0F1814" w14:textId="57AA03EA" w:rsidR="000A03B2" w:rsidRPr="00BA28F2" w:rsidRDefault="00AA7D26" w:rsidP="00AA7D26">
            <w:pPr>
              <w:tabs>
                <w:tab w:val="left" w:pos="-108"/>
              </w:tabs>
              <w:spacing w:line="140" w:lineRule="atLeast"/>
              <w:ind w:left="-107"/>
              <w:jc w:val="left"/>
            </w:pPr>
            <w:r w:rsidRPr="00BA28F2">
              <w:rPr>
                <w:rFonts w:ascii="Tahoma" w:hAnsi="Tahoma" w:cs="Tahoma"/>
                <w:iCs/>
                <w:color w:val="333333"/>
                <w:sz w:val="14"/>
                <w:szCs w:val="14"/>
                <w:lang w:eastAsia="it-IT"/>
              </w:rPr>
              <w:t>Copyright © 202</w:t>
            </w:r>
            <w:r w:rsidR="00C24AF1" w:rsidRPr="00BA28F2">
              <w:rPr>
                <w:rFonts w:ascii="Tahoma" w:hAnsi="Tahoma" w:cs="Tahoma"/>
                <w:iCs/>
                <w:color w:val="333333"/>
                <w:sz w:val="14"/>
                <w:szCs w:val="14"/>
                <w:lang w:eastAsia="it-IT"/>
              </w:rPr>
              <w:t>5</w:t>
            </w:r>
            <w:r w:rsidRPr="00BA28F2">
              <w:rPr>
                <w:rFonts w:ascii="Tahoma" w:hAnsi="Tahoma" w:cs="Tahoma"/>
                <w:iCs/>
                <w:color w:val="333333"/>
                <w:sz w:val="14"/>
                <w:szCs w:val="14"/>
                <w:lang w:eastAsia="it-IT"/>
              </w:rPr>
              <w:t>, AIDIC Servizi S.r.l.</w:t>
            </w:r>
            <w:r w:rsidRPr="00BA28F2">
              <w:rPr>
                <w:rFonts w:ascii="Tahoma" w:hAnsi="Tahoma" w:cs="Tahoma"/>
                <w:iCs/>
                <w:color w:val="333333"/>
                <w:sz w:val="14"/>
                <w:szCs w:val="14"/>
                <w:lang w:eastAsia="it-IT"/>
              </w:rPr>
              <w:br/>
            </w:r>
            <w:r w:rsidRPr="00BA28F2">
              <w:rPr>
                <w:rFonts w:ascii="Tahoma" w:hAnsi="Tahoma" w:cs="Tahoma"/>
                <w:b/>
                <w:iCs/>
                <w:color w:val="000000"/>
                <w:sz w:val="14"/>
                <w:szCs w:val="14"/>
                <w:lang w:eastAsia="it-IT"/>
              </w:rPr>
              <w:t>ISBN</w:t>
            </w:r>
            <w:r w:rsidRPr="00BA28F2">
              <w:rPr>
                <w:rFonts w:ascii="Tahoma" w:hAnsi="Tahoma" w:cs="Tahoma"/>
                <w:iCs/>
                <w:color w:val="000000"/>
                <w:sz w:val="14"/>
                <w:szCs w:val="14"/>
                <w:lang w:eastAsia="it-IT"/>
              </w:rPr>
              <w:t xml:space="preserve"> </w:t>
            </w:r>
            <w:r w:rsidR="00D2582C" w:rsidRPr="00BA28F2">
              <w:rPr>
                <w:rFonts w:ascii="Tahoma" w:hAnsi="Tahoma" w:cs="Tahoma"/>
                <w:sz w:val="14"/>
                <w:szCs w:val="14"/>
              </w:rPr>
              <w:t>979-12-81206-</w:t>
            </w:r>
            <w:r w:rsidR="00557E00" w:rsidRPr="00BA28F2">
              <w:rPr>
                <w:rFonts w:ascii="Tahoma" w:hAnsi="Tahoma" w:cs="Tahoma"/>
                <w:sz w:val="14"/>
                <w:szCs w:val="14"/>
              </w:rPr>
              <w:t>XX</w:t>
            </w:r>
            <w:r w:rsidR="00D2582C" w:rsidRPr="00BA28F2">
              <w:rPr>
                <w:rFonts w:ascii="Tahoma" w:hAnsi="Tahoma" w:cs="Tahoma"/>
                <w:sz w:val="14"/>
                <w:szCs w:val="14"/>
              </w:rPr>
              <w:t>-</w:t>
            </w:r>
            <w:r w:rsidR="00557E00" w:rsidRPr="00BA28F2">
              <w:rPr>
                <w:rFonts w:ascii="Tahoma" w:hAnsi="Tahoma" w:cs="Tahoma"/>
                <w:sz w:val="14"/>
                <w:szCs w:val="14"/>
              </w:rPr>
              <w:t>X</w:t>
            </w:r>
            <w:r w:rsidRPr="00BA28F2">
              <w:rPr>
                <w:rFonts w:ascii="Tahoma" w:hAnsi="Tahoma" w:cs="Tahoma"/>
                <w:iCs/>
                <w:color w:val="333333"/>
                <w:sz w:val="14"/>
                <w:szCs w:val="14"/>
                <w:lang w:eastAsia="it-IT"/>
              </w:rPr>
              <w:t xml:space="preserve">; </w:t>
            </w:r>
            <w:r w:rsidRPr="00BA28F2">
              <w:rPr>
                <w:rFonts w:ascii="Tahoma" w:hAnsi="Tahoma" w:cs="Tahoma"/>
                <w:b/>
                <w:iCs/>
                <w:color w:val="333333"/>
                <w:sz w:val="14"/>
                <w:szCs w:val="14"/>
                <w:lang w:eastAsia="it-IT"/>
              </w:rPr>
              <w:t>ISSN</w:t>
            </w:r>
            <w:r w:rsidRPr="00BA28F2">
              <w:rPr>
                <w:rFonts w:ascii="Tahoma" w:hAnsi="Tahoma" w:cs="Tahoma"/>
                <w:iCs/>
                <w:color w:val="333333"/>
                <w:sz w:val="14"/>
                <w:szCs w:val="14"/>
                <w:lang w:eastAsia="it-IT"/>
              </w:rPr>
              <w:t xml:space="preserve"> 2283-9216</w:t>
            </w:r>
          </w:p>
        </w:tc>
      </w:tr>
    </w:tbl>
    <w:p w14:paraId="2E667253" w14:textId="61DF3BEB" w:rsidR="00E978D0" w:rsidRPr="00BA28F2" w:rsidRDefault="008F001D" w:rsidP="00E978D0">
      <w:pPr>
        <w:pStyle w:val="CETTitle"/>
      </w:pPr>
      <w:r w:rsidRPr="00BA28F2">
        <w:t>Hydrogen Refuelling Safety Dashboard: A Proposal Based on Incident Analysis and Expert Input</w:t>
      </w:r>
    </w:p>
    <w:p w14:paraId="39DAB08C" w14:textId="3E9B9BA7" w:rsidR="008F001D" w:rsidRPr="00783D46" w:rsidRDefault="008F001D" w:rsidP="008F001D">
      <w:pPr>
        <w:pStyle w:val="CETAuthors"/>
        <w:rPr>
          <w:rFonts w:cs="Arial"/>
          <w:lang w:val="es-ES"/>
        </w:rPr>
      </w:pPr>
      <w:r w:rsidRPr="00783D46">
        <w:rPr>
          <w:rFonts w:cs="Arial"/>
          <w:lang w:val="es-ES"/>
        </w:rPr>
        <w:t>Joaquín Navajas</w:t>
      </w:r>
      <w:r w:rsidRPr="00783D46">
        <w:rPr>
          <w:rFonts w:cs="Arial"/>
          <w:vertAlign w:val="superscript"/>
          <w:lang w:val="es-ES"/>
        </w:rPr>
        <w:t>a*</w:t>
      </w:r>
      <w:r w:rsidRPr="00783D46">
        <w:rPr>
          <w:rFonts w:cs="Arial"/>
          <w:lang w:val="es-ES"/>
        </w:rPr>
        <w:t>, Eulàlia Badia</w:t>
      </w:r>
      <w:r w:rsidRPr="00783D46">
        <w:rPr>
          <w:rFonts w:cs="Arial"/>
          <w:vertAlign w:val="superscript"/>
          <w:lang w:val="es-ES"/>
        </w:rPr>
        <w:t>a</w:t>
      </w:r>
      <w:r w:rsidRPr="00783D46">
        <w:rPr>
          <w:rFonts w:cs="Arial"/>
          <w:lang w:val="es-ES"/>
        </w:rPr>
        <w:t>, Roser Sala</w:t>
      </w:r>
      <w:r w:rsidRPr="00783D46">
        <w:rPr>
          <w:rFonts w:cs="Arial"/>
          <w:vertAlign w:val="superscript"/>
          <w:lang w:val="es-ES"/>
        </w:rPr>
        <w:t>a</w:t>
      </w:r>
      <w:r w:rsidRPr="00783D46">
        <w:rPr>
          <w:rFonts w:cs="Arial"/>
          <w:lang w:val="es-ES"/>
        </w:rPr>
        <w:t>, José María Olavarrieta</w:t>
      </w:r>
      <w:r w:rsidRPr="00783D46">
        <w:rPr>
          <w:rFonts w:cs="Arial"/>
          <w:vertAlign w:val="superscript"/>
          <w:lang w:val="es-ES"/>
        </w:rPr>
        <w:t>b,</w:t>
      </w:r>
      <w:r w:rsidRPr="00783D46">
        <w:rPr>
          <w:rFonts w:cs="Arial"/>
          <w:lang w:val="es-ES"/>
        </w:rPr>
        <w:t xml:space="preserve"> Hitomi Sato</w:t>
      </w:r>
      <w:r w:rsidRPr="00783D46">
        <w:rPr>
          <w:rFonts w:cs="Arial"/>
          <w:vertAlign w:val="superscript"/>
          <w:lang w:val="es-ES"/>
        </w:rPr>
        <w:t>c</w:t>
      </w:r>
      <w:r w:rsidRPr="00783D46">
        <w:rPr>
          <w:rFonts w:cs="Arial"/>
          <w:lang w:val="es-ES"/>
        </w:rPr>
        <w:t>, Nicola Paltrinieri</w:t>
      </w:r>
      <w:r w:rsidRPr="00783D46">
        <w:rPr>
          <w:rFonts w:cs="Arial"/>
          <w:vertAlign w:val="superscript"/>
          <w:lang w:val="es-ES"/>
        </w:rPr>
        <w:t>d</w:t>
      </w:r>
    </w:p>
    <w:p w14:paraId="217C350C" w14:textId="77777777" w:rsidR="00F76E7F" w:rsidRPr="00783D46" w:rsidRDefault="00F76E7F" w:rsidP="00F76E7F">
      <w:pPr>
        <w:pStyle w:val="CETAddress"/>
        <w:rPr>
          <w:rFonts w:cs="Arial"/>
          <w:lang w:val="es-ES"/>
        </w:rPr>
      </w:pPr>
      <w:r w:rsidRPr="00783D46">
        <w:rPr>
          <w:rFonts w:cs="Arial"/>
          <w:vertAlign w:val="superscript"/>
          <w:lang w:val="es-ES"/>
        </w:rPr>
        <w:t>a</w:t>
      </w:r>
      <w:r w:rsidRPr="00783D46">
        <w:rPr>
          <w:rFonts w:cs="Arial"/>
          <w:lang w:val="es-ES"/>
        </w:rPr>
        <w:t>Socio-Technical Research Centre, Centro de Investigaciones Energéticas, Medioambientales y Tecnológicas (CIEMAT). Mòdul de Recerca A. Plaça del Coneixement s/n, Universitat Autònoma de Barcelona, 08193 Bellaterra, (Barcelona), Spain.</w:t>
      </w:r>
    </w:p>
    <w:p w14:paraId="39D2F84E" w14:textId="661CE0F0" w:rsidR="00F76E7F" w:rsidRPr="00783D46" w:rsidRDefault="00F76E7F" w:rsidP="00F32A1E">
      <w:pPr>
        <w:pStyle w:val="CETAddress"/>
        <w:rPr>
          <w:rFonts w:cs="Arial"/>
          <w:lang w:val="es-ES"/>
        </w:rPr>
      </w:pPr>
      <w:r w:rsidRPr="00783D46">
        <w:rPr>
          <w:rFonts w:cs="Arial"/>
          <w:vertAlign w:val="superscript"/>
          <w:lang w:val="es-ES"/>
        </w:rPr>
        <w:t>b</w:t>
      </w:r>
      <w:r w:rsidR="00F32A1E" w:rsidRPr="00783D46">
        <w:rPr>
          <w:rFonts w:cs="Arial"/>
          <w:lang w:val="es-ES"/>
        </w:rPr>
        <w:t>Centro Nacional del Hidrógeno (CNH2), Prolongación Fernando el Santo, s/n.13500 Puertollano, (Ciudad Real), Spain.</w:t>
      </w:r>
    </w:p>
    <w:p w14:paraId="350BC675" w14:textId="70E865C2" w:rsidR="00F76E7F" w:rsidRPr="00783D46" w:rsidRDefault="00F76E7F" w:rsidP="00F76E7F">
      <w:pPr>
        <w:pStyle w:val="CETAddress"/>
        <w:rPr>
          <w:rFonts w:cs="Arial"/>
          <w:lang w:val="es-ES"/>
        </w:rPr>
      </w:pPr>
      <w:r w:rsidRPr="00BA28F2">
        <w:rPr>
          <w:rFonts w:cs="Arial"/>
          <w:vertAlign w:val="superscript"/>
        </w:rPr>
        <w:t>c</w:t>
      </w:r>
      <w:r w:rsidRPr="00BA28F2">
        <w:rPr>
          <w:rFonts w:cs="Arial"/>
        </w:rPr>
        <w:t xml:space="preserve">Institute of Innovation for Future Society, Nagoya University. </w:t>
      </w:r>
      <w:r w:rsidRPr="00783D46">
        <w:rPr>
          <w:rFonts w:cs="Arial"/>
          <w:lang w:val="es-ES"/>
        </w:rPr>
        <w:t>Furo-cho, Chikusa-ku, Nagoya, Japan.</w:t>
      </w:r>
    </w:p>
    <w:p w14:paraId="1FC939B8" w14:textId="6A1281F4" w:rsidR="00F76E7F" w:rsidRPr="00BA28F2" w:rsidRDefault="00F76E7F" w:rsidP="00F76E7F">
      <w:pPr>
        <w:pStyle w:val="CETAddress"/>
        <w:rPr>
          <w:rFonts w:cs="Arial"/>
        </w:rPr>
      </w:pPr>
      <w:r w:rsidRPr="00BA28F2">
        <w:rPr>
          <w:rFonts w:cs="Arial"/>
          <w:vertAlign w:val="superscript"/>
        </w:rPr>
        <w:t>d</w:t>
      </w:r>
      <w:r w:rsidRPr="00BA28F2">
        <w:rPr>
          <w:rFonts w:cs="Arial"/>
        </w:rPr>
        <w:t xml:space="preserve">Department of Mechanical and Industrial Engineering, Norwegian University of Science and Technology (NTNU). , Richard Birkelands vei 2b, Trondheim 7034, Norway </w:t>
      </w:r>
    </w:p>
    <w:p w14:paraId="05B7F8B3" w14:textId="77777777" w:rsidR="00F76E7F" w:rsidRPr="00BA28F2" w:rsidRDefault="00F76E7F" w:rsidP="00F76E7F">
      <w:pPr>
        <w:pStyle w:val="CETemail"/>
        <w:rPr>
          <w:rFonts w:cs="Arial"/>
        </w:rPr>
      </w:pPr>
      <w:r w:rsidRPr="00BA28F2">
        <w:rPr>
          <w:rFonts w:cs="Arial"/>
        </w:rPr>
        <w:t>joaquin.navajas@ciemat.es.com</w:t>
      </w:r>
    </w:p>
    <w:p w14:paraId="3F0BB016" w14:textId="490A7268" w:rsidR="008F001D" w:rsidRPr="00BA28F2" w:rsidRDefault="008F001D" w:rsidP="008F001D">
      <w:pPr>
        <w:pStyle w:val="CETBodytext"/>
        <w:rPr>
          <w:lang w:val="en-GB"/>
        </w:rPr>
      </w:pPr>
      <w:r w:rsidRPr="00BA28F2">
        <w:rPr>
          <w:lang w:val="en-GB"/>
        </w:rPr>
        <w:t>The transition to sustainable energy sources has driven the development of hydrogen as a key energy carrier, particularly in the mobility sector. However, ensuring the safety of hydrogen refuelling stations (HRS) remains a critical challenge for their widespread adoption.</w:t>
      </w:r>
    </w:p>
    <w:p w14:paraId="3E6F1E26" w14:textId="77777777" w:rsidR="008F001D" w:rsidRPr="00BA28F2" w:rsidRDefault="008F001D" w:rsidP="008F001D">
      <w:pPr>
        <w:pStyle w:val="CETBodytext"/>
        <w:rPr>
          <w:lang w:val="en-GB"/>
        </w:rPr>
      </w:pPr>
      <w:r w:rsidRPr="00BA28F2">
        <w:rPr>
          <w:lang w:val="en-GB"/>
        </w:rPr>
        <w:t>This study aims to develop a safety indicator dashboard for HRS by leveraging operational experience from incident data and expert insights. The research was conducted in two phases. Firstly, a systematic analysis of incidents reported in international hydrogen databases was performed to identify key contributing factors to accidents. Secondly, twenty-nine international experts from Japan, China, Germany, Norway, Spain, Poland and Turkey—specialists in hydrogen refuelling stations or hydrogen safety research—evaluated eighteen contributing factors through an online survey. The consultation gathered both quantitative and qualitative feedback to assess the relative importance and potential impact of each factor. The resulting indicators incorporate all critical aspects of HRS safety, including design, normal operation, maintenance and emergency situations.</w:t>
      </w:r>
    </w:p>
    <w:p w14:paraId="6893AF25" w14:textId="56948B56" w:rsidR="00600535" w:rsidRPr="00BA28F2" w:rsidRDefault="008F001D" w:rsidP="008F001D">
      <w:pPr>
        <w:pStyle w:val="CETBodytext"/>
        <w:rPr>
          <w:lang w:val="en-GB"/>
        </w:rPr>
      </w:pPr>
      <w:r w:rsidRPr="00BA28F2">
        <w:rPr>
          <w:lang w:val="en-GB"/>
        </w:rPr>
        <w:t xml:space="preserve">The analysis of expert perspectives reveals a consistent understanding of key HRS safety issues across different countries, areas of expertise, years of experience and gender. The study's main outcome, the </w:t>
      </w:r>
      <w:r w:rsidR="0081226E">
        <w:rPr>
          <w:lang w:val="en-GB"/>
        </w:rPr>
        <w:t>safety d</w:t>
      </w:r>
      <w:r w:rsidRPr="00BA28F2">
        <w:rPr>
          <w:lang w:val="en-GB"/>
        </w:rPr>
        <w:t>ashboard, provides a structured framework for monitoring and improving HRS safety, offering valuable guidance to policymakers, industry stakeholders and researchers.</w:t>
      </w:r>
    </w:p>
    <w:p w14:paraId="476B2F2E" w14:textId="77777777" w:rsidR="00600535" w:rsidRPr="00BA28F2" w:rsidRDefault="00600535" w:rsidP="00600535">
      <w:pPr>
        <w:pStyle w:val="CETHeading1"/>
        <w:rPr>
          <w:lang w:val="en-GB"/>
        </w:rPr>
      </w:pPr>
      <w:r w:rsidRPr="00BA28F2">
        <w:rPr>
          <w:lang w:val="en-GB"/>
        </w:rPr>
        <w:t>Introduction</w:t>
      </w:r>
    </w:p>
    <w:p w14:paraId="7591F356" w14:textId="2EBB26F3" w:rsidR="00A66F21" w:rsidRPr="00BA28F2" w:rsidRDefault="00A66F21" w:rsidP="00A66F21">
      <w:pPr>
        <w:pStyle w:val="CETBodytext"/>
        <w:rPr>
          <w:lang w:val="en-GB"/>
        </w:rPr>
      </w:pPr>
      <w:r w:rsidRPr="00BA28F2">
        <w:rPr>
          <w:lang w:val="en-GB"/>
        </w:rPr>
        <w:t xml:space="preserve">The establishment of safety indicators is of paramount importance for the management of complex, high-risk processes and systems. These indicators facilitate the continuous monitoring and evaluation of safety status, enabling the identification of potential failures or risks before they escalate into incidents. Moreover, the implementation of a safety dashboard provides a structured and systematic framework for the execution of preventive and corrective measures, ensuring compliance with safety standards and minimising the risk of major accidents </w:t>
      </w:r>
      <w:r w:rsidR="00B03C10" w:rsidRPr="00BA28F2">
        <w:rPr>
          <w:lang w:val="en-GB"/>
        </w:rPr>
        <w:fldChar w:fldCharType="begin" w:fldLock="1"/>
      </w:r>
      <w:r w:rsidR="00B03C10" w:rsidRPr="00BA28F2">
        <w:rPr>
          <w:lang w:val="en-GB"/>
        </w:rPr>
        <w:instrText>ADDIN CSL_CITATION {"citationItems":[{"id":"ITEM-1","itemData":{"DOI":"10.1111/j.1539-6924.2011.01749.x","ISSN":"02724332","PMID":"22211299","abstract":"The recent occurrence of severe major accidents has brought to light flaws and limitations of hazard identification (HAZID) processes performed for safety reports, as in the accidents at Toulouse (France) and Buncefield (UK), where the accident scenarios that occurred were not captured by HAZID techniques. This study focuses on this type of atypical accident scenario deviating from normal expectations. The main purpose is to analyze the examples of atypical accidents mentioned and to attempt to identify them through the application of a well-known methodology such as the bow-tie analysis. To these aims, the concept of atypical event is accurately defined. Early warnings, causes, consequences, and occurrence mechanisms of the specific events are widely studied and general failures of risk assessment, management, and governance isolated. These activities contribute to outline a set of targeted recommendations, addressing transversal common deficiencies and also demonstrating how a better management of knowledge from the study of past events can support future risk assessment processes in the identification of atypical accident scenarios. Thus, a new methodology is not suggested; rather, a specific approach coordinating a more effective use of experience and available information is described, to suggest that lessons to be learned from past accidents can be effectively translated into actions of prevention. © 2012 Society for Risk Analysis.","author":[{"dropping-particle":"","family":"Paltrinieri","given":"Nicola","non-dropping-particle":"","parse-names":false,"suffix":""},{"dropping-particle":"","family":"Dechy","given":"Nicolas","non-dropping-particle":"","parse-names":false,"suffix":""},{"dropping-particle":"","family":"Salzano","given":"Ernesto","non-dropping-particle":"","parse-names":false,"suffix":""},{"dropping-particle":"","family":"Wardman","given":"Mike","non-dropping-particle":"","parse-names":false,"suffix":""},{"dropping-particle":"","family":"Cozzani","given":"Valerio","non-dropping-particle":"","parse-names":false,"suffix":""}],"container-title":"Risk Analysis","id":"ITEM-1","issue":"8","issued":{"date-parts":[["2012","8"]]},"page":"1404-1419","title":"Lessons Learned from Toulouse and Buncefield Disasters: From Risk Analysis Failures to the Identification of Atypical Scenarios Through a Better Knowledge Management","type":"article-journal","volume":"32"},"uris":["http://www.mendeley.com/documents/?uuid=60ce1550-58f0-32d0-a48d-da96da7016fe"]}],"mendeley":{"formattedCitation":"(Paltrinieri et al., 2012)","plainTextFormattedCitation":"(Paltrinieri et al., 2012)","previouslyFormattedCitation":"(Paltrinieri et al., 2012)"},"properties":{"noteIndex":0},"schema":"https://github.com/citation-style-language/schema/raw/master/csl-citation.json"}</w:instrText>
      </w:r>
      <w:r w:rsidR="00B03C10" w:rsidRPr="00BA28F2">
        <w:rPr>
          <w:lang w:val="en-GB"/>
        </w:rPr>
        <w:fldChar w:fldCharType="separate"/>
      </w:r>
      <w:r w:rsidR="00B03C10" w:rsidRPr="00BA28F2">
        <w:rPr>
          <w:noProof/>
          <w:lang w:val="en-GB"/>
        </w:rPr>
        <w:t>(Paltrinieri et al., 2012)</w:t>
      </w:r>
      <w:r w:rsidR="00B03C10" w:rsidRPr="00BA28F2">
        <w:rPr>
          <w:lang w:val="en-GB"/>
        </w:rPr>
        <w:fldChar w:fldCharType="end"/>
      </w:r>
      <w:r w:rsidR="00E845BA" w:rsidRPr="00BA28F2">
        <w:rPr>
          <w:lang w:val="en-GB"/>
        </w:rPr>
        <w:t>.</w:t>
      </w:r>
    </w:p>
    <w:p w14:paraId="151BE51A" w14:textId="58A4FA3D" w:rsidR="00A66F21" w:rsidRPr="00BA28F2" w:rsidRDefault="00A66F21" w:rsidP="00A64028">
      <w:pPr>
        <w:pStyle w:val="CETBodytext"/>
        <w:rPr>
          <w:lang w:val="en-GB"/>
        </w:rPr>
      </w:pPr>
      <w:r w:rsidRPr="00BA28F2">
        <w:rPr>
          <w:lang w:val="en-GB"/>
        </w:rPr>
        <w:t xml:space="preserve">There are various approaches and methodologies for the development of safety indicators. This study integrates elements from three relevant methodologies. Firstly, it draws on the step-by-step guide by the </w:t>
      </w:r>
      <w:r w:rsidR="00B5536F" w:rsidRPr="00BA28F2">
        <w:rPr>
          <w:noProof/>
          <w:lang w:val="en-GB"/>
        </w:rPr>
        <w:t>Health and Safety Executive</w:t>
      </w:r>
      <w:r w:rsidR="00B5536F" w:rsidRPr="00BA28F2">
        <w:rPr>
          <w:lang w:val="en-GB"/>
        </w:rPr>
        <w:t xml:space="preserve"> </w:t>
      </w:r>
      <w:r w:rsidR="00B5536F" w:rsidRPr="00BA28F2">
        <w:rPr>
          <w:lang w:val="en-GB"/>
        </w:rPr>
        <w:fldChar w:fldCharType="begin" w:fldLock="1"/>
      </w:r>
      <w:r w:rsidR="00B03C10" w:rsidRPr="00BA28F2">
        <w:rPr>
          <w:lang w:val="en-GB"/>
        </w:rPr>
        <w:instrText>ADDIN CSL_CITATION {"citationItems":[{"id":"ITEM-1","itemData":{"ISBN":"978 0 7176 6180 0","abstract":"Developing process safety indicators A -by- step industries This is a free-to-download, web-friendly version of HSG254 (First edition, published 2006). This version has been adapted for online use from HSE's current printed version. You .hsebooks.co. uk . ISBN 978 0 7176 6180 0 Price £11 . 95 This guidance is aimed at senior managers and safety professionals within major hazard organisations that wish to develop performance indicators to give improved assurance that major hazard risks are under control . It is presumed that companies using this guide already have appropriate safety management systems , so the emphasis is on checking whether their risk controls are effective and operating as intended . The guide draws on good practice in the UK chemical sector . Too many organisations rely heavily on failure data to monitor performance , so improvements or changes are only determined after something has gone wrong . Discovering weaknesses in control systems by having a major incident is too late and too costly . Early warning of dangerous deterioration within critical systems provides an opportunity to avoid major incidents . Knowing that process risks are effectively controlled has a clear link with business efficiency , as several indicators can be used to show plant availability and optimised operating conditions . While aimed mainly at major hazard organisations , the generic model for establishing a performance measurement system described in this guide will also apply to other enterprises requiring a high level of assurance that systems and procedures continue to operate as intended . HSE Books Page © Crown copyright 2006 First ISBN All . No , stored a , or (electronic , mechanical , photocopying , recording) without permission . Applications : The , Information , Kew , Richmond , Surrey - mail : licensing@opsi . gov . uk This . Following is . But guidance . Health safety guidance . Health and Safety Executive Developing Page Health and Safety Executive Contents","author":[{"dropping-particle":"","family":"Health and Safety Executive (HSE)","given":"","non-dropping-particle":"","parse-names":false,"suffix":""}],"container-title":"Page","id":"ITEM-1","issued":{"date-parts":[["2006"]]},"page":"1-58","title":"Developing process safety indicators: A step-by-step guide for chemical and major hazard industries.","type":"article-journal"},"uris":["http://www.mendeley.com/documents/?uuid=df1a3987-96f2-4b08-95cb-fa176d0f1fb2"]}],"mendeley":{"formattedCitation":"(Health and Safety Executive (HSE), 2006)","manualFormatting":"(HSE, 2006)","plainTextFormattedCitation":"(Health and Safety Executive (HSE), 2006)","previouslyFormattedCitation":"(Health and Safety Executive (HSE), 2006)"},"properties":{"noteIndex":0},"schema":"https://github.com/citation-style-language/schema/raw/master/csl-citation.json"}</w:instrText>
      </w:r>
      <w:r w:rsidR="00B5536F" w:rsidRPr="00BA28F2">
        <w:rPr>
          <w:lang w:val="en-GB"/>
        </w:rPr>
        <w:fldChar w:fldCharType="separate"/>
      </w:r>
      <w:r w:rsidR="00B5536F" w:rsidRPr="00BA28F2">
        <w:rPr>
          <w:noProof/>
          <w:lang w:val="en-GB"/>
        </w:rPr>
        <w:t>(HSE, 2006)</w:t>
      </w:r>
      <w:r w:rsidR="00B5536F" w:rsidRPr="00BA28F2">
        <w:rPr>
          <w:lang w:val="en-GB"/>
        </w:rPr>
        <w:fldChar w:fldCharType="end"/>
      </w:r>
      <w:r w:rsidRPr="00BA28F2">
        <w:rPr>
          <w:lang w:val="en-GB"/>
        </w:rPr>
        <w:t>, highlighting the necessity of incorporating both leading and lagging indicators as a form of dual assurance. Secondly, following the REWL method</w:t>
      </w:r>
      <w:r w:rsidR="00A335C1" w:rsidRPr="00BA28F2">
        <w:rPr>
          <w:lang w:val="en-GB"/>
        </w:rPr>
        <w:t xml:space="preserve"> </w:t>
      </w:r>
      <w:r w:rsidR="00B5536F" w:rsidRPr="00BA28F2">
        <w:rPr>
          <w:lang w:val="en-GB"/>
        </w:rPr>
        <w:fldChar w:fldCharType="begin" w:fldLock="1"/>
      </w:r>
      <w:r w:rsidR="00B5536F" w:rsidRPr="00BA28F2">
        <w:rPr>
          <w:lang w:val="en-GB"/>
        </w:rPr>
        <w:instrText>ADDIN CSL_CITATION {"citationItems":[{"id":"ITEM-1","itemData":{"author":[{"dropping-particle":"","family":"Knut","given":"Oien","non-dropping-particle":"","parse-names":false,"suffix":""},{"dropping-particle":"","family":"Massaiu","given":"Salvatore","non-dropping-particle":"","parse-names":false,"suffix":""},{"dropping-particle":"","family":"Kviseth Tinmannsvik","given":"Ranveig","non-dropping-particle":"","parse-names":false,"suffix":""}],"id":"ITEM-1","issued":{"date-parts":[["2012"]]},"page":"40","title":"Report Guideline for implementing the REWI","type":"article-journal"},"uris":["http://www.mendeley.com/documents/?uuid=80e82c88-9f0d-48d5-a711-a3553ea34f2b"]}],"mendeley":{"formattedCitation":"(Knut et al., 2012)","plainTextFormattedCitation":"(Knut et al., 2012)","previouslyFormattedCitation":"(Knut et al., 2012)"},"properties":{"noteIndex":0},"schema":"https://github.com/citation-style-language/schema/raw/master/csl-citation.json"}</w:instrText>
      </w:r>
      <w:r w:rsidR="00B5536F" w:rsidRPr="00BA28F2">
        <w:rPr>
          <w:lang w:val="en-GB"/>
        </w:rPr>
        <w:fldChar w:fldCharType="separate"/>
      </w:r>
      <w:r w:rsidR="00B5536F" w:rsidRPr="00BA28F2">
        <w:rPr>
          <w:noProof/>
          <w:lang w:val="en-GB"/>
        </w:rPr>
        <w:t>(Knut et al., 2012)</w:t>
      </w:r>
      <w:r w:rsidR="00B5536F" w:rsidRPr="00BA28F2">
        <w:rPr>
          <w:lang w:val="en-GB"/>
        </w:rPr>
        <w:fldChar w:fldCharType="end"/>
      </w:r>
      <w:r w:rsidRPr="00BA28F2">
        <w:rPr>
          <w:lang w:val="en-GB"/>
        </w:rPr>
        <w:t>, this approach conceptualises a safety dashboard as a preventive tool designed to generate early warnings that mitigate the likelihood of severe accidents. Rather than serving solely as a data collection mechanism, the set of indicators is intended to actively contribute to the improvement of organisational safety.</w:t>
      </w:r>
      <w:r w:rsidR="00A64028" w:rsidRPr="00BA28F2">
        <w:rPr>
          <w:lang w:val="en-GB"/>
        </w:rPr>
        <w:t xml:space="preserve"> Thirdly, this study adopts the socio-technical perspective of the STAMP methodology (Leveson, 2012), seeking to go beyond the technical components of a system by </w:t>
      </w:r>
      <w:r w:rsidR="00A64028" w:rsidRPr="00BA28F2">
        <w:rPr>
          <w:lang w:val="en-GB"/>
        </w:rPr>
        <w:lastRenderedPageBreak/>
        <w:t xml:space="preserve">incorporating human agency, organisational factors, and regulatory frameworks. </w:t>
      </w:r>
      <w:r w:rsidR="004B69DF" w:rsidRPr="00BA28F2">
        <w:rPr>
          <w:lang w:val="en-GB"/>
        </w:rPr>
        <w:t xml:space="preserve">Notably, a review of the existing literature on the current state and research advancements reveals a lack of studies specifically addressing the development of HRS performance indicators </w:t>
      </w:r>
      <w:r w:rsidR="00A64028" w:rsidRPr="00BA28F2">
        <w:rPr>
          <w:lang w:val="en-GB"/>
        </w:rPr>
        <w:t>(Genovese and Fragiacomo, 2023).</w:t>
      </w:r>
    </w:p>
    <w:p w14:paraId="05DD2B57" w14:textId="18EF9E34" w:rsidR="00BC0967" w:rsidRPr="00BA28F2" w:rsidRDefault="00BC0967" w:rsidP="00BC0967">
      <w:pPr>
        <w:pStyle w:val="CETHeading1"/>
        <w:rPr>
          <w:lang w:val="en-GB"/>
        </w:rPr>
      </w:pPr>
      <w:r w:rsidRPr="00BA28F2">
        <w:rPr>
          <w:lang w:val="en-GB"/>
        </w:rPr>
        <w:t xml:space="preserve">Methodology </w:t>
      </w:r>
    </w:p>
    <w:p w14:paraId="01DB4208" w14:textId="0EAABD14" w:rsidR="00B85CD9" w:rsidRDefault="00B85CD9" w:rsidP="00725A6F">
      <w:pPr>
        <w:pStyle w:val="CETBodytext"/>
        <w:rPr>
          <w:lang w:val="en-GB"/>
        </w:rPr>
      </w:pPr>
      <w:r w:rsidRPr="00BA28F2">
        <w:rPr>
          <w:lang w:val="en-GB"/>
        </w:rPr>
        <w:t>To develop the safety dashboard, two pri</w:t>
      </w:r>
      <w:r w:rsidR="0081226E">
        <w:rPr>
          <w:lang w:val="en-GB"/>
        </w:rPr>
        <w:t>mary sources were utilized: A) a</w:t>
      </w:r>
      <w:r w:rsidRPr="00BA28F2">
        <w:rPr>
          <w:lang w:val="en-GB"/>
        </w:rPr>
        <w:t xml:space="preserve"> systematic review of incidents at HRS, which allowed for the identification of key contributing factors </w:t>
      </w:r>
      <w:r w:rsidR="0081226E">
        <w:rPr>
          <w:lang w:val="en-GB"/>
        </w:rPr>
        <w:t>involved in the events, and B) t</w:t>
      </w:r>
      <w:r w:rsidRPr="00BA28F2">
        <w:rPr>
          <w:lang w:val="en-GB"/>
        </w:rPr>
        <w:t xml:space="preserve">he design and administration of a survey, which was assessed by an international panel of experts to evaluate the relevance and impact of these factors. </w:t>
      </w:r>
      <w:bookmarkStart w:id="0" w:name="_Hlk195166371"/>
      <w:bookmarkStart w:id="1" w:name="_Hlk195167052"/>
      <w:r w:rsidR="008E2807" w:rsidRPr="008E2807">
        <w:rPr>
          <w:highlight w:val="yellow"/>
          <w:lang w:val="en-GB"/>
        </w:rPr>
        <w:t xml:space="preserve">The experts were selected by SUSHy project partners in each country based on their </w:t>
      </w:r>
      <w:r w:rsidR="006F663F" w:rsidRPr="008E2807">
        <w:rPr>
          <w:highlight w:val="yellow"/>
          <w:lang w:val="en-GB"/>
        </w:rPr>
        <w:t xml:space="preserve">technical and/or regulatory </w:t>
      </w:r>
      <w:r w:rsidR="006F663F">
        <w:rPr>
          <w:highlight w:val="yellow"/>
          <w:lang w:val="en-GB"/>
        </w:rPr>
        <w:t>experience with HRS</w:t>
      </w:r>
      <w:r w:rsidR="008E2807" w:rsidRPr="008E2807">
        <w:rPr>
          <w:highlight w:val="yellow"/>
          <w:lang w:val="en-GB"/>
        </w:rPr>
        <w:t xml:space="preserve"> and </w:t>
      </w:r>
      <w:r w:rsidR="00327E22">
        <w:rPr>
          <w:highlight w:val="yellow"/>
          <w:lang w:val="en-GB"/>
        </w:rPr>
        <w:t xml:space="preserve">their </w:t>
      </w:r>
      <w:r w:rsidR="008E2807" w:rsidRPr="008E2807">
        <w:rPr>
          <w:highlight w:val="yellow"/>
          <w:lang w:val="en-GB"/>
        </w:rPr>
        <w:t>active involvement in the sector. In Japan, a specialized market research firm carried out the identification process using equivalent criteria</w:t>
      </w:r>
      <w:r w:rsidR="008E2807">
        <w:rPr>
          <w:lang w:val="en-GB"/>
        </w:rPr>
        <w:t>.</w:t>
      </w:r>
      <w:bookmarkStart w:id="2" w:name="_Hlk195166427"/>
      <w:bookmarkEnd w:id="0"/>
      <w:r w:rsidR="002D03B5">
        <w:rPr>
          <w:lang w:val="en-GB"/>
        </w:rPr>
        <w:t xml:space="preserve"> </w:t>
      </w:r>
      <w:r w:rsidR="008E2807" w:rsidRPr="008E2807">
        <w:rPr>
          <w:highlight w:val="yellow"/>
          <w:lang w:val="en-GB"/>
        </w:rPr>
        <w:t>Once selected, they</w:t>
      </w:r>
      <w:r w:rsidR="008E2807">
        <w:rPr>
          <w:lang w:val="en-GB"/>
        </w:rPr>
        <w:t xml:space="preserve"> p</w:t>
      </w:r>
      <w:r w:rsidRPr="00BA28F2">
        <w:rPr>
          <w:lang w:val="en-GB"/>
        </w:rPr>
        <w:t>rovided a prioritized assessment based on their judgment, ensuring a comprehensive and expert-informed framework for the dashboard's construction.</w:t>
      </w:r>
    </w:p>
    <w:bookmarkEnd w:id="1"/>
    <w:bookmarkEnd w:id="2"/>
    <w:p w14:paraId="08B93139" w14:textId="50955B64" w:rsidR="00725A6F" w:rsidRPr="00BA28F2" w:rsidRDefault="00D37B46" w:rsidP="00725A6F">
      <w:pPr>
        <w:pStyle w:val="CETBodytext"/>
        <w:rPr>
          <w:lang w:val="en-GB"/>
        </w:rPr>
      </w:pPr>
      <w:r w:rsidRPr="00BA28F2">
        <w:rPr>
          <w:lang w:val="en-GB"/>
        </w:rPr>
        <w:t>The incident analysis followed a systematic process aimed at identifying the factors contributing to each event based on available data. This process was grounded in well-established analytical methodologies used in high-risk industries such as nuclear power and offshore operations. These methodologies were structured around a framework consisting of 10 potential contributing factors and 35 sub-factors, a set of rules applied by a team of analysts and pilot validation</w:t>
      </w:r>
      <w:r w:rsidR="00B03C10" w:rsidRPr="00BA28F2">
        <w:rPr>
          <w:lang w:val="en-GB"/>
        </w:rPr>
        <w:t xml:space="preserve"> </w:t>
      </w:r>
      <w:r w:rsidR="00B03C10" w:rsidRPr="00BA28F2">
        <w:rPr>
          <w:lang w:val="en-GB"/>
        </w:rPr>
        <w:fldChar w:fldCharType="begin" w:fldLock="1"/>
      </w:r>
      <w:r w:rsidR="00B03C10" w:rsidRPr="00BA28F2">
        <w:rPr>
          <w:lang w:val="en-GB"/>
        </w:rPr>
        <w:instrText>ADDIN CSL_CITATION {"citationItems":[{"id":"ITEM-1","itemData":{"DOI":"10.3303/CET23105022","ISBN":"979-12-81206-04-5","ISSN":"2283-9216","abstract":"Sustainable hydrogen is transitioning from a future concept to a reality in everyday life, especially in some countries. There are numerous developments and applications of primary use of hydrogen, such as fuel cell vehicles and hydrogen refuelling stations (HRSs). HRSs' safety is a prerequisite for their successful deployment in society. The expansion of this technology inevitably will depend on its safe operation, thus there is a need to minimize potential risks in the value chain of hydrogen. As part of the international SUSHy project, we aim to identify key parameters and safety requirements to minimize risks and ensure HRS safety. As a first step, an incident analysis protocol has been developed based on proven methodologies from high reliability industries (such as nuclear and offshore). This protocol, Incident Contributing Factors Analysis (ICFA), will guide the systematic analysis of the different factors involved in the events. The ICFA has been validated by a multidisciplinary team of experts through its application to some incidents obtained from various international databases (KHK, HIAD 2.0, ARIA, and H2 LL). This paper briefly describes the basis of the ICFA protocol development and the procedure for its implementation, derived from the results of the pilot study. In the framework of the SUSHy project, it is planned to apply this protocol to a systematic analysis of more than 200 incidents and accidents that occurred in HRS, which have been identified and selected from the previous mentioned international databases. Its systematic application will allow ranking risk factors and gathering lessons learned in order to improve HRS safety.","author":[{"dropping-particle":"","family":"Navajas","given":"J","non-dropping-particle":"","parse-names":false,"suffix":""},{"dropping-particle":"","family":"Badia","given":"E","non-dropping-particle":"","parse-names":false,"suffix":""},{"dropping-particle":"","family":"Sala","given":"R","non-dropping-particle":"","parse-names":false,"suffix":""},{"dropping-particle":"","family":"Sato","given":"H","non-dropping-particle":"","parse-names":false,"suffix":""},{"dropping-particle":"","family":"Paltrinieri","given":"N","non-dropping-particle":"","parse-names":false,"suffix":""}],"container-title":"Chemical Engineering Transactions","id":"ITEM-1","issued":{"date-parts":[["2023"]]},"page":"127-132","publisher":"NTNU","title":"Development of a Protocol for the Systematic Analysis of Events at Hydrogen Refuelling Stations","type":"article-journal","volume":"105"},"uris":["http://www.mendeley.com/documents/?uuid=2a74f2ac-bbb4-3146-8dea-9c747a05969c"]}],"mendeley":{"formattedCitation":"(Navajas et al., 2023)","plainTextFormattedCitation":"(Navajas et al., 2023)","previouslyFormattedCitation":"(Navajas et al., 2023)"},"properties":{"noteIndex":0},"schema":"https://github.com/citation-style-language/schema/raw/master/csl-citation.json"}</w:instrText>
      </w:r>
      <w:r w:rsidR="00B03C10" w:rsidRPr="00BA28F2">
        <w:rPr>
          <w:lang w:val="en-GB"/>
        </w:rPr>
        <w:fldChar w:fldCharType="separate"/>
      </w:r>
      <w:r w:rsidR="00B03C10" w:rsidRPr="00BA28F2">
        <w:rPr>
          <w:noProof/>
          <w:lang w:val="en-GB"/>
        </w:rPr>
        <w:t>(Navajas et al., 2023)</w:t>
      </w:r>
      <w:r w:rsidR="00B03C10" w:rsidRPr="00BA28F2">
        <w:rPr>
          <w:lang w:val="en-GB"/>
        </w:rPr>
        <w:fldChar w:fldCharType="end"/>
      </w:r>
      <w:r w:rsidR="00B03C10" w:rsidRPr="00BA28F2">
        <w:rPr>
          <w:lang w:val="en-GB"/>
        </w:rPr>
        <w:t>.</w:t>
      </w:r>
      <w:r w:rsidR="00580947" w:rsidRPr="00BA28F2">
        <w:rPr>
          <w:lang w:val="en-GB"/>
        </w:rPr>
        <w:t xml:space="preserve"> </w:t>
      </w:r>
      <w:bookmarkStart w:id="3" w:name="_Hlk195170670"/>
      <w:r w:rsidR="00B85CD9" w:rsidRPr="00BA28F2">
        <w:rPr>
          <w:lang w:val="en-GB"/>
        </w:rPr>
        <w:t xml:space="preserve">The contributing factors identified through the incident review served as the foundation for the survey, which utilized a 7-point Likert scale (1 to 7) to gather quantitative data on 18 critical safety factors, as well as on various equipment most prone to failure and likely to contribute to incidents. </w:t>
      </w:r>
      <w:bookmarkStart w:id="4" w:name="_Hlk195170918"/>
      <w:r w:rsidR="00A706A0" w:rsidRPr="00A706A0">
        <w:rPr>
          <w:highlight w:val="yellow"/>
          <w:lang w:val="en-GB"/>
        </w:rPr>
        <w:t xml:space="preserve">To arrive at these 18 factors, the original 35 sub-factors were </w:t>
      </w:r>
      <w:r w:rsidR="00327E22">
        <w:rPr>
          <w:highlight w:val="yellow"/>
          <w:lang w:val="en-GB"/>
        </w:rPr>
        <w:t>streamlined</w:t>
      </w:r>
      <w:r w:rsidR="00A706A0" w:rsidRPr="00A706A0">
        <w:rPr>
          <w:highlight w:val="yellow"/>
          <w:lang w:val="en-GB"/>
        </w:rPr>
        <w:t xml:space="preserve"> using two main approaches: (1) eliminating sub-factors with very low prevalence in incidents (&lt;1%), and (2) grouping closely related sub-factors into consolidated categories. For example, inspection and maintenance—intrinsically linked processes in HRS operations—were reorganized into planning and execution phases to create more meaningful assessment categories</w:t>
      </w:r>
      <w:bookmarkEnd w:id="4"/>
      <w:r w:rsidR="00A706A0" w:rsidRPr="00A706A0">
        <w:rPr>
          <w:highlight w:val="yellow"/>
          <w:lang w:val="en-GB"/>
        </w:rPr>
        <w:t>.</w:t>
      </w:r>
      <w:bookmarkEnd w:id="3"/>
      <w:r w:rsidR="00A706A0">
        <w:rPr>
          <w:lang w:val="en-GB"/>
        </w:rPr>
        <w:t xml:space="preserve"> </w:t>
      </w:r>
      <w:r w:rsidR="00B85CD9" w:rsidRPr="00BA28F2">
        <w:rPr>
          <w:lang w:val="en-GB"/>
        </w:rPr>
        <w:t xml:space="preserve">Prior to survey administration, the content was reviewed by experts in the field. This expert review ensured the clarity, relevance, and comprehensiveness of the survey, helping to refine the instrument and enhance its validity for assessing safety at HRS. The stages for shaping the dashboard are shown in </w:t>
      </w:r>
      <w:r w:rsidR="000C2A48" w:rsidRPr="006F663F">
        <w:rPr>
          <w:highlight w:val="yellow"/>
          <w:lang w:val="en-GB"/>
        </w:rPr>
        <w:fldChar w:fldCharType="begin"/>
      </w:r>
      <w:r w:rsidR="000C2A48" w:rsidRPr="006F663F">
        <w:rPr>
          <w:highlight w:val="yellow"/>
          <w:lang w:val="en-GB"/>
        </w:rPr>
        <w:instrText xml:space="preserve"> REF _Ref195180055 \h </w:instrText>
      </w:r>
      <w:r w:rsidR="006F663F">
        <w:rPr>
          <w:highlight w:val="yellow"/>
          <w:lang w:val="en-GB"/>
        </w:rPr>
        <w:instrText xml:space="preserve"> \* MERGEFORMAT </w:instrText>
      </w:r>
      <w:r w:rsidR="000C2A48" w:rsidRPr="006F663F">
        <w:rPr>
          <w:highlight w:val="yellow"/>
          <w:lang w:val="en-GB"/>
        </w:rPr>
      </w:r>
      <w:r w:rsidR="000C2A48" w:rsidRPr="006F663F">
        <w:rPr>
          <w:highlight w:val="yellow"/>
          <w:lang w:val="en-GB"/>
        </w:rPr>
        <w:fldChar w:fldCharType="separate"/>
      </w:r>
      <w:r w:rsidR="000C2A48" w:rsidRPr="006F663F">
        <w:rPr>
          <w:b/>
          <w:i/>
          <w:sz w:val="16"/>
          <w:highlight w:val="yellow"/>
        </w:rPr>
        <w:t xml:space="preserve">Figure </w:t>
      </w:r>
      <w:r w:rsidR="000C2A48" w:rsidRPr="006F663F">
        <w:rPr>
          <w:b/>
          <w:i/>
          <w:noProof/>
          <w:sz w:val="16"/>
          <w:highlight w:val="yellow"/>
        </w:rPr>
        <w:t>1</w:t>
      </w:r>
      <w:r w:rsidR="000C2A48" w:rsidRPr="006F663F">
        <w:rPr>
          <w:highlight w:val="yellow"/>
          <w:lang w:val="en-GB"/>
        </w:rPr>
        <w:fldChar w:fldCharType="end"/>
      </w:r>
      <w:r w:rsidR="00B85CD9" w:rsidRPr="006F663F">
        <w:rPr>
          <w:highlight w:val="yellow"/>
          <w:lang w:val="en-GB"/>
        </w:rPr>
        <w:t>.</w:t>
      </w:r>
    </w:p>
    <w:p w14:paraId="567C8BC9" w14:textId="77777777" w:rsidR="008267B6" w:rsidRDefault="008267B6" w:rsidP="008267B6">
      <w:pPr>
        <w:pStyle w:val="CETBodytext"/>
        <w:keepNext/>
      </w:pPr>
      <w:r w:rsidRPr="008267B6">
        <w:rPr>
          <w:noProof/>
          <w:lang w:val="en-GB" w:eastAsia="en-GB"/>
        </w:rPr>
        <w:drawing>
          <wp:inline distT="0" distB="0" distL="0" distR="0" wp14:anchorId="77A13887" wp14:editId="5EA3D111">
            <wp:extent cx="5576105" cy="63486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9272" b="8115"/>
                    <a:stretch/>
                  </pic:blipFill>
                  <pic:spPr bwMode="auto">
                    <a:xfrm>
                      <a:off x="0" y="0"/>
                      <a:ext cx="5579745" cy="635283"/>
                    </a:xfrm>
                    <a:prstGeom prst="rect">
                      <a:avLst/>
                    </a:prstGeom>
                    <a:ln>
                      <a:noFill/>
                    </a:ln>
                    <a:extLst>
                      <a:ext uri="{53640926-AAD7-44D8-BBD7-CCE9431645EC}">
                        <a14:shadowObscured xmlns:a14="http://schemas.microsoft.com/office/drawing/2010/main"/>
                      </a:ext>
                    </a:extLst>
                  </pic:spPr>
                </pic:pic>
              </a:graphicData>
            </a:graphic>
          </wp:inline>
        </w:drawing>
      </w:r>
    </w:p>
    <w:p w14:paraId="43A20B7C" w14:textId="23DC8AF7" w:rsidR="00725A6F" w:rsidRPr="008267B6" w:rsidRDefault="008267B6" w:rsidP="008267B6">
      <w:pPr>
        <w:pStyle w:val="Descripcin"/>
        <w:spacing w:after="120"/>
        <w:rPr>
          <w:b w:val="0"/>
          <w:i/>
          <w:color w:val="auto"/>
          <w:sz w:val="16"/>
        </w:rPr>
      </w:pPr>
      <w:bookmarkStart w:id="5" w:name="_Ref195180055"/>
      <w:bookmarkStart w:id="6" w:name="_Ref195180047"/>
      <w:r w:rsidRPr="008267B6">
        <w:rPr>
          <w:b w:val="0"/>
          <w:i/>
          <w:color w:val="auto"/>
          <w:sz w:val="16"/>
        </w:rPr>
        <w:t xml:space="preserve">Figure </w:t>
      </w:r>
      <w:r w:rsidRPr="008267B6">
        <w:rPr>
          <w:b w:val="0"/>
          <w:i/>
          <w:color w:val="auto"/>
          <w:sz w:val="16"/>
        </w:rPr>
        <w:fldChar w:fldCharType="begin"/>
      </w:r>
      <w:r w:rsidRPr="008267B6">
        <w:rPr>
          <w:b w:val="0"/>
          <w:i/>
          <w:color w:val="auto"/>
          <w:sz w:val="16"/>
        </w:rPr>
        <w:instrText xml:space="preserve"> SEQ Figure \* ARABIC </w:instrText>
      </w:r>
      <w:r w:rsidRPr="008267B6">
        <w:rPr>
          <w:b w:val="0"/>
          <w:i/>
          <w:color w:val="auto"/>
          <w:sz w:val="16"/>
        </w:rPr>
        <w:fldChar w:fldCharType="separate"/>
      </w:r>
      <w:r w:rsidR="00753485">
        <w:rPr>
          <w:b w:val="0"/>
          <w:i/>
          <w:noProof/>
          <w:color w:val="auto"/>
          <w:sz w:val="16"/>
        </w:rPr>
        <w:t>1</w:t>
      </w:r>
      <w:r w:rsidRPr="008267B6">
        <w:rPr>
          <w:b w:val="0"/>
          <w:i/>
          <w:color w:val="auto"/>
          <w:sz w:val="16"/>
        </w:rPr>
        <w:fldChar w:fldCharType="end"/>
      </w:r>
      <w:bookmarkEnd w:id="5"/>
      <w:r w:rsidRPr="008267B6">
        <w:rPr>
          <w:b w:val="0"/>
          <w:i/>
          <w:color w:val="auto"/>
          <w:sz w:val="16"/>
        </w:rPr>
        <w:t>. Stages in the development of the safety dashboard</w:t>
      </w:r>
      <w:bookmarkEnd w:id="6"/>
    </w:p>
    <w:p w14:paraId="6D4D928F" w14:textId="383E9309" w:rsidR="00C57574" w:rsidRDefault="003D4746" w:rsidP="00F26C99">
      <w:pPr>
        <w:pStyle w:val="CETBodytext"/>
        <w:rPr>
          <w:lang w:val="en-GB"/>
        </w:rPr>
      </w:pPr>
      <w:r w:rsidRPr="00BA28F2">
        <w:rPr>
          <w:lang w:val="en-GB"/>
        </w:rPr>
        <w:t>Quantitative analyses were performed using SPSS</w:t>
      </w:r>
      <w:r w:rsidR="001B2679" w:rsidRPr="00BA28F2">
        <w:rPr>
          <w:lang w:val="en-GB"/>
        </w:rPr>
        <w:t xml:space="preserve"> 27</w:t>
      </w:r>
      <w:r w:rsidRPr="00BA28F2">
        <w:rPr>
          <w:lang w:val="en-GB"/>
        </w:rPr>
        <w:t xml:space="preserve">. Independent t-tests and one-way ANOVAs were conducted to compare demographic variables across groups. Post hoc comparisons were carried out using Bonferroni correction to adjust for multiple comparisons. Statistical significance was set at p &lt; 0.05. </w:t>
      </w:r>
      <w:r w:rsidR="00990B41" w:rsidRPr="00BA28F2">
        <w:rPr>
          <w:lang w:val="en-GB"/>
        </w:rPr>
        <w:t>The demographics of the examined databases, identified events, and contributing factors are shown in</w:t>
      </w:r>
      <w:r w:rsidR="00B1278C">
        <w:rPr>
          <w:lang w:val="en-GB"/>
        </w:rPr>
        <w:t xml:space="preserve"> </w:t>
      </w:r>
      <w:r w:rsidR="00B1278C" w:rsidRPr="006F663F">
        <w:rPr>
          <w:highlight w:val="yellow"/>
          <w:lang w:val="en-GB"/>
        </w:rPr>
        <w:fldChar w:fldCharType="begin"/>
      </w:r>
      <w:r w:rsidR="00B1278C" w:rsidRPr="006F663F">
        <w:rPr>
          <w:highlight w:val="yellow"/>
          <w:lang w:val="en-GB"/>
        </w:rPr>
        <w:instrText xml:space="preserve"> REF _Ref195180186 \h </w:instrText>
      </w:r>
      <w:r w:rsidR="006F663F">
        <w:rPr>
          <w:highlight w:val="yellow"/>
          <w:lang w:val="en-GB"/>
        </w:rPr>
        <w:instrText xml:space="preserve"> \* MERGEFORMAT </w:instrText>
      </w:r>
      <w:r w:rsidR="00B1278C" w:rsidRPr="006F663F">
        <w:rPr>
          <w:highlight w:val="yellow"/>
          <w:lang w:val="en-GB"/>
        </w:rPr>
      </w:r>
      <w:r w:rsidR="00B1278C" w:rsidRPr="006F663F">
        <w:rPr>
          <w:highlight w:val="yellow"/>
          <w:lang w:val="en-GB"/>
        </w:rPr>
        <w:fldChar w:fldCharType="separate"/>
      </w:r>
      <w:r w:rsidR="00B1278C" w:rsidRPr="006F663F">
        <w:rPr>
          <w:highlight w:val="yellow"/>
        </w:rPr>
        <w:t xml:space="preserve">Table </w:t>
      </w:r>
      <w:r w:rsidR="00B1278C" w:rsidRPr="006F663F">
        <w:rPr>
          <w:noProof/>
          <w:highlight w:val="yellow"/>
        </w:rPr>
        <w:t>1</w:t>
      </w:r>
      <w:r w:rsidR="00B1278C" w:rsidRPr="006F663F">
        <w:rPr>
          <w:highlight w:val="yellow"/>
          <w:lang w:val="en-GB"/>
        </w:rPr>
        <w:fldChar w:fldCharType="end"/>
      </w:r>
      <w:r w:rsidR="00990B41" w:rsidRPr="00BA28F2">
        <w:rPr>
          <w:lang w:val="en-GB"/>
        </w:rPr>
        <w:t xml:space="preserve">, </w:t>
      </w:r>
      <w:r w:rsidR="00A335C1" w:rsidRPr="00BA28F2">
        <w:rPr>
          <w:lang w:val="en-GB"/>
        </w:rPr>
        <w:t>and</w:t>
      </w:r>
      <w:r w:rsidR="00990B41" w:rsidRPr="00BA28F2">
        <w:rPr>
          <w:lang w:val="en-GB"/>
        </w:rPr>
        <w:t xml:space="preserve"> the expert pool’s demographic information (N=29) by country, expertise field, and experience</w:t>
      </w:r>
      <w:r w:rsidR="00A335C1" w:rsidRPr="00BA28F2">
        <w:rPr>
          <w:lang w:val="en-GB"/>
        </w:rPr>
        <w:t xml:space="preserve"> are presented in </w:t>
      </w:r>
      <w:r w:rsidR="00B1278C" w:rsidRPr="006F663F">
        <w:rPr>
          <w:highlight w:val="yellow"/>
          <w:lang w:val="en-GB"/>
        </w:rPr>
        <w:fldChar w:fldCharType="begin"/>
      </w:r>
      <w:r w:rsidR="00B1278C" w:rsidRPr="006F663F">
        <w:rPr>
          <w:highlight w:val="yellow"/>
          <w:lang w:val="en-GB"/>
        </w:rPr>
        <w:instrText xml:space="preserve"> REF _Ref195180198 \h </w:instrText>
      </w:r>
      <w:r w:rsidR="006F663F">
        <w:rPr>
          <w:highlight w:val="yellow"/>
          <w:lang w:val="en-GB"/>
        </w:rPr>
        <w:instrText xml:space="preserve"> \* MERGEFORMAT </w:instrText>
      </w:r>
      <w:r w:rsidR="00B1278C" w:rsidRPr="006F663F">
        <w:rPr>
          <w:highlight w:val="yellow"/>
          <w:lang w:val="en-GB"/>
        </w:rPr>
      </w:r>
      <w:r w:rsidR="00B1278C" w:rsidRPr="006F663F">
        <w:rPr>
          <w:highlight w:val="yellow"/>
          <w:lang w:val="en-GB"/>
        </w:rPr>
        <w:fldChar w:fldCharType="separate"/>
      </w:r>
      <w:r w:rsidR="00B1278C" w:rsidRPr="006F663F">
        <w:rPr>
          <w:highlight w:val="yellow"/>
        </w:rPr>
        <w:t>Table 2</w:t>
      </w:r>
      <w:r w:rsidR="00B1278C" w:rsidRPr="006F663F">
        <w:rPr>
          <w:highlight w:val="yellow"/>
          <w:lang w:val="en-GB"/>
        </w:rPr>
        <w:fldChar w:fldCharType="end"/>
      </w:r>
      <w:r w:rsidR="00A335C1" w:rsidRPr="006F663F">
        <w:rPr>
          <w:highlight w:val="yellow"/>
          <w:lang w:val="en-GB"/>
        </w:rPr>
        <w:t>.</w:t>
      </w:r>
    </w:p>
    <w:p w14:paraId="70BC1F75" w14:textId="1A1790DE" w:rsidR="008267B6" w:rsidRDefault="008267B6" w:rsidP="00753485">
      <w:pPr>
        <w:pStyle w:val="CETTabletitle"/>
        <w:spacing w:before="120" w:after="60" w:line="240" w:lineRule="auto"/>
      </w:pPr>
      <w:bookmarkStart w:id="7" w:name="_Ref195180186"/>
      <w:r>
        <w:t xml:space="preserve">Table </w:t>
      </w:r>
      <w:r>
        <w:fldChar w:fldCharType="begin"/>
      </w:r>
      <w:r>
        <w:instrText xml:space="preserve"> SEQ Table \* ARABIC </w:instrText>
      </w:r>
      <w:r>
        <w:fldChar w:fldCharType="separate"/>
      </w:r>
      <w:r w:rsidR="00B1278C">
        <w:rPr>
          <w:noProof/>
        </w:rPr>
        <w:t>1</w:t>
      </w:r>
      <w:r>
        <w:fldChar w:fldCharType="end"/>
      </w:r>
      <w:bookmarkEnd w:id="7"/>
      <w:r>
        <w:t xml:space="preserve">. </w:t>
      </w:r>
      <w:r w:rsidRPr="009E4303">
        <w:t>Hydrogen databases and event information</w:t>
      </w:r>
    </w:p>
    <w:tbl>
      <w:tblPr>
        <w:tblW w:w="6518"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84"/>
        <w:gridCol w:w="850"/>
        <w:gridCol w:w="283"/>
        <w:gridCol w:w="2551"/>
        <w:gridCol w:w="850"/>
      </w:tblGrid>
      <w:tr w:rsidR="00CC5C7A" w:rsidRPr="00BA28F2" w14:paraId="773FB7DD" w14:textId="77777777" w:rsidTr="001F46D7">
        <w:tc>
          <w:tcPr>
            <w:tcW w:w="1984" w:type="dxa"/>
            <w:tcBorders>
              <w:top w:val="single" w:sz="12" w:space="0" w:color="008000"/>
              <w:bottom w:val="single" w:sz="6" w:space="0" w:color="008000"/>
            </w:tcBorders>
            <w:shd w:val="clear" w:color="auto" w:fill="FFFFFF"/>
          </w:tcPr>
          <w:p w14:paraId="398C666C" w14:textId="77777777" w:rsidR="000229F4" w:rsidRPr="00BA28F2" w:rsidRDefault="000229F4" w:rsidP="008D5437">
            <w:pPr>
              <w:pStyle w:val="CETBodytext"/>
              <w:rPr>
                <w:sz w:val="16"/>
                <w:szCs w:val="16"/>
                <w:lang w:val="en-GB"/>
              </w:rPr>
            </w:pPr>
            <w:r w:rsidRPr="00BA28F2">
              <w:rPr>
                <w:sz w:val="16"/>
                <w:szCs w:val="16"/>
                <w:lang w:val="en-GB"/>
              </w:rPr>
              <w:t>Hydrogen Database</w:t>
            </w:r>
          </w:p>
        </w:tc>
        <w:tc>
          <w:tcPr>
            <w:tcW w:w="850" w:type="dxa"/>
            <w:tcBorders>
              <w:top w:val="single" w:sz="12" w:space="0" w:color="008000"/>
              <w:bottom w:val="single" w:sz="6" w:space="0" w:color="008000"/>
            </w:tcBorders>
            <w:shd w:val="clear" w:color="auto" w:fill="FFFFFF"/>
          </w:tcPr>
          <w:p w14:paraId="5A421679" w14:textId="77777777" w:rsidR="000229F4" w:rsidRPr="00BA28F2" w:rsidRDefault="000229F4" w:rsidP="00CA1608">
            <w:pPr>
              <w:pStyle w:val="CETBodytext"/>
              <w:ind w:left="-5" w:firstLine="5"/>
              <w:jc w:val="center"/>
              <w:rPr>
                <w:sz w:val="16"/>
                <w:szCs w:val="16"/>
                <w:lang w:val="en-GB"/>
              </w:rPr>
            </w:pPr>
            <w:r w:rsidRPr="00BA28F2">
              <w:rPr>
                <w:sz w:val="16"/>
                <w:szCs w:val="16"/>
                <w:lang w:val="en-GB"/>
              </w:rPr>
              <w:t>Events</w:t>
            </w:r>
          </w:p>
        </w:tc>
        <w:tc>
          <w:tcPr>
            <w:tcW w:w="283" w:type="dxa"/>
            <w:tcBorders>
              <w:top w:val="nil"/>
              <w:bottom w:val="nil"/>
            </w:tcBorders>
            <w:shd w:val="clear" w:color="auto" w:fill="FFFFFF"/>
          </w:tcPr>
          <w:p w14:paraId="3465069C" w14:textId="77777777" w:rsidR="000229F4" w:rsidRPr="00BA28F2" w:rsidRDefault="000229F4" w:rsidP="008D5437">
            <w:pPr>
              <w:pStyle w:val="CETBodytext"/>
              <w:rPr>
                <w:sz w:val="16"/>
                <w:szCs w:val="16"/>
                <w:lang w:val="en-GB"/>
              </w:rPr>
            </w:pPr>
          </w:p>
        </w:tc>
        <w:tc>
          <w:tcPr>
            <w:tcW w:w="2551" w:type="dxa"/>
            <w:tcBorders>
              <w:top w:val="single" w:sz="12" w:space="0" w:color="008000"/>
              <w:bottom w:val="single" w:sz="6" w:space="0" w:color="008000"/>
            </w:tcBorders>
            <w:shd w:val="clear" w:color="auto" w:fill="FFFFFF"/>
          </w:tcPr>
          <w:p w14:paraId="22BB62AB" w14:textId="69C12193" w:rsidR="000229F4" w:rsidRPr="00BA28F2" w:rsidRDefault="00CA1608" w:rsidP="008D5437">
            <w:pPr>
              <w:pStyle w:val="CETBodytext"/>
              <w:rPr>
                <w:sz w:val="16"/>
                <w:szCs w:val="16"/>
                <w:lang w:val="en-GB"/>
              </w:rPr>
            </w:pPr>
            <w:r w:rsidRPr="00BA28F2">
              <w:rPr>
                <w:sz w:val="16"/>
                <w:szCs w:val="16"/>
                <w:lang w:val="en-GB"/>
              </w:rPr>
              <w:t>Analysed</w:t>
            </w:r>
            <w:r w:rsidR="000229F4" w:rsidRPr="00BA28F2">
              <w:rPr>
                <w:sz w:val="16"/>
                <w:szCs w:val="16"/>
                <w:lang w:val="en-GB"/>
              </w:rPr>
              <w:t xml:space="preserve"> events</w:t>
            </w:r>
          </w:p>
        </w:tc>
        <w:tc>
          <w:tcPr>
            <w:tcW w:w="850" w:type="dxa"/>
            <w:tcBorders>
              <w:top w:val="single" w:sz="12" w:space="0" w:color="008000"/>
              <w:bottom w:val="single" w:sz="6" w:space="0" w:color="008000"/>
            </w:tcBorders>
            <w:shd w:val="clear" w:color="auto" w:fill="FFFFFF"/>
          </w:tcPr>
          <w:p w14:paraId="09C5055A" w14:textId="569A8DD5" w:rsidR="000229F4" w:rsidRPr="00BA28F2" w:rsidRDefault="000229F4" w:rsidP="00CA1608">
            <w:pPr>
              <w:pStyle w:val="CETBodytext"/>
              <w:ind w:right="-1"/>
              <w:jc w:val="center"/>
              <w:rPr>
                <w:rFonts w:cs="Arial"/>
                <w:sz w:val="16"/>
                <w:szCs w:val="16"/>
                <w:lang w:val="en-GB"/>
              </w:rPr>
            </w:pPr>
            <w:r w:rsidRPr="00BA28F2">
              <w:rPr>
                <w:rFonts w:cs="Arial"/>
                <w:sz w:val="16"/>
                <w:szCs w:val="16"/>
                <w:lang w:val="en-GB"/>
              </w:rPr>
              <w:t>211</w:t>
            </w:r>
          </w:p>
        </w:tc>
      </w:tr>
      <w:tr w:rsidR="00CC5C7A" w:rsidRPr="00BA28F2" w14:paraId="6078E709" w14:textId="77777777" w:rsidTr="001F46D7">
        <w:tc>
          <w:tcPr>
            <w:tcW w:w="1984" w:type="dxa"/>
            <w:shd w:val="clear" w:color="auto" w:fill="FFFFFF"/>
          </w:tcPr>
          <w:p w14:paraId="627D8794" w14:textId="77777777" w:rsidR="000229F4" w:rsidRPr="00BA28F2" w:rsidRDefault="000229F4" w:rsidP="008D5437">
            <w:pPr>
              <w:pStyle w:val="CETBodytext"/>
              <w:rPr>
                <w:sz w:val="16"/>
                <w:szCs w:val="16"/>
                <w:lang w:val="en-GB"/>
              </w:rPr>
            </w:pPr>
            <w:r w:rsidRPr="00BA28F2">
              <w:rPr>
                <w:sz w:val="16"/>
                <w:szCs w:val="16"/>
                <w:lang w:val="en-GB"/>
              </w:rPr>
              <w:t>ARIA</w:t>
            </w:r>
          </w:p>
        </w:tc>
        <w:tc>
          <w:tcPr>
            <w:tcW w:w="850" w:type="dxa"/>
            <w:shd w:val="clear" w:color="auto" w:fill="FFFFFF"/>
          </w:tcPr>
          <w:p w14:paraId="04C720FF" w14:textId="77777777" w:rsidR="000229F4" w:rsidRPr="00BA28F2" w:rsidRDefault="000229F4" w:rsidP="00CA1608">
            <w:pPr>
              <w:pStyle w:val="CETBodytext"/>
              <w:ind w:left="-5" w:firstLine="5"/>
              <w:jc w:val="center"/>
              <w:rPr>
                <w:sz w:val="16"/>
                <w:szCs w:val="16"/>
                <w:lang w:val="en-GB"/>
              </w:rPr>
            </w:pPr>
            <w:r w:rsidRPr="00BA28F2">
              <w:rPr>
                <w:sz w:val="16"/>
                <w:szCs w:val="16"/>
                <w:lang w:val="en-GB"/>
              </w:rPr>
              <w:t>4</w:t>
            </w:r>
          </w:p>
        </w:tc>
        <w:tc>
          <w:tcPr>
            <w:tcW w:w="283" w:type="dxa"/>
            <w:tcBorders>
              <w:top w:val="nil"/>
              <w:bottom w:val="nil"/>
            </w:tcBorders>
            <w:shd w:val="clear" w:color="auto" w:fill="FFFFFF"/>
          </w:tcPr>
          <w:p w14:paraId="66497D26" w14:textId="77777777" w:rsidR="000229F4" w:rsidRPr="00BA28F2" w:rsidRDefault="000229F4" w:rsidP="008D5437">
            <w:pPr>
              <w:pStyle w:val="CETBodytext"/>
              <w:rPr>
                <w:sz w:val="16"/>
                <w:szCs w:val="16"/>
                <w:lang w:val="en-GB"/>
              </w:rPr>
            </w:pPr>
          </w:p>
        </w:tc>
        <w:tc>
          <w:tcPr>
            <w:tcW w:w="2551" w:type="dxa"/>
            <w:shd w:val="clear" w:color="auto" w:fill="FFFFFF"/>
          </w:tcPr>
          <w:p w14:paraId="2C530295" w14:textId="7F8C1D9D" w:rsidR="000229F4" w:rsidRPr="00BA28F2" w:rsidRDefault="000229F4" w:rsidP="00226499">
            <w:pPr>
              <w:pStyle w:val="CETBodytext"/>
              <w:jc w:val="left"/>
              <w:rPr>
                <w:sz w:val="16"/>
                <w:szCs w:val="16"/>
                <w:lang w:val="en-GB"/>
              </w:rPr>
            </w:pPr>
            <w:r w:rsidRPr="00BA28F2">
              <w:rPr>
                <w:sz w:val="16"/>
                <w:szCs w:val="16"/>
                <w:lang w:val="en-GB"/>
              </w:rPr>
              <w:t>Events with contributing factors</w:t>
            </w:r>
          </w:p>
        </w:tc>
        <w:tc>
          <w:tcPr>
            <w:tcW w:w="850" w:type="dxa"/>
            <w:shd w:val="clear" w:color="auto" w:fill="FFFFFF"/>
          </w:tcPr>
          <w:p w14:paraId="0796D790" w14:textId="00445A77" w:rsidR="000229F4" w:rsidRPr="00BA28F2" w:rsidRDefault="000229F4" w:rsidP="00CA1608">
            <w:pPr>
              <w:pStyle w:val="CETBodytext"/>
              <w:ind w:right="-1"/>
              <w:jc w:val="center"/>
              <w:rPr>
                <w:rFonts w:cs="Arial"/>
                <w:sz w:val="16"/>
                <w:szCs w:val="16"/>
                <w:lang w:val="en-GB"/>
              </w:rPr>
            </w:pPr>
            <w:r w:rsidRPr="00BA28F2">
              <w:rPr>
                <w:rFonts w:cs="Arial"/>
                <w:sz w:val="16"/>
                <w:szCs w:val="16"/>
                <w:lang w:val="en-GB"/>
              </w:rPr>
              <w:t>174</w:t>
            </w:r>
          </w:p>
        </w:tc>
      </w:tr>
      <w:tr w:rsidR="00CC5C7A" w:rsidRPr="00BA28F2" w14:paraId="05E6F1DE" w14:textId="77777777" w:rsidTr="001F46D7">
        <w:tc>
          <w:tcPr>
            <w:tcW w:w="1984" w:type="dxa"/>
            <w:shd w:val="clear" w:color="auto" w:fill="FFFFFF"/>
          </w:tcPr>
          <w:p w14:paraId="19443A5C" w14:textId="77777777" w:rsidR="000229F4" w:rsidRPr="00BA28F2" w:rsidRDefault="000229F4" w:rsidP="008D5437">
            <w:pPr>
              <w:pStyle w:val="CETBodytext"/>
              <w:rPr>
                <w:sz w:val="16"/>
                <w:szCs w:val="16"/>
                <w:lang w:val="en-GB"/>
              </w:rPr>
            </w:pPr>
            <w:r w:rsidRPr="00BA28F2">
              <w:rPr>
                <w:sz w:val="16"/>
                <w:szCs w:val="16"/>
                <w:lang w:val="en-GB"/>
              </w:rPr>
              <w:t>H2 Tools</w:t>
            </w:r>
          </w:p>
        </w:tc>
        <w:tc>
          <w:tcPr>
            <w:tcW w:w="850" w:type="dxa"/>
            <w:shd w:val="clear" w:color="auto" w:fill="FFFFFF"/>
          </w:tcPr>
          <w:p w14:paraId="697F9916" w14:textId="77777777" w:rsidR="000229F4" w:rsidRPr="00BA28F2" w:rsidRDefault="000229F4" w:rsidP="00CA1608">
            <w:pPr>
              <w:pStyle w:val="CETBodytext"/>
              <w:ind w:left="-5" w:firstLine="5"/>
              <w:jc w:val="center"/>
              <w:rPr>
                <w:sz w:val="16"/>
                <w:szCs w:val="16"/>
                <w:lang w:val="en-GB"/>
              </w:rPr>
            </w:pPr>
            <w:r w:rsidRPr="00BA28F2">
              <w:rPr>
                <w:sz w:val="16"/>
                <w:szCs w:val="16"/>
                <w:lang w:val="en-GB"/>
              </w:rPr>
              <w:t>13</w:t>
            </w:r>
          </w:p>
        </w:tc>
        <w:tc>
          <w:tcPr>
            <w:tcW w:w="283" w:type="dxa"/>
            <w:tcBorders>
              <w:top w:val="nil"/>
              <w:bottom w:val="nil"/>
            </w:tcBorders>
            <w:shd w:val="clear" w:color="auto" w:fill="FFFFFF"/>
          </w:tcPr>
          <w:p w14:paraId="5F20CDA3" w14:textId="77777777" w:rsidR="000229F4" w:rsidRPr="00BA28F2" w:rsidRDefault="000229F4" w:rsidP="008D5437">
            <w:pPr>
              <w:pStyle w:val="CETBodytext"/>
              <w:rPr>
                <w:sz w:val="16"/>
                <w:szCs w:val="16"/>
                <w:lang w:val="en-GB"/>
              </w:rPr>
            </w:pPr>
          </w:p>
        </w:tc>
        <w:tc>
          <w:tcPr>
            <w:tcW w:w="2551" w:type="dxa"/>
            <w:shd w:val="clear" w:color="auto" w:fill="FFFFFF"/>
          </w:tcPr>
          <w:p w14:paraId="087DCE98" w14:textId="6B741BBD" w:rsidR="000229F4" w:rsidRPr="00BA28F2" w:rsidRDefault="00CA1608" w:rsidP="00CA1608">
            <w:pPr>
              <w:pStyle w:val="CETBodytext"/>
              <w:jc w:val="left"/>
              <w:rPr>
                <w:sz w:val="16"/>
                <w:szCs w:val="16"/>
                <w:lang w:val="en-GB"/>
              </w:rPr>
            </w:pPr>
            <w:r w:rsidRPr="00BA28F2">
              <w:rPr>
                <w:sz w:val="16"/>
                <w:szCs w:val="16"/>
                <w:lang w:val="en-GB"/>
              </w:rPr>
              <w:t>Identified c</w:t>
            </w:r>
            <w:r w:rsidR="00226499" w:rsidRPr="00BA28F2">
              <w:rPr>
                <w:sz w:val="16"/>
                <w:szCs w:val="16"/>
                <w:lang w:val="en-GB"/>
              </w:rPr>
              <w:t xml:space="preserve">ontributing factors </w:t>
            </w:r>
          </w:p>
        </w:tc>
        <w:tc>
          <w:tcPr>
            <w:tcW w:w="850" w:type="dxa"/>
            <w:shd w:val="clear" w:color="auto" w:fill="FFFFFF"/>
          </w:tcPr>
          <w:p w14:paraId="5D6B51AB" w14:textId="3BB11009" w:rsidR="000229F4" w:rsidRPr="00BA28F2" w:rsidRDefault="00226499" w:rsidP="00CA1608">
            <w:pPr>
              <w:pStyle w:val="CETBodytext"/>
              <w:ind w:right="-1"/>
              <w:jc w:val="center"/>
              <w:rPr>
                <w:rFonts w:cs="Arial"/>
                <w:sz w:val="16"/>
                <w:szCs w:val="16"/>
                <w:lang w:val="en-GB"/>
              </w:rPr>
            </w:pPr>
            <w:r w:rsidRPr="00BA28F2">
              <w:rPr>
                <w:rFonts w:cs="Arial"/>
                <w:sz w:val="16"/>
                <w:szCs w:val="16"/>
                <w:lang w:val="en-GB"/>
              </w:rPr>
              <w:t>263</w:t>
            </w:r>
          </w:p>
        </w:tc>
      </w:tr>
      <w:tr w:rsidR="00CC5C7A" w:rsidRPr="00BA28F2" w14:paraId="31ADBFCC" w14:textId="77777777" w:rsidTr="001F46D7">
        <w:tc>
          <w:tcPr>
            <w:tcW w:w="1984" w:type="dxa"/>
            <w:shd w:val="clear" w:color="auto" w:fill="FFFFFF"/>
          </w:tcPr>
          <w:p w14:paraId="07D97D8F" w14:textId="77777777" w:rsidR="000229F4" w:rsidRPr="00BA28F2" w:rsidRDefault="000229F4" w:rsidP="008D5437">
            <w:pPr>
              <w:pStyle w:val="CETBodytext"/>
              <w:rPr>
                <w:sz w:val="16"/>
                <w:szCs w:val="16"/>
                <w:lang w:val="en-GB"/>
              </w:rPr>
            </w:pPr>
            <w:r w:rsidRPr="00BA28F2">
              <w:rPr>
                <w:sz w:val="16"/>
                <w:szCs w:val="16"/>
                <w:lang w:val="en-GB"/>
              </w:rPr>
              <w:t>HIAD 2.0</w:t>
            </w:r>
          </w:p>
        </w:tc>
        <w:tc>
          <w:tcPr>
            <w:tcW w:w="850" w:type="dxa"/>
            <w:shd w:val="clear" w:color="auto" w:fill="FFFFFF"/>
          </w:tcPr>
          <w:p w14:paraId="3DB29B5C" w14:textId="77777777" w:rsidR="000229F4" w:rsidRPr="00BA28F2" w:rsidRDefault="000229F4" w:rsidP="00CA1608">
            <w:pPr>
              <w:pStyle w:val="CETBodytext"/>
              <w:ind w:left="-5" w:firstLine="5"/>
              <w:jc w:val="center"/>
              <w:rPr>
                <w:sz w:val="16"/>
                <w:szCs w:val="16"/>
                <w:lang w:val="en-GB"/>
              </w:rPr>
            </w:pPr>
            <w:r w:rsidRPr="00BA28F2">
              <w:rPr>
                <w:sz w:val="16"/>
                <w:szCs w:val="16"/>
                <w:lang w:val="en-GB"/>
              </w:rPr>
              <w:t>14</w:t>
            </w:r>
          </w:p>
        </w:tc>
        <w:tc>
          <w:tcPr>
            <w:tcW w:w="283" w:type="dxa"/>
            <w:tcBorders>
              <w:top w:val="nil"/>
              <w:bottom w:val="nil"/>
            </w:tcBorders>
            <w:shd w:val="clear" w:color="auto" w:fill="FFFFFF"/>
          </w:tcPr>
          <w:p w14:paraId="07FEEC0C" w14:textId="77777777" w:rsidR="000229F4" w:rsidRPr="00BA28F2" w:rsidRDefault="000229F4" w:rsidP="008D5437">
            <w:pPr>
              <w:pStyle w:val="CETBodytext"/>
              <w:rPr>
                <w:sz w:val="16"/>
                <w:szCs w:val="16"/>
                <w:lang w:val="en-GB"/>
              </w:rPr>
            </w:pPr>
          </w:p>
        </w:tc>
        <w:tc>
          <w:tcPr>
            <w:tcW w:w="2551" w:type="dxa"/>
            <w:shd w:val="clear" w:color="auto" w:fill="FFFFFF"/>
          </w:tcPr>
          <w:p w14:paraId="59B230BF" w14:textId="77777777" w:rsidR="000229F4" w:rsidRPr="00BA28F2" w:rsidRDefault="000229F4" w:rsidP="008D5437">
            <w:pPr>
              <w:pStyle w:val="CETBodytext"/>
              <w:rPr>
                <w:sz w:val="16"/>
                <w:szCs w:val="16"/>
                <w:lang w:val="en-GB"/>
              </w:rPr>
            </w:pPr>
          </w:p>
        </w:tc>
        <w:tc>
          <w:tcPr>
            <w:tcW w:w="850" w:type="dxa"/>
            <w:shd w:val="clear" w:color="auto" w:fill="FFFFFF"/>
          </w:tcPr>
          <w:p w14:paraId="2404E58E" w14:textId="77777777" w:rsidR="000229F4" w:rsidRPr="00BA28F2" w:rsidRDefault="000229F4" w:rsidP="00CA1608">
            <w:pPr>
              <w:pStyle w:val="CETBodytext"/>
              <w:ind w:right="-1"/>
              <w:jc w:val="center"/>
              <w:rPr>
                <w:rFonts w:cs="Arial"/>
                <w:sz w:val="16"/>
                <w:szCs w:val="16"/>
                <w:lang w:val="en-GB"/>
              </w:rPr>
            </w:pPr>
          </w:p>
        </w:tc>
      </w:tr>
      <w:tr w:rsidR="00CC5C7A" w:rsidRPr="00BA28F2" w14:paraId="49AEA587" w14:textId="77777777" w:rsidTr="001F46D7">
        <w:tc>
          <w:tcPr>
            <w:tcW w:w="1984" w:type="dxa"/>
            <w:shd w:val="clear" w:color="auto" w:fill="FFFFFF"/>
          </w:tcPr>
          <w:p w14:paraId="71A3D3F7" w14:textId="77777777" w:rsidR="000229F4" w:rsidRPr="00BA28F2" w:rsidRDefault="000229F4" w:rsidP="008D5437">
            <w:pPr>
              <w:pStyle w:val="CETBodytext"/>
              <w:ind w:right="-1"/>
              <w:rPr>
                <w:rFonts w:cs="Arial"/>
                <w:sz w:val="16"/>
                <w:szCs w:val="16"/>
                <w:lang w:val="en-GB"/>
              </w:rPr>
            </w:pPr>
            <w:r w:rsidRPr="00BA28F2">
              <w:rPr>
                <w:rFonts w:cs="Arial"/>
                <w:sz w:val="16"/>
                <w:szCs w:val="16"/>
                <w:lang w:val="en-GB"/>
              </w:rPr>
              <w:t>KHK</w:t>
            </w:r>
          </w:p>
        </w:tc>
        <w:tc>
          <w:tcPr>
            <w:tcW w:w="850" w:type="dxa"/>
            <w:shd w:val="clear" w:color="auto" w:fill="FFFFFF"/>
          </w:tcPr>
          <w:p w14:paraId="3507A949" w14:textId="77777777" w:rsidR="000229F4" w:rsidRPr="00BA28F2" w:rsidRDefault="000229F4" w:rsidP="00CA1608">
            <w:pPr>
              <w:pStyle w:val="CETBodytext"/>
              <w:ind w:left="-5" w:right="-1" w:firstLine="5"/>
              <w:jc w:val="center"/>
              <w:rPr>
                <w:rFonts w:cs="Arial"/>
                <w:sz w:val="16"/>
                <w:szCs w:val="16"/>
                <w:lang w:val="en-GB"/>
              </w:rPr>
            </w:pPr>
            <w:r w:rsidRPr="00BA28F2">
              <w:rPr>
                <w:rFonts w:cs="Arial"/>
                <w:sz w:val="16"/>
                <w:szCs w:val="16"/>
                <w:lang w:val="en-GB"/>
              </w:rPr>
              <w:t>186</w:t>
            </w:r>
          </w:p>
        </w:tc>
        <w:tc>
          <w:tcPr>
            <w:tcW w:w="283" w:type="dxa"/>
            <w:tcBorders>
              <w:top w:val="nil"/>
              <w:bottom w:val="nil"/>
            </w:tcBorders>
            <w:shd w:val="clear" w:color="auto" w:fill="FFFFFF"/>
          </w:tcPr>
          <w:p w14:paraId="01F6276C" w14:textId="77777777" w:rsidR="000229F4" w:rsidRPr="00BA28F2" w:rsidRDefault="000229F4" w:rsidP="008D5437">
            <w:pPr>
              <w:pStyle w:val="CETBodytext"/>
              <w:ind w:right="-1"/>
              <w:rPr>
                <w:rFonts w:cs="Arial"/>
                <w:sz w:val="16"/>
                <w:szCs w:val="16"/>
                <w:lang w:val="en-GB"/>
              </w:rPr>
            </w:pPr>
          </w:p>
        </w:tc>
        <w:tc>
          <w:tcPr>
            <w:tcW w:w="2551" w:type="dxa"/>
            <w:shd w:val="clear" w:color="auto" w:fill="FFFFFF"/>
          </w:tcPr>
          <w:p w14:paraId="5B52FBCD" w14:textId="77777777" w:rsidR="000229F4" w:rsidRPr="00BA28F2" w:rsidRDefault="000229F4" w:rsidP="008D5437">
            <w:pPr>
              <w:pStyle w:val="CETBodytext"/>
              <w:ind w:right="-1"/>
              <w:rPr>
                <w:rFonts w:cs="Arial"/>
                <w:sz w:val="16"/>
                <w:szCs w:val="16"/>
                <w:lang w:val="en-GB"/>
              </w:rPr>
            </w:pPr>
          </w:p>
        </w:tc>
        <w:tc>
          <w:tcPr>
            <w:tcW w:w="850" w:type="dxa"/>
            <w:shd w:val="clear" w:color="auto" w:fill="FFFFFF"/>
          </w:tcPr>
          <w:p w14:paraId="1992CFB4" w14:textId="77777777" w:rsidR="000229F4" w:rsidRPr="00BA28F2" w:rsidRDefault="000229F4" w:rsidP="00CA1608">
            <w:pPr>
              <w:pStyle w:val="CETBodytext"/>
              <w:ind w:right="-1"/>
              <w:jc w:val="center"/>
              <w:rPr>
                <w:rFonts w:cs="Arial"/>
                <w:sz w:val="16"/>
                <w:szCs w:val="16"/>
                <w:lang w:val="en-GB"/>
              </w:rPr>
            </w:pPr>
          </w:p>
        </w:tc>
      </w:tr>
    </w:tbl>
    <w:p w14:paraId="0ABE3BC4" w14:textId="5CBCF7BF" w:rsidR="008267B6" w:rsidRDefault="008267B6" w:rsidP="00753485">
      <w:pPr>
        <w:pStyle w:val="CETTabletitle"/>
        <w:spacing w:before="120" w:after="60" w:line="240" w:lineRule="auto"/>
      </w:pPr>
      <w:bookmarkStart w:id="8" w:name="_Ref195180198"/>
      <w:r>
        <w:t xml:space="preserve">Table </w:t>
      </w:r>
      <w:r>
        <w:fldChar w:fldCharType="begin"/>
      </w:r>
      <w:r>
        <w:instrText xml:space="preserve"> SEQ Table \* ARABIC </w:instrText>
      </w:r>
      <w:r>
        <w:fldChar w:fldCharType="separate"/>
      </w:r>
      <w:r w:rsidR="00B1278C">
        <w:rPr>
          <w:noProof/>
        </w:rPr>
        <w:t>2</w:t>
      </w:r>
      <w:r>
        <w:fldChar w:fldCharType="end"/>
      </w:r>
      <w:bookmarkEnd w:id="8"/>
      <w:r>
        <w:t xml:space="preserve">. </w:t>
      </w:r>
      <w:r w:rsidRPr="00465E4C">
        <w:t>Expert pool demographic data</w:t>
      </w:r>
    </w:p>
    <w:tbl>
      <w:tblPr>
        <w:tblW w:w="925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84"/>
        <w:gridCol w:w="850"/>
        <w:gridCol w:w="240"/>
        <w:gridCol w:w="2268"/>
        <w:gridCol w:w="850"/>
        <w:gridCol w:w="250"/>
        <w:gridCol w:w="881"/>
        <w:gridCol w:w="1010"/>
        <w:gridCol w:w="850"/>
        <w:gridCol w:w="67"/>
      </w:tblGrid>
      <w:tr w:rsidR="001F46D7" w:rsidRPr="00BA28F2" w14:paraId="441D5940" w14:textId="1306DA65" w:rsidTr="001F46D7">
        <w:trPr>
          <w:gridAfter w:val="1"/>
          <w:wAfter w:w="67" w:type="dxa"/>
        </w:trPr>
        <w:tc>
          <w:tcPr>
            <w:tcW w:w="1984" w:type="dxa"/>
            <w:tcBorders>
              <w:top w:val="single" w:sz="12" w:space="0" w:color="008000"/>
              <w:bottom w:val="single" w:sz="6" w:space="0" w:color="008000"/>
            </w:tcBorders>
            <w:shd w:val="clear" w:color="auto" w:fill="FFFFFF"/>
          </w:tcPr>
          <w:p w14:paraId="55108E82" w14:textId="5FF0762B" w:rsidR="00CC5C7A" w:rsidRPr="00BA28F2" w:rsidRDefault="00CC5C7A" w:rsidP="00CC5C7A">
            <w:pPr>
              <w:pStyle w:val="CETBodytext"/>
              <w:rPr>
                <w:sz w:val="16"/>
                <w:szCs w:val="16"/>
                <w:lang w:val="en-GB"/>
              </w:rPr>
            </w:pPr>
            <w:r w:rsidRPr="00BA28F2">
              <w:rPr>
                <w:sz w:val="16"/>
                <w:szCs w:val="16"/>
                <w:lang w:val="en-GB"/>
              </w:rPr>
              <w:t>Country</w:t>
            </w:r>
          </w:p>
        </w:tc>
        <w:tc>
          <w:tcPr>
            <w:tcW w:w="850" w:type="dxa"/>
            <w:tcBorders>
              <w:top w:val="single" w:sz="12" w:space="0" w:color="008000"/>
              <w:bottom w:val="single" w:sz="6" w:space="0" w:color="008000"/>
            </w:tcBorders>
            <w:shd w:val="clear" w:color="auto" w:fill="FFFFFF"/>
          </w:tcPr>
          <w:p w14:paraId="7737FF25" w14:textId="256D4643" w:rsidR="00CC5C7A" w:rsidRPr="00BA28F2" w:rsidRDefault="00CC5C7A" w:rsidP="001F46D7">
            <w:pPr>
              <w:pStyle w:val="CETBodytext"/>
              <w:ind w:left="-5" w:firstLine="5"/>
              <w:jc w:val="center"/>
              <w:rPr>
                <w:sz w:val="16"/>
                <w:szCs w:val="16"/>
                <w:lang w:val="en-GB"/>
              </w:rPr>
            </w:pPr>
            <w:r w:rsidRPr="00BA28F2">
              <w:rPr>
                <w:sz w:val="16"/>
                <w:szCs w:val="16"/>
                <w:lang w:val="en-GB"/>
              </w:rPr>
              <w:t>N.</w:t>
            </w:r>
          </w:p>
        </w:tc>
        <w:tc>
          <w:tcPr>
            <w:tcW w:w="240" w:type="dxa"/>
            <w:tcBorders>
              <w:top w:val="nil"/>
              <w:bottom w:val="nil"/>
            </w:tcBorders>
            <w:shd w:val="clear" w:color="auto" w:fill="FFFFFF"/>
          </w:tcPr>
          <w:p w14:paraId="3A441A30" w14:textId="77777777" w:rsidR="00CC5C7A" w:rsidRPr="00BA28F2" w:rsidRDefault="00CC5C7A" w:rsidP="00CC5C7A">
            <w:pPr>
              <w:pStyle w:val="CETBodytext"/>
              <w:rPr>
                <w:sz w:val="16"/>
                <w:szCs w:val="16"/>
                <w:lang w:val="en-GB"/>
              </w:rPr>
            </w:pPr>
          </w:p>
        </w:tc>
        <w:tc>
          <w:tcPr>
            <w:tcW w:w="2268" w:type="dxa"/>
            <w:tcBorders>
              <w:top w:val="single" w:sz="12" w:space="0" w:color="008000"/>
              <w:bottom w:val="single" w:sz="6" w:space="0" w:color="008000"/>
            </w:tcBorders>
            <w:shd w:val="clear" w:color="auto" w:fill="FFFFFF"/>
          </w:tcPr>
          <w:p w14:paraId="61AD8511" w14:textId="380EB65F" w:rsidR="00CC5C7A" w:rsidRPr="00BA28F2" w:rsidRDefault="00CC5C7A" w:rsidP="00CC5C7A">
            <w:pPr>
              <w:pStyle w:val="CETBodytext"/>
              <w:rPr>
                <w:sz w:val="16"/>
                <w:szCs w:val="16"/>
                <w:lang w:val="en-GB"/>
              </w:rPr>
            </w:pPr>
            <w:r w:rsidRPr="00BA28F2">
              <w:rPr>
                <w:sz w:val="16"/>
                <w:szCs w:val="16"/>
                <w:lang w:val="en-GB"/>
              </w:rPr>
              <w:t>Expertise field</w:t>
            </w:r>
          </w:p>
        </w:tc>
        <w:tc>
          <w:tcPr>
            <w:tcW w:w="850" w:type="dxa"/>
            <w:tcBorders>
              <w:top w:val="single" w:sz="12" w:space="0" w:color="008000"/>
              <w:bottom w:val="single" w:sz="6" w:space="0" w:color="008000"/>
            </w:tcBorders>
            <w:shd w:val="clear" w:color="auto" w:fill="FFFFFF"/>
          </w:tcPr>
          <w:p w14:paraId="58D6D104" w14:textId="7ACB8790" w:rsidR="00CC5C7A" w:rsidRPr="00BA28F2" w:rsidRDefault="001F46D7" w:rsidP="001F46D7">
            <w:pPr>
              <w:pStyle w:val="CETBodytext"/>
              <w:ind w:right="-1"/>
              <w:jc w:val="center"/>
              <w:rPr>
                <w:rFonts w:cs="Arial"/>
                <w:sz w:val="16"/>
                <w:szCs w:val="16"/>
                <w:lang w:val="en-GB"/>
              </w:rPr>
            </w:pPr>
            <w:r w:rsidRPr="00BA28F2">
              <w:rPr>
                <w:rFonts w:cs="Arial"/>
                <w:sz w:val="16"/>
                <w:szCs w:val="16"/>
                <w:lang w:val="en-GB"/>
              </w:rPr>
              <w:t>N.</w:t>
            </w:r>
          </w:p>
        </w:tc>
        <w:tc>
          <w:tcPr>
            <w:tcW w:w="250" w:type="dxa"/>
            <w:tcBorders>
              <w:top w:val="nil"/>
              <w:bottom w:val="nil"/>
            </w:tcBorders>
            <w:shd w:val="clear" w:color="auto" w:fill="FFFFFF"/>
          </w:tcPr>
          <w:p w14:paraId="289CDB74" w14:textId="77777777" w:rsidR="00CC5C7A" w:rsidRPr="00BA28F2" w:rsidRDefault="00CC5C7A" w:rsidP="00CC5C7A">
            <w:pPr>
              <w:pStyle w:val="CETBodytext"/>
              <w:ind w:right="-1"/>
              <w:jc w:val="center"/>
              <w:rPr>
                <w:rFonts w:cs="Arial"/>
                <w:sz w:val="16"/>
                <w:szCs w:val="16"/>
                <w:lang w:val="en-GB"/>
              </w:rPr>
            </w:pPr>
          </w:p>
        </w:tc>
        <w:tc>
          <w:tcPr>
            <w:tcW w:w="1891" w:type="dxa"/>
            <w:gridSpan w:val="2"/>
            <w:tcBorders>
              <w:top w:val="single" w:sz="12" w:space="0" w:color="008000"/>
              <w:bottom w:val="single" w:sz="4" w:space="0" w:color="008000"/>
            </w:tcBorders>
            <w:shd w:val="clear" w:color="auto" w:fill="FFFFFF"/>
            <w:vAlign w:val="center"/>
          </w:tcPr>
          <w:p w14:paraId="08F519EE" w14:textId="15E8785C" w:rsidR="00CC5C7A" w:rsidRPr="00BA28F2" w:rsidRDefault="00CC5C7A" w:rsidP="00365D4C">
            <w:pPr>
              <w:pStyle w:val="CETBodytext"/>
              <w:rPr>
                <w:sz w:val="16"/>
                <w:szCs w:val="16"/>
                <w:lang w:val="en-GB"/>
              </w:rPr>
            </w:pPr>
            <w:r w:rsidRPr="00BA28F2">
              <w:rPr>
                <w:sz w:val="16"/>
                <w:szCs w:val="16"/>
                <w:lang w:val="en-GB"/>
              </w:rPr>
              <w:t>Years of experience</w:t>
            </w:r>
          </w:p>
        </w:tc>
        <w:tc>
          <w:tcPr>
            <w:tcW w:w="850" w:type="dxa"/>
            <w:tcBorders>
              <w:top w:val="single" w:sz="12" w:space="0" w:color="008000"/>
              <w:bottom w:val="single" w:sz="4" w:space="0" w:color="008000"/>
            </w:tcBorders>
            <w:shd w:val="clear" w:color="auto" w:fill="FFFFFF"/>
            <w:vAlign w:val="center"/>
          </w:tcPr>
          <w:p w14:paraId="3DF06CA5" w14:textId="315E5DA0" w:rsidR="00CC5C7A" w:rsidRPr="00BA28F2" w:rsidRDefault="00365D4C" w:rsidP="001F46D7">
            <w:pPr>
              <w:pStyle w:val="CETBodytext"/>
              <w:jc w:val="center"/>
              <w:rPr>
                <w:sz w:val="16"/>
                <w:szCs w:val="16"/>
                <w:lang w:val="en-GB"/>
              </w:rPr>
            </w:pPr>
            <w:r w:rsidRPr="00BA28F2">
              <w:rPr>
                <w:sz w:val="16"/>
                <w:szCs w:val="16"/>
                <w:lang w:val="en-GB"/>
              </w:rPr>
              <w:t>N.</w:t>
            </w:r>
          </w:p>
        </w:tc>
      </w:tr>
      <w:tr w:rsidR="00CC5C7A" w:rsidRPr="00BA28F2" w14:paraId="4A46D10D" w14:textId="4B84BDB9" w:rsidTr="001F46D7">
        <w:trPr>
          <w:gridAfter w:val="1"/>
          <w:wAfter w:w="67" w:type="dxa"/>
        </w:trPr>
        <w:tc>
          <w:tcPr>
            <w:tcW w:w="1984" w:type="dxa"/>
            <w:shd w:val="clear" w:color="auto" w:fill="FFFFFF"/>
          </w:tcPr>
          <w:p w14:paraId="34F5BB13" w14:textId="5442BE64" w:rsidR="00CC5C7A" w:rsidRPr="00BA28F2" w:rsidRDefault="00CC5C7A" w:rsidP="00CC5C7A">
            <w:pPr>
              <w:pStyle w:val="CETBodytext"/>
              <w:rPr>
                <w:sz w:val="16"/>
                <w:szCs w:val="16"/>
                <w:lang w:val="en-GB"/>
              </w:rPr>
            </w:pPr>
            <w:r w:rsidRPr="00BA28F2">
              <w:rPr>
                <w:sz w:val="16"/>
                <w:szCs w:val="16"/>
                <w:lang w:val="en-GB"/>
              </w:rPr>
              <w:t>China</w:t>
            </w:r>
          </w:p>
        </w:tc>
        <w:tc>
          <w:tcPr>
            <w:tcW w:w="850" w:type="dxa"/>
            <w:shd w:val="clear" w:color="auto" w:fill="FFFFFF"/>
          </w:tcPr>
          <w:p w14:paraId="5216A50A" w14:textId="7E16B22C" w:rsidR="00CC5C7A" w:rsidRPr="00BA28F2" w:rsidRDefault="00CC5C7A" w:rsidP="001F46D7">
            <w:pPr>
              <w:pStyle w:val="CETBodytext"/>
              <w:ind w:left="-5" w:firstLine="5"/>
              <w:jc w:val="center"/>
              <w:rPr>
                <w:sz w:val="16"/>
                <w:szCs w:val="16"/>
                <w:lang w:val="en-GB"/>
              </w:rPr>
            </w:pPr>
            <w:r w:rsidRPr="00BA28F2">
              <w:rPr>
                <w:sz w:val="16"/>
                <w:szCs w:val="16"/>
                <w:lang w:val="en-GB"/>
              </w:rPr>
              <w:t>1</w:t>
            </w:r>
          </w:p>
        </w:tc>
        <w:tc>
          <w:tcPr>
            <w:tcW w:w="240" w:type="dxa"/>
            <w:tcBorders>
              <w:top w:val="nil"/>
              <w:bottom w:val="nil"/>
            </w:tcBorders>
            <w:shd w:val="clear" w:color="auto" w:fill="FFFFFF"/>
          </w:tcPr>
          <w:p w14:paraId="49C64201" w14:textId="77777777" w:rsidR="00CC5C7A" w:rsidRPr="00BA28F2" w:rsidRDefault="00CC5C7A" w:rsidP="00CC5C7A">
            <w:pPr>
              <w:pStyle w:val="CETBodytext"/>
              <w:rPr>
                <w:sz w:val="16"/>
                <w:szCs w:val="16"/>
                <w:lang w:val="en-GB"/>
              </w:rPr>
            </w:pPr>
          </w:p>
        </w:tc>
        <w:tc>
          <w:tcPr>
            <w:tcW w:w="2268" w:type="dxa"/>
            <w:shd w:val="clear" w:color="auto" w:fill="FFFFFF"/>
          </w:tcPr>
          <w:p w14:paraId="55DF043E" w14:textId="4A261BF8" w:rsidR="00CC5C7A" w:rsidRPr="00BA28F2" w:rsidRDefault="00CC5C7A" w:rsidP="00CC5C7A">
            <w:pPr>
              <w:pStyle w:val="CETBodytext"/>
              <w:jc w:val="left"/>
              <w:rPr>
                <w:sz w:val="16"/>
                <w:szCs w:val="16"/>
                <w:lang w:val="en-GB"/>
              </w:rPr>
            </w:pPr>
            <w:r w:rsidRPr="00BA28F2">
              <w:rPr>
                <w:sz w:val="16"/>
                <w:szCs w:val="16"/>
                <w:lang w:val="en-GB"/>
              </w:rPr>
              <w:t>Academic</w:t>
            </w:r>
          </w:p>
        </w:tc>
        <w:tc>
          <w:tcPr>
            <w:tcW w:w="850" w:type="dxa"/>
            <w:shd w:val="clear" w:color="auto" w:fill="FFFFFF"/>
          </w:tcPr>
          <w:p w14:paraId="67B29D3B" w14:textId="615A5A61" w:rsidR="00CC5C7A" w:rsidRPr="00BA28F2" w:rsidRDefault="00CC5C7A" w:rsidP="001F46D7">
            <w:pPr>
              <w:pStyle w:val="CETBodytext"/>
              <w:ind w:right="-1"/>
              <w:jc w:val="center"/>
              <w:rPr>
                <w:rFonts w:cs="Arial"/>
                <w:sz w:val="16"/>
                <w:szCs w:val="16"/>
                <w:lang w:val="en-GB"/>
              </w:rPr>
            </w:pPr>
            <w:r w:rsidRPr="00BA28F2">
              <w:rPr>
                <w:rFonts w:cs="Arial"/>
                <w:sz w:val="16"/>
                <w:szCs w:val="16"/>
                <w:lang w:val="en-GB"/>
              </w:rPr>
              <w:t>8</w:t>
            </w:r>
          </w:p>
        </w:tc>
        <w:tc>
          <w:tcPr>
            <w:tcW w:w="250" w:type="dxa"/>
            <w:tcBorders>
              <w:top w:val="nil"/>
              <w:bottom w:val="nil"/>
            </w:tcBorders>
            <w:shd w:val="clear" w:color="auto" w:fill="FFFFFF"/>
          </w:tcPr>
          <w:p w14:paraId="025D4F32" w14:textId="77777777" w:rsidR="00CC5C7A" w:rsidRPr="00BA28F2" w:rsidRDefault="00CC5C7A" w:rsidP="00CC5C7A">
            <w:pPr>
              <w:pStyle w:val="CETBodytext"/>
              <w:ind w:right="-1"/>
              <w:jc w:val="center"/>
              <w:rPr>
                <w:rFonts w:cs="Arial"/>
                <w:sz w:val="16"/>
                <w:szCs w:val="16"/>
                <w:lang w:val="en-GB"/>
              </w:rPr>
            </w:pPr>
          </w:p>
        </w:tc>
        <w:tc>
          <w:tcPr>
            <w:tcW w:w="1891" w:type="dxa"/>
            <w:gridSpan w:val="2"/>
            <w:tcBorders>
              <w:top w:val="single" w:sz="4" w:space="0" w:color="008000"/>
              <w:bottom w:val="nil"/>
            </w:tcBorders>
            <w:shd w:val="clear" w:color="auto" w:fill="FFFFFF"/>
            <w:vAlign w:val="center"/>
          </w:tcPr>
          <w:p w14:paraId="3E6F3C7F" w14:textId="125E1F17" w:rsidR="00CC5C7A" w:rsidRPr="00BA28F2" w:rsidRDefault="00CC5C7A" w:rsidP="00CC5C7A">
            <w:pPr>
              <w:pStyle w:val="CETBodytext"/>
              <w:ind w:right="-1"/>
              <w:jc w:val="left"/>
              <w:rPr>
                <w:rFonts w:cs="Arial"/>
                <w:sz w:val="16"/>
                <w:szCs w:val="16"/>
                <w:highlight w:val="yellow"/>
                <w:lang w:val="en-GB"/>
              </w:rPr>
            </w:pPr>
            <w:r w:rsidRPr="00BA28F2">
              <w:rPr>
                <w:rFonts w:cs="Arial"/>
                <w:sz w:val="16"/>
                <w:szCs w:val="16"/>
                <w:highlight w:val="yellow"/>
                <w:lang w:val="en-GB"/>
              </w:rPr>
              <w:t>5 or less</w:t>
            </w:r>
          </w:p>
        </w:tc>
        <w:tc>
          <w:tcPr>
            <w:tcW w:w="850" w:type="dxa"/>
            <w:tcBorders>
              <w:top w:val="single" w:sz="4" w:space="0" w:color="008000"/>
              <w:bottom w:val="nil"/>
            </w:tcBorders>
            <w:shd w:val="clear" w:color="auto" w:fill="FFFFFF"/>
            <w:vAlign w:val="center"/>
          </w:tcPr>
          <w:p w14:paraId="4C70A941" w14:textId="3FDB7BA3" w:rsidR="00CC5C7A" w:rsidRPr="00BA28F2" w:rsidRDefault="00CC5C7A" w:rsidP="001F46D7">
            <w:pPr>
              <w:pStyle w:val="CETBodytext"/>
              <w:ind w:right="-1"/>
              <w:jc w:val="center"/>
              <w:rPr>
                <w:rFonts w:cs="Arial"/>
                <w:sz w:val="16"/>
                <w:szCs w:val="16"/>
                <w:highlight w:val="yellow"/>
                <w:lang w:val="en-GB"/>
              </w:rPr>
            </w:pPr>
            <w:r w:rsidRPr="00BA28F2">
              <w:rPr>
                <w:rFonts w:cs="Arial"/>
                <w:sz w:val="16"/>
                <w:szCs w:val="16"/>
                <w:highlight w:val="yellow"/>
                <w:lang w:val="en-GB"/>
              </w:rPr>
              <w:t>9</w:t>
            </w:r>
          </w:p>
        </w:tc>
      </w:tr>
      <w:tr w:rsidR="00AE3F3E" w:rsidRPr="00BA28F2" w14:paraId="1B16480A" w14:textId="191A09A4" w:rsidTr="001F46D7">
        <w:trPr>
          <w:gridAfter w:val="1"/>
          <w:wAfter w:w="67" w:type="dxa"/>
        </w:trPr>
        <w:tc>
          <w:tcPr>
            <w:tcW w:w="1984" w:type="dxa"/>
            <w:shd w:val="clear" w:color="auto" w:fill="FFFFFF"/>
          </w:tcPr>
          <w:p w14:paraId="19CEB9CA" w14:textId="3ADBAA32" w:rsidR="00AE3F3E" w:rsidRPr="00BA28F2" w:rsidRDefault="00AE3F3E" w:rsidP="00AE3F3E">
            <w:pPr>
              <w:pStyle w:val="CETBodytext"/>
              <w:rPr>
                <w:sz w:val="16"/>
                <w:szCs w:val="16"/>
                <w:lang w:val="en-GB"/>
              </w:rPr>
            </w:pPr>
            <w:r w:rsidRPr="00BA28F2">
              <w:rPr>
                <w:sz w:val="16"/>
                <w:szCs w:val="16"/>
                <w:lang w:val="en-GB"/>
              </w:rPr>
              <w:t>Germany</w:t>
            </w:r>
          </w:p>
        </w:tc>
        <w:tc>
          <w:tcPr>
            <w:tcW w:w="850" w:type="dxa"/>
            <w:shd w:val="clear" w:color="auto" w:fill="FFFFFF"/>
          </w:tcPr>
          <w:p w14:paraId="2ABA3A99" w14:textId="47BE2BB5" w:rsidR="00AE3F3E" w:rsidRPr="00BA28F2" w:rsidRDefault="00AE3F3E" w:rsidP="00AE3F3E">
            <w:pPr>
              <w:pStyle w:val="CETBodytext"/>
              <w:ind w:left="-5" w:firstLine="5"/>
              <w:jc w:val="center"/>
              <w:rPr>
                <w:sz w:val="16"/>
                <w:szCs w:val="16"/>
                <w:lang w:val="en-GB"/>
              </w:rPr>
            </w:pPr>
            <w:r w:rsidRPr="00BA28F2">
              <w:rPr>
                <w:sz w:val="16"/>
                <w:szCs w:val="16"/>
                <w:lang w:val="en-GB"/>
              </w:rPr>
              <w:t>1</w:t>
            </w:r>
          </w:p>
        </w:tc>
        <w:tc>
          <w:tcPr>
            <w:tcW w:w="240" w:type="dxa"/>
            <w:tcBorders>
              <w:top w:val="nil"/>
              <w:bottom w:val="nil"/>
            </w:tcBorders>
            <w:shd w:val="clear" w:color="auto" w:fill="FFFFFF"/>
          </w:tcPr>
          <w:p w14:paraId="4566CC9C" w14:textId="77777777" w:rsidR="00AE3F3E" w:rsidRPr="00BA28F2" w:rsidRDefault="00AE3F3E" w:rsidP="00AE3F3E">
            <w:pPr>
              <w:pStyle w:val="CETBodytext"/>
              <w:rPr>
                <w:sz w:val="16"/>
                <w:szCs w:val="16"/>
                <w:lang w:val="en-GB"/>
              </w:rPr>
            </w:pPr>
          </w:p>
        </w:tc>
        <w:tc>
          <w:tcPr>
            <w:tcW w:w="2268" w:type="dxa"/>
            <w:shd w:val="clear" w:color="auto" w:fill="FFFFFF"/>
          </w:tcPr>
          <w:p w14:paraId="13C44C06" w14:textId="78EA8119" w:rsidR="00AE3F3E" w:rsidRPr="00BA28F2" w:rsidRDefault="00AE3F3E" w:rsidP="00AE3F3E">
            <w:pPr>
              <w:pStyle w:val="CETBodytext"/>
              <w:jc w:val="left"/>
              <w:rPr>
                <w:sz w:val="16"/>
                <w:szCs w:val="16"/>
                <w:lang w:val="en-GB"/>
              </w:rPr>
            </w:pPr>
            <w:r w:rsidRPr="00BA28F2">
              <w:rPr>
                <w:sz w:val="16"/>
                <w:szCs w:val="16"/>
                <w:lang w:val="en-GB"/>
              </w:rPr>
              <w:t>Industry</w:t>
            </w:r>
          </w:p>
        </w:tc>
        <w:tc>
          <w:tcPr>
            <w:tcW w:w="850" w:type="dxa"/>
            <w:shd w:val="clear" w:color="auto" w:fill="FFFFFF"/>
          </w:tcPr>
          <w:p w14:paraId="6CA5435D" w14:textId="51E051DD" w:rsidR="00AE3F3E" w:rsidRPr="00BA28F2" w:rsidRDefault="00AE3F3E" w:rsidP="00AE3F3E">
            <w:pPr>
              <w:pStyle w:val="CETBodytext"/>
              <w:ind w:right="-1"/>
              <w:jc w:val="center"/>
              <w:rPr>
                <w:rFonts w:cs="Arial"/>
                <w:sz w:val="16"/>
                <w:szCs w:val="16"/>
                <w:lang w:val="en-GB"/>
              </w:rPr>
            </w:pPr>
            <w:r w:rsidRPr="00BA28F2">
              <w:rPr>
                <w:rFonts w:cs="Arial"/>
                <w:sz w:val="16"/>
                <w:szCs w:val="16"/>
                <w:lang w:val="en-GB"/>
              </w:rPr>
              <w:t>19</w:t>
            </w:r>
          </w:p>
        </w:tc>
        <w:tc>
          <w:tcPr>
            <w:tcW w:w="250" w:type="dxa"/>
            <w:tcBorders>
              <w:top w:val="nil"/>
              <w:bottom w:val="nil"/>
            </w:tcBorders>
            <w:shd w:val="clear" w:color="auto" w:fill="FFFFFF"/>
          </w:tcPr>
          <w:p w14:paraId="1EFE48C6" w14:textId="77777777" w:rsidR="00AE3F3E" w:rsidRPr="00BA28F2" w:rsidRDefault="00AE3F3E" w:rsidP="00AE3F3E">
            <w:pPr>
              <w:pStyle w:val="CETBodytext"/>
              <w:ind w:right="-1"/>
              <w:jc w:val="center"/>
              <w:rPr>
                <w:rFonts w:cs="Arial"/>
                <w:sz w:val="16"/>
                <w:szCs w:val="16"/>
                <w:lang w:val="en-GB"/>
              </w:rPr>
            </w:pPr>
          </w:p>
        </w:tc>
        <w:tc>
          <w:tcPr>
            <w:tcW w:w="1891" w:type="dxa"/>
            <w:gridSpan w:val="2"/>
            <w:tcBorders>
              <w:top w:val="nil"/>
              <w:bottom w:val="nil"/>
            </w:tcBorders>
            <w:shd w:val="clear" w:color="auto" w:fill="FFFFFF"/>
            <w:vAlign w:val="center"/>
          </w:tcPr>
          <w:p w14:paraId="16F0A90E" w14:textId="581D58A3" w:rsidR="00AE3F3E" w:rsidRPr="00BA28F2" w:rsidRDefault="00AE3F3E" w:rsidP="00AE3F3E">
            <w:pPr>
              <w:pStyle w:val="CETBodytext"/>
              <w:ind w:right="-1"/>
              <w:jc w:val="left"/>
              <w:rPr>
                <w:rFonts w:cs="Arial"/>
                <w:sz w:val="16"/>
                <w:szCs w:val="16"/>
                <w:highlight w:val="yellow"/>
                <w:lang w:val="en-GB"/>
              </w:rPr>
            </w:pPr>
            <w:r w:rsidRPr="00BA28F2">
              <w:rPr>
                <w:rFonts w:cs="Arial"/>
                <w:sz w:val="16"/>
                <w:szCs w:val="16"/>
                <w:highlight w:val="yellow"/>
                <w:lang w:val="en-GB"/>
              </w:rPr>
              <w:t>from 6 to 10</w:t>
            </w:r>
          </w:p>
        </w:tc>
        <w:tc>
          <w:tcPr>
            <w:tcW w:w="850" w:type="dxa"/>
            <w:tcBorders>
              <w:top w:val="nil"/>
              <w:bottom w:val="nil"/>
            </w:tcBorders>
            <w:shd w:val="clear" w:color="auto" w:fill="FFFFFF"/>
            <w:vAlign w:val="center"/>
          </w:tcPr>
          <w:p w14:paraId="299234B6" w14:textId="6A6E4AEC" w:rsidR="00AE3F3E" w:rsidRPr="00BA28F2" w:rsidRDefault="00B43909" w:rsidP="00AE3F3E">
            <w:pPr>
              <w:pStyle w:val="CETBodytext"/>
              <w:ind w:right="-1"/>
              <w:jc w:val="center"/>
              <w:rPr>
                <w:rFonts w:cs="Arial"/>
                <w:sz w:val="16"/>
                <w:szCs w:val="16"/>
                <w:highlight w:val="yellow"/>
                <w:lang w:val="en-GB"/>
              </w:rPr>
            </w:pPr>
            <w:r w:rsidRPr="00BA28F2">
              <w:rPr>
                <w:rFonts w:cs="Arial"/>
                <w:sz w:val="16"/>
                <w:szCs w:val="16"/>
                <w:highlight w:val="yellow"/>
                <w:lang w:val="en-GB"/>
              </w:rPr>
              <w:t>3</w:t>
            </w:r>
          </w:p>
        </w:tc>
      </w:tr>
      <w:tr w:rsidR="00AE3F3E" w:rsidRPr="00BA28F2" w14:paraId="59EDB5E9" w14:textId="68FCED8D" w:rsidTr="001F46D7">
        <w:trPr>
          <w:gridAfter w:val="1"/>
          <w:wAfter w:w="67" w:type="dxa"/>
        </w:trPr>
        <w:tc>
          <w:tcPr>
            <w:tcW w:w="1984" w:type="dxa"/>
            <w:shd w:val="clear" w:color="auto" w:fill="FFFFFF"/>
          </w:tcPr>
          <w:p w14:paraId="40D667D9" w14:textId="5EE30847" w:rsidR="00AE3F3E" w:rsidRPr="00BA28F2" w:rsidRDefault="00AE3F3E" w:rsidP="00AE3F3E">
            <w:pPr>
              <w:pStyle w:val="CETBodytext"/>
              <w:rPr>
                <w:sz w:val="16"/>
                <w:szCs w:val="16"/>
                <w:lang w:val="en-GB"/>
              </w:rPr>
            </w:pPr>
            <w:r w:rsidRPr="00BA28F2">
              <w:rPr>
                <w:sz w:val="16"/>
                <w:szCs w:val="16"/>
                <w:lang w:val="en-GB"/>
              </w:rPr>
              <w:t>Japan</w:t>
            </w:r>
          </w:p>
        </w:tc>
        <w:tc>
          <w:tcPr>
            <w:tcW w:w="850" w:type="dxa"/>
            <w:shd w:val="clear" w:color="auto" w:fill="FFFFFF"/>
          </w:tcPr>
          <w:p w14:paraId="7C5ABCDB" w14:textId="3862BD3C" w:rsidR="00AE3F3E" w:rsidRPr="00BA28F2" w:rsidRDefault="00AE3F3E" w:rsidP="00AE3F3E">
            <w:pPr>
              <w:pStyle w:val="CETBodytext"/>
              <w:ind w:left="-5" w:firstLine="5"/>
              <w:jc w:val="center"/>
              <w:rPr>
                <w:sz w:val="16"/>
                <w:szCs w:val="16"/>
                <w:lang w:val="en-GB"/>
              </w:rPr>
            </w:pPr>
            <w:r w:rsidRPr="00BA28F2">
              <w:rPr>
                <w:sz w:val="16"/>
                <w:szCs w:val="16"/>
                <w:lang w:val="en-GB"/>
              </w:rPr>
              <w:t>19</w:t>
            </w:r>
          </w:p>
        </w:tc>
        <w:tc>
          <w:tcPr>
            <w:tcW w:w="240" w:type="dxa"/>
            <w:tcBorders>
              <w:top w:val="nil"/>
              <w:bottom w:val="nil"/>
            </w:tcBorders>
            <w:shd w:val="clear" w:color="auto" w:fill="FFFFFF"/>
          </w:tcPr>
          <w:p w14:paraId="400C1345" w14:textId="77777777" w:rsidR="00AE3F3E" w:rsidRPr="00BA28F2" w:rsidRDefault="00AE3F3E" w:rsidP="00AE3F3E">
            <w:pPr>
              <w:pStyle w:val="CETBodytext"/>
              <w:rPr>
                <w:sz w:val="16"/>
                <w:szCs w:val="16"/>
                <w:lang w:val="en-GB"/>
              </w:rPr>
            </w:pPr>
          </w:p>
        </w:tc>
        <w:tc>
          <w:tcPr>
            <w:tcW w:w="2268" w:type="dxa"/>
            <w:shd w:val="clear" w:color="auto" w:fill="FFFFFF"/>
          </w:tcPr>
          <w:p w14:paraId="2A4C25B2" w14:textId="6E4F4A39" w:rsidR="00AE3F3E" w:rsidRPr="00BA28F2" w:rsidRDefault="00AE3F3E" w:rsidP="00AE3F3E">
            <w:pPr>
              <w:pStyle w:val="CETBodytext"/>
              <w:rPr>
                <w:sz w:val="16"/>
                <w:szCs w:val="16"/>
                <w:lang w:val="en-GB"/>
              </w:rPr>
            </w:pPr>
            <w:r w:rsidRPr="00BA28F2">
              <w:rPr>
                <w:sz w:val="16"/>
                <w:szCs w:val="16"/>
                <w:lang w:val="en-GB"/>
              </w:rPr>
              <w:t>Both Industry and academic</w:t>
            </w:r>
          </w:p>
        </w:tc>
        <w:tc>
          <w:tcPr>
            <w:tcW w:w="850" w:type="dxa"/>
            <w:shd w:val="clear" w:color="auto" w:fill="FFFFFF"/>
          </w:tcPr>
          <w:p w14:paraId="464ED928" w14:textId="25B17277" w:rsidR="00AE3F3E" w:rsidRPr="00BA28F2" w:rsidRDefault="00AE3F3E" w:rsidP="00AE3F3E">
            <w:pPr>
              <w:pStyle w:val="CETBodytext"/>
              <w:ind w:right="-1"/>
              <w:jc w:val="center"/>
              <w:rPr>
                <w:rFonts w:cs="Arial"/>
                <w:sz w:val="16"/>
                <w:szCs w:val="16"/>
                <w:lang w:val="en-GB"/>
              </w:rPr>
            </w:pPr>
            <w:r w:rsidRPr="00BA28F2">
              <w:rPr>
                <w:rFonts w:cs="Arial"/>
                <w:sz w:val="16"/>
                <w:szCs w:val="16"/>
                <w:lang w:val="en-GB"/>
              </w:rPr>
              <w:t>1</w:t>
            </w:r>
          </w:p>
        </w:tc>
        <w:tc>
          <w:tcPr>
            <w:tcW w:w="250" w:type="dxa"/>
            <w:tcBorders>
              <w:top w:val="nil"/>
              <w:bottom w:val="nil"/>
            </w:tcBorders>
            <w:shd w:val="clear" w:color="auto" w:fill="FFFFFF"/>
          </w:tcPr>
          <w:p w14:paraId="0F29B2C6" w14:textId="77777777" w:rsidR="00AE3F3E" w:rsidRPr="00BA28F2" w:rsidRDefault="00AE3F3E" w:rsidP="00AE3F3E">
            <w:pPr>
              <w:pStyle w:val="CETBodytext"/>
              <w:ind w:right="-1"/>
              <w:jc w:val="center"/>
              <w:rPr>
                <w:rFonts w:cs="Arial"/>
                <w:sz w:val="16"/>
                <w:szCs w:val="16"/>
                <w:lang w:val="en-GB"/>
              </w:rPr>
            </w:pPr>
          </w:p>
        </w:tc>
        <w:tc>
          <w:tcPr>
            <w:tcW w:w="1891" w:type="dxa"/>
            <w:gridSpan w:val="2"/>
            <w:tcBorders>
              <w:top w:val="nil"/>
              <w:bottom w:val="nil"/>
            </w:tcBorders>
            <w:shd w:val="clear" w:color="auto" w:fill="FFFFFF"/>
            <w:vAlign w:val="center"/>
          </w:tcPr>
          <w:p w14:paraId="4A322658" w14:textId="29F9B364" w:rsidR="00AE3F3E" w:rsidRPr="00BA28F2" w:rsidRDefault="00AE3F3E" w:rsidP="00AE3F3E">
            <w:pPr>
              <w:pStyle w:val="CETBodytext"/>
              <w:ind w:right="-1"/>
              <w:jc w:val="left"/>
              <w:rPr>
                <w:rFonts w:cs="Arial"/>
                <w:sz w:val="16"/>
                <w:szCs w:val="16"/>
                <w:highlight w:val="yellow"/>
                <w:lang w:val="en-GB"/>
              </w:rPr>
            </w:pPr>
            <w:r w:rsidRPr="00BA28F2">
              <w:rPr>
                <w:rFonts w:cs="Arial"/>
                <w:sz w:val="16"/>
                <w:szCs w:val="16"/>
                <w:highlight w:val="yellow"/>
                <w:lang w:val="en-GB"/>
              </w:rPr>
              <w:t>from 11 to 15</w:t>
            </w:r>
          </w:p>
        </w:tc>
        <w:tc>
          <w:tcPr>
            <w:tcW w:w="850" w:type="dxa"/>
            <w:tcBorders>
              <w:top w:val="nil"/>
              <w:bottom w:val="nil"/>
            </w:tcBorders>
            <w:shd w:val="clear" w:color="auto" w:fill="FFFFFF"/>
            <w:vAlign w:val="center"/>
          </w:tcPr>
          <w:p w14:paraId="00F5DBEF" w14:textId="1F68B4FC" w:rsidR="00AE3F3E" w:rsidRPr="00BA28F2" w:rsidRDefault="00B43909" w:rsidP="00AE3F3E">
            <w:pPr>
              <w:pStyle w:val="CETBodytext"/>
              <w:ind w:right="-1"/>
              <w:jc w:val="center"/>
              <w:rPr>
                <w:rFonts w:cs="Arial"/>
                <w:sz w:val="16"/>
                <w:szCs w:val="16"/>
                <w:highlight w:val="yellow"/>
                <w:lang w:val="en-GB"/>
              </w:rPr>
            </w:pPr>
            <w:r w:rsidRPr="00BA28F2">
              <w:rPr>
                <w:rFonts w:cs="Arial"/>
                <w:sz w:val="16"/>
                <w:szCs w:val="16"/>
                <w:highlight w:val="yellow"/>
                <w:lang w:val="en-GB"/>
              </w:rPr>
              <w:t>6</w:t>
            </w:r>
          </w:p>
        </w:tc>
      </w:tr>
      <w:tr w:rsidR="00AE3F3E" w:rsidRPr="00BA28F2" w14:paraId="703254D4" w14:textId="73030AC1" w:rsidTr="001F46D7">
        <w:trPr>
          <w:gridAfter w:val="1"/>
          <w:wAfter w:w="67" w:type="dxa"/>
        </w:trPr>
        <w:tc>
          <w:tcPr>
            <w:tcW w:w="1984" w:type="dxa"/>
            <w:shd w:val="clear" w:color="auto" w:fill="FFFFFF"/>
          </w:tcPr>
          <w:p w14:paraId="0771F8A3" w14:textId="76914A3E" w:rsidR="00AE3F3E" w:rsidRPr="00BA28F2" w:rsidRDefault="00AE3F3E" w:rsidP="00AE3F3E">
            <w:pPr>
              <w:pStyle w:val="CETBodytext"/>
              <w:rPr>
                <w:sz w:val="16"/>
                <w:szCs w:val="16"/>
                <w:lang w:val="en-GB"/>
              </w:rPr>
            </w:pPr>
            <w:r w:rsidRPr="00BA28F2">
              <w:rPr>
                <w:sz w:val="16"/>
                <w:szCs w:val="16"/>
                <w:lang w:val="en-GB"/>
              </w:rPr>
              <w:t>Norway</w:t>
            </w:r>
          </w:p>
        </w:tc>
        <w:tc>
          <w:tcPr>
            <w:tcW w:w="850" w:type="dxa"/>
            <w:shd w:val="clear" w:color="auto" w:fill="FFFFFF"/>
          </w:tcPr>
          <w:p w14:paraId="3A5C3BB0" w14:textId="3F027399" w:rsidR="00AE3F3E" w:rsidRPr="00BA28F2" w:rsidRDefault="00AE3F3E" w:rsidP="00AE3F3E">
            <w:pPr>
              <w:pStyle w:val="CETBodytext"/>
              <w:ind w:left="-5" w:firstLine="5"/>
              <w:jc w:val="center"/>
              <w:rPr>
                <w:sz w:val="16"/>
                <w:szCs w:val="16"/>
                <w:lang w:val="en-GB"/>
              </w:rPr>
            </w:pPr>
            <w:r w:rsidRPr="00BA28F2">
              <w:rPr>
                <w:sz w:val="16"/>
                <w:szCs w:val="16"/>
                <w:lang w:val="en-GB"/>
              </w:rPr>
              <w:t>3</w:t>
            </w:r>
          </w:p>
        </w:tc>
        <w:tc>
          <w:tcPr>
            <w:tcW w:w="240" w:type="dxa"/>
            <w:tcBorders>
              <w:top w:val="nil"/>
              <w:bottom w:val="nil"/>
            </w:tcBorders>
            <w:shd w:val="clear" w:color="auto" w:fill="FFFFFF"/>
          </w:tcPr>
          <w:p w14:paraId="7F6AAACC" w14:textId="77777777" w:rsidR="00AE3F3E" w:rsidRPr="00BA28F2" w:rsidRDefault="00AE3F3E" w:rsidP="00AE3F3E">
            <w:pPr>
              <w:pStyle w:val="CETBodytext"/>
              <w:rPr>
                <w:sz w:val="16"/>
                <w:szCs w:val="16"/>
                <w:lang w:val="en-GB"/>
              </w:rPr>
            </w:pPr>
          </w:p>
        </w:tc>
        <w:tc>
          <w:tcPr>
            <w:tcW w:w="2268" w:type="dxa"/>
            <w:shd w:val="clear" w:color="auto" w:fill="FFFFFF"/>
          </w:tcPr>
          <w:p w14:paraId="3A274879" w14:textId="70EA2355" w:rsidR="00AE3F3E" w:rsidRPr="00BA28F2" w:rsidRDefault="00AE3F3E" w:rsidP="00AE3F3E">
            <w:pPr>
              <w:pStyle w:val="CETBodytext"/>
              <w:rPr>
                <w:sz w:val="16"/>
                <w:szCs w:val="16"/>
                <w:lang w:val="en-GB"/>
              </w:rPr>
            </w:pPr>
            <w:r w:rsidRPr="00BA28F2">
              <w:rPr>
                <w:sz w:val="16"/>
                <w:szCs w:val="16"/>
                <w:lang w:val="en-GB"/>
              </w:rPr>
              <w:t>Others</w:t>
            </w:r>
          </w:p>
        </w:tc>
        <w:tc>
          <w:tcPr>
            <w:tcW w:w="850" w:type="dxa"/>
            <w:shd w:val="clear" w:color="auto" w:fill="FFFFFF"/>
          </w:tcPr>
          <w:p w14:paraId="1014273F" w14:textId="2380F747" w:rsidR="00AE3F3E" w:rsidRPr="00BA28F2" w:rsidRDefault="00AE3F3E" w:rsidP="00AE3F3E">
            <w:pPr>
              <w:pStyle w:val="CETBodytext"/>
              <w:ind w:right="-1"/>
              <w:jc w:val="center"/>
              <w:rPr>
                <w:rFonts w:cs="Arial"/>
                <w:sz w:val="16"/>
                <w:szCs w:val="16"/>
                <w:lang w:val="en-GB"/>
              </w:rPr>
            </w:pPr>
            <w:r w:rsidRPr="00BA28F2">
              <w:rPr>
                <w:rFonts w:cs="Arial"/>
                <w:sz w:val="16"/>
                <w:szCs w:val="16"/>
                <w:lang w:val="en-GB"/>
              </w:rPr>
              <w:t>1</w:t>
            </w:r>
          </w:p>
        </w:tc>
        <w:tc>
          <w:tcPr>
            <w:tcW w:w="250" w:type="dxa"/>
            <w:tcBorders>
              <w:top w:val="nil"/>
              <w:bottom w:val="nil"/>
            </w:tcBorders>
            <w:shd w:val="clear" w:color="auto" w:fill="FFFFFF"/>
          </w:tcPr>
          <w:p w14:paraId="3FDBE24F" w14:textId="77777777" w:rsidR="00AE3F3E" w:rsidRPr="00BA28F2" w:rsidRDefault="00AE3F3E" w:rsidP="00AE3F3E">
            <w:pPr>
              <w:pStyle w:val="CETBodytext"/>
              <w:ind w:right="-1"/>
              <w:jc w:val="center"/>
              <w:rPr>
                <w:rFonts w:cs="Arial"/>
                <w:sz w:val="16"/>
                <w:szCs w:val="16"/>
                <w:lang w:val="en-GB"/>
              </w:rPr>
            </w:pPr>
          </w:p>
        </w:tc>
        <w:tc>
          <w:tcPr>
            <w:tcW w:w="1891" w:type="dxa"/>
            <w:gridSpan w:val="2"/>
            <w:tcBorders>
              <w:top w:val="nil"/>
              <w:bottom w:val="nil"/>
            </w:tcBorders>
            <w:shd w:val="clear" w:color="auto" w:fill="FFFFFF"/>
            <w:vAlign w:val="center"/>
          </w:tcPr>
          <w:p w14:paraId="56C09163" w14:textId="65BD2570" w:rsidR="00AE3F3E" w:rsidRPr="00BA28F2" w:rsidRDefault="00AE3F3E" w:rsidP="00AE3F3E">
            <w:pPr>
              <w:pStyle w:val="CETBodytext"/>
              <w:ind w:right="-1"/>
              <w:jc w:val="left"/>
              <w:rPr>
                <w:rFonts w:cs="Arial"/>
                <w:sz w:val="16"/>
                <w:szCs w:val="16"/>
                <w:highlight w:val="yellow"/>
                <w:lang w:val="en-GB"/>
              </w:rPr>
            </w:pPr>
            <w:r w:rsidRPr="00BA28F2">
              <w:rPr>
                <w:rFonts w:cs="Arial"/>
                <w:sz w:val="16"/>
                <w:szCs w:val="16"/>
                <w:highlight w:val="yellow"/>
                <w:lang w:val="en-GB"/>
              </w:rPr>
              <w:t>from 16 to 20</w:t>
            </w:r>
          </w:p>
        </w:tc>
        <w:tc>
          <w:tcPr>
            <w:tcW w:w="850" w:type="dxa"/>
            <w:tcBorders>
              <w:top w:val="nil"/>
              <w:bottom w:val="nil"/>
            </w:tcBorders>
            <w:shd w:val="clear" w:color="auto" w:fill="FFFFFF"/>
            <w:vAlign w:val="center"/>
          </w:tcPr>
          <w:p w14:paraId="34967156" w14:textId="3EF547C9" w:rsidR="00AE3F3E" w:rsidRPr="00BA28F2" w:rsidRDefault="00B43909" w:rsidP="00AE3F3E">
            <w:pPr>
              <w:pStyle w:val="CETBodytext"/>
              <w:ind w:right="-1"/>
              <w:jc w:val="center"/>
              <w:rPr>
                <w:rFonts w:cs="Arial"/>
                <w:sz w:val="16"/>
                <w:szCs w:val="16"/>
                <w:highlight w:val="yellow"/>
                <w:lang w:val="en-GB"/>
              </w:rPr>
            </w:pPr>
            <w:r w:rsidRPr="00BA28F2">
              <w:rPr>
                <w:rFonts w:cs="Arial"/>
                <w:sz w:val="16"/>
                <w:szCs w:val="16"/>
                <w:highlight w:val="yellow"/>
                <w:lang w:val="en-GB"/>
              </w:rPr>
              <w:t>2</w:t>
            </w:r>
          </w:p>
        </w:tc>
      </w:tr>
      <w:tr w:rsidR="00B43909" w:rsidRPr="00BA28F2" w14:paraId="72DA7DA5" w14:textId="0A86B913" w:rsidTr="001F46D7">
        <w:trPr>
          <w:gridAfter w:val="1"/>
          <w:wAfter w:w="67" w:type="dxa"/>
        </w:trPr>
        <w:tc>
          <w:tcPr>
            <w:tcW w:w="1984" w:type="dxa"/>
            <w:shd w:val="clear" w:color="auto" w:fill="FFFFFF"/>
          </w:tcPr>
          <w:p w14:paraId="4539ED85" w14:textId="0EF15A4E" w:rsidR="00B43909" w:rsidRPr="00BA28F2" w:rsidRDefault="00B43909" w:rsidP="00B43909">
            <w:pPr>
              <w:pStyle w:val="CETBodytext"/>
              <w:rPr>
                <w:sz w:val="16"/>
                <w:szCs w:val="16"/>
                <w:lang w:val="en-GB"/>
              </w:rPr>
            </w:pPr>
            <w:r w:rsidRPr="00BA28F2">
              <w:rPr>
                <w:sz w:val="16"/>
                <w:szCs w:val="16"/>
                <w:lang w:val="en-GB"/>
              </w:rPr>
              <w:t>Poland</w:t>
            </w:r>
          </w:p>
        </w:tc>
        <w:tc>
          <w:tcPr>
            <w:tcW w:w="850" w:type="dxa"/>
            <w:shd w:val="clear" w:color="auto" w:fill="FFFFFF"/>
          </w:tcPr>
          <w:p w14:paraId="5A59E546" w14:textId="5C199563" w:rsidR="00B43909" w:rsidRPr="00BA28F2" w:rsidRDefault="00B43909" w:rsidP="00B43909">
            <w:pPr>
              <w:pStyle w:val="CETBodytext"/>
              <w:ind w:left="-5" w:firstLine="5"/>
              <w:jc w:val="center"/>
              <w:rPr>
                <w:sz w:val="16"/>
                <w:szCs w:val="16"/>
                <w:lang w:val="en-GB"/>
              </w:rPr>
            </w:pPr>
            <w:r w:rsidRPr="00BA28F2">
              <w:rPr>
                <w:sz w:val="16"/>
                <w:szCs w:val="16"/>
                <w:lang w:val="en-GB"/>
              </w:rPr>
              <w:t>1</w:t>
            </w:r>
          </w:p>
        </w:tc>
        <w:tc>
          <w:tcPr>
            <w:tcW w:w="240" w:type="dxa"/>
            <w:tcBorders>
              <w:top w:val="nil"/>
              <w:bottom w:val="nil"/>
            </w:tcBorders>
            <w:shd w:val="clear" w:color="auto" w:fill="FFFFFF"/>
          </w:tcPr>
          <w:p w14:paraId="45BDA617" w14:textId="77777777" w:rsidR="00B43909" w:rsidRPr="00BA28F2" w:rsidRDefault="00B43909" w:rsidP="00B43909">
            <w:pPr>
              <w:pStyle w:val="CETBodytext"/>
              <w:rPr>
                <w:sz w:val="16"/>
                <w:szCs w:val="16"/>
                <w:lang w:val="en-GB"/>
              </w:rPr>
            </w:pPr>
          </w:p>
        </w:tc>
        <w:tc>
          <w:tcPr>
            <w:tcW w:w="2268" w:type="dxa"/>
            <w:shd w:val="clear" w:color="auto" w:fill="FFFFFF"/>
          </w:tcPr>
          <w:p w14:paraId="17999D45" w14:textId="77777777" w:rsidR="00B43909" w:rsidRPr="00BA28F2" w:rsidRDefault="00B43909" w:rsidP="00B43909">
            <w:pPr>
              <w:pStyle w:val="CETBodytext"/>
              <w:rPr>
                <w:sz w:val="16"/>
                <w:szCs w:val="16"/>
                <w:lang w:val="en-GB"/>
              </w:rPr>
            </w:pPr>
          </w:p>
        </w:tc>
        <w:tc>
          <w:tcPr>
            <w:tcW w:w="850" w:type="dxa"/>
            <w:shd w:val="clear" w:color="auto" w:fill="FFFFFF"/>
          </w:tcPr>
          <w:p w14:paraId="7B331C88" w14:textId="77777777" w:rsidR="00B43909" w:rsidRPr="00BA28F2" w:rsidRDefault="00B43909" w:rsidP="00B43909">
            <w:pPr>
              <w:pStyle w:val="CETBodytext"/>
              <w:ind w:right="-1"/>
              <w:jc w:val="center"/>
              <w:rPr>
                <w:rFonts w:cs="Arial"/>
                <w:sz w:val="16"/>
                <w:szCs w:val="16"/>
                <w:lang w:val="en-GB"/>
              </w:rPr>
            </w:pPr>
          </w:p>
        </w:tc>
        <w:tc>
          <w:tcPr>
            <w:tcW w:w="250" w:type="dxa"/>
            <w:tcBorders>
              <w:top w:val="nil"/>
              <w:bottom w:val="nil"/>
            </w:tcBorders>
            <w:shd w:val="clear" w:color="auto" w:fill="FFFFFF"/>
          </w:tcPr>
          <w:p w14:paraId="3589B85D" w14:textId="77777777" w:rsidR="00B43909" w:rsidRPr="00BA28F2" w:rsidRDefault="00B43909" w:rsidP="00B43909">
            <w:pPr>
              <w:pStyle w:val="CETBodytext"/>
              <w:ind w:right="-1"/>
              <w:jc w:val="center"/>
              <w:rPr>
                <w:rFonts w:cs="Arial"/>
                <w:sz w:val="16"/>
                <w:szCs w:val="16"/>
                <w:lang w:val="en-GB"/>
              </w:rPr>
            </w:pPr>
          </w:p>
        </w:tc>
        <w:tc>
          <w:tcPr>
            <w:tcW w:w="1891" w:type="dxa"/>
            <w:gridSpan w:val="2"/>
            <w:tcBorders>
              <w:top w:val="nil"/>
              <w:bottom w:val="nil"/>
            </w:tcBorders>
            <w:shd w:val="clear" w:color="auto" w:fill="FFFFFF"/>
            <w:vAlign w:val="center"/>
          </w:tcPr>
          <w:p w14:paraId="6D76D6A8" w14:textId="6D2B880C" w:rsidR="00B43909" w:rsidRPr="00BA28F2" w:rsidRDefault="00B43909" w:rsidP="00B43909">
            <w:pPr>
              <w:pStyle w:val="CETBodytext"/>
              <w:ind w:right="-1"/>
              <w:jc w:val="left"/>
              <w:rPr>
                <w:rFonts w:cs="Arial"/>
                <w:sz w:val="16"/>
                <w:szCs w:val="16"/>
                <w:highlight w:val="yellow"/>
                <w:lang w:val="en-GB"/>
              </w:rPr>
            </w:pPr>
            <w:r w:rsidRPr="00BA28F2">
              <w:rPr>
                <w:rFonts w:cs="Arial"/>
                <w:sz w:val="16"/>
                <w:szCs w:val="16"/>
                <w:highlight w:val="yellow"/>
                <w:lang w:val="en-GB"/>
              </w:rPr>
              <w:t>more than 20</w:t>
            </w:r>
          </w:p>
        </w:tc>
        <w:tc>
          <w:tcPr>
            <w:tcW w:w="850" w:type="dxa"/>
            <w:tcBorders>
              <w:top w:val="nil"/>
              <w:bottom w:val="nil"/>
            </w:tcBorders>
            <w:shd w:val="clear" w:color="auto" w:fill="FFFFFF"/>
            <w:vAlign w:val="center"/>
          </w:tcPr>
          <w:p w14:paraId="0315D330" w14:textId="3A0F2E0B" w:rsidR="00B43909" w:rsidRPr="00BA28F2" w:rsidRDefault="00B43909" w:rsidP="00B43909">
            <w:pPr>
              <w:pStyle w:val="CETBodytext"/>
              <w:ind w:right="-1"/>
              <w:jc w:val="center"/>
              <w:rPr>
                <w:rFonts w:cs="Arial"/>
                <w:sz w:val="16"/>
                <w:szCs w:val="16"/>
                <w:highlight w:val="yellow"/>
                <w:lang w:val="en-GB"/>
              </w:rPr>
            </w:pPr>
            <w:r w:rsidRPr="00BA28F2">
              <w:rPr>
                <w:rFonts w:cs="Arial"/>
                <w:sz w:val="16"/>
                <w:szCs w:val="16"/>
                <w:highlight w:val="yellow"/>
                <w:lang w:val="en-GB"/>
              </w:rPr>
              <w:t>9</w:t>
            </w:r>
          </w:p>
        </w:tc>
      </w:tr>
      <w:tr w:rsidR="00B43909" w:rsidRPr="00BA28F2" w14:paraId="6CC8BB5A" w14:textId="77537821" w:rsidTr="001F46D7">
        <w:trPr>
          <w:gridAfter w:val="1"/>
          <w:wAfter w:w="67" w:type="dxa"/>
        </w:trPr>
        <w:tc>
          <w:tcPr>
            <w:tcW w:w="1984" w:type="dxa"/>
            <w:shd w:val="clear" w:color="auto" w:fill="FFFFFF"/>
          </w:tcPr>
          <w:p w14:paraId="10A63543" w14:textId="0E8BF290" w:rsidR="00B43909" w:rsidRPr="00BA28F2" w:rsidRDefault="00B43909" w:rsidP="00B43909">
            <w:pPr>
              <w:pStyle w:val="CETBodytext"/>
              <w:rPr>
                <w:sz w:val="16"/>
                <w:szCs w:val="16"/>
                <w:lang w:val="en-GB"/>
              </w:rPr>
            </w:pPr>
            <w:r w:rsidRPr="00BA28F2">
              <w:rPr>
                <w:sz w:val="16"/>
                <w:szCs w:val="16"/>
                <w:lang w:val="en-GB"/>
              </w:rPr>
              <w:t>Spain</w:t>
            </w:r>
          </w:p>
        </w:tc>
        <w:tc>
          <w:tcPr>
            <w:tcW w:w="850" w:type="dxa"/>
            <w:shd w:val="clear" w:color="auto" w:fill="FFFFFF"/>
          </w:tcPr>
          <w:p w14:paraId="5355FB5E" w14:textId="5C84EAE1" w:rsidR="00B43909" w:rsidRPr="00BA28F2" w:rsidRDefault="00B43909" w:rsidP="00B43909">
            <w:pPr>
              <w:pStyle w:val="CETBodytext"/>
              <w:ind w:left="-5" w:firstLine="5"/>
              <w:jc w:val="center"/>
              <w:rPr>
                <w:sz w:val="16"/>
                <w:szCs w:val="16"/>
                <w:lang w:val="en-GB"/>
              </w:rPr>
            </w:pPr>
            <w:r w:rsidRPr="00BA28F2">
              <w:rPr>
                <w:sz w:val="16"/>
                <w:szCs w:val="16"/>
                <w:lang w:val="en-GB"/>
              </w:rPr>
              <w:t>3</w:t>
            </w:r>
          </w:p>
        </w:tc>
        <w:tc>
          <w:tcPr>
            <w:tcW w:w="240" w:type="dxa"/>
            <w:tcBorders>
              <w:top w:val="nil"/>
              <w:bottom w:val="nil"/>
            </w:tcBorders>
            <w:shd w:val="clear" w:color="auto" w:fill="FFFFFF"/>
          </w:tcPr>
          <w:p w14:paraId="24992F8C" w14:textId="77777777" w:rsidR="00B43909" w:rsidRPr="00BA28F2" w:rsidRDefault="00B43909" w:rsidP="00B43909">
            <w:pPr>
              <w:pStyle w:val="CETBodytext"/>
              <w:rPr>
                <w:sz w:val="16"/>
                <w:szCs w:val="16"/>
                <w:lang w:val="en-GB"/>
              </w:rPr>
            </w:pPr>
          </w:p>
        </w:tc>
        <w:tc>
          <w:tcPr>
            <w:tcW w:w="2268" w:type="dxa"/>
            <w:shd w:val="clear" w:color="auto" w:fill="FFFFFF"/>
          </w:tcPr>
          <w:p w14:paraId="23C1E501" w14:textId="77777777" w:rsidR="00B43909" w:rsidRPr="00BA28F2" w:rsidRDefault="00B43909" w:rsidP="00B43909">
            <w:pPr>
              <w:pStyle w:val="CETBodytext"/>
              <w:rPr>
                <w:sz w:val="16"/>
                <w:szCs w:val="16"/>
                <w:lang w:val="en-GB"/>
              </w:rPr>
            </w:pPr>
          </w:p>
        </w:tc>
        <w:tc>
          <w:tcPr>
            <w:tcW w:w="850" w:type="dxa"/>
            <w:shd w:val="clear" w:color="auto" w:fill="FFFFFF"/>
          </w:tcPr>
          <w:p w14:paraId="607B145A" w14:textId="77777777" w:rsidR="00B43909" w:rsidRPr="00BA28F2" w:rsidRDefault="00B43909" w:rsidP="00B43909">
            <w:pPr>
              <w:pStyle w:val="CETBodytext"/>
              <w:ind w:right="-1"/>
              <w:jc w:val="center"/>
              <w:rPr>
                <w:rFonts w:cs="Arial"/>
                <w:sz w:val="16"/>
                <w:szCs w:val="16"/>
                <w:lang w:val="en-GB"/>
              </w:rPr>
            </w:pPr>
          </w:p>
        </w:tc>
        <w:tc>
          <w:tcPr>
            <w:tcW w:w="250" w:type="dxa"/>
            <w:tcBorders>
              <w:top w:val="nil"/>
              <w:bottom w:val="nil"/>
            </w:tcBorders>
            <w:shd w:val="clear" w:color="auto" w:fill="FFFFFF"/>
          </w:tcPr>
          <w:p w14:paraId="6C89BEF7" w14:textId="77777777" w:rsidR="00B43909" w:rsidRPr="00BA28F2" w:rsidRDefault="00B43909" w:rsidP="00B43909">
            <w:pPr>
              <w:pStyle w:val="CETBodytext"/>
              <w:ind w:right="-1"/>
              <w:jc w:val="center"/>
              <w:rPr>
                <w:rFonts w:cs="Arial"/>
                <w:sz w:val="16"/>
                <w:szCs w:val="16"/>
                <w:lang w:val="en-GB"/>
              </w:rPr>
            </w:pPr>
          </w:p>
        </w:tc>
        <w:tc>
          <w:tcPr>
            <w:tcW w:w="1891" w:type="dxa"/>
            <w:gridSpan w:val="2"/>
            <w:tcBorders>
              <w:top w:val="nil"/>
              <w:bottom w:val="nil"/>
            </w:tcBorders>
            <w:shd w:val="clear" w:color="auto" w:fill="FFFFFF"/>
            <w:vAlign w:val="center"/>
          </w:tcPr>
          <w:p w14:paraId="583483D3" w14:textId="0DFA7CEC" w:rsidR="00B43909" w:rsidRPr="00BA28F2" w:rsidRDefault="00B43909" w:rsidP="00B43909">
            <w:pPr>
              <w:pStyle w:val="CETBodytext"/>
              <w:ind w:right="-1"/>
              <w:jc w:val="left"/>
              <w:rPr>
                <w:rFonts w:cs="Arial"/>
                <w:sz w:val="16"/>
                <w:szCs w:val="16"/>
                <w:lang w:val="en-GB"/>
              </w:rPr>
            </w:pPr>
          </w:p>
        </w:tc>
        <w:tc>
          <w:tcPr>
            <w:tcW w:w="850" w:type="dxa"/>
            <w:tcBorders>
              <w:top w:val="nil"/>
              <w:bottom w:val="nil"/>
            </w:tcBorders>
            <w:shd w:val="clear" w:color="auto" w:fill="FFFFFF"/>
            <w:vAlign w:val="center"/>
          </w:tcPr>
          <w:p w14:paraId="71B20D8A" w14:textId="1C8DFB9D" w:rsidR="00B43909" w:rsidRPr="00BA28F2" w:rsidRDefault="00B43909" w:rsidP="00B43909">
            <w:pPr>
              <w:pStyle w:val="CETBodytext"/>
              <w:ind w:right="-1"/>
              <w:jc w:val="center"/>
              <w:rPr>
                <w:rFonts w:cs="Arial"/>
                <w:sz w:val="16"/>
                <w:szCs w:val="16"/>
                <w:lang w:val="en-GB"/>
              </w:rPr>
            </w:pPr>
          </w:p>
        </w:tc>
      </w:tr>
      <w:tr w:rsidR="00B43909" w:rsidRPr="00BA28F2" w14:paraId="267EB822" w14:textId="56BE69CF" w:rsidTr="00DD4758">
        <w:tc>
          <w:tcPr>
            <w:tcW w:w="1984" w:type="dxa"/>
            <w:shd w:val="clear" w:color="auto" w:fill="FFFFFF"/>
          </w:tcPr>
          <w:p w14:paraId="0F689872" w14:textId="6E4F9511" w:rsidR="00B43909" w:rsidRPr="00BA28F2" w:rsidRDefault="00B43909" w:rsidP="00B43909">
            <w:pPr>
              <w:pStyle w:val="CETBodytext"/>
              <w:ind w:right="-1"/>
              <w:rPr>
                <w:rFonts w:cs="Arial"/>
                <w:sz w:val="16"/>
                <w:szCs w:val="16"/>
                <w:lang w:val="en-GB"/>
              </w:rPr>
            </w:pPr>
            <w:r w:rsidRPr="00BA28F2">
              <w:rPr>
                <w:rFonts w:cs="Arial"/>
                <w:sz w:val="16"/>
                <w:szCs w:val="16"/>
                <w:lang w:val="en-GB"/>
              </w:rPr>
              <w:t>Turkey</w:t>
            </w:r>
          </w:p>
        </w:tc>
        <w:tc>
          <w:tcPr>
            <w:tcW w:w="850" w:type="dxa"/>
            <w:shd w:val="clear" w:color="auto" w:fill="FFFFFF"/>
          </w:tcPr>
          <w:p w14:paraId="3AACF700" w14:textId="72339380" w:rsidR="00B43909" w:rsidRPr="00BA28F2" w:rsidRDefault="00B43909" w:rsidP="00B43909">
            <w:pPr>
              <w:pStyle w:val="CETBodytext"/>
              <w:ind w:left="-5" w:right="-1" w:firstLine="5"/>
              <w:jc w:val="center"/>
              <w:rPr>
                <w:rFonts w:cs="Arial"/>
                <w:sz w:val="16"/>
                <w:szCs w:val="16"/>
                <w:lang w:val="en-GB"/>
              </w:rPr>
            </w:pPr>
            <w:r w:rsidRPr="00BA28F2">
              <w:rPr>
                <w:rFonts w:cs="Arial"/>
                <w:sz w:val="16"/>
                <w:szCs w:val="16"/>
                <w:lang w:val="en-GB"/>
              </w:rPr>
              <w:t>1</w:t>
            </w:r>
          </w:p>
        </w:tc>
        <w:tc>
          <w:tcPr>
            <w:tcW w:w="240" w:type="dxa"/>
            <w:tcBorders>
              <w:top w:val="nil"/>
              <w:bottom w:val="nil"/>
            </w:tcBorders>
            <w:shd w:val="clear" w:color="auto" w:fill="FFFFFF"/>
          </w:tcPr>
          <w:p w14:paraId="188C8D93" w14:textId="77777777" w:rsidR="00B43909" w:rsidRPr="00BA28F2" w:rsidRDefault="00B43909" w:rsidP="00B43909">
            <w:pPr>
              <w:pStyle w:val="CETBodytext"/>
              <w:ind w:right="-1"/>
              <w:rPr>
                <w:rFonts w:cs="Arial"/>
                <w:sz w:val="16"/>
                <w:szCs w:val="16"/>
                <w:lang w:val="en-GB"/>
              </w:rPr>
            </w:pPr>
          </w:p>
        </w:tc>
        <w:tc>
          <w:tcPr>
            <w:tcW w:w="2268" w:type="dxa"/>
            <w:shd w:val="clear" w:color="auto" w:fill="FFFFFF"/>
          </w:tcPr>
          <w:p w14:paraId="631FFA52" w14:textId="77777777" w:rsidR="00B43909" w:rsidRPr="00BA28F2" w:rsidRDefault="00B43909" w:rsidP="00B43909">
            <w:pPr>
              <w:pStyle w:val="CETBodytext"/>
              <w:ind w:right="-1"/>
              <w:rPr>
                <w:rFonts w:cs="Arial"/>
                <w:sz w:val="16"/>
                <w:szCs w:val="16"/>
                <w:lang w:val="en-GB"/>
              </w:rPr>
            </w:pPr>
          </w:p>
        </w:tc>
        <w:tc>
          <w:tcPr>
            <w:tcW w:w="850" w:type="dxa"/>
            <w:shd w:val="clear" w:color="auto" w:fill="FFFFFF"/>
          </w:tcPr>
          <w:p w14:paraId="5CD30549" w14:textId="77777777" w:rsidR="00B43909" w:rsidRPr="00BA28F2" w:rsidRDefault="00B43909" w:rsidP="00B43909">
            <w:pPr>
              <w:pStyle w:val="CETBodytext"/>
              <w:ind w:right="-1"/>
              <w:jc w:val="center"/>
              <w:rPr>
                <w:rFonts w:cs="Arial"/>
                <w:sz w:val="16"/>
                <w:szCs w:val="16"/>
                <w:lang w:val="en-GB"/>
              </w:rPr>
            </w:pPr>
          </w:p>
        </w:tc>
        <w:tc>
          <w:tcPr>
            <w:tcW w:w="250" w:type="dxa"/>
            <w:tcBorders>
              <w:top w:val="nil"/>
              <w:bottom w:val="nil"/>
            </w:tcBorders>
            <w:shd w:val="clear" w:color="auto" w:fill="FFFFFF"/>
          </w:tcPr>
          <w:p w14:paraId="133CF2F4" w14:textId="77777777" w:rsidR="00B43909" w:rsidRPr="00BA28F2" w:rsidRDefault="00B43909" w:rsidP="00B43909">
            <w:pPr>
              <w:pStyle w:val="CETBodytext"/>
              <w:ind w:right="-1"/>
              <w:jc w:val="center"/>
              <w:rPr>
                <w:rFonts w:cs="Arial"/>
                <w:sz w:val="16"/>
                <w:szCs w:val="16"/>
                <w:lang w:val="en-GB"/>
              </w:rPr>
            </w:pPr>
          </w:p>
        </w:tc>
        <w:tc>
          <w:tcPr>
            <w:tcW w:w="881" w:type="dxa"/>
            <w:tcBorders>
              <w:top w:val="nil"/>
              <w:bottom w:val="single" w:sz="12" w:space="0" w:color="008000"/>
            </w:tcBorders>
            <w:shd w:val="clear" w:color="auto" w:fill="FFFFFF"/>
            <w:vAlign w:val="center"/>
          </w:tcPr>
          <w:p w14:paraId="61EDFBA5" w14:textId="4FD392C8" w:rsidR="00B43909" w:rsidRPr="00BA28F2" w:rsidRDefault="00B43909" w:rsidP="00B43909">
            <w:pPr>
              <w:pStyle w:val="CETBodytext"/>
              <w:ind w:right="-1"/>
              <w:jc w:val="left"/>
              <w:rPr>
                <w:rFonts w:cs="Arial"/>
                <w:sz w:val="16"/>
                <w:szCs w:val="16"/>
                <w:lang w:val="en-GB"/>
              </w:rPr>
            </w:pPr>
          </w:p>
        </w:tc>
        <w:tc>
          <w:tcPr>
            <w:tcW w:w="1927" w:type="dxa"/>
            <w:gridSpan w:val="3"/>
            <w:tcBorders>
              <w:top w:val="nil"/>
              <w:bottom w:val="single" w:sz="12" w:space="0" w:color="008000"/>
            </w:tcBorders>
            <w:shd w:val="clear" w:color="auto" w:fill="FFFFFF"/>
            <w:vAlign w:val="center"/>
          </w:tcPr>
          <w:p w14:paraId="01DBD3CB" w14:textId="3A39A09E" w:rsidR="00B43909" w:rsidRPr="00BA28F2" w:rsidRDefault="00B43909" w:rsidP="00B43909">
            <w:pPr>
              <w:pStyle w:val="CETBodytext"/>
              <w:ind w:right="-1"/>
              <w:jc w:val="center"/>
              <w:rPr>
                <w:rFonts w:cs="Arial"/>
                <w:sz w:val="16"/>
                <w:szCs w:val="16"/>
                <w:lang w:val="en-GB"/>
              </w:rPr>
            </w:pPr>
          </w:p>
        </w:tc>
      </w:tr>
    </w:tbl>
    <w:p w14:paraId="123049B8" w14:textId="1DA79200" w:rsidR="0069323C" w:rsidRPr="00BA28F2" w:rsidRDefault="0069323C" w:rsidP="0081226E">
      <w:pPr>
        <w:pStyle w:val="CETBodytext"/>
        <w:spacing w:before="100" w:beforeAutospacing="1"/>
        <w:rPr>
          <w:lang w:val="en-GB"/>
        </w:rPr>
      </w:pPr>
      <w:r w:rsidRPr="00BA28F2">
        <w:rPr>
          <w:lang w:val="en-GB"/>
        </w:rPr>
        <w:lastRenderedPageBreak/>
        <w:t xml:space="preserve">To evaluate the instrument’s reliability, the Cronbach's alpha coefficient of the survey was calculated, yielding a value of </w:t>
      </w:r>
      <w:r w:rsidR="00C450B0" w:rsidRPr="00BA28F2">
        <w:rPr>
          <w:highlight w:val="yellow"/>
          <w:lang w:val="en-GB"/>
        </w:rPr>
        <w:t>0</w:t>
      </w:r>
      <w:r w:rsidRPr="00BA28F2">
        <w:rPr>
          <w:highlight w:val="yellow"/>
          <w:lang w:val="en-GB"/>
        </w:rPr>
        <w:t>.877</w:t>
      </w:r>
      <w:r w:rsidRPr="00BA28F2">
        <w:rPr>
          <w:lang w:val="en-GB"/>
        </w:rPr>
        <w:t xml:space="preserve">. According to </w:t>
      </w:r>
      <w:r w:rsidR="00D4607A" w:rsidRPr="00BA28F2">
        <w:rPr>
          <w:lang w:val="en-GB"/>
        </w:rPr>
        <w:t>George and Mallery</w:t>
      </w:r>
      <w:r w:rsidR="00B03C10" w:rsidRPr="00BA28F2">
        <w:rPr>
          <w:lang w:val="en-GB"/>
        </w:rPr>
        <w:t xml:space="preserve"> </w:t>
      </w:r>
      <w:r w:rsidR="00B03C10" w:rsidRPr="00BA28F2">
        <w:rPr>
          <w:lang w:val="en-GB"/>
        </w:rPr>
        <w:fldChar w:fldCharType="begin" w:fldLock="1"/>
      </w:r>
      <w:r w:rsidR="00B03C10" w:rsidRPr="00BA28F2">
        <w:rPr>
          <w:lang w:val="en-GB"/>
        </w:rPr>
        <w:instrText>ADDIN CSL_CITATION {"citationItems":[{"id":"ITEM-1","itemData":{"ISBN":"9781138681347","abstract":"Fourteenth edition. IBM SPSS Statistics 23 Step by Step: A Simple Guide and Reference, 14e, takes a straightforward, step-by-step approach that makes SPSS software clear to beginners and experienced researchers alike. Extensive use of vivid, four-color screen shots, clear writing, and step-by-step boxes guide readers through the program. Exercises at the end of each chapter support students by providing additional opportunities to practice using SPSS. An overview of IBM SPSS statistics -- IBM SPSS statistics processes for PC -- IBM SPSS statistics processes for Mac -- Creating and editing a data file -- Managing data -- Graphs and charts: creating and editing -- Frequencies -- Descriptive statistics -- Crosstabulation and x2 analyses -- The means procedure -- Bivariate correlation -- The t test procedure -- The one-way ANOVA procedure -- General linear models: two-way ANOVA -- General linear models: three-way ANOVA -- Simple linear regression -- Multiple regression analysis -- Nonparametric procedures -- Reliability analysis -- Multidimensional scaling -- Factor analysis -- Cluster analysis -- Discriminant analysis -- General linear models: MANOVA and MANCOVA -- G.L.M.: Repeated-Measures MANOVA -- Logistic regression -- Hierarchical log-linear models -- Nonhierarchical log-linear models -- Residuals: analyzing left-over variance.","author":[{"dropping-particle":"","family":"George","given":"Darren.","non-dropping-particle":"","parse-names":false,"suffix":""},{"dropping-particle":"","family":"Mallery","given":"Paul.","non-dropping-particle":"","parse-names":false,"suffix":""}],"id":"ITEM-1","issued":{"date-parts":[["2016"]]},"publisher":"Routledge","title":"IBM SPSS statistics 23 step by step : a simple guide and reference","type":"book"},"uris":["http://www.mendeley.com/documents/?uuid=bd030954-4794-3c0d-a48d-b3863115ce95"]}],"mendeley":{"formattedCitation":"(George &amp; Mallery, 2016)","manualFormatting":"(2016)","plainTextFormattedCitation":"(George &amp; Mallery, 2016)","previouslyFormattedCitation":"(George &amp; Mallery, 2016)"},"properties":{"noteIndex":0},"schema":"https://github.com/citation-style-language/schema/raw/master/csl-citation.json"}</w:instrText>
      </w:r>
      <w:r w:rsidR="00B03C10" w:rsidRPr="00BA28F2">
        <w:rPr>
          <w:lang w:val="en-GB"/>
        </w:rPr>
        <w:fldChar w:fldCharType="separate"/>
      </w:r>
      <w:r w:rsidR="00B03C10" w:rsidRPr="00BA28F2">
        <w:rPr>
          <w:noProof/>
          <w:lang w:val="en-GB"/>
        </w:rPr>
        <w:t>(2016)</w:t>
      </w:r>
      <w:r w:rsidR="00B03C10" w:rsidRPr="00BA28F2">
        <w:rPr>
          <w:lang w:val="en-GB"/>
        </w:rPr>
        <w:fldChar w:fldCharType="end"/>
      </w:r>
      <w:r w:rsidRPr="00BA28F2">
        <w:rPr>
          <w:lang w:val="en-GB"/>
        </w:rPr>
        <w:t>, this value reflects 'good' internal consistency, suggesting that the obtained results are reliable.</w:t>
      </w:r>
    </w:p>
    <w:p w14:paraId="1D5F7780" w14:textId="2D4CFA64" w:rsidR="000177FA" w:rsidRPr="00BA28F2" w:rsidRDefault="0069323C" w:rsidP="001B2679">
      <w:pPr>
        <w:tabs>
          <w:tab w:val="clear" w:pos="7100"/>
        </w:tabs>
        <w:autoSpaceDE w:val="0"/>
        <w:autoSpaceDN w:val="0"/>
        <w:adjustRightInd w:val="0"/>
        <w:spacing w:line="240" w:lineRule="auto"/>
      </w:pPr>
      <w:r w:rsidRPr="00BA28F2">
        <w:rPr>
          <w:rFonts w:eastAsiaTheme="minorHAnsi" w:cs="Arial"/>
          <w:szCs w:val="24"/>
        </w:rPr>
        <w:t xml:space="preserve">Since the survey was designed based on an exhaustive review of incidents and validated by experts in the field, a factor analysis was not deemed necessary. </w:t>
      </w:r>
      <w:r w:rsidR="001B2679" w:rsidRPr="00BA28F2">
        <w:rPr>
          <w:rFonts w:eastAsiaTheme="minorHAnsi" w:cs="Arial"/>
          <w:szCs w:val="24"/>
        </w:rPr>
        <w:t>This validation process ensures the validity of the items and their relationship with the construct of interest, guaranteeing</w:t>
      </w:r>
      <w:r w:rsidRPr="00BA28F2">
        <w:rPr>
          <w:rFonts w:eastAsiaTheme="minorHAnsi" w:cs="Arial"/>
          <w:szCs w:val="24"/>
        </w:rPr>
        <w:t xml:space="preserve"> that the dimensions of the instrument are adequately represented without the need for additional analyses.</w:t>
      </w:r>
      <w:r w:rsidR="0068032D" w:rsidRPr="00BA28F2">
        <w:rPr>
          <w:rFonts w:eastAsiaTheme="minorHAnsi" w:cs="Arial"/>
          <w:szCs w:val="24"/>
        </w:rPr>
        <w:t xml:space="preserve"> </w:t>
      </w:r>
      <w:r w:rsidR="00215102" w:rsidRPr="00BA28F2">
        <w:t xml:space="preserve">Additionally, given that the overall goal of the study is to build a set of indicators rather than validate a theoretical construct, factor analysis has been excluded. </w:t>
      </w:r>
    </w:p>
    <w:p w14:paraId="560114BC" w14:textId="361F55C5" w:rsidR="003E634B" w:rsidRPr="00BA28F2" w:rsidRDefault="000177FA" w:rsidP="003E634B">
      <w:pPr>
        <w:pStyle w:val="CETHeading1"/>
        <w:rPr>
          <w:lang w:val="en-GB"/>
        </w:rPr>
      </w:pPr>
      <w:r w:rsidRPr="00BA28F2">
        <w:rPr>
          <w:lang w:val="en-GB"/>
        </w:rPr>
        <w:t>Results</w:t>
      </w:r>
    </w:p>
    <w:p w14:paraId="07E9186E" w14:textId="6F80F42F" w:rsidR="005D3B08" w:rsidRPr="00BA28F2" w:rsidRDefault="0070028E" w:rsidP="000177FA">
      <w:pPr>
        <w:pStyle w:val="CETBodytext"/>
        <w:rPr>
          <w:lang w:val="en-GB"/>
        </w:rPr>
      </w:pPr>
      <w:r w:rsidRPr="00BA28F2">
        <w:rPr>
          <w:lang w:val="en-GB"/>
        </w:rPr>
        <w:t xml:space="preserve">This section </w:t>
      </w:r>
      <w:r w:rsidR="0012277D" w:rsidRPr="00BA28F2">
        <w:rPr>
          <w:lang w:val="en-GB"/>
        </w:rPr>
        <w:t xml:space="preserve">shows </w:t>
      </w:r>
      <w:r w:rsidRPr="00BA28F2">
        <w:rPr>
          <w:lang w:val="en-GB"/>
        </w:rPr>
        <w:t>the results obtained at different stages of the dashboard development process. Specifically, it details the expert panel's assessment of the main factors identified in the incident review. A correspondence analysis of the two sources (experts and incidents) is also provided as a basis for selecting and developing operational indicators. Finally, this section introduces</w:t>
      </w:r>
      <w:r w:rsidR="0081226E">
        <w:rPr>
          <w:lang w:val="en-GB"/>
        </w:rPr>
        <w:t xml:space="preserve"> the d</w:t>
      </w:r>
      <w:r w:rsidR="0012277D" w:rsidRPr="00BA28F2">
        <w:rPr>
          <w:lang w:val="en-GB"/>
        </w:rPr>
        <w:t xml:space="preserve">ashboard, which comprises 10 </w:t>
      </w:r>
      <w:r w:rsidRPr="00BA28F2">
        <w:rPr>
          <w:lang w:val="en-GB"/>
        </w:rPr>
        <w:t xml:space="preserve">critical indicators developed by the authors of the study, along with their nature (reactive / proactive) and an initial estimate of the time required for their measurement. </w:t>
      </w:r>
    </w:p>
    <w:p w14:paraId="06FB674E" w14:textId="23A06CF1" w:rsidR="00244658" w:rsidRPr="00BA28F2" w:rsidRDefault="00244658" w:rsidP="00244658">
      <w:pPr>
        <w:pStyle w:val="CETheadingx"/>
        <w:rPr>
          <w:lang w:val="en-GB"/>
        </w:rPr>
      </w:pPr>
      <w:r w:rsidRPr="00BA28F2">
        <w:rPr>
          <w:lang w:val="en-GB"/>
        </w:rPr>
        <w:t>Expert views</w:t>
      </w:r>
    </w:p>
    <w:p w14:paraId="209FB64C" w14:textId="769EE1CD" w:rsidR="00D529A8" w:rsidRPr="00BA28F2" w:rsidRDefault="007C246A" w:rsidP="000177FA">
      <w:pPr>
        <w:pStyle w:val="CETBodytext"/>
        <w:rPr>
          <w:lang w:val="en-GB"/>
        </w:rPr>
      </w:pPr>
      <w:r w:rsidRPr="00BA28F2">
        <w:rPr>
          <w:lang w:val="en-GB"/>
        </w:rPr>
        <w:t>The survey analysis reveals that all assessed contributing factors received scores above 5 out of 7. The highest scores were recorded for item 1, "Compliance with specifications and standards (such as statutory codes, regulations, local codes, or bylaws)" (M=6.59), and item 10, "Adequate internal actions to prevent a follow-on accident" (M=6.52). In contrast, the factors with the lowest scores were item 16, "Human performance (e.g., during operation, inspection, or maintenance of the station)" (M=5.34), and item 5, "Adequate procedures for accepting and controlling design changes" (M=5.41).</w:t>
      </w:r>
    </w:p>
    <w:p w14:paraId="5FD99171" w14:textId="196A7E1D" w:rsidR="00AA6A33" w:rsidRPr="00BA28F2" w:rsidRDefault="00AA6A33" w:rsidP="000177FA">
      <w:pPr>
        <w:pStyle w:val="CETBodytext"/>
        <w:rPr>
          <w:lang w:val="en-GB"/>
        </w:rPr>
      </w:pPr>
      <w:r w:rsidRPr="00BA28F2">
        <w:rPr>
          <w:lang w:val="en-GB"/>
        </w:rPr>
        <w:t>Overall, the results indicate that the views on key hydrogen safety issues are consistent across different experts, regardless of variables such as country, field of expertise, age, and gender, with no statistically significant differences.</w:t>
      </w:r>
      <w:r w:rsidR="001845AC" w:rsidRPr="00BA28F2">
        <w:rPr>
          <w:lang w:val="en-GB"/>
        </w:rPr>
        <w:t xml:space="preserve"> </w:t>
      </w:r>
      <w:r w:rsidR="00D529A8" w:rsidRPr="00BA28F2">
        <w:rPr>
          <w:lang w:val="en-GB"/>
        </w:rPr>
        <w:t xml:space="preserve">The only statistically significant difference is observed in item 1, which pertains to "Compliance with specifications and standards (such as statutory codes, regulations, local codes, or bylaws)". Experts from Japan scored lower than those from other countries (M=6.42 vs. M=6.90), and female experts scored lower than their male </w:t>
      </w:r>
      <w:r w:rsidR="006260F6" w:rsidRPr="00BA28F2">
        <w:rPr>
          <w:lang w:val="en-GB"/>
        </w:rPr>
        <w:t>counterparts did</w:t>
      </w:r>
      <w:r w:rsidR="00D529A8" w:rsidRPr="00BA28F2">
        <w:rPr>
          <w:lang w:val="en-GB"/>
        </w:rPr>
        <w:t xml:space="preserve"> (M=6.00 vs. M=6.64).</w:t>
      </w:r>
    </w:p>
    <w:p w14:paraId="767AECB4" w14:textId="539B89B3" w:rsidR="000177FA" w:rsidRPr="00BA28F2" w:rsidRDefault="00275A1B" w:rsidP="000177FA">
      <w:pPr>
        <w:pStyle w:val="CETBodytext"/>
        <w:rPr>
          <w:lang w:val="en-GB"/>
        </w:rPr>
      </w:pPr>
      <w:r w:rsidRPr="00BA28F2">
        <w:rPr>
          <w:lang w:val="en-GB"/>
        </w:rPr>
        <w:t>The means of the 18 identified key safety issues for hydrogen development, categorized by country and expertise field, ar</w:t>
      </w:r>
      <w:r w:rsidR="007F2D42" w:rsidRPr="00BA28F2">
        <w:rPr>
          <w:lang w:val="en-GB"/>
        </w:rPr>
        <w:t>e shown in</w:t>
      </w:r>
      <w:r w:rsidR="00B1278C">
        <w:rPr>
          <w:lang w:val="en-GB"/>
        </w:rPr>
        <w:t xml:space="preserve"> </w:t>
      </w:r>
      <w:r w:rsidR="00B1278C" w:rsidRPr="006F663F">
        <w:rPr>
          <w:highlight w:val="yellow"/>
          <w:lang w:val="en-GB"/>
        </w:rPr>
        <w:fldChar w:fldCharType="begin"/>
      </w:r>
      <w:r w:rsidR="00B1278C" w:rsidRPr="006F663F">
        <w:rPr>
          <w:highlight w:val="yellow"/>
          <w:lang w:val="en-GB"/>
        </w:rPr>
        <w:instrText xml:space="preserve"> REF _Ref195180254 \h </w:instrText>
      </w:r>
      <w:r w:rsidR="006F663F">
        <w:rPr>
          <w:highlight w:val="yellow"/>
          <w:lang w:val="en-GB"/>
        </w:rPr>
        <w:instrText xml:space="preserve"> \* MERGEFORMAT </w:instrText>
      </w:r>
      <w:r w:rsidR="00B1278C" w:rsidRPr="006F663F">
        <w:rPr>
          <w:highlight w:val="yellow"/>
          <w:lang w:val="en-GB"/>
        </w:rPr>
      </w:r>
      <w:r w:rsidR="00B1278C" w:rsidRPr="006F663F">
        <w:rPr>
          <w:highlight w:val="yellow"/>
          <w:lang w:val="en-GB"/>
        </w:rPr>
        <w:fldChar w:fldCharType="separate"/>
      </w:r>
      <w:r w:rsidR="00B1278C" w:rsidRPr="006F663F">
        <w:rPr>
          <w:b/>
          <w:i/>
          <w:sz w:val="16"/>
          <w:highlight w:val="yellow"/>
        </w:rPr>
        <w:t xml:space="preserve">Figure </w:t>
      </w:r>
      <w:r w:rsidR="00B1278C" w:rsidRPr="006F663F">
        <w:rPr>
          <w:b/>
          <w:i/>
          <w:noProof/>
          <w:sz w:val="16"/>
          <w:highlight w:val="yellow"/>
        </w:rPr>
        <w:t>2</w:t>
      </w:r>
      <w:r w:rsidR="00B1278C" w:rsidRPr="006F663F">
        <w:rPr>
          <w:highlight w:val="yellow"/>
          <w:lang w:val="en-GB"/>
        </w:rPr>
        <w:fldChar w:fldCharType="end"/>
      </w:r>
      <w:r w:rsidRPr="006F663F">
        <w:rPr>
          <w:highlight w:val="yellow"/>
          <w:lang w:val="en-GB"/>
        </w:rPr>
        <w:t>.</w:t>
      </w:r>
    </w:p>
    <w:p w14:paraId="500BEE6B" w14:textId="77777777" w:rsidR="006414E1" w:rsidRPr="00BA28F2" w:rsidRDefault="006414E1" w:rsidP="000177FA">
      <w:pPr>
        <w:pStyle w:val="CETBodytext"/>
        <w:rPr>
          <w:lang w:val="en-GB"/>
        </w:rPr>
      </w:pPr>
    </w:p>
    <w:p w14:paraId="698D63CC" w14:textId="77777777" w:rsidR="008267B6" w:rsidRDefault="00DB1206" w:rsidP="008267B6">
      <w:pPr>
        <w:pStyle w:val="CETBodytext"/>
        <w:keepNext/>
      </w:pPr>
      <w:r w:rsidRPr="00BA28F2">
        <w:rPr>
          <w:noProof/>
          <w:lang w:val="en-GB" w:eastAsia="en-GB"/>
        </w:rPr>
        <w:drawing>
          <wp:inline distT="0" distB="0" distL="0" distR="0" wp14:anchorId="7DD8E0CF" wp14:editId="4E426E01">
            <wp:extent cx="5535930" cy="2199540"/>
            <wp:effectExtent l="19050" t="19050" r="26670" b="1079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5718" b="16909"/>
                    <a:stretch/>
                  </pic:blipFill>
                  <pic:spPr bwMode="auto">
                    <a:xfrm>
                      <a:off x="0" y="0"/>
                      <a:ext cx="5563173" cy="2210364"/>
                    </a:xfrm>
                    <a:prstGeom prst="rect">
                      <a:avLst/>
                    </a:prstGeom>
                    <a:noFill/>
                    <a:ln w="3175">
                      <a:solidFill>
                        <a:schemeClr val="bg1">
                          <a:lumMod val="95000"/>
                        </a:schemeClr>
                      </a:solidFill>
                    </a:ln>
                    <a:extLst>
                      <a:ext uri="{53640926-AAD7-44D8-BBD7-CCE9431645EC}">
                        <a14:shadowObscured xmlns:a14="http://schemas.microsoft.com/office/drawing/2010/main"/>
                      </a:ext>
                    </a:extLst>
                  </pic:spPr>
                </pic:pic>
              </a:graphicData>
            </a:graphic>
          </wp:inline>
        </w:drawing>
      </w:r>
    </w:p>
    <w:p w14:paraId="24C38012" w14:textId="1FB2BADB" w:rsidR="009116F1" w:rsidRPr="008267B6" w:rsidRDefault="008267B6" w:rsidP="008267B6">
      <w:pPr>
        <w:pStyle w:val="Descripcin"/>
        <w:spacing w:after="120"/>
        <w:rPr>
          <w:b w:val="0"/>
          <w:i/>
          <w:color w:val="auto"/>
          <w:sz w:val="16"/>
        </w:rPr>
      </w:pPr>
      <w:bookmarkStart w:id="9" w:name="_Ref195180254"/>
      <w:r w:rsidRPr="008267B6">
        <w:rPr>
          <w:b w:val="0"/>
          <w:i/>
          <w:color w:val="auto"/>
          <w:sz w:val="16"/>
        </w:rPr>
        <w:t xml:space="preserve">Figure </w:t>
      </w:r>
      <w:r w:rsidRPr="008267B6">
        <w:rPr>
          <w:b w:val="0"/>
          <w:i/>
          <w:color w:val="auto"/>
          <w:sz w:val="16"/>
        </w:rPr>
        <w:fldChar w:fldCharType="begin"/>
      </w:r>
      <w:r w:rsidRPr="008267B6">
        <w:rPr>
          <w:b w:val="0"/>
          <w:i/>
          <w:color w:val="auto"/>
          <w:sz w:val="16"/>
        </w:rPr>
        <w:instrText xml:space="preserve"> SEQ Figure \* ARABIC </w:instrText>
      </w:r>
      <w:r w:rsidRPr="008267B6">
        <w:rPr>
          <w:b w:val="0"/>
          <w:i/>
          <w:color w:val="auto"/>
          <w:sz w:val="16"/>
        </w:rPr>
        <w:fldChar w:fldCharType="separate"/>
      </w:r>
      <w:r w:rsidR="00753485">
        <w:rPr>
          <w:b w:val="0"/>
          <w:i/>
          <w:noProof/>
          <w:color w:val="auto"/>
          <w:sz w:val="16"/>
        </w:rPr>
        <w:t>2</w:t>
      </w:r>
      <w:r w:rsidRPr="008267B6">
        <w:rPr>
          <w:b w:val="0"/>
          <w:i/>
          <w:color w:val="auto"/>
          <w:sz w:val="16"/>
        </w:rPr>
        <w:fldChar w:fldCharType="end"/>
      </w:r>
      <w:bookmarkEnd w:id="9"/>
      <w:r w:rsidRPr="008267B6">
        <w:rPr>
          <w:b w:val="0"/>
          <w:i/>
          <w:color w:val="auto"/>
          <w:sz w:val="16"/>
        </w:rPr>
        <w:t>. Expert assessment of key hydrogen safety issues</w:t>
      </w:r>
    </w:p>
    <w:p w14:paraId="2E17BEAF" w14:textId="5736CAF7" w:rsidR="00BC0967" w:rsidRPr="00BA28F2" w:rsidRDefault="00A83FB6" w:rsidP="00244658">
      <w:pPr>
        <w:pStyle w:val="CETheadingx"/>
        <w:rPr>
          <w:lang w:val="en-GB"/>
        </w:rPr>
      </w:pPr>
      <w:r w:rsidRPr="00BA28F2">
        <w:rPr>
          <w:lang w:val="en-GB"/>
        </w:rPr>
        <w:t xml:space="preserve">Incident analysis outcomes versus </w:t>
      </w:r>
      <w:r w:rsidR="005D3B08" w:rsidRPr="00BA28F2">
        <w:rPr>
          <w:lang w:val="en-GB"/>
        </w:rPr>
        <w:t>experts’</w:t>
      </w:r>
      <w:r w:rsidRPr="00BA28F2">
        <w:rPr>
          <w:lang w:val="en-GB"/>
        </w:rPr>
        <w:t xml:space="preserve"> views</w:t>
      </w:r>
    </w:p>
    <w:p w14:paraId="187D85E0" w14:textId="10FE722B" w:rsidR="005D3B08" w:rsidRPr="00BA28F2" w:rsidRDefault="005D3B08" w:rsidP="005D3B08">
      <w:pPr>
        <w:pStyle w:val="CETBodytext"/>
        <w:rPr>
          <w:lang w:val="en-GB"/>
        </w:rPr>
      </w:pPr>
      <w:r w:rsidRPr="00BA28F2">
        <w:rPr>
          <w:lang w:val="en-GB"/>
        </w:rPr>
        <w:t xml:space="preserve">The results for each contributing </w:t>
      </w:r>
      <w:r w:rsidR="00C819C0" w:rsidRPr="00BA28F2">
        <w:rPr>
          <w:lang w:val="en-GB"/>
        </w:rPr>
        <w:t>sub-</w:t>
      </w:r>
      <w:r w:rsidRPr="00BA28F2">
        <w:rPr>
          <w:lang w:val="en-GB"/>
        </w:rPr>
        <w:t xml:space="preserve">factor are presented </w:t>
      </w:r>
      <w:r w:rsidR="00C819C0" w:rsidRPr="00BA28F2">
        <w:rPr>
          <w:lang w:val="en-GB"/>
        </w:rPr>
        <w:t xml:space="preserve">in </w:t>
      </w:r>
      <w:r w:rsidR="00B1278C" w:rsidRPr="006F663F">
        <w:rPr>
          <w:highlight w:val="yellow"/>
          <w:lang w:val="en-GB"/>
        </w:rPr>
        <w:fldChar w:fldCharType="begin"/>
      </w:r>
      <w:r w:rsidR="00B1278C" w:rsidRPr="006F663F">
        <w:rPr>
          <w:highlight w:val="yellow"/>
          <w:lang w:val="en-GB"/>
        </w:rPr>
        <w:instrText xml:space="preserve"> REF _Ref195180278 \h </w:instrText>
      </w:r>
      <w:r w:rsidR="006F663F">
        <w:rPr>
          <w:highlight w:val="yellow"/>
          <w:lang w:val="en-GB"/>
        </w:rPr>
        <w:instrText xml:space="preserve"> \* MERGEFORMAT </w:instrText>
      </w:r>
      <w:r w:rsidR="00B1278C" w:rsidRPr="006F663F">
        <w:rPr>
          <w:highlight w:val="yellow"/>
          <w:lang w:val="en-GB"/>
        </w:rPr>
      </w:r>
      <w:r w:rsidR="00B1278C" w:rsidRPr="006F663F">
        <w:rPr>
          <w:highlight w:val="yellow"/>
          <w:lang w:val="en-GB"/>
        </w:rPr>
        <w:fldChar w:fldCharType="separate"/>
      </w:r>
      <w:r w:rsidR="00B1278C" w:rsidRPr="006F663F">
        <w:rPr>
          <w:highlight w:val="yellow"/>
        </w:rPr>
        <w:t>Table 3</w:t>
      </w:r>
      <w:r w:rsidR="00B1278C" w:rsidRPr="006F663F">
        <w:rPr>
          <w:highlight w:val="yellow"/>
          <w:lang w:val="en-GB"/>
        </w:rPr>
        <w:fldChar w:fldCharType="end"/>
      </w:r>
      <w:r w:rsidR="00C819C0" w:rsidRPr="00BA28F2">
        <w:rPr>
          <w:lang w:val="en-GB"/>
        </w:rPr>
        <w:t>,</w:t>
      </w:r>
      <w:r w:rsidRPr="00BA28F2">
        <w:rPr>
          <w:lang w:val="en-GB"/>
        </w:rPr>
        <w:t xml:space="preserve"> including the corresponding items</w:t>
      </w:r>
      <w:r w:rsidR="001B2679" w:rsidRPr="00BA28F2">
        <w:rPr>
          <w:lang w:val="en-GB"/>
        </w:rPr>
        <w:t>’</w:t>
      </w:r>
      <w:r w:rsidRPr="00BA28F2">
        <w:rPr>
          <w:lang w:val="en-GB"/>
        </w:rPr>
        <w:t xml:space="preserve"> </w:t>
      </w:r>
      <w:r w:rsidR="00C819C0" w:rsidRPr="00BA28F2">
        <w:rPr>
          <w:lang w:val="en-GB"/>
        </w:rPr>
        <w:t xml:space="preserve">evaluation </w:t>
      </w:r>
      <w:r w:rsidRPr="00BA28F2">
        <w:rPr>
          <w:lang w:val="en-GB"/>
        </w:rPr>
        <w:t>by experts, the average scores assigned, and the degree of involvement in the reviewed incidents.</w:t>
      </w:r>
    </w:p>
    <w:p w14:paraId="0B5C5CE0" w14:textId="77777777" w:rsidR="00690FE6" w:rsidRPr="00BA28F2" w:rsidRDefault="00690FE6">
      <w:pPr>
        <w:tabs>
          <w:tab w:val="clear" w:pos="7100"/>
        </w:tabs>
        <w:spacing w:after="200" w:line="276" w:lineRule="auto"/>
        <w:jc w:val="left"/>
        <w:rPr>
          <w:i/>
          <w:iCs/>
        </w:rPr>
      </w:pPr>
      <w:r w:rsidRPr="00BA28F2">
        <w:rPr>
          <w:i/>
          <w:iCs/>
        </w:rPr>
        <w:br w:type="page"/>
      </w:r>
    </w:p>
    <w:p w14:paraId="1353C8D1" w14:textId="71FCE76C" w:rsidR="008267B6" w:rsidRDefault="008267B6" w:rsidP="00753485">
      <w:pPr>
        <w:pStyle w:val="CETTabletitle"/>
        <w:spacing w:before="120" w:after="60" w:line="240" w:lineRule="auto"/>
      </w:pPr>
      <w:bookmarkStart w:id="10" w:name="_Ref195180278"/>
      <w:r>
        <w:lastRenderedPageBreak/>
        <w:t xml:space="preserve">Table </w:t>
      </w:r>
      <w:r>
        <w:fldChar w:fldCharType="begin"/>
      </w:r>
      <w:r>
        <w:instrText xml:space="preserve"> SEQ Table \* ARABIC </w:instrText>
      </w:r>
      <w:r>
        <w:fldChar w:fldCharType="separate"/>
      </w:r>
      <w:r w:rsidR="00B1278C">
        <w:rPr>
          <w:noProof/>
        </w:rPr>
        <w:t>3</w:t>
      </w:r>
      <w:r>
        <w:fldChar w:fldCharType="end"/>
      </w:r>
      <w:bookmarkEnd w:id="10"/>
      <w:r>
        <w:t xml:space="preserve">. </w:t>
      </w:r>
      <w:r w:rsidRPr="009C0C03">
        <w:t>Expert assessment and incident relevance of contributing sub</w:t>
      </w:r>
      <w:r>
        <w:t>-</w:t>
      </w:r>
      <w:r w:rsidRPr="009C0C03">
        <w:t>factors</w:t>
      </w:r>
    </w:p>
    <w:tbl>
      <w:tblPr>
        <w:tblW w:w="8789"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134"/>
        <w:gridCol w:w="1862"/>
        <w:gridCol w:w="3667"/>
        <w:gridCol w:w="1087"/>
        <w:gridCol w:w="47"/>
        <w:gridCol w:w="992"/>
      </w:tblGrid>
      <w:tr w:rsidR="005D3B08" w:rsidRPr="00BA28F2" w14:paraId="60250977" w14:textId="77777777" w:rsidTr="0012277D">
        <w:tc>
          <w:tcPr>
            <w:tcW w:w="1134" w:type="dxa"/>
            <w:tcBorders>
              <w:top w:val="single" w:sz="12" w:space="0" w:color="008000"/>
              <w:bottom w:val="single" w:sz="12" w:space="0" w:color="008000"/>
            </w:tcBorders>
            <w:shd w:val="clear" w:color="auto" w:fill="FFFFFF"/>
          </w:tcPr>
          <w:p w14:paraId="12519346" w14:textId="77777777" w:rsidR="005D3B08" w:rsidRPr="00BA28F2" w:rsidRDefault="005D3B08" w:rsidP="00673F13">
            <w:pPr>
              <w:pStyle w:val="CETBodytext"/>
              <w:rPr>
                <w:sz w:val="16"/>
                <w:szCs w:val="16"/>
                <w:lang w:val="en-GB"/>
              </w:rPr>
            </w:pPr>
            <w:r w:rsidRPr="00BA28F2">
              <w:rPr>
                <w:sz w:val="16"/>
                <w:szCs w:val="16"/>
                <w:lang w:val="en-GB"/>
              </w:rPr>
              <w:t>Contributing Factor</w:t>
            </w:r>
          </w:p>
        </w:tc>
        <w:tc>
          <w:tcPr>
            <w:tcW w:w="1862" w:type="dxa"/>
            <w:tcBorders>
              <w:top w:val="single" w:sz="12" w:space="0" w:color="008000"/>
              <w:bottom w:val="single" w:sz="12" w:space="0" w:color="008000"/>
            </w:tcBorders>
            <w:shd w:val="clear" w:color="auto" w:fill="FFFFFF"/>
          </w:tcPr>
          <w:p w14:paraId="5E8B9D4C" w14:textId="77777777" w:rsidR="005D3B08" w:rsidRPr="00BA28F2" w:rsidRDefault="005D3B08" w:rsidP="00673F13">
            <w:pPr>
              <w:pStyle w:val="CETBodytext"/>
              <w:ind w:right="62"/>
              <w:rPr>
                <w:sz w:val="16"/>
                <w:szCs w:val="16"/>
                <w:lang w:val="en-GB"/>
              </w:rPr>
            </w:pPr>
          </w:p>
          <w:p w14:paraId="2D1E67A5" w14:textId="77777777" w:rsidR="005D3B08" w:rsidRPr="00BA28F2" w:rsidRDefault="005D3B08" w:rsidP="00673F13">
            <w:pPr>
              <w:pStyle w:val="CETBodytext"/>
              <w:ind w:right="62"/>
              <w:rPr>
                <w:sz w:val="16"/>
                <w:szCs w:val="16"/>
                <w:lang w:val="en-GB"/>
              </w:rPr>
            </w:pPr>
            <w:r w:rsidRPr="00BA28F2">
              <w:rPr>
                <w:sz w:val="16"/>
                <w:szCs w:val="16"/>
                <w:lang w:val="en-GB"/>
              </w:rPr>
              <w:t>Sub-factor</w:t>
            </w:r>
          </w:p>
        </w:tc>
        <w:tc>
          <w:tcPr>
            <w:tcW w:w="3667" w:type="dxa"/>
            <w:tcBorders>
              <w:top w:val="single" w:sz="12" w:space="0" w:color="008000"/>
              <w:bottom w:val="single" w:sz="12" w:space="0" w:color="008000"/>
            </w:tcBorders>
            <w:shd w:val="clear" w:color="auto" w:fill="FFFFFF"/>
          </w:tcPr>
          <w:p w14:paraId="027AE229" w14:textId="77777777" w:rsidR="005D3B08" w:rsidRPr="00BA28F2" w:rsidRDefault="005D3B08" w:rsidP="00673F13">
            <w:pPr>
              <w:pStyle w:val="CETBodytext"/>
              <w:ind w:left="22" w:right="-1276"/>
              <w:rPr>
                <w:sz w:val="16"/>
                <w:szCs w:val="16"/>
                <w:lang w:val="en-GB"/>
              </w:rPr>
            </w:pPr>
          </w:p>
          <w:p w14:paraId="3F4301BB" w14:textId="77777777" w:rsidR="005D3B08" w:rsidRPr="00BA28F2" w:rsidRDefault="005D3B08" w:rsidP="00673F13">
            <w:pPr>
              <w:pStyle w:val="CETBodytext"/>
              <w:ind w:left="22" w:right="-1276"/>
              <w:rPr>
                <w:sz w:val="16"/>
                <w:szCs w:val="16"/>
                <w:lang w:val="en-GB"/>
              </w:rPr>
            </w:pPr>
            <w:r w:rsidRPr="00BA28F2">
              <w:rPr>
                <w:sz w:val="16"/>
                <w:szCs w:val="16"/>
                <w:lang w:val="en-GB"/>
              </w:rPr>
              <w:t>Expert panel-rated item</w:t>
            </w:r>
          </w:p>
        </w:tc>
        <w:tc>
          <w:tcPr>
            <w:tcW w:w="1134" w:type="dxa"/>
            <w:gridSpan w:val="2"/>
            <w:tcBorders>
              <w:top w:val="single" w:sz="12" w:space="0" w:color="008000"/>
              <w:bottom w:val="single" w:sz="12" w:space="0" w:color="008000"/>
            </w:tcBorders>
            <w:shd w:val="clear" w:color="auto" w:fill="FFFFFF"/>
          </w:tcPr>
          <w:p w14:paraId="08A63DAE" w14:textId="77777777" w:rsidR="005D3B08" w:rsidRPr="00BA28F2" w:rsidRDefault="005D3B08" w:rsidP="00673F13">
            <w:pPr>
              <w:pStyle w:val="CETBodytext"/>
              <w:ind w:right="-1"/>
              <w:jc w:val="center"/>
              <w:rPr>
                <w:rFonts w:cs="Arial"/>
                <w:sz w:val="16"/>
                <w:szCs w:val="16"/>
                <w:lang w:val="en-GB"/>
              </w:rPr>
            </w:pPr>
            <w:r w:rsidRPr="00BA28F2">
              <w:rPr>
                <w:rFonts w:cs="Arial"/>
                <w:sz w:val="16"/>
                <w:szCs w:val="16"/>
                <w:lang w:val="en-GB"/>
              </w:rPr>
              <w:t>Panel</w:t>
            </w:r>
          </w:p>
          <w:p w14:paraId="6C98DF0D" w14:textId="77777777" w:rsidR="005D3B08" w:rsidRPr="00BA28F2" w:rsidRDefault="005D3B08" w:rsidP="00673F13">
            <w:pPr>
              <w:pStyle w:val="CETBodytext"/>
              <w:ind w:right="-1"/>
              <w:jc w:val="center"/>
              <w:rPr>
                <w:rFonts w:cs="Arial"/>
                <w:sz w:val="16"/>
                <w:szCs w:val="16"/>
                <w:lang w:val="en-GB"/>
              </w:rPr>
            </w:pPr>
            <w:r w:rsidRPr="00BA28F2">
              <w:rPr>
                <w:rFonts w:cs="Arial"/>
                <w:sz w:val="16"/>
                <w:szCs w:val="16"/>
                <w:lang w:val="en-GB"/>
              </w:rPr>
              <w:t>Score</w:t>
            </w:r>
          </w:p>
          <w:p w14:paraId="3FB1E152" w14:textId="77777777" w:rsidR="005D3B08" w:rsidRPr="00BA28F2" w:rsidRDefault="005D3B08" w:rsidP="00673F13">
            <w:pPr>
              <w:pStyle w:val="CETBodytext"/>
              <w:ind w:right="-1"/>
              <w:jc w:val="center"/>
              <w:rPr>
                <w:rFonts w:cs="Arial"/>
                <w:sz w:val="16"/>
                <w:szCs w:val="16"/>
                <w:lang w:val="en-GB"/>
              </w:rPr>
            </w:pPr>
            <w:r w:rsidRPr="00BA28F2">
              <w:rPr>
                <w:rFonts w:cs="Arial"/>
                <w:sz w:val="16"/>
                <w:szCs w:val="16"/>
                <w:lang w:val="en-GB"/>
              </w:rPr>
              <w:t>(1 to 7)</w:t>
            </w:r>
          </w:p>
        </w:tc>
        <w:tc>
          <w:tcPr>
            <w:tcW w:w="992" w:type="dxa"/>
            <w:tcBorders>
              <w:top w:val="single" w:sz="12" w:space="0" w:color="008000"/>
              <w:bottom w:val="single" w:sz="12" w:space="0" w:color="008000"/>
            </w:tcBorders>
            <w:shd w:val="clear" w:color="auto" w:fill="FFFFFF"/>
          </w:tcPr>
          <w:p w14:paraId="261DDA56" w14:textId="77777777" w:rsidR="005D3B08" w:rsidRPr="00BA28F2" w:rsidRDefault="005D3B08" w:rsidP="00673F13">
            <w:pPr>
              <w:pStyle w:val="CETBodytext"/>
              <w:ind w:right="-1"/>
              <w:jc w:val="center"/>
              <w:rPr>
                <w:rFonts w:cs="Arial"/>
                <w:sz w:val="16"/>
                <w:szCs w:val="16"/>
                <w:lang w:val="en-GB"/>
              </w:rPr>
            </w:pPr>
            <w:r w:rsidRPr="00BA28F2">
              <w:rPr>
                <w:rFonts w:cs="Arial"/>
                <w:sz w:val="16"/>
                <w:szCs w:val="16"/>
                <w:lang w:val="en-GB"/>
              </w:rPr>
              <w:t>Incidents relevance</w:t>
            </w:r>
          </w:p>
          <w:p w14:paraId="624DDD06" w14:textId="77777777" w:rsidR="005D3B08" w:rsidRPr="00BA28F2" w:rsidRDefault="005D3B08" w:rsidP="00673F13">
            <w:pPr>
              <w:pStyle w:val="CETBodytext"/>
              <w:ind w:right="-1"/>
              <w:jc w:val="center"/>
              <w:rPr>
                <w:rFonts w:cs="Arial"/>
                <w:sz w:val="16"/>
                <w:szCs w:val="16"/>
                <w:lang w:val="en-GB"/>
              </w:rPr>
            </w:pPr>
            <w:r w:rsidRPr="00BA28F2">
              <w:rPr>
                <w:rFonts w:cs="Arial"/>
                <w:sz w:val="16"/>
                <w:szCs w:val="16"/>
                <w:lang w:val="en-GB"/>
              </w:rPr>
              <w:t xml:space="preserve"> (%)</w:t>
            </w:r>
          </w:p>
        </w:tc>
      </w:tr>
      <w:tr w:rsidR="005D3B08" w:rsidRPr="00BA28F2" w14:paraId="34DA7AA9" w14:textId="77777777" w:rsidTr="0012277D">
        <w:trPr>
          <w:trHeight w:val="460"/>
        </w:trPr>
        <w:tc>
          <w:tcPr>
            <w:tcW w:w="1134" w:type="dxa"/>
            <w:tcBorders>
              <w:top w:val="single" w:sz="12" w:space="0" w:color="008000"/>
              <w:bottom w:val="single" w:sz="6" w:space="0" w:color="008000"/>
            </w:tcBorders>
            <w:shd w:val="clear" w:color="auto" w:fill="FFFFFF"/>
          </w:tcPr>
          <w:p w14:paraId="07E915B7" w14:textId="77777777" w:rsidR="005D3B08" w:rsidRPr="00BA28F2" w:rsidRDefault="005D3B08" w:rsidP="00673F13">
            <w:pPr>
              <w:pStyle w:val="CETBodytext"/>
              <w:jc w:val="left"/>
              <w:rPr>
                <w:sz w:val="16"/>
                <w:szCs w:val="16"/>
                <w:lang w:val="en-GB"/>
              </w:rPr>
            </w:pPr>
            <w:r w:rsidRPr="00BA28F2">
              <w:rPr>
                <w:sz w:val="16"/>
                <w:szCs w:val="16"/>
                <w:lang w:val="en-GB"/>
              </w:rPr>
              <w:t>Technical information</w:t>
            </w:r>
          </w:p>
        </w:tc>
        <w:tc>
          <w:tcPr>
            <w:tcW w:w="1862" w:type="dxa"/>
            <w:tcBorders>
              <w:top w:val="single" w:sz="12" w:space="0" w:color="008000"/>
              <w:bottom w:val="single" w:sz="6" w:space="0" w:color="008000"/>
            </w:tcBorders>
            <w:shd w:val="clear" w:color="auto" w:fill="FFFFFF"/>
          </w:tcPr>
          <w:p w14:paraId="13F2CE26" w14:textId="05285875" w:rsidR="005D3B08" w:rsidRPr="00BA28F2" w:rsidRDefault="005D3B08" w:rsidP="003D3967">
            <w:pPr>
              <w:pStyle w:val="CETBodytext"/>
              <w:jc w:val="left"/>
              <w:rPr>
                <w:sz w:val="16"/>
                <w:szCs w:val="16"/>
                <w:lang w:val="en-GB"/>
              </w:rPr>
            </w:pPr>
            <w:r w:rsidRPr="00BA28F2">
              <w:rPr>
                <w:sz w:val="16"/>
                <w:szCs w:val="16"/>
                <w:lang w:val="en-GB"/>
              </w:rPr>
              <w:t>Supplier/manufact</w:t>
            </w:r>
            <w:r w:rsidR="008267B6">
              <w:rPr>
                <w:sz w:val="16"/>
                <w:szCs w:val="16"/>
                <w:lang w:val="en-GB"/>
              </w:rPr>
              <w:t>urer</w:t>
            </w:r>
            <w:r w:rsidRPr="00BA28F2">
              <w:rPr>
                <w:sz w:val="16"/>
                <w:szCs w:val="16"/>
                <w:lang w:val="en-GB"/>
              </w:rPr>
              <w:t>. communication</w:t>
            </w:r>
          </w:p>
        </w:tc>
        <w:tc>
          <w:tcPr>
            <w:tcW w:w="3667" w:type="dxa"/>
            <w:tcBorders>
              <w:top w:val="single" w:sz="12" w:space="0" w:color="008000"/>
              <w:bottom w:val="single" w:sz="6" w:space="0" w:color="008000"/>
            </w:tcBorders>
            <w:shd w:val="clear" w:color="auto" w:fill="FFFFFF"/>
          </w:tcPr>
          <w:p w14:paraId="64DB31EA" w14:textId="77777777" w:rsidR="005D3B08" w:rsidRPr="00BA28F2" w:rsidRDefault="005D3B08" w:rsidP="00131921">
            <w:pPr>
              <w:pStyle w:val="CETBodytext"/>
              <w:spacing w:before="40"/>
              <w:ind w:left="22" w:right="98"/>
              <w:jc w:val="left"/>
              <w:rPr>
                <w:sz w:val="16"/>
                <w:szCs w:val="16"/>
                <w:lang w:val="en-GB"/>
              </w:rPr>
            </w:pPr>
            <w:r w:rsidRPr="00BA28F2">
              <w:rPr>
                <w:sz w:val="16"/>
                <w:szCs w:val="16"/>
                <w:lang w:val="en-GB"/>
              </w:rPr>
              <w:t>(7) Accurate information from manufacturers</w:t>
            </w:r>
          </w:p>
        </w:tc>
        <w:tc>
          <w:tcPr>
            <w:tcW w:w="1087" w:type="dxa"/>
            <w:tcBorders>
              <w:top w:val="single" w:sz="12" w:space="0" w:color="008000"/>
              <w:bottom w:val="single" w:sz="6" w:space="0" w:color="008000"/>
            </w:tcBorders>
            <w:shd w:val="clear" w:color="auto" w:fill="FFFFFF"/>
          </w:tcPr>
          <w:p w14:paraId="4816BAFE" w14:textId="77777777" w:rsidR="005D3B08" w:rsidRPr="00BA28F2" w:rsidRDefault="005D3B08" w:rsidP="00673F13">
            <w:pPr>
              <w:pStyle w:val="CETBodytext"/>
              <w:ind w:right="-1"/>
              <w:jc w:val="center"/>
              <w:rPr>
                <w:rFonts w:cs="Arial"/>
                <w:sz w:val="16"/>
                <w:szCs w:val="16"/>
                <w:lang w:val="en-GB"/>
              </w:rPr>
            </w:pPr>
            <w:r w:rsidRPr="00BA28F2">
              <w:rPr>
                <w:rFonts w:cs="Arial"/>
                <w:sz w:val="16"/>
                <w:szCs w:val="16"/>
                <w:lang w:val="en-GB"/>
              </w:rPr>
              <w:t>6.21</w:t>
            </w:r>
          </w:p>
        </w:tc>
        <w:tc>
          <w:tcPr>
            <w:tcW w:w="1039" w:type="dxa"/>
            <w:gridSpan w:val="2"/>
            <w:tcBorders>
              <w:top w:val="single" w:sz="12" w:space="0" w:color="008000"/>
              <w:bottom w:val="single" w:sz="6" w:space="0" w:color="008000"/>
            </w:tcBorders>
            <w:shd w:val="clear" w:color="auto" w:fill="FFFFFF"/>
          </w:tcPr>
          <w:p w14:paraId="2B108C13" w14:textId="50BA48A5" w:rsidR="005D3B08" w:rsidRPr="00BA28F2" w:rsidRDefault="00C450B0" w:rsidP="0012277D">
            <w:pPr>
              <w:pStyle w:val="CETBodytext"/>
              <w:ind w:right="295"/>
              <w:jc w:val="right"/>
              <w:rPr>
                <w:rFonts w:cs="Arial"/>
                <w:sz w:val="16"/>
                <w:szCs w:val="16"/>
                <w:highlight w:val="yellow"/>
                <w:lang w:val="en-GB"/>
              </w:rPr>
            </w:pPr>
            <w:r w:rsidRPr="00BA28F2">
              <w:rPr>
                <w:rFonts w:cs="Arial"/>
                <w:sz w:val="16"/>
                <w:szCs w:val="16"/>
                <w:highlight w:val="yellow"/>
                <w:lang w:val="en-GB"/>
              </w:rPr>
              <w:t>2.87</w:t>
            </w:r>
          </w:p>
        </w:tc>
      </w:tr>
      <w:tr w:rsidR="005D3B08" w:rsidRPr="00BA28F2" w14:paraId="777D2378" w14:textId="77777777" w:rsidTr="0012277D">
        <w:tc>
          <w:tcPr>
            <w:tcW w:w="1134" w:type="dxa"/>
            <w:tcBorders>
              <w:top w:val="single" w:sz="6" w:space="0" w:color="008000"/>
              <w:bottom w:val="single" w:sz="6" w:space="0" w:color="008000"/>
            </w:tcBorders>
            <w:shd w:val="clear" w:color="auto" w:fill="FFFFFF"/>
          </w:tcPr>
          <w:p w14:paraId="3CA0835B" w14:textId="77777777" w:rsidR="005D3B08" w:rsidRPr="00BA28F2" w:rsidRDefault="005D3B08" w:rsidP="00673F13">
            <w:pPr>
              <w:rPr>
                <w:rFonts w:cs="Arial"/>
                <w:sz w:val="16"/>
                <w:szCs w:val="16"/>
              </w:rPr>
            </w:pPr>
            <w:r w:rsidRPr="00BA28F2">
              <w:rPr>
                <w:rFonts w:cs="Arial"/>
                <w:sz w:val="16"/>
                <w:szCs w:val="16"/>
              </w:rPr>
              <w:t>Data collection analysis</w:t>
            </w:r>
          </w:p>
        </w:tc>
        <w:tc>
          <w:tcPr>
            <w:tcW w:w="1862" w:type="dxa"/>
            <w:tcBorders>
              <w:top w:val="single" w:sz="6" w:space="0" w:color="008000"/>
              <w:bottom w:val="single" w:sz="6" w:space="0" w:color="008000"/>
            </w:tcBorders>
            <w:shd w:val="clear" w:color="auto" w:fill="FFFFFF"/>
          </w:tcPr>
          <w:p w14:paraId="74DC0B5A" w14:textId="77777777" w:rsidR="005D3B08" w:rsidRPr="00BA28F2" w:rsidRDefault="005D3B08" w:rsidP="003D3967">
            <w:pPr>
              <w:pStyle w:val="CETBodytext"/>
              <w:spacing w:before="40"/>
              <w:ind w:right="62"/>
              <w:jc w:val="left"/>
              <w:rPr>
                <w:rFonts w:cs="Arial"/>
                <w:sz w:val="16"/>
                <w:szCs w:val="16"/>
                <w:lang w:val="en-GB"/>
              </w:rPr>
            </w:pPr>
            <w:r w:rsidRPr="00BA28F2">
              <w:rPr>
                <w:rFonts w:cs="Arial"/>
                <w:sz w:val="16"/>
                <w:szCs w:val="16"/>
                <w:lang w:val="en-GB"/>
              </w:rPr>
              <w:t>Problem Solving</w:t>
            </w:r>
          </w:p>
          <w:p w14:paraId="38AC7EF8" w14:textId="77777777" w:rsidR="005D3B08" w:rsidRPr="00BA28F2" w:rsidRDefault="005D3B08">
            <w:pPr>
              <w:pStyle w:val="CETBodytext"/>
              <w:spacing w:before="40"/>
              <w:ind w:right="62"/>
              <w:jc w:val="left"/>
              <w:rPr>
                <w:rFonts w:cs="Arial"/>
                <w:sz w:val="16"/>
                <w:szCs w:val="16"/>
                <w:lang w:val="en-GB"/>
              </w:rPr>
            </w:pPr>
            <w:r w:rsidRPr="00BA28F2">
              <w:rPr>
                <w:rFonts w:cs="Arial"/>
                <w:sz w:val="16"/>
                <w:szCs w:val="16"/>
                <w:lang w:val="en-GB"/>
              </w:rPr>
              <w:t>Use of previous incident/accident info</w:t>
            </w:r>
          </w:p>
        </w:tc>
        <w:tc>
          <w:tcPr>
            <w:tcW w:w="3667" w:type="dxa"/>
            <w:tcBorders>
              <w:top w:val="single" w:sz="6" w:space="0" w:color="008000"/>
              <w:bottom w:val="single" w:sz="6" w:space="0" w:color="008000"/>
            </w:tcBorders>
            <w:shd w:val="clear" w:color="auto" w:fill="FFFFFF"/>
          </w:tcPr>
          <w:p w14:paraId="4C8FD2EC" w14:textId="77777777" w:rsidR="005D3B08" w:rsidRPr="00BA28F2" w:rsidRDefault="005D3B08" w:rsidP="00131921">
            <w:pPr>
              <w:pStyle w:val="CETBodytext"/>
              <w:spacing w:before="40"/>
              <w:ind w:right="-1276"/>
              <w:jc w:val="left"/>
              <w:rPr>
                <w:rFonts w:cs="Arial"/>
                <w:sz w:val="16"/>
                <w:szCs w:val="16"/>
                <w:lang w:val="en-GB"/>
              </w:rPr>
            </w:pPr>
            <w:r w:rsidRPr="00BA28F2">
              <w:rPr>
                <w:rFonts w:cs="Arial"/>
                <w:sz w:val="16"/>
                <w:szCs w:val="16"/>
                <w:lang w:val="en-GB"/>
              </w:rPr>
              <w:t>(13) Successful problem solving</w:t>
            </w:r>
          </w:p>
          <w:p w14:paraId="449B97FA" w14:textId="77777777" w:rsidR="005D3B08" w:rsidRPr="00BA28F2" w:rsidRDefault="005D3B08" w:rsidP="00131921">
            <w:pPr>
              <w:pStyle w:val="CETBodytext"/>
              <w:spacing w:before="40"/>
              <w:ind w:right="-4"/>
              <w:jc w:val="left"/>
              <w:rPr>
                <w:rFonts w:cs="Arial"/>
                <w:sz w:val="16"/>
                <w:szCs w:val="16"/>
                <w:lang w:val="en-GB"/>
              </w:rPr>
            </w:pPr>
            <w:r w:rsidRPr="00BA28F2">
              <w:rPr>
                <w:rFonts w:cs="Arial"/>
                <w:sz w:val="16"/>
                <w:szCs w:val="16"/>
                <w:lang w:val="en-GB"/>
              </w:rPr>
              <w:t>(12) Collection of relevant data for early problem identification</w:t>
            </w:r>
          </w:p>
        </w:tc>
        <w:tc>
          <w:tcPr>
            <w:tcW w:w="1087" w:type="dxa"/>
            <w:tcBorders>
              <w:top w:val="single" w:sz="6" w:space="0" w:color="008000"/>
              <w:bottom w:val="single" w:sz="6" w:space="0" w:color="008000"/>
            </w:tcBorders>
            <w:shd w:val="clear" w:color="auto" w:fill="FFFFFF"/>
          </w:tcPr>
          <w:p w14:paraId="20222F68" w14:textId="77777777" w:rsidR="005D3B08" w:rsidRPr="00BA28F2" w:rsidRDefault="005D3B08" w:rsidP="00673F13">
            <w:pPr>
              <w:pStyle w:val="CETBodytext"/>
              <w:ind w:right="-1"/>
              <w:jc w:val="center"/>
              <w:rPr>
                <w:rFonts w:cs="Arial"/>
                <w:sz w:val="16"/>
                <w:szCs w:val="16"/>
                <w:lang w:val="en-GB"/>
              </w:rPr>
            </w:pPr>
            <w:r w:rsidRPr="00BA28F2">
              <w:rPr>
                <w:rFonts w:cs="Arial"/>
                <w:sz w:val="16"/>
                <w:szCs w:val="16"/>
                <w:lang w:val="en-GB"/>
              </w:rPr>
              <w:t>5.97</w:t>
            </w:r>
          </w:p>
          <w:p w14:paraId="5A817D99" w14:textId="77777777" w:rsidR="005D3B08" w:rsidRPr="00BA28F2" w:rsidRDefault="005D3B08" w:rsidP="00673F13">
            <w:pPr>
              <w:pStyle w:val="CETBodytext"/>
              <w:ind w:right="-1"/>
              <w:jc w:val="center"/>
              <w:rPr>
                <w:rFonts w:cs="Arial"/>
                <w:sz w:val="16"/>
                <w:szCs w:val="16"/>
                <w:lang w:val="en-GB"/>
              </w:rPr>
            </w:pPr>
          </w:p>
          <w:p w14:paraId="34BC4819" w14:textId="77777777" w:rsidR="005D3B08" w:rsidRPr="00BA28F2" w:rsidRDefault="005D3B08" w:rsidP="00673F13">
            <w:pPr>
              <w:pStyle w:val="CETBodytext"/>
              <w:ind w:right="-1"/>
              <w:jc w:val="center"/>
              <w:rPr>
                <w:rFonts w:cs="Arial"/>
                <w:sz w:val="16"/>
                <w:szCs w:val="16"/>
                <w:lang w:val="en-GB"/>
              </w:rPr>
            </w:pPr>
            <w:r w:rsidRPr="00BA28F2">
              <w:rPr>
                <w:rFonts w:cs="Arial"/>
                <w:sz w:val="16"/>
                <w:szCs w:val="16"/>
                <w:lang w:val="en-GB"/>
              </w:rPr>
              <w:t>6.45</w:t>
            </w:r>
          </w:p>
        </w:tc>
        <w:tc>
          <w:tcPr>
            <w:tcW w:w="1039" w:type="dxa"/>
            <w:gridSpan w:val="2"/>
            <w:tcBorders>
              <w:top w:val="single" w:sz="6" w:space="0" w:color="008000"/>
              <w:bottom w:val="single" w:sz="6" w:space="0" w:color="008000"/>
            </w:tcBorders>
            <w:shd w:val="clear" w:color="auto" w:fill="FFFFFF"/>
          </w:tcPr>
          <w:p w14:paraId="3626C80A" w14:textId="236DAA8C" w:rsidR="005D3B08" w:rsidRPr="00BA28F2" w:rsidRDefault="00C450B0" w:rsidP="0012277D">
            <w:pPr>
              <w:pStyle w:val="CETBodytext"/>
              <w:ind w:right="295"/>
              <w:jc w:val="right"/>
              <w:rPr>
                <w:rFonts w:cs="Arial"/>
                <w:sz w:val="16"/>
                <w:szCs w:val="16"/>
                <w:highlight w:val="yellow"/>
                <w:lang w:val="en-GB"/>
              </w:rPr>
            </w:pPr>
            <w:r w:rsidRPr="00BA28F2">
              <w:rPr>
                <w:rFonts w:cs="Arial"/>
                <w:sz w:val="16"/>
                <w:szCs w:val="16"/>
                <w:highlight w:val="yellow"/>
                <w:lang w:val="en-GB"/>
              </w:rPr>
              <w:t>1.1</w:t>
            </w:r>
            <w:r w:rsidR="00AA76A0" w:rsidRPr="00AA76A0">
              <w:rPr>
                <w:rFonts w:cs="Arial"/>
                <w:b/>
                <w:bCs/>
                <w:color w:val="FF0000"/>
                <w:sz w:val="16"/>
                <w:szCs w:val="16"/>
                <w:highlight w:val="yellow"/>
                <w:lang w:val="en-GB"/>
              </w:rPr>
              <w:t>5</w:t>
            </w:r>
          </w:p>
          <w:p w14:paraId="08D50320" w14:textId="77777777" w:rsidR="005D3B08" w:rsidRPr="00BA28F2" w:rsidRDefault="005D3B08" w:rsidP="0012277D">
            <w:pPr>
              <w:pStyle w:val="CETBodytext"/>
              <w:ind w:right="295"/>
              <w:jc w:val="right"/>
              <w:rPr>
                <w:rFonts w:cs="Arial"/>
                <w:sz w:val="16"/>
                <w:szCs w:val="16"/>
                <w:highlight w:val="yellow"/>
                <w:lang w:val="en-GB"/>
              </w:rPr>
            </w:pPr>
          </w:p>
          <w:p w14:paraId="6EE58DC8" w14:textId="76DBF116" w:rsidR="005D3B08" w:rsidRPr="00BA28F2" w:rsidRDefault="00C450B0" w:rsidP="0012277D">
            <w:pPr>
              <w:pStyle w:val="CETBodytext"/>
              <w:ind w:right="295"/>
              <w:jc w:val="right"/>
              <w:rPr>
                <w:rFonts w:cs="Arial"/>
                <w:sz w:val="16"/>
                <w:szCs w:val="16"/>
                <w:highlight w:val="yellow"/>
                <w:lang w:val="en-GB"/>
              </w:rPr>
            </w:pPr>
            <w:r w:rsidRPr="00BA28F2">
              <w:rPr>
                <w:rFonts w:cs="Arial"/>
                <w:sz w:val="16"/>
                <w:szCs w:val="16"/>
                <w:highlight w:val="yellow"/>
                <w:lang w:val="en-GB"/>
              </w:rPr>
              <w:t>1.72</w:t>
            </w:r>
          </w:p>
        </w:tc>
      </w:tr>
      <w:tr w:rsidR="005D3B08" w:rsidRPr="00BA28F2" w14:paraId="4652A359" w14:textId="77777777" w:rsidTr="0012277D">
        <w:tc>
          <w:tcPr>
            <w:tcW w:w="1134" w:type="dxa"/>
            <w:tcBorders>
              <w:top w:val="single" w:sz="6" w:space="0" w:color="008000"/>
            </w:tcBorders>
            <w:shd w:val="clear" w:color="auto" w:fill="FFFFFF"/>
          </w:tcPr>
          <w:p w14:paraId="16C6AF81" w14:textId="77777777" w:rsidR="005D3B08" w:rsidRPr="00BA28F2" w:rsidRDefault="005D3B08" w:rsidP="00673F13">
            <w:pPr>
              <w:pStyle w:val="CETBodytext"/>
              <w:ind w:right="-1"/>
              <w:rPr>
                <w:rFonts w:cs="Arial"/>
                <w:sz w:val="16"/>
                <w:szCs w:val="16"/>
                <w:lang w:val="en-GB"/>
              </w:rPr>
            </w:pPr>
            <w:r w:rsidRPr="00BA28F2">
              <w:rPr>
                <w:rFonts w:cs="Arial"/>
                <w:sz w:val="16"/>
                <w:szCs w:val="16"/>
                <w:lang w:val="en-GB"/>
              </w:rPr>
              <w:t>Operational Readiness</w:t>
            </w:r>
          </w:p>
        </w:tc>
        <w:tc>
          <w:tcPr>
            <w:tcW w:w="1862" w:type="dxa"/>
            <w:tcBorders>
              <w:top w:val="single" w:sz="6" w:space="0" w:color="008000"/>
            </w:tcBorders>
            <w:shd w:val="clear" w:color="auto" w:fill="FFFFFF"/>
          </w:tcPr>
          <w:p w14:paraId="5F47938B" w14:textId="77777777" w:rsidR="005D3B08" w:rsidRPr="00BA28F2" w:rsidRDefault="005D3B08" w:rsidP="003D3967">
            <w:pPr>
              <w:pStyle w:val="CETBodytext"/>
              <w:ind w:right="62"/>
              <w:jc w:val="left"/>
              <w:rPr>
                <w:rFonts w:cs="Arial"/>
                <w:sz w:val="16"/>
                <w:szCs w:val="16"/>
                <w:lang w:val="en-GB"/>
              </w:rPr>
            </w:pPr>
            <w:r w:rsidRPr="00BA28F2">
              <w:rPr>
                <w:rFonts w:cs="Arial"/>
                <w:sz w:val="16"/>
                <w:szCs w:val="16"/>
                <w:lang w:val="en-GB"/>
              </w:rPr>
              <w:t>Verification operational readiness</w:t>
            </w:r>
          </w:p>
        </w:tc>
        <w:tc>
          <w:tcPr>
            <w:tcW w:w="3667" w:type="dxa"/>
            <w:tcBorders>
              <w:top w:val="single" w:sz="6" w:space="0" w:color="008000"/>
            </w:tcBorders>
            <w:shd w:val="clear" w:color="auto" w:fill="FFFFFF"/>
          </w:tcPr>
          <w:p w14:paraId="57F437BA" w14:textId="77777777" w:rsidR="005D3B08" w:rsidRPr="00BA28F2" w:rsidRDefault="005D3B08" w:rsidP="00131921">
            <w:pPr>
              <w:pStyle w:val="CETBodytext"/>
              <w:spacing w:before="40"/>
              <w:ind w:right="-4"/>
              <w:jc w:val="left"/>
              <w:rPr>
                <w:rFonts w:cs="Arial"/>
                <w:sz w:val="16"/>
                <w:szCs w:val="16"/>
                <w:lang w:val="en-GB"/>
              </w:rPr>
            </w:pPr>
            <w:r w:rsidRPr="00BA28F2">
              <w:rPr>
                <w:rFonts w:cs="Arial"/>
                <w:sz w:val="16"/>
                <w:szCs w:val="16"/>
                <w:lang w:val="en-GB"/>
              </w:rPr>
              <w:t>(9) Effective operational verification prior to initiating refuelling activities</w:t>
            </w:r>
          </w:p>
        </w:tc>
        <w:tc>
          <w:tcPr>
            <w:tcW w:w="1087" w:type="dxa"/>
            <w:tcBorders>
              <w:top w:val="single" w:sz="6" w:space="0" w:color="008000"/>
            </w:tcBorders>
            <w:shd w:val="clear" w:color="auto" w:fill="FFFFFF"/>
          </w:tcPr>
          <w:p w14:paraId="4F0ABA8E" w14:textId="77777777" w:rsidR="005D3B08" w:rsidRPr="00BA28F2" w:rsidRDefault="005D3B08" w:rsidP="00673F13">
            <w:pPr>
              <w:pStyle w:val="CETBodytext"/>
              <w:ind w:right="-1"/>
              <w:jc w:val="center"/>
              <w:rPr>
                <w:rFonts w:cs="Arial"/>
                <w:sz w:val="16"/>
                <w:szCs w:val="16"/>
                <w:lang w:val="en-GB"/>
              </w:rPr>
            </w:pPr>
            <w:r w:rsidRPr="00BA28F2">
              <w:rPr>
                <w:rFonts w:cs="Arial"/>
                <w:sz w:val="16"/>
                <w:szCs w:val="16"/>
                <w:lang w:val="en-GB"/>
              </w:rPr>
              <w:t>5.97</w:t>
            </w:r>
          </w:p>
        </w:tc>
        <w:tc>
          <w:tcPr>
            <w:tcW w:w="1039" w:type="dxa"/>
            <w:gridSpan w:val="2"/>
            <w:tcBorders>
              <w:top w:val="single" w:sz="6" w:space="0" w:color="008000"/>
            </w:tcBorders>
            <w:shd w:val="clear" w:color="auto" w:fill="FFFFFF"/>
          </w:tcPr>
          <w:p w14:paraId="69A3A736" w14:textId="5A364F54" w:rsidR="005D3B08" w:rsidRPr="00BA28F2" w:rsidRDefault="00C450B0" w:rsidP="0012277D">
            <w:pPr>
              <w:pStyle w:val="CETBodytext"/>
              <w:ind w:right="295"/>
              <w:jc w:val="right"/>
              <w:rPr>
                <w:rFonts w:cs="Arial"/>
                <w:sz w:val="16"/>
                <w:szCs w:val="16"/>
                <w:highlight w:val="yellow"/>
                <w:lang w:val="en-GB"/>
              </w:rPr>
            </w:pPr>
            <w:r w:rsidRPr="00BA28F2">
              <w:rPr>
                <w:rFonts w:cs="Arial"/>
                <w:sz w:val="16"/>
                <w:szCs w:val="16"/>
                <w:highlight w:val="yellow"/>
                <w:lang w:val="en-GB"/>
              </w:rPr>
              <w:t>5.17</w:t>
            </w:r>
          </w:p>
        </w:tc>
      </w:tr>
      <w:tr w:rsidR="005D3B08" w:rsidRPr="00BA28F2" w14:paraId="59136B0D" w14:textId="77777777" w:rsidTr="0012277D">
        <w:tc>
          <w:tcPr>
            <w:tcW w:w="1134" w:type="dxa"/>
            <w:tcBorders>
              <w:top w:val="single" w:sz="6" w:space="0" w:color="008000"/>
            </w:tcBorders>
            <w:shd w:val="clear" w:color="auto" w:fill="FFFFFF"/>
          </w:tcPr>
          <w:p w14:paraId="6B517A47" w14:textId="77777777" w:rsidR="005D3B08" w:rsidRPr="00BA28F2" w:rsidRDefault="005D3B08" w:rsidP="00673F13">
            <w:pPr>
              <w:pStyle w:val="CETBodytext"/>
              <w:ind w:right="-1"/>
              <w:jc w:val="left"/>
              <w:rPr>
                <w:rFonts w:cs="Arial"/>
                <w:sz w:val="16"/>
                <w:szCs w:val="16"/>
                <w:lang w:val="en-GB"/>
              </w:rPr>
            </w:pPr>
          </w:p>
          <w:p w14:paraId="2FCCD3AE" w14:textId="77777777" w:rsidR="005D3B08" w:rsidRPr="00BA28F2" w:rsidRDefault="005D3B08" w:rsidP="00673F13">
            <w:pPr>
              <w:pStyle w:val="CETBodytext"/>
              <w:ind w:right="-1"/>
              <w:jc w:val="left"/>
              <w:rPr>
                <w:rFonts w:cs="Arial"/>
                <w:sz w:val="16"/>
                <w:szCs w:val="16"/>
                <w:lang w:val="en-GB"/>
              </w:rPr>
            </w:pPr>
            <w:r w:rsidRPr="00BA28F2">
              <w:rPr>
                <w:rFonts w:cs="Arial"/>
                <w:sz w:val="16"/>
                <w:szCs w:val="16"/>
                <w:lang w:val="en-GB"/>
              </w:rPr>
              <w:t>Inspection &amp; Maintenance</w:t>
            </w:r>
          </w:p>
        </w:tc>
        <w:tc>
          <w:tcPr>
            <w:tcW w:w="1862" w:type="dxa"/>
            <w:tcBorders>
              <w:top w:val="single" w:sz="6" w:space="0" w:color="008000"/>
            </w:tcBorders>
            <w:shd w:val="clear" w:color="auto" w:fill="FFFFFF"/>
          </w:tcPr>
          <w:p w14:paraId="5FE1849D" w14:textId="77777777" w:rsidR="005D3B08" w:rsidRPr="00BA28F2" w:rsidRDefault="005D3B08" w:rsidP="003D3967">
            <w:pPr>
              <w:pStyle w:val="CETBodytext"/>
              <w:ind w:right="62"/>
              <w:jc w:val="left"/>
              <w:rPr>
                <w:rFonts w:cs="Arial"/>
                <w:sz w:val="16"/>
                <w:szCs w:val="16"/>
                <w:lang w:val="en-GB"/>
              </w:rPr>
            </w:pPr>
            <w:r w:rsidRPr="00BA28F2">
              <w:rPr>
                <w:rFonts w:cs="Arial"/>
                <w:sz w:val="16"/>
                <w:szCs w:val="16"/>
                <w:lang w:val="en-GB"/>
              </w:rPr>
              <w:t>Planning Process</w:t>
            </w:r>
          </w:p>
          <w:p w14:paraId="69A96309" w14:textId="77777777" w:rsidR="005D3B08" w:rsidRPr="00BA28F2" w:rsidRDefault="005D3B08">
            <w:pPr>
              <w:pStyle w:val="CETBodytext"/>
              <w:ind w:right="62"/>
              <w:jc w:val="left"/>
              <w:rPr>
                <w:rFonts w:cs="Arial"/>
                <w:sz w:val="16"/>
                <w:szCs w:val="16"/>
                <w:lang w:val="en-GB"/>
              </w:rPr>
            </w:pPr>
          </w:p>
          <w:p w14:paraId="22492E9B" w14:textId="77777777" w:rsidR="005D3B08" w:rsidRPr="00BA28F2" w:rsidRDefault="005D3B08">
            <w:pPr>
              <w:pStyle w:val="CETBodytext"/>
              <w:ind w:right="62"/>
              <w:jc w:val="left"/>
              <w:rPr>
                <w:rFonts w:cs="Arial"/>
                <w:sz w:val="16"/>
                <w:szCs w:val="16"/>
                <w:lang w:val="en-GB"/>
              </w:rPr>
            </w:pPr>
          </w:p>
          <w:p w14:paraId="6C8DBE15" w14:textId="77777777" w:rsidR="005D3B08" w:rsidRPr="00BA28F2" w:rsidRDefault="005D3B08">
            <w:pPr>
              <w:pStyle w:val="CETBodytext"/>
              <w:ind w:right="62"/>
              <w:jc w:val="left"/>
              <w:rPr>
                <w:rFonts w:cs="Arial"/>
                <w:sz w:val="16"/>
                <w:szCs w:val="16"/>
                <w:lang w:val="en-GB"/>
              </w:rPr>
            </w:pPr>
            <w:r w:rsidRPr="00BA28F2">
              <w:rPr>
                <w:rFonts w:cs="Arial"/>
                <w:sz w:val="16"/>
                <w:szCs w:val="16"/>
                <w:lang w:val="en-GB"/>
              </w:rPr>
              <w:t>Execution</w:t>
            </w:r>
          </w:p>
        </w:tc>
        <w:tc>
          <w:tcPr>
            <w:tcW w:w="3667" w:type="dxa"/>
            <w:tcBorders>
              <w:top w:val="single" w:sz="6" w:space="0" w:color="008000"/>
            </w:tcBorders>
            <w:shd w:val="clear" w:color="auto" w:fill="FFFFFF"/>
          </w:tcPr>
          <w:p w14:paraId="14C21A4D" w14:textId="4EC4D9A0" w:rsidR="005D3B08" w:rsidRPr="00BA28F2" w:rsidRDefault="005D3B08" w:rsidP="00131921">
            <w:pPr>
              <w:pStyle w:val="CETBodytext"/>
              <w:ind w:right="-6"/>
              <w:jc w:val="left"/>
              <w:rPr>
                <w:rFonts w:cs="Arial"/>
                <w:sz w:val="16"/>
                <w:szCs w:val="16"/>
                <w:lang w:val="en-GB"/>
              </w:rPr>
            </w:pPr>
            <w:r w:rsidRPr="00BA28F2">
              <w:rPr>
                <w:rFonts w:cs="Arial"/>
                <w:sz w:val="16"/>
                <w:szCs w:val="16"/>
                <w:lang w:val="en-GB"/>
              </w:rPr>
              <w:t xml:space="preserve">(14) </w:t>
            </w:r>
            <w:r w:rsidR="001B2679" w:rsidRPr="00BA28F2">
              <w:rPr>
                <w:rFonts w:cs="Arial"/>
                <w:sz w:val="16"/>
                <w:szCs w:val="16"/>
                <w:lang w:val="en-GB"/>
              </w:rPr>
              <w:t>P</w:t>
            </w:r>
            <w:r w:rsidRPr="00BA28F2">
              <w:rPr>
                <w:rFonts w:cs="Arial"/>
                <w:sz w:val="16"/>
                <w:szCs w:val="16"/>
                <w:lang w:val="en-GB"/>
              </w:rPr>
              <w:t>lan outlined (comprehensive evaluation and servicing of all relevant areas, equipment, and systems)</w:t>
            </w:r>
          </w:p>
          <w:p w14:paraId="7577BA63" w14:textId="437F9B73" w:rsidR="005D3B08" w:rsidRPr="00BA28F2" w:rsidRDefault="005D3B08" w:rsidP="00131921">
            <w:pPr>
              <w:pStyle w:val="CETBodytext"/>
              <w:spacing w:before="40"/>
              <w:ind w:right="-6"/>
              <w:jc w:val="left"/>
              <w:rPr>
                <w:rFonts w:cs="Arial"/>
                <w:sz w:val="16"/>
                <w:szCs w:val="16"/>
                <w:lang w:val="en-GB"/>
              </w:rPr>
            </w:pPr>
            <w:r w:rsidRPr="00BA28F2">
              <w:rPr>
                <w:rFonts w:cs="Arial"/>
                <w:sz w:val="16"/>
                <w:szCs w:val="16"/>
                <w:lang w:val="en-GB"/>
              </w:rPr>
              <w:t xml:space="preserve">(15) </w:t>
            </w:r>
            <w:r w:rsidR="001B2679" w:rsidRPr="00BA28F2">
              <w:rPr>
                <w:rFonts w:cs="Arial"/>
                <w:sz w:val="16"/>
                <w:szCs w:val="16"/>
                <w:lang w:val="en-GB"/>
              </w:rPr>
              <w:t>P</w:t>
            </w:r>
            <w:r w:rsidRPr="00BA28F2">
              <w:rPr>
                <w:rFonts w:cs="Arial"/>
                <w:sz w:val="16"/>
                <w:szCs w:val="16"/>
                <w:lang w:val="en-GB"/>
              </w:rPr>
              <w:t>lan execution (no failures; on schedule; and according to the operational readiness of the hydrogen refuelling station)</w:t>
            </w:r>
          </w:p>
        </w:tc>
        <w:tc>
          <w:tcPr>
            <w:tcW w:w="1087" w:type="dxa"/>
            <w:tcBorders>
              <w:top w:val="single" w:sz="6" w:space="0" w:color="008000"/>
            </w:tcBorders>
            <w:shd w:val="clear" w:color="auto" w:fill="FFFFFF"/>
          </w:tcPr>
          <w:p w14:paraId="0D364D92" w14:textId="77777777" w:rsidR="005D3B08" w:rsidRPr="00BA28F2" w:rsidRDefault="005D3B08" w:rsidP="00673F13">
            <w:pPr>
              <w:pStyle w:val="CETBodytext"/>
              <w:ind w:right="-1"/>
              <w:jc w:val="center"/>
              <w:rPr>
                <w:rFonts w:cs="Arial"/>
                <w:sz w:val="16"/>
                <w:szCs w:val="16"/>
                <w:lang w:val="en-GB"/>
              </w:rPr>
            </w:pPr>
            <w:r w:rsidRPr="00BA28F2">
              <w:rPr>
                <w:rFonts w:cs="Arial"/>
                <w:sz w:val="16"/>
                <w:szCs w:val="16"/>
                <w:lang w:val="en-GB"/>
              </w:rPr>
              <w:t>6.34</w:t>
            </w:r>
          </w:p>
          <w:p w14:paraId="774A9933" w14:textId="77777777" w:rsidR="005D3B08" w:rsidRPr="00BA28F2" w:rsidRDefault="005D3B08" w:rsidP="00673F13">
            <w:pPr>
              <w:pStyle w:val="CETBodytext"/>
              <w:ind w:right="-1"/>
              <w:jc w:val="center"/>
              <w:rPr>
                <w:rFonts w:cs="Arial"/>
                <w:sz w:val="16"/>
                <w:szCs w:val="16"/>
                <w:lang w:val="en-GB"/>
              </w:rPr>
            </w:pPr>
          </w:p>
          <w:p w14:paraId="03E43E74" w14:textId="77777777" w:rsidR="005D3B08" w:rsidRPr="00BA28F2" w:rsidRDefault="005D3B08" w:rsidP="00673F13">
            <w:pPr>
              <w:pStyle w:val="CETBodytext"/>
              <w:ind w:right="-1"/>
              <w:jc w:val="center"/>
              <w:rPr>
                <w:rFonts w:cs="Arial"/>
                <w:sz w:val="16"/>
                <w:szCs w:val="16"/>
                <w:lang w:val="en-GB"/>
              </w:rPr>
            </w:pPr>
          </w:p>
          <w:p w14:paraId="663CA49B" w14:textId="77777777" w:rsidR="005D3B08" w:rsidRPr="00BA28F2" w:rsidRDefault="005D3B08" w:rsidP="00673F13">
            <w:pPr>
              <w:pStyle w:val="CETBodytext"/>
              <w:ind w:right="-1"/>
              <w:jc w:val="center"/>
              <w:rPr>
                <w:rFonts w:cs="Arial"/>
                <w:sz w:val="16"/>
                <w:szCs w:val="16"/>
                <w:lang w:val="en-GB"/>
              </w:rPr>
            </w:pPr>
            <w:r w:rsidRPr="00BA28F2">
              <w:rPr>
                <w:rFonts w:cs="Arial"/>
                <w:sz w:val="16"/>
                <w:szCs w:val="16"/>
                <w:lang w:val="en-GB"/>
              </w:rPr>
              <w:t>6.31</w:t>
            </w:r>
          </w:p>
        </w:tc>
        <w:tc>
          <w:tcPr>
            <w:tcW w:w="1039" w:type="dxa"/>
            <w:gridSpan w:val="2"/>
            <w:tcBorders>
              <w:top w:val="single" w:sz="6" w:space="0" w:color="008000"/>
            </w:tcBorders>
            <w:shd w:val="clear" w:color="auto" w:fill="FFFFFF"/>
          </w:tcPr>
          <w:p w14:paraId="3F83BE8D" w14:textId="1A4510D5" w:rsidR="005D3B08" w:rsidRPr="00BA28F2" w:rsidRDefault="00C450B0" w:rsidP="0012277D">
            <w:pPr>
              <w:pStyle w:val="CETBodytext"/>
              <w:ind w:right="295"/>
              <w:jc w:val="right"/>
              <w:rPr>
                <w:rFonts w:cs="Arial"/>
                <w:sz w:val="16"/>
                <w:szCs w:val="16"/>
                <w:highlight w:val="yellow"/>
                <w:lang w:val="en-GB"/>
              </w:rPr>
            </w:pPr>
            <w:r w:rsidRPr="00BA28F2">
              <w:rPr>
                <w:rFonts w:cs="Arial"/>
                <w:sz w:val="16"/>
                <w:szCs w:val="16"/>
                <w:highlight w:val="yellow"/>
                <w:lang w:val="en-GB"/>
              </w:rPr>
              <w:t>18.97</w:t>
            </w:r>
          </w:p>
          <w:p w14:paraId="3C3204CF" w14:textId="77777777" w:rsidR="005D3B08" w:rsidRPr="00BA28F2" w:rsidRDefault="005D3B08" w:rsidP="0012277D">
            <w:pPr>
              <w:pStyle w:val="CETBodytext"/>
              <w:ind w:right="295"/>
              <w:jc w:val="right"/>
              <w:rPr>
                <w:rFonts w:cs="Arial"/>
                <w:sz w:val="16"/>
                <w:szCs w:val="16"/>
                <w:highlight w:val="yellow"/>
                <w:lang w:val="en-GB"/>
              </w:rPr>
            </w:pPr>
          </w:p>
          <w:p w14:paraId="65EF4E04" w14:textId="77777777" w:rsidR="005D3B08" w:rsidRPr="00BA28F2" w:rsidRDefault="005D3B08" w:rsidP="0012277D">
            <w:pPr>
              <w:pStyle w:val="CETBodytext"/>
              <w:ind w:right="295"/>
              <w:jc w:val="right"/>
              <w:rPr>
                <w:rFonts w:cs="Arial"/>
                <w:sz w:val="16"/>
                <w:szCs w:val="16"/>
                <w:highlight w:val="yellow"/>
                <w:lang w:val="en-GB"/>
              </w:rPr>
            </w:pPr>
          </w:p>
          <w:p w14:paraId="2890E0F9" w14:textId="21907889" w:rsidR="005D3B08" w:rsidRPr="00BA28F2" w:rsidRDefault="00C450B0" w:rsidP="0012277D">
            <w:pPr>
              <w:pStyle w:val="CETBodytext"/>
              <w:ind w:right="295"/>
              <w:jc w:val="right"/>
              <w:rPr>
                <w:rFonts w:cs="Arial"/>
                <w:sz w:val="16"/>
                <w:szCs w:val="16"/>
                <w:highlight w:val="yellow"/>
                <w:lang w:val="en-GB"/>
              </w:rPr>
            </w:pPr>
            <w:r w:rsidRPr="00BA28F2">
              <w:rPr>
                <w:rFonts w:cs="Arial"/>
                <w:sz w:val="16"/>
                <w:szCs w:val="16"/>
                <w:highlight w:val="yellow"/>
                <w:lang w:val="en-GB"/>
              </w:rPr>
              <w:t>13.2</w:t>
            </w:r>
            <w:r w:rsidR="001948D7">
              <w:rPr>
                <w:rFonts w:cs="Arial"/>
                <w:sz w:val="16"/>
                <w:szCs w:val="16"/>
                <w:highlight w:val="yellow"/>
                <w:lang w:val="en-GB"/>
              </w:rPr>
              <w:t>0</w:t>
            </w:r>
          </w:p>
        </w:tc>
      </w:tr>
      <w:tr w:rsidR="005D3B08" w:rsidRPr="00BA28F2" w14:paraId="2BC84956" w14:textId="77777777" w:rsidTr="0012277D">
        <w:tc>
          <w:tcPr>
            <w:tcW w:w="1134" w:type="dxa"/>
            <w:tcBorders>
              <w:top w:val="single" w:sz="6" w:space="0" w:color="008000"/>
            </w:tcBorders>
            <w:shd w:val="clear" w:color="auto" w:fill="FFFFFF"/>
          </w:tcPr>
          <w:p w14:paraId="58FEAD35" w14:textId="77777777" w:rsidR="005D3B08" w:rsidRPr="00BA28F2" w:rsidRDefault="005D3B08" w:rsidP="00673F13">
            <w:pPr>
              <w:pStyle w:val="CETBodytext"/>
              <w:ind w:right="-1"/>
              <w:rPr>
                <w:rFonts w:cs="Arial"/>
                <w:sz w:val="16"/>
                <w:szCs w:val="16"/>
                <w:lang w:val="en-GB"/>
              </w:rPr>
            </w:pPr>
            <w:r w:rsidRPr="00BA28F2">
              <w:rPr>
                <w:rFonts w:cs="Arial"/>
                <w:sz w:val="16"/>
                <w:szCs w:val="16"/>
                <w:lang w:val="en-GB"/>
              </w:rPr>
              <w:t>Supervision staff</w:t>
            </w:r>
          </w:p>
        </w:tc>
        <w:tc>
          <w:tcPr>
            <w:tcW w:w="1862" w:type="dxa"/>
            <w:tcBorders>
              <w:top w:val="single" w:sz="6" w:space="0" w:color="008000"/>
            </w:tcBorders>
            <w:shd w:val="clear" w:color="auto" w:fill="FFFFFF"/>
          </w:tcPr>
          <w:p w14:paraId="3D47C224" w14:textId="77777777" w:rsidR="005D3B08" w:rsidRPr="00BA28F2" w:rsidRDefault="005D3B08" w:rsidP="003D3967">
            <w:pPr>
              <w:pStyle w:val="CETBodytext"/>
              <w:ind w:right="62"/>
              <w:jc w:val="left"/>
              <w:rPr>
                <w:rFonts w:cs="Arial"/>
                <w:sz w:val="16"/>
                <w:szCs w:val="16"/>
                <w:lang w:val="en-GB"/>
              </w:rPr>
            </w:pPr>
            <w:r w:rsidRPr="00BA28F2">
              <w:rPr>
                <w:rFonts w:cs="Arial"/>
                <w:sz w:val="16"/>
                <w:szCs w:val="16"/>
                <w:lang w:val="en-GB"/>
              </w:rPr>
              <w:t>Performance errors</w:t>
            </w:r>
          </w:p>
        </w:tc>
        <w:tc>
          <w:tcPr>
            <w:tcW w:w="3667" w:type="dxa"/>
            <w:tcBorders>
              <w:top w:val="single" w:sz="6" w:space="0" w:color="008000"/>
            </w:tcBorders>
            <w:shd w:val="clear" w:color="auto" w:fill="FFFFFF"/>
          </w:tcPr>
          <w:p w14:paraId="04EFAA89" w14:textId="463FEE07" w:rsidR="005D3B08" w:rsidRPr="00BA28F2" w:rsidRDefault="005D3B08" w:rsidP="00131921">
            <w:pPr>
              <w:pStyle w:val="CETBodytext"/>
              <w:ind w:right="-6"/>
              <w:jc w:val="left"/>
              <w:rPr>
                <w:rFonts w:cs="Arial"/>
                <w:sz w:val="16"/>
                <w:szCs w:val="16"/>
                <w:lang w:val="en-GB"/>
              </w:rPr>
            </w:pPr>
            <w:r w:rsidRPr="00BA28F2">
              <w:rPr>
                <w:rFonts w:cs="Arial"/>
                <w:sz w:val="16"/>
                <w:szCs w:val="16"/>
                <w:lang w:val="en-GB"/>
              </w:rPr>
              <w:t>(16)</w:t>
            </w:r>
            <w:r w:rsidR="001B2679" w:rsidRPr="00BA28F2">
              <w:rPr>
                <w:rFonts w:cs="Arial"/>
                <w:sz w:val="16"/>
                <w:szCs w:val="16"/>
                <w:lang w:val="en-GB"/>
              </w:rPr>
              <w:t xml:space="preserve"> </w:t>
            </w:r>
            <w:r w:rsidRPr="00BA28F2">
              <w:rPr>
                <w:rFonts w:cs="Arial"/>
                <w:sz w:val="16"/>
                <w:szCs w:val="16"/>
                <w:lang w:val="en-GB"/>
              </w:rPr>
              <w:t>Human performance (operation, maintenance and inspection)</w:t>
            </w:r>
          </w:p>
        </w:tc>
        <w:tc>
          <w:tcPr>
            <w:tcW w:w="1087" w:type="dxa"/>
            <w:tcBorders>
              <w:top w:val="single" w:sz="6" w:space="0" w:color="008000"/>
            </w:tcBorders>
            <w:shd w:val="clear" w:color="auto" w:fill="FFFFFF"/>
          </w:tcPr>
          <w:p w14:paraId="796DF9DF" w14:textId="77777777" w:rsidR="005D3B08" w:rsidRPr="00BA28F2" w:rsidRDefault="005D3B08" w:rsidP="00673F13">
            <w:pPr>
              <w:pStyle w:val="CETBodytext"/>
              <w:ind w:right="-1"/>
              <w:jc w:val="center"/>
              <w:rPr>
                <w:rFonts w:cs="Arial"/>
                <w:sz w:val="16"/>
                <w:szCs w:val="16"/>
                <w:lang w:val="en-GB"/>
              </w:rPr>
            </w:pPr>
            <w:r w:rsidRPr="00BA28F2">
              <w:rPr>
                <w:rFonts w:cs="Arial"/>
                <w:sz w:val="16"/>
                <w:szCs w:val="16"/>
                <w:lang w:val="en-GB"/>
              </w:rPr>
              <w:t>5.34</w:t>
            </w:r>
          </w:p>
        </w:tc>
        <w:tc>
          <w:tcPr>
            <w:tcW w:w="1039" w:type="dxa"/>
            <w:gridSpan w:val="2"/>
            <w:tcBorders>
              <w:top w:val="single" w:sz="6" w:space="0" w:color="008000"/>
            </w:tcBorders>
            <w:shd w:val="clear" w:color="auto" w:fill="FFFFFF"/>
          </w:tcPr>
          <w:p w14:paraId="0B17D162" w14:textId="6F728132" w:rsidR="005D3B08" w:rsidRPr="00BA28F2" w:rsidRDefault="00C450B0" w:rsidP="0012277D">
            <w:pPr>
              <w:pStyle w:val="CETBodytext"/>
              <w:ind w:right="295"/>
              <w:jc w:val="right"/>
              <w:rPr>
                <w:rFonts w:cs="Arial"/>
                <w:sz w:val="16"/>
                <w:szCs w:val="16"/>
                <w:highlight w:val="yellow"/>
                <w:lang w:val="en-GB"/>
              </w:rPr>
            </w:pPr>
            <w:r w:rsidRPr="00BA28F2">
              <w:rPr>
                <w:rFonts w:cs="Arial"/>
                <w:sz w:val="16"/>
                <w:szCs w:val="16"/>
                <w:highlight w:val="yellow"/>
                <w:lang w:val="en-GB"/>
              </w:rPr>
              <w:t>18.97</w:t>
            </w:r>
          </w:p>
        </w:tc>
      </w:tr>
      <w:tr w:rsidR="005D3B08" w:rsidRPr="00BA28F2" w14:paraId="6775A40A" w14:textId="77777777" w:rsidTr="0012277D">
        <w:tc>
          <w:tcPr>
            <w:tcW w:w="1134" w:type="dxa"/>
            <w:tcBorders>
              <w:top w:val="single" w:sz="6" w:space="0" w:color="008000"/>
            </w:tcBorders>
            <w:shd w:val="clear" w:color="auto" w:fill="FFFFFF"/>
          </w:tcPr>
          <w:p w14:paraId="3DB22C94" w14:textId="77777777" w:rsidR="005D3B08" w:rsidRPr="00BA28F2" w:rsidRDefault="005D3B08" w:rsidP="00673F13">
            <w:pPr>
              <w:jc w:val="left"/>
              <w:rPr>
                <w:rFonts w:cs="Arial"/>
                <w:sz w:val="16"/>
                <w:szCs w:val="16"/>
              </w:rPr>
            </w:pPr>
          </w:p>
          <w:p w14:paraId="7764F66A" w14:textId="77777777" w:rsidR="005D3B08" w:rsidRPr="00BA28F2" w:rsidRDefault="005D3B08" w:rsidP="00673F13">
            <w:pPr>
              <w:jc w:val="left"/>
              <w:rPr>
                <w:rFonts w:cs="Arial"/>
                <w:sz w:val="16"/>
                <w:szCs w:val="16"/>
              </w:rPr>
            </w:pPr>
            <w:r w:rsidRPr="00BA28F2">
              <w:rPr>
                <w:rFonts w:cs="Arial"/>
                <w:sz w:val="16"/>
                <w:szCs w:val="16"/>
              </w:rPr>
              <w:t>Stabilisation &amp; restoration</w:t>
            </w:r>
          </w:p>
          <w:p w14:paraId="774E39BD" w14:textId="77777777" w:rsidR="005D3B08" w:rsidRPr="00BA28F2" w:rsidRDefault="005D3B08" w:rsidP="00673F13">
            <w:pPr>
              <w:pStyle w:val="CETBodytext"/>
              <w:ind w:right="-1"/>
              <w:rPr>
                <w:rFonts w:cs="Arial"/>
                <w:sz w:val="16"/>
                <w:szCs w:val="16"/>
                <w:lang w:val="en-GB"/>
              </w:rPr>
            </w:pPr>
          </w:p>
        </w:tc>
        <w:tc>
          <w:tcPr>
            <w:tcW w:w="1862" w:type="dxa"/>
            <w:tcBorders>
              <w:top w:val="single" w:sz="6" w:space="0" w:color="008000"/>
            </w:tcBorders>
            <w:shd w:val="clear" w:color="auto" w:fill="FFFFFF"/>
          </w:tcPr>
          <w:p w14:paraId="0F0A03F8" w14:textId="77777777" w:rsidR="005D3B08" w:rsidRPr="00BA28F2" w:rsidRDefault="005D3B08" w:rsidP="003D3967">
            <w:pPr>
              <w:pStyle w:val="CETBodytext"/>
              <w:ind w:right="62"/>
              <w:jc w:val="left"/>
              <w:rPr>
                <w:rFonts w:cs="Arial"/>
                <w:sz w:val="16"/>
                <w:szCs w:val="16"/>
                <w:lang w:val="en-GB"/>
              </w:rPr>
            </w:pPr>
            <w:r w:rsidRPr="00BA28F2">
              <w:rPr>
                <w:rFonts w:cs="Arial"/>
                <w:sz w:val="16"/>
                <w:szCs w:val="16"/>
                <w:lang w:val="en-GB"/>
              </w:rPr>
              <w:t>Prevention follow accident</w:t>
            </w:r>
          </w:p>
          <w:p w14:paraId="0E4701C3" w14:textId="77777777" w:rsidR="005D3B08" w:rsidRPr="00BA28F2" w:rsidRDefault="005D3B08">
            <w:pPr>
              <w:pStyle w:val="CETBodytext"/>
              <w:spacing w:before="80"/>
              <w:ind w:right="62"/>
              <w:jc w:val="left"/>
              <w:rPr>
                <w:rFonts w:cs="Arial"/>
                <w:sz w:val="16"/>
                <w:szCs w:val="16"/>
                <w:lang w:val="en-GB"/>
              </w:rPr>
            </w:pPr>
            <w:r w:rsidRPr="00BA28F2">
              <w:rPr>
                <w:rFonts w:cs="Arial"/>
                <w:sz w:val="16"/>
                <w:szCs w:val="16"/>
                <w:lang w:val="en-GB"/>
              </w:rPr>
              <w:t>Emergency action</w:t>
            </w:r>
          </w:p>
        </w:tc>
        <w:tc>
          <w:tcPr>
            <w:tcW w:w="3667" w:type="dxa"/>
            <w:tcBorders>
              <w:top w:val="single" w:sz="6" w:space="0" w:color="008000"/>
            </w:tcBorders>
            <w:shd w:val="clear" w:color="auto" w:fill="FFFFFF"/>
          </w:tcPr>
          <w:p w14:paraId="551B3FF3" w14:textId="77777777" w:rsidR="005D3B08" w:rsidRPr="00BA28F2" w:rsidRDefault="005D3B08" w:rsidP="00131921">
            <w:pPr>
              <w:pStyle w:val="CETBodytext"/>
              <w:spacing w:before="40"/>
              <w:ind w:right="-4"/>
              <w:jc w:val="left"/>
              <w:rPr>
                <w:rFonts w:cs="Arial"/>
                <w:sz w:val="16"/>
                <w:szCs w:val="16"/>
                <w:lang w:val="en-GB"/>
              </w:rPr>
            </w:pPr>
            <w:r w:rsidRPr="00BA28F2">
              <w:rPr>
                <w:rFonts w:cs="Arial"/>
                <w:sz w:val="16"/>
                <w:szCs w:val="16"/>
                <w:lang w:val="en-GB"/>
              </w:rPr>
              <w:t>(10) Adequate actions to prevent a follow-on accident</w:t>
            </w:r>
          </w:p>
          <w:p w14:paraId="11712A44" w14:textId="77777777" w:rsidR="005D3B08" w:rsidRPr="00BA28F2" w:rsidRDefault="005D3B08" w:rsidP="00131921">
            <w:pPr>
              <w:pStyle w:val="CETBodytext"/>
              <w:spacing w:before="40"/>
              <w:ind w:right="-6"/>
              <w:jc w:val="left"/>
              <w:rPr>
                <w:rFonts w:cs="Arial"/>
                <w:sz w:val="16"/>
                <w:szCs w:val="16"/>
                <w:lang w:val="en-GB"/>
              </w:rPr>
            </w:pPr>
            <w:r w:rsidRPr="00BA28F2">
              <w:rPr>
                <w:rFonts w:cs="Arial"/>
                <w:sz w:val="16"/>
                <w:szCs w:val="16"/>
                <w:lang w:val="en-GB"/>
              </w:rPr>
              <w:t>(11) Prompt and adequate external emergency response (fire-fighting)</w:t>
            </w:r>
          </w:p>
        </w:tc>
        <w:tc>
          <w:tcPr>
            <w:tcW w:w="1087" w:type="dxa"/>
            <w:tcBorders>
              <w:top w:val="single" w:sz="6" w:space="0" w:color="008000"/>
            </w:tcBorders>
            <w:shd w:val="clear" w:color="auto" w:fill="FFFFFF"/>
          </w:tcPr>
          <w:p w14:paraId="3D6F3624" w14:textId="77777777" w:rsidR="005D3B08" w:rsidRPr="00BA28F2" w:rsidRDefault="005D3B08" w:rsidP="00673F13">
            <w:pPr>
              <w:pStyle w:val="CETBodytext"/>
              <w:ind w:right="-1"/>
              <w:jc w:val="center"/>
              <w:rPr>
                <w:rFonts w:cs="Arial"/>
                <w:sz w:val="16"/>
                <w:szCs w:val="16"/>
                <w:lang w:val="en-GB"/>
              </w:rPr>
            </w:pPr>
            <w:r w:rsidRPr="00BA28F2">
              <w:rPr>
                <w:rFonts w:cs="Arial"/>
                <w:sz w:val="16"/>
                <w:szCs w:val="16"/>
                <w:lang w:val="en-GB"/>
              </w:rPr>
              <w:t>6.52</w:t>
            </w:r>
          </w:p>
          <w:p w14:paraId="6E7CC8D5" w14:textId="77777777" w:rsidR="005D3B08" w:rsidRPr="00BA28F2" w:rsidRDefault="005D3B08" w:rsidP="00673F13">
            <w:pPr>
              <w:pStyle w:val="CETBodytext"/>
              <w:ind w:right="-1"/>
              <w:jc w:val="center"/>
              <w:rPr>
                <w:rFonts w:cs="Arial"/>
                <w:sz w:val="16"/>
                <w:szCs w:val="16"/>
                <w:lang w:val="en-GB"/>
              </w:rPr>
            </w:pPr>
          </w:p>
          <w:p w14:paraId="443197B4" w14:textId="77777777" w:rsidR="005D3B08" w:rsidRPr="00BA28F2" w:rsidRDefault="005D3B08" w:rsidP="00673F13">
            <w:pPr>
              <w:pStyle w:val="CETBodytext"/>
              <w:ind w:right="-1"/>
              <w:jc w:val="center"/>
              <w:rPr>
                <w:rFonts w:cs="Arial"/>
                <w:sz w:val="16"/>
                <w:szCs w:val="16"/>
                <w:lang w:val="en-GB"/>
              </w:rPr>
            </w:pPr>
            <w:r w:rsidRPr="00BA28F2">
              <w:rPr>
                <w:rFonts w:cs="Arial"/>
                <w:sz w:val="16"/>
                <w:szCs w:val="16"/>
                <w:lang w:val="en-GB"/>
              </w:rPr>
              <w:t>6.45</w:t>
            </w:r>
          </w:p>
        </w:tc>
        <w:tc>
          <w:tcPr>
            <w:tcW w:w="1039" w:type="dxa"/>
            <w:gridSpan w:val="2"/>
            <w:tcBorders>
              <w:top w:val="single" w:sz="6" w:space="0" w:color="008000"/>
            </w:tcBorders>
            <w:shd w:val="clear" w:color="auto" w:fill="FFFFFF"/>
          </w:tcPr>
          <w:p w14:paraId="3D95A5D7" w14:textId="408B2EC4" w:rsidR="005D3B08" w:rsidRPr="00BA28F2" w:rsidRDefault="00C450B0" w:rsidP="0012277D">
            <w:pPr>
              <w:pStyle w:val="CETBodytext"/>
              <w:ind w:right="295"/>
              <w:jc w:val="right"/>
              <w:rPr>
                <w:rFonts w:cs="Arial"/>
                <w:sz w:val="16"/>
                <w:szCs w:val="16"/>
                <w:highlight w:val="yellow"/>
                <w:lang w:val="en-GB"/>
              </w:rPr>
            </w:pPr>
            <w:r w:rsidRPr="00BA28F2">
              <w:rPr>
                <w:rFonts w:cs="Arial"/>
                <w:sz w:val="16"/>
                <w:szCs w:val="16"/>
                <w:highlight w:val="yellow"/>
                <w:lang w:val="en-GB"/>
              </w:rPr>
              <w:t>2.87</w:t>
            </w:r>
          </w:p>
          <w:p w14:paraId="3107ED97" w14:textId="77777777" w:rsidR="005D3B08" w:rsidRPr="00BA28F2" w:rsidRDefault="005D3B08" w:rsidP="0012277D">
            <w:pPr>
              <w:pStyle w:val="CETBodytext"/>
              <w:ind w:right="295"/>
              <w:jc w:val="right"/>
              <w:rPr>
                <w:rFonts w:cs="Arial"/>
                <w:sz w:val="16"/>
                <w:szCs w:val="16"/>
                <w:highlight w:val="yellow"/>
                <w:lang w:val="en-GB"/>
              </w:rPr>
            </w:pPr>
          </w:p>
          <w:p w14:paraId="18329472" w14:textId="7BA886BA" w:rsidR="005D3B08" w:rsidRPr="00BA28F2" w:rsidRDefault="00C450B0" w:rsidP="0012277D">
            <w:pPr>
              <w:pStyle w:val="CETBodytext"/>
              <w:ind w:right="295"/>
              <w:jc w:val="right"/>
              <w:rPr>
                <w:rFonts w:cs="Arial"/>
                <w:sz w:val="16"/>
                <w:szCs w:val="16"/>
                <w:highlight w:val="yellow"/>
                <w:lang w:val="en-GB"/>
              </w:rPr>
            </w:pPr>
            <w:r w:rsidRPr="00BA28F2">
              <w:rPr>
                <w:rFonts w:cs="Arial"/>
                <w:sz w:val="16"/>
                <w:szCs w:val="16"/>
                <w:highlight w:val="yellow"/>
                <w:lang w:val="en-GB"/>
              </w:rPr>
              <w:t>1.15</w:t>
            </w:r>
          </w:p>
        </w:tc>
      </w:tr>
      <w:tr w:rsidR="005D3B08" w:rsidRPr="00BA28F2" w14:paraId="2CFAD15A" w14:textId="77777777" w:rsidTr="0012277D">
        <w:tc>
          <w:tcPr>
            <w:tcW w:w="1134" w:type="dxa"/>
            <w:tcBorders>
              <w:top w:val="single" w:sz="6" w:space="0" w:color="008000"/>
            </w:tcBorders>
            <w:shd w:val="clear" w:color="auto" w:fill="FFFFFF"/>
          </w:tcPr>
          <w:p w14:paraId="2723108A" w14:textId="77777777" w:rsidR="005D3B08" w:rsidRPr="00BA28F2" w:rsidRDefault="005D3B08" w:rsidP="00673F13">
            <w:pPr>
              <w:pStyle w:val="CETBodytext"/>
              <w:ind w:right="-1"/>
              <w:rPr>
                <w:rFonts w:cs="Arial"/>
                <w:sz w:val="16"/>
                <w:szCs w:val="16"/>
                <w:lang w:val="en-GB"/>
              </w:rPr>
            </w:pPr>
            <w:r w:rsidRPr="00BA28F2">
              <w:rPr>
                <w:rFonts w:cs="Arial"/>
                <w:sz w:val="16"/>
                <w:szCs w:val="16"/>
                <w:lang w:val="en-GB"/>
              </w:rPr>
              <w:t xml:space="preserve">Management &amp; risk policies </w:t>
            </w:r>
          </w:p>
        </w:tc>
        <w:tc>
          <w:tcPr>
            <w:tcW w:w="1862" w:type="dxa"/>
            <w:tcBorders>
              <w:top w:val="single" w:sz="6" w:space="0" w:color="008000"/>
            </w:tcBorders>
            <w:shd w:val="clear" w:color="auto" w:fill="FFFFFF"/>
          </w:tcPr>
          <w:p w14:paraId="073E501C" w14:textId="77777777" w:rsidR="005D3B08" w:rsidRPr="00BA28F2" w:rsidRDefault="005D3B08" w:rsidP="003D3967">
            <w:pPr>
              <w:pStyle w:val="CETBodytext"/>
              <w:ind w:right="62"/>
              <w:jc w:val="left"/>
              <w:rPr>
                <w:rFonts w:cs="Arial"/>
                <w:sz w:val="16"/>
                <w:szCs w:val="16"/>
                <w:lang w:val="en-GB"/>
              </w:rPr>
            </w:pPr>
            <w:r w:rsidRPr="00BA28F2">
              <w:rPr>
                <w:rFonts w:cs="Arial"/>
                <w:sz w:val="16"/>
                <w:szCs w:val="16"/>
                <w:lang w:val="en-GB"/>
              </w:rPr>
              <w:t xml:space="preserve"> Risk management</w:t>
            </w:r>
          </w:p>
          <w:p w14:paraId="7C93EAB4" w14:textId="77777777" w:rsidR="005D3B08" w:rsidRPr="00BA28F2" w:rsidRDefault="005D3B08">
            <w:pPr>
              <w:pStyle w:val="CETBodytext"/>
              <w:ind w:right="62"/>
              <w:jc w:val="left"/>
              <w:rPr>
                <w:rFonts w:cs="Arial"/>
                <w:sz w:val="16"/>
                <w:szCs w:val="16"/>
                <w:lang w:val="en-GB"/>
              </w:rPr>
            </w:pPr>
          </w:p>
        </w:tc>
        <w:tc>
          <w:tcPr>
            <w:tcW w:w="3667" w:type="dxa"/>
            <w:tcBorders>
              <w:top w:val="single" w:sz="6" w:space="0" w:color="008000"/>
            </w:tcBorders>
            <w:shd w:val="clear" w:color="auto" w:fill="FFFFFF"/>
          </w:tcPr>
          <w:p w14:paraId="51A005DB" w14:textId="77777777" w:rsidR="005D3B08" w:rsidRPr="00BA28F2" w:rsidRDefault="005D3B08" w:rsidP="00131921">
            <w:pPr>
              <w:pStyle w:val="CETBodytext"/>
              <w:spacing w:before="40"/>
              <w:ind w:right="-4"/>
              <w:jc w:val="left"/>
              <w:rPr>
                <w:rFonts w:cs="Arial"/>
                <w:sz w:val="16"/>
                <w:szCs w:val="16"/>
                <w:lang w:val="en-GB"/>
              </w:rPr>
            </w:pPr>
            <w:r w:rsidRPr="00BA28F2">
              <w:rPr>
                <w:rFonts w:cs="Arial"/>
                <w:sz w:val="16"/>
                <w:szCs w:val="16"/>
                <w:lang w:val="en-GB"/>
              </w:rPr>
              <w:t>(17) Risk management policy focused on the safety of the facility</w:t>
            </w:r>
          </w:p>
        </w:tc>
        <w:tc>
          <w:tcPr>
            <w:tcW w:w="1087" w:type="dxa"/>
            <w:tcBorders>
              <w:top w:val="single" w:sz="6" w:space="0" w:color="008000"/>
            </w:tcBorders>
            <w:shd w:val="clear" w:color="auto" w:fill="FFFFFF"/>
          </w:tcPr>
          <w:p w14:paraId="030D962D" w14:textId="77777777" w:rsidR="005D3B08" w:rsidRPr="00BA28F2" w:rsidRDefault="005D3B08" w:rsidP="00673F13">
            <w:pPr>
              <w:pStyle w:val="CETBodytext"/>
              <w:spacing w:before="40"/>
              <w:jc w:val="center"/>
              <w:rPr>
                <w:rFonts w:cs="Arial"/>
                <w:sz w:val="16"/>
                <w:szCs w:val="16"/>
                <w:lang w:val="en-GB"/>
              </w:rPr>
            </w:pPr>
            <w:r w:rsidRPr="00BA28F2">
              <w:rPr>
                <w:rFonts w:cs="Arial"/>
                <w:sz w:val="16"/>
                <w:szCs w:val="16"/>
                <w:lang w:val="en-GB"/>
              </w:rPr>
              <w:t>6.17</w:t>
            </w:r>
          </w:p>
        </w:tc>
        <w:tc>
          <w:tcPr>
            <w:tcW w:w="1039" w:type="dxa"/>
            <w:gridSpan w:val="2"/>
            <w:tcBorders>
              <w:top w:val="single" w:sz="6" w:space="0" w:color="008000"/>
            </w:tcBorders>
            <w:shd w:val="clear" w:color="auto" w:fill="FFFFFF"/>
          </w:tcPr>
          <w:p w14:paraId="3B46FA3D" w14:textId="081482D2" w:rsidR="005D3B08" w:rsidRPr="00BA28F2" w:rsidRDefault="00C450B0" w:rsidP="0012277D">
            <w:pPr>
              <w:pStyle w:val="CETBodytext"/>
              <w:spacing w:before="40"/>
              <w:ind w:right="295"/>
              <w:jc w:val="right"/>
              <w:rPr>
                <w:rFonts w:cs="Arial"/>
                <w:sz w:val="16"/>
                <w:szCs w:val="16"/>
                <w:highlight w:val="yellow"/>
                <w:lang w:val="en-GB"/>
              </w:rPr>
            </w:pPr>
            <w:r w:rsidRPr="00BA28F2">
              <w:rPr>
                <w:rFonts w:cs="Arial"/>
                <w:sz w:val="16"/>
                <w:szCs w:val="16"/>
                <w:highlight w:val="yellow"/>
                <w:lang w:val="en-GB"/>
              </w:rPr>
              <w:t>4.60</w:t>
            </w:r>
          </w:p>
        </w:tc>
      </w:tr>
      <w:tr w:rsidR="005D3B08" w:rsidRPr="00BA28F2" w14:paraId="0DBB0353" w14:textId="77777777" w:rsidTr="0012277D">
        <w:tc>
          <w:tcPr>
            <w:tcW w:w="1134" w:type="dxa"/>
            <w:tcBorders>
              <w:top w:val="single" w:sz="6" w:space="0" w:color="008000"/>
            </w:tcBorders>
            <w:shd w:val="clear" w:color="auto" w:fill="FFFFFF"/>
          </w:tcPr>
          <w:p w14:paraId="2D3E3659" w14:textId="77777777" w:rsidR="005D3B08" w:rsidRPr="00BA28F2" w:rsidRDefault="005D3B08" w:rsidP="00673F13">
            <w:pPr>
              <w:pStyle w:val="CETBodytext"/>
              <w:ind w:right="131"/>
              <w:jc w:val="left"/>
              <w:rPr>
                <w:rFonts w:cs="Arial"/>
                <w:sz w:val="16"/>
                <w:szCs w:val="16"/>
                <w:lang w:val="en-GB"/>
              </w:rPr>
            </w:pPr>
          </w:p>
          <w:p w14:paraId="46B7C734" w14:textId="77777777" w:rsidR="005D3B08" w:rsidRPr="00BA28F2" w:rsidRDefault="005D3B08" w:rsidP="00673F13">
            <w:pPr>
              <w:pStyle w:val="CETBodytext"/>
              <w:ind w:right="131"/>
              <w:jc w:val="left"/>
              <w:rPr>
                <w:rFonts w:cs="Arial"/>
                <w:sz w:val="16"/>
                <w:szCs w:val="16"/>
                <w:lang w:val="en-GB"/>
              </w:rPr>
            </w:pPr>
            <w:r w:rsidRPr="00BA28F2">
              <w:rPr>
                <w:rFonts w:cs="Arial"/>
                <w:sz w:val="16"/>
                <w:szCs w:val="16"/>
                <w:lang w:val="en-GB"/>
              </w:rPr>
              <w:t>Concepts &amp; requirement design</w:t>
            </w:r>
          </w:p>
        </w:tc>
        <w:tc>
          <w:tcPr>
            <w:tcW w:w="1862" w:type="dxa"/>
            <w:tcBorders>
              <w:top w:val="single" w:sz="6" w:space="0" w:color="008000"/>
            </w:tcBorders>
            <w:shd w:val="clear" w:color="auto" w:fill="FFFFFF"/>
          </w:tcPr>
          <w:p w14:paraId="1361EBB0" w14:textId="77777777" w:rsidR="005D3B08" w:rsidRPr="00BA28F2" w:rsidRDefault="005D3B08" w:rsidP="003D3967">
            <w:pPr>
              <w:pStyle w:val="CETBodytext"/>
              <w:ind w:right="62"/>
              <w:jc w:val="left"/>
              <w:rPr>
                <w:rFonts w:cs="Arial"/>
                <w:sz w:val="16"/>
                <w:szCs w:val="16"/>
                <w:lang w:val="en-GB"/>
              </w:rPr>
            </w:pPr>
            <w:r w:rsidRPr="00BA28F2">
              <w:rPr>
                <w:rFonts w:cs="Arial"/>
                <w:sz w:val="16"/>
                <w:szCs w:val="16"/>
                <w:lang w:val="en-GB"/>
              </w:rPr>
              <w:t>Goals and tolerable risks</w:t>
            </w:r>
          </w:p>
          <w:p w14:paraId="2E9B7197" w14:textId="77777777" w:rsidR="005D3B08" w:rsidRPr="00BA28F2" w:rsidRDefault="005D3B08">
            <w:pPr>
              <w:pStyle w:val="CETBodytext"/>
              <w:ind w:right="62"/>
              <w:jc w:val="left"/>
              <w:rPr>
                <w:rFonts w:cs="Arial"/>
                <w:sz w:val="16"/>
                <w:szCs w:val="16"/>
                <w:lang w:val="en-GB"/>
              </w:rPr>
            </w:pPr>
          </w:p>
          <w:p w14:paraId="1C617F9B" w14:textId="77777777" w:rsidR="005D3B08" w:rsidRPr="00BA28F2" w:rsidRDefault="005D3B08">
            <w:pPr>
              <w:pStyle w:val="CETBodytext"/>
              <w:ind w:right="62"/>
              <w:jc w:val="left"/>
              <w:rPr>
                <w:rFonts w:cs="Arial"/>
                <w:sz w:val="16"/>
                <w:szCs w:val="16"/>
                <w:lang w:val="en-GB"/>
              </w:rPr>
            </w:pPr>
            <w:r w:rsidRPr="00BA28F2">
              <w:rPr>
                <w:rFonts w:cs="Arial"/>
                <w:sz w:val="16"/>
                <w:szCs w:val="16"/>
                <w:lang w:val="en-GB"/>
              </w:rPr>
              <w:t>Specification of requirements</w:t>
            </w:r>
          </w:p>
        </w:tc>
        <w:tc>
          <w:tcPr>
            <w:tcW w:w="3667" w:type="dxa"/>
            <w:tcBorders>
              <w:top w:val="single" w:sz="6" w:space="0" w:color="008000"/>
            </w:tcBorders>
            <w:shd w:val="clear" w:color="auto" w:fill="FFFFFF"/>
          </w:tcPr>
          <w:p w14:paraId="6369174D" w14:textId="77777777" w:rsidR="005D3B08" w:rsidRPr="00BA28F2" w:rsidRDefault="005D3B08" w:rsidP="00131921">
            <w:pPr>
              <w:pStyle w:val="CETBodytext"/>
              <w:ind w:right="-6"/>
              <w:jc w:val="left"/>
              <w:rPr>
                <w:rFonts w:cs="Arial"/>
                <w:sz w:val="16"/>
                <w:szCs w:val="16"/>
                <w:lang w:val="en-GB"/>
              </w:rPr>
            </w:pPr>
            <w:r w:rsidRPr="00BA28F2">
              <w:rPr>
                <w:rFonts w:cs="Arial"/>
                <w:sz w:val="16"/>
                <w:szCs w:val="16"/>
                <w:lang w:val="en-GB"/>
              </w:rPr>
              <w:t>(2) Goals and tolerable risks defined in the process of designing</w:t>
            </w:r>
          </w:p>
          <w:p w14:paraId="51AFD570" w14:textId="77777777" w:rsidR="005D3B08" w:rsidRPr="00BA28F2" w:rsidRDefault="005D3B08" w:rsidP="00131921">
            <w:pPr>
              <w:pStyle w:val="CETBodytext"/>
              <w:spacing w:before="40"/>
              <w:ind w:right="-4"/>
              <w:jc w:val="left"/>
              <w:rPr>
                <w:rFonts w:cs="Arial"/>
                <w:sz w:val="16"/>
                <w:szCs w:val="16"/>
                <w:lang w:val="en-GB"/>
              </w:rPr>
            </w:pPr>
            <w:r w:rsidRPr="00BA28F2">
              <w:rPr>
                <w:rFonts w:cs="Arial"/>
                <w:sz w:val="16"/>
                <w:szCs w:val="16"/>
                <w:lang w:val="en-GB"/>
              </w:rPr>
              <w:t>(1) Compliance with specifications and standards (as statutory codes and regulations, local codes or bylaws)</w:t>
            </w:r>
          </w:p>
        </w:tc>
        <w:tc>
          <w:tcPr>
            <w:tcW w:w="1087" w:type="dxa"/>
            <w:tcBorders>
              <w:top w:val="single" w:sz="6" w:space="0" w:color="008000"/>
            </w:tcBorders>
            <w:shd w:val="clear" w:color="auto" w:fill="FFFFFF"/>
          </w:tcPr>
          <w:p w14:paraId="619C1C2D" w14:textId="77777777" w:rsidR="005D3B08" w:rsidRPr="00BA28F2" w:rsidRDefault="005D3B08" w:rsidP="00673F13">
            <w:pPr>
              <w:pStyle w:val="CETBodytext"/>
              <w:spacing w:before="40"/>
              <w:jc w:val="center"/>
              <w:rPr>
                <w:rFonts w:cs="Arial"/>
                <w:sz w:val="16"/>
                <w:szCs w:val="16"/>
                <w:lang w:val="en-GB"/>
              </w:rPr>
            </w:pPr>
            <w:r w:rsidRPr="00BA28F2">
              <w:rPr>
                <w:rFonts w:cs="Arial"/>
                <w:sz w:val="16"/>
                <w:szCs w:val="16"/>
                <w:lang w:val="en-GB"/>
              </w:rPr>
              <w:t>6.07</w:t>
            </w:r>
          </w:p>
          <w:p w14:paraId="3CF1D92B" w14:textId="77777777" w:rsidR="005D3B08" w:rsidRPr="00BA28F2" w:rsidRDefault="005D3B08" w:rsidP="00673F13">
            <w:pPr>
              <w:pStyle w:val="CETBodytext"/>
              <w:ind w:right="-1"/>
              <w:jc w:val="center"/>
              <w:rPr>
                <w:rFonts w:cs="Arial"/>
                <w:sz w:val="16"/>
                <w:szCs w:val="16"/>
                <w:lang w:val="en-GB"/>
              </w:rPr>
            </w:pPr>
          </w:p>
          <w:p w14:paraId="252512E6" w14:textId="77777777" w:rsidR="005D3B08" w:rsidRPr="00BA28F2" w:rsidRDefault="005D3B08" w:rsidP="00673F13">
            <w:pPr>
              <w:pStyle w:val="CETBodytext"/>
              <w:ind w:right="-1"/>
              <w:jc w:val="center"/>
              <w:rPr>
                <w:rFonts w:cs="Arial"/>
                <w:sz w:val="16"/>
                <w:szCs w:val="16"/>
                <w:lang w:val="en-GB"/>
              </w:rPr>
            </w:pPr>
            <w:r w:rsidRPr="00BA28F2">
              <w:rPr>
                <w:rFonts w:cs="Arial"/>
                <w:sz w:val="16"/>
                <w:szCs w:val="16"/>
                <w:lang w:val="en-GB"/>
              </w:rPr>
              <w:t>6.59</w:t>
            </w:r>
          </w:p>
        </w:tc>
        <w:tc>
          <w:tcPr>
            <w:tcW w:w="1039" w:type="dxa"/>
            <w:gridSpan w:val="2"/>
            <w:tcBorders>
              <w:top w:val="single" w:sz="6" w:space="0" w:color="008000"/>
            </w:tcBorders>
            <w:shd w:val="clear" w:color="auto" w:fill="FFFFFF"/>
          </w:tcPr>
          <w:p w14:paraId="1A52D7F3" w14:textId="00199F7F" w:rsidR="005D3B08" w:rsidRPr="00BA28F2" w:rsidRDefault="00C450B0" w:rsidP="0012277D">
            <w:pPr>
              <w:pStyle w:val="CETBodytext"/>
              <w:spacing w:before="40"/>
              <w:ind w:right="295"/>
              <w:jc w:val="right"/>
              <w:rPr>
                <w:rFonts w:cs="Arial"/>
                <w:sz w:val="16"/>
                <w:szCs w:val="16"/>
                <w:highlight w:val="yellow"/>
                <w:lang w:val="en-GB"/>
              </w:rPr>
            </w:pPr>
            <w:r w:rsidRPr="00BA28F2">
              <w:rPr>
                <w:rFonts w:cs="Arial"/>
                <w:sz w:val="16"/>
                <w:szCs w:val="16"/>
                <w:highlight w:val="yellow"/>
                <w:lang w:val="en-GB"/>
              </w:rPr>
              <w:t>4.02</w:t>
            </w:r>
          </w:p>
          <w:p w14:paraId="7733494F" w14:textId="77777777" w:rsidR="005D3B08" w:rsidRPr="00BA28F2" w:rsidRDefault="005D3B08" w:rsidP="0012277D">
            <w:pPr>
              <w:pStyle w:val="CETBodytext"/>
              <w:ind w:right="295"/>
              <w:jc w:val="right"/>
              <w:rPr>
                <w:rFonts w:cs="Arial"/>
                <w:sz w:val="16"/>
                <w:szCs w:val="16"/>
                <w:highlight w:val="yellow"/>
                <w:lang w:val="en-GB"/>
              </w:rPr>
            </w:pPr>
          </w:p>
          <w:p w14:paraId="05905935" w14:textId="488F99FF" w:rsidR="005D3B08" w:rsidRPr="00BA28F2" w:rsidRDefault="00C450B0" w:rsidP="0012277D">
            <w:pPr>
              <w:pStyle w:val="CETBodytext"/>
              <w:ind w:right="295"/>
              <w:jc w:val="right"/>
              <w:rPr>
                <w:rFonts w:cs="Arial"/>
                <w:sz w:val="16"/>
                <w:szCs w:val="16"/>
                <w:highlight w:val="yellow"/>
                <w:lang w:val="en-GB"/>
              </w:rPr>
            </w:pPr>
            <w:r w:rsidRPr="00BA28F2">
              <w:rPr>
                <w:rFonts w:cs="Arial"/>
                <w:sz w:val="16"/>
                <w:szCs w:val="16"/>
                <w:highlight w:val="yellow"/>
                <w:lang w:val="en-GB"/>
              </w:rPr>
              <w:t>1.72</w:t>
            </w:r>
          </w:p>
        </w:tc>
      </w:tr>
      <w:tr w:rsidR="005D3B08" w:rsidRPr="00BA28F2" w14:paraId="603B8C5F" w14:textId="77777777" w:rsidTr="0012277D">
        <w:tc>
          <w:tcPr>
            <w:tcW w:w="1134" w:type="dxa"/>
            <w:tcBorders>
              <w:top w:val="single" w:sz="6" w:space="0" w:color="008000"/>
              <w:bottom w:val="single" w:sz="6" w:space="0" w:color="008000"/>
            </w:tcBorders>
            <w:shd w:val="clear" w:color="auto" w:fill="FFFFFF"/>
          </w:tcPr>
          <w:p w14:paraId="5A7B3C0D" w14:textId="77777777" w:rsidR="005D3B08" w:rsidRPr="00BA28F2" w:rsidRDefault="005D3B08" w:rsidP="00673F13">
            <w:pPr>
              <w:pStyle w:val="CETBodytext"/>
              <w:ind w:right="-1"/>
              <w:jc w:val="left"/>
              <w:rPr>
                <w:rFonts w:cs="Arial"/>
                <w:sz w:val="16"/>
                <w:szCs w:val="16"/>
                <w:lang w:val="en-GB"/>
              </w:rPr>
            </w:pPr>
          </w:p>
          <w:p w14:paraId="44BBA1B4" w14:textId="77777777" w:rsidR="005D3B08" w:rsidRPr="00BA28F2" w:rsidRDefault="005D3B08" w:rsidP="00673F13">
            <w:pPr>
              <w:pStyle w:val="CETBodytext"/>
              <w:ind w:right="-1"/>
              <w:jc w:val="left"/>
              <w:rPr>
                <w:rFonts w:cs="Arial"/>
                <w:sz w:val="16"/>
                <w:szCs w:val="16"/>
                <w:lang w:val="en-GB"/>
              </w:rPr>
            </w:pPr>
          </w:p>
          <w:p w14:paraId="6D374E34" w14:textId="77777777" w:rsidR="005D3B08" w:rsidRPr="00BA28F2" w:rsidRDefault="005D3B08" w:rsidP="00673F13">
            <w:pPr>
              <w:pStyle w:val="CETBodytext"/>
              <w:ind w:right="-1"/>
              <w:jc w:val="left"/>
              <w:rPr>
                <w:rFonts w:cs="Arial"/>
                <w:sz w:val="16"/>
                <w:szCs w:val="16"/>
                <w:lang w:val="en-GB"/>
              </w:rPr>
            </w:pPr>
          </w:p>
          <w:p w14:paraId="7DC01C98" w14:textId="77777777" w:rsidR="005D3B08" w:rsidRPr="00BA28F2" w:rsidRDefault="005D3B08" w:rsidP="00673F13">
            <w:pPr>
              <w:pStyle w:val="CETBodytext"/>
              <w:ind w:right="-1"/>
              <w:jc w:val="left"/>
              <w:rPr>
                <w:rFonts w:cs="Arial"/>
                <w:sz w:val="16"/>
                <w:szCs w:val="16"/>
                <w:lang w:val="en-GB"/>
              </w:rPr>
            </w:pPr>
          </w:p>
          <w:p w14:paraId="4E15EF39" w14:textId="77777777" w:rsidR="005D3B08" w:rsidRPr="00BA28F2" w:rsidRDefault="005D3B08" w:rsidP="00673F13">
            <w:pPr>
              <w:pStyle w:val="CETBodytext"/>
              <w:ind w:right="-1"/>
              <w:jc w:val="left"/>
              <w:rPr>
                <w:rFonts w:cs="Arial"/>
                <w:sz w:val="16"/>
                <w:szCs w:val="16"/>
                <w:lang w:val="en-GB"/>
              </w:rPr>
            </w:pPr>
          </w:p>
          <w:p w14:paraId="3A874F39" w14:textId="77777777" w:rsidR="005D3B08" w:rsidRPr="00BA28F2" w:rsidRDefault="005D3B08" w:rsidP="00673F13">
            <w:pPr>
              <w:pStyle w:val="CETBodytext"/>
              <w:ind w:right="-1"/>
              <w:jc w:val="left"/>
              <w:rPr>
                <w:rFonts w:cs="Arial"/>
                <w:sz w:val="16"/>
                <w:szCs w:val="16"/>
                <w:lang w:val="en-GB"/>
              </w:rPr>
            </w:pPr>
            <w:r w:rsidRPr="00BA28F2">
              <w:rPr>
                <w:rFonts w:cs="Arial"/>
                <w:sz w:val="16"/>
                <w:szCs w:val="16"/>
                <w:lang w:val="en-GB"/>
              </w:rPr>
              <w:t>Design &amp; development</w:t>
            </w:r>
          </w:p>
        </w:tc>
        <w:tc>
          <w:tcPr>
            <w:tcW w:w="1862" w:type="dxa"/>
            <w:tcBorders>
              <w:top w:val="single" w:sz="6" w:space="0" w:color="008000"/>
              <w:bottom w:val="single" w:sz="6" w:space="0" w:color="008000"/>
            </w:tcBorders>
            <w:shd w:val="clear" w:color="auto" w:fill="FFFFFF"/>
          </w:tcPr>
          <w:p w14:paraId="73F71EA9" w14:textId="77777777" w:rsidR="005D3B08" w:rsidRPr="00BA28F2" w:rsidRDefault="005D3B08" w:rsidP="0012277D">
            <w:pPr>
              <w:pStyle w:val="CETBodytext"/>
              <w:spacing w:before="40"/>
              <w:ind w:right="62"/>
              <w:jc w:val="left"/>
              <w:rPr>
                <w:rFonts w:cs="Arial"/>
                <w:sz w:val="16"/>
                <w:szCs w:val="16"/>
                <w:lang w:val="en-GB"/>
              </w:rPr>
            </w:pPr>
            <w:r w:rsidRPr="00BA28F2">
              <w:rPr>
                <w:rFonts w:cs="Arial"/>
                <w:sz w:val="16"/>
                <w:szCs w:val="16"/>
                <w:lang w:val="en-GB"/>
              </w:rPr>
              <w:t>Environment</w:t>
            </w:r>
          </w:p>
          <w:p w14:paraId="6A603B3E" w14:textId="77777777" w:rsidR="005D3B08" w:rsidRPr="00BA28F2" w:rsidRDefault="005D3B08" w:rsidP="0012277D">
            <w:pPr>
              <w:pStyle w:val="CETBodytext"/>
              <w:spacing w:after="120"/>
              <w:ind w:right="62"/>
              <w:jc w:val="left"/>
              <w:rPr>
                <w:rFonts w:cs="Arial"/>
                <w:sz w:val="16"/>
                <w:szCs w:val="16"/>
                <w:lang w:val="en-GB"/>
              </w:rPr>
            </w:pPr>
          </w:p>
          <w:p w14:paraId="08CDB17D" w14:textId="77777777" w:rsidR="005D3B08" w:rsidRPr="00BA28F2" w:rsidRDefault="005D3B08" w:rsidP="0012277D">
            <w:pPr>
              <w:pStyle w:val="CETBodytext"/>
              <w:spacing w:after="120"/>
              <w:ind w:right="62"/>
              <w:jc w:val="left"/>
              <w:rPr>
                <w:rFonts w:cs="Arial"/>
                <w:sz w:val="16"/>
                <w:szCs w:val="16"/>
                <w:lang w:val="en-GB"/>
              </w:rPr>
            </w:pPr>
          </w:p>
          <w:p w14:paraId="561EB478" w14:textId="77777777" w:rsidR="005D3B08" w:rsidRPr="00BA28F2" w:rsidRDefault="005D3B08" w:rsidP="003D3967">
            <w:pPr>
              <w:pStyle w:val="CETBodytext"/>
              <w:ind w:right="62"/>
              <w:jc w:val="left"/>
              <w:rPr>
                <w:rFonts w:cs="Arial"/>
                <w:sz w:val="16"/>
                <w:szCs w:val="16"/>
                <w:lang w:val="en-GB"/>
              </w:rPr>
            </w:pPr>
            <w:r w:rsidRPr="00BA28F2">
              <w:rPr>
                <w:rFonts w:cs="Arial"/>
                <w:sz w:val="16"/>
                <w:szCs w:val="16"/>
                <w:lang w:val="en-GB"/>
              </w:rPr>
              <w:t>Maintenance &amp; Inspection Plan</w:t>
            </w:r>
          </w:p>
          <w:p w14:paraId="72FE31F0" w14:textId="77777777" w:rsidR="005D3B08" w:rsidRPr="00BA28F2" w:rsidRDefault="005D3B08">
            <w:pPr>
              <w:pStyle w:val="CETBodytext"/>
              <w:spacing w:before="120" w:after="120"/>
              <w:ind w:right="62"/>
              <w:jc w:val="left"/>
              <w:rPr>
                <w:rFonts w:cs="Arial"/>
                <w:sz w:val="16"/>
                <w:szCs w:val="16"/>
                <w:lang w:val="en-GB"/>
              </w:rPr>
            </w:pPr>
            <w:r w:rsidRPr="00BA28F2">
              <w:rPr>
                <w:rFonts w:cs="Arial"/>
                <w:sz w:val="16"/>
                <w:szCs w:val="16"/>
                <w:lang w:val="en-GB"/>
              </w:rPr>
              <w:t>Automatic control</w:t>
            </w:r>
          </w:p>
          <w:p w14:paraId="1CCEB5EE" w14:textId="77777777" w:rsidR="005D3B08" w:rsidRPr="00BA28F2" w:rsidRDefault="005D3B08">
            <w:pPr>
              <w:pStyle w:val="CETBodytext"/>
              <w:ind w:right="62"/>
              <w:jc w:val="left"/>
              <w:rPr>
                <w:rFonts w:cs="Arial"/>
                <w:sz w:val="16"/>
                <w:szCs w:val="16"/>
                <w:lang w:val="en-GB"/>
              </w:rPr>
            </w:pPr>
            <w:r w:rsidRPr="00BA28F2">
              <w:rPr>
                <w:rFonts w:cs="Arial"/>
                <w:sz w:val="16"/>
                <w:szCs w:val="16"/>
                <w:lang w:val="en-GB"/>
              </w:rPr>
              <w:t>Specification of operation</w:t>
            </w:r>
          </w:p>
          <w:p w14:paraId="41263B1C" w14:textId="77777777" w:rsidR="005D3B08" w:rsidRPr="00BA28F2" w:rsidRDefault="005D3B08">
            <w:pPr>
              <w:pStyle w:val="CETBodytext"/>
              <w:spacing w:before="120"/>
              <w:ind w:right="306"/>
              <w:jc w:val="left"/>
              <w:rPr>
                <w:rFonts w:cs="Arial"/>
                <w:sz w:val="16"/>
                <w:szCs w:val="16"/>
                <w:lang w:val="en-GB"/>
              </w:rPr>
            </w:pPr>
            <w:r w:rsidRPr="00BA28F2">
              <w:rPr>
                <w:rFonts w:cs="Arial"/>
                <w:sz w:val="16"/>
                <w:szCs w:val="16"/>
                <w:lang w:val="en-GB"/>
              </w:rPr>
              <w:t>Design control change</w:t>
            </w:r>
          </w:p>
        </w:tc>
        <w:tc>
          <w:tcPr>
            <w:tcW w:w="3667" w:type="dxa"/>
            <w:tcBorders>
              <w:top w:val="single" w:sz="6" w:space="0" w:color="008000"/>
              <w:bottom w:val="single" w:sz="6" w:space="0" w:color="008000"/>
            </w:tcBorders>
            <w:shd w:val="clear" w:color="auto" w:fill="FFFFFF"/>
          </w:tcPr>
          <w:p w14:paraId="72B67E3B" w14:textId="77777777" w:rsidR="005D3B08" w:rsidRPr="00BA28F2" w:rsidRDefault="005D3B08" w:rsidP="00131921">
            <w:pPr>
              <w:pStyle w:val="CETBodytext"/>
              <w:ind w:right="-6"/>
              <w:jc w:val="left"/>
              <w:rPr>
                <w:rFonts w:cs="Arial"/>
                <w:sz w:val="16"/>
                <w:szCs w:val="16"/>
                <w:lang w:val="en-GB"/>
              </w:rPr>
            </w:pPr>
            <w:r w:rsidRPr="00BA28F2">
              <w:rPr>
                <w:rFonts w:cs="Arial"/>
                <w:sz w:val="16"/>
                <w:szCs w:val="16"/>
                <w:lang w:val="en-GB"/>
              </w:rPr>
              <w:t>(3) Environmental conditions affecting pieces, equipment or systems are minimized in the design (e.g., temperature, vibration, weight, or other physical conditions)</w:t>
            </w:r>
          </w:p>
          <w:p w14:paraId="5E158E33" w14:textId="77777777" w:rsidR="005D3B08" w:rsidRPr="00BA28F2" w:rsidRDefault="005D3B08" w:rsidP="00131921">
            <w:pPr>
              <w:pStyle w:val="CETBodytext"/>
              <w:spacing w:before="40"/>
              <w:ind w:right="-6"/>
              <w:jc w:val="left"/>
              <w:rPr>
                <w:rFonts w:cs="Arial"/>
                <w:sz w:val="16"/>
                <w:szCs w:val="16"/>
                <w:lang w:val="en-GB"/>
              </w:rPr>
            </w:pPr>
            <w:r w:rsidRPr="00BA28F2">
              <w:rPr>
                <w:rFonts w:cs="Arial"/>
                <w:sz w:val="16"/>
                <w:szCs w:val="16"/>
                <w:lang w:val="en-GB"/>
              </w:rPr>
              <w:t>(6) The design establishes the basis for an appropriate maintenance and inspection plan</w:t>
            </w:r>
          </w:p>
          <w:p w14:paraId="7BFD2299" w14:textId="77777777" w:rsidR="005D3B08" w:rsidRPr="00BA28F2" w:rsidRDefault="005D3B08" w:rsidP="00131921">
            <w:pPr>
              <w:pStyle w:val="CETBodytext"/>
              <w:spacing w:before="40"/>
              <w:ind w:right="-6"/>
              <w:jc w:val="left"/>
              <w:rPr>
                <w:rFonts w:cs="Arial"/>
                <w:sz w:val="16"/>
                <w:szCs w:val="16"/>
                <w:lang w:val="en-GB"/>
              </w:rPr>
            </w:pPr>
            <w:r w:rsidRPr="00BA28F2">
              <w:rPr>
                <w:rFonts w:cs="Arial"/>
                <w:sz w:val="16"/>
                <w:szCs w:val="16"/>
                <w:lang w:val="en-GB"/>
              </w:rPr>
              <w:t>(4) Automatic control built into the design to ensure constant power flow operation</w:t>
            </w:r>
          </w:p>
          <w:p w14:paraId="39255340" w14:textId="77777777" w:rsidR="005D3B08" w:rsidRPr="00BA28F2" w:rsidRDefault="005D3B08" w:rsidP="00131921">
            <w:pPr>
              <w:pStyle w:val="CETBodytext"/>
              <w:spacing w:before="40"/>
              <w:ind w:right="-6"/>
              <w:jc w:val="left"/>
              <w:rPr>
                <w:rFonts w:cs="Arial"/>
                <w:sz w:val="16"/>
                <w:szCs w:val="16"/>
                <w:lang w:val="en-GB"/>
              </w:rPr>
            </w:pPr>
            <w:r w:rsidRPr="00BA28F2">
              <w:rPr>
                <w:rFonts w:cs="Arial"/>
                <w:sz w:val="16"/>
                <w:szCs w:val="16"/>
                <w:lang w:val="en-GB"/>
              </w:rPr>
              <w:t>(8) Operational specifications for all phases of the installation</w:t>
            </w:r>
          </w:p>
          <w:p w14:paraId="67F787E7" w14:textId="77777777" w:rsidR="005D3B08" w:rsidRPr="00BA28F2" w:rsidRDefault="005D3B08" w:rsidP="00131921">
            <w:pPr>
              <w:pStyle w:val="CETBodytext"/>
              <w:spacing w:before="40"/>
              <w:ind w:right="-6"/>
              <w:jc w:val="left"/>
              <w:rPr>
                <w:rFonts w:cs="Arial"/>
                <w:sz w:val="16"/>
                <w:szCs w:val="16"/>
                <w:lang w:val="en-GB"/>
              </w:rPr>
            </w:pPr>
            <w:r w:rsidRPr="00BA28F2">
              <w:rPr>
                <w:rFonts w:cs="Arial"/>
                <w:sz w:val="16"/>
                <w:szCs w:val="16"/>
                <w:lang w:val="en-GB"/>
              </w:rPr>
              <w:t>(5) Adequacy of procedures for accepting and controlling design changes.</w:t>
            </w:r>
          </w:p>
        </w:tc>
        <w:tc>
          <w:tcPr>
            <w:tcW w:w="1134" w:type="dxa"/>
            <w:gridSpan w:val="2"/>
            <w:tcBorders>
              <w:top w:val="single" w:sz="6" w:space="0" w:color="008000"/>
              <w:bottom w:val="single" w:sz="6" w:space="0" w:color="008000"/>
            </w:tcBorders>
            <w:shd w:val="clear" w:color="auto" w:fill="FFFFFF"/>
          </w:tcPr>
          <w:p w14:paraId="1E2597F7" w14:textId="77777777" w:rsidR="005D3B08" w:rsidRPr="00BA28F2" w:rsidRDefault="005D3B08" w:rsidP="00673F13">
            <w:pPr>
              <w:pStyle w:val="CETBodytext"/>
              <w:ind w:right="-1"/>
              <w:jc w:val="center"/>
              <w:rPr>
                <w:rFonts w:cs="Arial"/>
                <w:sz w:val="16"/>
                <w:szCs w:val="16"/>
                <w:lang w:val="en-GB"/>
              </w:rPr>
            </w:pPr>
            <w:r w:rsidRPr="00BA28F2">
              <w:rPr>
                <w:rFonts w:cs="Arial"/>
                <w:sz w:val="16"/>
                <w:szCs w:val="16"/>
                <w:lang w:val="en-GB"/>
              </w:rPr>
              <w:t>5.48</w:t>
            </w:r>
          </w:p>
          <w:p w14:paraId="2343998D" w14:textId="77777777" w:rsidR="005D3B08" w:rsidRPr="00BA28F2" w:rsidRDefault="005D3B08" w:rsidP="00673F13">
            <w:pPr>
              <w:pStyle w:val="CETBodytext"/>
              <w:ind w:right="-1"/>
              <w:jc w:val="center"/>
              <w:rPr>
                <w:rFonts w:cs="Arial"/>
                <w:sz w:val="16"/>
                <w:szCs w:val="16"/>
                <w:lang w:val="en-GB"/>
              </w:rPr>
            </w:pPr>
          </w:p>
          <w:p w14:paraId="73668040" w14:textId="77777777" w:rsidR="005D3B08" w:rsidRPr="00BA28F2" w:rsidRDefault="005D3B08" w:rsidP="00673F13">
            <w:pPr>
              <w:pStyle w:val="CETBodytext"/>
              <w:ind w:right="-1"/>
              <w:jc w:val="center"/>
              <w:rPr>
                <w:rFonts w:cs="Arial"/>
                <w:sz w:val="16"/>
                <w:szCs w:val="16"/>
                <w:lang w:val="en-GB"/>
              </w:rPr>
            </w:pPr>
          </w:p>
          <w:p w14:paraId="3E5302C6" w14:textId="77777777" w:rsidR="005D3B08" w:rsidRPr="00BA28F2" w:rsidRDefault="005D3B08" w:rsidP="00673F13">
            <w:pPr>
              <w:pStyle w:val="CETBodytext"/>
              <w:ind w:right="-1"/>
              <w:jc w:val="center"/>
              <w:rPr>
                <w:rFonts w:cs="Arial"/>
                <w:sz w:val="16"/>
                <w:szCs w:val="16"/>
                <w:lang w:val="en-GB"/>
              </w:rPr>
            </w:pPr>
          </w:p>
          <w:p w14:paraId="119E3296" w14:textId="77777777" w:rsidR="005D3B08" w:rsidRPr="00BA28F2" w:rsidRDefault="005D3B08" w:rsidP="00673F13">
            <w:pPr>
              <w:pStyle w:val="CETBodytext"/>
              <w:ind w:right="-1"/>
              <w:jc w:val="center"/>
              <w:rPr>
                <w:rFonts w:cs="Arial"/>
                <w:sz w:val="16"/>
                <w:szCs w:val="16"/>
                <w:lang w:val="en-GB"/>
              </w:rPr>
            </w:pPr>
          </w:p>
          <w:p w14:paraId="7D0750FF" w14:textId="77777777" w:rsidR="005D3B08" w:rsidRPr="00BA28F2" w:rsidRDefault="005D3B08" w:rsidP="00673F13">
            <w:pPr>
              <w:pStyle w:val="CETBodytext"/>
              <w:ind w:right="-1"/>
              <w:jc w:val="center"/>
              <w:rPr>
                <w:rFonts w:cs="Arial"/>
                <w:sz w:val="16"/>
                <w:szCs w:val="16"/>
                <w:lang w:val="en-GB"/>
              </w:rPr>
            </w:pPr>
            <w:r w:rsidRPr="00BA28F2">
              <w:rPr>
                <w:rFonts w:cs="Arial"/>
                <w:sz w:val="16"/>
                <w:szCs w:val="16"/>
                <w:lang w:val="en-GB"/>
              </w:rPr>
              <w:t>6.17</w:t>
            </w:r>
          </w:p>
          <w:p w14:paraId="1CBB42CC" w14:textId="77777777" w:rsidR="005D3B08" w:rsidRPr="00BA28F2" w:rsidRDefault="005D3B08" w:rsidP="00673F13">
            <w:pPr>
              <w:pStyle w:val="CETBodytext"/>
              <w:ind w:right="-1"/>
              <w:jc w:val="center"/>
              <w:rPr>
                <w:rFonts w:cs="Arial"/>
                <w:sz w:val="16"/>
                <w:szCs w:val="16"/>
                <w:lang w:val="en-GB"/>
              </w:rPr>
            </w:pPr>
          </w:p>
          <w:p w14:paraId="56FE3ED6" w14:textId="77777777" w:rsidR="005D3B08" w:rsidRPr="00BA28F2" w:rsidRDefault="005D3B08" w:rsidP="00673F13">
            <w:pPr>
              <w:pStyle w:val="CETBodytext"/>
              <w:ind w:right="-1"/>
              <w:jc w:val="center"/>
              <w:rPr>
                <w:rFonts w:cs="Arial"/>
                <w:sz w:val="16"/>
                <w:szCs w:val="16"/>
                <w:lang w:val="en-GB"/>
              </w:rPr>
            </w:pPr>
            <w:r w:rsidRPr="00BA28F2">
              <w:rPr>
                <w:rFonts w:cs="Arial"/>
                <w:sz w:val="16"/>
                <w:szCs w:val="16"/>
                <w:lang w:val="en-GB"/>
              </w:rPr>
              <w:t>5.62</w:t>
            </w:r>
          </w:p>
          <w:p w14:paraId="72BD7074" w14:textId="77777777" w:rsidR="005D3B08" w:rsidRPr="00BA28F2" w:rsidRDefault="005D3B08" w:rsidP="00673F13">
            <w:pPr>
              <w:pStyle w:val="CETBodytext"/>
              <w:ind w:right="-1"/>
              <w:jc w:val="center"/>
              <w:rPr>
                <w:rFonts w:cs="Arial"/>
                <w:sz w:val="16"/>
                <w:szCs w:val="16"/>
                <w:lang w:val="en-GB"/>
              </w:rPr>
            </w:pPr>
          </w:p>
          <w:p w14:paraId="689014BD" w14:textId="77777777" w:rsidR="005D3B08" w:rsidRPr="00BA28F2" w:rsidRDefault="005D3B08" w:rsidP="00673F13">
            <w:pPr>
              <w:pStyle w:val="CETBodytext"/>
              <w:ind w:right="-1"/>
              <w:jc w:val="center"/>
              <w:rPr>
                <w:rFonts w:cs="Arial"/>
                <w:sz w:val="16"/>
                <w:szCs w:val="16"/>
                <w:lang w:val="en-GB"/>
              </w:rPr>
            </w:pPr>
            <w:r w:rsidRPr="00BA28F2">
              <w:rPr>
                <w:rFonts w:cs="Arial"/>
                <w:sz w:val="16"/>
                <w:szCs w:val="16"/>
                <w:lang w:val="en-GB"/>
              </w:rPr>
              <w:t>6.03</w:t>
            </w:r>
          </w:p>
          <w:p w14:paraId="7A788793" w14:textId="77777777" w:rsidR="005D3B08" w:rsidRPr="00BA28F2" w:rsidRDefault="005D3B08" w:rsidP="00673F13">
            <w:pPr>
              <w:pStyle w:val="CETBodytext"/>
              <w:ind w:right="-1"/>
              <w:jc w:val="center"/>
              <w:rPr>
                <w:rFonts w:cs="Arial"/>
                <w:sz w:val="16"/>
                <w:szCs w:val="16"/>
                <w:lang w:val="en-GB"/>
              </w:rPr>
            </w:pPr>
          </w:p>
          <w:p w14:paraId="7CF60856" w14:textId="77777777" w:rsidR="005D3B08" w:rsidRPr="00BA28F2" w:rsidRDefault="005D3B08" w:rsidP="00673F13">
            <w:pPr>
              <w:pStyle w:val="CETBodytext"/>
              <w:ind w:right="-1"/>
              <w:jc w:val="center"/>
              <w:rPr>
                <w:rFonts w:cs="Arial"/>
                <w:sz w:val="16"/>
                <w:szCs w:val="16"/>
                <w:lang w:val="en-GB"/>
              </w:rPr>
            </w:pPr>
            <w:r w:rsidRPr="00BA28F2">
              <w:rPr>
                <w:rFonts w:cs="Arial"/>
                <w:sz w:val="16"/>
                <w:szCs w:val="16"/>
                <w:lang w:val="en-GB"/>
              </w:rPr>
              <w:t>5.41</w:t>
            </w:r>
          </w:p>
        </w:tc>
        <w:tc>
          <w:tcPr>
            <w:tcW w:w="992" w:type="dxa"/>
            <w:tcBorders>
              <w:top w:val="single" w:sz="6" w:space="0" w:color="008000"/>
              <w:bottom w:val="single" w:sz="6" w:space="0" w:color="008000"/>
            </w:tcBorders>
            <w:shd w:val="clear" w:color="auto" w:fill="FFFFFF"/>
          </w:tcPr>
          <w:p w14:paraId="05AAC7DA" w14:textId="34D14A38" w:rsidR="005D3B08" w:rsidRPr="00BA28F2" w:rsidRDefault="00C450B0" w:rsidP="00673F13">
            <w:pPr>
              <w:pStyle w:val="CETBodytext"/>
              <w:ind w:right="-1"/>
              <w:jc w:val="center"/>
              <w:rPr>
                <w:rFonts w:cs="Arial"/>
                <w:sz w:val="16"/>
                <w:szCs w:val="16"/>
                <w:highlight w:val="yellow"/>
                <w:lang w:val="en-GB"/>
              </w:rPr>
            </w:pPr>
            <w:r w:rsidRPr="00BA28F2">
              <w:rPr>
                <w:rFonts w:cs="Arial"/>
                <w:sz w:val="16"/>
                <w:szCs w:val="16"/>
                <w:highlight w:val="yellow"/>
                <w:lang w:val="en-GB"/>
              </w:rPr>
              <w:t>20.69</w:t>
            </w:r>
          </w:p>
          <w:p w14:paraId="03C1AC5F" w14:textId="77777777" w:rsidR="005D3B08" w:rsidRPr="00BA28F2" w:rsidRDefault="005D3B08" w:rsidP="00673F13">
            <w:pPr>
              <w:pStyle w:val="CETBodytext"/>
              <w:ind w:right="-1"/>
              <w:jc w:val="center"/>
              <w:rPr>
                <w:rFonts w:cs="Arial"/>
                <w:sz w:val="16"/>
                <w:szCs w:val="16"/>
                <w:highlight w:val="yellow"/>
                <w:lang w:val="en-GB"/>
              </w:rPr>
            </w:pPr>
          </w:p>
          <w:p w14:paraId="37FE7880" w14:textId="77777777" w:rsidR="005D3B08" w:rsidRPr="00BA28F2" w:rsidRDefault="005D3B08" w:rsidP="00673F13">
            <w:pPr>
              <w:pStyle w:val="CETBodytext"/>
              <w:ind w:right="-1"/>
              <w:jc w:val="center"/>
              <w:rPr>
                <w:rFonts w:cs="Arial"/>
                <w:sz w:val="16"/>
                <w:szCs w:val="16"/>
                <w:highlight w:val="yellow"/>
                <w:lang w:val="en-GB"/>
              </w:rPr>
            </w:pPr>
          </w:p>
          <w:p w14:paraId="3861A4FC" w14:textId="77777777" w:rsidR="005D3B08" w:rsidRPr="00BA28F2" w:rsidRDefault="005D3B08" w:rsidP="00673F13">
            <w:pPr>
              <w:pStyle w:val="CETBodytext"/>
              <w:ind w:right="-1"/>
              <w:jc w:val="center"/>
              <w:rPr>
                <w:rFonts w:cs="Arial"/>
                <w:sz w:val="16"/>
                <w:szCs w:val="16"/>
                <w:highlight w:val="yellow"/>
                <w:lang w:val="en-GB"/>
              </w:rPr>
            </w:pPr>
          </w:p>
          <w:p w14:paraId="15033343" w14:textId="77777777" w:rsidR="005D3B08" w:rsidRPr="00BA28F2" w:rsidRDefault="005D3B08" w:rsidP="00673F13">
            <w:pPr>
              <w:pStyle w:val="CETBodytext"/>
              <w:ind w:right="-1"/>
              <w:jc w:val="center"/>
              <w:rPr>
                <w:rFonts w:cs="Arial"/>
                <w:sz w:val="16"/>
                <w:szCs w:val="16"/>
                <w:highlight w:val="yellow"/>
                <w:lang w:val="en-GB"/>
              </w:rPr>
            </w:pPr>
          </w:p>
          <w:p w14:paraId="36D25168" w14:textId="472EA833" w:rsidR="005D3B08" w:rsidRPr="00BA28F2" w:rsidRDefault="00C450B0" w:rsidP="00673F13">
            <w:pPr>
              <w:pStyle w:val="CETBodytext"/>
              <w:ind w:right="-1"/>
              <w:jc w:val="center"/>
              <w:rPr>
                <w:rFonts w:cs="Arial"/>
                <w:sz w:val="16"/>
                <w:szCs w:val="16"/>
                <w:highlight w:val="yellow"/>
                <w:lang w:val="en-GB"/>
              </w:rPr>
            </w:pPr>
            <w:r w:rsidRPr="00BA28F2">
              <w:rPr>
                <w:rFonts w:cs="Arial"/>
                <w:sz w:val="16"/>
                <w:szCs w:val="16"/>
                <w:highlight w:val="yellow"/>
                <w:lang w:val="en-GB"/>
              </w:rPr>
              <w:t>9.20</w:t>
            </w:r>
          </w:p>
          <w:p w14:paraId="3D89C1DF" w14:textId="77777777" w:rsidR="005D3B08" w:rsidRPr="00BA28F2" w:rsidRDefault="005D3B08" w:rsidP="00673F13">
            <w:pPr>
              <w:pStyle w:val="CETBodytext"/>
              <w:ind w:right="-1"/>
              <w:jc w:val="center"/>
              <w:rPr>
                <w:rFonts w:cs="Arial"/>
                <w:sz w:val="16"/>
                <w:szCs w:val="16"/>
                <w:highlight w:val="yellow"/>
                <w:lang w:val="en-GB"/>
              </w:rPr>
            </w:pPr>
          </w:p>
          <w:p w14:paraId="68DF5F9A" w14:textId="3E6CD5DF" w:rsidR="005D3B08" w:rsidRPr="00BA28F2" w:rsidRDefault="00C450B0" w:rsidP="00673F13">
            <w:pPr>
              <w:pStyle w:val="CETBodytext"/>
              <w:ind w:right="-1"/>
              <w:jc w:val="center"/>
              <w:rPr>
                <w:rFonts w:cs="Arial"/>
                <w:sz w:val="16"/>
                <w:szCs w:val="16"/>
                <w:highlight w:val="yellow"/>
                <w:lang w:val="en-GB"/>
              </w:rPr>
            </w:pPr>
            <w:r w:rsidRPr="00BA28F2">
              <w:rPr>
                <w:rFonts w:cs="Arial"/>
                <w:sz w:val="16"/>
                <w:szCs w:val="16"/>
                <w:highlight w:val="yellow"/>
                <w:lang w:val="en-GB"/>
              </w:rPr>
              <w:t>2.3</w:t>
            </w:r>
            <w:r w:rsidR="001948D7">
              <w:rPr>
                <w:rFonts w:cs="Arial"/>
                <w:sz w:val="16"/>
                <w:szCs w:val="16"/>
                <w:highlight w:val="yellow"/>
                <w:lang w:val="en-GB"/>
              </w:rPr>
              <w:t>0</w:t>
            </w:r>
          </w:p>
          <w:p w14:paraId="5C637DBF" w14:textId="77777777" w:rsidR="005D3B08" w:rsidRPr="00BA28F2" w:rsidRDefault="005D3B08" w:rsidP="00673F13">
            <w:pPr>
              <w:pStyle w:val="CETBodytext"/>
              <w:ind w:right="-1"/>
              <w:jc w:val="center"/>
              <w:rPr>
                <w:rFonts w:cs="Arial"/>
                <w:sz w:val="16"/>
                <w:szCs w:val="16"/>
                <w:highlight w:val="yellow"/>
                <w:lang w:val="en-GB"/>
              </w:rPr>
            </w:pPr>
          </w:p>
          <w:p w14:paraId="6FDBEA51" w14:textId="7055936A" w:rsidR="005D3B08" w:rsidRPr="00BA28F2" w:rsidRDefault="00C450B0" w:rsidP="00673F13">
            <w:pPr>
              <w:pStyle w:val="CETBodytext"/>
              <w:ind w:right="-1"/>
              <w:jc w:val="center"/>
              <w:rPr>
                <w:rFonts w:cs="Arial"/>
                <w:sz w:val="16"/>
                <w:szCs w:val="16"/>
                <w:highlight w:val="yellow"/>
                <w:lang w:val="en-GB"/>
              </w:rPr>
            </w:pPr>
            <w:r w:rsidRPr="00BA28F2">
              <w:rPr>
                <w:rFonts w:cs="Arial"/>
                <w:sz w:val="16"/>
                <w:szCs w:val="16"/>
                <w:highlight w:val="yellow"/>
                <w:lang w:val="en-GB"/>
              </w:rPr>
              <w:t>8.5</w:t>
            </w:r>
            <w:r w:rsidR="001948D7">
              <w:rPr>
                <w:rFonts w:cs="Arial"/>
                <w:sz w:val="16"/>
                <w:szCs w:val="16"/>
                <w:highlight w:val="yellow"/>
                <w:lang w:val="en-GB"/>
              </w:rPr>
              <w:t>0</w:t>
            </w:r>
          </w:p>
          <w:p w14:paraId="62B90EC6" w14:textId="77777777" w:rsidR="005D3B08" w:rsidRPr="00BA28F2" w:rsidRDefault="005D3B08" w:rsidP="00673F13">
            <w:pPr>
              <w:pStyle w:val="CETBodytext"/>
              <w:ind w:right="-1"/>
              <w:jc w:val="center"/>
              <w:rPr>
                <w:rFonts w:cs="Arial"/>
                <w:sz w:val="16"/>
                <w:szCs w:val="16"/>
                <w:highlight w:val="yellow"/>
                <w:lang w:val="en-GB"/>
              </w:rPr>
            </w:pPr>
          </w:p>
          <w:p w14:paraId="7078AAC0" w14:textId="5742B489" w:rsidR="005D3B08" w:rsidRPr="00BA28F2" w:rsidRDefault="00C450B0" w:rsidP="00673F13">
            <w:pPr>
              <w:pStyle w:val="CETBodytext"/>
              <w:ind w:right="-1"/>
              <w:jc w:val="center"/>
              <w:rPr>
                <w:rFonts w:cs="Arial"/>
                <w:sz w:val="16"/>
                <w:szCs w:val="16"/>
                <w:highlight w:val="yellow"/>
                <w:lang w:val="en-GB"/>
              </w:rPr>
            </w:pPr>
            <w:r w:rsidRPr="00BA28F2">
              <w:rPr>
                <w:rFonts w:cs="Arial"/>
                <w:sz w:val="16"/>
                <w:szCs w:val="16"/>
                <w:highlight w:val="yellow"/>
                <w:lang w:val="en-GB"/>
              </w:rPr>
              <w:t>4.6</w:t>
            </w:r>
            <w:r w:rsidR="001948D7">
              <w:rPr>
                <w:rFonts w:cs="Arial"/>
                <w:sz w:val="16"/>
                <w:szCs w:val="16"/>
                <w:highlight w:val="yellow"/>
                <w:lang w:val="en-GB"/>
              </w:rPr>
              <w:t>0</w:t>
            </w:r>
          </w:p>
        </w:tc>
      </w:tr>
      <w:tr w:rsidR="005D3B08" w:rsidRPr="00BA28F2" w14:paraId="5EB8C7E3" w14:textId="77777777" w:rsidTr="0012277D">
        <w:tc>
          <w:tcPr>
            <w:tcW w:w="1134" w:type="dxa"/>
            <w:tcBorders>
              <w:top w:val="single" w:sz="6" w:space="0" w:color="008000"/>
              <w:bottom w:val="single" w:sz="12" w:space="0" w:color="008000"/>
            </w:tcBorders>
            <w:shd w:val="clear" w:color="auto" w:fill="FFFFFF"/>
          </w:tcPr>
          <w:p w14:paraId="678505D4" w14:textId="77777777" w:rsidR="005D3B08" w:rsidRPr="00BA28F2" w:rsidRDefault="005D3B08" w:rsidP="00673F13">
            <w:pPr>
              <w:pStyle w:val="CETBodytext"/>
              <w:ind w:right="-1"/>
              <w:jc w:val="left"/>
              <w:rPr>
                <w:rFonts w:cs="Arial"/>
                <w:sz w:val="16"/>
                <w:szCs w:val="16"/>
                <w:lang w:val="en-GB"/>
              </w:rPr>
            </w:pPr>
            <w:r w:rsidRPr="00BA28F2">
              <w:rPr>
                <w:rFonts w:cs="Arial"/>
                <w:sz w:val="16"/>
                <w:szCs w:val="16"/>
                <w:lang w:val="en-GB"/>
              </w:rPr>
              <w:t>Failure by third part</w:t>
            </w:r>
          </w:p>
        </w:tc>
        <w:tc>
          <w:tcPr>
            <w:tcW w:w="1862" w:type="dxa"/>
            <w:tcBorders>
              <w:top w:val="single" w:sz="6" w:space="0" w:color="008000"/>
              <w:bottom w:val="single" w:sz="12" w:space="0" w:color="008000"/>
            </w:tcBorders>
            <w:shd w:val="clear" w:color="auto" w:fill="FFFFFF"/>
          </w:tcPr>
          <w:p w14:paraId="753D96BD" w14:textId="77777777" w:rsidR="005D3B08" w:rsidRPr="00BA28F2" w:rsidRDefault="005D3B08" w:rsidP="0012277D">
            <w:pPr>
              <w:tabs>
                <w:tab w:val="clear" w:pos="7100"/>
              </w:tabs>
              <w:spacing w:line="240" w:lineRule="auto"/>
              <w:ind w:right="-1"/>
              <w:jc w:val="left"/>
              <w:rPr>
                <w:rFonts w:cs="Arial"/>
                <w:sz w:val="16"/>
                <w:szCs w:val="16"/>
              </w:rPr>
            </w:pPr>
            <w:r w:rsidRPr="00BA28F2">
              <w:rPr>
                <w:rFonts w:cs="Arial"/>
                <w:sz w:val="16"/>
                <w:szCs w:val="16"/>
              </w:rPr>
              <w:t>Parts and equipment manufacturers</w:t>
            </w:r>
          </w:p>
        </w:tc>
        <w:tc>
          <w:tcPr>
            <w:tcW w:w="3667" w:type="dxa"/>
            <w:tcBorders>
              <w:top w:val="single" w:sz="6" w:space="0" w:color="008000"/>
              <w:bottom w:val="single" w:sz="12" w:space="0" w:color="008000"/>
            </w:tcBorders>
            <w:shd w:val="clear" w:color="auto" w:fill="FFFFFF"/>
          </w:tcPr>
          <w:p w14:paraId="56CCD31C" w14:textId="77777777" w:rsidR="005D3B08" w:rsidRPr="00BA28F2" w:rsidRDefault="005D3B08" w:rsidP="00131921">
            <w:pPr>
              <w:pStyle w:val="CETBodytext"/>
              <w:ind w:right="-4"/>
              <w:jc w:val="left"/>
              <w:rPr>
                <w:rFonts w:cs="Arial"/>
                <w:sz w:val="16"/>
                <w:szCs w:val="16"/>
                <w:lang w:val="en-GB"/>
              </w:rPr>
            </w:pPr>
            <w:r w:rsidRPr="00BA28F2">
              <w:rPr>
                <w:rFonts w:cs="Arial"/>
                <w:sz w:val="16"/>
                <w:szCs w:val="16"/>
                <w:lang w:val="en-GB"/>
              </w:rPr>
              <w:t>(18) Assurance quality program extends to overseeing suppliers (mostly parts and equipment manufacturers)</w:t>
            </w:r>
          </w:p>
        </w:tc>
        <w:tc>
          <w:tcPr>
            <w:tcW w:w="1134" w:type="dxa"/>
            <w:gridSpan w:val="2"/>
            <w:tcBorders>
              <w:top w:val="single" w:sz="6" w:space="0" w:color="008000"/>
              <w:bottom w:val="single" w:sz="12" w:space="0" w:color="008000"/>
            </w:tcBorders>
            <w:shd w:val="clear" w:color="auto" w:fill="FFFFFF"/>
          </w:tcPr>
          <w:p w14:paraId="0ACBBC28" w14:textId="77777777" w:rsidR="005D3B08" w:rsidRPr="00BA28F2" w:rsidRDefault="005D3B08" w:rsidP="00673F13">
            <w:pPr>
              <w:pStyle w:val="CETBodytext"/>
              <w:ind w:right="-1"/>
              <w:jc w:val="center"/>
              <w:rPr>
                <w:rFonts w:cs="Arial"/>
                <w:sz w:val="16"/>
                <w:szCs w:val="16"/>
                <w:lang w:val="en-GB"/>
              </w:rPr>
            </w:pPr>
            <w:r w:rsidRPr="00BA28F2">
              <w:rPr>
                <w:rFonts w:cs="Arial"/>
                <w:sz w:val="16"/>
                <w:szCs w:val="16"/>
                <w:lang w:val="en-GB"/>
              </w:rPr>
              <w:t>5.65</w:t>
            </w:r>
          </w:p>
        </w:tc>
        <w:tc>
          <w:tcPr>
            <w:tcW w:w="992" w:type="dxa"/>
            <w:tcBorders>
              <w:top w:val="single" w:sz="6" w:space="0" w:color="008000"/>
              <w:bottom w:val="single" w:sz="12" w:space="0" w:color="008000"/>
            </w:tcBorders>
            <w:shd w:val="clear" w:color="auto" w:fill="FFFFFF"/>
          </w:tcPr>
          <w:p w14:paraId="44FDFBFC" w14:textId="52620C5B" w:rsidR="005D3B08" w:rsidRPr="00BA28F2" w:rsidRDefault="00C450B0" w:rsidP="00673F13">
            <w:pPr>
              <w:pStyle w:val="CETBodytext"/>
              <w:ind w:right="-1"/>
              <w:jc w:val="center"/>
              <w:rPr>
                <w:rFonts w:cs="Arial"/>
                <w:sz w:val="16"/>
                <w:szCs w:val="16"/>
                <w:highlight w:val="yellow"/>
                <w:lang w:val="en-GB"/>
              </w:rPr>
            </w:pPr>
            <w:r w:rsidRPr="00BA28F2">
              <w:rPr>
                <w:rFonts w:cs="Arial"/>
                <w:sz w:val="16"/>
                <w:szCs w:val="16"/>
                <w:highlight w:val="yellow"/>
                <w:lang w:val="en-GB"/>
              </w:rPr>
              <w:t>12.64</w:t>
            </w:r>
          </w:p>
        </w:tc>
      </w:tr>
    </w:tbl>
    <w:p w14:paraId="2A4BFFF9" w14:textId="54B935B5" w:rsidR="006B5308" w:rsidRPr="00BA28F2" w:rsidRDefault="006B5308" w:rsidP="00990B41">
      <w:pPr>
        <w:pStyle w:val="CETBodytext"/>
        <w:jc w:val="center"/>
        <w:rPr>
          <w:lang w:val="en-GB"/>
        </w:rPr>
      </w:pPr>
    </w:p>
    <w:p w14:paraId="576A4A32" w14:textId="407A3ACD" w:rsidR="0096603A" w:rsidRPr="00BA28F2" w:rsidRDefault="0096603A" w:rsidP="00244658">
      <w:pPr>
        <w:pStyle w:val="CETheadingx"/>
        <w:rPr>
          <w:lang w:val="en-GB"/>
        </w:rPr>
      </w:pPr>
      <w:r w:rsidRPr="00BA28F2">
        <w:rPr>
          <w:lang w:val="en-GB"/>
        </w:rPr>
        <w:t>Correspondence table</w:t>
      </w:r>
    </w:p>
    <w:p w14:paraId="3E73A96B" w14:textId="6CEA65FB" w:rsidR="0096603A" w:rsidRPr="00BA28F2" w:rsidRDefault="002B56B4" w:rsidP="0058485C">
      <w:pPr>
        <w:pStyle w:val="CETBodytext"/>
        <w:rPr>
          <w:lang w:val="en-GB"/>
        </w:rPr>
      </w:pPr>
      <w:r w:rsidRPr="00BA28F2">
        <w:rPr>
          <w:lang w:val="en-GB"/>
        </w:rPr>
        <w:t>To analyse similarities and discrepancies in factor selection, a correspondence table was developed and visually represented. The intervals were chosen to ensure clear differentiation while maintaining practical interpretability.</w:t>
      </w:r>
      <w:r>
        <w:rPr>
          <w:lang w:val="en-GB"/>
        </w:rPr>
        <w:t xml:space="preserve"> </w:t>
      </w:r>
      <w:r w:rsidRPr="00D130F1">
        <w:rPr>
          <w:highlight w:val="yellow"/>
          <w:lang w:val="en-GB"/>
        </w:rPr>
        <w:t xml:space="preserve">Cut-off points were </w:t>
      </w:r>
      <w:r w:rsidR="00D130F1" w:rsidRPr="00D130F1">
        <w:rPr>
          <w:highlight w:val="yellow"/>
          <w:lang w:val="en-GB"/>
        </w:rPr>
        <w:t>set</w:t>
      </w:r>
      <w:r w:rsidRPr="00D130F1">
        <w:rPr>
          <w:highlight w:val="yellow"/>
          <w:lang w:val="en-GB"/>
        </w:rPr>
        <w:t xml:space="preserve"> to balance interpretability with practical</w:t>
      </w:r>
      <w:r w:rsidR="00D130F1" w:rsidRPr="00D130F1">
        <w:rPr>
          <w:highlight w:val="yellow"/>
          <w:lang w:val="en-GB"/>
        </w:rPr>
        <w:t>ity</w:t>
      </w:r>
      <w:r w:rsidRPr="00D130F1">
        <w:rPr>
          <w:highlight w:val="yellow"/>
          <w:lang w:val="en-GB"/>
        </w:rPr>
        <w:t>. For Likert scores (all &gt;5/7</w:t>
      </w:r>
      <w:r w:rsidR="001948D7" w:rsidRPr="00D130F1">
        <w:rPr>
          <w:highlight w:val="yellow"/>
          <w:lang w:val="en-GB"/>
        </w:rPr>
        <w:t>), intervals of 0.5</w:t>
      </w:r>
      <w:r w:rsidRPr="00D130F1">
        <w:rPr>
          <w:highlight w:val="yellow"/>
          <w:lang w:val="en-GB"/>
        </w:rPr>
        <w:t xml:space="preserve"> were </w:t>
      </w:r>
      <w:r w:rsidR="00D130F1" w:rsidRPr="00D130F1">
        <w:rPr>
          <w:highlight w:val="yellow"/>
          <w:lang w:val="en-GB"/>
        </w:rPr>
        <w:t>used to show differences within high scores</w:t>
      </w:r>
      <w:r w:rsidRPr="00D130F1">
        <w:rPr>
          <w:highlight w:val="yellow"/>
          <w:lang w:val="en-GB"/>
        </w:rPr>
        <w:t xml:space="preserve">. </w:t>
      </w:r>
      <w:r w:rsidR="00D130F1" w:rsidRPr="00D130F1">
        <w:rPr>
          <w:highlight w:val="yellow"/>
          <w:lang w:val="en-GB"/>
        </w:rPr>
        <w:t xml:space="preserve">Scores below 5.75 indicated low importance, scores between 5.75 and 6.25 showed moderate importance, and scores ≥6.25 indicated high importance, avoiding overly broad or empty categories. </w:t>
      </w:r>
      <w:r w:rsidR="0077591E">
        <w:rPr>
          <w:highlight w:val="yellow"/>
          <w:lang w:val="en-GB"/>
        </w:rPr>
        <w:t>Incident frequencies</w:t>
      </w:r>
      <w:r w:rsidRPr="00D130F1">
        <w:rPr>
          <w:highlight w:val="yellow"/>
          <w:lang w:val="en-GB"/>
        </w:rPr>
        <w:t xml:space="preserve"> </w:t>
      </w:r>
      <w:r w:rsidR="009E7483" w:rsidRPr="00D130F1">
        <w:rPr>
          <w:highlight w:val="yellow"/>
          <w:lang w:val="en-GB"/>
        </w:rPr>
        <w:t>were categorized into three groups</w:t>
      </w:r>
      <w:r w:rsidRPr="00D130F1">
        <w:rPr>
          <w:highlight w:val="yellow"/>
          <w:lang w:val="en-GB"/>
        </w:rPr>
        <w:t xml:space="preserve">: infrequent (&lt;4%), </w:t>
      </w:r>
      <w:r w:rsidR="00D873A0">
        <w:rPr>
          <w:highlight w:val="yellow"/>
          <w:lang w:val="en-GB"/>
        </w:rPr>
        <w:t>moderate occurrence</w:t>
      </w:r>
      <w:bookmarkStart w:id="11" w:name="_GoBack"/>
      <w:bookmarkEnd w:id="11"/>
      <w:r w:rsidRPr="00D130F1">
        <w:rPr>
          <w:highlight w:val="yellow"/>
          <w:lang w:val="en-GB"/>
        </w:rPr>
        <w:t xml:space="preserve"> (4-12%), and high (&gt;12%), based on the </w:t>
      </w:r>
      <w:r w:rsidR="00D130F1" w:rsidRPr="00D130F1">
        <w:rPr>
          <w:highlight w:val="yellow"/>
          <w:lang w:val="en-GB"/>
        </w:rPr>
        <w:t xml:space="preserve">data distribution </w:t>
      </w:r>
      <w:r w:rsidRPr="00D130F1">
        <w:rPr>
          <w:highlight w:val="yellow"/>
          <w:lang w:val="en-GB"/>
        </w:rPr>
        <w:t>and operational priorities. This approach ensured balanced groupings (7-6-5 items</w:t>
      </w:r>
      <w:r w:rsidR="009E7483" w:rsidRPr="00D130F1">
        <w:rPr>
          <w:highlight w:val="yellow"/>
          <w:lang w:val="en-GB"/>
        </w:rPr>
        <w:t xml:space="preserve"> per category</w:t>
      </w:r>
      <w:r w:rsidRPr="00D130F1">
        <w:rPr>
          <w:highlight w:val="yellow"/>
          <w:lang w:val="en-GB"/>
        </w:rPr>
        <w:t xml:space="preserve">) and prioritized practical information, </w:t>
      </w:r>
      <w:r w:rsidR="009E7483" w:rsidRPr="00D130F1">
        <w:rPr>
          <w:highlight w:val="yellow"/>
          <w:lang w:val="en-GB"/>
        </w:rPr>
        <w:t>highlighting</w:t>
      </w:r>
      <w:r w:rsidRPr="00D130F1">
        <w:rPr>
          <w:highlight w:val="yellow"/>
          <w:lang w:val="en-GB"/>
        </w:rPr>
        <w:t xml:space="preserve"> </w:t>
      </w:r>
      <w:r w:rsidR="00D130F1" w:rsidRPr="00D130F1">
        <w:rPr>
          <w:highlight w:val="yellow"/>
          <w:lang w:val="en-GB"/>
        </w:rPr>
        <w:t>key</w:t>
      </w:r>
      <w:r w:rsidRPr="00D130F1">
        <w:rPr>
          <w:highlight w:val="yellow"/>
          <w:lang w:val="en-GB"/>
        </w:rPr>
        <w:t xml:space="preserve"> factors where expert </w:t>
      </w:r>
      <w:r w:rsidR="009E7483" w:rsidRPr="00D130F1">
        <w:rPr>
          <w:highlight w:val="yellow"/>
          <w:lang w:val="en-GB"/>
        </w:rPr>
        <w:t>visions</w:t>
      </w:r>
      <w:r w:rsidRPr="00D130F1">
        <w:rPr>
          <w:highlight w:val="yellow"/>
          <w:lang w:val="en-GB"/>
        </w:rPr>
        <w:t xml:space="preserve"> and recurrence intersect</w:t>
      </w:r>
      <w:r w:rsidR="009E7483" w:rsidRPr="00D130F1">
        <w:rPr>
          <w:highlight w:val="yellow"/>
          <w:lang w:val="en-GB"/>
        </w:rPr>
        <w:t>.</w:t>
      </w:r>
      <w:r w:rsidR="0058485C" w:rsidRPr="00D130F1">
        <w:rPr>
          <w:highlight w:val="yellow"/>
          <w:lang w:val="en-GB"/>
        </w:rPr>
        <w:t xml:space="preserve"> </w:t>
      </w:r>
      <w:r w:rsidR="00B1278C" w:rsidRPr="00D130F1">
        <w:rPr>
          <w:highlight w:val="yellow"/>
          <w:lang w:val="en-GB"/>
        </w:rPr>
        <w:fldChar w:fldCharType="begin"/>
      </w:r>
      <w:r w:rsidR="00B1278C" w:rsidRPr="00D130F1">
        <w:rPr>
          <w:highlight w:val="yellow"/>
          <w:lang w:val="en-GB"/>
        </w:rPr>
        <w:instrText xml:space="preserve"> REF _Ref195180322 \h </w:instrText>
      </w:r>
      <w:r w:rsidR="006F663F" w:rsidRPr="00D130F1">
        <w:rPr>
          <w:highlight w:val="yellow"/>
          <w:lang w:val="en-GB"/>
        </w:rPr>
        <w:instrText xml:space="preserve"> \* MERGEFORMAT </w:instrText>
      </w:r>
      <w:r w:rsidR="00B1278C" w:rsidRPr="00D130F1">
        <w:rPr>
          <w:highlight w:val="yellow"/>
          <w:lang w:val="en-GB"/>
        </w:rPr>
      </w:r>
      <w:r w:rsidR="00B1278C" w:rsidRPr="00D130F1">
        <w:rPr>
          <w:highlight w:val="yellow"/>
          <w:lang w:val="en-GB"/>
        </w:rPr>
        <w:fldChar w:fldCharType="separate"/>
      </w:r>
      <w:r w:rsidR="00B1278C" w:rsidRPr="00D130F1">
        <w:rPr>
          <w:b/>
          <w:i/>
          <w:sz w:val="16"/>
          <w:highlight w:val="yellow"/>
        </w:rPr>
        <w:t xml:space="preserve">Figure </w:t>
      </w:r>
      <w:r w:rsidR="00B1278C" w:rsidRPr="00D130F1">
        <w:rPr>
          <w:b/>
          <w:i/>
          <w:noProof/>
          <w:sz w:val="16"/>
          <w:highlight w:val="yellow"/>
        </w:rPr>
        <w:t>3</w:t>
      </w:r>
      <w:r w:rsidR="00B1278C" w:rsidRPr="00D130F1">
        <w:rPr>
          <w:highlight w:val="yellow"/>
          <w:lang w:val="en-GB"/>
        </w:rPr>
        <w:fldChar w:fldCharType="end"/>
      </w:r>
      <w:r w:rsidR="00B1278C" w:rsidRPr="00D130F1">
        <w:rPr>
          <w:highlight w:val="yellow"/>
          <w:lang w:val="en-GB"/>
        </w:rPr>
        <w:t xml:space="preserve"> </w:t>
      </w:r>
      <w:r w:rsidR="0058485C" w:rsidRPr="00D130F1">
        <w:rPr>
          <w:highlight w:val="yellow"/>
          <w:lang w:val="en-GB"/>
        </w:rPr>
        <w:t xml:space="preserve">presents the correspondences, </w:t>
      </w:r>
      <w:r w:rsidR="009E7483" w:rsidRPr="00D130F1">
        <w:rPr>
          <w:highlight w:val="yellow"/>
          <w:lang w:val="en-GB"/>
        </w:rPr>
        <w:t>and</w:t>
      </w:r>
      <w:r w:rsidR="0058485C" w:rsidRPr="00D130F1">
        <w:rPr>
          <w:highlight w:val="yellow"/>
          <w:lang w:val="en-GB"/>
        </w:rPr>
        <w:t xml:space="preserve"> </w:t>
      </w:r>
      <w:r w:rsidR="00B1278C" w:rsidRPr="00D130F1">
        <w:rPr>
          <w:highlight w:val="yellow"/>
          <w:lang w:val="en-GB"/>
        </w:rPr>
        <w:fldChar w:fldCharType="begin"/>
      </w:r>
      <w:r w:rsidR="00B1278C" w:rsidRPr="00D130F1">
        <w:rPr>
          <w:highlight w:val="yellow"/>
          <w:lang w:val="en-GB"/>
        </w:rPr>
        <w:instrText xml:space="preserve"> REF _Ref195180342 \h </w:instrText>
      </w:r>
      <w:r w:rsidR="006F663F" w:rsidRPr="00D130F1">
        <w:rPr>
          <w:highlight w:val="yellow"/>
          <w:lang w:val="en-GB"/>
        </w:rPr>
        <w:instrText xml:space="preserve"> \* MERGEFORMAT </w:instrText>
      </w:r>
      <w:r w:rsidR="00B1278C" w:rsidRPr="00D130F1">
        <w:rPr>
          <w:highlight w:val="yellow"/>
          <w:lang w:val="en-GB"/>
        </w:rPr>
      </w:r>
      <w:r w:rsidR="00B1278C" w:rsidRPr="00D130F1">
        <w:rPr>
          <w:highlight w:val="yellow"/>
          <w:lang w:val="en-GB"/>
        </w:rPr>
        <w:fldChar w:fldCharType="separate"/>
      </w:r>
      <w:r w:rsidR="00B1278C" w:rsidRPr="00D130F1">
        <w:rPr>
          <w:b/>
          <w:i/>
          <w:sz w:val="16"/>
          <w:highlight w:val="yellow"/>
        </w:rPr>
        <w:t>Figure 4</w:t>
      </w:r>
      <w:r w:rsidR="00B1278C" w:rsidRPr="00D130F1">
        <w:rPr>
          <w:highlight w:val="yellow"/>
          <w:lang w:val="en-GB"/>
        </w:rPr>
        <w:fldChar w:fldCharType="end"/>
      </w:r>
      <w:r w:rsidR="0058485C" w:rsidRPr="00D130F1">
        <w:rPr>
          <w:highlight w:val="yellow"/>
          <w:lang w:val="en-GB"/>
        </w:rPr>
        <w:t xml:space="preserve"> </w:t>
      </w:r>
      <w:r w:rsidR="00D130F1" w:rsidRPr="00D130F1">
        <w:rPr>
          <w:highlight w:val="yellow"/>
          <w:lang w:val="en-GB"/>
        </w:rPr>
        <w:t>illustrates</w:t>
      </w:r>
      <w:r w:rsidR="009E7483" w:rsidRPr="00D130F1">
        <w:rPr>
          <w:highlight w:val="yellow"/>
          <w:lang w:val="en-GB"/>
        </w:rPr>
        <w:t xml:space="preserve"> experts’ </w:t>
      </w:r>
      <w:r w:rsidR="00D130F1" w:rsidRPr="00D130F1">
        <w:rPr>
          <w:highlight w:val="yellow"/>
          <w:lang w:val="en-GB"/>
        </w:rPr>
        <w:t>opinions and incident frequency.</w:t>
      </w:r>
    </w:p>
    <w:p w14:paraId="21A68DA6" w14:textId="77777777" w:rsidR="00753485" w:rsidRDefault="00753485" w:rsidP="00753485">
      <w:pPr>
        <w:pStyle w:val="CETBodytext"/>
        <w:keepNext/>
      </w:pPr>
      <w:r>
        <w:rPr>
          <w:noProof/>
          <w:lang w:val="en-GB" w:eastAsia="en-GB"/>
        </w:rPr>
        <w:lastRenderedPageBreak/>
        <w:drawing>
          <wp:inline distT="0" distB="0" distL="0" distR="0" wp14:anchorId="50716C8E" wp14:editId="25B9F78B">
            <wp:extent cx="3602990" cy="1896110"/>
            <wp:effectExtent l="0" t="0" r="0" b="889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2990" cy="1896110"/>
                    </a:xfrm>
                    <a:prstGeom prst="rect">
                      <a:avLst/>
                    </a:prstGeom>
                    <a:noFill/>
                  </pic:spPr>
                </pic:pic>
              </a:graphicData>
            </a:graphic>
          </wp:inline>
        </w:drawing>
      </w:r>
    </w:p>
    <w:p w14:paraId="365A8132" w14:textId="23218FEC" w:rsidR="00753485" w:rsidRPr="00753485" w:rsidRDefault="00753485" w:rsidP="00753485">
      <w:pPr>
        <w:pStyle w:val="Descripcin"/>
        <w:spacing w:after="120"/>
        <w:rPr>
          <w:b w:val="0"/>
          <w:i/>
          <w:color w:val="auto"/>
          <w:sz w:val="16"/>
        </w:rPr>
      </w:pPr>
      <w:bookmarkStart w:id="12" w:name="_Ref195180322"/>
      <w:r w:rsidRPr="00753485">
        <w:rPr>
          <w:b w:val="0"/>
          <w:i/>
          <w:color w:val="auto"/>
          <w:sz w:val="16"/>
        </w:rPr>
        <w:t xml:space="preserve">Figure </w:t>
      </w:r>
      <w:r w:rsidRPr="00753485">
        <w:rPr>
          <w:b w:val="0"/>
          <w:i/>
          <w:color w:val="auto"/>
          <w:sz w:val="16"/>
        </w:rPr>
        <w:fldChar w:fldCharType="begin"/>
      </w:r>
      <w:r w:rsidRPr="00753485">
        <w:rPr>
          <w:b w:val="0"/>
          <w:i/>
          <w:color w:val="auto"/>
          <w:sz w:val="16"/>
        </w:rPr>
        <w:instrText xml:space="preserve"> SEQ Figure \* ARABIC </w:instrText>
      </w:r>
      <w:r w:rsidRPr="00753485">
        <w:rPr>
          <w:b w:val="0"/>
          <w:i/>
          <w:color w:val="auto"/>
          <w:sz w:val="16"/>
        </w:rPr>
        <w:fldChar w:fldCharType="separate"/>
      </w:r>
      <w:r>
        <w:rPr>
          <w:b w:val="0"/>
          <w:i/>
          <w:noProof/>
          <w:color w:val="auto"/>
          <w:sz w:val="16"/>
        </w:rPr>
        <w:t>3</w:t>
      </w:r>
      <w:r w:rsidRPr="00753485">
        <w:rPr>
          <w:b w:val="0"/>
          <w:i/>
          <w:color w:val="auto"/>
          <w:sz w:val="16"/>
        </w:rPr>
        <w:fldChar w:fldCharType="end"/>
      </w:r>
      <w:bookmarkEnd w:id="12"/>
      <w:r w:rsidRPr="00753485">
        <w:rPr>
          <w:b w:val="0"/>
          <w:i/>
          <w:color w:val="auto"/>
          <w:sz w:val="16"/>
        </w:rPr>
        <w:t>. Correspondence between expert vision and incidents review</w:t>
      </w:r>
    </w:p>
    <w:p w14:paraId="334ACE05" w14:textId="77777777" w:rsidR="00753485" w:rsidRDefault="00753485" w:rsidP="00753485">
      <w:pPr>
        <w:pStyle w:val="CETBodytext"/>
        <w:keepNext/>
      </w:pPr>
      <w:r>
        <w:rPr>
          <w:noProof/>
          <w:lang w:val="en-GB" w:eastAsia="en-GB"/>
        </w:rPr>
        <w:drawing>
          <wp:inline distT="0" distB="0" distL="0" distR="0" wp14:anchorId="1A47D4B2" wp14:editId="3B848A5D">
            <wp:extent cx="3639820" cy="210312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9820" cy="2103120"/>
                    </a:xfrm>
                    <a:prstGeom prst="rect">
                      <a:avLst/>
                    </a:prstGeom>
                    <a:noFill/>
                  </pic:spPr>
                </pic:pic>
              </a:graphicData>
            </a:graphic>
          </wp:inline>
        </w:drawing>
      </w:r>
    </w:p>
    <w:p w14:paraId="57610ADD" w14:textId="58289A9C" w:rsidR="006414E1" w:rsidRPr="00753485" w:rsidRDefault="00753485" w:rsidP="00753485">
      <w:pPr>
        <w:pStyle w:val="Descripcin"/>
        <w:spacing w:after="120"/>
        <w:rPr>
          <w:b w:val="0"/>
          <w:i/>
          <w:color w:val="auto"/>
          <w:sz w:val="16"/>
        </w:rPr>
      </w:pPr>
      <w:bookmarkStart w:id="13" w:name="_Ref195180342"/>
      <w:r w:rsidRPr="00753485">
        <w:rPr>
          <w:b w:val="0"/>
          <w:i/>
          <w:color w:val="auto"/>
          <w:sz w:val="16"/>
        </w:rPr>
        <w:t xml:space="preserve">Figure </w:t>
      </w:r>
      <w:r w:rsidRPr="00753485">
        <w:rPr>
          <w:b w:val="0"/>
          <w:i/>
          <w:color w:val="auto"/>
          <w:sz w:val="16"/>
        </w:rPr>
        <w:fldChar w:fldCharType="begin"/>
      </w:r>
      <w:r w:rsidRPr="00753485">
        <w:rPr>
          <w:b w:val="0"/>
          <w:i/>
          <w:color w:val="auto"/>
          <w:sz w:val="16"/>
        </w:rPr>
        <w:instrText xml:space="preserve"> SEQ Figure \* ARABIC </w:instrText>
      </w:r>
      <w:r w:rsidRPr="00753485">
        <w:rPr>
          <w:b w:val="0"/>
          <w:i/>
          <w:color w:val="auto"/>
          <w:sz w:val="16"/>
        </w:rPr>
        <w:fldChar w:fldCharType="separate"/>
      </w:r>
      <w:r w:rsidRPr="00753485">
        <w:rPr>
          <w:b w:val="0"/>
          <w:i/>
          <w:color w:val="auto"/>
          <w:sz w:val="16"/>
        </w:rPr>
        <w:t>4</w:t>
      </w:r>
      <w:r w:rsidRPr="00753485">
        <w:rPr>
          <w:b w:val="0"/>
          <w:i/>
          <w:color w:val="auto"/>
          <w:sz w:val="16"/>
        </w:rPr>
        <w:fldChar w:fldCharType="end"/>
      </w:r>
      <w:bookmarkEnd w:id="13"/>
      <w:r w:rsidRPr="00753485">
        <w:rPr>
          <w:b w:val="0"/>
          <w:i/>
          <w:color w:val="auto"/>
          <w:sz w:val="16"/>
        </w:rPr>
        <w:t>. Graphical representation of expert vision and incidents review</w:t>
      </w:r>
    </w:p>
    <w:p w14:paraId="38455166" w14:textId="5C9B9386" w:rsidR="003A2390" w:rsidRPr="00BA28F2" w:rsidRDefault="00B02FAE" w:rsidP="00244658">
      <w:pPr>
        <w:pStyle w:val="CETheadingx"/>
        <w:rPr>
          <w:lang w:val="en-GB"/>
        </w:rPr>
      </w:pPr>
      <w:r w:rsidRPr="00BA28F2">
        <w:rPr>
          <w:lang w:val="en-GB"/>
        </w:rPr>
        <w:t>Dashboard proposal</w:t>
      </w:r>
    </w:p>
    <w:p w14:paraId="0FAAC732" w14:textId="3C0E5788" w:rsidR="00062D7A" w:rsidRPr="00BA28F2" w:rsidRDefault="00062D7A" w:rsidP="00763C86">
      <w:pPr>
        <w:pStyle w:val="CETBodytext"/>
        <w:rPr>
          <w:lang w:val="en-GB"/>
        </w:rPr>
      </w:pPr>
      <w:r w:rsidRPr="00BA28F2">
        <w:rPr>
          <w:lang w:val="en-GB"/>
        </w:rPr>
        <w:t xml:space="preserve">The correspondence analysis has guided the selection of factors within the set of </w:t>
      </w:r>
      <w:r w:rsidR="00922ABE" w:rsidRPr="00BA28F2">
        <w:rPr>
          <w:lang w:val="en-GB"/>
        </w:rPr>
        <w:t>indicators;</w:t>
      </w:r>
      <w:r w:rsidRPr="00BA28F2">
        <w:rPr>
          <w:lang w:val="en-GB"/>
        </w:rPr>
        <w:t xml:space="preserve"> incorporating the five most </w:t>
      </w:r>
      <w:r w:rsidR="00922ABE" w:rsidRPr="00BA28F2">
        <w:rPr>
          <w:lang w:val="en-GB"/>
        </w:rPr>
        <w:t>frequently,</w:t>
      </w:r>
      <w:r w:rsidRPr="00BA28F2">
        <w:rPr>
          <w:lang w:val="en-GB"/>
        </w:rPr>
        <w:t xml:space="preserve"> occurring factors in incident reviews and the five most highly valued by experts. It is worth noting that some factors, despite discrepancies between expert assessments and incident reviews, have been included in the dashboard. The documentary review has highlighted critical factors that experts consider to be of low importance, such as human performance, environmental conditions in design, and contractor supervision processes. Similarly, two factors with low prevalence in incident reports but deemed highly critical by experts—regulatory compliance and the prevention of secondary accidents resulting from an event—have also been included. The resul</w:t>
      </w:r>
      <w:r w:rsidR="0081226E">
        <w:rPr>
          <w:lang w:val="en-GB"/>
        </w:rPr>
        <w:t>t of the entire process is the d</w:t>
      </w:r>
      <w:r w:rsidRPr="00BA28F2">
        <w:rPr>
          <w:lang w:val="en-GB"/>
        </w:rPr>
        <w:t>ashboard proposal, as illustrated in</w:t>
      </w:r>
      <w:r w:rsidR="00B1278C">
        <w:rPr>
          <w:lang w:val="en-GB"/>
        </w:rPr>
        <w:t xml:space="preserve"> </w:t>
      </w:r>
      <w:r w:rsidR="00B1278C" w:rsidRPr="006F663F">
        <w:rPr>
          <w:highlight w:val="yellow"/>
          <w:lang w:val="en-GB"/>
        </w:rPr>
        <w:fldChar w:fldCharType="begin"/>
      </w:r>
      <w:r w:rsidR="00B1278C" w:rsidRPr="006F663F">
        <w:rPr>
          <w:highlight w:val="yellow"/>
          <w:lang w:val="en-GB"/>
        </w:rPr>
        <w:instrText xml:space="preserve"> REF _Ref195180411 \h </w:instrText>
      </w:r>
      <w:r w:rsidR="006F663F">
        <w:rPr>
          <w:highlight w:val="yellow"/>
          <w:lang w:val="en-GB"/>
        </w:rPr>
        <w:instrText xml:space="preserve"> \* MERGEFORMAT </w:instrText>
      </w:r>
      <w:r w:rsidR="00B1278C" w:rsidRPr="006F663F">
        <w:rPr>
          <w:highlight w:val="yellow"/>
          <w:lang w:val="en-GB"/>
        </w:rPr>
      </w:r>
      <w:r w:rsidR="00B1278C" w:rsidRPr="006F663F">
        <w:rPr>
          <w:highlight w:val="yellow"/>
          <w:lang w:val="en-GB"/>
        </w:rPr>
        <w:fldChar w:fldCharType="separate"/>
      </w:r>
      <w:r w:rsidR="00B1278C" w:rsidRPr="006F663F">
        <w:rPr>
          <w:highlight w:val="yellow"/>
        </w:rPr>
        <w:t>Table 4</w:t>
      </w:r>
      <w:r w:rsidR="00B1278C" w:rsidRPr="006F663F">
        <w:rPr>
          <w:highlight w:val="yellow"/>
          <w:lang w:val="en-GB"/>
        </w:rPr>
        <w:fldChar w:fldCharType="end"/>
      </w:r>
      <w:r w:rsidR="00B1278C">
        <w:rPr>
          <w:lang w:val="en-GB"/>
        </w:rPr>
        <w:t>.</w:t>
      </w:r>
    </w:p>
    <w:p w14:paraId="5CB0E7AA" w14:textId="1704A6A1" w:rsidR="00B1278C" w:rsidRDefault="00B1278C" w:rsidP="00B1278C">
      <w:pPr>
        <w:pStyle w:val="CETTabletitle"/>
        <w:spacing w:before="120" w:after="60" w:line="240" w:lineRule="auto"/>
      </w:pPr>
      <w:bookmarkStart w:id="14" w:name="_Ref195180411"/>
      <w:r>
        <w:t xml:space="preserve">Table </w:t>
      </w:r>
      <w:r>
        <w:fldChar w:fldCharType="begin"/>
      </w:r>
      <w:r>
        <w:instrText xml:space="preserve"> SEQ Table \* ARABIC </w:instrText>
      </w:r>
      <w:r>
        <w:fldChar w:fldCharType="separate"/>
      </w:r>
      <w:r>
        <w:t>4</w:t>
      </w:r>
      <w:r>
        <w:fldChar w:fldCharType="end"/>
      </w:r>
      <w:bookmarkEnd w:id="14"/>
      <w:r>
        <w:t xml:space="preserve">. </w:t>
      </w:r>
      <w:r w:rsidRPr="00143AE2">
        <w:t>Dashboard proposal for the safety of a hydrogen refuelling station</w:t>
      </w:r>
    </w:p>
    <w:tbl>
      <w:tblPr>
        <w:tblStyle w:val="Tablaconcuadrcula1"/>
        <w:tblW w:w="8199" w:type="dxa"/>
        <w:tblBorders>
          <w:top w:val="single" w:sz="4" w:space="0" w:color="008000"/>
          <w:left w:val="none" w:sz="0" w:space="0" w:color="auto"/>
          <w:bottom w:val="single" w:sz="4" w:space="0" w:color="008000"/>
          <w:right w:val="none" w:sz="0" w:space="0" w:color="auto"/>
          <w:insideH w:val="single" w:sz="4" w:space="0" w:color="008000"/>
          <w:insideV w:val="single" w:sz="4" w:space="0" w:color="008000"/>
        </w:tblBorders>
        <w:tblLook w:val="04A0" w:firstRow="1" w:lastRow="0" w:firstColumn="1" w:lastColumn="0" w:noHBand="0" w:noVBand="1"/>
      </w:tblPr>
      <w:tblGrid>
        <w:gridCol w:w="1838"/>
        <w:gridCol w:w="1017"/>
        <w:gridCol w:w="5344"/>
      </w:tblGrid>
      <w:tr w:rsidR="00234AFE" w:rsidRPr="00BA28F2" w14:paraId="7A1F115A" w14:textId="77777777" w:rsidTr="00234AFE">
        <w:tc>
          <w:tcPr>
            <w:tcW w:w="1838" w:type="dxa"/>
            <w:tcBorders>
              <w:top w:val="single" w:sz="12" w:space="0" w:color="008000"/>
              <w:bottom w:val="single" w:sz="12" w:space="0" w:color="008000"/>
            </w:tcBorders>
          </w:tcPr>
          <w:p w14:paraId="28B20D47" w14:textId="77777777" w:rsidR="00234AFE" w:rsidRPr="00BA28F2" w:rsidRDefault="00234AFE" w:rsidP="00234AFE">
            <w:pPr>
              <w:tabs>
                <w:tab w:val="clear" w:pos="7100"/>
              </w:tabs>
              <w:spacing w:after="40" w:line="259" w:lineRule="auto"/>
              <w:jc w:val="left"/>
              <w:rPr>
                <w:rFonts w:eastAsia="Aptos" w:cs="Arial"/>
                <w:b/>
                <w:sz w:val="16"/>
              </w:rPr>
            </w:pPr>
            <w:r w:rsidRPr="00BA28F2">
              <w:rPr>
                <w:rFonts w:eastAsia="Aptos" w:cs="Arial"/>
                <w:b/>
                <w:sz w:val="16"/>
              </w:rPr>
              <w:t>Scope</w:t>
            </w:r>
          </w:p>
        </w:tc>
        <w:tc>
          <w:tcPr>
            <w:tcW w:w="1017" w:type="dxa"/>
            <w:tcBorders>
              <w:top w:val="single" w:sz="12" w:space="0" w:color="008000"/>
              <w:bottom w:val="single" w:sz="12" w:space="0" w:color="008000"/>
            </w:tcBorders>
          </w:tcPr>
          <w:p w14:paraId="51B41C5E" w14:textId="77777777" w:rsidR="00234AFE" w:rsidRPr="00BA28F2" w:rsidRDefault="00234AFE" w:rsidP="00234AFE">
            <w:pPr>
              <w:tabs>
                <w:tab w:val="clear" w:pos="7100"/>
              </w:tabs>
              <w:spacing w:after="40" w:line="259" w:lineRule="auto"/>
              <w:jc w:val="center"/>
              <w:rPr>
                <w:rFonts w:eastAsia="Aptos" w:cs="Arial"/>
                <w:b/>
                <w:sz w:val="16"/>
              </w:rPr>
            </w:pPr>
            <w:r w:rsidRPr="00BA28F2">
              <w:rPr>
                <w:rFonts w:eastAsia="Aptos" w:cs="Arial"/>
                <w:b/>
                <w:sz w:val="16"/>
              </w:rPr>
              <w:t>Items</w:t>
            </w:r>
          </w:p>
        </w:tc>
        <w:tc>
          <w:tcPr>
            <w:tcW w:w="5344" w:type="dxa"/>
            <w:tcBorders>
              <w:top w:val="single" w:sz="12" w:space="0" w:color="008000"/>
              <w:bottom w:val="single" w:sz="12" w:space="0" w:color="008000"/>
            </w:tcBorders>
          </w:tcPr>
          <w:p w14:paraId="05B133DB" w14:textId="77777777" w:rsidR="00234AFE" w:rsidRPr="00BA28F2" w:rsidRDefault="00234AFE" w:rsidP="00234AFE">
            <w:pPr>
              <w:tabs>
                <w:tab w:val="clear" w:pos="7100"/>
              </w:tabs>
              <w:spacing w:after="40" w:line="259" w:lineRule="auto"/>
              <w:ind w:left="38"/>
              <w:jc w:val="center"/>
              <w:rPr>
                <w:rFonts w:eastAsia="Aptos" w:cs="Arial"/>
                <w:b/>
                <w:sz w:val="16"/>
              </w:rPr>
            </w:pPr>
            <w:r w:rsidRPr="00BA28F2">
              <w:rPr>
                <w:rFonts w:eastAsia="Aptos" w:cs="Arial"/>
                <w:b/>
                <w:sz w:val="16"/>
              </w:rPr>
              <w:t>Indicators</w:t>
            </w:r>
          </w:p>
        </w:tc>
      </w:tr>
      <w:tr w:rsidR="00234AFE" w:rsidRPr="00BA28F2" w14:paraId="7406E622" w14:textId="77777777" w:rsidTr="00234AFE">
        <w:tc>
          <w:tcPr>
            <w:tcW w:w="1838" w:type="dxa"/>
            <w:tcBorders>
              <w:top w:val="single" w:sz="12" w:space="0" w:color="008000"/>
            </w:tcBorders>
            <w:vAlign w:val="center"/>
          </w:tcPr>
          <w:p w14:paraId="14E99DC3" w14:textId="5D1D5E7D" w:rsidR="00234AFE" w:rsidRPr="00BA28F2" w:rsidRDefault="00234AFE" w:rsidP="00234AFE">
            <w:pPr>
              <w:tabs>
                <w:tab w:val="clear" w:pos="7100"/>
              </w:tabs>
              <w:spacing w:after="40" w:line="259" w:lineRule="auto"/>
              <w:jc w:val="left"/>
              <w:rPr>
                <w:rFonts w:eastAsia="Aptos" w:cs="Arial"/>
                <w:sz w:val="16"/>
              </w:rPr>
            </w:pPr>
            <w:r w:rsidRPr="00BA28F2">
              <w:rPr>
                <w:rFonts w:eastAsia="Aptos" w:cs="Arial"/>
                <w:sz w:val="16"/>
              </w:rPr>
              <w:t xml:space="preserve">Design </w:t>
            </w:r>
            <w:r w:rsidRPr="00BA28F2">
              <w:rPr>
                <w:rFonts w:eastAsia="Aptos" w:cs="Arial"/>
                <w:sz w:val="16"/>
                <w:szCs w:val="18"/>
              </w:rPr>
              <w:t>[specifications and standards</w:t>
            </w:r>
            <w:r w:rsidR="001B2679" w:rsidRPr="00BA28F2">
              <w:rPr>
                <w:rFonts w:eastAsia="Aptos" w:cs="Arial"/>
                <w:sz w:val="16"/>
              </w:rPr>
              <w:t>]</w:t>
            </w:r>
          </w:p>
        </w:tc>
        <w:tc>
          <w:tcPr>
            <w:tcW w:w="1017" w:type="dxa"/>
            <w:tcBorders>
              <w:top w:val="single" w:sz="12" w:space="0" w:color="008000"/>
            </w:tcBorders>
            <w:vAlign w:val="center"/>
          </w:tcPr>
          <w:p w14:paraId="61560340" w14:textId="77777777" w:rsidR="00234AFE" w:rsidRPr="00BA28F2" w:rsidRDefault="00234AFE" w:rsidP="00234AFE">
            <w:pPr>
              <w:tabs>
                <w:tab w:val="clear" w:pos="7100"/>
              </w:tabs>
              <w:spacing w:after="40" w:line="259" w:lineRule="auto"/>
              <w:jc w:val="center"/>
              <w:rPr>
                <w:rFonts w:eastAsia="Aptos" w:cs="Arial"/>
                <w:sz w:val="16"/>
              </w:rPr>
            </w:pPr>
            <w:r w:rsidRPr="00BA28F2">
              <w:rPr>
                <w:rFonts w:eastAsia="Aptos" w:cs="Arial"/>
                <w:sz w:val="16"/>
              </w:rPr>
              <w:t>1</w:t>
            </w:r>
          </w:p>
        </w:tc>
        <w:tc>
          <w:tcPr>
            <w:tcW w:w="5344" w:type="dxa"/>
            <w:tcBorders>
              <w:top w:val="single" w:sz="12" w:space="0" w:color="008000"/>
            </w:tcBorders>
            <w:vAlign w:val="center"/>
          </w:tcPr>
          <w:p w14:paraId="3BC79E0B" w14:textId="31374E52" w:rsidR="00234AFE" w:rsidRPr="00BA28F2" w:rsidRDefault="0061740F" w:rsidP="0012277D">
            <w:pPr>
              <w:numPr>
                <w:ilvl w:val="0"/>
                <w:numId w:val="31"/>
              </w:numPr>
              <w:tabs>
                <w:tab w:val="clear" w:pos="7100"/>
              </w:tabs>
              <w:spacing w:after="40" w:line="240" w:lineRule="auto"/>
              <w:ind w:left="455" w:hanging="455"/>
              <w:contextualSpacing/>
              <w:rPr>
                <w:rFonts w:eastAsia="Aptos" w:cs="Arial"/>
                <w:sz w:val="16"/>
              </w:rPr>
            </w:pPr>
            <w:r w:rsidRPr="00BA28F2">
              <w:rPr>
                <w:rFonts w:eastAsia="Aptos" w:cs="Arial"/>
                <w:sz w:val="16"/>
              </w:rPr>
              <w:t>Number of regulatory and/or legal non</w:t>
            </w:r>
            <w:r w:rsidR="002E0250" w:rsidRPr="00BA28F2">
              <w:rPr>
                <w:rFonts w:eastAsia="Aptos" w:cs="Arial"/>
                <w:sz w:val="16"/>
              </w:rPr>
              <w:t>-</w:t>
            </w:r>
            <w:r w:rsidRPr="00BA28F2">
              <w:rPr>
                <w:rFonts w:eastAsia="Aptos" w:cs="Arial"/>
                <w:sz w:val="16"/>
              </w:rPr>
              <w:t>compliances identified during official inspections or audits per quarter (lagging indicator)</w:t>
            </w:r>
          </w:p>
        </w:tc>
      </w:tr>
      <w:tr w:rsidR="00234AFE" w:rsidRPr="00BA28F2" w14:paraId="4D3F3DAA" w14:textId="77777777" w:rsidTr="00234AFE">
        <w:tc>
          <w:tcPr>
            <w:tcW w:w="1838" w:type="dxa"/>
            <w:vAlign w:val="center"/>
          </w:tcPr>
          <w:p w14:paraId="47B793E6" w14:textId="63339420" w:rsidR="00234AFE" w:rsidRPr="00BA28F2" w:rsidRDefault="00234AFE" w:rsidP="00234AFE">
            <w:pPr>
              <w:tabs>
                <w:tab w:val="clear" w:pos="7100"/>
              </w:tabs>
              <w:spacing w:after="40" w:line="259" w:lineRule="auto"/>
              <w:jc w:val="left"/>
              <w:rPr>
                <w:rFonts w:eastAsia="Aptos" w:cs="Arial"/>
                <w:sz w:val="16"/>
              </w:rPr>
            </w:pPr>
            <w:r w:rsidRPr="00BA28F2">
              <w:rPr>
                <w:rFonts w:eastAsia="Aptos" w:cs="Arial"/>
                <w:sz w:val="16"/>
              </w:rPr>
              <w:t xml:space="preserve">Design </w:t>
            </w:r>
            <w:r w:rsidRPr="00BA28F2">
              <w:rPr>
                <w:rFonts w:eastAsia="Aptos" w:cs="Arial"/>
                <w:sz w:val="16"/>
                <w:szCs w:val="18"/>
              </w:rPr>
              <w:t>[environmental conditions]</w:t>
            </w:r>
          </w:p>
        </w:tc>
        <w:tc>
          <w:tcPr>
            <w:tcW w:w="1017" w:type="dxa"/>
            <w:vAlign w:val="center"/>
          </w:tcPr>
          <w:p w14:paraId="68B1A79C" w14:textId="77777777" w:rsidR="00234AFE" w:rsidRPr="00BA28F2" w:rsidRDefault="00234AFE" w:rsidP="00234AFE">
            <w:pPr>
              <w:tabs>
                <w:tab w:val="clear" w:pos="7100"/>
              </w:tabs>
              <w:spacing w:after="40" w:line="259" w:lineRule="auto"/>
              <w:jc w:val="center"/>
              <w:rPr>
                <w:rFonts w:eastAsia="Aptos" w:cs="Arial"/>
                <w:sz w:val="16"/>
              </w:rPr>
            </w:pPr>
            <w:r w:rsidRPr="00BA28F2">
              <w:rPr>
                <w:rFonts w:eastAsia="Aptos" w:cs="Arial"/>
                <w:sz w:val="16"/>
              </w:rPr>
              <w:t>3</w:t>
            </w:r>
          </w:p>
        </w:tc>
        <w:tc>
          <w:tcPr>
            <w:tcW w:w="5344" w:type="dxa"/>
            <w:vAlign w:val="center"/>
          </w:tcPr>
          <w:p w14:paraId="0277E956" w14:textId="77777777" w:rsidR="00234AFE" w:rsidRPr="00BA28F2" w:rsidRDefault="00234AFE" w:rsidP="0012277D">
            <w:pPr>
              <w:numPr>
                <w:ilvl w:val="0"/>
                <w:numId w:val="31"/>
              </w:numPr>
              <w:tabs>
                <w:tab w:val="clear" w:pos="7100"/>
              </w:tabs>
              <w:spacing w:after="40" w:line="240" w:lineRule="auto"/>
              <w:ind w:left="455" w:hanging="455"/>
              <w:contextualSpacing/>
              <w:rPr>
                <w:rFonts w:eastAsia="Aptos" w:cs="Arial"/>
                <w:sz w:val="16"/>
              </w:rPr>
            </w:pPr>
            <w:r w:rsidRPr="00BA28F2">
              <w:rPr>
                <w:rFonts w:eastAsia="Aptos" w:cs="Arial"/>
                <w:sz w:val="16"/>
              </w:rPr>
              <w:t>Number of failures of components, equipment, and systems due to environmental conditions outside of design limits (quarterly / leading)</w:t>
            </w:r>
          </w:p>
        </w:tc>
      </w:tr>
      <w:tr w:rsidR="00234AFE" w:rsidRPr="00BA28F2" w14:paraId="1FC1F3F2" w14:textId="77777777" w:rsidTr="00234AFE">
        <w:tc>
          <w:tcPr>
            <w:tcW w:w="1838" w:type="dxa"/>
            <w:vAlign w:val="center"/>
          </w:tcPr>
          <w:p w14:paraId="0E2D9029" w14:textId="4CC67933" w:rsidR="00234AFE" w:rsidRPr="00BA28F2" w:rsidRDefault="00234AFE" w:rsidP="00234AFE">
            <w:pPr>
              <w:tabs>
                <w:tab w:val="clear" w:pos="7100"/>
              </w:tabs>
              <w:spacing w:after="40" w:line="259" w:lineRule="auto"/>
              <w:jc w:val="left"/>
              <w:rPr>
                <w:rFonts w:eastAsia="Aptos" w:cs="Arial"/>
                <w:sz w:val="16"/>
              </w:rPr>
            </w:pPr>
            <w:r w:rsidRPr="00BA28F2">
              <w:rPr>
                <w:rFonts w:eastAsia="Aptos" w:cs="Arial"/>
                <w:sz w:val="16"/>
              </w:rPr>
              <w:t>Operational specifications</w:t>
            </w:r>
          </w:p>
        </w:tc>
        <w:tc>
          <w:tcPr>
            <w:tcW w:w="1017" w:type="dxa"/>
            <w:vAlign w:val="center"/>
          </w:tcPr>
          <w:p w14:paraId="05002082" w14:textId="77777777" w:rsidR="00234AFE" w:rsidRPr="00BA28F2" w:rsidRDefault="00234AFE" w:rsidP="00234AFE">
            <w:pPr>
              <w:tabs>
                <w:tab w:val="clear" w:pos="7100"/>
              </w:tabs>
              <w:spacing w:after="40" w:line="259" w:lineRule="auto"/>
              <w:jc w:val="center"/>
              <w:rPr>
                <w:rFonts w:eastAsia="Aptos" w:cs="Arial"/>
                <w:sz w:val="16"/>
              </w:rPr>
            </w:pPr>
            <w:r w:rsidRPr="00BA28F2">
              <w:rPr>
                <w:rFonts w:eastAsia="Aptos" w:cs="Arial"/>
                <w:sz w:val="16"/>
              </w:rPr>
              <w:t>8</w:t>
            </w:r>
          </w:p>
        </w:tc>
        <w:tc>
          <w:tcPr>
            <w:tcW w:w="5344" w:type="dxa"/>
            <w:vAlign w:val="center"/>
          </w:tcPr>
          <w:p w14:paraId="70EBC3C3" w14:textId="77777777" w:rsidR="00234AFE" w:rsidRPr="00BA28F2" w:rsidRDefault="00234AFE" w:rsidP="0012277D">
            <w:pPr>
              <w:numPr>
                <w:ilvl w:val="0"/>
                <w:numId w:val="31"/>
              </w:numPr>
              <w:tabs>
                <w:tab w:val="clear" w:pos="7100"/>
              </w:tabs>
              <w:spacing w:after="40" w:line="240" w:lineRule="auto"/>
              <w:ind w:left="455" w:hanging="455"/>
              <w:rPr>
                <w:rFonts w:eastAsia="Aptos" w:cs="Arial"/>
                <w:sz w:val="16"/>
              </w:rPr>
            </w:pPr>
            <w:r w:rsidRPr="00BA28F2">
              <w:rPr>
                <w:rFonts w:eastAsia="Aptos" w:cs="Arial"/>
                <w:sz w:val="16"/>
              </w:rPr>
              <w:t>Percentage of effective operational readiness verifications completed during the normal operation, in accordance with the quality assurance plan (quarterly / lagging)</w:t>
            </w:r>
          </w:p>
        </w:tc>
      </w:tr>
      <w:tr w:rsidR="00234AFE" w:rsidRPr="00BA28F2" w14:paraId="4907B534" w14:textId="77777777" w:rsidTr="00234AFE">
        <w:tc>
          <w:tcPr>
            <w:tcW w:w="1838" w:type="dxa"/>
            <w:vAlign w:val="center"/>
          </w:tcPr>
          <w:p w14:paraId="6EB8582A" w14:textId="752470BE" w:rsidR="00234AFE" w:rsidRPr="00BA28F2" w:rsidRDefault="00234AFE" w:rsidP="00234AFE">
            <w:pPr>
              <w:tabs>
                <w:tab w:val="clear" w:pos="7100"/>
              </w:tabs>
              <w:spacing w:after="40" w:line="259" w:lineRule="auto"/>
              <w:jc w:val="left"/>
              <w:rPr>
                <w:rFonts w:eastAsia="Aptos" w:cs="Arial"/>
                <w:sz w:val="16"/>
              </w:rPr>
            </w:pPr>
            <w:r w:rsidRPr="00BA28F2">
              <w:rPr>
                <w:rFonts w:eastAsia="Aptos" w:cs="Arial"/>
                <w:sz w:val="16"/>
              </w:rPr>
              <w:t>Maintenance and inspection plan</w:t>
            </w:r>
          </w:p>
        </w:tc>
        <w:tc>
          <w:tcPr>
            <w:tcW w:w="1017" w:type="dxa"/>
            <w:vAlign w:val="center"/>
          </w:tcPr>
          <w:p w14:paraId="311B2783" w14:textId="77777777" w:rsidR="00234AFE" w:rsidRPr="00BA28F2" w:rsidRDefault="00234AFE" w:rsidP="00234AFE">
            <w:pPr>
              <w:tabs>
                <w:tab w:val="clear" w:pos="7100"/>
              </w:tabs>
              <w:spacing w:after="40" w:line="259" w:lineRule="auto"/>
              <w:jc w:val="center"/>
              <w:rPr>
                <w:rFonts w:eastAsia="Aptos" w:cs="Arial"/>
                <w:sz w:val="16"/>
              </w:rPr>
            </w:pPr>
            <w:r w:rsidRPr="00BA28F2">
              <w:rPr>
                <w:rFonts w:eastAsia="Aptos" w:cs="Arial"/>
                <w:sz w:val="16"/>
              </w:rPr>
              <w:t>6, 14, 15</w:t>
            </w:r>
          </w:p>
        </w:tc>
        <w:tc>
          <w:tcPr>
            <w:tcW w:w="5344" w:type="dxa"/>
            <w:vAlign w:val="center"/>
          </w:tcPr>
          <w:p w14:paraId="79C7A7ED" w14:textId="77777777" w:rsidR="00234AFE" w:rsidRPr="00BA28F2" w:rsidRDefault="00234AFE" w:rsidP="0012277D">
            <w:pPr>
              <w:numPr>
                <w:ilvl w:val="0"/>
                <w:numId w:val="31"/>
              </w:numPr>
              <w:tabs>
                <w:tab w:val="clear" w:pos="7100"/>
              </w:tabs>
              <w:spacing w:after="40" w:line="240" w:lineRule="auto"/>
              <w:ind w:left="455" w:hanging="455"/>
              <w:rPr>
                <w:rFonts w:eastAsia="Aptos" w:cs="Arial"/>
                <w:sz w:val="16"/>
              </w:rPr>
            </w:pPr>
            <w:r w:rsidRPr="00BA28F2">
              <w:rPr>
                <w:rFonts w:eastAsia="Aptos" w:cs="Arial"/>
                <w:sz w:val="16"/>
              </w:rPr>
              <w:t>Percentage of maintenance and inspection tasks completed on time, as compared to the timeline outlined in the annual plan (quarterly / leading)</w:t>
            </w:r>
          </w:p>
          <w:p w14:paraId="7B82190B" w14:textId="5E8A486A" w:rsidR="00234AFE" w:rsidRPr="00BA28F2" w:rsidRDefault="00234AFE" w:rsidP="0012277D">
            <w:pPr>
              <w:numPr>
                <w:ilvl w:val="0"/>
                <w:numId w:val="31"/>
              </w:numPr>
              <w:tabs>
                <w:tab w:val="clear" w:pos="7100"/>
              </w:tabs>
              <w:spacing w:after="40" w:line="240" w:lineRule="auto"/>
              <w:ind w:left="455" w:hanging="455"/>
              <w:rPr>
                <w:rFonts w:eastAsia="Aptos" w:cs="Arial"/>
                <w:sz w:val="16"/>
              </w:rPr>
            </w:pPr>
            <w:r w:rsidRPr="00BA28F2">
              <w:rPr>
                <w:rFonts w:eastAsia="Aptos" w:cs="Arial"/>
                <w:sz w:val="16"/>
              </w:rPr>
              <w:t>Number of leak detections (H</w:t>
            </w:r>
            <w:r w:rsidRPr="00BA28F2">
              <w:rPr>
                <w:rFonts w:eastAsia="Aptos" w:cs="Arial"/>
                <w:sz w:val="16"/>
                <w:vertAlign w:val="subscript"/>
              </w:rPr>
              <w:t>2</w:t>
            </w:r>
            <w:r w:rsidRPr="00BA28F2">
              <w:rPr>
                <w:rFonts w:eastAsia="Aptos" w:cs="Arial"/>
                <w:sz w:val="16"/>
              </w:rPr>
              <w:t xml:space="preserve"> 25% LEL, 1% concentration during HRS operation (quarterly / lagging)</w:t>
            </w:r>
          </w:p>
        </w:tc>
      </w:tr>
      <w:tr w:rsidR="00234AFE" w:rsidRPr="00BA28F2" w14:paraId="4D16F6C7" w14:textId="77777777" w:rsidTr="00234AFE">
        <w:tc>
          <w:tcPr>
            <w:tcW w:w="1838" w:type="dxa"/>
            <w:vAlign w:val="center"/>
          </w:tcPr>
          <w:p w14:paraId="47BF6F9F" w14:textId="77777777" w:rsidR="00234AFE" w:rsidRPr="00BA28F2" w:rsidRDefault="00234AFE" w:rsidP="00234AFE">
            <w:pPr>
              <w:tabs>
                <w:tab w:val="clear" w:pos="7100"/>
              </w:tabs>
              <w:spacing w:after="40" w:line="259" w:lineRule="auto"/>
              <w:jc w:val="left"/>
              <w:rPr>
                <w:rFonts w:eastAsia="Aptos" w:cs="Arial"/>
                <w:sz w:val="16"/>
              </w:rPr>
            </w:pPr>
            <w:r w:rsidRPr="00BA28F2">
              <w:rPr>
                <w:rFonts w:eastAsia="Aptos" w:cs="Arial"/>
                <w:sz w:val="16"/>
              </w:rPr>
              <w:t>Human performance</w:t>
            </w:r>
          </w:p>
          <w:p w14:paraId="1629F78A" w14:textId="77777777" w:rsidR="00234AFE" w:rsidRPr="00BA28F2" w:rsidRDefault="00234AFE" w:rsidP="00234AFE">
            <w:pPr>
              <w:tabs>
                <w:tab w:val="clear" w:pos="7100"/>
              </w:tabs>
              <w:spacing w:after="40" w:line="259" w:lineRule="auto"/>
              <w:jc w:val="left"/>
              <w:rPr>
                <w:rFonts w:eastAsia="Aptos" w:cs="Arial"/>
                <w:sz w:val="16"/>
              </w:rPr>
            </w:pPr>
          </w:p>
        </w:tc>
        <w:tc>
          <w:tcPr>
            <w:tcW w:w="1017" w:type="dxa"/>
            <w:vAlign w:val="center"/>
          </w:tcPr>
          <w:p w14:paraId="630A1544" w14:textId="77777777" w:rsidR="00234AFE" w:rsidRPr="00BA28F2" w:rsidRDefault="00234AFE" w:rsidP="00234AFE">
            <w:pPr>
              <w:tabs>
                <w:tab w:val="clear" w:pos="7100"/>
              </w:tabs>
              <w:spacing w:after="40" w:line="259" w:lineRule="auto"/>
              <w:jc w:val="center"/>
              <w:rPr>
                <w:rFonts w:eastAsia="Aptos" w:cs="Arial"/>
                <w:sz w:val="16"/>
              </w:rPr>
            </w:pPr>
            <w:r w:rsidRPr="00BA28F2">
              <w:rPr>
                <w:rFonts w:eastAsia="Aptos" w:cs="Arial"/>
                <w:sz w:val="16"/>
              </w:rPr>
              <w:t>16</w:t>
            </w:r>
          </w:p>
        </w:tc>
        <w:tc>
          <w:tcPr>
            <w:tcW w:w="5344" w:type="dxa"/>
            <w:vAlign w:val="center"/>
          </w:tcPr>
          <w:p w14:paraId="14DEAB05" w14:textId="3FB593F3" w:rsidR="00234AFE" w:rsidRPr="00BA28F2" w:rsidRDefault="00234AFE" w:rsidP="0012277D">
            <w:pPr>
              <w:numPr>
                <w:ilvl w:val="0"/>
                <w:numId w:val="31"/>
              </w:numPr>
              <w:tabs>
                <w:tab w:val="clear" w:pos="7100"/>
              </w:tabs>
              <w:spacing w:after="40" w:line="240" w:lineRule="auto"/>
              <w:ind w:left="455" w:hanging="455"/>
              <w:rPr>
                <w:rFonts w:eastAsia="Aptos" w:cs="Arial"/>
                <w:sz w:val="16"/>
              </w:rPr>
            </w:pPr>
            <w:r w:rsidRPr="00BA28F2">
              <w:rPr>
                <w:rFonts w:eastAsia="Aptos" w:cs="Arial"/>
                <w:sz w:val="16"/>
              </w:rPr>
              <w:t xml:space="preserve">Number of </w:t>
            </w:r>
            <w:r w:rsidR="006870A1" w:rsidRPr="00BA28F2">
              <w:rPr>
                <w:rFonts w:eastAsia="Aptos" w:cs="Arial"/>
                <w:sz w:val="16"/>
              </w:rPr>
              <w:t>events</w:t>
            </w:r>
            <w:r w:rsidRPr="00BA28F2">
              <w:rPr>
                <w:rFonts w:eastAsia="Aptos" w:cs="Arial"/>
                <w:sz w:val="16"/>
              </w:rPr>
              <w:t xml:space="preserve"> due to human error </w:t>
            </w:r>
            <w:r w:rsidR="006870A1" w:rsidRPr="00BA28F2">
              <w:rPr>
                <w:rFonts w:eastAsia="Aptos" w:cs="Arial"/>
                <w:sz w:val="16"/>
              </w:rPr>
              <w:t>(</w:t>
            </w:r>
            <w:r w:rsidRPr="00BA28F2">
              <w:rPr>
                <w:rFonts w:eastAsia="Aptos" w:cs="Arial"/>
                <w:sz w:val="16"/>
              </w:rPr>
              <w:t>quarterly/lagging)</w:t>
            </w:r>
          </w:p>
          <w:p w14:paraId="3D53A613" w14:textId="77777777" w:rsidR="00234AFE" w:rsidRPr="00BA28F2" w:rsidRDefault="00234AFE" w:rsidP="0012277D">
            <w:pPr>
              <w:numPr>
                <w:ilvl w:val="0"/>
                <w:numId w:val="31"/>
              </w:numPr>
              <w:tabs>
                <w:tab w:val="clear" w:pos="7100"/>
              </w:tabs>
              <w:spacing w:after="40" w:line="240" w:lineRule="auto"/>
              <w:ind w:left="455" w:hanging="455"/>
              <w:rPr>
                <w:rFonts w:eastAsia="Aptos" w:cs="Arial"/>
                <w:sz w:val="16"/>
              </w:rPr>
            </w:pPr>
            <w:r w:rsidRPr="00BA28F2">
              <w:rPr>
                <w:rFonts w:eastAsia="Aptos" w:cs="Arial"/>
                <w:sz w:val="16"/>
              </w:rPr>
              <w:t>Percentage of employees trained in hydrogen-specific emergency procedures (annual /leading)</w:t>
            </w:r>
          </w:p>
        </w:tc>
      </w:tr>
      <w:tr w:rsidR="00234AFE" w:rsidRPr="00BA28F2" w14:paraId="269877BE" w14:textId="77777777" w:rsidTr="00234AFE">
        <w:tc>
          <w:tcPr>
            <w:tcW w:w="1838" w:type="dxa"/>
            <w:tcBorders>
              <w:bottom w:val="single" w:sz="4" w:space="0" w:color="008000"/>
            </w:tcBorders>
            <w:vAlign w:val="center"/>
          </w:tcPr>
          <w:p w14:paraId="0505FBE6" w14:textId="1206135A" w:rsidR="00234AFE" w:rsidRPr="00BA28F2" w:rsidRDefault="00234AFE" w:rsidP="00234AFE">
            <w:pPr>
              <w:tabs>
                <w:tab w:val="clear" w:pos="7100"/>
              </w:tabs>
              <w:spacing w:after="40" w:line="259" w:lineRule="auto"/>
              <w:jc w:val="left"/>
              <w:rPr>
                <w:rFonts w:eastAsia="Aptos" w:cs="Arial"/>
                <w:sz w:val="16"/>
              </w:rPr>
            </w:pPr>
            <w:r w:rsidRPr="00BA28F2">
              <w:rPr>
                <w:rFonts w:eastAsia="Aptos" w:cs="Arial"/>
                <w:sz w:val="16"/>
              </w:rPr>
              <w:lastRenderedPageBreak/>
              <w:t>Overseeing suppliers</w:t>
            </w:r>
          </w:p>
        </w:tc>
        <w:tc>
          <w:tcPr>
            <w:tcW w:w="1017" w:type="dxa"/>
            <w:tcBorders>
              <w:bottom w:val="single" w:sz="4" w:space="0" w:color="008000"/>
            </w:tcBorders>
            <w:vAlign w:val="center"/>
          </w:tcPr>
          <w:p w14:paraId="519D6498" w14:textId="77777777" w:rsidR="00234AFE" w:rsidRPr="00BA28F2" w:rsidRDefault="00234AFE" w:rsidP="00234AFE">
            <w:pPr>
              <w:tabs>
                <w:tab w:val="clear" w:pos="7100"/>
              </w:tabs>
              <w:spacing w:after="40" w:line="259" w:lineRule="auto"/>
              <w:jc w:val="center"/>
              <w:rPr>
                <w:rFonts w:eastAsia="Aptos" w:cs="Arial"/>
                <w:sz w:val="16"/>
              </w:rPr>
            </w:pPr>
            <w:r w:rsidRPr="00BA28F2">
              <w:rPr>
                <w:rFonts w:eastAsia="Aptos" w:cs="Arial"/>
                <w:sz w:val="16"/>
              </w:rPr>
              <w:t>18</w:t>
            </w:r>
          </w:p>
        </w:tc>
        <w:tc>
          <w:tcPr>
            <w:tcW w:w="5344" w:type="dxa"/>
            <w:tcBorders>
              <w:bottom w:val="single" w:sz="4" w:space="0" w:color="008000"/>
            </w:tcBorders>
            <w:vAlign w:val="center"/>
          </w:tcPr>
          <w:p w14:paraId="1E290458" w14:textId="77777777" w:rsidR="00234AFE" w:rsidRPr="00BA28F2" w:rsidRDefault="00234AFE" w:rsidP="0012277D">
            <w:pPr>
              <w:numPr>
                <w:ilvl w:val="0"/>
                <w:numId w:val="31"/>
              </w:numPr>
              <w:tabs>
                <w:tab w:val="clear" w:pos="7100"/>
              </w:tabs>
              <w:spacing w:after="40" w:line="240" w:lineRule="auto"/>
              <w:ind w:left="455" w:hanging="455"/>
              <w:rPr>
                <w:rFonts w:eastAsia="Aptos" w:cs="Arial"/>
                <w:sz w:val="16"/>
              </w:rPr>
            </w:pPr>
            <w:r w:rsidRPr="00BA28F2">
              <w:rPr>
                <w:rFonts w:eastAsia="Aptos" w:cs="Arial"/>
                <w:sz w:val="16"/>
              </w:rPr>
              <w:t>Percentage of key supplier quality audits completed on time, as compared to the timeline outlined in the supply requirements (annual / leading)</w:t>
            </w:r>
          </w:p>
        </w:tc>
      </w:tr>
      <w:tr w:rsidR="00234AFE" w:rsidRPr="00BA28F2" w14:paraId="3E434638" w14:textId="77777777" w:rsidTr="00234AFE">
        <w:tc>
          <w:tcPr>
            <w:tcW w:w="1838" w:type="dxa"/>
            <w:tcBorders>
              <w:bottom w:val="single" w:sz="12" w:space="0" w:color="008000"/>
            </w:tcBorders>
            <w:vAlign w:val="center"/>
          </w:tcPr>
          <w:p w14:paraId="42366A59" w14:textId="222B106F" w:rsidR="00234AFE" w:rsidRPr="00BA28F2" w:rsidRDefault="00234AFE" w:rsidP="00234AFE">
            <w:pPr>
              <w:tabs>
                <w:tab w:val="clear" w:pos="7100"/>
              </w:tabs>
              <w:spacing w:after="40" w:line="259" w:lineRule="auto"/>
              <w:jc w:val="left"/>
              <w:rPr>
                <w:rFonts w:eastAsia="Aptos" w:cs="Arial"/>
                <w:sz w:val="16"/>
              </w:rPr>
            </w:pPr>
            <w:r w:rsidRPr="00BA28F2">
              <w:rPr>
                <w:rFonts w:eastAsia="Aptos" w:cs="Arial"/>
                <w:sz w:val="16"/>
              </w:rPr>
              <w:t>Follow-</w:t>
            </w:r>
            <w:r w:rsidR="00355EE9" w:rsidRPr="00BA28F2">
              <w:rPr>
                <w:rFonts w:eastAsia="Aptos" w:cs="Arial"/>
                <w:sz w:val="16"/>
              </w:rPr>
              <w:t>on</w:t>
            </w:r>
            <w:r w:rsidRPr="00BA28F2">
              <w:rPr>
                <w:rFonts w:eastAsia="Aptos" w:cs="Arial"/>
                <w:sz w:val="16"/>
              </w:rPr>
              <w:t xml:space="preserve"> accident</w:t>
            </w:r>
          </w:p>
        </w:tc>
        <w:tc>
          <w:tcPr>
            <w:tcW w:w="1017" w:type="dxa"/>
            <w:tcBorders>
              <w:bottom w:val="single" w:sz="12" w:space="0" w:color="008000"/>
            </w:tcBorders>
            <w:vAlign w:val="center"/>
          </w:tcPr>
          <w:p w14:paraId="3C9AA642" w14:textId="77777777" w:rsidR="00234AFE" w:rsidRPr="00BA28F2" w:rsidRDefault="00234AFE" w:rsidP="00234AFE">
            <w:pPr>
              <w:tabs>
                <w:tab w:val="clear" w:pos="7100"/>
              </w:tabs>
              <w:spacing w:after="40" w:line="259" w:lineRule="auto"/>
              <w:jc w:val="center"/>
              <w:rPr>
                <w:rFonts w:eastAsia="Aptos" w:cs="Arial"/>
                <w:sz w:val="16"/>
              </w:rPr>
            </w:pPr>
            <w:r w:rsidRPr="00BA28F2">
              <w:rPr>
                <w:rFonts w:eastAsia="Aptos" w:cs="Arial"/>
                <w:sz w:val="16"/>
              </w:rPr>
              <w:t>10</w:t>
            </w:r>
          </w:p>
        </w:tc>
        <w:tc>
          <w:tcPr>
            <w:tcW w:w="5344" w:type="dxa"/>
            <w:tcBorders>
              <w:bottom w:val="single" w:sz="12" w:space="0" w:color="008000"/>
            </w:tcBorders>
            <w:vAlign w:val="center"/>
          </w:tcPr>
          <w:p w14:paraId="13E90839" w14:textId="00714401" w:rsidR="00234AFE" w:rsidRPr="00BA28F2" w:rsidRDefault="00234AFE" w:rsidP="0012277D">
            <w:pPr>
              <w:numPr>
                <w:ilvl w:val="0"/>
                <w:numId w:val="31"/>
              </w:numPr>
              <w:tabs>
                <w:tab w:val="clear" w:pos="7100"/>
              </w:tabs>
              <w:spacing w:after="40" w:line="240" w:lineRule="auto"/>
              <w:ind w:left="455" w:hanging="455"/>
              <w:rPr>
                <w:rFonts w:eastAsia="Aptos" w:cs="Arial"/>
                <w:sz w:val="16"/>
              </w:rPr>
            </w:pPr>
            <w:r w:rsidRPr="00BA28F2">
              <w:rPr>
                <w:rFonts w:eastAsia="Aptos" w:cs="Arial"/>
                <w:sz w:val="16"/>
              </w:rPr>
              <w:t>Number of secondary or follow-</w:t>
            </w:r>
            <w:r w:rsidR="00355EE9" w:rsidRPr="00BA28F2">
              <w:rPr>
                <w:rFonts w:eastAsia="Aptos" w:cs="Arial"/>
                <w:sz w:val="16"/>
              </w:rPr>
              <w:t>on</w:t>
            </w:r>
            <w:r w:rsidRPr="00BA28F2">
              <w:rPr>
                <w:rFonts w:eastAsia="Aptos" w:cs="Arial"/>
                <w:sz w:val="16"/>
              </w:rPr>
              <w:t xml:space="preserve"> incidents occurring after a primary incident (quarterly / lagging)</w:t>
            </w:r>
          </w:p>
          <w:p w14:paraId="6DED28CE" w14:textId="4B5A898B" w:rsidR="00234AFE" w:rsidRPr="00BA28F2" w:rsidRDefault="0058485C" w:rsidP="0012277D">
            <w:pPr>
              <w:numPr>
                <w:ilvl w:val="0"/>
                <w:numId w:val="31"/>
              </w:numPr>
              <w:tabs>
                <w:tab w:val="clear" w:pos="7100"/>
              </w:tabs>
              <w:spacing w:after="40" w:line="240" w:lineRule="auto"/>
              <w:ind w:left="455" w:hanging="455"/>
              <w:contextualSpacing/>
              <w:rPr>
                <w:rFonts w:eastAsia="Aptos" w:cs="Arial"/>
                <w:sz w:val="16"/>
              </w:rPr>
            </w:pPr>
            <w:r w:rsidRPr="00BA28F2">
              <w:rPr>
                <w:rFonts w:eastAsia="Aptos" w:cs="Arial"/>
                <w:sz w:val="16"/>
              </w:rPr>
              <w:t xml:space="preserve">Percentage of corrective actions implemented on time after an </w:t>
            </w:r>
            <w:r w:rsidR="00663434" w:rsidRPr="00BA28F2">
              <w:rPr>
                <w:rFonts w:eastAsia="Aptos" w:cs="Arial"/>
                <w:sz w:val="16"/>
              </w:rPr>
              <w:t>incident (</w:t>
            </w:r>
            <w:r w:rsidR="00234AFE" w:rsidRPr="00BA28F2">
              <w:rPr>
                <w:rFonts w:eastAsia="Aptos" w:cs="Arial"/>
                <w:sz w:val="16"/>
              </w:rPr>
              <w:t>annual / leading)</w:t>
            </w:r>
          </w:p>
        </w:tc>
      </w:tr>
    </w:tbl>
    <w:p w14:paraId="68D26B83" w14:textId="3B9EC130" w:rsidR="00600535" w:rsidRPr="00BA28F2" w:rsidRDefault="00600535" w:rsidP="004B69DF">
      <w:pPr>
        <w:pStyle w:val="CETHeading1"/>
        <w:spacing w:before="120"/>
        <w:rPr>
          <w:lang w:val="en-GB"/>
        </w:rPr>
      </w:pPr>
      <w:r w:rsidRPr="00BA28F2">
        <w:rPr>
          <w:lang w:val="en-GB"/>
        </w:rPr>
        <w:t>Conclusions</w:t>
      </w:r>
    </w:p>
    <w:p w14:paraId="3BF5F9BD" w14:textId="323AB427" w:rsidR="00EF08D6" w:rsidRPr="00BA28F2" w:rsidRDefault="0058485C" w:rsidP="0058485C">
      <w:pPr>
        <w:pStyle w:val="CETBodytext"/>
        <w:rPr>
          <w:lang w:val="en-GB"/>
        </w:rPr>
      </w:pPr>
      <w:r w:rsidRPr="00BA28F2">
        <w:rPr>
          <w:lang w:val="en-GB"/>
        </w:rPr>
        <w:t>This study presents the development of a dashboard for monitoring hydrogen refuelling station</w:t>
      </w:r>
      <w:r w:rsidR="0081226E">
        <w:rPr>
          <w:lang w:val="en-GB"/>
        </w:rPr>
        <w:t>s</w:t>
      </w:r>
      <w:r w:rsidRPr="00BA28F2">
        <w:rPr>
          <w:lang w:val="en-GB"/>
        </w:rPr>
        <w:t xml:space="preserve"> safety. Indicators were selected through two complementary methods: an analysis of past incidents to identify contributing factors and validation by a panel of 29 international experts, including 1</w:t>
      </w:r>
      <w:r w:rsidR="00580947" w:rsidRPr="00BA28F2">
        <w:rPr>
          <w:lang w:val="en-GB"/>
        </w:rPr>
        <w:t>9</w:t>
      </w:r>
      <w:r w:rsidRPr="00BA28F2">
        <w:rPr>
          <w:lang w:val="en-GB"/>
        </w:rPr>
        <w:t xml:space="preserve"> from Japan. The survey revealed strong expert consensus on hydrogen safety, with standards compliance and accident prevention rated highest, while human performance and design changes received lower scores. Correspondence analysis then guided the selection of key attributes for monitoring. These aspects include factors identified through both expert </w:t>
      </w:r>
      <w:r w:rsidR="0081226E">
        <w:rPr>
          <w:lang w:val="en-GB"/>
        </w:rPr>
        <w:t>views</w:t>
      </w:r>
      <w:r w:rsidRPr="00BA28F2">
        <w:rPr>
          <w:lang w:val="en-GB"/>
        </w:rPr>
        <w:t xml:space="preserve"> and incident analysis, as well as factors considered highly relevant by experts despite their low occurrence in incident records. The final dashboard integrates 10 indicators, </w:t>
      </w:r>
      <w:r w:rsidR="00B5582B" w:rsidRPr="00BA28F2">
        <w:rPr>
          <w:lang w:val="en-GB"/>
        </w:rPr>
        <w:t>containing</w:t>
      </w:r>
      <w:r w:rsidRPr="00BA28F2">
        <w:rPr>
          <w:lang w:val="en-GB"/>
        </w:rPr>
        <w:t xml:space="preserve"> technological, organisational, regulatory, and human factors within a socio-constructionist risk management approach. Finally, it is important to note that this dashboard proposal is generic and potentially applicable to different types of HRS (700 bar, 350 bar, and LH2). Moreover, the proposed indicators and their measurement intervals should be further refined based on insights gained from a pilot implementation in a HRS.</w:t>
      </w:r>
      <w:r w:rsidR="00EF08D6">
        <w:rPr>
          <w:lang w:val="en-GB"/>
        </w:rPr>
        <w:t xml:space="preserve"> </w:t>
      </w:r>
      <w:r w:rsidR="00FB6501">
        <w:rPr>
          <w:highlight w:val="yellow"/>
          <w:lang w:val="en-GB"/>
        </w:rPr>
        <w:t>Initially a</w:t>
      </w:r>
      <w:r w:rsidR="004809B4" w:rsidRPr="004809B4">
        <w:rPr>
          <w:highlight w:val="yellow"/>
          <w:lang w:val="en-GB"/>
        </w:rPr>
        <w:t xml:space="preserve"> six-month trial with periodic measurements would allow for adjusting data collection frequencies and parameter values, helping ensure the indicators remain applicable and practically useful.</w:t>
      </w:r>
    </w:p>
    <w:p w14:paraId="2BD9B29B" w14:textId="06448BF7" w:rsidR="007C2BA7" w:rsidRPr="002B56B4" w:rsidRDefault="007C2BA7" w:rsidP="007C2BA7">
      <w:pPr>
        <w:pStyle w:val="CETHeadingxx"/>
      </w:pPr>
      <w:r w:rsidRPr="002B56B4">
        <w:rPr>
          <w:highlight w:val="yellow"/>
        </w:rPr>
        <w:t>Nomenclature</w:t>
      </w:r>
    </w:p>
    <w:p w14:paraId="713C19EF" w14:textId="77777777" w:rsidR="00BA28F2" w:rsidRPr="002B56B4" w:rsidRDefault="00BA28F2" w:rsidP="007C2BA7">
      <w:pPr>
        <w:pStyle w:val="CETReference"/>
        <w:spacing w:before="0"/>
        <w:rPr>
          <w:b w:val="0"/>
          <w:lang w:val="en-US"/>
        </w:rPr>
        <w:sectPr w:rsidR="00BA28F2" w:rsidRPr="002B56B4" w:rsidSect="00A714EF">
          <w:type w:val="continuous"/>
          <w:pgSz w:w="11906" w:h="16838" w:code="9"/>
          <w:pgMar w:top="1701" w:right="1418" w:bottom="1701" w:left="1701" w:header="1701" w:footer="0" w:gutter="0"/>
          <w:cols w:space="708"/>
          <w:formProt w:val="0"/>
          <w:titlePg/>
          <w:docGrid w:linePitch="360"/>
        </w:sectPr>
      </w:pPr>
    </w:p>
    <w:p w14:paraId="011E547B" w14:textId="77777777" w:rsidR="00C86ACD" w:rsidRPr="00EB3A28" w:rsidRDefault="00C86ACD" w:rsidP="00C86ACD">
      <w:pPr>
        <w:pStyle w:val="CETReference"/>
        <w:spacing w:before="0" w:after="60"/>
        <w:rPr>
          <w:b w:val="0"/>
        </w:rPr>
      </w:pPr>
      <w:r>
        <w:rPr>
          <w:b w:val="0"/>
        </w:rPr>
        <w:lastRenderedPageBreak/>
        <w:t>ANOVA -</w:t>
      </w:r>
      <w:r w:rsidRPr="00EB3A28">
        <w:rPr>
          <w:b w:val="0"/>
        </w:rPr>
        <w:t xml:space="preserve"> Analysis of Variance</w:t>
      </w:r>
    </w:p>
    <w:p w14:paraId="31223FE8" w14:textId="77777777" w:rsidR="00C86ACD" w:rsidRPr="00EB3A28" w:rsidRDefault="00C86ACD" w:rsidP="00C86ACD">
      <w:pPr>
        <w:pStyle w:val="CETReference"/>
        <w:spacing w:before="0" w:after="60"/>
        <w:rPr>
          <w:b w:val="0"/>
        </w:rPr>
      </w:pPr>
      <w:r w:rsidRPr="00EB3A28">
        <w:rPr>
          <w:b w:val="0"/>
        </w:rPr>
        <w:t>bar - Metric unit of pressure</w:t>
      </w:r>
    </w:p>
    <w:p w14:paraId="46B9621B" w14:textId="1D020943" w:rsidR="00C86ACD" w:rsidRDefault="00C86ACD" w:rsidP="006F663F">
      <w:pPr>
        <w:pStyle w:val="CETReference"/>
        <w:spacing w:before="0" w:after="60"/>
        <w:rPr>
          <w:b w:val="0"/>
        </w:rPr>
      </w:pPr>
      <w:r w:rsidRPr="00EB3A28">
        <w:rPr>
          <w:b w:val="0"/>
        </w:rPr>
        <w:t xml:space="preserve">H2 </w:t>
      </w:r>
      <w:r>
        <w:rPr>
          <w:b w:val="0"/>
        </w:rPr>
        <w:t>-</w:t>
      </w:r>
      <w:r w:rsidRPr="00EB3A28">
        <w:rPr>
          <w:b w:val="0"/>
        </w:rPr>
        <w:t xml:space="preserve"> Hydrogen</w:t>
      </w:r>
    </w:p>
    <w:p w14:paraId="0B01C3D1" w14:textId="17482B7F" w:rsidR="007C2BA7" w:rsidRPr="00EB3A28" w:rsidRDefault="007C2BA7" w:rsidP="006F663F">
      <w:pPr>
        <w:pStyle w:val="CETReference"/>
        <w:spacing w:before="0" w:after="60"/>
        <w:rPr>
          <w:b w:val="0"/>
        </w:rPr>
      </w:pPr>
      <w:r w:rsidRPr="00EB3A28">
        <w:rPr>
          <w:b w:val="0"/>
        </w:rPr>
        <w:t>HRS</w:t>
      </w:r>
      <w:r w:rsidR="00922ABE" w:rsidRPr="00EB3A28">
        <w:rPr>
          <w:b w:val="0"/>
        </w:rPr>
        <w:t xml:space="preserve"> </w:t>
      </w:r>
      <w:r w:rsidRPr="00EB3A28">
        <w:rPr>
          <w:b w:val="0"/>
        </w:rPr>
        <w:t>-</w:t>
      </w:r>
      <w:r w:rsidR="00922ABE" w:rsidRPr="00EB3A28">
        <w:rPr>
          <w:b w:val="0"/>
        </w:rPr>
        <w:t xml:space="preserve"> H</w:t>
      </w:r>
      <w:r w:rsidRPr="00EB3A28">
        <w:rPr>
          <w:b w:val="0"/>
        </w:rPr>
        <w:t xml:space="preserve">ydrogen </w:t>
      </w:r>
      <w:r w:rsidR="00922ABE" w:rsidRPr="00EB3A28">
        <w:rPr>
          <w:b w:val="0"/>
        </w:rPr>
        <w:t>Refuelling Stations</w:t>
      </w:r>
    </w:p>
    <w:p w14:paraId="7C8FBB9C" w14:textId="3B85767D" w:rsidR="00922ABE" w:rsidRPr="00EB3A28" w:rsidRDefault="00922ABE" w:rsidP="006F663F">
      <w:pPr>
        <w:pStyle w:val="CETReference"/>
        <w:spacing w:before="0" w:after="60"/>
        <w:rPr>
          <w:b w:val="0"/>
          <w:noProof/>
        </w:rPr>
      </w:pPr>
      <w:r w:rsidRPr="00EB3A28">
        <w:rPr>
          <w:b w:val="0"/>
        </w:rPr>
        <w:t xml:space="preserve">HSE - </w:t>
      </w:r>
      <w:r w:rsidRPr="00EB3A28">
        <w:rPr>
          <w:b w:val="0"/>
          <w:noProof/>
        </w:rPr>
        <w:t>Health and Safety Executive</w:t>
      </w:r>
    </w:p>
    <w:p w14:paraId="51AF2ACC" w14:textId="77777777" w:rsidR="00C86ACD" w:rsidRPr="00EB3A28" w:rsidRDefault="00C86ACD" w:rsidP="00C86ACD">
      <w:pPr>
        <w:pStyle w:val="CETReference"/>
        <w:spacing w:before="0" w:after="60"/>
        <w:rPr>
          <w:b w:val="0"/>
        </w:rPr>
      </w:pPr>
      <w:r w:rsidRPr="00EB3A28">
        <w:rPr>
          <w:b w:val="0"/>
        </w:rPr>
        <w:t>LEL - Lower Explosive Limit</w:t>
      </w:r>
    </w:p>
    <w:p w14:paraId="2DF068A5" w14:textId="77777777" w:rsidR="00C86ACD" w:rsidRPr="00EB3A28" w:rsidRDefault="00C86ACD" w:rsidP="00C86ACD">
      <w:pPr>
        <w:pStyle w:val="CETReference"/>
        <w:spacing w:before="0" w:after="60"/>
        <w:rPr>
          <w:b w:val="0"/>
        </w:rPr>
      </w:pPr>
      <w:r>
        <w:rPr>
          <w:b w:val="0"/>
        </w:rPr>
        <w:t>LH2 -</w:t>
      </w:r>
      <w:r w:rsidRPr="00EB3A28">
        <w:rPr>
          <w:b w:val="0"/>
        </w:rPr>
        <w:t xml:space="preserve"> Liquid Hydrogen</w:t>
      </w:r>
    </w:p>
    <w:p w14:paraId="145FC125" w14:textId="77777777" w:rsidR="00C86ACD" w:rsidRPr="00EB3A28" w:rsidRDefault="00C86ACD" w:rsidP="00C86ACD">
      <w:pPr>
        <w:pStyle w:val="CETReference"/>
        <w:spacing w:before="0" w:after="60"/>
        <w:rPr>
          <w:b w:val="0"/>
        </w:rPr>
      </w:pPr>
      <w:r w:rsidRPr="00EB3A28">
        <w:rPr>
          <w:b w:val="0"/>
        </w:rPr>
        <w:t>M - Mean</w:t>
      </w:r>
    </w:p>
    <w:p w14:paraId="3D75F82F" w14:textId="77777777" w:rsidR="00C86ACD" w:rsidRPr="00EB3A28" w:rsidRDefault="00C86ACD" w:rsidP="00C86ACD">
      <w:pPr>
        <w:pStyle w:val="CETReference"/>
        <w:spacing w:before="0" w:after="60"/>
        <w:rPr>
          <w:b w:val="0"/>
        </w:rPr>
      </w:pPr>
      <w:r w:rsidRPr="00EB3A28">
        <w:rPr>
          <w:b w:val="0"/>
        </w:rPr>
        <w:t>N - Total number of individuals</w:t>
      </w:r>
    </w:p>
    <w:p w14:paraId="1F6197F0" w14:textId="77777777" w:rsidR="00C86ACD" w:rsidRPr="00EB3A28" w:rsidRDefault="00C86ACD" w:rsidP="00C86ACD">
      <w:pPr>
        <w:pStyle w:val="CETReference"/>
        <w:spacing w:before="0" w:after="60"/>
        <w:rPr>
          <w:b w:val="0"/>
        </w:rPr>
      </w:pPr>
      <w:r w:rsidRPr="00EB3A28">
        <w:rPr>
          <w:b w:val="0"/>
        </w:rPr>
        <w:lastRenderedPageBreak/>
        <w:t xml:space="preserve">p </w:t>
      </w:r>
      <w:r>
        <w:rPr>
          <w:b w:val="0"/>
        </w:rPr>
        <w:t>-</w:t>
      </w:r>
      <w:r w:rsidRPr="00EB3A28">
        <w:rPr>
          <w:b w:val="0"/>
        </w:rPr>
        <w:t xml:space="preserve"> Statistical Probability Value</w:t>
      </w:r>
    </w:p>
    <w:p w14:paraId="0A1F7008" w14:textId="796F3301" w:rsidR="00922ABE" w:rsidRPr="00EB3A28" w:rsidRDefault="00922ABE" w:rsidP="006F663F">
      <w:pPr>
        <w:pStyle w:val="CETReference"/>
        <w:spacing w:before="0" w:after="60"/>
        <w:rPr>
          <w:b w:val="0"/>
        </w:rPr>
      </w:pPr>
      <w:r w:rsidRPr="00EB3A28">
        <w:rPr>
          <w:b w:val="0"/>
        </w:rPr>
        <w:t>REWL - Replica-Exchange Wang-Landau Method</w:t>
      </w:r>
    </w:p>
    <w:p w14:paraId="6C665F94" w14:textId="77777777" w:rsidR="00C86ACD" w:rsidRPr="00EB3A28" w:rsidRDefault="00C86ACD" w:rsidP="00C86ACD">
      <w:pPr>
        <w:pStyle w:val="CETReference"/>
        <w:spacing w:before="0" w:after="60"/>
        <w:rPr>
          <w:b w:val="0"/>
        </w:rPr>
      </w:pPr>
      <w:r w:rsidRPr="00EB3A28">
        <w:rPr>
          <w:b w:val="0"/>
        </w:rPr>
        <w:t>SPSS - Statistical Package for the Social Sciences</w:t>
      </w:r>
    </w:p>
    <w:p w14:paraId="0AC30349" w14:textId="0CDFF162" w:rsidR="00922ABE" w:rsidRDefault="00922ABE" w:rsidP="006F663F">
      <w:pPr>
        <w:pStyle w:val="CETReference"/>
        <w:spacing w:before="0" w:after="60"/>
        <w:rPr>
          <w:b w:val="0"/>
        </w:rPr>
      </w:pPr>
      <w:r w:rsidRPr="00EB3A28">
        <w:rPr>
          <w:b w:val="0"/>
        </w:rPr>
        <w:t xml:space="preserve">STAMP - Systems Theoretic Accident Model </w:t>
      </w:r>
      <w:r w:rsidR="00BA28F2" w:rsidRPr="00EB3A28">
        <w:rPr>
          <w:b w:val="0"/>
        </w:rPr>
        <w:t>a</w:t>
      </w:r>
      <w:r w:rsidRPr="00EB3A28">
        <w:rPr>
          <w:b w:val="0"/>
        </w:rPr>
        <w:t>nd Process</w:t>
      </w:r>
    </w:p>
    <w:p w14:paraId="261F0F41" w14:textId="77777777" w:rsidR="00327E22" w:rsidRPr="00EB3A28" w:rsidRDefault="00327E22" w:rsidP="00327E22">
      <w:pPr>
        <w:jc w:val="left"/>
      </w:pPr>
      <w:r w:rsidRPr="00EB3A28">
        <w:rPr>
          <w:bCs/>
        </w:rPr>
        <w:t>SUSHy</w:t>
      </w:r>
      <w:r w:rsidRPr="00EB3A28">
        <w:t xml:space="preserve"> - SUStainability and cost-reduction of Hydrogen stations through risk-based, multidisciplinary approaches</w:t>
      </w:r>
    </w:p>
    <w:p w14:paraId="4659884E" w14:textId="3F08C46A" w:rsidR="00922ABE" w:rsidRPr="00EB3A28" w:rsidRDefault="00922ABE" w:rsidP="006F663F">
      <w:pPr>
        <w:pStyle w:val="CETReference"/>
        <w:spacing w:before="0" w:after="60"/>
        <w:rPr>
          <w:b w:val="0"/>
        </w:rPr>
      </w:pPr>
    </w:p>
    <w:p w14:paraId="3613CB24" w14:textId="2389B360" w:rsidR="008E2807" w:rsidRPr="004615C5" w:rsidRDefault="008E2807" w:rsidP="006F663F">
      <w:pPr>
        <w:pStyle w:val="CETReference"/>
        <w:spacing w:after="60"/>
        <w:rPr>
          <w:b w:val="0"/>
        </w:rPr>
        <w:sectPr w:rsidR="008E2807" w:rsidRPr="004615C5" w:rsidSect="00BA28F2">
          <w:type w:val="continuous"/>
          <w:pgSz w:w="11906" w:h="16838" w:code="9"/>
          <w:pgMar w:top="1701" w:right="1418" w:bottom="1701" w:left="1701" w:header="1701" w:footer="0" w:gutter="0"/>
          <w:cols w:num="2" w:space="708"/>
          <w:formProt w:val="0"/>
          <w:titlePg/>
          <w:docGrid w:linePitch="360"/>
        </w:sectPr>
      </w:pPr>
    </w:p>
    <w:p w14:paraId="459D05E6" w14:textId="29BBDADD" w:rsidR="00600535" w:rsidRPr="00BA28F2" w:rsidRDefault="00600535" w:rsidP="004B69DF">
      <w:pPr>
        <w:pStyle w:val="CETReference"/>
      </w:pPr>
      <w:r w:rsidRPr="00BA28F2">
        <w:lastRenderedPageBreak/>
        <w:t>Acknowledgments</w:t>
      </w:r>
    </w:p>
    <w:p w14:paraId="6A03919E" w14:textId="77777777" w:rsidR="00F32A1E" w:rsidRPr="00BA28F2" w:rsidRDefault="00F32A1E" w:rsidP="004B69DF">
      <w:pPr>
        <w:pStyle w:val="CETReference"/>
        <w:spacing w:before="0"/>
        <w:rPr>
          <w:b w:val="0"/>
        </w:rPr>
      </w:pPr>
      <w:r w:rsidRPr="00BA28F2">
        <w:rPr>
          <w:b w:val="0"/>
        </w:rPr>
        <w:t xml:space="preserve">This work was supported by AEI Grant Number PCI2022-132997, Spain, through the European Interest Group (EIG) CONCERT-Japan platform (Grant Number 334340) </w:t>
      </w:r>
    </w:p>
    <w:p w14:paraId="4F1327F8" w14:textId="25C74DE2" w:rsidR="00600535" w:rsidRPr="00BA28F2" w:rsidRDefault="00600535" w:rsidP="00600535">
      <w:pPr>
        <w:pStyle w:val="CETReference"/>
      </w:pPr>
      <w:r w:rsidRPr="00BA28F2">
        <w:t>References</w:t>
      </w:r>
    </w:p>
    <w:p w14:paraId="02E5C0AA" w14:textId="4A9D926A" w:rsidR="00B03C10" w:rsidRPr="00BA28F2" w:rsidRDefault="00B03C10" w:rsidP="00B03C10">
      <w:pPr>
        <w:widowControl w:val="0"/>
        <w:autoSpaceDE w:val="0"/>
        <w:autoSpaceDN w:val="0"/>
        <w:adjustRightInd w:val="0"/>
        <w:spacing w:line="240" w:lineRule="auto"/>
        <w:ind w:left="480" w:hanging="480"/>
        <w:rPr>
          <w:rFonts w:cs="Arial"/>
          <w:noProof/>
          <w:szCs w:val="24"/>
        </w:rPr>
      </w:pPr>
      <w:r w:rsidRPr="00BA28F2">
        <w:fldChar w:fldCharType="begin" w:fldLock="1"/>
      </w:r>
      <w:r w:rsidRPr="00BA28F2">
        <w:instrText xml:space="preserve">ADDIN Mendeley Bibliography CSL_BIBLIOGRAPHY </w:instrText>
      </w:r>
      <w:r w:rsidRPr="00BA28F2">
        <w:fldChar w:fldCharType="separate"/>
      </w:r>
      <w:r w:rsidRPr="00BA28F2">
        <w:rPr>
          <w:rFonts w:cs="Arial"/>
          <w:noProof/>
          <w:szCs w:val="24"/>
        </w:rPr>
        <w:t xml:space="preserve">George, D., &amp; Mallery, P. (2016). </w:t>
      </w:r>
      <w:r w:rsidRPr="00BA28F2">
        <w:rPr>
          <w:rFonts w:cs="Arial"/>
          <w:i/>
          <w:iCs/>
          <w:noProof/>
          <w:szCs w:val="24"/>
        </w:rPr>
        <w:t>IBM SPSS statistics 23 step by step : a simple guide and reference</w:t>
      </w:r>
      <w:r w:rsidRPr="00BA28F2">
        <w:rPr>
          <w:rFonts w:cs="Arial"/>
          <w:noProof/>
          <w:szCs w:val="24"/>
        </w:rPr>
        <w:t>. Routledge.</w:t>
      </w:r>
    </w:p>
    <w:p w14:paraId="431CE6CA" w14:textId="77777777" w:rsidR="00B03C10" w:rsidRPr="00BA28F2" w:rsidRDefault="00B03C10" w:rsidP="00B03C10">
      <w:pPr>
        <w:widowControl w:val="0"/>
        <w:autoSpaceDE w:val="0"/>
        <w:autoSpaceDN w:val="0"/>
        <w:adjustRightInd w:val="0"/>
        <w:spacing w:line="240" w:lineRule="auto"/>
        <w:ind w:left="480" w:hanging="480"/>
        <w:rPr>
          <w:rFonts w:cs="Arial"/>
          <w:noProof/>
          <w:szCs w:val="24"/>
        </w:rPr>
      </w:pPr>
      <w:r w:rsidRPr="00BA28F2">
        <w:rPr>
          <w:rFonts w:cs="Arial"/>
          <w:noProof/>
          <w:szCs w:val="24"/>
        </w:rPr>
        <w:t xml:space="preserve">Health and Safety Executive (HSE). (2006). Developing process safety indicators: A step-by-step guide for chemical and major hazard industries. </w:t>
      </w:r>
      <w:r w:rsidRPr="00BA28F2">
        <w:rPr>
          <w:rFonts w:cs="Arial"/>
          <w:i/>
          <w:iCs/>
          <w:noProof/>
          <w:szCs w:val="24"/>
        </w:rPr>
        <w:t>Page</w:t>
      </w:r>
      <w:r w:rsidRPr="00BA28F2">
        <w:rPr>
          <w:rFonts w:cs="Arial"/>
          <w:noProof/>
          <w:szCs w:val="24"/>
        </w:rPr>
        <w:t>, 1–58. http://www.hse.gov.uk/pubns/priced/hsg254.pdf</w:t>
      </w:r>
    </w:p>
    <w:p w14:paraId="46CEB398" w14:textId="77777777" w:rsidR="00B03C10" w:rsidRPr="00BA28F2" w:rsidRDefault="00B03C10" w:rsidP="00B03C10">
      <w:pPr>
        <w:widowControl w:val="0"/>
        <w:autoSpaceDE w:val="0"/>
        <w:autoSpaceDN w:val="0"/>
        <w:adjustRightInd w:val="0"/>
        <w:spacing w:line="240" w:lineRule="auto"/>
        <w:ind w:left="480" w:hanging="480"/>
        <w:rPr>
          <w:rFonts w:cs="Arial"/>
          <w:noProof/>
          <w:szCs w:val="24"/>
        </w:rPr>
      </w:pPr>
      <w:r w:rsidRPr="00BA28F2">
        <w:rPr>
          <w:rFonts w:cs="Arial"/>
          <w:noProof/>
          <w:szCs w:val="24"/>
        </w:rPr>
        <w:t xml:space="preserve">Knut, O., Massaiu, S., &amp; Kviseth Tinmannsvik, R. (2012). </w:t>
      </w:r>
      <w:r w:rsidRPr="00BA28F2">
        <w:rPr>
          <w:rFonts w:cs="Arial"/>
          <w:i/>
          <w:iCs/>
          <w:noProof/>
          <w:szCs w:val="24"/>
        </w:rPr>
        <w:t>Report Guideline for implementing the REWI</w:t>
      </w:r>
      <w:r w:rsidRPr="00BA28F2">
        <w:rPr>
          <w:rFonts w:cs="Arial"/>
          <w:noProof/>
          <w:szCs w:val="24"/>
        </w:rPr>
        <w:t>. 40. https://www.sintef.no/globalassets/upload/teknologi_og_samfunn/sikkerhet-og-palitelighet/sintef-a22026-guideline-for-implementing-the-rewi-method.pdf</w:t>
      </w:r>
    </w:p>
    <w:p w14:paraId="02CCA165" w14:textId="77777777" w:rsidR="00B03C10" w:rsidRPr="00BA28F2" w:rsidRDefault="00B03C10" w:rsidP="00B03C10">
      <w:pPr>
        <w:widowControl w:val="0"/>
        <w:autoSpaceDE w:val="0"/>
        <w:autoSpaceDN w:val="0"/>
        <w:adjustRightInd w:val="0"/>
        <w:spacing w:line="240" w:lineRule="auto"/>
        <w:ind w:left="480" w:hanging="480"/>
        <w:rPr>
          <w:rFonts w:cs="Arial"/>
          <w:noProof/>
          <w:szCs w:val="24"/>
        </w:rPr>
      </w:pPr>
      <w:r w:rsidRPr="00BA28F2">
        <w:rPr>
          <w:rFonts w:cs="Arial"/>
          <w:noProof/>
          <w:szCs w:val="24"/>
        </w:rPr>
        <w:t xml:space="preserve">Leveson, N. G. (2012). Stamp: An Accident Model Based on Systems Theory. In </w:t>
      </w:r>
      <w:r w:rsidRPr="00BA28F2">
        <w:rPr>
          <w:rFonts w:cs="Arial"/>
          <w:i/>
          <w:iCs/>
          <w:noProof/>
          <w:szCs w:val="24"/>
        </w:rPr>
        <w:t>Engineering a Safer World: Systems Thinking Applied to Safety</w:t>
      </w:r>
      <w:r w:rsidRPr="00BA28F2">
        <w:rPr>
          <w:rFonts w:cs="Arial"/>
          <w:noProof/>
          <w:szCs w:val="24"/>
        </w:rPr>
        <w:t xml:space="preserve"> (p. 73).</w:t>
      </w:r>
    </w:p>
    <w:p w14:paraId="7F5844A1" w14:textId="77777777" w:rsidR="00B03C10" w:rsidRPr="00BA28F2" w:rsidRDefault="00B03C10" w:rsidP="00B03C10">
      <w:pPr>
        <w:widowControl w:val="0"/>
        <w:autoSpaceDE w:val="0"/>
        <w:autoSpaceDN w:val="0"/>
        <w:adjustRightInd w:val="0"/>
        <w:spacing w:line="240" w:lineRule="auto"/>
        <w:ind w:left="480" w:hanging="480"/>
        <w:rPr>
          <w:rFonts w:cs="Arial"/>
          <w:noProof/>
          <w:szCs w:val="24"/>
        </w:rPr>
      </w:pPr>
      <w:r w:rsidRPr="00783D46">
        <w:rPr>
          <w:rFonts w:cs="Arial"/>
          <w:noProof/>
          <w:szCs w:val="24"/>
          <w:lang w:val="es-ES"/>
        </w:rPr>
        <w:t xml:space="preserve">Navajas, J., Badia, E., Sala, R., Sato, H., &amp; Paltrinieri, N. (2023). </w:t>
      </w:r>
      <w:r w:rsidRPr="00BA28F2">
        <w:rPr>
          <w:rFonts w:cs="Arial"/>
          <w:noProof/>
          <w:szCs w:val="24"/>
        </w:rPr>
        <w:t xml:space="preserve">Development of a Protocol for the Systematic Analysis of Events at Hydrogen Refuelling Stations. </w:t>
      </w:r>
      <w:r w:rsidRPr="00BA28F2">
        <w:rPr>
          <w:rFonts w:cs="Arial"/>
          <w:i/>
          <w:iCs/>
          <w:noProof/>
          <w:szCs w:val="24"/>
        </w:rPr>
        <w:t>Chemical Engineering Transactions</w:t>
      </w:r>
      <w:r w:rsidRPr="00BA28F2">
        <w:rPr>
          <w:rFonts w:cs="Arial"/>
          <w:noProof/>
          <w:szCs w:val="24"/>
        </w:rPr>
        <w:t xml:space="preserve">, </w:t>
      </w:r>
      <w:r w:rsidRPr="00BA28F2">
        <w:rPr>
          <w:rFonts w:cs="Arial"/>
          <w:i/>
          <w:iCs/>
          <w:noProof/>
          <w:szCs w:val="24"/>
        </w:rPr>
        <w:t>105</w:t>
      </w:r>
      <w:r w:rsidRPr="00BA28F2">
        <w:rPr>
          <w:rFonts w:cs="Arial"/>
          <w:noProof/>
          <w:szCs w:val="24"/>
        </w:rPr>
        <w:t>, 127–132. https://doi.org/10.3303/CET23105022</w:t>
      </w:r>
    </w:p>
    <w:p w14:paraId="784DC362" w14:textId="77777777" w:rsidR="00B03C10" w:rsidRPr="00BA28F2" w:rsidRDefault="00B03C10" w:rsidP="00B03C10">
      <w:pPr>
        <w:widowControl w:val="0"/>
        <w:autoSpaceDE w:val="0"/>
        <w:autoSpaceDN w:val="0"/>
        <w:adjustRightInd w:val="0"/>
        <w:spacing w:line="240" w:lineRule="auto"/>
        <w:ind w:left="480" w:hanging="480"/>
        <w:rPr>
          <w:rFonts w:cs="Arial"/>
          <w:noProof/>
        </w:rPr>
      </w:pPr>
      <w:r w:rsidRPr="00BA28F2">
        <w:rPr>
          <w:rFonts w:cs="Arial"/>
          <w:noProof/>
          <w:szCs w:val="24"/>
        </w:rPr>
        <w:t xml:space="preserve">Paltrinieri, N., Dechy, N., Salzano, E., Wardman, M., &amp; Cozzani, V. (2012). Lessons Learned from Toulouse and Buncefield Disasters: From Risk Analysis Failures to the Identification of Atypical Scenarios Through a Better Knowledge Management. </w:t>
      </w:r>
      <w:r w:rsidRPr="00BA28F2">
        <w:rPr>
          <w:rFonts w:cs="Arial"/>
          <w:i/>
          <w:iCs/>
          <w:noProof/>
          <w:szCs w:val="24"/>
        </w:rPr>
        <w:t>Risk Analysis</w:t>
      </w:r>
      <w:r w:rsidRPr="00BA28F2">
        <w:rPr>
          <w:rFonts w:cs="Arial"/>
          <w:noProof/>
          <w:szCs w:val="24"/>
        </w:rPr>
        <w:t xml:space="preserve">, </w:t>
      </w:r>
      <w:r w:rsidRPr="00BA28F2">
        <w:rPr>
          <w:rFonts w:cs="Arial"/>
          <w:i/>
          <w:iCs/>
          <w:noProof/>
          <w:szCs w:val="24"/>
        </w:rPr>
        <w:t>32</w:t>
      </w:r>
      <w:r w:rsidRPr="00BA28F2">
        <w:rPr>
          <w:rFonts w:cs="Arial"/>
          <w:noProof/>
          <w:szCs w:val="24"/>
        </w:rPr>
        <w:t>(8), 1404–1419. https://doi.org/10.1111/j.1539-6924.2011.01749.x</w:t>
      </w:r>
    </w:p>
    <w:p w14:paraId="4B09E7A9" w14:textId="12F4DC29" w:rsidR="006870A1" w:rsidRDefault="00B03C10" w:rsidP="0070028E">
      <w:pPr>
        <w:widowControl w:val="0"/>
        <w:autoSpaceDE w:val="0"/>
        <w:autoSpaceDN w:val="0"/>
        <w:adjustRightInd w:val="0"/>
        <w:spacing w:line="240" w:lineRule="auto"/>
        <w:ind w:left="480" w:hanging="480"/>
      </w:pPr>
      <w:r w:rsidRPr="00BA28F2">
        <w:fldChar w:fldCharType="end"/>
      </w:r>
      <w:r w:rsidR="004B69DF" w:rsidRPr="00783D46">
        <w:rPr>
          <w:rFonts w:cs="Arial"/>
          <w:noProof/>
          <w:szCs w:val="24"/>
          <w:lang w:val="es-ES"/>
        </w:rPr>
        <w:t xml:space="preserve">Genovese, M., &amp; Fragiacomo, P. (2023b). </w:t>
      </w:r>
      <w:r w:rsidR="004B69DF" w:rsidRPr="00BA28F2">
        <w:rPr>
          <w:rFonts w:cs="Arial"/>
          <w:noProof/>
          <w:szCs w:val="24"/>
        </w:rPr>
        <w:t xml:space="preserve">Hydrogen refueling station: Overview of the technological status and research enhancement. Journal of Energy Storage, 61 (January), 106758. </w:t>
      </w:r>
      <w:hyperlink r:id="rId14" w:history="1">
        <w:r w:rsidR="00A74B4C" w:rsidRPr="00783D46">
          <w:t>https://doi.org/10.1016/j.est.2023.106758</w:t>
        </w:r>
      </w:hyperlink>
    </w:p>
    <w:p w14:paraId="2A044029" w14:textId="001E32D3" w:rsidR="001948D7" w:rsidRPr="00BA28F2" w:rsidRDefault="001948D7" w:rsidP="0070028E">
      <w:pPr>
        <w:widowControl w:val="0"/>
        <w:autoSpaceDE w:val="0"/>
        <w:autoSpaceDN w:val="0"/>
        <w:adjustRightInd w:val="0"/>
        <w:spacing w:line="240" w:lineRule="auto"/>
        <w:ind w:left="480" w:hanging="480"/>
        <w:rPr>
          <w:rFonts w:cs="Arial"/>
          <w:noProof/>
          <w:szCs w:val="24"/>
        </w:rPr>
      </w:pPr>
    </w:p>
    <w:sectPr w:rsidR="001948D7" w:rsidRPr="00BA28F2" w:rsidSect="00A714EF">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94FA6" w14:textId="77777777" w:rsidR="0052053F" w:rsidRDefault="0052053F" w:rsidP="004F5E36">
      <w:r>
        <w:separator/>
      </w:r>
    </w:p>
  </w:endnote>
  <w:endnote w:type="continuationSeparator" w:id="0">
    <w:p w14:paraId="22ECBC41" w14:textId="77777777" w:rsidR="0052053F" w:rsidRDefault="0052053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D08D8" w14:textId="77777777" w:rsidR="0052053F" w:rsidRDefault="0052053F" w:rsidP="004F5E36">
      <w:r>
        <w:separator/>
      </w:r>
    </w:p>
  </w:footnote>
  <w:footnote w:type="continuationSeparator" w:id="0">
    <w:p w14:paraId="7E6B4EB0" w14:textId="77777777" w:rsidR="0052053F" w:rsidRDefault="0052053F"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915A09"/>
    <w:multiLevelType w:val="multilevel"/>
    <w:tmpl w:val="87E2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134EBA"/>
    <w:multiLevelType w:val="multilevel"/>
    <w:tmpl w:val="0320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FD21EE"/>
    <w:multiLevelType w:val="hybridMultilevel"/>
    <w:tmpl w:val="041C00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06F41DE"/>
    <w:multiLevelType w:val="hybridMultilevel"/>
    <w:tmpl w:val="1F8CACEA"/>
    <w:lvl w:ilvl="0" w:tplc="A9F6EA0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0C623E8"/>
    <w:multiLevelType w:val="hybridMultilevel"/>
    <w:tmpl w:val="2640D9B6"/>
    <w:lvl w:ilvl="0" w:tplc="FD44E58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CEC3EF4"/>
    <w:multiLevelType w:val="hybridMultilevel"/>
    <w:tmpl w:val="4B509E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40764A5"/>
    <w:multiLevelType w:val="multilevel"/>
    <w:tmpl w:val="CBA4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5" w15:restartNumberingAfterBreak="0">
    <w:nsid w:val="578E32DE"/>
    <w:multiLevelType w:val="hybridMultilevel"/>
    <w:tmpl w:val="041C00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2A4083E"/>
    <w:multiLevelType w:val="multilevel"/>
    <w:tmpl w:val="DAFC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6EE17ED"/>
    <w:multiLevelType w:val="multilevel"/>
    <w:tmpl w:val="375AE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DD65384"/>
    <w:multiLevelType w:val="hybridMultilevel"/>
    <w:tmpl w:val="0482703E"/>
    <w:lvl w:ilvl="0" w:tplc="A254FA1E">
      <w:start w:val="1"/>
      <w:numFmt w:val="decimal"/>
      <w:lvlText w:val="%1."/>
      <w:lvlJc w:val="left"/>
      <w:pPr>
        <w:ind w:left="473" w:hanging="360"/>
      </w:pPr>
      <w:rPr>
        <w:rFonts w:hint="default"/>
      </w:rPr>
    </w:lvl>
    <w:lvl w:ilvl="1" w:tplc="0C0A0019" w:tentative="1">
      <w:start w:val="1"/>
      <w:numFmt w:val="lowerLetter"/>
      <w:lvlText w:val="%2."/>
      <w:lvlJc w:val="left"/>
      <w:pPr>
        <w:ind w:left="1193" w:hanging="360"/>
      </w:pPr>
    </w:lvl>
    <w:lvl w:ilvl="2" w:tplc="0C0A001B" w:tentative="1">
      <w:start w:val="1"/>
      <w:numFmt w:val="lowerRoman"/>
      <w:lvlText w:val="%3."/>
      <w:lvlJc w:val="right"/>
      <w:pPr>
        <w:ind w:left="1913" w:hanging="180"/>
      </w:pPr>
    </w:lvl>
    <w:lvl w:ilvl="3" w:tplc="0C0A000F" w:tentative="1">
      <w:start w:val="1"/>
      <w:numFmt w:val="decimal"/>
      <w:lvlText w:val="%4."/>
      <w:lvlJc w:val="left"/>
      <w:pPr>
        <w:ind w:left="2633" w:hanging="360"/>
      </w:pPr>
    </w:lvl>
    <w:lvl w:ilvl="4" w:tplc="0C0A0019" w:tentative="1">
      <w:start w:val="1"/>
      <w:numFmt w:val="lowerLetter"/>
      <w:lvlText w:val="%5."/>
      <w:lvlJc w:val="left"/>
      <w:pPr>
        <w:ind w:left="3353" w:hanging="360"/>
      </w:pPr>
    </w:lvl>
    <w:lvl w:ilvl="5" w:tplc="0C0A001B" w:tentative="1">
      <w:start w:val="1"/>
      <w:numFmt w:val="lowerRoman"/>
      <w:lvlText w:val="%6."/>
      <w:lvlJc w:val="right"/>
      <w:pPr>
        <w:ind w:left="4073" w:hanging="180"/>
      </w:pPr>
    </w:lvl>
    <w:lvl w:ilvl="6" w:tplc="0C0A000F" w:tentative="1">
      <w:start w:val="1"/>
      <w:numFmt w:val="decimal"/>
      <w:lvlText w:val="%7."/>
      <w:lvlJc w:val="left"/>
      <w:pPr>
        <w:ind w:left="4793" w:hanging="360"/>
      </w:pPr>
    </w:lvl>
    <w:lvl w:ilvl="7" w:tplc="0C0A0019" w:tentative="1">
      <w:start w:val="1"/>
      <w:numFmt w:val="lowerLetter"/>
      <w:lvlText w:val="%8."/>
      <w:lvlJc w:val="left"/>
      <w:pPr>
        <w:ind w:left="5513" w:hanging="360"/>
      </w:pPr>
    </w:lvl>
    <w:lvl w:ilvl="8" w:tplc="0C0A001B" w:tentative="1">
      <w:start w:val="1"/>
      <w:numFmt w:val="lowerRoman"/>
      <w:lvlText w:val="%9."/>
      <w:lvlJc w:val="right"/>
      <w:pPr>
        <w:ind w:left="6233" w:hanging="180"/>
      </w:p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4"/>
  </w:num>
  <w:num w:numId="13">
    <w:abstractNumId w:val="16"/>
  </w:num>
  <w:num w:numId="14">
    <w:abstractNumId w:val="26"/>
  </w:num>
  <w:num w:numId="15">
    <w:abstractNumId w:val="30"/>
  </w:num>
  <w:num w:numId="16">
    <w:abstractNumId w:val="28"/>
  </w:num>
  <w:num w:numId="17">
    <w:abstractNumId w:val="15"/>
  </w:num>
  <w:num w:numId="18">
    <w:abstractNumId w:val="16"/>
    <w:lvlOverride w:ilvl="0">
      <w:startOverride w:val="1"/>
    </w:lvlOverride>
  </w:num>
  <w:num w:numId="19">
    <w:abstractNumId w:val="22"/>
  </w:num>
  <w:num w:numId="20">
    <w:abstractNumId w:val="21"/>
  </w:num>
  <w:num w:numId="21">
    <w:abstractNumId w:val="18"/>
  </w:num>
  <w:num w:numId="22">
    <w:abstractNumId w:val="17"/>
  </w:num>
  <w:num w:numId="23">
    <w:abstractNumId w:val="19"/>
  </w:num>
  <w:num w:numId="24">
    <w:abstractNumId w:val="20"/>
  </w:num>
  <w:num w:numId="25">
    <w:abstractNumId w:val="29"/>
  </w:num>
  <w:num w:numId="26">
    <w:abstractNumId w:val="10"/>
  </w:num>
  <w:num w:numId="27">
    <w:abstractNumId w:val="27"/>
  </w:num>
  <w:num w:numId="28">
    <w:abstractNumId w:val="11"/>
  </w:num>
  <w:num w:numId="29">
    <w:abstractNumId w:val="23"/>
  </w:num>
  <w:num w:numId="30">
    <w:abstractNumId w:val="31"/>
  </w:num>
  <w:num w:numId="31">
    <w:abstractNumId w:val="14"/>
  </w:num>
  <w:num w:numId="32">
    <w:abstractNumId w:val="1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16E01"/>
    <w:rsid w:val="000177FA"/>
    <w:rsid w:val="000229F4"/>
    <w:rsid w:val="0003148D"/>
    <w:rsid w:val="00031EEC"/>
    <w:rsid w:val="00037276"/>
    <w:rsid w:val="00051566"/>
    <w:rsid w:val="00054288"/>
    <w:rsid w:val="000562A9"/>
    <w:rsid w:val="00062A9A"/>
    <w:rsid w:val="00062D7A"/>
    <w:rsid w:val="00065058"/>
    <w:rsid w:val="0008314B"/>
    <w:rsid w:val="00086C39"/>
    <w:rsid w:val="000A03B2"/>
    <w:rsid w:val="000A767B"/>
    <w:rsid w:val="000C2A48"/>
    <w:rsid w:val="000D0268"/>
    <w:rsid w:val="000D34BE"/>
    <w:rsid w:val="000E102F"/>
    <w:rsid w:val="000E35E3"/>
    <w:rsid w:val="000E36F1"/>
    <w:rsid w:val="000E3A73"/>
    <w:rsid w:val="000E414A"/>
    <w:rsid w:val="000F093C"/>
    <w:rsid w:val="000F787B"/>
    <w:rsid w:val="00111632"/>
    <w:rsid w:val="0012091F"/>
    <w:rsid w:val="00122509"/>
    <w:rsid w:val="0012277D"/>
    <w:rsid w:val="00126BC2"/>
    <w:rsid w:val="001308B6"/>
    <w:rsid w:val="0013121F"/>
    <w:rsid w:val="00131921"/>
    <w:rsid w:val="00131FE6"/>
    <w:rsid w:val="0013263F"/>
    <w:rsid w:val="001331DF"/>
    <w:rsid w:val="00134A8F"/>
    <w:rsid w:val="00134DE4"/>
    <w:rsid w:val="0014034D"/>
    <w:rsid w:val="00144D16"/>
    <w:rsid w:val="00150E59"/>
    <w:rsid w:val="00152DE3"/>
    <w:rsid w:val="00164CF9"/>
    <w:rsid w:val="001667A6"/>
    <w:rsid w:val="00176693"/>
    <w:rsid w:val="001845AC"/>
    <w:rsid w:val="00184AD6"/>
    <w:rsid w:val="001948D7"/>
    <w:rsid w:val="001A4AF7"/>
    <w:rsid w:val="001B0349"/>
    <w:rsid w:val="001B1E93"/>
    <w:rsid w:val="001B2679"/>
    <w:rsid w:val="001B3B6F"/>
    <w:rsid w:val="001B65C1"/>
    <w:rsid w:val="001B7D77"/>
    <w:rsid w:val="001C684B"/>
    <w:rsid w:val="001D0CFB"/>
    <w:rsid w:val="001D21AF"/>
    <w:rsid w:val="001D53FC"/>
    <w:rsid w:val="001E0715"/>
    <w:rsid w:val="001F42A5"/>
    <w:rsid w:val="001F46D7"/>
    <w:rsid w:val="001F7B9D"/>
    <w:rsid w:val="001F7F35"/>
    <w:rsid w:val="00201C93"/>
    <w:rsid w:val="00215102"/>
    <w:rsid w:val="002224B4"/>
    <w:rsid w:val="00226499"/>
    <w:rsid w:val="002300EE"/>
    <w:rsid w:val="00234AFE"/>
    <w:rsid w:val="00234CC6"/>
    <w:rsid w:val="00244658"/>
    <w:rsid w:val="002447EF"/>
    <w:rsid w:val="00251550"/>
    <w:rsid w:val="00263B05"/>
    <w:rsid w:val="0027221A"/>
    <w:rsid w:val="00275A1B"/>
    <w:rsid w:val="00275B61"/>
    <w:rsid w:val="002766EA"/>
    <w:rsid w:val="00280FAF"/>
    <w:rsid w:val="00282656"/>
    <w:rsid w:val="00282674"/>
    <w:rsid w:val="00285DC5"/>
    <w:rsid w:val="00296B83"/>
    <w:rsid w:val="002B4015"/>
    <w:rsid w:val="002B56B4"/>
    <w:rsid w:val="002B6C64"/>
    <w:rsid w:val="002B78CE"/>
    <w:rsid w:val="002C2FB6"/>
    <w:rsid w:val="002C40F2"/>
    <w:rsid w:val="002D03B5"/>
    <w:rsid w:val="002E0250"/>
    <w:rsid w:val="002E5FA7"/>
    <w:rsid w:val="002F3309"/>
    <w:rsid w:val="003008CE"/>
    <w:rsid w:val="003009B7"/>
    <w:rsid w:val="00300E56"/>
    <w:rsid w:val="0030152C"/>
    <w:rsid w:val="0030469C"/>
    <w:rsid w:val="00321CA6"/>
    <w:rsid w:val="00323763"/>
    <w:rsid w:val="00323C5F"/>
    <w:rsid w:val="00324AA2"/>
    <w:rsid w:val="00327E22"/>
    <w:rsid w:val="00334C09"/>
    <w:rsid w:val="00334C17"/>
    <w:rsid w:val="00342FBC"/>
    <w:rsid w:val="00343098"/>
    <w:rsid w:val="00353058"/>
    <w:rsid w:val="00355EE9"/>
    <w:rsid w:val="00365D4C"/>
    <w:rsid w:val="003723D4"/>
    <w:rsid w:val="00374F0E"/>
    <w:rsid w:val="00381905"/>
    <w:rsid w:val="00384CC8"/>
    <w:rsid w:val="003871FD"/>
    <w:rsid w:val="00390205"/>
    <w:rsid w:val="00390419"/>
    <w:rsid w:val="003A1E30"/>
    <w:rsid w:val="003A2390"/>
    <w:rsid w:val="003A2829"/>
    <w:rsid w:val="003A7D1C"/>
    <w:rsid w:val="003B1697"/>
    <w:rsid w:val="003B304B"/>
    <w:rsid w:val="003B3146"/>
    <w:rsid w:val="003B511B"/>
    <w:rsid w:val="003D31C7"/>
    <w:rsid w:val="003D3967"/>
    <w:rsid w:val="003D4746"/>
    <w:rsid w:val="003E634B"/>
    <w:rsid w:val="003F015E"/>
    <w:rsid w:val="004000C0"/>
    <w:rsid w:val="00400414"/>
    <w:rsid w:val="0041446B"/>
    <w:rsid w:val="00424002"/>
    <w:rsid w:val="004246FA"/>
    <w:rsid w:val="00431D67"/>
    <w:rsid w:val="0044071E"/>
    <w:rsid w:val="0044329C"/>
    <w:rsid w:val="00451B63"/>
    <w:rsid w:val="00453E24"/>
    <w:rsid w:val="00454E96"/>
    <w:rsid w:val="00457456"/>
    <w:rsid w:val="00457581"/>
    <w:rsid w:val="004577FE"/>
    <w:rsid w:val="00457B9C"/>
    <w:rsid w:val="004615C5"/>
    <w:rsid w:val="0046164A"/>
    <w:rsid w:val="004628D2"/>
    <w:rsid w:val="00462DCD"/>
    <w:rsid w:val="004648AD"/>
    <w:rsid w:val="004703A9"/>
    <w:rsid w:val="004760DE"/>
    <w:rsid w:val="004763D7"/>
    <w:rsid w:val="004809B4"/>
    <w:rsid w:val="004A004E"/>
    <w:rsid w:val="004A24CF"/>
    <w:rsid w:val="004B0436"/>
    <w:rsid w:val="004B3F9C"/>
    <w:rsid w:val="004B69DF"/>
    <w:rsid w:val="004B710A"/>
    <w:rsid w:val="004C3D1D"/>
    <w:rsid w:val="004C3D84"/>
    <w:rsid w:val="004C4C13"/>
    <w:rsid w:val="004C5839"/>
    <w:rsid w:val="004C7913"/>
    <w:rsid w:val="004D482F"/>
    <w:rsid w:val="004E4DD6"/>
    <w:rsid w:val="004F053D"/>
    <w:rsid w:val="004F5E36"/>
    <w:rsid w:val="00507B47"/>
    <w:rsid w:val="00507BEF"/>
    <w:rsid w:val="00507CC9"/>
    <w:rsid w:val="005119A5"/>
    <w:rsid w:val="00517077"/>
    <w:rsid w:val="0052053F"/>
    <w:rsid w:val="005278B7"/>
    <w:rsid w:val="005306BC"/>
    <w:rsid w:val="00532016"/>
    <w:rsid w:val="005346C8"/>
    <w:rsid w:val="00543E7D"/>
    <w:rsid w:val="00544F7B"/>
    <w:rsid w:val="00547A68"/>
    <w:rsid w:val="005531C9"/>
    <w:rsid w:val="00557E00"/>
    <w:rsid w:val="00566D2F"/>
    <w:rsid w:val="00567534"/>
    <w:rsid w:val="00570C43"/>
    <w:rsid w:val="00580947"/>
    <w:rsid w:val="0058485C"/>
    <w:rsid w:val="005A4D3C"/>
    <w:rsid w:val="005B2110"/>
    <w:rsid w:val="005B61E6"/>
    <w:rsid w:val="005B7A87"/>
    <w:rsid w:val="005C4FD5"/>
    <w:rsid w:val="005C543E"/>
    <w:rsid w:val="005C77E1"/>
    <w:rsid w:val="005D3AC3"/>
    <w:rsid w:val="005D3B08"/>
    <w:rsid w:val="005D668A"/>
    <w:rsid w:val="005D6A2F"/>
    <w:rsid w:val="005E1A82"/>
    <w:rsid w:val="005E794C"/>
    <w:rsid w:val="005F0A28"/>
    <w:rsid w:val="005F0E5E"/>
    <w:rsid w:val="005F591E"/>
    <w:rsid w:val="00600535"/>
    <w:rsid w:val="006032EB"/>
    <w:rsid w:val="00604EC3"/>
    <w:rsid w:val="00610CD6"/>
    <w:rsid w:val="0061740F"/>
    <w:rsid w:val="00620DEE"/>
    <w:rsid w:val="00621F92"/>
    <w:rsid w:val="0062280A"/>
    <w:rsid w:val="00625639"/>
    <w:rsid w:val="006260F6"/>
    <w:rsid w:val="00627FF8"/>
    <w:rsid w:val="00631B33"/>
    <w:rsid w:val="006414E1"/>
    <w:rsid w:val="0064184D"/>
    <w:rsid w:val="006422CC"/>
    <w:rsid w:val="00650FEC"/>
    <w:rsid w:val="0065234A"/>
    <w:rsid w:val="00660E3E"/>
    <w:rsid w:val="006617C1"/>
    <w:rsid w:val="00662E74"/>
    <w:rsid w:val="00663434"/>
    <w:rsid w:val="0066670B"/>
    <w:rsid w:val="0068032D"/>
    <w:rsid w:val="00680C23"/>
    <w:rsid w:val="00681460"/>
    <w:rsid w:val="006870A1"/>
    <w:rsid w:val="00690FE6"/>
    <w:rsid w:val="0069323C"/>
    <w:rsid w:val="00693766"/>
    <w:rsid w:val="00697059"/>
    <w:rsid w:val="006A3281"/>
    <w:rsid w:val="006B4888"/>
    <w:rsid w:val="006B5308"/>
    <w:rsid w:val="006C00C0"/>
    <w:rsid w:val="006C2E45"/>
    <w:rsid w:val="006C359C"/>
    <w:rsid w:val="006C5579"/>
    <w:rsid w:val="006D3290"/>
    <w:rsid w:val="006D32F6"/>
    <w:rsid w:val="006D6E8B"/>
    <w:rsid w:val="006E1D29"/>
    <w:rsid w:val="006E6B99"/>
    <w:rsid w:val="006E737D"/>
    <w:rsid w:val="006F663F"/>
    <w:rsid w:val="006F7B50"/>
    <w:rsid w:val="0070028E"/>
    <w:rsid w:val="00707DD1"/>
    <w:rsid w:val="00710B8C"/>
    <w:rsid w:val="00713973"/>
    <w:rsid w:val="00720A24"/>
    <w:rsid w:val="00725A6F"/>
    <w:rsid w:val="00732386"/>
    <w:rsid w:val="0073514D"/>
    <w:rsid w:val="00741541"/>
    <w:rsid w:val="007447F3"/>
    <w:rsid w:val="007510DB"/>
    <w:rsid w:val="00753485"/>
    <w:rsid w:val="0075499F"/>
    <w:rsid w:val="007562C7"/>
    <w:rsid w:val="00763C86"/>
    <w:rsid w:val="00764985"/>
    <w:rsid w:val="007661C8"/>
    <w:rsid w:val="0077098D"/>
    <w:rsid w:val="0077591E"/>
    <w:rsid w:val="00782BF2"/>
    <w:rsid w:val="00783D46"/>
    <w:rsid w:val="007931FA"/>
    <w:rsid w:val="007A4861"/>
    <w:rsid w:val="007A7BBA"/>
    <w:rsid w:val="007B0C50"/>
    <w:rsid w:val="007B144B"/>
    <w:rsid w:val="007B3615"/>
    <w:rsid w:val="007B48F9"/>
    <w:rsid w:val="007C13A5"/>
    <w:rsid w:val="007C1A43"/>
    <w:rsid w:val="007C246A"/>
    <w:rsid w:val="007C2BA7"/>
    <w:rsid w:val="007D0951"/>
    <w:rsid w:val="007E7350"/>
    <w:rsid w:val="007F2D42"/>
    <w:rsid w:val="007F52DB"/>
    <w:rsid w:val="0080013E"/>
    <w:rsid w:val="00807291"/>
    <w:rsid w:val="0081226E"/>
    <w:rsid w:val="00813288"/>
    <w:rsid w:val="008147DD"/>
    <w:rsid w:val="008168FC"/>
    <w:rsid w:val="0082153B"/>
    <w:rsid w:val="00823C18"/>
    <w:rsid w:val="008267B6"/>
    <w:rsid w:val="00830996"/>
    <w:rsid w:val="008345F1"/>
    <w:rsid w:val="0084084C"/>
    <w:rsid w:val="00865B07"/>
    <w:rsid w:val="008667EA"/>
    <w:rsid w:val="00867DEA"/>
    <w:rsid w:val="0087637F"/>
    <w:rsid w:val="00892AD5"/>
    <w:rsid w:val="008A1512"/>
    <w:rsid w:val="008B53A2"/>
    <w:rsid w:val="008C0A67"/>
    <w:rsid w:val="008C198C"/>
    <w:rsid w:val="008D0D26"/>
    <w:rsid w:val="008D32B9"/>
    <w:rsid w:val="008D3864"/>
    <w:rsid w:val="008D433B"/>
    <w:rsid w:val="008D4A16"/>
    <w:rsid w:val="008E2807"/>
    <w:rsid w:val="008E566E"/>
    <w:rsid w:val="008E58F7"/>
    <w:rsid w:val="008F001D"/>
    <w:rsid w:val="0090161A"/>
    <w:rsid w:val="00901EB6"/>
    <w:rsid w:val="00903618"/>
    <w:rsid w:val="00904C62"/>
    <w:rsid w:val="00910F52"/>
    <w:rsid w:val="009116F1"/>
    <w:rsid w:val="0091186C"/>
    <w:rsid w:val="0091189C"/>
    <w:rsid w:val="00917E0D"/>
    <w:rsid w:val="00922ABE"/>
    <w:rsid w:val="00922BA8"/>
    <w:rsid w:val="00924DAC"/>
    <w:rsid w:val="00927058"/>
    <w:rsid w:val="0092794A"/>
    <w:rsid w:val="00934738"/>
    <w:rsid w:val="00942750"/>
    <w:rsid w:val="00943BB2"/>
    <w:rsid w:val="00944D4C"/>
    <w:rsid w:val="009450CE"/>
    <w:rsid w:val="009454CD"/>
    <w:rsid w:val="009459BB"/>
    <w:rsid w:val="00947179"/>
    <w:rsid w:val="0095164B"/>
    <w:rsid w:val="00952D17"/>
    <w:rsid w:val="00954090"/>
    <w:rsid w:val="009573E7"/>
    <w:rsid w:val="009610C8"/>
    <w:rsid w:val="00963E05"/>
    <w:rsid w:val="00964A45"/>
    <w:rsid w:val="0096603A"/>
    <w:rsid w:val="00967843"/>
    <w:rsid w:val="00967D54"/>
    <w:rsid w:val="00971028"/>
    <w:rsid w:val="00983EEA"/>
    <w:rsid w:val="00984BA5"/>
    <w:rsid w:val="00990B41"/>
    <w:rsid w:val="00993B84"/>
    <w:rsid w:val="00996483"/>
    <w:rsid w:val="00996F5A"/>
    <w:rsid w:val="009B041A"/>
    <w:rsid w:val="009B66B4"/>
    <w:rsid w:val="009C37C3"/>
    <w:rsid w:val="009C7C86"/>
    <w:rsid w:val="009D2FF7"/>
    <w:rsid w:val="009D44E2"/>
    <w:rsid w:val="009E7483"/>
    <w:rsid w:val="009E7884"/>
    <w:rsid w:val="009E788A"/>
    <w:rsid w:val="009F0E08"/>
    <w:rsid w:val="00A0493A"/>
    <w:rsid w:val="00A1763D"/>
    <w:rsid w:val="00A17CEC"/>
    <w:rsid w:val="00A27EF0"/>
    <w:rsid w:val="00A335C1"/>
    <w:rsid w:val="00A42361"/>
    <w:rsid w:val="00A50B20"/>
    <w:rsid w:val="00A51390"/>
    <w:rsid w:val="00A60D13"/>
    <w:rsid w:val="00A61594"/>
    <w:rsid w:val="00A64028"/>
    <w:rsid w:val="00A66DC6"/>
    <w:rsid w:val="00A66F21"/>
    <w:rsid w:val="00A70081"/>
    <w:rsid w:val="00A706A0"/>
    <w:rsid w:val="00A714EF"/>
    <w:rsid w:val="00A7223D"/>
    <w:rsid w:val="00A726F0"/>
    <w:rsid w:val="00A72745"/>
    <w:rsid w:val="00A742A6"/>
    <w:rsid w:val="00A74B4C"/>
    <w:rsid w:val="00A75683"/>
    <w:rsid w:val="00A756B0"/>
    <w:rsid w:val="00A76EFC"/>
    <w:rsid w:val="00A83FB6"/>
    <w:rsid w:val="00A87D50"/>
    <w:rsid w:val="00A91010"/>
    <w:rsid w:val="00A97F29"/>
    <w:rsid w:val="00AA513A"/>
    <w:rsid w:val="00AA6A33"/>
    <w:rsid w:val="00AA702E"/>
    <w:rsid w:val="00AA76A0"/>
    <w:rsid w:val="00AA7D26"/>
    <w:rsid w:val="00AB0964"/>
    <w:rsid w:val="00AB5011"/>
    <w:rsid w:val="00AC7368"/>
    <w:rsid w:val="00AD16B9"/>
    <w:rsid w:val="00AE2A7E"/>
    <w:rsid w:val="00AE377D"/>
    <w:rsid w:val="00AE3F3E"/>
    <w:rsid w:val="00AE43A8"/>
    <w:rsid w:val="00AF0EBA"/>
    <w:rsid w:val="00AF46C8"/>
    <w:rsid w:val="00B02C8A"/>
    <w:rsid w:val="00B02FAE"/>
    <w:rsid w:val="00B03C10"/>
    <w:rsid w:val="00B1278C"/>
    <w:rsid w:val="00B17FBD"/>
    <w:rsid w:val="00B315A6"/>
    <w:rsid w:val="00B31813"/>
    <w:rsid w:val="00B33365"/>
    <w:rsid w:val="00B43909"/>
    <w:rsid w:val="00B46776"/>
    <w:rsid w:val="00B5536F"/>
    <w:rsid w:val="00B5582B"/>
    <w:rsid w:val="00B57B36"/>
    <w:rsid w:val="00B57E6F"/>
    <w:rsid w:val="00B72C58"/>
    <w:rsid w:val="00B7321D"/>
    <w:rsid w:val="00B80A01"/>
    <w:rsid w:val="00B81B3C"/>
    <w:rsid w:val="00B85CD9"/>
    <w:rsid w:val="00B85D01"/>
    <w:rsid w:val="00B8686D"/>
    <w:rsid w:val="00B93F69"/>
    <w:rsid w:val="00BA28F2"/>
    <w:rsid w:val="00BB1DDC"/>
    <w:rsid w:val="00BC0967"/>
    <w:rsid w:val="00BC30C9"/>
    <w:rsid w:val="00BD077D"/>
    <w:rsid w:val="00BE3E58"/>
    <w:rsid w:val="00BF4F93"/>
    <w:rsid w:val="00BF5179"/>
    <w:rsid w:val="00C01616"/>
    <w:rsid w:val="00C0162B"/>
    <w:rsid w:val="00C068ED"/>
    <w:rsid w:val="00C2043F"/>
    <w:rsid w:val="00C22E0C"/>
    <w:rsid w:val="00C24AF1"/>
    <w:rsid w:val="00C3140E"/>
    <w:rsid w:val="00C345B1"/>
    <w:rsid w:val="00C3608F"/>
    <w:rsid w:val="00C37553"/>
    <w:rsid w:val="00C40142"/>
    <w:rsid w:val="00C450B0"/>
    <w:rsid w:val="00C47CD9"/>
    <w:rsid w:val="00C52C3C"/>
    <w:rsid w:val="00C57182"/>
    <w:rsid w:val="00C57574"/>
    <w:rsid w:val="00C57863"/>
    <w:rsid w:val="00C640AF"/>
    <w:rsid w:val="00C655FD"/>
    <w:rsid w:val="00C74E17"/>
    <w:rsid w:val="00C75407"/>
    <w:rsid w:val="00C77C39"/>
    <w:rsid w:val="00C819C0"/>
    <w:rsid w:val="00C841C6"/>
    <w:rsid w:val="00C86ACD"/>
    <w:rsid w:val="00C870A8"/>
    <w:rsid w:val="00C91963"/>
    <w:rsid w:val="00C94434"/>
    <w:rsid w:val="00CA0D75"/>
    <w:rsid w:val="00CA1608"/>
    <w:rsid w:val="00CA1C95"/>
    <w:rsid w:val="00CA541A"/>
    <w:rsid w:val="00CA5A9C"/>
    <w:rsid w:val="00CB5C10"/>
    <w:rsid w:val="00CC4C20"/>
    <w:rsid w:val="00CC5C7A"/>
    <w:rsid w:val="00CD3517"/>
    <w:rsid w:val="00CD5FE2"/>
    <w:rsid w:val="00CE6531"/>
    <w:rsid w:val="00CE7C68"/>
    <w:rsid w:val="00CF5EAD"/>
    <w:rsid w:val="00D02B4C"/>
    <w:rsid w:val="00D040C4"/>
    <w:rsid w:val="00D11E65"/>
    <w:rsid w:val="00D130F1"/>
    <w:rsid w:val="00D15A7C"/>
    <w:rsid w:val="00D20AD1"/>
    <w:rsid w:val="00D2582C"/>
    <w:rsid w:val="00D35075"/>
    <w:rsid w:val="00D37B46"/>
    <w:rsid w:val="00D44767"/>
    <w:rsid w:val="00D45EDF"/>
    <w:rsid w:val="00D4607A"/>
    <w:rsid w:val="00D46B7E"/>
    <w:rsid w:val="00D529A8"/>
    <w:rsid w:val="00D57C84"/>
    <w:rsid w:val="00D6057D"/>
    <w:rsid w:val="00D67097"/>
    <w:rsid w:val="00D71640"/>
    <w:rsid w:val="00D81F91"/>
    <w:rsid w:val="00D836C5"/>
    <w:rsid w:val="00D84576"/>
    <w:rsid w:val="00D873A0"/>
    <w:rsid w:val="00DA1399"/>
    <w:rsid w:val="00DA24C6"/>
    <w:rsid w:val="00DA4D72"/>
    <w:rsid w:val="00DA4D7B"/>
    <w:rsid w:val="00DB1206"/>
    <w:rsid w:val="00DB7A50"/>
    <w:rsid w:val="00DC0D4F"/>
    <w:rsid w:val="00DD271C"/>
    <w:rsid w:val="00DE060B"/>
    <w:rsid w:val="00DE1665"/>
    <w:rsid w:val="00DE264A"/>
    <w:rsid w:val="00DE594C"/>
    <w:rsid w:val="00DF5072"/>
    <w:rsid w:val="00E02D18"/>
    <w:rsid w:val="00E041E7"/>
    <w:rsid w:val="00E23CA1"/>
    <w:rsid w:val="00E313DF"/>
    <w:rsid w:val="00E409A8"/>
    <w:rsid w:val="00E45D5A"/>
    <w:rsid w:val="00E50C12"/>
    <w:rsid w:val="00E56697"/>
    <w:rsid w:val="00E65B91"/>
    <w:rsid w:val="00E70217"/>
    <w:rsid w:val="00E7209D"/>
    <w:rsid w:val="00E72EAD"/>
    <w:rsid w:val="00E77223"/>
    <w:rsid w:val="00E8368E"/>
    <w:rsid w:val="00E845BA"/>
    <w:rsid w:val="00E8528B"/>
    <w:rsid w:val="00E85B94"/>
    <w:rsid w:val="00E965F4"/>
    <w:rsid w:val="00E978D0"/>
    <w:rsid w:val="00EA18C2"/>
    <w:rsid w:val="00EA25F3"/>
    <w:rsid w:val="00EA4613"/>
    <w:rsid w:val="00EA7F91"/>
    <w:rsid w:val="00EB1523"/>
    <w:rsid w:val="00EB2CF9"/>
    <w:rsid w:val="00EB3A28"/>
    <w:rsid w:val="00EB4A8E"/>
    <w:rsid w:val="00EC0E49"/>
    <w:rsid w:val="00EC101F"/>
    <w:rsid w:val="00EC1D9F"/>
    <w:rsid w:val="00EE0131"/>
    <w:rsid w:val="00EE0B2F"/>
    <w:rsid w:val="00EE17B0"/>
    <w:rsid w:val="00EF06D9"/>
    <w:rsid w:val="00EF08D6"/>
    <w:rsid w:val="00EF3838"/>
    <w:rsid w:val="00F01A0C"/>
    <w:rsid w:val="00F03927"/>
    <w:rsid w:val="00F156D5"/>
    <w:rsid w:val="00F17DC1"/>
    <w:rsid w:val="00F23417"/>
    <w:rsid w:val="00F26C99"/>
    <w:rsid w:val="00F3049E"/>
    <w:rsid w:val="00F30C64"/>
    <w:rsid w:val="00F32A1E"/>
    <w:rsid w:val="00F32BA2"/>
    <w:rsid w:val="00F32CDB"/>
    <w:rsid w:val="00F36A4B"/>
    <w:rsid w:val="00F36C1A"/>
    <w:rsid w:val="00F37A00"/>
    <w:rsid w:val="00F5380C"/>
    <w:rsid w:val="00F565FE"/>
    <w:rsid w:val="00F63A70"/>
    <w:rsid w:val="00F63D8C"/>
    <w:rsid w:val="00F66807"/>
    <w:rsid w:val="00F7085E"/>
    <w:rsid w:val="00F7534E"/>
    <w:rsid w:val="00F76E7F"/>
    <w:rsid w:val="00F91D81"/>
    <w:rsid w:val="00F93EDF"/>
    <w:rsid w:val="00F95B90"/>
    <w:rsid w:val="00FA1802"/>
    <w:rsid w:val="00FA21D0"/>
    <w:rsid w:val="00FA5F5F"/>
    <w:rsid w:val="00FB221D"/>
    <w:rsid w:val="00FB6501"/>
    <w:rsid w:val="00FB730C"/>
    <w:rsid w:val="00FC2695"/>
    <w:rsid w:val="00FC3E03"/>
    <w:rsid w:val="00FC3FC1"/>
    <w:rsid w:val="00FD3B84"/>
    <w:rsid w:val="00FF553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8147DD"/>
    <w:pPr>
      <w:keepNext/>
      <w:spacing w:after="80" w:line="240" w:lineRule="exact"/>
    </w:pPr>
    <w:rPr>
      <w:rFonts w:ascii="Arial" w:eastAsia="Times New Roman" w:hAnsi="Arial" w:cs="Times New Roman"/>
      <w:i/>
      <w:sz w:val="16"/>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customStyle="1" w:styleId="gmail-apple-converted-space">
    <w:name w:val="gmail-apple-converted-space"/>
    <w:basedOn w:val="Fuentedeprrafopredeter"/>
    <w:rsid w:val="00005A19"/>
  </w:style>
  <w:style w:type="character" w:styleId="Textodelmarcadordeposicin">
    <w:name w:val="Placeholder Text"/>
    <w:basedOn w:val="Fuentedeprrafopredeter"/>
    <w:uiPriority w:val="99"/>
    <w:semiHidden/>
    <w:rsid w:val="00D4607A"/>
    <w:rPr>
      <w:color w:val="808080"/>
    </w:rPr>
  </w:style>
  <w:style w:type="table" w:customStyle="1" w:styleId="Tablaconcuadrcula1">
    <w:name w:val="Tabla con cuadrícula1"/>
    <w:basedOn w:val="Tablanormal"/>
    <w:next w:val="Tablaconcuadrcula"/>
    <w:uiPriority w:val="39"/>
    <w:rsid w:val="00234AFE"/>
    <w:pPr>
      <w:spacing w:after="0" w:line="240" w:lineRule="auto"/>
    </w:pPr>
    <w:rPr>
      <w:kern w:val="2"/>
      <w:lang w:val="es-E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74760">
      <w:bodyDiv w:val="1"/>
      <w:marLeft w:val="0"/>
      <w:marRight w:val="0"/>
      <w:marTop w:val="0"/>
      <w:marBottom w:val="0"/>
      <w:divBdr>
        <w:top w:val="none" w:sz="0" w:space="0" w:color="auto"/>
        <w:left w:val="none" w:sz="0" w:space="0" w:color="auto"/>
        <w:bottom w:val="none" w:sz="0" w:space="0" w:color="auto"/>
        <w:right w:val="none" w:sz="0" w:space="0" w:color="auto"/>
      </w:divBdr>
    </w:div>
    <w:div w:id="338966141">
      <w:bodyDiv w:val="1"/>
      <w:marLeft w:val="0"/>
      <w:marRight w:val="0"/>
      <w:marTop w:val="0"/>
      <w:marBottom w:val="0"/>
      <w:divBdr>
        <w:top w:val="none" w:sz="0" w:space="0" w:color="auto"/>
        <w:left w:val="none" w:sz="0" w:space="0" w:color="auto"/>
        <w:bottom w:val="none" w:sz="0" w:space="0" w:color="auto"/>
        <w:right w:val="none" w:sz="0" w:space="0" w:color="auto"/>
      </w:divBdr>
    </w:div>
    <w:div w:id="355349800">
      <w:bodyDiv w:val="1"/>
      <w:marLeft w:val="0"/>
      <w:marRight w:val="0"/>
      <w:marTop w:val="0"/>
      <w:marBottom w:val="0"/>
      <w:divBdr>
        <w:top w:val="none" w:sz="0" w:space="0" w:color="auto"/>
        <w:left w:val="none" w:sz="0" w:space="0" w:color="auto"/>
        <w:bottom w:val="none" w:sz="0" w:space="0" w:color="auto"/>
        <w:right w:val="none" w:sz="0" w:space="0" w:color="auto"/>
      </w:divBdr>
    </w:div>
    <w:div w:id="381710111">
      <w:bodyDiv w:val="1"/>
      <w:marLeft w:val="0"/>
      <w:marRight w:val="0"/>
      <w:marTop w:val="0"/>
      <w:marBottom w:val="0"/>
      <w:divBdr>
        <w:top w:val="none" w:sz="0" w:space="0" w:color="auto"/>
        <w:left w:val="none" w:sz="0" w:space="0" w:color="auto"/>
        <w:bottom w:val="none" w:sz="0" w:space="0" w:color="auto"/>
        <w:right w:val="none" w:sz="0" w:space="0" w:color="auto"/>
      </w:divBdr>
    </w:div>
    <w:div w:id="548109815">
      <w:bodyDiv w:val="1"/>
      <w:marLeft w:val="0"/>
      <w:marRight w:val="0"/>
      <w:marTop w:val="0"/>
      <w:marBottom w:val="0"/>
      <w:divBdr>
        <w:top w:val="none" w:sz="0" w:space="0" w:color="auto"/>
        <w:left w:val="none" w:sz="0" w:space="0" w:color="auto"/>
        <w:bottom w:val="none" w:sz="0" w:space="0" w:color="auto"/>
        <w:right w:val="none" w:sz="0" w:space="0" w:color="auto"/>
      </w:divBdr>
      <w:divsChild>
        <w:div w:id="293757843">
          <w:marLeft w:val="480"/>
          <w:marRight w:val="0"/>
          <w:marTop w:val="0"/>
          <w:marBottom w:val="0"/>
          <w:divBdr>
            <w:top w:val="none" w:sz="0" w:space="0" w:color="auto"/>
            <w:left w:val="none" w:sz="0" w:space="0" w:color="auto"/>
            <w:bottom w:val="none" w:sz="0" w:space="0" w:color="auto"/>
            <w:right w:val="none" w:sz="0" w:space="0" w:color="auto"/>
          </w:divBdr>
        </w:div>
        <w:div w:id="663975583">
          <w:marLeft w:val="480"/>
          <w:marRight w:val="0"/>
          <w:marTop w:val="0"/>
          <w:marBottom w:val="0"/>
          <w:divBdr>
            <w:top w:val="none" w:sz="0" w:space="0" w:color="auto"/>
            <w:left w:val="none" w:sz="0" w:space="0" w:color="auto"/>
            <w:bottom w:val="none" w:sz="0" w:space="0" w:color="auto"/>
            <w:right w:val="none" w:sz="0" w:space="0" w:color="auto"/>
          </w:divBdr>
        </w:div>
        <w:div w:id="1312901099">
          <w:marLeft w:val="480"/>
          <w:marRight w:val="0"/>
          <w:marTop w:val="0"/>
          <w:marBottom w:val="0"/>
          <w:divBdr>
            <w:top w:val="none" w:sz="0" w:space="0" w:color="auto"/>
            <w:left w:val="none" w:sz="0" w:space="0" w:color="auto"/>
            <w:bottom w:val="none" w:sz="0" w:space="0" w:color="auto"/>
            <w:right w:val="none" w:sz="0" w:space="0" w:color="auto"/>
          </w:divBdr>
        </w:div>
      </w:divsChild>
    </w:div>
    <w:div w:id="558442939">
      <w:bodyDiv w:val="1"/>
      <w:marLeft w:val="0"/>
      <w:marRight w:val="0"/>
      <w:marTop w:val="0"/>
      <w:marBottom w:val="0"/>
      <w:divBdr>
        <w:top w:val="none" w:sz="0" w:space="0" w:color="auto"/>
        <w:left w:val="none" w:sz="0" w:space="0" w:color="auto"/>
        <w:bottom w:val="none" w:sz="0" w:space="0" w:color="auto"/>
        <w:right w:val="none" w:sz="0" w:space="0" w:color="auto"/>
      </w:divBdr>
    </w:div>
    <w:div w:id="723332146">
      <w:bodyDiv w:val="1"/>
      <w:marLeft w:val="0"/>
      <w:marRight w:val="0"/>
      <w:marTop w:val="0"/>
      <w:marBottom w:val="0"/>
      <w:divBdr>
        <w:top w:val="none" w:sz="0" w:space="0" w:color="auto"/>
        <w:left w:val="none" w:sz="0" w:space="0" w:color="auto"/>
        <w:bottom w:val="none" w:sz="0" w:space="0" w:color="auto"/>
        <w:right w:val="none" w:sz="0" w:space="0" w:color="auto"/>
      </w:divBdr>
    </w:div>
    <w:div w:id="76935642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770">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54037">
      <w:bodyDiv w:val="1"/>
      <w:marLeft w:val="0"/>
      <w:marRight w:val="0"/>
      <w:marTop w:val="0"/>
      <w:marBottom w:val="0"/>
      <w:divBdr>
        <w:top w:val="none" w:sz="0" w:space="0" w:color="auto"/>
        <w:left w:val="none" w:sz="0" w:space="0" w:color="auto"/>
        <w:bottom w:val="none" w:sz="0" w:space="0" w:color="auto"/>
        <w:right w:val="none" w:sz="0" w:space="0" w:color="auto"/>
      </w:divBdr>
    </w:div>
    <w:div w:id="1242914094">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52630654">
      <w:bodyDiv w:val="1"/>
      <w:marLeft w:val="0"/>
      <w:marRight w:val="0"/>
      <w:marTop w:val="0"/>
      <w:marBottom w:val="0"/>
      <w:divBdr>
        <w:top w:val="none" w:sz="0" w:space="0" w:color="auto"/>
        <w:left w:val="none" w:sz="0" w:space="0" w:color="auto"/>
        <w:bottom w:val="none" w:sz="0" w:space="0" w:color="auto"/>
        <w:right w:val="none" w:sz="0" w:space="0" w:color="auto"/>
      </w:divBdr>
    </w:div>
    <w:div w:id="1488126260">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4782218">
      <w:bodyDiv w:val="1"/>
      <w:marLeft w:val="0"/>
      <w:marRight w:val="0"/>
      <w:marTop w:val="0"/>
      <w:marBottom w:val="0"/>
      <w:divBdr>
        <w:top w:val="none" w:sz="0" w:space="0" w:color="auto"/>
        <w:left w:val="none" w:sz="0" w:space="0" w:color="auto"/>
        <w:bottom w:val="none" w:sz="0" w:space="0" w:color="auto"/>
        <w:right w:val="none" w:sz="0" w:space="0" w:color="auto"/>
      </w:divBdr>
    </w:div>
    <w:div w:id="161050596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052">
      <w:bodyDiv w:val="1"/>
      <w:marLeft w:val="0"/>
      <w:marRight w:val="0"/>
      <w:marTop w:val="0"/>
      <w:marBottom w:val="0"/>
      <w:divBdr>
        <w:top w:val="none" w:sz="0" w:space="0" w:color="auto"/>
        <w:left w:val="none" w:sz="0" w:space="0" w:color="auto"/>
        <w:bottom w:val="none" w:sz="0" w:space="0" w:color="auto"/>
        <w:right w:val="none" w:sz="0" w:space="0" w:color="auto"/>
      </w:divBdr>
    </w:div>
    <w:div w:id="201622908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016/j.est.2023.10675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C8FBF5-5658-4D6A-BD52-7E236772D630}">
  <we:reference id="wa104382081" version="1.55.1.0" store="es-ES" storeType="OMEX"/>
  <we:alternateReferences>
    <we:reference id="wa104382081" version="1.55.1.0" store="wa104382081"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30f1750e-26f6-48cc-b769-e8f5f8151a0e&quot;,&quot;properties&quot;:{&quot;noteIndex&quot;:0},&quot;isEdited&quot;:false,&quot;manualOverride&quot;:{&quot;isManuallyOverridden&quot;:false,&quot;citeprocText&quot;:&quot;(Paltrinieri et al., 2012)&quot;,&quot;manualOverrideText&quot;:&quot;&quot;},&quot;citationTag&quot;:&quot;MENDELEY_CITATION_v3_eyJjaXRhdGlvbklEIjoiTUVOREVMRVlfQ0lUQVRJT05fMzBmMTc1MGUtMjZmNi00OGNjLWI3NjktZThmNWY4MTUxYTBlIiwicHJvcGVydGllcyI6eyJub3RlSW5kZXgiOjB9LCJpc0VkaXRlZCI6ZmFsc2UsIm1hbnVhbE92ZXJyaWRlIjp7ImlzTWFudWFsbHlPdmVycmlkZGVuIjpmYWxzZSwiY2l0ZXByb2NUZXh0IjoiKFBhbHRyaW5pZXJpIGV0IGFsLiwgMjAxMikiLCJtYW51YWxPdmVycmlkZVRleHQiOiIifSwiY2l0YXRpb25JdGVtcyI6W3siaWQiOiI2MGNlMTU1MC01OGYwLTMyZDAtYTQ4ZC1kYTk2ZGE3MDE2ZmUiLCJpdGVtRGF0YSI6eyJ0eXBlIjoiYXJ0aWNsZS1qb3VybmFsIiwiaWQiOiI2MGNlMTU1MC01OGYwLTMyZDAtYTQ4ZC1kYTk2ZGE3MDE2ZmUiLCJ0aXRsZSI6Ikxlc3NvbnMgTGVhcm5lZCBmcm9tIFRvdWxvdXNlIGFuZCBCdW5jZWZpZWxkIERpc2FzdGVyczogRnJvbSBSaXNrIEFuYWx5c2lzIEZhaWx1cmVzIHRvIHRoZSBJZGVudGlmaWNhdGlvbiBvZiBBdHlwaWNhbCBTY2VuYXJpb3MgVGhyb3VnaCBhIEJldHRlciBLbm93bGVkZ2UgTWFuYWdlbWVudCIsImdyb3VwSWQiOiJmNDMyMDkzZS0zMGIyLTM4ZmItYjVhYi1iNGI0YTUzYTIwYzEiLCJhdXRob3IiOlt7ImZhbWlseSI6IlBhbHRyaW5pZXJpIiwiZ2l2ZW4iOiJOaWNvbGEiLCJwYXJzZS1uYW1lcyI6ZmFsc2UsImRyb3BwaW5nLXBhcnRpY2xlIjoiIiwibm9uLWRyb3BwaW5nLXBhcnRpY2xlIjoiIn0seyJmYW1pbHkiOiJEZWNoeSIsImdpdmVuIjoiTmljb2xhcyIsInBhcnNlLW5hbWVzIjpmYWxzZSwiZHJvcHBpbmctcGFydGljbGUiOiIiLCJub24tZHJvcHBpbmctcGFydGljbGUiOiIifSx7ImZhbWlseSI6IlNhbHphbm8iLCJnaXZlbiI6IkVybmVzdG8iLCJwYXJzZS1uYW1lcyI6ZmFsc2UsImRyb3BwaW5nLXBhcnRpY2xlIjoiIiwibm9uLWRyb3BwaW5nLXBhcnRpY2xlIjoiIn0seyJmYW1pbHkiOiJXYXJkbWFuIiwiZ2l2ZW4iOiJNaWtlIiwicGFyc2UtbmFtZXMiOmZhbHNlLCJkcm9wcGluZy1wYXJ0aWNsZSI6IiIsIm5vbi1kcm9wcGluZy1wYXJ0aWNsZSI6IiJ9LHsiZmFtaWx5IjoiQ296emFuaSIsImdpdmVuIjoiVmFsZXJpbyIsInBhcnNlLW5hbWVzIjpmYWxzZSwiZHJvcHBpbmctcGFydGljbGUiOiIiLCJub24tZHJvcHBpbmctcGFydGljbGUiOiIifV0sImNvbnRhaW5lci10aXRsZSI6IlJpc2sgQW5hbHlzaXMiLCJET0kiOiIxMC4xMTExL2ouMTUzOS02OTI0LjIwMTEuMDE3NDkueCIsIklTU04iOiIwMjcyNDMzMiIsIlBNSUQiOiIyMjIxMTI5OSIsImlzc3VlZCI6eyJkYXRlLXBhcnRzIjpbWzIwMTIsOF1dfSwicGFnZSI6IjE0MDQtMTQxOSIsImFic3RyYWN0IjoiVGhlIHJlY2VudCBvY2N1cnJlbmNlIG9mIHNldmVyZSBtYWpvciBhY2NpZGVudHMgaGFzIGJyb3VnaHQgdG8gbGlnaHQgZmxhd3MgYW5kIGxpbWl0YXRpb25zIG9mIGhhemFyZCBpZGVudGlmaWNhdGlvbiAoSEFaSUQpIHByb2Nlc3NlcyBwZXJmb3JtZWQgZm9yIHNhZmV0eSByZXBvcnRzLCBhcyBpbiB0aGUgYWNjaWRlbnRzIGF0IFRvdWxvdXNlIChGcmFuY2UpIGFuZCBCdW5jZWZpZWxkIChVSyksIHdoZXJlIHRoZSBhY2NpZGVudCBzY2VuYXJpb3MgdGhhdCBvY2N1cnJlZCB3ZXJlIG5vdCBjYXB0dXJlZCBieSBIQVpJRCB0ZWNobmlxdWVzLiBUaGlzIHN0dWR5IGZvY3VzZXMgb24gdGhpcyB0eXBlIG9mIGF0eXBpY2FsIGFjY2lkZW50IHNjZW5hcmlvIGRldmlhdGluZyBmcm9tIG5vcm1hbCBleHBlY3RhdGlvbnMuIFRoZSBtYWluIHB1cnBvc2UgaXMgdG8gYW5hbHl6ZSB0aGUgZXhhbXBsZXMgb2YgYXR5cGljYWwgYWNjaWRlbnRzIG1lbnRpb25lZCBhbmQgdG8gYXR0ZW1wdCB0byBpZGVudGlmeSB0aGVtIHRocm91Z2ggdGhlIGFwcGxpY2F0aW9uIG9mIGEgd2VsbC1rbm93biBtZXRob2RvbG9neSBzdWNoIGFzIHRoZSBib3ctdGllIGFuYWx5c2lzLiBUbyB0aGVzZSBhaW1zLCB0aGUgY29uY2VwdCBvZiBhdHlwaWNhbCBldmVudCBpcyBhY2N1cmF0ZWx5IGRlZmluZWQuIEVhcmx5IHdhcm5pbmdzLCBjYXVzZXMsIGNvbnNlcXVlbmNlcywgYW5kIG9jY3VycmVuY2UgbWVjaGFuaXNtcyBvZiB0aGUgc3BlY2lmaWMgZXZlbnRzIGFyZSB3aWRlbHkgc3R1ZGllZCBhbmQgZ2VuZXJhbCBmYWlsdXJlcyBvZiByaXNrIGFzc2Vzc21lbnQsIG1hbmFnZW1lbnQsIGFuZCBnb3Zlcm5hbmNlIGlzb2xhdGVkLiBUaGVzZSBhY3Rpdml0aWVzIGNvbnRyaWJ1dGUgdG8gb3V0bGluZSBhIHNldCBvZiB0YXJnZXRlZCByZWNvbW1lbmRhdGlvbnMsIGFkZHJlc3NpbmcgdHJhbnN2ZXJzYWwgY29tbW9uIGRlZmljaWVuY2llcyBhbmQgYWxzbyBkZW1vbnN0cmF0aW5nIGhvdyBhIGJldHRlciBtYW5hZ2VtZW50IG9mIGtub3dsZWRnZSBmcm9tIHRoZSBzdHVkeSBvZiBwYXN0IGV2ZW50cyBjYW4gc3VwcG9ydCBmdXR1cmUgcmlzayBhc3Nlc3NtZW50IHByb2Nlc3NlcyBpbiB0aGUgaWRlbnRpZmljYXRpb24gb2YgYXR5cGljYWwgYWNjaWRlbnQgc2NlbmFyaW9zLiBUaHVzLCBhIG5ldyBtZXRob2RvbG9neSBpcyBub3Qgc3VnZ2VzdGVkOyByYXRoZXIsIGEgc3BlY2lmaWMgYXBwcm9hY2ggY29vcmRpbmF0aW5nIGEgbW9yZSBlZmZlY3RpdmUgdXNlIG9mIGV4cGVyaWVuY2UgYW5kIGF2YWlsYWJsZSBpbmZvcm1hdGlvbiBpcyBkZXNjcmliZWQsIHRvIHN1Z2dlc3QgdGhhdCBsZXNzb25zIHRvIGJlIGxlYXJuZWQgZnJvbSBwYXN0IGFjY2lkZW50cyBjYW4gYmUgZWZmZWN0aXZlbHkgdHJhbnNsYXRlZCBpbnRvIGFjdGlvbnMgb2YgcHJldmVudGlvbi4gwqkgMjAxMiBTb2NpZXR5IGZvciBSaXNrIEFuYWx5c2lzLiIsImlzc3VlIjoiOCIsInZvbHVtZSI6IjMyIn0sImlzVGVtcG9yYXJ5IjpmYWxzZX1dfQ==&quot;,&quot;citationItems&quot;:[{&quot;id&quot;:&quot;60ce1550-58f0-32d0-a48d-da96da7016fe&quot;,&quot;itemData&quot;:{&quot;type&quot;:&quot;article-journal&quot;,&quot;id&quot;:&quot;60ce1550-58f0-32d0-a48d-da96da7016fe&quot;,&quot;title&quot;:&quot;Lessons Learned from Toulouse and Buncefield Disasters: From Risk Analysis Failures to the Identification of Atypical Scenarios Through a Better Knowledge Management&quot;,&quot;groupId&quot;:&quot;f432093e-30b2-38fb-b5ab-b4b4a53a20c1&quot;,&quot;author&quot;:[{&quot;family&quot;:&quot;Paltrinieri&quot;,&quot;given&quot;:&quot;Nicola&quot;,&quot;parse-names&quot;:false,&quot;dropping-particle&quot;:&quot;&quot;,&quot;non-dropping-particle&quot;:&quot;&quot;},{&quot;family&quot;:&quot;Dechy&quot;,&quot;given&quot;:&quot;Nicolas&quot;,&quot;parse-names&quot;:false,&quot;dropping-particle&quot;:&quot;&quot;,&quot;non-dropping-particle&quot;:&quot;&quot;},{&quot;family&quot;:&quot;Salzano&quot;,&quot;given&quot;:&quot;Ernesto&quot;,&quot;parse-names&quot;:false,&quot;dropping-particle&quot;:&quot;&quot;,&quot;non-dropping-particle&quot;:&quot;&quot;},{&quot;family&quot;:&quot;Wardman&quot;,&quot;given&quot;:&quot;Mike&quot;,&quot;parse-names&quot;:false,&quot;dropping-particle&quot;:&quot;&quot;,&quot;non-dropping-particle&quot;:&quot;&quot;},{&quot;family&quot;:&quot;Cozzani&quot;,&quot;given&quot;:&quot;Valerio&quot;,&quot;parse-names&quot;:false,&quot;dropping-particle&quot;:&quot;&quot;,&quot;non-dropping-particle&quot;:&quot;&quot;}],&quot;container-title&quot;:&quot;Risk Analysis&quot;,&quot;DOI&quot;:&quot;10.1111/j.1539-6924.2011.01749.x&quot;,&quot;ISSN&quot;:&quot;02724332&quot;,&quot;PMID&quot;:&quot;22211299&quot;,&quot;issued&quot;:{&quot;date-parts&quot;:[[2012,8]]},&quot;page&quot;:&quot;1404-1419&quot;,&quot;abstract&quot;:&quot;The recent occurrence of severe major accidents has brought to light flaws and limitations of hazard identification (HAZID) processes performed for safety reports, as in the accidents at Toulouse (France) and Buncefield (UK), where the accident scenarios that occurred were not captured by HAZID techniques. This study focuses on this type of atypical accident scenario deviating from normal expectations. The main purpose is to analyze the examples of atypical accidents mentioned and to attempt to identify them through the application of a well-known methodology such as the bow-tie analysis. To these aims, the concept of atypical event is accurately defined. Early warnings, causes, consequences, and occurrence mechanisms of the specific events are widely studied and general failures of risk assessment, management, and governance isolated. These activities contribute to outline a set of targeted recommendations, addressing transversal common deficiencies and also demonstrating how a better management of knowledge from the study of past events can support future risk assessment processes in the identification of atypical accident scenarios. Thus, a new methodology is not suggested; rather, a specific approach coordinating a more effective use of experience and available information is described, to suggest that lessons to be learned from past accidents can be effectively translated into actions of prevention. © 2012 Society for Risk Analysis.&quot;,&quot;issue&quot;:&quot;8&quot;,&quot;volume&quot;:&quot;32&quot;},&quot;isTemporary&quot;:false}]},{&quot;citationID&quot;:&quot;MENDELEY_CITATION_2fa9e8df-c269-4c80-98b6-260f43af179e&quot;,&quot;properties&quot;:{&quot;noteIndex&quot;:0},&quot;isEdited&quot;:false,&quot;manualOverride&quot;:{&quot;isManuallyOverridden&quot;:false,&quot;citeprocText&quot;:&quot;(Navajas et al., 2023)&quot;,&quot;manualOverrideText&quot;:&quot;&quot;},&quot;citationTag&quot;:&quot;MENDELEY_CITATION_v3_eyJjaXRhdGlvbklEIjoiTUVOREVMRVlfQ0lUQVRJT05fMmZhOWU4ZGYtYzI2OS00YzgwLTk4YjYtMjYwZjQzYWYxNzllIiwicHJvcGVydGllcyI6eyJub3RlSW5kZXgiOjB9LCJpc0VkaXRlZCI6ZmFsc2UsIm1hbnVhbE92ZXJyaWRlIjp7ImlzTWFudWFsbHlPdmVycmlkZGVuIjpmYWxzZSwiY2l0ZXByb2NUZXh0IjoiKE5hdmFqYXMgZXQgYWwuLCAyMDIzKSIsIm1hbnVhbE92ZXJyaWRlVGV4dCI6IiJ9LCJjaXRhdGlvbkl0ZW1zIjpbeyJpZCI6IjBlOThjODkyLTIyNzYtM2RjMi1iOWQzLWEzOWMwNTM4MTA3NyIsIml0ZW1EYXRhIjp7InR5cGUiOiJhcnRpY2xlLWpvdXJuYWwiLCJpZCI6IjBlOThjODkyLTIyNzYtM2RjMi1iOWQzLWEzOWMwNTM4MTA3NyIsInRpdGxlIjoiRGV2ZWxvcG1lbnQgb2YgYSBQcm90b2NvbCBmb3IgdGhlIFN5c3RlbWF0aWMgQW5hbHlzaXMgb2YgRXZlbnRzIGF0IEh5ZHJvZ2VuIFJlZnVlbGxpbmcgU3RhdGlvbnMiLCJncm91cElkIjoiZjQzMjA5M2UtMzBiMi0zOGZiLWI1YWItYjRiNGE1M2EyMGMxIiwiYXV0aG9yIjpbeyJmYW1pbHkiOiJOYXZhamFzIiwiZ2l2ZW4iOiJKb2FxdcOtbiIsInBhcnNlLW5hbWVzIjpmYWxzZSwiZHJvcHBpbmctcGFydGljbGUiOiIiLCJub24tZHJvcHBpbmctcGFydGljbGUiOiIifSx7ImZhbWlseSI6IkJhZGlhIiwiZ2l2ZW4iOiJFdWzDoGxpYSIsInBhcnNlLW5hbWVzIjpmYWxzZSwiZHJvcHBpbmctcGFydGljbGUiOiIiLCJub24tZHJvcHBpbmctcGFydGljbGUiOiIifSx7ImZhbWlseSI6IlNhbGEiLCJnaXZlbiI6IlJvc2VyIiwicGFyc2UtbmFtZXMiOmZhbHNlLCJkcm9wcGluZy1wYXJ0aWNsZSI6IiIsIm5vbi1kcm9wcGluZy1wYXJ0aWNsZSI6IiJ9LHsiZmFtaWx5IjoiU2F0byIsImdpdmVuIjoiSGl0b21pIiwicGFyc2UtbmFtZXMiOmZhbHNlLCJkcm9wcGluZy1wYXJ0aWNsZSI6IiIsIm5vbi1kcm9wcGluZy1wYXJ0aWNsZSI6IiJ9LHsiZmFtaWx5IjoiUGFsdHJpbmllcmkiLCJnaXZlbiI6Ik5pY29sYSIsInBhcnNlLW5hbWVzIjpmYWxzZSwiZHJvcHBpbmctcGFydGljbGUiOiIiLCJub24tZHJvcHBpbmctcGFydGljbGUiOiIifV0sIkRPSSI6IjEwLjMzMDMvQ0VUMjMxMDUwMjIiLCJJU0JOIjoiOTc5MTI4MTIwNjA0NSIsImlzc3VlZCI6eyJkYXRlLXBhcnRzIjpbWzIwMjNdXX0sInBhZ2UiOiIxMjctMTMyIiwiaXNzdWUiOiJKdW5lIiwidm9sdW1lIjoiMTA1IiwiY29udGFpbmVyLXRpdGxlLXNob3J0IjoiIn0sImlzVGVtcG9yYXJ5IjpmYWxzZX1dfQ==&quot;,&quot;citationItems&quot;:[{&quot;id&quot;:&quot;0e98c892-2276-3dc2-b9d3-a39c05381077&quot;,&quot;itemData&quot;:{&quot;type&quot;:&quot;article-journal&quot;,&quot;id&quot;:&quot;0e98c892-2276-3dc2-b9d3-a39c05381077&quot;,&quot;title&quot;:&quot;Development of a Protocol for the Systematic Analysis of Events at Hydrogen Refuelling Stations&quot;,&quot;groupId&quot;:&quot;f432093e-30b2-38fb-b5ab-b4b4a53a20c1&quot;,&quot;author&quot;:[{&quot;family&quot;:&quot;Navajas&quot;,&quot;given&quot;:&quot;Joaquín&quot;,&quot;parse-names&quot;:false,&quot;dropping-particle&quot;:&quot;&quot;,&quot;non-dropping-particle&quot;:&quot;&quot;},{&quot;family&quot;:&quot;Badia&quot;,&quot;given&quot;:&quot;Eulàlia&quot;,&quot;parse-names&quot;:false,&quot;dropping-particle&quot;:&quot;&quot;,&quot;non-dropping-particle&quot;:&quot;&quot;},{&quot;family&quot;:&quot;Sala&quot;,&quot;given&quot;:&quot;Roser&quot;,&quot;parse-names&quot;:false,&quot;dropping-particle&quot;:&quot;&quot;,&quot;non-dropping-particle&quot;:&quot;&quot;},{&quot;family&quot;:&quot;Sato&quot;,&quot;given&quot;:&quot;Hitomi&quot;,&quot;parse-names&quot;:false,&quot;dropping-particle&quot;:&quot;&quot;,&quot;non-dropping-particle&quot;:&quot;&quot;},{&quot;family&quot;:&quot;Paltrinieri&quot;,&quot;given&quot;:&quot;Nicola&quot;,&quot;parse-names&quot;:false,&quot;dropping-particle&quot;:&quot;&quot;,&quot;non-dropping-particle&quot;:&quot;&quot;}],&quot;DOI&quot;:&quot;10.3303/CET23105022&quot;,&quot;ISBN&quot;:&quot;9791281206045&quot;,&quot;issued&quot;:{&quot;date-parts&quot;:[[2023]]},&quot;page&quot;:&quot;127-132&quot;,&quot;issue&quot;:&quot;June&quot;,&quot;volume&quot;:&quot;105&quot;,&quot;container-title-short&quot;:&quot;&quot;},&quot;isTemporary&quot;:false}]},{&quot;citationID&quot;:&quot;MENDELEY_CITATION_caf7f0e8-573c-44ac-9814-a575ab68c18f&quot;,&quot;properties&quot;:{&quot;noteIndex&quot;:0},&quot;isEdited&quot;:false,&quot;manualOverride&quot;:{&quot;isManuallyOverridden&quot;:true,&quot;citeprocText&quot;:&quot;(George &amp;#38; Mallery, 2016)&quot;,&quot;manualOverrideText&quot;:&quot;(2016)&quot;},&quot;citationTag&quot;:&quot;MENDELEY_CITATION_v3_eyJjaXRhdGlvbklEIjoiTUVOREVMRVlfQ0lUQVRJT05fY2FmN2YwZTgtNTczYy00NGFjLTk4MTQtYTU3NWFiNjhjMThmIiwicHJvcGVydGllcyI6eyJub3RlSW5kZXgiOjB9LCJpc0VkaXRlZCI6ZmFsc2UsIm1hbnVhbE92ZXJyaWRlIjp7ImlzTWFudWFsbHlPdmVycmlkZGVuIjp0cnVlLCJjaXRlcHJvY1RleHQiOiIoR2VvcmdlICYjMzg7IE1hbGxlcnksIDIwMTYpIiwibWFudWFsT3ZlcnJpZGVUZXh0IjoiKDIwMTYpIn0sImNpdGF0aW9uSXRlbXMiOlt7ImlkIjoiOGI1ZWJmMzktMGY1Ny0zNjRhLTllOGItOTI4NTczYzYxMTcyIiwiaXRlbURhdGEiOnsidHlwZSI6ImJvb2siLCJpZCI6IjhiNWViZjM5LTBmNTctMzY0YS05ZThiLTkyODU3M2M2MTE3MiIsInRpdGxlIjoiSUJNIFNQU1Mgc3RhdGlzdGljcyAyMyBzdGVwIGJ5IHN0ZXAgOiBhIHNpbXBsZSBndWlkZSBhbmQgcmVmZXJlbmNlIiwiYXV0aG9yIjpbeyJmYW1pbHkiOiJHZW9yZ2UiLCJnaXZlbiI6IkRhcnJlbi4iLCJwYXJzZS1uYW1lcyI6ZmFsc2UsImRyb3BwaW5nLXBhcnRpY2xlIjoiIiwibm9uLWRyb3BwaW5nLXBhcnRpY2xlIjoiIn0seyJmYW1pbHkiOiJNYWxsZXJ5IiwiZ2l2ZW4iOiJQYXVsLiIsInBhcnNlLW5hbWVzIjpmYWxzZSwiZHJvcHBpbmctcGFydGljbGUiOiIiLCJub24tZHJvcHBpbmctcGFydGljbGUiOiIifV0sIklTQk4iOiI5NzgxMTM4NjgxMzQ3IiwiaXNzdWVkIjp7ImRhdGUtcGFydHMiOltbMjAxNl1dfSwiYWJzdHJhY3QiOiJGb3VydGVlbnRoIGVkaXRpb24uIElCTSBTUFNTIFN0YXRpc3RpY3MgMjMgU3RlcCBieSBTdGVwOiBBIFNpbXBsZSBHdWlkZSBhbmQgUmVmZXJlbmNlLCAxNGUsIHRha2VzIGEgc3RyYWlnaHRmb3J3YXJkLCBzdGVwLWJ5LXN0ZXAgYXBwcm9hY2ggdGhhdCBtYWtlcyBTUFNTIHNvZnR3YXJlIGNsZWFyIHRvIGJlZ2lubmVycyBhbmQgZXhwZXJpZW5jZWQgcmVzZWFyY2hlcnMgYWxpa2UuIEV4dGVuc2l2ZSB1c2Ugb2Ygdml2aWQsIGZvdXItY29sb3Igc2NyZWVuIHNob3RzLCBjbGVhciB3cml0aW5nLCBhbmQgc3RlcC1ieS1zdGVwIGJveGVzIGd1aWRlIHJlYWRlcnMgdGhyb3VnaCB0aGUgcHJvZ3JhbS4gRXhlcmNpc2VzIGF0IHRoZSBlbmQgb2YgZWFjaCBjaGFwdGVyIHN1cHBvcnQgc3R1ZGVudHMgYnkgcHJvdmlkaW5nIGFkZGl0aW9uYWwgb3Bwb3J0dW5pdGllcyB0byBwcmFjdGljZSB1c2luZyBTUFNTLiBBbiBvdmVydmlldyBvZiBJQk0gU1BTUyBzdGF0aXN0aWNzIC0tIElCTSBTUFNTIHN0YXRpc3RpY3MgcHJvY2Vzc2VzIGZvciBQQyAtLSBJQk0gU1BTUyBzdGF0aXN0aWNzIHByb2Nlc3NlcyBmb3IgTWFjIC0tIENyZWF0aW5nIGFuZCBlZGl0aW5nIGEgZGF0YSBmaWxlIC0tIE1hbmFnaW5nIGRhdGEgLS0gR3JhcGhzIGFuZCBjaGFydHM6IGNyZWF0aW5nIGFuZCBlZGl0aW5nIC0tIEZyZXF1ZW5jaWVzIC0tIERlc2NyaXB0aXZlIHN0YXRpc3RpY3MgLS0gQ3Jvc3N0YWJ1bGF0aW9uIGFuZCB4MiBhbmFseXNlcyAtLSBUaGUgbWVhbnMgcHJvY2VkdXJlIC0tIEJpdmFyaWF0ZSBjb3JyZWxhdGlvbiAtLSBUaGUgdCB0ZXN0IHByb2NlZHVyZSAtLSBUaGUgb25lLXdheSBBTk9WQSBwcm9jZWR1cmUgLS0gR2VuZXJhbCBsaW5lYXIgbW9kZWxzOiB0d28td2F5IEFOT1ZBIC0tIEdlbmVyYWwgbGluZWFyIG1vZGVsczogdGhyZWUtd2F5IEFOT1ZBIC0tIFNpbXBsZSBsaW5lYXIgcmVncmVzc2lvbiAtLSBNdWx0aXBsZSByZWdyZXNzaW9uIGFuYWx5c2lzIC0tIE5vbnBhcmFtZXRyaWMgcHJvY2VkdXJlcyAtLSBSZWxpYWJpbGl0eSBhbmFseXNpcyAtLSBNdWx0aWRpbWVuc2lvbmFsIHNjYWxpbmcgLS0gRmFjdG9yIGFuYWx5c2lzIC0tIENsdXN0ZXIgYW5hbHlzaXMgLS0gRGlzY3JpbWluYW50IGFuYWx5c2lzIC0tIEdlbmVyYWwgbGluZWFyIG1vZGVsczogTUFOT1ZBIGFuZCBNQU5DT1ZBIC0tIEcuTC5NLjogUmVwZWF0ZWQtTWVhc3VyZXMgTUFOT1ZBIC0tIExvZ2lzdGljIHJlZ3Jlc3Npb24gLS0gSGllcmFyY2hpY2FsIGxvZy1saW5lYXIgbW9kZWxzIC0tIE5vbmhpZXJhcmNoaWNhbCBsb2ctbGluZWFyIG1vZGVscyAtLSBSZXNpZHVhbHM6IGFuYWx5emluZyBsZWZ0LW92ZXIgdmFyaWFuY2UuIiwicHVibGlzaGVyIjoiUm91dGxlZGdlIiwiY29udGFpbmVyLXRpdGxlLXNob3J0IjoiIn0sImlzVGVtcG9yYXJ5IjpmYWxzZX1dfQ==&quot;,&quot;citationItems&quot;:[{&quot;id&quot;:&quot;8b5ebf39-0f57-364a-9e8b-928573c61172&quot;,&quot;itemData&quot;:{&quot;type&quot;:&quot;book&quot;,&quot;id&quot;:&quot;8b5ebf39-0f57-364a-9e8b-928573c61172&quot;,&quot;title&quot;:&quot;IBM SPSS statistics 23 step by step : a simple guide and reference&quot;,&quot;author&quot;:[{&quot;family&quot;:&quot;George&quot;,&quot;given&quot;:&quot;Darren.&quot;,&quot;parse-names&quot;:false,&quot;dropping-particle&quot;:&quot;&quot;,&quot;non-dropping-particle&quot;:&quot;&quot;},{&quot;family&quot;:&quot;Mallery&quot;,&quot;given&quot;:&quot;Paul.&quot;,&quot;parse-names&quot;:false,&quot;dropping-particle&quot;:&quot;&quot;,&quot;non-dropping-particle&quot;:&quot;&quot;}],&quot;ISBN&quot;:&quot;9781138681347&quot;,&quot;issued&quot;:{&quot;date-parts&quot;:[[2016]]},&quot;abstract&quot;:&quot;Fourteenth edition. IBM SPSS Statistics 23 Step by Step: A Simple Guide and Reference, 14e, takes a straightforward, step-by-step approach that makes SPSS software clear to beginners and experienced researchers alike. Extensive use of vivid, four-color screen shots, clear writing, and step-by-step boxes guide readers through the program. Exercises at the end of each chapter support students by providing additional opportunities to practice using SPSS. An overview of IBM SPSS statistics -- IBM SPSS statistics processes for PC -- IBM SPSS statistics processes for Mac -- Creating and editing a data file -- Managing data -- Graphs and charts: creating and editing -- Frequencies -- Descriptive statistics -- Crosstabulation and x2 analyses -- The means procedure -- Bivariate correlation -- The t test procedure -- The one-way ANOVA procedure -- General linear models: two-way ANOVA -- General linear models: three-way ANOVA -- Simple linear regression -- Multiple regression analysis -- Nonparametric procedures -- Reliability analysis -- Multidimensional scaling -- Factor analysis -- Cluster analysis -- Discriminant analysis -- General linear models: MANOVA and MANCOVA -- G.L.M.: Repeated-Measures MANOVA -- Logistic regression -- Hierarchical log-linear models -- Nonhierarchical log-linear models -- Residuals: analyzing left-over variance.&quot;,&quot;publisher&quot;:&quot;Routledge&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7DA56-7B56-47EE-9DA6-B654528E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5040</Words>
  <Characters>28729</Characters>
  <Application>Microsoft Office Word</Application>
  <DocSecurity>0</DocSecurity>
  <Lines>239</Lines>
  <Paragraphs>67</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33702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admin</cp:lastModifiedBy>
  <cp:revision>6</cp:revision>
  <cp:lastPrinted>2025-03-05T09:27:00Z</cp:lastPrinted>
  <dcterms:created xsi:type="dcterms:W3CDTF">2025-04-10T10:51:00Z</dcterms:created>
  <dcterms:modified xsi:type="dcterms:W3CDTF">2025-04-10T11:26:00Z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http://www.zotero.org/styles/energy-research-and-social-science</vt:lpwstr>
  </property>
  <property fmtid="{D5CDD505-2E9C-101B-9397-08002B2CF9AE}" pid="9" name="Mendeley Recent Style Name 2_1">
    <vt:lpwstr>Energy Research &amp; Social Science</vt:lpwstr>
  </property>
  <property fmtid="{D5CDD505-2E9C-101B-9397-08002B2CF9AE}" pid="10" name="Mendeley Recent Style Id 3_1">
    <vt:lpwstr>http://www.zotero.org/styles/ieee</vt:lpwstr>
  </property>
  <property fmtid="{D5CDD505-2E9C-101B-9397-08002B2CF9AE}" pid="11" name="Mendeley Recent Style Name 3_1">
    <vt:lpwstr>IEEE</vt:lpwstr>
  </property>
  <property fmtid="{D5CDD505-2E9C-101B-9397-08002B2CF9AE}" pid="12" name="Mendeley Recent Style Id 4_1">
    <vt:lpwstr>http://www.zotero.org/styles/information-technology-and-management</vt:lpwstr>
  </property>
  <property fmtid="{D5CDD505-2E9C-101B-9397-08002B2CF9AE}" pid="13" name="Mendeley Recent Style Name 4_1">
    <vt:lpwstr>Information Technology and Management</vt:lpwstr>
  </property>
  <property fmtid="{D5CDD505-2E9C-101B-9397-08002B2CF9AE}" pid="14" name="Mendeley Recent Style Id 5_1">
    <vt:lpwstr>http://www.zotero.org/styles/journal-of-loss-prevention-in-the-process-industries</vt:lpwstr>
  </property>
  <property fmtid="{D5CDD505-2E9C-101B-9397-08002B2CF9AE}" pid="15" name="Mendeley Recent Style Name 5_1">
    <vt:lpwstr>Journal of Loss Prevention in the Process Industries</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http://www.zotero.org/styles/polymers</vt:lpwstr>
  </property>
  <property fmtid="{D5CDD505-2E9C-101B-9397-08002B2CF9AE}" pid="23" name="Mendeley Recent Style Name 9_1">
    <vt:lpwstr>Polymers</vt:lpwstr>
  </property>
  <property fmtid="{D5CDD505-2E9C-101B-9397-08002B2CF9AE}" pid="24" name="Mendeley Document_1">
    <vt:lpwstr>True</vt:lpwstr>
  </property>
  <property fmtid="{D5CDD505-2E9C-101B-9397-08002B2CF9AE}" pid="25" name="Mendeley Unique User Id_1">
    <vt:lpwstr>2d647b1a-53e3-39b2-a05e-fc139e3a89a8</vt:lpwstr>
  </property>
  <property fmtid="{D5CDD505-2E9C-101B-9397-08002B2CF9AE}" pid="26" name="Mendeley Citation Style_1">
    <vt:lpwstr>http://www.zotero.org/styles/apa</vt:lpwstr>
  </property>
</Properties>
</file>