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64FA9"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464FA9" w:rsidRDefault="000A03B2" w:rsidP="00DE264A">
            <w:pPr>
              <w:tabs>
                <w:tab w:val="left" w:pos="-108"/>
              </w:tabs>
              <w:ind w:left="-108"/>
              <w:jc w:val="left"/>
              <w:rPr>
                <w:rFonts w:cs="Arial"/>
                <w:b/>
                <w:bCs/>
                <w:i/>
                <w:iCs/>
                <w:color w:val="000066"/>
                <w:sz w:val="12"/>
                <w:szCs w:val="12"/>
                <w:lang w:eastAsia="it-IT"/>
              </w:rPr>
            </w:pPr>
            <w:bookmarkStart w:id="0" w:name="_Hlk145068772"/>
            <w:r w:rsidRPr="00FF1496">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64FA9">
              <w:rPr>
                <w:rFonts w:ascii="AdvP6960" w:hAnsi="AdvP6960" w:cs="AdvP6960"/>
                <w:color w:val="241F20"/>
                <w:szCs w:val="18"/>
                <w:lang w:eastAsia="it-IT"/>
              </w:rPr>
              <w:t xml:space="preserve"> </w:t>
            </w:r>
            <w:r w:rsidRPr="00464FA9">
              <w:rPr>
                <w:rFonts w:cs="Arial"/>
                <w:b/>
                <w:bCs/>
                <w:i/>
                <w:iCs/>
                <w:color w:val="000066"/>
                <w:sz w:val="24"/>
                <w:szCs w:val="24"/>
                <w:lang w:eastAsia="it-IT"/>
              </w:rPr>
              <w:t>CHEMICAL ENGINEERING</w:t>
            </w:r>
            <w:r w:rsidRPr="00464FA9">
              <w:rPr>
                <w:rFonts w:cs="Arial"/>
                <w:b/>
                <w:bCs/>
                <w:i/>
                <w:iCs/>
                <w:color w:val="0033FF"/>
                <w:sz w:val="24"/>
                <w:szCs w:val="24"/>
                <w:lang w:eastAsia="it-IT"/>
              </w:rPr>
              <w:t xml:space="preserve"> </w:t>
            </w:r>
            <w:r w:rsidRPr="00464FA9">
              <w:rPr>
                <w:rFonts w:cs="Arial"/>
                <w:b/>
                <w:bCs/>
                <w:i/>
                <w:iCs/>
                <w:color w:val="666666"/>
                <w:sz w:val="24"/>
                <w:szCs w:val="24"/>
                <w:lang w:eastAsia="it-IT"/>
              </w:rPr>
              <w:t>TRANSACTIONS</w:t>
            </w:r>
            <w:r w:rsidRPr="00464FA9">
              <w:rPr>
                <w:color w:val="333333"/>
                <w:sz w:val="24"/>
                <w:szCs w:val="24"/>
                <w:lang w:eastAsia="it-IT"/>
              </w:rPr>
              <w:t xml:space="preserve"> </w:t>
            </w:r>
            <w:r w:rsidRPr="00464FA9">
              <w:rPr>
                <w:rFonts w:cs="Arial"/>
                <w:b/>
                <w:bCs/>
                <w:i/>
                <w:iCs/>
                <w:color w:val="000066"/>
                <w:sz w:val="27"/>
                <w:szCs w:val="27"/>
                <w:lang w:eastAsia="it-IT"/>
              </w:rPr>
              <w:br/>
            </w:r>
          </w:p>
          <w:p w14:paraId="4B780582" w14:textId="47EF826C" w:rsidR="000A03B2" w:rsidRPr="00464FA9" w:rsidRDefault="00A76EFC" w:rsidP="001D21AF">
            <w:pPr>
              <w:tabs>
                <w:tab w:val="left" w:pos="-108"/>
              </w:tabs>
              <w:ind w:left="-108"/>
              <w:rPr>
                <w:rFonts w:cs="Arial"/>
                <w:b/>
                <w:bCs/>
                <w:i/>
                <w:iCs/>
                <w:color w:val="000066"/>
                <w:sz w:val="22"/>
                <w:szCs w:val="22"/>
                <w:lang w:eastAsia="it-IT"/>
              </w:rPr>
            </w:pPr>
            <w:r w:rsidRPr="00464FA9">
              <w:rPr>
                <w:rFonts w:cs="Arial"/>
                <w:b/>
                <w:bCs/>
                <w:i/>
                <w:iCs/>
                <w:color w:val="000066"/>
                <w:sz w:val="22"/>
                <w:szCs w:val="22"/>
                <w:lang w:eastAsia="it-IT"/>
              </w:rPr>
              <w:t>VOL.</w:t>
            </w:r>
            <w:r w:rsidR="00785BF9" w:rsidRPr="00464FA9">
              <w:rPr>
                <w:rFonts w:cs="Arial"/>
                <w:b/>
                <w:bCs/>
                <w:i/>
                <w:iCs/>
                <w:color w:val="000066"/>
                <w:sz w:val="22"/>
                <w:szCs w:val="22"/>
                <w:lang w:eastAsia="it-IT"/>
              </w:rPr>
              <w:t xml:space="preserve"> </w:t>
            </w:r>
            <w:r w:rsidR="00994C6A" w:rsidRPr="00464FA9">
              <w:rPr>
                <w:rFonts w:cs="Arial"/>
                <w:b/>
                <w:bCs/>
                <w:i/>
                <w:iCs/>
                <w:color w:val="000066"/>
                <w:sz w:val="22"/>
                <w:szCs w:val="22"/>
                <w:lang w:eastAsia="it-IT"/>
              </w:rPr>
              <w:t>xxx</w:t>
            </w:r>
            <w:r w:rsidR="007B48F9" w:rsidRPr="00464FA9">
              <w:rPr>
                <w:rFonts w:cs="Arial"/>
                <w:b/>
                <w:bCs/>
                <w:i/>
                <w:iCs/>
                <w:color w:val="000066"/>
                <w:sz w:val="22"/>
                <w:szCs w:val="22"/>
                <w:lang w:eastAsia="it-IT"/>
              </w:rPr>
              <w:t>,</w:t>
            </w:r>
            <w:r w:rsidR="00FA5F5F" w:rsidRPr="00464FA9">
              <w:rPr>
                <w:rFonts w:cs="Arial"/>
                <w:b/>
                <w:bCs/>
                <w:i/>
                <w:iCs/>
                <w:color w:val="000066"/>
                <w:sz w:val="22"/>
                <w:szCs w:val="22"/>
                <w:lang w:eastAsia="it-IT"/>
              </w:rPr>
              <w:t xml:space="preserve"> </w:t>
            </w:r>
            <w:r w:rsidR="0030152C" w:rsidRPr="00464FA9">
              <w:rPr>
                <w:rFonts w:cs="Arial"/>
                <w:b/>
                <w:bCs/>
                <w:i/>
                <w:iCs/>
                <w:color w:val="000066"/>
                <w:sz w:val="22"/>
                <w:szCs w:val="22"/>
                <w:lang w:eastAsia="it-IT"/>
              </w:rPr>
              <w:t>202</w:t>
            </w:r>
            <w:r w:rsidR="00994C6A" w:rsidRPr="00464FA9">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464FA9" w:rsidRDefault="000A03B2" w:rsidP="00CD5FE2">
            <w:pPr>
              <w:spacing w:line="140" w:lineRule="atLeast"/>
              <w:jc w:val="right"/>
              <w:rPr>
                <w:rFonts w:cs="Arial"/>
                <w:sz w:val="14"/>
                <w:szCs w:val="14"/>
              </w:rPr>
            </w:pPr>
            <w:r w:rsidRPr="00464FA9">
              <w:rPr>
                <w:rFonts w:cs="Arial"/>
                <w:sz w:val="14"/>
                <w:szCs w:val="14"/>
              </w:rPr>
              <w:t>A publication of</w:t>
            </w:r>
          </w:p>
          <w:p w14:paraId="599E5441" w14:textId="77777777" w:rsidR="000A03B2" w:rsidRPr="00464FA9" w:rsidRDefault="000A03B2" w:rsidP="00CD5FE2">
            <w:pPr>
              <w:jc w:val="right"/>
            </w:pPr>
            <w:r w:rsidRPr="00FF149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64FA9" w14:paraId="380FA3CD" w14:textId="77777777" w:rsidTr="00DE264A">
        <w:trPr>
          <w:trHeight w:val="567"/>
          <w:jc w:val="center"/>
        </w:trPr>
        <w:tc>
          <w:tcPr>
            <w:tcW w:w="6946" w:type="dxa"/>
            <w:vMerge/>
            <w:tcBorders>
              <w:right w:val="single" w:sz="4" w:space="0" w:color="auto"/>
            </w:tcBorders>
          </w:tcPr>
          <w:p w14:paraId="39E5E4C1" w14:textId="77777777" w:rsidR="000A03B2" w:rsidRPr="00464FA9"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464FA9" w:rsidRDefault="000A03B2" w:rsidP="00CD5FE2">
            <w:pPr>
              <w:spacing w:line="140" w:lineRule="atLeast"/>
              <w:jc w:val="right"/>
              <w:rPr>
                <w:rFonts w:cs="Arial"/>
                <w:sz w:val="14"/>
                <w:szCs w:val="14"/>
              </w:rPr>
            </w:pPr>
            <w:r w:rsidRPr="00464FA9">
              <w:rPr>
                <w:rFonts w:cs="Arial"/>
                <w:sz w:val="14"/>
                <w:szCs w:val="14"/>
              </w:rPr>
              <w:t>The Italian Association</w:t>
            </w:r>
          </w:p>
          <w:p w14:paraId="7522B1D2" w14:textId="77777777" w:rsidR="000A03B2" w:rsidRPr="00464FA9" w:rsidRDefault="000A03B2" w:rsidP="00CD5FE2">
            <w:pPr>
              <w:spacing w:line="140" w:lineRule="atLeast"/>
              <w:jc w:val="right"/>
              <w:rPr>
                <w:rFonts w:cs="Arial"/>
                <w:sz w:val="14"/>
                <w:szCs w:val="14"/>
              </w:rPr>
            </w:pPr>
            <w:r w:rsidRPr="00464FA9">
              <w:rPr>
                <w:rFonts w:cs="Arial"/>
                <w:sz w:val="14"/>
                <w:szCs w:val="14"/>
              </w:rPr>
              <w:t>of Chemical Engineering</w:t>
            </w:r>
          </w:p>
          <w:p w14:paraId="4F0CC5DE" w14:textId="47FDB2FC" w:rsidR="000A03B2" w:rsidRPr="00464FA9" w:rsidRDefault="000D0268" w:rsidP="00CD5FE2">
            <w:pPr>
              <w:spacing w:line="140" w:lineRule="atLeast"/>
              <w:jc w:val="right"/>
              <w:rPr>
                <w:rFonts w:cs="Arial"/>
                <w:sz w:val="13"/>
                <w:szCs w:val="13"/>
              </w:rPr>
            </w:pPr>
            <w:r w:rsidRPr="00464FA9">
              <w:rPr>
                <w:rFonts w:cs="Arial"/>
                <w:sz w:val="13"/>
                <w:szCs w:val="13"/>
              </w:rPr>
              <w:t>Online at www.cetjournal.it</w:t>
            </w:r>
          </w:p>
        </w:tc>
      </w:tr>
      <w:tr w:rsidR="000A03B2" w:rsidRPr="00464FA9" w14:paraId="2D1B7169" w14:textId="77777777" w:rsidTr="00DE264A">
        <w:trPr>
          <w:trHeight w:val="68"/>
          <w:jc w:val="center"/>
        </w:trPr>
        <w:tc>
          <w:tcPr>
            <w:tcW w:w="8789" w:type="dxa"/>
            <w:gridSpan w:val="2"/>
          </w:tcPr>
          <w:p w14:paraId="1D8DD3C9" w14:textId="0F721BB9" w:rsidR="00AA7D26" w:rsidRPr="00FF1496" w:rsidRDefault="00AA7D26" w:rsidP="008832AA">
            <w:pPr>
              <w:ind w:left="-107"/>
              <w:outlineLvl w:val="2"/>
              <w:rPr>
                <w:rFonts w:ascii="Aptos" w:eastAsiaTheme="minorHAnsi" w:hAnsi="Aptos" w:cs="Aptos"/>
                <w:sz w:val="22"/>
                <w:szCs w:val="22"/>
                <w14:ligatures w14:val="standardContextual"/>
              </w:rPr>
            </w:pPr>
            <w:r w:rsidRPr="00FF1496">
              <w:rPr>
                <w:rFonts w:ascii="Tahoma" w:hAnsi="Tahoma" w:cs="Tahoma"/>
                <w:iCs/>
                <w:color w:val="333333"/>
                <w:sz w:val="14"/>
                <w:szCs w:val="14"/>
                <w:lang w:eastAsia="it-IT"/>
              </w:rPr>
              <w:t>Guest Editors:</w:t>
            </w:r>
            <w:r w:rsidR="008832AA" w:rsidRPr="00FF1496">
              <w:rPr>
                <w:rFonts w:ascii="Aptos" w:eastAsiaTheme="minorHAnsi" w:hAnsi="Aptos" w:cs="Aptos"/>
                <w:sz w:val="22"/>
                <w:szCs w:val="22"/>
              </w:rPr>
              <w:t xml:space="preserve"> </w:t>
            </w:r>
            <w:r w:rsidR="008832AA" w:rsidRPr="00FF1496">
              <w:rPr>
                <w:rFonts w:ascii="Tahoma" w:eastAsiaTheme="minorHAnsi" w:hAnsi="Tahoma" w:cs="Tahoma"/>
                <w:sz w:val="14"/>
                <w:szCs w:val="14"/>
                <w14:ligatures w14:val="standardContextual"/>
              </w:rPr>
              <w:t>David Bogle, Flavio Manenti, Piero Salatino</w:t>
            </w:r>
          </w:p>
          <w:p w14:paraId="1B0F1814" w14:textId="39433521" w:rsidR="000A03B2" w:rsidRPr="00464FA9" w:rsidRDefault="00AA7D26" w:rsidP="00AA7D26">
            <w:pPr>
              <w:tabs>
                <w:tab w:val="left" w:pos="-108"/>
              </w:tabs>
              <w:spacing w:line="140" w:lineRule="atLeast"/>
              <w:ind w:left="-107"/>
              <w:jc w:val="left"/>
            </w:pPr>
            <w:r w:rsidRPr="00464FA9">
              <w:rPr>
                <w:rFonts w:ascii="Tahoma" w:hAnsi="Tahoma" w:cs="Tahoma"/>
                <w:iCs/>
                <w:color w:val="333333"/>
                <w:sz w:val="14"/>
                <w:szCs w:val="14"/>
                <w:lang w:eastAsia="it-IT"/>
              </w:rPr>
              <w:t>Copyright © 202</w:t>
            </w:r>
            <w:r w:rsidR="00994C6A" w:rsidRPr="00464FA9">
              <w:rPr>
                <w:rFonts w:ascii="Tahoma" w:hAnsi="Tahoma" w:cs="Tahoma"/>
                <w:iCs/>
                <w:color w:val="333333"/>
                <w:sz w:val="14"/>
                <w:szCs w:val="14"/>
                <w:lang w:eastAsia="it-IT"/>
              </w:rPr>
              <w:t>5</w:t>
            </w:r>
            <w:r w:rsidRPr="00464FA9">
              <w:rPr>
                <w:rFonts w:ascii="Tahoma" w:hAnsi="Tahoma" w:cs="Tahoma"/>
                <w:iCs/>
                <w:color w:val="333333"/>
                <w:sz w:val="14"/>
                <w:szCs w:val="14"/>
                <w:lang w:eastAsia="it-IT"/>
              </w:rPr>
              <w:t xml:space="preserve">, AIDIC </w:t>
            </w:r>
            <w:proofErr w:type="spellStart"/>
            <w:r w:rsidRPr="00464FA9">
              <w:rPr>
                <w:rFonts w:ascii="Tahoma" w:hAnsi="Tahoma" w:cs="Tahoma"/>
                <w:iCs/>
                <w:color w:val="333333"/>
                <w:sz w:val="14"/>
                <w:szCs w:val="14"/>
                <w:lang w:eastAsia="it-IT"/>
              </w:rPr>
              <w:t>Servizi</w:t>
            </w:r>
            <w:proofErr w:type="spellEnd"/>
            <w:r w:rsidRPr="00464FA9">
              <w:rPr>
                <w:rFonts w:ascii="Tahoma" w:hAnsi="Tahoma" w:cs="Tahoma"/>
                <w:iCs/>
                <w:color w:val="333333"/>
                <w:sz w:val="14"/>
                <w:szCs w:val="14"/>
                <w:lang w:eastAsia="it-IT"/>
              </w:rPr>
              <w:t xml:space="preserve"> S.r.l.</w:t>
            </w:r>
            <w:r w:rsidRPr="00464FA9">
              <w:rPr>
                <w:rFonts w:ascii="Tahoma" w:hAnsi="Tahoma" w:cs="Tahoma"/>
                <w:iCs/>
                <w:color w:val="333333"/>
                <w:sz w:val="14"/>
                <w:szCs w:val="14"/>
                <w:lang w:eastAsia="it-IT"/>
              </w:rPr>
              <w:br/>
            </w:r>
            <w:r w:rsidRPr="00464FA9">
              <w:rPr>
                <w:rFonts w:ascii="Tahoma" w:hAnsi="Tahoma" w:cs="Tahoma"/>
                <w:b/>
                <w:iCs/>
                <w:color w:val="000000"/>
                <w:sz w:val="14"/>
                <w:szCs w:val="14"/>
                <w:lang w:eastAsia="it-IT"/>
              </w:rPr>
              <w:t>ISBN</w:t>
            </w:r>
            <w:r w:rsidRPr="00464FA9">
              <w:rPr>
                <w:rFonts w:ascii="Tahoma" w:hAnsi="Tahoma" w:cs="Tahoma"/>
                <w:iCs/>
                <w:color w:val="000000"/>
                <w:sz w:val="14"/>
                <w:szCs w:val="14"/>
                <w:lang w:eastAsia="it-IT"/>
              </w:rPr>
              <w:t xml:space="preserve"> </w:t>
            </w:r>
            <w:r w:rsidR="003B49CD" w:rsidRPr="00464FA9">
              <w:rPr>
                <w:rFonts w:ascii="Tahoma" w:hAnsi="Tahoma" w:cs="Tahoma"/>
                <w:sz w:val="14"/>
                <w:szCs w:val="14"/>
              </w:rPr>
              <w:t>979-12-81206-</w:t>
            </w:r>
            <w:r w:rsidR="003904D3" w:rsidRPr="00464FA9">
              <w:rPr>
                <w:rFonts w:ascii="Tahoma" w:hAnsi="Tahoma" w:cs="Tahoma"/>
                <w:sz w:val="14"/>
                <w:szCs w:val="14"/>
              </w:rPr>
              <w:t>21</w:t>
            </w:r>
            <w:r w:rsidR="003B49CD" w:rsidRPr="00464FA9">
              <w:rPr>
                <w:rFonts w:ascii="Tahoma" w:hAnsi="Tahoma" w:cs="Tahoma"/>
                <w:sz w:val="14"/>
                <w:szCs w:val="14"/>
              </w:rPr>
              <w:t>-</w:t>
            </w:r>
            <w:r w:rsidR="003904D3" w:rsidRPr="00464FA9">
              <w:rPr>
                <w:rFonts w:ascii="Tahoma" w:hAnsi="Tahoma" w:cs="Tahoma"/>
                <w:sz w:val="14"/>
                <w:szCs w:val="14"/>
              </w:rPr>
              <w:t>2</w:t>
            </w:r>
            <w:r w:rsidRPr="00464FA9">
              <w:rPr>
                <w:rFonts w:ascii="Tahoma" w:hAnsi="Tahoma" w:cs="Tahoma"/>
                <w:iCs/>
                <w:color w:val="333333"/>
                <w:sz w:val="14"/>
                <w:szCs w:val="14"/>
                <w:lang w:eastAsia="it-IT"/>
              </w:rPr>
              <w:t xml:space="preserve">; </w:t>
            </w:r>
            <w:r w:rsidRPr="00464FA9">
              <w:rPr>
                <w:rFonts w:ascii="Tahoma" w:hAnsi="Tahoma" w:cs="Tahoma"/>
                <w:b/>
                <w:iCs/>
                <w:color w:val="333333"/>
                <w:sz w:val="14"/>
                <w:szCs w:val="14"/>
                <w:lang w:eastAsia="it-IT"/>
              </w:rPr>
              <w:t>ISSN</w:t>
            </w:r>
            <w:r w:rsidRPr="00464FA9">
              <w:rPr>
                <w:rFonts w:ascii="Tahoma" w:hAnsi="Tahoma" w:cs="Tahoma"/>
                <w:iCs/>
                <w:color w:val="333333"/>
                <w:sz w:val="14"/>
                <w:szCs w:val="14"/>
                <w:lang w:eastAsia="it-IT"/>
              </w:rPr>
              <w:t xml:space="preserve"> 2283-9216</w:t>
            </w:r>
          </w:p>
        </w:tc>
      </w:tr>
    </w:tbl>
    <w:bookmarkEnd w:id="0"/>
    <w:p w14:paraId="2E667253" w14:textId="3D3B6615" w:rsidR="00E978D0" w:rsidRPr="00464FA9" w:rsidRDefault="00C475AC" w:rsidP="00E978D0">
      <w:pPr>
        <w:pStyle w:val="CETTitle"/>
      </w:pPr>
      <w:r w:rsidRPr="00464FA9">
        <w:t>Glass Etched Titania Nanocrystals in a Semi-continuous Flatbed Reactor for UV-assisted Disinfection of Patulin in Apple Juice</w:t>
      </w:r>
    </w:p>
    <w:p w14:paraId="0488FED2" w14:textId="74512ECE" w:rsidR="00B57E6F" w:rsidRPr="00464FA9" w:rsidRDefault="00C475AC" w:rsidP="00B57E6F">
      <w:pPr>
        <w:pStyle w:val="CETAuthors"/>
        <w:rPr>
          <w:vertAlign w:val="superscript"/>
        </w:rPr>
      </w:pPr>
      <w:r w:rsidRPr="00464FA9">
        <w:t>Seteno K. O. Ntwampe, Morelle M. Ngandjou-Douanla</w:t>
      </w:r>
    </w:p>
    <w:p w14:paraId="3D72B0B0" w14:textId="697D8D3E" w:rsidR="00B57E6F" w:rsidRPr="00464FA9" w:rsidRDefault="00C475AC" w:rsidP="00B57E6F">
      <w:pPr>
        <w:pStyle w:val="CETAddress"/>
      </w:pPr>
      <w:r w:rsidRPr="00464FA9">
        <w:t>Department of Environmental and Occupational Studies, Faculty of Applied Sciences, Cape Peninsula University of Technology, Corner of Hanover and Tennant Street, Zonnebloem, Cape Town, 8000, South Africa.</w:t>
      </w:r>
    </w:p>
    <w:p w14:paraId="73F1267A" w14:textId="33263057" w:rsidR="00B57E6F" w:rsidRPr="00464FA9" w:rsidRDefault="00C475AC" w:rsidP="00B57E6F">
      <w:pPr>
        <w:pStyle w:val="CETemail"/>
      </w:pPr>
      <w:r w:rsidRPr="00464FA9">
        <w:rPr>
          <w:vertAlign w:val="superscript"/>
        </w:rPr>
        <w:t>*</w:t>
      </w:r>
      <w:r w:rsidRPr="00464FA9">
        <w:t>NtwampeS@cput.ac.za</w:t>
      </w:r>
    </w:p>
    <w:p w14:paraId="38F76186" w14:textId="6AA9B28D" w:rsidR="006A6DE5" w:rsidRPr="00464FA9" w:rsidRDefault="00714D49" w:rsidP="003C5E5C">
      <w:pPr>
        <w:pStyle w:val="CETBodytext"/>
        <w:rPr>
          <w:lang w:val="en-GB"/>
        </w:rPr>
      </w:pPr>
      <w:bookmarkStart w:id="1" w:name="_Hlk192935678"/>
      <w:r w:rsidRPr="00464FA9">
        <w:rPr>
          <w:lang w:val="en-GB"/>
        </w:rPr>
        <w:t>This study reports on patulin (PAT) disinfection for bentonite-clarified apple juice in a photocatalytic semi-continuous flatbed reactor (SCFR)</w:t>
      </w:r>
      <w:bookmarkEnd w:id="1"/>
      <w:r w:rsidRPr="00464FA9">
        <w:rPr>
          <w:lang w:val="en-GB"/>
        </w:rPr>
        <w:t>. In agricultural produce, several fungi (</w:t>
      </w:r>
      <w:r w:rsidRPr="00464FA9">
        <w:rPr>
          <w:i/>
          <w:iCs/>
          <w:lang w:val="en-GB"/>
        </w:rPr>
        <w:t>Aspergillus</w:t>
      </w:r>
      <w:r w:rsidRPr="00464FA9">
        <w:rPr>
          <w:lang w:val="en-GB"/>
        </w:rPr>
        <w:t xml:space="preserve"> and </w:t>
      </w:r>
      <w:r w:rsidRPr="00464FA9">
        <w:rPr>
          <w:i/>
          <w:iCs/>
          <w:lang w:val="en-GB"/>
        </w:rPr>
        <w:t>Penicillium</w:t>
      </w:r>
      <w:r w:rsidRPr="00464FA9">
        <w:rPr>
          <w:lang w:val="en-GB"/>
        </w:rPr>
        <w:t xml:space="preserve"> sp.) are known to be contributing sources of PAT and can occur in fresh and processed products. The </w:t>
      </w:r>
      <w:r w:rsidR="0064232B" w:rsidRPr="00464FA9">
        <w:rPr>
          <w:lang w:val="en-GB"/>
        </w:rPr>
        <w:t xml:space="preserve">regulation (EU) 2023/915 </w:t>
      </w:r>
      <w:r w:rsidR="00BA72DB" w:rsidRPr="00464FA9">
        <w:rPr>
          <w:lang w:val="en-GB"/>
        </w:rPr>
        <w:t>allows</w:t>
      </w:r>
      <w:r w:rsidRPr="00464FA9">
        <w:rPr>
          <w:lang w:val="en-GB"/>
        </w:rPr>
        <w:t xml:space="preserve"> limits of </w:t>
      </w:r>
      <w:bookmarkStart w:id="2" w:name="_Hlk192929423"/>
      <w:r w:rsidR="00BA72DB" w:rsidRPr="00464FA9">
        <w:rPr>
          <w:lang w:val="en-GB"/>
        </w:rPr>
        <w:t xml:space="preserve">10 to </w:t>
      </w:r>
      <w:r w:rsidRPr="00464FA9">
        <w:rPr>
          <w:lang w:val="en-GB"/>
        </w:rPr>
        <w:t>50 µg/</w:t>
      </w:r>
      <w:r w:rsidR="006D756E" w:rsidRPr="00464FA9">
        <w:rPr>
          <w:lang w:val="en-GB"/>
        </w:rPr>
        <w:t>k</w:t>
      </w:r>
      <w:r w:rsidR="00BA72DB" w:rsidRPr="00464FA9">
        <w:rPr>
          <w:lang w:val="en-GB"/>
        </w:rPr>
        <w:t>g</w:t>
      </w:r>
      <w:r w:rsidRPr="00464FA9">
        <w:rPr>
          <w:lang w:val="en-GB"/>
        </w:rPr>
        <w:t xml:space="preserve"> in juices</w:t>
      </w:r>
      <w:r w:rsidR="00BA72DB" w:rsidRPr="00464FA9">
        <w:rPr>
          <w:lang w:val="en-GB"/>
        </w:rPr>
        <w:t xml:space="preserve"> and </w:t>
      </w:r>
      <w:bookmarkEnd w:id="2"/>
      <w:r w:rsidR="00BA72DB" w:rsidRPr="00464FA9">
        <w:rPr>
          <w:lang w:val="en-GB"/>
        </w:rPr>
        <w:t>beverages, including concentrates</w:t>
      </w:r>
      <w:r w:rsidRPr="00464FA9">
        <w:rPr>
          <w:lang w:val="en-GB"/>
        </w:rPr>
        <w:t>. The application of titanium dioxide (TiO</w:t>
      </w:r>
      <w:r w:rsidRPr="00464FA9">
        <w:rPr>
          <w:vertAlign w:val="subscript"/>
          <w:lang w:val="en-GB"/>
        </w:rPr>
        <w:t>2</w:t>
      </w:r>
      <w:r w:rsidRPr="00464FA9">
        <w:rPr>
          <w:lang w:val="en-GB"/>
        </w:rPr>
        <w:t xml:space="preserve">) nanocrystals etched on a flat glass was assessed in the degradation of </w:t>
      </w:r>
      <w:r w:rsidR="00333A6C" w:rsidRPr="00464FA9">
        <w:rPr>
          <w:lang w:val="en-GB"/>
        </w:rPr>
        <w:t>PAT</w:t>
      </w:r>
      <w:r w:rsidRPr="00464FA9">
        <w:rPr>
          <w:lang w:val="en-GB"/>
        </w:rPr>
        <w:t xml:space="preserve"> using photocatalysis (15/30V UV light source) on a 4-wheel UV panel-battery (power storage) system. TiO</w:t>
      </w:r>
      <w:r w:rsidRPr="00464FA9">
        <w:rPr>
          <w:vertAlign w:val="subscript"/>
          <w:lang w:val="en-GB"/>
        </w:rPr>
        <w:t>2</w:t>
      </w:r>
      <w:r w:rsidRPr="00464FA9">
        <w:rPr>
          <w:lang w:val="en-GB"/>
        </w:rPr>
        <w:t xml:space="preserve"> nanocrystals were synthesized from a mixture of titanium chloride (TiCl</w:t>
      </w:r>
      <w:r w:rsidRPr="00464FA9">
        <w:rPr>
          <w:vertAlign w:val="subscript"/>
          <w:lang w:val="en-GB"/>
        </w:rPr>
        <w:t>4</w:t>
      </w:r>
      <w:r w:rsidRPr="00464FA9">
        <w:rPr>
          <w:lang w:val="en-GB"/>
        </w:rPr>
        <w:t>) and ammonium hydroxide (NH</w:t>
      </w:r>
      <w:r w:rsidRPr="00464FA9">
        <w:rPr>
          <w:vertAlign w:val="subscript"/>
          <w:lang w:val="en-GB"/>
        </w:rPr>
        <w:t>4</w:t>
      </w:r>
      <w:r w:rsidRPr="00464FA9">
        <w:rPr>
          <w:lang w:val="en-GB"/>
        </w:rPr>
        <w:t>OH), with the glass being etched in acid to mobilize the TiO</w:t>
      </w:r>
      <w:r w:rsidRPr="00464FA9">
        <w:rPr>
          <w:vertAlign w:val="subscript"/>
          <w:lang w:val="en-GB"/>
        </w:rPr>
        <w:t>2</w:t>
      </w:r>
      <w:r w:rsidRPr="00464FA9">
        <w:rPr>
          <w:lang w:val="en-GB"/>
        </w:rPr>
        <w:t xml:space="preserve"> nanocrystals. The optical properties showed a polydisperse single-phase anatase structure with an average size </w:t>
      </w:r>
      <w:r w:rsidR="00333A6C" w:rsidRPr="00464FA9">
        <w:rPr>
          <w:lang w:val="en-GB"/>
        </w:rPr>
        <w:t xml:space="preserve">of </w:t>
      </w:r>
      <w:r w:rsidRPr="00464FA9">
        <w:rPr>
          <w:lang w:val="en-GB"/>
        </w:rPr>
        <w:t>100 nm. After treatment and SCFR operating in a fed-batch mode, 73% of PAT was removed in 160 min at UV 30 (300 nm)</w:t>
      </w:r>
      <w:r w:rsidR="00333A6C" w:rsidRPr="00464FA9">
        <w:rPr>
          <w:lang w:val="en-GB"/>
        </w:rPr>
        <w:t xml:space="preserve"> per processing cycle</w:t>
      </w:r>
      <w:r w:rsidRPr="00464FA9">
        <w:rPr>
          <w:lang w:val="en-GB"/>
        </w:rPr>
        <w:t>. The application of the process is aimed at small-scale co-operatives or farmers with fewer resources who can pre-treat their juices to produce PAT-free products.</w:t>
      </w:r>
    </w:p>
    <w:p w14:paraId="476B2F2E" w14:textId="52B36035" w:rsidR="00600535" w:rsidRPr="00464FA9" w:rsidRDefault="00600535" w:rsidP="00600535">
      <w:pPr>
        <w:pStyle w:val="CETHeading1"/>
        <w:rPr>
          <w:lang w:val="en-GB"/>
        </w:rPr>
      </w:pPr>
      <w:r w:rsidRPr="00464FA9">
        <w:rPr>
          <w:lang w:val="en-GB"/>
        </w:rPr>
        <w:t>Introduction</w:t>
      </w:r>
    </w:p>
    <w:p w14:paraId="74821CAC" w14:textId="094E3A6A" w:rsidR="003C5E5C" w:rsidRPr="00464FA9" w:rsidRDefault="003C5E5C" w:rsidP="003C5E5C">
      <w:pPr>
        <w:pStyle w:val="CETBodytext"/>
        <w:rPr>
          <w:lang w:val="en-GB"/>
        </w:rPr>
      </w:pPr>
      <w:r w:rsidRPr="00464FA9">
        <w:rPr>
          <w:lang w:val="en-GB"/>
        </w:rPr>
        <w:t>Due to climate change, the quality of agricultural produce, in particular, citrus fruit such as apples, has reduced</w:t>
      </w:r>
      <w:r w:rsidR="006A66BC" w:rsidRPr="00464FA9">
        <w:rPr>
          <w:lang w:val="en-GB"/>
        </w:rPr>
        <w:t>,</w:t>
      </w:r>
      <w:r w:rsidRPr="00464FA9">
        <w:rPr>
          <w:lang w:val="en-GB"/>
        </w:rPr>
        <w:t xml:space="preserve"> culminating in increased toxicants such as patulin (PAT, 4-hydroxy-4H-furo [3, 2c] pyran-2[6H]-one) produced as secondary metabolites on infected fruits by several fungi (moulds), i.e., </w:t>
      </w:r>
      <w:r w:rsidRPr="00464FA9">
        <w:rPr>
          <w:i/>
          <w:iCs/>
          <w:lang w:val="en-GB"/>
        </w:rPr>
        <w:t>Penicillium</w:t>
      </w:r>
      <w:r w:rsidRPr="00464FA9">
        <w:rPr>
          <w:lang w:val="en-GB"/>
        </w:rPr>
        <w:t xml:space="preserve">, </w:t>
      </w:r>
      <w:r w:rsidRPr="00464FA9">
        <w:rPr>
          <w:i/>
          <w:iCs/>
          <w:lang w:val="en-GB"/>
        </w:rPr>
        <w:t>Aspergillus</w:t>
      </w:r>
      <w:r w:rsidRPr="00464FA9">
        <w:rPr>
          <w:lang w:val="en-GB"/>
        </w:rPr>
        <w:t xml:space="preserve">, </w:t>
      </w:r>
      <w:r w:rsidRPr="00464FA9">
        <w:rPr>
          <w:i/>
          <w:iCs/>
          <w:lang w:val="en-GB"/>
        </w:rPr>
        <w:t>Mucor</w:t>
      </w:r>
      <w:r w:rsidRPr="00464FA9">
        <w:rPr>
          <w:lang w:val="en-GB"/>
        </w:rPr>
        <w:t xml:space="preserve">, and </w:t>
      </w:r>
      <w:r w:rsidRPr="00464FA9">
        <w:rPr>
          <w:i/>
          <w:iCs/>
          <w:lang w:val="en-GB"/>
        </w:rPr>
        <w:t>Fusarium</w:t>
      </w:r>
      <w:r w:rsidRPr="00464FA9">
        <w:rPr>
          <w:lang w:val="en-GB"/>
        </w:rPr>
        <w:t xml:space="preserve"> sp. (Kharayat and Singh, 2018). Overall, climate-stressed agricultural produce is susceptible to colonization by these PAT-producing fungi, resulting in PAT-contaminated juice concentrate and product recalls (Isilow, 2021; Tapei Times, 2024). PAT's major ingestion route is through apple fruit and juices (WHO, 2023). It is a mycotoxin and a potential carcinogen with adverse clinical outcomes in humans when consumed, inducing vomiting and gastrointestinal problems in the short term, with long-term exposure resulting in geno/neurotoxicity, thus, its limit is set at 50 µg/Kg and stricter limits of 10 µg/Kg for baby, infants and young children and processed cereals (EU, 2023).</w:t>
      </w:r>
    </w:p>
    <w:p w14:paraId="3E92E19A" w14:textId="57987A1C" w:rsidR="003C5E5C" w:rsidRPr="00464FA9" w:rsidRDefault="003C5E5C" w:rsidP="003C5E5C">
      <w:pPr>
        <w:pStyle w:val="CETBodytext"/>
        <w:rPr>
          <w:lang w:val="en-GB"/>
        </w:rPr>
      </w:pPr>
      <w:r w:rsidRPr="00464FA9">
        <w:rPr>
          <w:lang w:val="en-GB"/>
        </w:rPr>
        <w:t xml:space="preserve">For the largest apple fruit, juice, and concentrate producers and exporters, such as the People's Republic of China </w:t>
      </w:r>
      <w:r w:rsidR="006A66BC" w:rsidRPr="00464FA9">
        <w:rPr>
          <w:lang w:val="en-GB"/>
        </w:rPr>
        <w:t xml:space="preserve">(PRC) </w:t>
      </w:r>
      <w:r w:rsidRPr="00464FA9">
        <w:rPr>
          <w:lang w:val="en-GB"/>
        </w:rPr>
        <w:t xml:space="preserve">and the USA, among others, the integration of cooperatives and small-medium scale farmers (CSMSFs) in the apple fruit-juice/concentrate supply chain is advocated for. The CSMSFs supply commercially licensed producers and exporters (CLPE), albeit with some low-grade fruit and juices contaminated with </w:t>
      </w:r>
      <w:r w:rsidR="0020436A" w:rsidRPr="00464FA9">
        <w:rPr>
          <w:lang w:val="en-GB"/>
        </w:rPr>
        <w:t>fungi</w:t>
      </w:r>
      <w:r w:rsidRPr="00464FA9">
        <w:rPr>
          <w:lang w:val="en-GB"/>
        </w:rPr>
        <w:t xml:space="preserve"> and </w:t>
      </w:r>
      <w:r w:rsidR="0020436A" w:rsidRPr="00464FA9">
        <w:rPr>
          <w:lang w:val="en-GB"/>
        </w:rPr>
        <w:t xml:space="preserve">their </w:t>
      </w:r>
      <w:r w:rsidRPr="00464FA9">
        <w:rPr>
          <w:lang w:val="en-GB"/>
        </w:rPr>
        <w:t>secondary metabolite</w:t>
      </w:r>
      <w:r w:rsidR="0020436A" w:rsidRPr="00464FA9">
        <w:rPr>
          <w:lang w:val="en-GB"/>
        </w:rPr>
        <w:t>s</w:t>
      </w:r>
      <w:r w:rsidRPr="00464FA9">
        <w:rPr>
          <w:lang w:val="en-GB"/>
        </w:rPr>
        <w:t xml:space="preserve"> such as PAT. This necessitates PAT treatment in the supplied products as reported elsewhere (Li et al., 2022), with UV/nanoparticle systems being developed (Huang and Peng, 2021).</w:t>
      </w:r>
    </w:p>
    <w:p w14:paraId="2227E00F" w14:textId="23E5B92C" w:rsidR="005E29D9" w:rsidRPr="00464FA9" w:rsidRDefault="003C5E5C" w:rsidP="003C5E5C">
      <w:pPr>
        <w:pStyle w:val="CETBodytext"/>
        <w:rPr>
          <w:lang w:val="en-GB"/>
        </w:rPr>
      </w:pPr>
      <w:r w:rsidRPr="00464FA9">
        <w:rPr>
          <w:lang w:val="en-GB"/>
        </w:rPr>
        <w:t xml:space="preserve">But these systems are not in-field application friendly for </w:t>
      </w:r>
      <w:bookmarkStart w:id="3" w:name="_Hlk192968839"/>
      <w:r w:rsidRPr="00464FA9">
        <w:rPr>
          <w:lang w:val="en-GB"/>
        </w:rPr>
        <w:t>CSMSFs</w:t>
      </w:r>
      <w:bookmarkEnd w:id="3"/>
      <w:r w:rsidRPr="00464FA9">
        <w:rPr>
          <w:lang w:val="en-GB"/>
        </w:rPr>
        <w:t>, thus, a mobile, off-grid system must be developed for PAT treatment in apple juice. Therefore, this study reports on PAT disinfection for apple juice in a photocatalytic semi-continuous flatbed reactor (SCFR) for in-field application by CSMSFs.</w:t>
      </w:r>
    </w:p>
    <w:p w14:paraId="677EBFF0" w14:textId="6B86C4DE" w:rsidR="00600535" w:rsidRPr="00464FA9" w:rsidRDefault="00231051" w:rsidP="00600535">
      <w:pPr>
        <w:pStyle w:val="CETHeading1"/>
        <w:tabs>
          <w:tab w:val="clear" w:pos="360"/>
          <w:tab w:val="right" w:pos="7100"/>
        </w:tabs>
        <w:jc w:val="both"/>
        <w:rPr>
          <w:lang w:val="en-GB"/>
        </w:rPr>
      </w:pPr>
      <w:r w:rsidRPr="00464FA9">
        <w:rPr>
          <w:lang w:val="en-GB"/>
        </w:rPr>
        <w:lastRenderedPageBreak/>
        <w:t>Materials and methods</w:t>
      </w:r>
    </w:p>
    <w:p w14:paraId="04963A06" w14:textId="7BD1A962" w:rsidR="00600535" w:rsidRPr="00464FA9" w:rsidRDefault="00231051" w:rsidP="00231051">
      <w:r w:rsidRPr="00464FA9">
        <w:t>All reagents used in this study were of analytical grade standard</w:t>
      </w:r>
      <w:r w:rsidR="00FA4B4D" w:rsidRPr="00464FA9">
        <w:t xml:space="preserve"> and were sourced from Merck KGaA (Darmstadt, Germany), with</w:t>
      </w:r>
      <w:r w:rsidRPr="00464FA9">
        <w:t xml:space="preserve"> the water used </w:t>
      </w:r>
      <w:r w:rsidR="00FA4B4D" w:rsidRPr="00464FA9">
        <w:t>being</w:t>
      </w:r>
      <w:r w:rsidRPr="00464FA9">
        <w:t xml:space="preserve"> </w:t>
      </w:r>
      <w:r w:rsidR="00D55FF9" w:rsidRPr="00464FA9">
        <w:t xml:space="preserve">distilled sterile water </w:t>
      </w:r>
      <w:r w:rsidR="00C177C3" w:rsidRPr="00464FA9">
        <w:t>(</w:t>
      </w:r>
      <w:r w:rsidR="00D55FF9" w:rsidRPr="00464FA9">
        <w:t>sdH</w:t>
      </w:r>
      <w:r w:rsidR="00D55FF9" w:rsidRPr="00464FA9">
        <w:rPr>
          <w:vertAlign w:val="subscript"/>
        </w:rPr>
        <w:t>2</w:t>
      </w:r>
      <w:r w:rsidR="00D55FF9" w:rsidRPr="00464FA9">
        <w:t>O).</w:t>
      </w:r>
      <w:r w:rsidR="00F308B4" w:rsidRPr="00464FA9">
        <w:t xml:space="preserve"> Sample processing was done in duplicate.</w:t>
      </w:r>
    </w:p>
    <w:p w14:paraId="32CDD1C3" w14:textId="1AF673BC" w:rsidR="00D55FF9" w:rsidRPr="00FF1496" w:rsidRDefault="00A51BC9" w:rsidP="00D55FF9">
      <w:pPr>
        <w:pStyle w:val="CETheadingx"/>
        <w:rPr>
          <w:lang w:val="en-GB"/>
        </w:rPr>
      </w:pPr>
      <w:r w:rsidRPr="00FF1496">
        <w:rPr>
          <w:lang w:val="en-GB"/>
        </w:rPr>
        <w:t xml:space="preserve">Semi-continuous flatbed reactor (SCFR) </w:t>
      </w:r>
      <w:r w:rsidR="00252B5C" w:rsidRPr="00FF1496">
        <w:rPr>
          <w:lang w:val="en-GB"/>
        </w:rPr>
        <w:t>design</w:t>
      </w:r>
      <w:r w:rsidR="003A6EA2" w:rsidRPr="00FF1496">
        <w:rPr>
          <w:lang w:val="en-GB"/>
        </w:rPr>
        <w:t xml:space="preserve">, </w:t>
      </w:r>
      <w:r w:rsidR="00252B5C" w:rsidRPr="00FF1496">
        <w:rPr>
          <w:lang w:val="en-GB"/>
        </w:rPr>
        <w:t xml:space="preserve">set-up, </w:t>
      </w:r>
      <w:r w:rsidR="00D653E4" w:rsidRPr="00FF1496">
        <w:rPr>
          <w:lang w:val="en-GB"/>
        </w:rPr>
        <w:t xml:space="preserve">operation, </w:t>
      </w:r>
      <w:r w:rsidR="003A6EA2" w:rsidRPr="00FF1496">
        <w:rPr>
          <w:lang w:val="en-GB"/>
        </w:rPr>
        <w:t xml:space="preserve">and </w:t>
      </w:r>
      <w:r w:rsidR="00FA4B4D" w:rsidRPr="00FF1496">
        <w:rPr>
          <w:lang w:val="en-GB"/>
        </w:rPr>
        <w:t xml:space="preserve">components </w:t>
      </w:r>
      <w:r w:rsidR="00C177C3" w:rsidRPr="00FF1496">
        <w:rPr>
          <w:lang w:val="en-GB"/>
        </w:rPr>
        <w:t>synthesis</w:t>
      </w:r>
    </w:p>
    <w:p w14:paraId="3EE1CE37" w14:textId="10A07FD5" w:rsidR="002D732F" w:rsidRPr="00464FA9" w:rsidRDefault="002D732F" w:rsidP="002D732F">
      <w:r w:rsidRPr="00464FA9">
        <w:t>Clear polycarbonate sheets were used to construct the bottom part of the SCFR in such a way that the gre</w:t>
      </w:r>
      <w:r w:rsidR="006A66BC" w:rsidRPr="00464FA9">
        <w:t>y</w:t>
      </w:r>
      <w:r w:rsidRPr="00464FA9">
        <w:t xml:space="preserve"> lid (cover) can accommodate 15 V/30 V fluorescent tubes (n = 2) on the cover of the reactor to allow for fair distribution of UV light within the reactor. The bottom exterior of the SCFR was covered in foil during the SCFR operation.</w:t>
      </w:r>
    </w:p>
    <w:p w14:paraId="77B0F60F" w14:textId="355523E8" w:rsidR="002D732F" w:rsidRPr="00464FA9" w:rsidRDefault="002D732F" w:rsidP="002D732F">
      <w:r w:rsidRPr="00464FA9">
        <w:t>A wet chemistry method was used to synthesize TiO</w:t>
      </w:r>
      <w:r w:rsidRPr="00464FA9">
        <w:rPr>
          <w:vertAlign w:val="subscript"/>
        </w:rPr>
        <w:t>2</w:t>
      </w:r>
      <w:r w:rsidRPr="00464FA9">
        <w:t xml:space="preserve"> from TiCl</w:t>
      </w:r>
      <w:r w:rsidRPr="00464FA9">
        <w:rPr>
          <w:vertAlign w:val="subscript"/>
        </w:rPr>
        <w:t>4</w:t>
      </w:r>
      <w:r w:rsidRPr="00464FA9">
        <w:t xml:space="preserve"> in water (1 M) and NH</w:t>
      </w:r>
      <w:r w:rsidRPr="00464FA9">
        <w:rPr>
          <w:vertAlign w:val="subscript"/>
        </w:rPr>
        <w:t>4</w:t>
      </w:r>
      <w:r w:rsidRPr="00464FA9">
        <w:t>OH (32%) using a drop-wise approach under vigorous stirring. The complete methodology and TiO</w:t>
      </w:r>
      <w:r w:rsidRPr="00464FA9">
        <w:rPr>
          <w:vertAlign w:val="subscript"/>
        </w:rPr>
        <w:t>2</w:t>
      </w:r>
      <w:r w:rsidRPr="00464FA9">
        <w:t xml:space="preserve"> characterization are reported elsewhere (Ngandjou-Douanla et al., 2018).</w:t>
      </w:r>
      <w:r w:rsidR="00D04F32" w:rsidRPr="00464FA9">
        <w:t xml:space="preserve"> </w:t>
      </w:r>
    </w:p>
    <w:p w14:paraId="5ADC94BC" w14:textId="7854CEF7" w:rsidR="002D732F" w:rsidRPr="00464FA9" w:rsidRDefault="002D732F" w:rsidP="002D732F">
      <w:r w:rsidRPr="00464FA9">
        <w:t>For glass etching, a mixture of sdH</w:t>
      </w:r>
      <w:r w:rsidRPr="00464FA9">
        <w:rPr>
          <w:vertAlign w:val="subscript"/>
        </w:rPr>
        <w:t>2</w:t>
      </w:r>
      <w:r w:rsidRPr="00464FA9">
        <w:t>O (1000 mL), H</w:t>
      </w:r>
      <w:r w:rsidRPr="00464FA9">
        <w:rPr>
          <w:vertAlign w:val="subscript"/>
        </w:rPr>
        <w:t>2</w:t>
      </w:r>
      <w:r w:rsidRPr="00464FA9">
        <w:t>SO</w:t>
      </w:r>
      <w:r w:rsidRPr="00464FA9">
        <w:rPr>
          <w:vertAlign w:val="subscript"/>
        </w:rPr>
        <w:t>4</w:t>
      </w:r>
      <w:r w:rsidRPr="00464FA9">
        <w:t xml:space="preserve"> (250 mL) and </w:t>
      </w:r>
      <w:proofErr w:type="spellStart"/>
      <w:r w:rsidRPr="00464FA9">
        <w:t>NaF</w:t>
      </w:r>
      <w:proofErr w:type="spellEnd"/>
      <w:r w:rsidRPr="00464FA9">
        <w:t xml:space="preserve"> (50 g) were used, whereby the plain glass sheet was immersed in the solution for 48 h, with subsequent rinse (neutralization) using a solution (1000 mL) in which NaOH (22,23 g) and Na</w:t>
      </w:r>
      <w:r w:rsidRPr="00464FA9">
        <w:rPr>
          <w:vertAlign w:val="subscript"/>
        </w:rPr>
        <w:t>2</w:t>
      </w:r>
      <w:r w:rsidRPr="00464FA9">
        <w:t>CO</w:t>
      </w:r>
      <w:r w:rsidRPr="00464FA9">
        <w:rPr>
          <w:vertAlign w:val="subscript"/>
        </w:rPr>
        <w:t>3</w:t>
      </w:r>
      <w:r w:rsidRPr="00464FA9">
        <w:t xml:space="preserve"> (23,79 g) were added. The glass was allowed to air dry. Thereafter, a non-Newtonian viscous paste containing </w:t>
      </w:r>
      <w:r w:rsidR="000109FD" w:rsidRPr="00464FA9">
        <w:t>ground</w:t>
      </w:r>
      <w:r w:rsidRPr="00464FA9">
        <w:t xml:space="preserve"> TiO</w:t>
      </w:r>
      <w:r w:rsidRPr="00464FA9">
        <w:rPr>
          <w:vertAlign w:val="subscript"/>
        </w:rPr>
        <w:t>2</w:t>
      </w:r>
      <w:r w:rsidRPr="00464FA9">
        <w:t xml:space="preserve"> nanocrystals (14.4 g), sdH</w:t>
      </w:r>
      <w:r w:rsidRPr="00464FA9">
        <w:rPr>
          <w:vertAlign w:val="subscript"/>
        </w:rPr>
        <w:t>2</w:t>
      </w:r>
      <w:r w:rsidRPr="00464FA9">
        <w:t>O (12 mL), ethanol (12 mL), acetylacetone (2 mL), acetic acid (2 mL), and Triton X-100 (6 mL)</w:t>
      </w:r>
      <w:r w:rsidR="006A66BC" w:rsidRPr="00464FA9">
        <w:t>, was prepared</w:t>
      </w:r>
      <w:r w:rsidRPr="00464FA9">
        <w:t>. A doctor blade technique was used to apply the paste on the etched glass in the following sequence: paste application &gt; ambient temperature drying &gt; sdH</w:t>
      </w:r>
      <w:r w:rsidRPr="00464FA9">
        <w:rPr>
          <w:vertAlign w:val="subscript"/>
        </w:rPr>
        <w:t>2</w:t>
      </w:r>
      <w:r w:rsidRPr="00464FA9">
        <w:t>O rinse &gt; ambient temperature drying &gt; SCFR operation.</w:t>
      </w:r>
    </w:p>
    <w:p w14:paraId="6B98195F" w14:textId="586D652B" w:rsidR="00D55FF9" w:rsidRPr="00464FA9" w:rsidRDefault="002D732F" w:rsidP="00E46A1A">
      <w:pPr>
        <w:spacing w:after="240"/>
      </w:pPr>
      <w:r w:rsidRPr="00464FA9">
        <w:t>The raw apple juice was clarified before processing using bentonite (10 g/1000 mL), culminating in a semi-clear apple juice.</w:t>
      </w:r>
      <w:r w:rsidR="00E46A1A" w:rsidRPr="00464FA9">
        <w:t xml:space="preserve"> Figure 1 illustrates the SCFR design, set-up, component synthesis and the overall process designed. </w:t>
      </w:r>
    </w:p>
    <w:p w14:paraId="1AAAEDDE" w14:textId="30BD21B1" w:rsidR="00D55FF9" w:rsidRPr="00464FA9" w:rsidRDefault="00F35948" w:rsidP="00231051">
      <w:r w:rsidRPr="00464FA9">
        <w:rPr>
          <w:noProof/>
        </w:rPr>
        <w:drawing>
          <wp:inline distT="0" distB="0" distL="0" distR="0" wp14:anchorId="62C25F89" wp14:editId="27B0357E">
            <wp:extent cx="5579745" cy="3331845"/>
            <wp:effectExtent l="0" t="0" r="1905" b="1905"/>
            <wp:docPr id="75944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45910" name=""/>
                    <pic:cNvPicPr/>
                  </pic:nvPicPr>
                  <pic:blipFill>
                    <a:blip r:embed="rId10"/>
                    <a:stretch>
                      <a:fillRect/>
                    </a:stretch>
                  </pic:blipFill>
                  <pic:spPr>
                    <a:xfrm>
                      <a:off x="0" y="0"/>
                      <a:ext cx="5579745" cy="3331845"/>
                    </a:xfrm>
                    <a:prstGeom prst="rect">
                      <a:avLst/>
                    </a:prstGeom>
                  </pic:spPr>
                </pic:pic>
              </a:graphicData>
            </a:graphic>
          </wp:inline>
        </w:drawing>
      </w:r>
    </w:p>
    <w:p w14:paraId="22284149" w14:textId="45216240" w:rsidR="00E46A1A" w:rsidRPr="00464FA9" w:rsidRDefault="00E46A1A" w:rsidP="00E46A1A">
      <w:pPr>
        <w:pStyle w:val="CETCaption"/>
        <w:rPr>
          <w:rStyle w:val="CETCaptionCarattere"/>
          <w:i/>
        </w:rPr>
      </w:pPr>
      <w:r w:rsidRPr="00464FA9">
        <w:rPr>
          <w:rStyle w:val="CETCaptionCarattere"/>
          <w:i/>
        </w:rPr>
        <w:t xml:space="preserve">Figure 1: SCFR PAT treatment </w:t>
      </w:r>
      <w:r w:rsidR="006A66BC" w:rsidRPr="00464FA9">
        <w:rPr>
          <w:rStyle w:val="CETCaptionCarattere"/>
          <w:i/>
        </w:rPr>
        <w:t xml:space="preserve">components and </w:t>
      </w:r>
      <w:r w:rsidRPr="00464FA9">
        <w:rPr>
          <w:rStyle w:val="CETCaptionCarattere"/>
          <w:i/>
        </w:rPr>
        <w:t>process design</w:t>
      </w:r>
    </w:p>
    <w:p w14:paraId="1EA11A81" w14:textId="7A2A8F91" w:rsidR="000109FD" w:rsidRPr="00464FA9" w:rsidRDefault="00215F6E" w:rsidP="000109FD">
      <w:r w:rsidRPr="00464FA9">
        <w:t>For SCFR operation, a spiking approach was implemented with the final PAT concentration in the apple juice being 1,2 mg PAT/L. The SCFR conditioning phase was 30 min, i.e., a period between the supplying of PAT-contaminated apple juice and the start of irradiation, and intermittent sampling (4 mL sample volume) at phase 1: 10 min intervals (0 – 60 min), phase 2: 30 min intervals (60 – 120 min), and phase 3: 60 min intervals (120 – 180 min). Samples collected were centrifuged and filtered prior to further processing.</w:t>
      </w:r>
    </w:p>
    <w:p w14:paraId="12DEA367" w14:textId="7A0D5022" w:rsidR="00D55FF9" w:rsidRPr="00FF1496" w:rsidRDefault="00E46A1A" w:rsidP="00D55FF9">
      <w:pPr>
        <w:pStyle w:val="CETheadingx"/>
        <w:rPr>
          <w:lang w:val="en-GB"/>
        </w:rPr>
      </w:pPr>
      <w:r w:rsidRPr="00FF1496">
        <w:rPr>
          <w:lang w:val="en-GB"/>
        </w:rPr>
        <w:lastRenderedPageBreak/>
        <w:t>Analytical methods and PAT removal efficiency</w:t>
      </w:r>
    </w:p>
    <w:p w14:paraId="3AAF73CA" w14:textId="34AC10EC" w:rsidR="00D55FF9" w:rsidRPr="00464FA9" w:rsidRDefault="00CD0668" w:rsidP="00231051">
      <w:r w:rsidRPr="00464FA9">
        <w:t xml:space="preserve">For PAT extraction, samples (n = 24, 330 mL) were processed through methanol (99.9%,10 mL) washed </w:t>
      </w:r>
      <w:proofErr w:type="spellStart"/>
      <w:r w:rsidRPr="00464FA9">
        <w:t>Supelco</w:t>
      </w:r>
      <w:proofErr w:type="spellEnd"/>
      <w:r w:rsidRPr="00464FA9">
        <w:t>-Select HLB C18- SPE cartridges (500 mg solid phase, 12 mL tubes) which were rinsed with diluted methanol (10%, 3 mL) and Milli-Q water (10 mL). Samples (4 mL) with acetic acid buffer (0.5 mL) were subsequently processed via suction pressure-induced percolation (2-3 mL/min). Solid phase rinsing post-sample processing was done using hexane (5 mL), with subsequent PAT recovery, i.e., elution (n = 3 per cartridge), using different hexane-ethyl acetate-acetone mixtures (5 mL) with the ratios of 1:5:4 (mixture 1), 1:4:5 (mixture 2), 1:3:6 (mixture 3). To the collected eluates, acetic acid buffer (0.5 mL) was added, followed by nitrogen gas drying and reconstitution using 1 mL of acetic acid buffer under a vortex (3 min) for LC/MS/MS analysis (Lucci et al., 2017).</w:t>
      </w:r>
    </w:p>
    <w:p w14:paraId="48249456" w14:textId="2F06D3C4" w:rsidR="00D55FF9" w:rsidRPr="00464FA9" w:rsidRDefault="00CA56FF" w:rsidP="00231051">
      <w:r w:rsidRPr="00464FA9">
        <w:t>A LC/MS using a Luna® Omega polar C18 column (2.1 × 100 mm, 3.0 µm) at 40 ◦C and coupled with a triple quadruple linear ion trap MS, in a negative mode on an electrospray ionization (ESI) source using 10 µL sample injection volumes, was used. The mobile phase was constituted with NH</w:t>
      </w:r>
      <w:r w:rsidRPr="00FF1496">
        <w:rPr>
          <w:vertAlign w:val="subscript"/>
        </w:rPr>
        <w:t>4</w:t>
      </w:r>
      <w:r w:rsidRPr="00464FA9">
        <w:t xml:space="preserve">AC (5 mM) in Milli-Q water and 99.9% acetonitrile, with isocratic mode (0.3 mL/min), was implemented. Other parameters </w:t>
      </w:r>
      <w:r w:rsidR="000A0DB2">
        <w:t>were</w:t>
      </w:r>
      <w:r w:rsidRPr="00464FA9">
        <w:t xml:space="preserve"> a running time (4 min), LOD of 0.009 µg PAT/mL and a LOQ of 0.017 µg PAT/</w:t>
      </w:r>
      <w:proofErr w:type="spellStart"/>
      <w:r w:rsidRPr="00464FA9">
        <w:t>mL.</w:t>
      </w:r>
      <w:proofErr w:type="spellEnd"/>
      <w:r w:rsidRPr="00464FA9">
        <w:t xml:space="preserve"> </w:t>
      </w:r>
      <w:r w:rsidR="00410B8D" w:rsidRPr="00464FA9">
        <w:t xml:space="preserve">Figure 2 illustrates the calibration and retention time of PAT during analysis. </w:t>
      </w:r>
    </w:p>
    <w:p w14:paraId="12FB1FE9" w14:textId="33F6D03C" w:rsidR="00410B8D" w:rsidRPr="00464FA9" w:rsidRDefault="00CA56FF" w:rsidP="00231051">
      <w:r w:rsidRPr="00464FA9">
        <w:t xml:space="preserve">PAT removal efficiency </w:t>
      </w:r>
      <w:r w:rsidR="00CD1D9C" w:rsidRPr="00464FA9">
        <w:t xml:space="preserve">(%RE) </w:t>
      </w:r>
      <w:r w:rsidRPr="00464FA9">
        <w:t xml:space="preserve">was calculated </w:t>
      </w:r>
      <w:r w:rsidR="00410B8D" w:rsidRPr="00464FA9">
        <w:t xml:space="preserve">using </w:t>
      </w:r>
      <w:r w:rsidR="000A0DB2">
        <w:t xml:space="preserve">Eq. </w:t>
      </w:r>
      <w:r w:rsidR="00410B8D" w:rsidRPr="00464FA9">
        <w:t>(1).</w:t>
      </w:r>
    </w:p>
    <w:p w14:paraId="4ADC0571" w14:textId="12BE947A" w:rsidR="00410B8D" w:rsidRPr="00464FA9" w:rsidRDefault="00EC0A72" w:rsidP="00231051">
      <w:r w:rsidRPr="00464FA9">
        <w:rPr>
          <w:noProof/>
        </w:rPr>
        <w:drawing>
          <wp:inline distT="0" distB="0" distL="0" distR="0" wp14:anchorId="3452B53B" wp14:editId="508E85D4">
            <wp:extent cx="5589541" cy="1566407"/>
            <wp:effectExtent l="0" t="0" r="0" b="0"/>
            <wp:docPr id="142846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6900" name=""/>
                    <pic:cNvPicPr/>
                  </pic:nvPicPr>
                  <pic:blipFill rotWithShape="1">
                    <a:blip r:embed="rId11"/>
                    <a:srcRect l="5986" r="7515"/>
                    <a:stretch/>
                  </pic:blipFill>
                  <pic:spPr bwMode="auto">
                    <a:xfrm>
                      <a:off x="0" y="0"/>
                      <a:ext cx="5612907" cy="1572955"/>
                    </a:xfrm>
                    <a:prstGeom prst="rect">
                      <a:avLst/>
                    </a:prstGeom>
                    <a:ln>
                      <a:noFill/>
                    </a:ln>
                    <a:extLst>
                      <a:ext uri="{53640926-AAD7-44D8-BBD7-CCE9431645EC}">
                        <a14:shadowObscured xmlns:a14="http://schemas.microsoft.com/office/drawing/2010/main"/>
                      </a:ext>
                    </a:extLst>
                  </pic:spPr>
                </pic:pic>
              </a:graphicData>
            </a:graphic>
          </wp:inline>
        </w:drawing>
      </w:r>
    </w:p>
    <w:p w14:paraId="2F396E35" w14:textId="1E9F52F5" w:rsidR="00410B8D" w:rsidRPr="00464FA9" w:rsidRDefault="00410B8D" w:rsidP="00410B8D">
      <w:pPr>
        <w:pStyle w:val="CETCaption"/>
        <w:rPr>
          <w:rStyle w:val="CETCaptionCarattere"/>
          <w:i/>
        </w:rPr>
      </w:pPr>
      <w:r w:rsidRPr="00464FA9">
        <w:rPr>
          <w:rStyle w:val="CETCaptionCarattere"/>
          <w:i/>
        </w:rPr>
        <w:t xml:space="preserve">Figure </w:t>
      </w:r>
      <w:r w:rsidR="00B27970" w:rsidRPr="00464FA9">
        <w:rPr>
          <w:rStyle w:val="CETCaptionCarattere"/>
          <w:i/>
        </w:rPr>
        <w:t>2</w:t>
      </w:r>
      <w:r w:rsidRPr="00464FA9">
        <w:rPr>
          <w:rStyle w:val="CETCaptionCarattere"/>
          <w:i/>
        </w:rPr>
        <w:t xml:space="preserve">: </w:t>
      </w:r>
      <w:r w:rsidR="00EC0A72" w:rsidRPr="00464FA9">
        <w:rPr>
          <w:rStyle w:val="CETCaptionCarattere"/>
          <w:i/>
        </w:rPr>
        <w:t>PAT calibration curve</w:t>
      </w:r>
      <w:r w:rsidR="006A66BC" w:rsidRPr="00464FA9">
        <w:rPr>
          <w:rStyle w:val="CETCaptionCarattere"/>
          <w:i/>
        </w:rPr>
        <w:t xml:space="preserve"> (A)</w:t>
      </w:r>
      <w:r w:rsidR="00EC0A72" w:rsidRPr="00464FA9">
        <w:rPr>
          <w:rStyle w:val="CETCaptionCarattere"/>
          <w:i/>
        </w:rPr>
        <w:t xml:space="preserve"> and the chromatogram indicating PAT retention time</w:t>
      </w:r>
      <w:r w:rsidR="006A66BC" w:rsidRPr="00464FA9">
        <w:rPr>
          <w:rStyle w:val="CETCaptionCarattere"/>
          <w:i/>
        </w:rPr>
        <w:t xml:space="preserve"> (B)</w:t>
      </w:r>
    </w:p>
    <w:tbl>
      <w:tblPr>
        <w:tblW w:w="5000" w:type="pct"/>
        <w:tblLook w:val="04A0" w:firstRow="1" w:lastRow="0" w:firstColumn="1" w:lastColumn="0" w:noHBand="0" w:noVBand="1"/>
      </w:tblPr>
      <w:tblGrid>
        <w:gridCol w:w="7986"/>
        <w:gridCol w:w="801"/>
      </w:tblGrid>
      <w:tr w:rsidR="00410B8D" w:rsidRPr="00464FA9" w14:paraId="2F9B43D7" w14:textId="77777777" w:rsidTr="00EC0A72">
        <w:tc>
          <w:tcPr>
            <w:tcW w:w="7986" w:type="dxa"/>
            <w:shd w:val="clear" w:color="auto" w:fill="auto"/>
            <w:vAlign w:val="center"/>
          </w:tcPr>
          <w:p w14:paraId="4703DF52" w14:textId="28744B14" w:rsidR="00410B8D" w:rsidRPr="00464FA9" w:rsidRDefault="00E074A2" w:rsidP="002E0887">
            <w:pPr>
              <w:pStyle w:val="CETEquation"/>
            </w:pPr>
            <w:r w:rsidRPr="00464FA9">
              <w:rPr>
                <w:noProof/>
              </w:rPr>
              <mc:AlternateContent>
                <mc:Choice Requires="wps">
                  <w:drawing>
                    <wp:anchor distT="0" distB="0" distL="114300" distR="114300" simplePos="0" relativeHeight="251659264" behindDoc="0" locked="0" layoutInCell="1" allowOverlap="1" wp14:anchorId="10710F4E" wp14:editId="5C64D4AD">
                      <wp:simplePos x="0" y="0"/>
                      <wp:positionH relativeFrom="column">
                        <wp:posOffset>0</wp:posOffset>
                      </wp:positionH>
                      <wp:positionV relativeFrom="paragraph">
                        <wp:posOffset>0</wp:posOffset>
                      </wp:positionV>
                      <wp:extent cx="1936492" cy="290529"/>
                      <wp:effectExtent l="0" t="0" r="0" b="0"/>
                      <wp:wrapNone/>
                      <wp:docPr id="4" name="TextBox 3">
                        <a:extLst xmlns:a="http://schemas.openxmlformats.org/drawingml/2006/main">
                          <a:ext uri="{FF2B5EF4-FFF2-40B4-BE49-F238E27FC236}">
                            <a16:creationId xmlns:a16="http://schemas.microsoft.com/office/drawing/2014/main" id="{006D040F-3D65-66DC-6F5A-7478564E5E78}"/>
                          </a:ext>
                        </a:extLst>
                      </wp:docPr>
                      <wp:cNvGraphicFramePr/>
                      <a:graphic xmlns:a="http://schemas.openxmlformats.org/drawingml/2006/main">
                        <a:graphicData uri="http://schemas.microsoft.com/office/word/2010/wordprocessingShape">
                          <wps:wsp>
                            <wps:cNvSpPr txBox="1"/>
                            <wps:spPr>
                              <a:xfrm>
                                <a:off x="0" y="0"/>
                                <a:ext cx="1936492" cy="290529"/>
                              </a:xfrm>
                              <a:prstGeom prst="rect">
                                <a:avLst/>
                              </a:prstGeom>
                              <a:noFill/>
                            </wps:spPr>
                            <wps:txbx>
                              <w:txbxContent>
                                <w:p w14:paraId="2DD39127" w14:textId="2C86C8C2" w:rsidR="00E074A2" w:rsidRPr="00E074A2" w:rsidRDefault="00E074A2" w:rsidP="00E074A2">
                                  <w:pPr>
                                    <w:rPr>
                                      <w:rFonts w:ascii="Cambria Math" w:hAnsi="Cambria Math" w:cs="Arial"/>
                                      <w:color w:val="000000" w:themeColor="text1"/>
                                      <w:kern w:val="24"/>
                                      <w:sz w:val="20"/>
                                      <w:lang w:val="en-US"/>
                                    </w:rPr>
                                  </w:pPr>
                                  <m:oMathPara>
                                    <m:oMathParaPr>
                                      <m:jc m:val="centerGroup"/>
                                    </m:oMathParaPr>
                                    <m:oMath>
                                      <m:r>
                                        <m:rPr>
                                          <m:sty m:val="p"/>
                                        </m:rPr>
                                        <w:rPr>
                                          <w:rFonts w:ascii="Cambria Math" w:hAnsi="Cambria Math" w:cs="Arial"/>
                                          <w:color w:val="000000" w:themeColor="text1"/>
                                          <w:kern w:val="24"/>
                                          <w:sz w:val="20"/>
                                          <w:lang w:val="en-US"/>
                                        </w:rPr>
                                        <m:t>%RE=</m:t>
                                      </m:r>
                                      <m:box>
                                        <m:boxPr>
                                          <m:ctrlPr>
                                            <w:rPr>
                                              <w:rFonts w:ascii="Cambria Math" w:eastAsiaTheme="minorEastAsia" w:hAnsi="Cambria Math" w:cs="Arial"/>
                                              <w:i/>
                                              <w:iCs/>
                                              <w:color w:val="000000" w:themeColor="text1"/>
                                              <w:kern w:val="24"/>
                                              <w:sz w:val="20"/>
                                              <w:lang w:val="en-US"/>
                                            </w:rPr>
                                          </m:ctrlPr>
                                        </m:boxPr>
                                        <m:e>
                                          <m:argPr>
                                            <m:argSz m:val="-1"/>
                                          </m:argPr>
                                          <m:f>
                                            <m:fPr>
                                              <m:ctrlPr>
                                                <w:rPr>
                                                  <w:rFonts w:ascii="Cambria Math" w:eastAsiaTheme="minorEastAsia" w:hAnsi="Cambria Math" w:cs="Arial"/>
                                                  <w:i/>
                                                  <w:iCs/>
                                                  <w:color w:val="000000" w:themeColor="text1"/>
                                                  <w:kern w:val="24"/>
                                                  <w:sz w:val="20"/>
                                                  <w:lang w:val="en-US"/>
                                                </w:rPr>
                                              </m:ctrlPr>
                                            </m:fPr>
                                            <m:num>
                                              <m:sSub>
                                                <m:sSubPr>
                                                  <m:ctrlPr>
                                                    <w:rPr>
                                                      <w:rFonts w:ascii="Cambria Math" w:eastAsiaTheme="minorEastAsia" w:hAnsi="Cambria Math" w:cs="Arial"/>
                                                      <w:i/>
                                                      <w:iCs/>
                                                      <w:color w:val="000000" w:themeColor="text1"/>
                                                      <w:kern w:val="24"/>
                                                      <w:sz w:val="20"/>
                                                      <w:lang w:val="en-US"/>
                                                    </w:rPr>
                                                  </m:ctrlPr>
                                                </m:sSubPr>
                                                <m:e>
                                                  <m:r>
                                                    <m:rPr>
                                                      <m:sty m:val="p"/>
                                                    </m:rPr>
                                                    <w:rPr>
                                                      <w:rFonts w:ascii="Cambria Math" w:hAnsi="Cambria Math" w:cs="Arial"/>
                                                      <w:color w:val="000000" w:themeColor="text1"/>
                                                      <w:kern w:val="24"/>
                                                      <w:sz w:val="20"/>
                                                      <w:lang w:val="en-US"/>
                                                    </w:rPr>
                                                    <m:t>[PAT]</m:t>
                                                  </m:r>
                                                </m:e>
                                                <m:sub>
                                                  <m:r>
                                                    <m:rPr>
                                                      <m:sty m:val="p"/>
                                                    </m:rPr>
                                                    <w:rPr>
                                                      <w:rFonts w:ascii="Cambria Math" w:hAnsi="Cambria Math" w:cs="Arial"/>
                                                      <w:color w:val="000000" w:themeColor="text1"/>
                                                      <w:kern w:val="24"/>
                                                      <w:sz w:val="20"/>
                                                      <w:lang w:val="en-US"/>
                                                    </w:rPr>
                                                    <m:t>initial</m:t>
                                                  </m:r>
                                                </m:sub>
                                              </m:sSub>
                                              <m:r>
                                                <m:rPr>
                                                  <m:sty m:val="p"/>
                                                </m:rPr>
                                                <w:rPr>
                                                  <w:rFonts w:ascii="Cambria Math" w:hAnsi="Cambria Math" w:cs="Arial"/>
                                                  <w:color w:val="000000" w:themeColor="text1"/>
                                                  <w:kern w:val="24"/>
                                                  <w:sz w:val="20"/>
                                                  <w:lang w:val="en-US"/>
                                                </w:rPr>
                                                <m:t> - </m:t>
                                              </m:r>
                                              <m:sSub>
                                                <m:sSubPr>
                                                  <m:ctrlPr>
                                                    <w:rPr>
                                                      <w:rFonts w:ascii="Cambria Math" w:eastAsiaTheme="minorEastAsia" w:hAnsi="Cambria Math" w:cs="Arial"/>
                                                      <w:i/>
                                                      <w:iCs/>
                                                      <w:color w:val="000000" w:themeColor="text1"/>
                                                      <w:kern w:val="24"/>
                                                      <w:sz w:val="20"/>
                                                      <w:lang w:val="en-US"/>
                                                    </w:rPr>
                                                  </m:ctrlPr>
                                                </m:sSubPr>
                                                <m:e>
                                                  <m:r>
                                                    <m:rPr>
                                                      <m:sty m:val="p"/>
                                                    </m:rPr>
                                                    <w:rPr>
                                                      <w:rFonts w:ascii="Cambria Math" w:hAnsi="Cambria Math" w:cs="Arial"/>
                                                      <w:color w:val="000000" w:themeColor="text1"/>
                                                      <w:kern w:val="24"/>
                                                      <w:sz w:val="20"/>
                                                      <w:lang w:val="en-US"/>
                                                    </w:rPr>
                                                    <m:t>[PAT]</m:t>
                                                  </m:r>
                                                </m:e>
                                                <m:sub>
                                                  <m:r>
                                                    <m:rPr>
                                                      <m:sty m:val="p"/>
                                                    </m:rPr>
                                                    <w:rPr>
                                                      <w:rFonts w:ascii="Cambria Math" w:hAnsi="Cambria Math" w:cs="Arial"/>
                                                      <w:color w:val="000000" w:themeColor="text1"/>
                                                      <w:kern w:val="24"/>
                                                      <w:sz w:val="20"/>
                                                      <w:lang w:val="en-US"/>
                                                    </w:rPr>
                                                    <m:t>time</m:t>
                                                  </m:r>
                                                </m:sub>
                                              </m:sSub>
                                            </m:num>
                                            <m:den>
                                              <m:sSub>
                                                <m:sSubPr>
                                                  <m:ctrlPr>
                                                    <w:rPr>
                                                      <w:rFonts w:ascii="Cambria Math" w:eastAsiaTheme="minorEastAsia" w:hAnsi="Cambria Math" w:cs="Arial"/>
                                                      <w:i/>
                                                      <w:iCs/>
                                                      <w:color w:val="000000" w:themeColor="text1"/>
                                                      <w:kern w:val="24"/>
                                                      <w:sz w:val="20"/>
                                                      <w:lang w:val="en-US"/>
                                                    </w:rPr>
                                                  </m:ctrlPr>
                                                </m:sSubPr>
                                                <m:e>
                                                  <m:r>
                                                    <m:rPr>
                                                      <m:sty m:val="p"/>
                                                    </m:rPr>
                                                    <w:rPr>
                                                      <w:rFonts w:ascii="Cambria Math" w:hAnsi="Cambria Math" w:cs="Arial"/>
                                                      <w:color w:val="000000" w:themeColor="text1"/>
                                                      <w:kern w:val="24"/>
                                                      <w:sz w:val="20"/>
                                                      <w:lang w:val="en-US"/>
                                                    </w:rPr>
                                                    <m:t>[PAT]</m:t>
                                                  </m:r>
                                                </m:e>
                                                <m:sub>
                                                  <m:r>
                                                    <m:rPr>
                                                      <m:sty m:val="p"/>
                                                    </m:rPr>
                                                    <w:rPr>
                                                      <w:rFonts w:ascii="Cambria Math" w:hAnsi="Cambria Math" w:cs="Arial"/>
                                                      <w:color w:val="000000" w:themeColor="text1"/>
                                                      <w:kern w:val="24"/>
                                                      <w:sz w:val="20"/>
                                                      <w:lang w:val="en-US"/>
                                                    </w:rPr>
                                                    <m:t>initial</m:t>
                                                  </m:r>
                                                </m:sub>
                                              </m:sSub>
                                            </m:den>
                                          </m:f>
                                        </m:e>
                                      </m:box>
                                      <m:r>
                                        <w:rPr>
                                          <w:rFonts w:ascii="Cambria Math" w:eastAsiaTheme="minorEastAsia" w:hAnsi="Cambria Math" w:cs="Arial"/>
                                          <w:color w:val="000000" w:themeColor="text1"/>
                                          <w:kern w:val="24"/>
                                          <w:sz w:val="20"/>
                                          <w:lang w:val="en-US"/>
                                        </w:rPr>
                                        <m:t>×100</m:t>
                                      </m:r>
                                    </m:oMath>
                                  </m:oMathPara>
                                </w:p>
                              </w:txbxContent>
                            </wps:txbx>
                            <wps:bodyPr wrap="none" lIns="0" tIns="0" rIns="0" bIns="0" rtlCol="0">
                              <a:spAutoFit/>
                            </wps:bodyPr>
                          </wps:wsp>
                        </a:graphicData>
                      </a:graphic>
                    </wp:anchor>
                  </w:drawing>
                </mc:Choice>
                <mc:Fallback>
                  <w:pict>
                    <v:shapetype w14:anchorId="10710F4E" id="_x0000_t202" coordsize="21600,21600" o:spt="202" path="m,l,21600r21600,l21600,xe">
                      <v:stroke joinstyle="miter"/>
                      <v:path gradientshapeok="t" o:connecttype="rect"/>
                    </v:shapetype>
                    <v:shape id="TextBox 3" o:spid="_x0000_s1026" type="#_x0000_t202" style="position:absolute;margin-left:0;margin-top:0;width:152.5pt;height:22.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" filled="f" stroked="f">
                      <v:textbox style="mso-fit-shape-to-text:t" inset="0,0,0,0">
                        <w:txbxContent>
                          <w:p w14:paraId="2DD39127" w14:textId="2C86C8C2" w:rsidR="00E074A2" w:rsidRPr="00E074A2" w:rsidRDefault="00E074A2" w:rsidP="00E074A2">
                            <w:pPr>
                              <w:rPr>
                                <w:rFonts w:ascii="Cambria Math" w:hAnsi="Cambria Math" w:cs="Arial"/>
                                <w:color w:val="000000" w:themeColor="text1"/>
                                <w:kern w:val="24"/>
                                <w:sz w:val="20"/>
                                <w:lang w:val="en-US"/>
                              </w:rPr>
                            </w:pPr>
                            <m:oMathPara>
                              <m:oMathParaPr>
                                <m:jc m:val="centerGroup"/>
                              </m:oMathParaPr>
                              <m:oMath>
                                <m:r>
                                  <m:rPr>
                                    <m:sty m:val="p"/>
                                  </m:rPr>
                                  <w:rPr>
                                    <w:rFonts w:ascii="Cambria Math" w:hAnsi="Cambria Math" w:cs="Arial"/>
                                    <w:color w:val="000000" w:themeColor="text1"/>
                                    <w:kern w:val="24"/>
                                    <w:sz w:val="20"/>
                                    <w:lang w:val="en-US"/>
                                  </w:rPr>
                                  <m:t>%RE=</m:t>
                                </m:r>
                                <m:box>
                                  <m:boxPr>
                                    <m:ctrlPr>
                                      <w:rPr>
                                        <w:rFonts w:ascii="Cambria Math" w:eastAsiaTheme="minorEastAsia" w:hAnsi="Cambria Math" w:cs="Arial"/>
                                        <w:i/>
                                        <w:iCs/>
                                        <w:color w:val="000000" w:themeColor="text1"/>
                                        <w:kern w:val="24"/>
                                        <w:sz w:val="20"/>
                                        <w:lang w:val="en-US"/>
                                      </w:rPr>
                                    </m:ctrlPr>
                                  </m:boxPr>
                                  <m:e>
                                    <m:argPr>
                                      <m:argSz m:val="-1"/>
                                    </m:argPr>
                                    <m:f>
                                      <m:fPr>
                                        <m:ctrlPr>
                                          <w:rPr>
                                            <w:rFonts w:ascii="Cambria Math" w:eastAsiaTheme="minorEastAsia" w:hAnsi="Cambria Math" w:cs="Arial"/>
                                            <w:i/>
                                            <w:iCs/>
                                            <w:color w:val="000000" w:themeColor="text1"/>
                                            <w:kern w:val="24"/>
                                            <w:sz w:val="20"/>
                                            <w:lang w:val="en-US"/>
                                          </w:rPr>
                                        </m:ctrlPr>
                                      </m:fPr>
                                      <m:num>
                                        <m:sSub>
                                          <m:sSubPr>
                                            <m:ctrlPr>
                                              <w:rPr>
                                                <w:rFonts w:ascii="Cambria Math" w:eastAsiaTheme="minorEastAsia" w:hAnsi="Cambria Math" w:cs="Arial"/>
                                                <w:i/>
                                                <w:iCs/>
                                                <w:color w:val="000000" w:themeColor="text1"/>
                                                <w:kern w:val="24"/>
                                                <w:sz w:val="20"/>
                                                <w:lang w:val="en-US"/>
                                              </w:rPr>
                                            </m:ctrlPr>
                                          </m:sSubPr>
                                          <m:e>
                                            <m:r>
                                              <m:rPr>
                                                <m:sty m:val="p"/>
                                              </m:rPr>
                                              <w:rPr>
                                                <w:rFonts w:ascii="Cambria Math" w:hAnsi="Cambria Math" w:cs="Arial"/>
                                                <w:color w:val="000000" w:themeColor="text1"/>
                                                <w:kern w:val="24"/>
                                                <w:sz w:val="20"/>
                                                <w:lang w:val="en-US"/>
                                              </w:rPr>
                                              <m:t>[PAT]</m:t>
                                            </m:r>
                                          </m:e>
                                          <m:sub>
                                            <m:r>
                                              <m:rPr>
                                                <m:sty m:val="p"/>
                                              </m:rPr>
                                              <w:rPr>
                                                <w:rFonts w:ascii="Cambria Math" w:hAnsi="Cambria Math" w:cs="Arial"/>
                                                <w:color w:val="000000" w:themeColor="text1"/>
                                                <w:kern w:val="24"/>
                                                <w:sz w:val="20"/>
                                                <w:lang w:val="en-US"/>
                                              </w:rPr>
                                              <m:t>initial</m:t>
                                            </m:r>
                                          </m:sub>
                                        </m:sSub>
                                        <m:r>
                                          <m:rPr>
                                            <m:sty m:val="p"/>
                                          </m:rPr>
                                          <w:rPr>
                                            <w:rFonts w:ascii="Cambria Math" w:hAnsi="Cambria Math" w:cs="Arial"/>
                                            <w:color w:val="000000" w:themeColor="text1"/>
                                            <w:kern w:val="24"/>
                                            <w:sz w:val="20"/>
                                            <w:lang w:val="en-US"/>
                                          </w:rPr>
                                          <m:t> - </m:t>
                                        </m:r>
                                        <m:sSub>
                                          <m:sSubPr>
                                            <m:ctrlPr>
                                              <w:rPr>
                                                <w:rFonts w:ascii="Cambria Math" w:eastAsiaTheme="minorEastAsia" w:hAnsi="Cambria Math" w:cs="Arial"/>
                                                <w:i/>
                                                <w:iCs/>
                                                <w:color w:val="000000" w:themeColor="text1"/>
                                                <w:kern w:val="24"/>
                                                <w:sz w:val="20"/>
                                                <w:lang w:val="en-US"/>
                                              </w:rPr>
                                            </m:ctrlPr>
                                          </m:sSubPr>
                                          <m:e>
                                            <m:r>
                                              <m:rPr>
                                                <m:sty m:val="p"/>
                                              </m:rPr>
                                              <w:rPr>
                                                <w:rFonts w:ascii="Cambria Math" w:hAnsi="Cambria Math" w:cs="Arial"/>
                                                <w:color w:val="000000" w:themeColor="text1"/>
                                                <w:kern w:val="24"/>
                                                <w:sz w:val="20"/>
                                                <w:lang w:val="en-US"/>
                                              </w:rPr>
                                              <m:t>[PAT]</m:t>
                                            </m:r>
                                          </m:e>
                                          <m:sub>
                                            <m:r>
                                              <m:rPr>
                                                <m:sty m:val="p"/>
                                              </m:rPr>
                                              <w:rPr>
                                                <w:rFonts w:ascii="Cambria Math" w:hAnsi="Cambria Math" w:cs="Arial"/>
                                                <w:color w:val="000000" w:themeColor="text1"/>
                                                <w:kern w:val="24"/>
                                                <w:sz w:val="20"/>
                                                <w:lang w:val="en-US"/>
                                              </w:rPr>
                                              <m:t>time</m:t>
                                            </m:r>
                                          </m:sub>
                                        </m:sSub>
                                      </m:num>
                                      <m:den>
                                        <m:sSub>
                                          <m:sSubPr>
                                            <m:ctrlPr>
                                              <w:rPr>
                                                <w:rFonts w:ascii="Cambria Math" w:eastAsiaTheme="minorEastAsia" w:hAnsi="Cambria Math" w:cs="Arial"/>
                                                <w:i/>
                                                <w:iCs/>
                                                <w:color w:val="000000" w:themeColor="text1"/>
                                                <w:kern w:val="24"/>
                                                <w:sz w:val="20"/>
                                                <w:lang w:val="en-US"/>
                                              </w:rPr>
                                            </m:ctrlPr>
                                          </m:sSubPr>
                                          <m:e>
                                            <m:r>
                                              <m:rPr>
                                                <m:sty m:val="p"/>
                                              </m:rPr>
                                              <w:rPr>
                                                <w:rFonts w:ascii="Cambria Math" w:hAnsi="Cambria Math" w:cs="Arial"/>
                                                <w:color w:val="000000" w:themeColor="text1"/>
                                                <w:kern w:val="24"/>
                                                <w:sz w:val="20"/>
                                                <w:lang w:val="en-US"/>
                                              </w:rPr>
                                              <m:t>[PAT]</m:t>
                                            </m:r>
                                          </m:e>
                                          <m:sub>
                                            <m:r>
                                              <m:rPr>
                                                <m:sty m:val="p"/>
                                              </m:rPr>
                                              <w:rPr>
                                                <w:rFonts w:ascii="Cambria Math" w:hAnsi="Cambria Math" w:cs="Arial"/>
                                                <w:color w:val="000000" w:themeColor="text1"/>
                                                <w:kern w:val="24"/>
                                                <w:sz w:val="20"/>
                                                <w:lang w:val="en-US"/>
                                              </w:rPr>
                                              <m:t>initial</m:t>
                                            </m:r>
                                          </m:sub>
                                        </m:sSub>
                                      </m:den>
                                    </m:f>
                                  </m:e>
                                </m:box>
                                <m:r>
                                  <w:rPr>
                                    <w:rFonts w:ascii="Cambria Math" w:eastAsiaTheme="minorEastAsia" w:hAnsi="Cambria Math" w:cs="Arial"/>
                                    <w:color w:val="000000" w:themeColor="text1"/>
                                    <w:kern w:val="24"/>
                                    <w:sz w:val="20"/>
                                    <w:lang w:val="en-US"/>
                                  </w:rPr>
                                  <m:t>×100</m:t>
                                </m:r>
                              </m:oMath>
                            </m:oMathPara>
                          </w:p>
                        </w:txbxContent>
                      </v:textbox>
                    </v:shape>
                  </w:pict>
                </mc:Fallback>
              </mc:AlternateContent>
            </w:r>
          </w:p>
        </w:tc>
        <w:tc>
          <w:tcPr>
            <w:tcW w:w="801" w:type="dxa"/>
            <w:shd w:val="clear" w:color="auto" w:fill="auto"/>
            <w:vAlign w:val="center"/>
          </w:tcPr>
          <w:p w14:paraId="7A9B3709" w14:textId="77777777" w:rsidR="00410B8D" w:rsidRPr="00464FA9" w:rsidRDefault="00410B8D" w:rsidP="002E0887">
            <w:pPr>
              <w:pStyle w:val="CETEquation"/>
              <w:jc w:val="right"/>
            </w:pPr>
            <w:r w:rsidRPr="00464FA9">
              <w:t>(1)</w:t>
            </w:r>
          </w:p>
        </w:tc>
      </w:tr>
    </w:tbl>
    <w:p w14:paraId="10939942" w14:textId="778FEDCB" w:rsidR="00E074A2" w:rsidRPr="00464FA9" w:rsidRDefault="00E074A2" w:rsidP="00E074A2">
      <w:pPr>
        <w:pStyle w:val="CETHeading1"/>
        <w:rPr>
          <w:lang w:val="en-GB"/>
        </w:rPr>
      </w:pPr>
      <w:r w:rsidRPr="00464FA9">
        <w:rPr>
          <w:lang w:val="en-GB"/>
        </w:rPr>
        <w:t>Results and discussion</w:t>
      </w:r>
    </w:p>
    <w:p w14:paraId="67125803" w14:textId="2BA24DEE" w:rsidR="00B27970" w:rsidRPr="00464FA9" w:rsidRDefault="00B27970" w:rsidP="00B27970">
      <w:r w:rsidRPr="00464FA9">
        <w:t>PAT and its masking in solid food, particularly apple-based beverages and food</w:t>
      </w:r>
      <w:r w:rsidR="00464FA9" w:rsidRPr="00464FA9">
        <w:t>,</w:t>
      </w:r>
      <w:r w:rsidRPr="00464FA9">
        <w:t xml:space="preserve"> as observed by SGS </w:t>
      </w:r>
      <w:proofErr w:type="spellStart"/>
      <w:r w:rsidRPr="00464FA9">
        <w:t>Digicomply</w:t>
      </w:r>
      <w:proofErr w:type="spellEnd"/>
      <w:r w:rsidRPr="00464FA9">
        <w:t xml:space="preserve">, (2025), poses a risk to public health. Although, the identification of </w:t>
      </w:r>
      <w:r w:rsidR="00464FA9" w:rsidRPr="00464FA9">
        <w:t>PAT-contaminated</w:t>
      </w:r>
      <w:r w:rsidRPr="00464FA9">
        <w:t xml:space="preserve"> products can be achieved through Rapid Alert Systems</w:t>
      </w:r>
      <w:r w:rsidR="00464FA9" w:rsidRPr="00464FA9">
        <w:t>,</w:t>
      </w:r>
      <w:r w:rsidRPr="00464FA9">
        <w:t xml:space="preserve"> particularly for foodborne hazards such </w:t>
      </w:r>
      <w:r w:rsidR="00464FA9" w:rsidRPr="00464FA9">
        <w:t xml:space="preserve">as </w:t>
      </w:r>
      <w:r w:rsidRPr="00464FA9">
        <w:t xml:space="preserve">mycotoxins of which PAT is a type, treatment at the source is always effective. </w:t>
      </w:r>
    </w:p>
    <w:p w14:paraId="45C74B99" w14:textId="7BDEF5E3" w:rsidR="00B27970" w:rsidRPr="00464FA9" w:rsidRDefault="00B27970" w:rsidP="00B27970">
      <w:r w:rsidRPr="00464FA9">
        <w:t xml:space="preserve">Although several reactor designs for PAT have been proposed, disinfection </w:t>
      </w:r>
      <w:r w:rsidR="00464FA9" w:rsidRPr="00464FA9">
        <w:t xml:space="preserve">using </w:t>
      </w:r>
      <w:r w:rsidRPr="00464FA9">
        <w:t xml:space="preserve">UV/nanocrystal </w:t>
      </w:r>
      <w:r w:rsidR="00464FA9" w:rsidRPr="00464FA9">
        <w:t>systems</w:t>
      </w:r>
      <w:r w:rsidR="00464FA9">
        <w:t>,</w:t>
      </w:r>
      <w:r w:rsidR="00464FA9" w:rsidRPr="00464FA9">
        <w:t xml:space="preserve"> provides</w:t>
      </w:r>
      <w:r w:rsidR="00464FA9" w:rsidRPr="00464FA9">
        <w:t xml:space="preserve"> </w:t>
      </w:r>
      <w:r w:rsidRPr="00464FA9">
        <w:t>a better approach compared to thermal and biological additives, which can result in the loss of nutritional value and sensory quality of the final product. In this study</w:t>
      </w:r>
      <w:r w:rsidR="00464FA9" w:rsidRPr="00464FA9">
        <w:t>,</w:t>
      </w:r>
      <w:r w:rsidRPr="00464FA9">
        <w:t xml:space="preserve"> </w:t>
      </w:r>
      <w:r w:rsidR="00464FA9" w:rsidRPr="00464FA9">
        <w:t>an</w:t>
      </w:r>
      <w:r w:rsidR="00464FA9" w:rsidRPr="00464FA9">
        <w:t xml:space="preserve"> </w:t>
      </w:r>
      <w:r w:rsidRPr="00464FA9">
        <w:t>SCFR using UV/TiO</w:t>
      </w:r>
      <w:r w:rsidRPr="00FF1496">
        <w:rPr>
          <w:vertAlign w:val="subscript"/>
        </w:rPr>
        <w:t>2</w:t>
      </w:r>
      <w:r w:rsidRPr="00464FA9">
        <w:t xml:space="preserve"> was designed with the purpose of using </w:t>
      </w:r>
      <w:r w:rsidR="00464FA9">
        <w:t xml:space="preserve">it </w:t>
      </w:r>
      <w:r w:rsidRPr="00464FA9">
        <w:t xml:space="preserve">in-field by CSMSFs. Currently, CSMSFs employ rudimentary strategies to limit PAT contamination of their produce, i.e., by sorting and discarding rotting apples or removing the bruised, </w:t>
      </w:r>
      <w:proofErr w:type="spellStart"/>
      <w:r w:rsidRPr="00464FA9">
        <w:t>moldy</w:t>
      </w:r>
      <w:proofErr w:type="spellEnd"/>
      <w:r w:rsidRPr="00464FA9">
        <w:t xml:space="preserve"> areas before juicing. It was previously determined that UV irradiation didn’t have negative changes to key nutritional components of apple juice (Diao et </w:t>
      </w:r>
      <w:r w:rsidR="00464FA9">
        <w:t>al.</w:t>
      </w:r>
      <w:r w:rsidRPr="00464FA9">
        <w:t>, 2018).</w:t>
      </w:r>
    </w:p>
    <w:p w14:paraId="09AC04A0" w14:textId="2845CB80" w:rsidR="00B27970" w:rsidRPr="00464FA9" w:rsidRDefault="000A0DB2" w:rsidP="00B27970">
      <w:r>
        <w:t>Covering</w:t>
      </w:r>
      <w:r w:rsidR="00B27970" w:rsidRPr="00464FA9">
        <w:t xml:space="preserve"> the transparent part of the SCFR provide</w:t>
      </w:r>
      <w:r w:rsidR="00464FA9">
        <w:t>d</w:t>
      </w:r>
      <w:r w:rsidR="00B27970" w:rsidRPr="00464FA9">
        <w:t xml:space="preserve"> a reflective surface for improve</w:t>
      </w:r>
      <w:r w:rsidR="00464FA9">
        <w:t>d</w:t>
      </w:r>
      <w:r w:rsidR="00B27970" w:rsidRPr="00464FA9">
        <w:t xml:space="preserve"> irradiation efficacy, thus improving its performance. Aluminium foil, with its reflective surface, provides a barrier reducing </w:t>
      </w:r>
      <w:r>
        <w:t>the emission of</w:t>
      </w:r>
      <w:r w:rsidR="00B27970" w:rsidRPr="00464FA9">
        <w:t xml:space="preserve"> light out of the system. </w:t>
      </w:r>
      <w:r>
        <w:t>Consequently</w:t>
      </w:r>
      <w:r w:rsidR="00B27970" w:rsidRPr="00464FA9">
        <w:t xml:space="preserve">, the light emitted from the light source can reflect into the system to allow for maximum photocatalytic reaction. Furthermore, by having a bentonite filtration system, the cloudy apple juice obtained was clarified to reduce particulate matter which can interfere with the PAT degradation as the particles can </w:t>
      </w:r>
      <w:r>
        <w:t>occupy</w:t>
      </w:r>
      <w:r w:rsidRPr="00464FA9">
        <w:t xml:space="preserve"> </w:t>
      </w:r>
      <w:r w:rsidR="00B27970" w:rsidRPr="00464FA9">
        <w:t>the active sites of the nanocrystals.</w:t>
      </w:r>
    </w:p>
    <w:p w14:paraId="273A3203" w14:textId="1804C772" w:rsidR="00B27970" w:rsidRPr="00464FA9" w:rsidRDefault="00B27970" w:rsidP="00B27970">
      <w:r w:rsidRPr="00464FA9">
        <w:t>Nanocrystal paste preparation immobilising on surfaces ensued by constructing systems for solar use in photocatalysis dye degradation systems. As etched glass had increased roughness on its surface, the shear thinning character of the TiO</w:t>
      </w:r>
      <w:r w:rsidRPr="00FF1496">
        <w:rPr>
          <w:vertAlign w:val="subscript"/>
        </w:rPr>
        <w:t>2</w:t>
      </w:r>
      <w:r w:rsidRPr="00464FA9">
        <w:t xml:space="preserve"> paste resulted in better embedment and ease of spreading. Figure</w:t>
      </w:r>
      <w:r w:rsidR="000A0DB2">
        <w:t xml:space="preserve"> 3</w:t>
      </w:r>
      <w:r w:rsidRPr="00464FA9">
        <w:t xml:space="preserve"> illustrates that the paste prepared was a non-Newtonian fluid, indicating increases in shear </w:t>
      </w:r>
      <w:proofErr w:type="gramStart"/>
      <w:r w:rsidRPr="00464FA9">
        <w:t>stress ,</w:t>
      </w:r>
      <w:proofErr w:type="gramEnd"/>
      <w:r w:rsidRPr="00464FA9">
        <w:t xml:space="preserve"> </w:t>
      </w:r>
      <w:r w:rsidR="000A0DB2">
        <w:t>result</w:t>
      </w:r>
      <w:r w:rsidR="000A0DB2" w:rsidRPr="00464FA9">
        <w:t xml:space="preserve"> </w:t>
      </w:r>
      <w:r w:rsidRPr="00464FA9">
        <w:t>in thinning, allowing immobilization onto the etched glass.</w:t>
      </w:r>
    </w:p>
    <w:p w14:paraId="7E9D664B" w14:textId="4790EF0B" w:rsidR="00B27970" w:rsidRPr="00464FA9" w:rsidRDefault="00B27970" w:rsidP="00B27970">
      <w:r w:rsidRPr="00464FA9">
        <w:rPr>
          <w:noProof/>
        </w:rPr>
        <w:lastRenderedPageBreak/>
        <w:drawing>
          <wp:inline distT="0" distB="0" distL="0" distR="0" wp14:anchorId="1E2F5742" wp14:editId="193345C9">
            <wp:extent cx="3808675" cy="2887122"/>
            <wp:effectExtent l="0" t="0" r="1905" b="8890"/>
            <wp:docPr id="115672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7312" cy="2893669"/>
                    </a:xfrm>
                    <a:prstGeom prst="rect">
                      <a:avLst/>
                    </a:prstGeom>
                    <a:noFill/>
                  </pic:spPr>
                </pic:pic>
              </a:graphicData>
            </a:graphic>
          </wp:inline>
        </w:drawing>
      </w:r>
    </w:p>
    <w:p w14:paraId="621A1805" w14:textId="3773EEF4" w:rsidR="00B27970" w:rsidRPr="00464FA9" w:rsidRDefault="00B27970" w:rsidP="00B27970">
      <w:pPr>
        <w:pStyle w:val="CETCaption"/>
        <w:rPr>
          <w:rStyle w:val="CETCaptionCarattere"/>
          <w:i/>
        </w:rPr>
      </w:pPr>
      <w:r w:rsidRPr="00464FA9">
        <w:rPr>
          <w:rStyle w:val="CETCaptionCarattere"/>
          <w:i/>
        </w:rPr>
        <w:t>Figure 3: Characteristics of the TiO</w:t>
      </w:r>
      <w:r w:rsidRPr="00FF1496">
        <w:rPr>
          <w:rStyle w:val="CETCaptionCarattere"/>
          <w:i/>
          <w:vertAlign w:val="subscript"/>
        </w:rPr>
        <w:t>2</w:t>
      </w:r>
      <w:r w:rsidRPr="00464FA9">
        <w:rPr>
          <w:rStyle w:val="CETCaptionCarattere"/>
          <w:i/>
        </w:rPr>
        <w:t xml:space="preserve"> paste synthesized </w:t>
      </w:r>
    </w:p>
    <w:p w14:paraId="403EC05B" w14:textId="40C6D004" w:rsidR="00CA56FF" w:rsidRPr="00464FA9" w:rsidRDefault="00B27970" w:rsidP="00B27970">
      <w:r w:rsidRPr="00464FA9">
        <w:t xml:space="preserve">Etched glass provides higher surface area and micro-cavities for fluid retention, benefiting fluids that can flow into and lock onto created pores or active sites. </w:t>
      </w:r>
    </w:p>
    <w:p w14:paraId="051557C3" w14:textId="3F69C053" w:rsidR="0036066F" w:rsidRPr="00464FA9" w:rsidRDefault="000A0DB2" w:rsidP="00231051">
      <w:r>
        <w:t xml:space="preserve">The </w:t>
      </w:r>
      <w:r w:rsidR="005107EC" w:rsidRPr="00464FA9">
        <w:t>SCFR was subjected to a 30-minute initiation phase to enable optimal excitation of electron-hole pairs upon subsequent light exposure. Observingly, PAT degradation commenced rapidly, with significant reduction observed after 20 minutes, reaching peak efficiency at 160 minutes. Photocatalytic methods have shown potential for toxin breakdown, even in aqueous systems, with efficacy dependent on catalyst type, pH, and light intensity. PAT absorbs light in the 255–355 nm range, whereas microbial inactivation (e.g., spores) typically requires wavelengths below 255 nm (</w:t>
      </w:r>
      <w:proofErr w:type="spellStart"/>
      <w:r w:rsidR="005107EC" w:rsidRPr="00464FA9">
        <w:t>Ibarz</w:t>
      </w:r>
      <w:proofErr w:type="spellEnd"/>
      <w:r w:rsidR="005107EC" w:rsidRPr="00464FA9">
        <w:t xml:space="preserve"> et al., 2014). As illustrated in Figure 4, degradation rates increased exponentially between 10 and 20 minutes, likely due to heightened nanoparticle activation following the initiation phase. Furthermore, Figure 4 reveals that UV irradiation at 30 V achieved markedly greater </w:t>
      </w:r>
      <w:r>
        <w:t>PAT</w:t>
      </w:r>
      <w:r w:rsidRPr="00464FA9">
        <w:t xml:space="preserve"> </w:t>
      </w:r>
      <w:r w:rsidR="005107EC" w:rsidRPr="00464FA9">
        <w:t>reduction compared to 15 V, suggesting that higher-intensity UV (30 V) is more effective. Consequently, this method is recommended for small-scale juice producers to mitigate PAT contamination.</w:t>
      </w:r>
    </w:p>
    <w:p w14:paraId="5B15B790" w14:textId="5802030A" w:rsidR="0036066F" w:rsidRPr="00464FA9" w:rsidRDefault="005107EC" w:rsidP="00231051">
      <w:r w:rsidRPr="00FF1496">
        <w:rPr>
          <w:b/>
          <w:bCs/>
          <w:noProof/>
          <w:lang w:eastAsia="en-ZA"/>
        </w:rPr>
        <w:drawing>
          <wp:inline distT="0" distB="0" distL="0" distR="0" wp14:anchorId="603B88AC" wp14:editId="66F719DB">
            <wp:extent cx="2815167" cy="2130202"/>
            <wp:effectExtent l="0" t="0" r="0" b="0"/>
            <wp:docPr id="8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6828" t="7523" r="10793" b="3762"/>
                    <a:stretch/>
                  </pic:blipFill>
                  <pic:spPr bwMode="auto">
                    <a:xfrm>
                      <a:off x="0" y="0"/>
                      <a:ext cx="2820788" cy="2134455"/>
                    </a:xfrm>
                    <a:prstGeom prst="rect">
                      <a:avLst/>
                    </a:prstGeom>
                    <a:noFill/>
                    <a:ln>
                      <a:noFill/>
                    </a:ln>
                    <a:extLst>
                      <a:ext uri="{53640926-AAD7-44D8-BBD7-CCE9431645EC}">
                        <a14:shadowObscured xmlns:a14="http://schemas.microsoft.com/office/drawing/2010/main"/>
                      </a:ext>
                    </a:extLst>
                  </pic:spPr>
                </pic:pic>
              </a:graphicData>
            </a:graphic>
          </wp:inline>
        </w:drawing>
      </w:r>
    </w:p>
    <w:p w14:paraId="554CE2F9" w14:textId="5020AC51" w:rsidR="005107EC" w:rsidRPr="00464FA9" w:rsidRDefault="005107EC" w:rsidP="005107EC">
      <w:pPr>
        <w:pStyle w:val="CETCaption"/>
        <w:rPr>
          <w:rStyle w:val="CETCaptionCarattere"/>
          <w:i/>
        </w:rPr>
      </w:pPr>
      <w:r w:rsidRPr="00464FA9">
        <w:rPr>
          <w:rStyle w:val="CETCaptionCarattere"/>
          <w:i/>
        </w:rPr>
        <w:t>Figure 4</w:t>
      </w:r>
      <w:r w:rsidR="000A0DB2">
        <w:rPr>
          <w:rStyle w:val="CETCaptionCarattere"/>
          <w:i/>
        </w:rPr>
        <w:t>:</w:t>
      </w:r>
      <w:r w:rsidRPr="00464FA9">
        <w:rPr>
          <w:rStyle w:val="CETCaptionCarattere"/>
          <w:i/>
        </w:rPr>
        <w:t xml:space="preserve"> </w:t>
      </w:r>
      <w:r w:rsidR="000A0DB2">
        <w:rPr>
          <w:rStyle w:val="CETCaptionCarattere"/>
          <w:i/>
        </w:rPr>
        <w:t>PAT degradation efficiency in the SCFR</w:t>
      </w:r>
    </w:p>
    <w:p w14:paraId="68D26B83" w14:textId="77777777" w:rsidR="00600535" w:rsidRPr="00464FA9" w:rsidRDefault="00600535" w:rsidP="00600535">
      <w:pPr>
        <w:pStyle w:val="CETHeading1"/>
        <w:rPr>
          <w:lang w:val="en-GB"/>
        </w:rPr>
      </w:pPr>
      <w:r w:rsidRPr="00464FA9">
        <w:rPr>
          <w:lang w:val="en-GB"/>
        </w:rPr>
        <w:t>Conclusions</w:t>
      </w:r>
    </w:p>
    <w:p w14:paraId="41BFF1CD" w14:textId="107F7107" w:rsidR="00686634" w:rsidRPr="00464FA9" w:rsidRDefault="00686634" w:rsidP="00600535">
      <w:pPr>
        <w:pStyle w:val="CETBodytext"/>
        <w:rPr>
          <w:lang w:val="en-GB"/>
        </w:rPr>
      </w:pPr>
      <w:r w:rsidRPr="00464FA9">
        <w:rPr>
          <w:lang w:val="en-GB"/>
        </w:rPr>
        <w:t>The SCFR-UV/TiO</w:t>
      </w:r>
      <w:r w:rsidRPr="00464FA9">
        <w:rPr>
          <w:vertAlign w:val="subscript"/>
          <w:lang w:val="en-GB"/>
        </w:rPr>
        <w:t>2</w:t>
      </w:r>
      <w:r w:rsidRPr="00464FA9">
        <w:rPr>
          <w:lang w:val="en-GB"/>
        </w:rPr>
        <w:t xml:space="preserve"> photocatalytic system exhibited high efficiency in degrading PAT when applied in a flat-bed reactor design. Notably, the immobilized TiO</w:t>
      </w:r>
      <w:r w:rsidRPr="00464FA9">
        <w:rPr>
          <w:vertAlign w:val="subscript"/>
          <w:lang w:val="en-GB"/>
        </w:rPr>
        <w:t>2</w:t>
      </w:r>
      <w:r w:rsidRPr="00464FA9">
        <w:rPr>
          <w:lang w:val="en-GB"/>
        </w:rPr>
        <w:t xml:space="preserve"> catalyst demonstrated reusability across multiple cycles without significant loss of activity, owing to its chemical stability</w:t>
      </w:r>
      <w:r w:rsidR="000A0DB2">
        <w:rPr>
          <w:lang w:val="en-GB"/>
        </w:rPr>
        <w:t xml:space="preserve">, </w:t>
      </w:r>
      <w:r w:rsidRPr="00464FA9">
        <w:rPr>
          <w:lang w:val="en-GB"/>
        </w:rPr>
        <w:t xml:space="preserve">a cost-effective feature advantageous for small-scale juice operations. The study confirmed the viability of photocatalysis for PAT removal in apple juice, offering a </w:t>
      </w:r>
      <w:r w:rsidRPr="00464FA9">
        <w:rPr>
          <w:lang w:val="en-GB"/>
        </w:rPr>
        <w:lastRenderedPageBreak/>
        <w:t>scalable solution for other mycotoxin mitigation in beverages. These findings present a practical approach for juice producers, both medium and small, to address PAT contamination in apple juice effectively.</w:t>
      </w:r>
    </w:p>
    <w:p w14:paraId="459D05E6" w14:textId="7FDA199D" w:rsidR="00600535" w:rsidRPr="00464FA9" w:rsidRDefault="00600535" w:rsidP="00600535">
      <w:pPr>
        <w:pStyle w:val="CETAcknowledgementstitle"/>
      </w:pPr>
      <w:r w:rsidRPr="00464FA9">
        <w:t>Acknowledgments</w:t>
      </w:r>
    </w:p>
    <w:p w14:paraId="33F8138F" w14:textId="437B9BA0" w:rsidR="00600535" w:rsidRPr="00464FA9" w:rsidRDefault="00BF5FE3" w:rsidP="00600535">
      <w:pPr>
        <w:pStyle w:val="CETBodytext"/>
        <w:rPr>
          <w:lang w:val="en-GB"/>
        </w:rPr>
      </w:pPr>
      <w:r w:rsidRPr="00464FA9">
        <w:rPr>
          <w:lang w:val="en-GB"/>
        </w:rPr>
        <w:t xml:space="preserve">This study was sponsored by the National Research Foundation of South Africa - Research and Technology Fund 2015 RTF150410117042. </w:t>
      </w:r>
    </w:p>
    <w:p w14:paraId="4F1327F8" w14:textId="77777777" w:rsidR="00600535" w:rsidRPr="00464FA9" w:rsidRDefault="00600535" w:rsidP="00600535">
      <w:pPr>
        <w:pStyle w:val="CETReference"/>
      </w:pPr>
      <w:r w:rsidRPr="00464FA9">
        <w:t>References</w:t>
      </w:r>
    </w:p>
    <w:p w14:paraId="6AC9455E" w14:textId="5DC24E2B" w:rsidR="00BF5FE3" w:rsidRPr="00464FA9" w:rsidRDefault="00BF5FE3" w:rsidP="003C5E5C">
      <w:pPr>
        <w:pStyle w:val="CETBodytext"/>
        <w:rPr>
          <w:lang w:val="en-GB"/>
        </w:rPr>
      </w:pPr>
      <w:r w:rsidRPr="00464FA9">
        <w:rPr>
          <w:lang w:val="en-GB"/>
        </w:rPr>
        <w:t xml:space="preserve">Diao, E., Chu, X., Hou, H., Dong, H., Gao, D., 2018, Improving the Safety of Apple Juice by UV irradiation. Journal of Food Measurement and Characterization, 12, 2005-2011. </w:t>
      </w:r>
      <w:hyperlink r:id="rId14" w:history="1">
        <w:r w:rsidRPr="00464FA9">
          <w:rPr>
            <w:rStyle w:val="Hyperlink"/>
            <w:lang w:val="en-GB"/>
          </w:rPr>
          <w:t>https://doi.org/10.1007/s11694-018-9815-3</w:t>
        </w:r>
      </w:hyperlink>
      <w:r w:rsidRPr="00464FA9">
        <w:rPr>
          <w:lang w:val="en-GB"/>
        </w:rPr>
        <w:t>.</w:t>
      </w:r>
    </w:p>
    <w:p w14:paraId="5448727B" w14:textId="77777777" w:rsidR="00BF5FE3" w:rsidRPr="00464FA9" w:rsidRDefault="00BF5FE3" w:rsidP="003C5E5C">
      <w:pPr>
        <w:pStyle w:val="CETBodytext"/>
        <w:rPr>
          <w:lang w:val="en-GB"/>
        </w:rPr>
      </w:pPr>
    </w:p>
    <w:p w14:paraId="76DB5969" w14:textId="22A7F5E5" w:rsidR="0020436A" w:rsidRPr="00464FA9" w:rsidRDefault="0020436A" w:rsidP="003C5E5C">
      <w:pPr>
        <w:pStyle w:val="CETBodytext"/>
        <w:rPr>
          <w:lang w:val="en-GB"/>
        </w:rPr>
      </w:pPr>
      <w:r w:rsidRPr="00464FA9">
        <w:rPr>
          <w:lang w:val="en-GB"/>
        </w:rPr>
        <w:t xml:space="preserve">European Union, 2023, Regulation (EU) 2023/915 of 25 May 2023 laying down maximum levels for certain contaminants in food and repealing Regulation (EC) No 1881/2006. Official Journal of the European Union. 5.5.2023. L 119/113, https://eur-lex.europa.eu/legal-content/EN/TXT/?uri=CELEX%3A32023R0915 accessed </w:t>
      </w:r>
      <w:r w:rsidR="00AE33DF" w:rsidRPr="00464FA9">
        <w:rPr>
          <w:lang w:val="en-GB"/>
        </w:rPr>
        <w:t>15.03.2025.</w:t>
      </w:r>
    </w:p>
    <w:p w14:paraId="0115574F" w14:textId="77777777" w:rsidR="00BF5FE3" w:rsidRPr="00464FA9" w:rsidRDefault="00BF5FE3" w:rsidP="003C5E5C">
      <w:pPr>
        <w:pStyle w:val="CETBodytext"/>
        <w:rPr>
          <w:lang w:val="en-GB"/>
        </w:rPr>
      </w:pPr>
    </w:p>
    <w:p w14:paraId="1E4D4916" w14:textId="102EFEC4" w:rsidR="003C5E5C" w:rsidRPr="00464FA9" w:rsidRDefault="003C5E5C" w:rsidP="003C5E5C">
      <w:pPr>
        <w:pStyle w:val="CETBodytext"/>
        <w:rPr>
          <w:lang w:val="en-GB"/>
        </w:rPr>
      </w:pPr>
      <w:r w:rsidRPr="00464FA9">
        <w:rPr>
          <w:lang w:val="en-GB"/>
        </w:rPr>
        <w:t xml:space="preserve">Hassan </w:t>
      </w:r>
      <w:proofErr w:type="spellStart"/>
      <w:r w:rsidRPr="00464FA9">
        <w:rPr>
          <w:lang w:val="en-GB"/>
        </w:rPr>
        <w:t>Isilow</w:t>
      </w:r>
      <w:proofErr w:type="spellEnd"/>
      <w:r w:rsidRPr="00464FA9">
        <w:rPr>
          <w:lang w:val="en-GB"/>
        </w:rPr>
        <w:t xml:space="preserve">, 2021, South African Firm Recalls Contaminated Apple Juices from 7 countries, https://www.aa.com.tr/en/africa/south-african-firm-recalls-contaminated-apple-juices-from-7-countries/2392245 accessed </w:t>
      </w:r>
      <w:r w:rsidR="00B31FF6">
        <w:rPr>
          <w:lang w:val="en-GB"/>
        </w:rPr>
        <w:t>15.03.2025</w:t>
      </w:r>
      <w:r w:rsidR="009B2562">
        <w:rPr>
          <w:lang w:val="en-GB"/>
        </w:rPr>
        <w:t xml:space="preserve">. </w:t>
      </w:r>
    </w:p>
    <w:p w14:paraId="79EA0781" w14:textId="77777777" w:rsidR="00AE33DF" w:rsidRPr="00464FA9" w:rsidRDefault="00AE33DF" w:rsidP="003C5E5C">
      <w:pPr>
        <w:pStyle w:val="CETBodytext"/>
        <w:rPr>
          <w:lang w:val="en-GB"/>
        </w:rPr>
      </w:pPr>
    </w:p>
    <w:p w14:paraId="080E385A" w14:textId="55200847" w:rsidR="0020436A" w:rsidRPr="00464FA9" w:rsidRDefault="0020436A" w:rsidP="003C5E5C">
      <w:pPr>
        <w:pStyle w:val="CETBodytext"/>
        <w:rPr>
          <w:lang w:val="en-GB"/>
        </w:rPr>
      </w:pPr>
      <w:r w:rsidRPr="00464FA9">
        <w:rPr>
          <w:lang w:val="en-GB"/>
        </w:rPr>
        <w:t xml:space="preserve">Huang, C., Peng, B., 2021, Photocatalytic Degradation of Patulin in Apple Juice Based on Nitrogen-doped Chitosan-TiO2 Nanocomposite Prepared by a New Approach. </w:t>
      </w:r>
      <w:proofErr w:type="spellStart"/>
      <w:r w:rsidRPr="00464FA9">
        <w:rPr>
          <w:lang w:val="en-GB"/>
        </w:rPr>
        <w:t>Lwt</w:t>
      </w:r>
      <w:proofErr w:type="spellEnd"/>
      <w:r w:rsidRPr="00464FA9">
        <w:rPr>
          <w:lang w:val="en-GB"/>
        </w:rPr>
        <w:t xml:space="preserve">, 140, 110726. </w:t>
      </w:r>
      <w:hyperlink r:id="rId15" w:history="1">
        <w:r w:rsidRPr="00464FA9">
          <w:rPr>
            <w:rStyle w:val="Hyperlink"/>
            <w:lang w:val="en-GB"/>
          </w:rPr>
          <w:t>https://doi.org/10.1016/j.lwt.2020.110726</w:t>
        </w:r>
      </w:hyperlink>
      <w:r w:rsidRPr="00464FA9">
        <w:rPr>
          <w:lang w:val="en-GB"/>
        </w:rPr>
        <w:t xml:space="preserve">. </w:t>
      </w:r>
    </w:p>
    <w:p w14:paraId="47005781" w14:textId="77777777" w:rsidR="00AE33DF" w:rsidRPr="00464FA9" w:rsidRDefault="00AE33DF" w:rsidP="003C5E5C">
      <w:pPr>
        <w:pStyle w:val="CETBodytext"/>
        <w:rPr>
          <w:lang w:val="en-GB"/>
        </w:rPr>
      </w:pPr>
    </w:p>
    <w:p w14:paraId="32B153C1" w14:textId="195600BB" w:rsidR="00521917" w:rsidRPr="00464FA9" w:rsidRDefault="00521917" w:rsidP="003C5E5C">
      <w:pPr>
        <w:pStyle w:val="CETBodytext"/>
        <w:rPr>
          <w:lang w:val="en-GB"/>
        </w:rPr>
      </w:pPr>
      <w:proofErr w:type="spellStart"/>
      <w:r w:rsidRPr="00464FA9">
        <w:rPr>
          <w:lang w:val="en-GB"/>
        </w:rPr>
        <w:t>Ibarz</w:t>
      </w:r>
      <w:proofErr w:type="spellEnd"/>
      <w:r w:rsidRPr="00464FA9">
        <w:rPr>
          <w:lang w:val="en-GB"/>
        </w:rPr>
        <w:t xml:space="preserve">, R., </w:t>
      </w:r>
      <w:proofErr w:type="spellStart"/>
      <w:r w:rsidRPr="00464FA9">
        <w:rPr>
          <w:lang w:val="en-GB"/>
        </w:rPr>
        <w:t>Garvín</w:t>
      </w:r>
      <w:proofErr w:type="spellEnd"/>
      <w:r w:rsidRPr="00464FA9">
        <w:rPr>
          <w:lang w:val="en-GB"/>
        </w:rPr>
        <w:t xml:space="preserve">, A., </w:t>
      </w:r>
      <w:proofErr w:type="spellStart"/>
      <w:r w:rsidRPr="00464FA9">
        <w:rPr>
          <w:lang w:val="en-GB"/>
        </w:rPr>
        <w:t>Falguera</w:t>
      </w:r>
      <w:proofErr w:type="spellEnd"/>
      <w:r w:rsidRPr="00464FA9">
        <w:rPr>
          <w:lang w:val="en-GB"/>
        </w:rPr>
        <w:t xml:space="preserve">, V., Pagán, J., Garza, S., </w:t>
      </w:r>
      <w:proofErr w:type="spellStart"/>
      <w:r w:rsidRPr="00464FA9">
        <w:rPr>
          <w:lang w:val="en-GB"/>
        </w:rPr>
        <w:t>Ibarz</w:t>
      </w:r>
      <w:proofErr w:type="spellEnd"/>
      <w:r w:rsidRPr="00464FA9">
        <w:rPr>
          <w:lang w:val="en-GB"/>
        </w:rPr>
        <w:t xml:space="preserve">, A., 2014, Modelling of Patulin Photo-degradation by a UV Multi-wavelength Emitting Lamp. Food Research International, 66, 158-166. </w:t>
      </w:r>
      <w:hyperlink r:id="rId16" w:history="1">
        <w:r w:rsidRPr="00464FA9">
          <w:rPr>
            <w:rStyle w:val="Hyperlink"/>
            <w:lang w:val="en-GB"/>
          </w:rPr>
          <w:t>https://doi.org/10.1016/j.foodres.2014.09.006</w:t>
        </w:r>
      </w:hyperlink>
      <w:r w:rsidRPr="00464FA9">
        <w:rPr>
          <w:lang w:val="en-GB"/>
        </w:rPr>
        <w:t xml:space="preserve">. </w:t>
      </w:r>
    </w:p>
    <w:p w14:paraId="2725B94E" w14:textId="77777777" w:rsidR="00AE33DF" w:rsidRPr="00464FA9" w:rsidRDefault="00AE33DF" w:rsidP="003C5E5C">
      <w:pPr>
        <w:pStyle w:val="CETBodytext"/>
        <w:rPr>
          <w:lang w:val="en-GB"/>
        </w:rPr>
      </w:pPr>
    </w:p>
    <w:p w14:paraId="757DFDBE" w14:textId="338EC393" w:rsidR="0020436A" w:rsidRPr="00464FA9" w:rsidRDefault="0020436A" w:rsidP="0020436A">
      <w:pPr>
        <w:pStyle w:val="CETBodytext"/>
        <w:rPr>
          <w:lang w:val="en-GB"/>
        </w:rPr>
      </w:pPr>
      <w:r w:rsidRPr="00464FA9">
        <w:rPr>
          <w:lang w:val="en-GB"/>
        </w:rPr>
        <w:t xml:space="preserve">Kharayat, B. S., Singh, Y., 2018, Mycotoxins in Foods: </w:t>
      </w:r>
      <w:proofErr w:type="spellStart"/>
      <w:r w:rsidRPr="00464FA9">
        <w:rPr>
          <w:lang w:val="en-GB"/>
        </w:rPr>
        <w:t>Mycotoxicoses</w:t>
      </w:r>
      <w:proofErr w:type="spellEnd"/>
      <w:r w:rsidRPr="00464FA9">
        <w:rPr>
          <w:lang w:val="en-GB"/>
        </w:rPr>
        <w:t xml:space="preserve">, Detection, and Management. In A. M. Holban, A. M. </w:t>
      </w:r>
      <w:proofErr w:type="spellStart"/>
      <w:r w:rsidRPr="00464FA9">
        <w:rPr>
          <w:lang w:val="en-GB"/>
        </w:rPr>
        <w:t>Grumezescu</w:t>
      </w:r>
      <w:proofErr w:type="spellEnd"/>
      <w:r w:rsidRPr="00464FA9">
        <w:rPr>
          <w:lang w:val="en-GB"/>
        </w:rPr>
        <w:t xml:space="preserve"> (Eds.), Handbook of Food Bioengineering: Microbial Contamination and Food Degradation (pp. 395-421). Elsevier. </w:t>
      </w:r>
      <w:hyperlink r:id="rId17" w:history="1">
        <w:r w:rsidR="00AE33DF" w:rsidRPr="00464FA9">
          <w:rPr>
            <w:rStyle w:val="Hyperlink"/>
            <w:lang w:val="en-GB"/>
          </w:rPr>
          <w:t>https://doi.org/10.1016/B978-0-12-811515-2.00013-5</w:t>
        </w:r>
      </w:hyperlink>
      <w:r w:rsidRPr="00464FA9">
        <w:rPr>
          <w:lang w:val="en-GB"/>
        </w:rPr>
        <w:t xml:space="preserve">. </w:t>
      </w:r>
    </w:p>
    <w:p w14:paraId="0D0D24E7" w14:textId="77777777" w:rsidR="00AE33DF" w:rsidRPr="00464FA9" w:rsidRDefault="00AE33DF" w:rsidP="0020436A">
      <w:pPr>
        <w:pStyle w:val="CETBodytext"/>
        <w:rPr>
          <w:lang w:val="en-GB"/>
        </w:rPr>
      </w:pPr>
    </w:p>
    <w:p w14:paraId="3C138A10" w14:textId="6BB8073E" w:rsidR="0020436A" w:rsidRPr="00464FA9" w:rsidRDefault="0020436A" w:rsidP="0020436A">
      <w:pPr>
        <w:pStyle w:val="CETBodytext"/>
        <w:rPr>
          <w:lang w:val="en-GB"/>
        </w:rPr>
      </w:pPr>
      <w:r w:rsidRPr="00464FA9">
        <w:rPr>
          <w:lang w:val="en-GB"/>
        </w:rPr>
        <w:t xml:space="preserve">Li, N., Cui, R., Zhang, F., Meng, X., Liu, B., 2022, Current Situation and Future Challenges of Patulin Reduction-A Review, Food Control, 138, 108996. </w:t>
      </w:r>
      <w:hyperlink r:id="rId18" w:history="1">
        <w:r w:rsidR="00BC3C48" w:rsidRPr="00464FA9">
          <w:rPr>
            <w:rStyle w:val="Hyperlink"/>
            <w:lang w:val="en-GB"/>
          </w:rPr>
          <w:t>https://doi.org/10.1016/j.foodcont.2022.108996</w:t>
        </w:r>
      </w:hyperlink>
      <w:r w:rsidRPr="00464FA9">
        <w:rPr>
          <w:lang w:val="en-GB"/>
        </w:rPr>
        <w:t>.</w:t>
      </w:r>
      <w:r w:rsidR="00BC3C48" w:rsidRPr="00464FA9">
        <w:rPr>
          <w:lang w:val="en-GB"/>
        </w:rPr>
        <w:t xml:space="preserve"> </w:t>
      </w:r>
      <w:r w:rsidRPr="00464FA9">
        <w:rPr>
          <w:lang w:val="en-GB"/>
        </w:rPr>
        <w:t xml:space="preserve">  </w:t>
      </w:r>
    </w:p>
    <w:p w14:paraId="1845CFF9" w14:textId="77777777" w:rsidR="00AE33DF" w:rsidRPr="00464FA9" w:rsidRDefault="00AE33DF" w:rsidP="0020436A">
      <w:pPr>
        <w:pStyle w:val="CETBodytext"/>
        <w:rPr>
          <w:lang w:val="en-GB"/>
        </w:rPr>
      </w:pPr>
    </w:p>
    <w:p w14:paraId="7455BC3C" w14:textId="42280147" w:rsidR="00CD0668" w:rsidRPr="00464FA9" w:rsidRDefault="00CD0668" w:rsidP="003C5E5C">
      <w:pPr>
        <w:pStyle w:val="CETBodytext"/>
        <w:rPr>
          <w:lang w:val="en-GB"/>
        </w:rPr>
      </w:pPr>
      <w:r w:rsidRPr="00464FA9">
        <w:rPr>
          <w:lang w:val="en-GB"/>
        </w:rPr>
        <w:t>Lucci, P., Moret, S., Bettin, S., Conte, L., 2017. Selective Solid</w:t>
      </w:r>
      <w:r w:rsidRPr="00464FA9">
        <w:rPr>
          <w:rFonts w:ascii="Cambria Math" w:hAnsi="Cambria Math" w:cs="Cambria Math"/>
          <w:lang w:val="en-GB"/>
        </w:rPr>
        <w:t>‐</w:t>
      </w:r>
      <w:r w:rsidRPr="00464FA9">
        <w:rPr>
          <w:lang w:val="en-GB"/>
        </w:rPr>
        <w:t>phase Extraction using a Molecularly Imprinted Polymer for the Analysis of Patulin in Apple</w:t>
      </w:r>
      <w:r w:rsidRPr="00464FA9">
        <w:rPr>
          <w:rFonts w:ascii="Cambria Math" w:hAnsi="Cambria Math" w:cs="Cambria Math"/>
          <w:lang w:val="en-GB"/>
        </w:rPr>
        <w:t>‐</w:t>
      </w:r>
      <w:r w:rsidRPr="00464FA9">
        <w:rPr>
          <w:lang w:val="en-GB"/>
        </w:rPr>
        <w:t xml:space="preserve">based Foods. Journal of Separation Science, 40(2), 458-465. </w:t>
      </w:r>
      <w:hyperlink r:id="rId19" w:history="1">
        <w:r w:rsidRPr="00464FA9">
          <w:rPr>
            <w:rStyle w:val="Hyperlink"/>
            <w:lang w:val="en-GB"/>
          </w:rPr>
          <w:t>https://doi.org/10.1002/jssc.201601009</w:t>
        </w:r>
      </w:hyperlink>
      <w:r w:rsidRPr="00464FA9">
        <w:rPr>
          <w:lang w:val="en-GB"/>
        </w:rPr>
        <w:t xml:space="preserve">. </w:t>
      </w:r>
    </w:p>
    <w:p w14:paraId="75CBB9D3" w14:textId="77777777" w:rsidR="00AE33DF" w:rsidRPr="00464FA9" w:rsidRDefault="00AE33DF" w:rsidP="003C5E5C">
      <w:pPr>
        <w:pStyle w:val="CETBodytext"/>
        <w:rPr>
          <w:lang w:val="en-GB"/>
        </w:rPr>
      </w:pPr>
    </w:p>
    <w:p w14:paraId="4EDDFBDE" w14:textId="52B94B13" w:rsidR="003B1D06" w:rsidRPr="00464FA9" w:rsidRDefault="003B1D06" w:rsidP="003C5E5C">
      <w:pPr>
        <w:pStyle w:val="CETBodytext"/>
        <w:rPr>
          <w:lang w:val="en-GB"/>
        </w:rPr>
      </w:pPr>
      <w:r w:rsidRPr="00464FA9">
        <w:rPr>
          <w:lang w:val="en-GB"/>
        </w:rPr>
        <w:t xml:space="preserve">Ngandjou-Douanla, M. M., Ntwampe, S. K. O., </w:t>
      </w:r>
      <w:proofErr w:type="spellStart"/>
      <w:r w:rsidRPr="00464FA9">
        <w:rPr>
          <w:lang w:val="en-GB"/>
        </w:rPr>
        <w:t>Razanamahandry</w:t>
      </w:r>
      <w:proofErr w:type="spellEnd"/>
      <w:r w:rsidRPr="00464FA9">
        <w:rPr>
          <w:lang w:val="en-GB"/>
        </w:rPr>
        <w:t>, L. C., Malenga, E., Fosso-</w:t>
      </w:r>
      <w:proofErr w:type="spellStart"/>
      <w:r w:rsidRPr="00464FA9">
        <w:rPr>
          <w:lang w:val="en-GB"/>
        </w:rPr>
        <w:t>Kankeu</w:t>
      </w:r>
      <w:proofErr w:type="spellEnd"/>
      <w:r w:rsidRPr="00464FA9">
        <w:rPr>
          <w:lang w:val="en-GB"/>
        </w:rPr>
        <w:t xml:space="preserve">, E., </w:t>
      </w:r>
      <w:proofErr w:type="spellStart"/>
      <w:r w:rsidRPr="00464FA9">
        <w:rPr>
          <w:lang w:val="en-GB"/>
        </w:rPr>
        <w:t>Fölck</w:t>
      </w:r>
      <w:proofErr w:type="spellEnd"/>
      <w:r w:rsidRPr="00464FA9">
        <w:rPr>
          <w:lang w:val="en-GB"/>
        </w:rPr>
        <w:t>, K., 2018, Impact of Solubilising Matrices for TiCl</w:t>
      </w:r>
      <w:r w:rsidRPr="00FF1496">
        <w:rPr>
          <w:vertAlign w:val="subscript"/>
          <w:lang w:val="en-GB"/>
        </w:rPr>
        <w:t>4</w:t>
      </w:r>
      <w:r w:rsidRPr="00464FA9">
        <w:rPr>
          <w:lang w:val="en-GB"/>
        </w:rPr>
        <w:t xml:space="preserve"> on the Formation of TiO</w:t>
      </w:r>
      <w:r w:rsidRPr="00FF1496">
        <w:rPr>
          <w:vertAlign w:val="subscript"/>
          <w:lang w:val="en-GB"/>
        </w:rPr>
        <w:t>2</w:t>
      </w:r>
      <w:r w:rsidRPr="00464FA9">
        <w:rPr>
          <w:lang w:val="en-GB"/>
        </w:rPr>
        <w:t xml:space="preserve"> Nanoparticles. 10</w:t>
      </w:r>
      <w:r w:rsidRPr="00FF1496">
        <w:rPr>
          <w:vertAlign w:val="superscript"/>
          <w:lang w:val="en-GB"/>
        </w:rPr>
        <w:t>th</w:t>
      </w:r>
      <w:r w:rsidRPr="00464FA9">
        <w:rPr>
          <w:lang w:val="en-GB"/>
        </w:rPr>
        <w:t xml:space="preserve"> Int'l Conference on Advances in Science, Engineering, Technology and Healthcare, Nov. 19-20, 2018, Cape Town (South Africa). Pp 195-199, </w:t>
      </w:r>
      <w:hyperlink r:id="rId20" w:history="1">
        <w:r w:rsidRPr="00464FA9">
          <w:rPr>
            <w:rStyle w:val="Hyperlink"/>
            <w:lang w:val="en-GB"/>
          </w:rPr>
          <w:t>https://doi.org/10.17758/EARES4.EAP1118249</w:t>
        </w:r>
      </w:hyperlink>
      <w:r w:rsidRPr="00464FA9">
        <w:rPr>
          <w:lang w:val="en-GB"/>
        </w:rPr>
        <w:t xml:space="preserve">. </w:t>
      </w:r>
    </w:p>
    <w:p w14:paraId="28C2985A" w14:textId="77777777" w:rsidR="00BF5FE3" w:rsidRPr="00464FA9" w:rsidRDefault="00BF5FE3" w:rsidP="003C5E5C">
      <w:pPr>
        <w:pStyle w:val="CETBodytext"/>
        <w:rPr>
          <w:lang w:val="en-GB"/>
        </w:rPr>
      </w:pPr>
    </w:p>
    <w:p w14:paraId="15F996E7" w14:textId="51EC774A" w:rsidR="003C5E5C" w:rsidRPr="00464FA9" w:rsidRDefault="003C5E5C" w:rsidP="003C5E5C">
      <w:pPr>
        <w:pStyle w:val="CETBodytext"/>
        <w:rPr>
          <w:lang w:val="en-GB"/>
        </w:rPr>
      </w:pPr>
      <w:r w:rsidRPr="00464FA9">
        <w:rPr>
          <w:lang w:val="en-GB"/>
        </w:rPr>
        <w:t xml:space="preserve">Taipei Times, 2024, Turkish Apple Juice Seized at the Border, &lt;https://www.taipeitimes.com/News/taiwan/archives/2024/01/04/2003811604 accessed </w:t>
      </w:r>
      <w:r w:rsidR="00B31FF6">
        <w:rPr>
          <w:lang w:val="en-GB"/>
        </w:rPr>
        <w:t>15.03.2025</w:t>
      </w:r>
    </w:p>
    <w:p w14:paraId="231EE174" w14:textId="7D9EDC25" w:rsidR="003C5E5C" w:rsidRPr="00464FA9" w:rsidRDefault="003C5E5C" w:rsidP="003C5E5C">
      <w:pPr>
        <w:pStyle w:val="CETBodytext"/>
        <w:rPr>
          <w:lang w:val="en-GB"/>
        </w:rPr>
      </w:pPr>
      <w:r w:rsidRPr="00464FA9">
        <w:rPr>
          <w:lang w:val="en-GB"/>
        </w:rPr>
        <w:t xml:space="preserve">World Health Organization, 2023, Mycotoxins, https://www.who.int/news-room/fact-sheets/detail/mycotoxins, accessed </w:t>
      </w:r>
      <w:r w:rsidR="00AE33DF" w:rsidRPr="00464FA9">
        <w:rPr>
          <w:lang w:val="en-GB"/>
        </w:rPr>
        <w:t>15.03.2025.</w:t>
      </w:r>
    </w:p>
    <w:p w14:paraId="0753F223" w14:textId="77777777" w:rsidR="00BF5FE3" w:rsidRPr="00464FA9" w:rsidRDefault="00BF5FE3" w:rsidP="00BF5FE3">
      <w:pPr>
        <w:pStyle w:val="CETBodytext"/>
        <w:rPr>
          <w:lang w:val="en-GB"/>
        </w:rPr>
      </w:pPr>
    </w:p>
    <w:p w14:paraId="3A7CEE2D" w14:textId="5270794B" w:rsidR="00BF5FE3" w:rsidRPr="00464FA9" w:rsidRDefault="00BF5FE3" w:rsidP="00BF5FE3">
      <w:pPr>
        <w:pStyle w:val="CETBodytext"/>
        <w:rPr>
          <w:lang w:val="en-GB"/>
        </w:rPr>
      </w:pPr>
      <w:r w:rsidRPr="00464FA9">
        <w:rPr>
          <w:lang w:val="en-GB"/>
        </w:rPr>
        <w:t xml:space="preserve">SGS </w:t>
      </w:r>
      <w:proofErr w:type="spellStart"/>
      <w:r w:rsidRPr="00464FA9">
        <w:rPr>
          <w:lang w:val="en-GB"/>
        </w:rPr>
        <w:t>Digicomply</w:t>
      </w:r>
      <w:proofErr w:type="spellEnd"/>
      <w:r w:rsidRPr="00464FA9">
        <w:rPr>
          <w:lang w:val="en-GB"/>
        </w:rPr>
        <w:t xml:space="preserve">, 2025, Patulin-related Contaminants have been Detected in Apple Juice Products. https://www.digicomply.com/food-safety-incidents/patulin-related-contaminants-has-been-detected-in-apple-juice-products accessed </w:t>
      </w:r>
      <w:r w:rsidR="00AE33DF" w:rsidRPr="00464FA9">
        <w:rPr>
          <w:lang w:val="en-GB"/>
        </w:rPr>
        <w:t>15.03.2025.</w:t>
      </w:r>
    </w:p>
    <w:p w14:paraId="1B1B7493" w14:textId="77777777" w:rsidR="00BF5FE3" w:rsidRPr="00464FA9" w:rsidRDefault="00BF5FE3" w:rsidP="003C5E5C">
      <w:pPr>
        <w:pStyle w:val="CETBodytext"/>
        <w:rPr>
          <w:lang w:val="en-GB"/>
        </w:rPr>
      </w:pPr>
    </w:p>
    <w:p w14:paraId="19C4FC68" w14:textId="1E4F5A5E" w:rsidR="004628D2" w:rsidRPr="00FF1496" w:rsidRDefault="003C5E5C" w:rsidP="009B2562">
      <w:pPr>
        <w:pStyle w:val="CETBodytext"/>
        <w:rPr>
          <w:lang w:val="en-GB"/>
        </w:rPr>
      </w:pPr>
      <w:proofErr w:type="spellStart"/>
      <w:r w:rsidRPr="00464FA9">
        <w:rPr>
          <w:lang w:val="en-GB"/>
        </w:rPr>
        <w:t>Silwana</w:t>
      </w:r>
      <w:proofErr w:type="spellEnd"/>
      <w:r w:rsidRPr="00464FA9">
        <w:rPr>
          <w:lang w:val="en-GB"/>
        </w:rPr>
        <w:t xml:space="preserve">, N., Calderón, B., Ntwampe, S.K.O., </w:t>
      </w:r>
      <w:proofErr w:type="spellStart"/>
      <w:r w:rsidRPr="00464FA9">
        <w:rPr>
          <w:lang w:val="en-GB"/>
        </w:rPr>
        <w:t>Fullana</w:t>
      </w:r>
      <w:proofErr w:type="spellEnd"/>
      <w:r w:rsidRPr="00464FA9">
        <w:rPr>
          <w:lang w:val="en-GB"/>
        </w:rPr>
        <w:t>, A., 2020, Heterogeneous Fenton Degradation of Patulin in Apple Juice Using Carbon-Encapsulated Nano Zero-Valent Iron (CE-</w:t>
      </w:r>
      <w:proofErr w:type="spellStart"/>
      <w:r w:rsidRPr="00464FA9">
        <w:rPr>
          <w:lang w:val="en-GB"/>
        </w:rPr>
        <w:t>nZVI</w:t>
      </w:r>
      <w:proofErr w:type="spellEnd"/>
      <w:r w:rsidRPr="00464FA9">
        <w:rPr>
          <w:lang w:val="en-GB"/>
        </w:rPr>
        <w:t xml:space="preserve">). Foods 2020, 9, 674. </w:t>
      </w:r>
      <w:hyperlink r:id="rId21" w:history="1">
        <w:r w:rsidR="0020436A" w:rsidRPr="00464FA9">
          <w:rPr>
            <w:rStyle w:val="Hyperlink"/>
            <w:lang w:val="en-GB"/>
          </w:rPr>
          <w:t>https://doi.org/10.3390/foods9050674</w:t>
        </w:r>
      </w:hyperlink>
      <w:r w:rsidRPr="00464FA9">
        <w:rPr>
          <w:lang w:val="en-GB"/>
        </w:rPr>
        <w:t xml:space="preserve">. </w:t>
      </w:r>
    </w:p>
    <w:sectPr w:rsidR="004628D2" w:rsidRPr="00FF149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5D35" w14:textId="77777777" w:rsidR="00C57FAB" w:rsidRDefault="00C57FAB" w:rsidP="004F5E36">
      <w:r>
        <w:separator/>
      </w:r>
    </w:p>
  </w:endnote>
  <w:endnote w:type="continuationSeparator" w:id="0">
    <w:p w14:paraId="58C759F5" w14:textId="77777777" w:rsidR="00C57FAB" w:rsidRDefault="00C57FA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86DA" w14:textId="77777777" w:rsidR="00C57FAB" w:rsidRDefault="00C57FAB" w:rsidP="004F5E36">
      <w:r>
        <w:separator/>
      </w:r>
    </w:p>
  </w:footnote>
  <w:footnote w:type="continuationSeparator" w:id="0">
    <w:p w14:paraId="653CC9BC" w14:textId="77777777" w:rsidR="00C57FAB" w:rsidRDefault="00C57FA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09FD"/>
    <w:rsid w:val="000117CB"/>
    <w:rsid w:val="0003148D"/>
    <w:rsid w:val="00031EEC"/>
    <w:rsid w:val="000327F0"/>
    <w:rsid w:val="00051566"/>
    <w:rsid w:val="000562A9"/>
    <w:rsid w:val="00062A9A"/>
    <w:rsid w:val="00065058"/>
    <w:rsid w:val="00086C39"/>
    <w:rsid w:val="000A03B2"/>
    <w:rsid w:val="000A0DB2"/>
    <w:rsid w:val="000D0268"/>
    <w:rsid w:val="000D34BE"/>
    <w:rsid w:val="000E0B3C"/>
    <w:rsid w:val="000E102F"/>
    <w:rsid w:val="000E323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545A3"/>
    <w:rsid w:val="00164CF9"/>
    <w:rsid w:val="001667A6"/>
    <w:rsid w:val="0018171E"/>
    <w:rsid w:val="00184AD6"/>
    <w:rsid w:val="001A4AF7"/>
    <w:rsid w:val="001B0349"/>
    <w:rsid w:val="001B1E93"/>
    <w:rsid w:val="001B65C1"/>
    <w:rsid w:val="001C260F"/>
    <w:rsid w:val="001C5C3A"/>
    <w:rsid w:val="001C684B"/>
    <w:rsid w:val="001D0CFB"/>
    <w:rsid w:val="001D21AF"/>
    <w:rsid w:val="001D53FC"/>
    <w:rsid w:val="001F42A5"/>
    <w:rsid w:val="001F7B9D"/>
    <w:rsid w:val="00201C93"/>
    <w:rsid w:val="0020436A"/>
    <w:rsid w:val="00215F6E"/>
    <w:rsid w:val="002224B4"/>
    <w:rsid w:val="00231051"/>
    <w:rsid w:val="002447EF"/>
    <w:rsid w:val="00251550"/>
    <w:rsid w:val="00252B5C"/>
    <w:rsid w:val="00263B05"/>
    <w:rsid w:val="0027221A"/>
    <w:rsid w:val="00275B61"/>
    <w:rsid w:val="00280FAF"/>
    <w:rsid w:val="00282656"/>
    <w:rsid w:val="00296B83"/>
    <w:rsid w:val="002B4015"/>
    <w:rsid w:val="002B78CE"/>
    <w:rsid w:val="002C2FB6"/>
    <w:rsid w:val="002D732F"/>
    <w:rsid w:val="002E5FA7"/>
    <w:rsid w:val="002F3309"/>
    <w:rsid w:val="003008CE"/>
    <w:rsid w:val="003009B7"/>
    <w:rsid w:val="00300E56"/>
    <w:rsid w:val="0030152C"/>
    <w:rsid w:val="0030469C"/>
    <w:rsid w:val="00321CA6"/>
    <w:rsid w:val="00323763"/>
    <w:rsid w:val="00323C5F"/>
    <w:rsid w:val="00333A6C"/>
    <w:rsid w:val="00334C09"/>
    <w:rsid w:val="0036066F"/>
    <w:rsid w:val="003723D4"/>
    <w:rsid w:val="00381905"/>
    <w:rsid w:val="00384CC8"/>
    <w:rsid w:val="003871FD"/>
    <w:rsid w:val="003904D3"/>
    <w:rsid w:val="003A1E30"/>
    <w:rsid w:val="003A2829"/>
    <w:rsid w:val="003A6EA2"/>
    <w:rsid w:val="003A7D1C"/>
    <w:rsid w:val="003B1D06"/>
    <w:rsid w:val="003B304B"/>
    <w:rsid w:val="003B3146"/>
    <w:rsid w:val="003B49CD"/>
    <w:rsid w:val="003C5E5C"/>
    <w:rsid w:val="003D1E02"/>
    <w:rsid w:val="003F015E"/>
    <w:rsid w:val="00400414"/>
    <w:rsid w:val="00410B8D"/>
    <w:rsid w:val="0041446B"/>
    <w:rsid w:val="0044071E"/>
    <w:rsid w:val="0044329C"/>
    <w:rsid w:val="00453E24"/>
    <w:rsid w:val="00457456"/>
    <w:rsid w:val="004577FE"/>
    <w:rsid w:val="00457B9C"/>
    <w:rsid w:val="0046164A"/>
    <w:rsid w:val="004628D2"/>
    <w:rsid w:val="00462DCD"/>
    <w:rsid w:val="004648AD"/>
    <w:rsid w:val="00464FA9"/>
    <w:rsid w:val="004703A9"/>
    <w:rsid w:val="004760DE"/>
    <w:rsid w:val="004763D7"/>
    <w:rsid w:val="004A004E"/>
    <w:rsid w:val="004A24CF"/>
    <w:rsid w:val="004C3D1D"/>
    <w:rsid w:val="004C3D84"/>
    <w:rsid w:val="004C7913"/>
    <w:rsid w:val="004E2B84"/>
    <w:rsid w:val="004E4DD6"/>
    <w:rsid w:val="004F5E36"/>
    <w:rsid w:val="00507B47"/>
    <w:rsid w:val="00507BEF"/>
    <w:rsid w:val="00507CC9"/>
    <w:rsid w:val="005107EC"/>
    <w:rsid w:val="005119A5"/>
    <w:rsid w:val="00521917"/>
    <w:rsid w:val="005278B7"/>
    <w:rsid w:val="00532016"/>
    <w:rsid w:val="005346C8"/>
    <w:rsid w:val="00543E7D"/>
    <w:rsid w:val="00547A68"/>
    <w:rsid w:val="005531C9"/>
    <w:rsid w:val="00554879"/>
    <w:rsid w:val="00570C43"/>
    <w:rsid w:val="005849C0"/>
    <w:rsid w:val="00592274"/>
    <w:rsid w:val="005B2110"/>
    <w:rsid w:val="005B350B"/>
    <w:rsid w:val="005B61E6"/>
    <w:rsid w:val="005C77E1"/>
    <w:rsid w:val="005D668A"/>
    <w:rsid w:val="005D6A2F"/>
    <w:rsid w:val="005E0592"/>
    <w:rsid w:val="005E1A82"/>
    <w:rsid w:val="005E29D9"/>
    <w:rsid w:val="005E794C"/>
    <w:rsid w:val="005F0A28"/>
    <w:rsid w:val="005F0E5E"/>
    <w:rsid w:val="00600535"/>
    <w:rsid w:val="00610CD6"/>
    <w:rsid w:val="00620DEE"/>
    <w:rsid w:val="00621F92"/>
    <w:rsid w:val="0062280A"/>
    <w:rsid w:val="006231E1"/>
    <w:rsid w:val="00625639"/>
    <w:rsid w:val="00631B33"/>
    <w:rsid w:val="0064184D"/>
    <w:rsid w:val="006422CC"/>
    <w:rsid w:val="0064232B"/>
    <w:rsid w:val="00651D18"/>
    <w:rsid w:val="00652242"/>
    <w:rsid w:val="00660E3E"/>
    <w:rsid w:val="00662E74"/>
    <w:rsid w:val="00680C23"/>
    <w:rsid w:val="00683E23"/>
    <w:rsid w:val="00686634"/>
    <w:rsid w:val="00693766"/>
    <w:rsid w:val="006A3281"/>
    <w:rsid w:val="006A66BC"/>
    <w:rsid w:val="006A6DE5"/>
    <w:rsid w:val="006B4888"/>
    <w:rsid w:val="006C2E45"/>
    <w:rsid w:val="006C359C"/>
    <w:rsid w:val="006C5579"/>
    <w:rsid w:val="006D6E8B"/>
    <w:rsid w:val="006D7209"/>
    <w:rsid w:val="006D756E"/>
    <w:rsid w:val="006E737D"/>
    <w:rsid w:val="00707DD1"/>
    <w:rsid w:val="0071011F"/>
    <w:rsid w:val="00713973"/>
    <w:rsid w:val="00714D49"/>
    <w:rsid w:val="00720A24"/>
    <w:rsid w:val="00727DDD"/>
    <w:rsid w:val="00732386"/>
    <w:rsid w:val="0073514D"/>
    <w:rsid w:val="007447F3"/>
    <w:rsid w:val="0075499F"/>
    <w:rsid w:val="007661C8"/>
    <w:rsid w:val="0077098D"/>
    <w:rsid w:val="00785BF9"/>
    <w:rsid w:val="007931FA"/>
    <w:rsid w:val="007A4861"/>
    <w:rsid w:val="007A7BBA"/>
    <w:rsid w:val="007B0C50"/>
    <w:rsid w:val="007B48F9"/>
    <w:rsid w:val="007C1A43"/>
    <w:rsid w:val="007C2C04"/>
    <w:rsid w:val="007D0951"/>
    <w:rsid w:val="007D610D"/>
    <w:rsid w:val="0080013E"/>
    <w:rsid w:val="00801759"/>
    <w:rsid w:val="00813288"/>
    <w:rsid w:val="008168FC"/>
    <w:rsid w:val="00830996"/>
    <w:rsid w:val="008345F1"/>
    <w:rsid w:val="00844D33"/>
    <w:rsid w:val="00865B07"/>
    <w:rsid w:val="008667EA"/>
    <w:rsid w:val="0087637F"/>
    <w:rsid w:val="008832AA"/>
    <w:rsid w:val="00892AD5"/>
    <w:rsid w:val="008A1512"/>
    <w:rsid w:val="008D32B9"/>
    <w:rsid w:val="008D433B"/>
    <w:rsid w:val="008D4A16"/>
    <w:rsid w:val="008E5401"/>
    <w:rsid w:val="008E566E"/>
    <w:rsid w:val="008F2D68"/>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57F08"/>
    <w:rsid w:val="00963E05"/>
    <w:rsid w:val="00964A45"/>
    <w:rsid w:val="00967843"/>
    <w:rsid w:val="00967D54"/>
    <w:rsid w:val="00971028"/>
    <w:rsid w:val="00993B84"/>
    <w:rsid w:val="00994C6A"/>
    <w:rsid w:val="00996483"/>
    <w:rsid w:val="00996F5A"/>
    <w:rsid w:val="009B041A"/>
    <w:rsid w:val="009B2562"/>
    <w:rsid w:val="009C37C3"/>
    <w:rsid w:val="009C7C86"/>
    <w:rsid w:val="009D2FF7"/>
    <w:rsid w:val="009E7884"/>
    <w:rsid w:val="009E788A"/>
    <w:rsid w:val="009F0E08"/>
    <w:rsid w:val="00A079AE"/>
    <w:rsid w:val="00A1763D"/>
    <w:rsid w:val="00A17CEC"/>
    <w:rsid w:val="00A21F29"/>
    <w:rsid w:val="00A27EF0"/>
    <w:rsid w:val="00A310C7"/>
    <w:rsid w:val="00A42361"/>
    <w:rsid w:val="00A50B20"/>
    <w:rsid w:val="00A51390"/>
    <w:rsid w:val="00A51BC9"/>
    <w:rsid w:val="00A60D13"/>
    <w:rsid w:val="00A7223D"/>
    <w:rsid w:val="00A72745"/>
    <w:rsid w:val="00A76EFC"/>
    <w:rsid w:val="00A87D50"/>
    <w:rsid w:val="00A91010"/>
    <w:rsid w:val="00A97F29"/>
    <w:rsid w:val="00AA702E"/>
    <w:rsid w:val="00AA7D26"/>
    <w:rsid w:val="00AB0964"/>
    <w:rsid w:val="00AB5011"/>
    <w:rsid w:val="00AC7368"/>
    <w:rsid w:val="00AD16B9"/>
    <w:rsid w:val="00AE15A5"/>
    <w:rsid w:val="00AE33DF"/>
    <w:rsid w:val="00AE377D"/>
    <w:rsid w:val="00AF0EBA"/>
    <w:rsid w:val="00AF2463"/>
    <w:rsid w:val="00B02C8A"/>
    <w:rsid w:val="00B17FBD"/>
    <w:rsid w:val="00B27970"/>
    <w:rsid w:val="00B315A6"/>
    <w:rsid w:val="00B31813"/>
    <w:rsid w:val="00B31FF6"/>
    <w:rsid w:val="00B33365"/>
    <w:rsid w:val="00B370E6"/>
    <w:rsid w:val="00B57B36"/>
    <w:rsid w:val="00B57E6F"/>
    <w:rsid w:val="00B8686D"/>
    <w:rsid w:val="00B93F69"/>
    <w:rsid w:val="00BA72DB"/>
    <w:rsid w:val="00BB1DDC"/>
    <w:rsid w:val="00BC30C9"/>
    <w:rsid w:val="00BC3C48"/>
    <w:rsid w:val="00BD077D"/>
    <w:rsid w:val="00BE3E58"/>
    <w:rsid w:val="00BE44E0"/>
    <w:rsid w:val="00BF13CE"/>
    <w:rsid w:val="00BF5FE3"/>
    <w:rsid w:val="00C01616"/>
    <w:rsid w:val="00C0162B"/>
    <w:rsid w:val="00C068ED"/>
    <w:rsid w:val="00C177C3"/>
    <w:rsid w:val="00C22E0C"/>
    <w:rsid w:val="00C32C7D"/>
    <w:rsid w:val="00C345B1"/>
    <w:rsid w:val="00C40142"/>
    <w:rsid w:val="00C475AC"/>
    <w:rsid w:val="00C52C3C"/>
    <w:rsid w:val="00C57182"/>
    <w:rsid w:val="00C57863"/>
    <w:rsid w:val="00C57FAB"/>
    <w:rsid w:val="00C640AF"/>
    <w:rsid w:val="00C655FD"/>
    <w:rsid w:val="00C75407"/>
    <w:rsid w:val="00C81E7D"/>
    <w:rsid w:val="00C841C6"/>
    <w:rsid w:val="00C870A8"/>
    <w:rsid w:val="00C94434"/>
    <w:rsid w:val="00CA0D75"/>
    <w:rsid w:val="00CA1C95"/>
    <w:rsid w:val="00CA56FF"/>
    <w:rsid w:val="00CA5A9C"/>
    <w:rsid w:val="00CC4C20"/>
    <w:rsid w:val="00CD0668"/>
    <w:rsid w:val="00CD1D9C"/>
    <w:rsid w:val="00CD3517"/>
    <w:rsid w:val="00CD5FE2"/>
    <w:rsid w:val="00CE1AE2"/>
    <w:rsid w:val="00CE7C68"/>
    <w:rsid w:val="00D02B4C"/>
    <w:rsid w:val="00D040C4"/>
    <w:rsid w:val="00D04F32"/>
    <w:rsid w:val="00D20AD1"/>
    <w:rsid w:val="00D2582C"/>
    <w:rsid w:val="00D46B7E"/>
    <w:rsid w:val="00D47A0C"/>
    <w:rsid w:val="00D55FF9"/>
    <w:rsid w:val="00D57C84"/>
    <w:rsid w:val="00D6057D"/>
    <w:rsid w:val="00D653E4"/>
    <w:rsid w:val="00D71640"/>
    <w:rsid w:val="00D73FD9"/>
    <w:rsid w:val="00D836C5"/>
    <w:rsid w:val="00D84576"/>
    <w:rsid w:val="00DA1399"/>
    <w:rsid w:val="00DA1CF8"/>
    <w:rsid w:val="00DA24C6"/>
    <w:rsid w:val="00DA4D7B"/>
    <w:rsid w:val="00DC2840"/>
    <w:rsid w:val="00DC73EE"/>
    <w:rsid w:val="00DD271C"/>
    <w:rsid w:val="00DE264A"/>
    <w:rsid w:val="00DF5072"/>
    <w:rsid w:val="00DF7C50"/>
    <w:rsid w:val="00E02D18"/>
    <w:rsid w:val="00E041E7"/>
    <w:rsid w:val="00E074A2"/>
    <w:rsid w:val="00E23CA1"/>
    <w:rsid w:val="00E409A8"/>
    <w:rsid w:val="00E46A1A"/>
    <w:rsid w:val="00E50C12"/>
    <w:rsid w:val="00E65B91"/>
    <w:rsid w:val="00E7209D"/>
    <w:rsid w:val="00E72EAD"/>
    <w:rsid w:val="00E77223"/>
    <w:rsid w:val="00E8528B"/>
    <w:rsid w:val="00E85B94"/>
    <w:rsid w:val="00E978D0"/>
    <w:rsid w:val="00EA4613"/>
    <w:rsid w:val="00EA7F91"/>
    <w:rsid w:val="00EB1523"/>
    <w:rsid w:val="00EC0A72"/>
    <w:rsid w:val="00EC0E49"/>
    <w:rsid w:val="00EC101F"/>
    <w:rsid w:val="00EC1D9F"/>
    <w:rsid w:val="00EE0131"/>
    <w:rsid w:val="00EE17B0"/>
    <w:rsid w:val="00EF06D9"/>
    <w:rsid w:val="00F3049E"/>
    <w:rsid w:val="00F308B4"/>
    <w:rsid w:val="00F30C64"/>
    <w:rsid w:val="00F32BA2"/>
    <w:rsid w:val="00F32CDB"/>
    <w:rsid w:val="00F35948"/>
    <w:rsid w:val="00F41EE4"/>
    <w:rsid w:val="00F565FE"/>
    <w:rsid w:val="00F63A70"/>
    <w:rsid w:val="00F63D8C"/>
    <w:rsid w:val="00F7534E"/>
    <w:rsid w:val="00F93D3A"/>
    <w:rsid w:val="00F93EDF"/>
    <w:rsid w:val="00FA1802"/>
    <w:rsid w:val="00FA21D0"/>
    <w:rsid w:val="00FA4B4D"/>
    <w:rsid w:val="00FA5F5F"/>
    <w:rsid w:val="00FB730C"/>
    <w:rsid w:val="00FC2695"/>
    <w:rsid w:val="00FC3E03"/>
    <w:rsid w:val="00FC3FC1"/>
    <w:rsid w:val="00FF149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LineNumber">
    <w:name w:val="line number"/>
    <w:basedOn w:val="DefaultParagraphFont"/>
    <w:uiPriority w:val="99"/>
    <w:semiHidden/>
    <w:unhideWhenUsed/>
    <w:rsid w:val="00957F08"/>
  </w:style>
  <w:style w:type="character" w:styleId="UnresolvedMention">
    <w:name w:val="Unresolved Mention"/>
    <w:basedOn w:val="DefaultParagraphFont"/>
    <w:uiPriority w:val="99"/>
    <w:semiHidden/>
    <w:unhideWhenUsed/>
    <w:rsid w:val="003C5E5C"/>
    <w:rPr>
      <w:color w:val="605E5C"/>
      <w:shd w:val="clear" w:color="auto" w:fill="E1DFDD"/>
    </w:rPr>
  </w:style>
  <w:style w:type="paragraph" w:styleId="Revision">
    <w:name w:val="Revision"/>
    <w:hidden/>
    <w:uiPriority w:val="99"/>
    <w:semiHidden/>
    <w:rsid w:val="006A66B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doi.org/10.1016/j.foodcont.2022.108996" TargetMode="External"/><Relationship Id="rId3" Type="http://schemas.openxmlformats.org/officeDocument/2006/relationships/styles" Target="styles.xml"/><Relationship Id="rId21" Type="http://schemas.openxmlformats.org/officeDocument/2006/relationships/hyperlink" Target="https://doi.org/10.3390/foods905067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16/B978-0-12-811515-2.00013-5" TargetMode="External"/><Relationship Id="rId2" Type="http://schemas.openxmlformats.org/officeDocument/2006/relationships/numbering" Target="numbering.xml"/><Relationship Id="rId16" Type="http://schemas.openxmlformats.org/officeDocument/2006/relationships/hyperlink" Target="https://doi.org/10.1016/j.foodres.2014.09.006" TargetMode="External"/><Relationship Id="rId20" Type="http://schemas.openxmlformats.org/officeDocument/2006/relationships/hyperlink" Target="https://doi.org/10.17758/EARES4.EAP1118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16/j.lwt.2020.110726"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1002/jssc.20160100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07/s11694-018-9815-3"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2032</Words>
  <Characters>13942</Characters>
  <Application>Microsoft Office Word</Application>
  <DocSecurity>0</DocSecurity>
  <Lines>309</Lines>
  <Paragraphs>147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Seteno Ntwampe</cp:lastModifiedBy>
  <cp:revision>3</cp:revision>
  <cp:lastPrinted>2015-05-12T18:31:00Z</cp:lastPrinted>
  <dcterms:created xsi:type="dcterms:W3CDTF">2025-05-12T10:51:00Z</dcterms:created>
  <dcterms:modified xsi:type="dcterms:W3CDTF">2025-05-12T11:14:00Z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7d0ae17f4c66d4b42e556ea43a4474b14f9e91bccdae042035ff75dcd8decb8f</vt:lpwstr>
  </property>
</Properties>
</file>