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8AD9D9C" w:rsidR="00E978D0" w:rsidRPr="00B57B36" w:rsidRDefault="00600535" w:rsidP="00E978D0">
      <w:pPr>
        <w:pStyle w:val="CETTitle"/>
      </w:pPr>
      <w:r w:rsidRPr="00B57B36">
        <w:t xml:space="preserve"> </w:t>
      </w:r>
      <w:r w:rsidR="00512F87">
        <w:t xml:space="preserve">Leveraging Untreated </w:t>
      </w:r>
      <w:r w:rsidR="00F918F4">
        <w:t>Mining Influenced Water</w:t>
      </w:r>
      <w:r w:rsidR="00512F87">
        <w:t xml:space="preserve"> Sludge (</w:t>
      </w:r>
      <w:r w:rsidR="00F918F4">
        <w:t>MI</w:t>
      </w:r>
      <w:r w:rsidR="00512F87">
        <w:t xml:space="preserve">WS) for </w:t>
      </w:r>
      <w:r w:rsidR="00993196">
        <w:t>the Adsorption of Co(II) from Aqueous Solutions</w:t>
      </w:r>
    </w:p>
    <w:p w14:paraId="0488FED2" w14:textId="7B46673E" w:rsidR="00B57E6F" w:rsidRPr="00B57B36" w:rsidRDefault="00993196" w:rsidP="00B57E6F">
      <w:pPr>
        <w:pStyle w:val="CETAuthors"/>
      </w:pPr>
      <w:r>
        <w:t>Nokuthula</w:t>
      </w:r>
      <w:r w:rsidRPr="00B57B36">
        <w:t xml:space="preserve"> </w:t>
      </w:r>
      <w:r>
        <w:t>N</w:t>
      </w:r>
      <w:r w:rsidRPr="00B57B36">
        <w:t xml:space="preserve">. </w:t>
      </w:r>
      <w:r>
        <w:t>Nchabeleng</w:t>
      </w:r>
      <w:r w:rsidR="00B57E6F" w:rsidRPr="00B57B36">
        <w:rPr>
          <w:vertAlign w:val="superscript"/>
        </w:rPr>
        <w:t>a</w:t>
      </w:r>
      <w:r w:rsidR="00B57E6F" w:rsidRPr="00B57B36">
        <w:t>,</w:t>
      </w:r>
      <w:r>
        <w:t xml:space="preserve"> Hlulani A. Makhubele</w:t>
      </w:r>
      <w:r w:rsidRPr="00B57B36">
        <w:rPr>
          <w:vertAlign w:val="superscript"/>
        </w:rPr>
        <w:t>a</w:t>
      </w:r>
      <w:r>
        <w:t>, Caragh M. Jensen</w:t>
      </w:r>
      <w:r w:rsidRPr="00B57B36">
        <w:rPr>
          <w:vertAlign w:val="superscript"/>
        </w:rPr>
        <w:t>a</w:t>
      </w:r>
      <w:r>
        <w:t>, Evans M.N. Chirwa</w:t>
      </w:r>
      <w:r w:rsidRPr="00B57B36">
        <w:rPr>
          <w:vertAlign w:val="superscript"/>
        </w:rPr>
        <w:t>a</w:t>
      </w:r>
      <w:r>
        <w:t>, Hendrik G. Brink</w:t>
      </w:r>
      <w:r>
        <w:rPr>
          <w:vertAlign w:val="superscript"/>
        </w:rPr>
        <w:t>a</w:t>
      </w:r>
      <w:r w:rsidR="00B57E6F" w:rsidRPr="00B57B36">
        <w:rPr>
          <w:vertAlign w:val="superscript"/>
        </w:rPr>
        <w:t>,</w:t>
      </w:r>
      <w:r w:rsidR="00B57E6F" w:rsidRPr="00B57B36">
        <w:t>*</w:t>
      </w:r>
    </w:p>
    <w:p w14:paraId="3D72B0B0" w14:textId="6205AC59" w:rsidR="00B57E6F" w:rsidRPr="009A27C1" w:rsidRDefault="00B57E6F" w:rsidP="00B57E6F">
      <w:pPr>
        <w:pStyle w:val="CETAddress"/>
      </w:pPr>
      <w:r w:rsidRPr="00B57B36">
        <w:rPr>
          <w:vertAlign w:val="superscript"/>
        </w:rPr>
        <w:t>a</w:t>
      </w:r>
      <w:r w:rsidR="009A27C1" w:rsidRPr="00C41878">
        <w:rPr>
          <w:bCs/>
          <w:color w:val="000000" w:themeColor="text1"/>
        </w:rPr>
        <w:t>Department of Chemical Engineering, University of Pretoria, Pretoria 0002, South Africa</w:t>
      </w:r>
    </w:p>
    <w:p w14:paraId="73F1267A" w14:textId="3E012744" w:rsidR="00B57E6F" w:rsidRPr="00B57B36" w:rsidRDefault="00B57E6F" w:rsidP="00B57E6F">
      <w:pPr>
        <w:pStyle w:val="CETemail"/>
      </w:pPr>
      <w:r>
        <w:t xml:space="preserve"> </w:t>
      </w:r>
      <w:r w:rsidR="00993196">
        <w:t>deon.brink@up.ac.za</w:t>
      </w:r>
    </w:p>
    <w:p w14:paraId="21B1B0F3" w14:textId="74FC39CE" w:rsidR="002F0887" w:rsidRPr="00EE7F9B" w:rsidRDefault="00B14160" w:rsidP="002F0887">
      <w:pPr>
        <w:pStyle w:val="CETBodytext"/>
      </w:pPr>
      <w:r w:rsidRPr="00B14160">
        <w:t xml:space="preserve">The transition towards net-zero carbon and renewable energy </w:t>
      </w:r>
      <w:r w:rsidR="00EE7F9B">
        <w:t>necessitates</w:t>
      </w:r>
      <w:r w:rsidRPr="00B14160">
        <w:t xml:space="preserve"> sustainable </w:t>
      </w:r>
      <w:r w:rsidR="00EE7F9B">
        <w:t xml:space="preserve">and cost-effective </w:t>
      </w:r>
      <w:r w:rsidRPr="00B14160">
        <w:t xml:space="preserve">solutions for wastewater treatment. </w:t>
      </w:r>
      <w:r w:rsidR="00EE7F9B" w:rsidRPr="00EE7F9B">
        <w:t>Heavy metal contamination, particularly Co(II), poses a significant environmental and health threat due to its persistence, bioaccumulation potential and toxicity. Addressing this challenge requires innovative approaches that align with circular economy principles.</w:t>
      </w:r>
      <w:r w:rsidRPr="00B14160">
        <w:t xml:space="preserve"> This study </w:t>
      </w:r>
      <w:r w:rsidR="00EE7F9B">
        <w:t>investigates</w:t>
      </w:r>
      <w:r w:rsidRPr="00B14160">
        <w:t xml:space="preserve"> the potential of </w:t>
      </w:r>
      <w:r w:rsidR="00A408B9">
        <w:t>mining influenced water sludge</w:t>
      </w:r>
      <w:r w:rsidRPr="00B14160">
        <w:t xml:space="preserve"> (</w:t>
      </w:r>
      <w:r w:rsidR="00F918F4">
        <w:t>MIWS</w:t>
      </w:r>
      <w:r w:rsidRPr="00B14160">
        <w:t>) as an innovative, low-cost adsorbent for Co(II) removal</w:t>
      </w:r>
      <w:r w:rsidR="00EE7F9B">
        <w:t xml:space="preserve">, </w:t>
      </w:r>
      <w:r w:rsidR="00EE7F9B" w:rsidRPr="00EE7F9B">
        <w:t>transforming a mining waste into a valuable resource for water purification</w:t>
      </w:r>
      <w:r w:rsidRPr="00B14160">
        <w:t>.</w:t>
      </w:r>
      <w:r w:rsidR="002F0887">
        <w:t xml:space="preserve"> </w:t>
      </w:r>
      <w:r w:rsidRPr="00B14160">
        <w:t xml:space="preserve">Batch </w:t>
      </w:r>
      <w:r w:rsidR="00EE7F9B">
        <w:t xml:space="preserve">adsorption </w:t>
      </w:r>
      <w:r w:rsidRPr="00B14160">
        <w:t xml:space="preserve">experiments were conducted to optimize </w:t>
      </w:r>
      <w:r w:rsidR="00EE7F9B">
        <w:t xml:space="preserve">key </w:t>
      </w:r>
      <w:r w:rsidRPr="00B14160">
        <w:t xml:space="preserve">adsorption parameters, including initial </w:t>
      </w:r>
      <w:r w:rsidR="00565080">
        <w:t>Co(II)</w:t>
      </w:r>
      <w:r w:rsidR="00EE7F9B">
        <w:t xml:space="preserve"> </w:t>
      </w:r>
      <w:r w:rsidRPr="00B14160">
        <w:t xml:space="preserve">concentration, </w:t>
      </w:r>
      <w:r w:rsidR="00EE7F9B">
        <w:t xml:space="preserve">solution </w:t>
      </w:r>
      <w:r w:rsidRPr="00B14160">
        <w:t xml:space="preserve">pH and adsorbent dosage. </w:t>
      </w:r>
      <w:r w:rsidR="00EE7F9B">
        <w:t>A kinetic profile generated under optimal conditions gave insight into the time-dependent behaviour of the system – revealing possible mass transfer effects</w:t>
      </w:r>
      <w:r w:rsidRPr="00B14160">
        <w:t>.</w:t>
      </w:r>
      <w:r w:rsidR="002F0887">
        <w:t xml:space="preserve"> </w:t>
      </w:r>
      <w:r w:rsidR="002F0887" w:rsidRPr="00EE7F9B">
        <w:t xml:space="preserve">SEM/EDX analyses confirmed the successful adsorption of Co(II) onto </w:t>
      </w:r>
      <w:r w:rsidR="00F918F4">
        <w:t>MIWS</w:t>
      </w:r>
      <w:r w:rsidR="002F0887" w:rsidRPr="00EE7F9B">
        <w:t xml:space="preserve"> and demonstrated the material's structural stability. The results indicate that </w:t>
      </w:r>
      <w:r w:rsidR="00F918F4">
        <w:t>MIWS</w:t>
      </w:r>
      <w:r w:rsidR="002F0887" w:rsidRPr="00EE7F9B">
        <w:t xml:space="preserve"> offers a sustainable alternative to conventional adsorbents, effectively reducing heavy metal pollution while repurposing mining waste. By integrating waste valorization into water treatment strategies, this approach not only minimizes environmental impacts but also contributes to the sustainable production of critical materials.</w:t>
      </w:r>
      <w:r w:rsidR="002F0887" w:rsidRPr="002F0887">
        <w:t xml:space="preserve"> </w:t>
      </w:r>
      <w:r w:rsidR="002F0887" w:rsidRPr="00EE7F9B">
        <w:t xml:space="preserve">These findings reinforce the viability of </w:t>
      </w:r>
      <w:r w:rsidR="00F918F4">
        <w:t>MIWS</w:t>
      </w:r>
      <w:r w:rsidR="002F0887" w:rsidRPr="00EE7F9B">
        <w:t xml:space="preserve"> as a scalable and environmentally responsible solution for heavy metal remediation. </w:t>
      </w:r>
    </w:p>
    <w:p w14:paraId="476B2F2E" w14:textId="52B36035" w:rsidR="00600535" w:rsidRDefault="00600535" w:rsidP="00600535">
      <w:pPr>
        <w:pStyle w:val="CETHeading1"/>
        <w:rPr>
          <w:lang w:val="en-GB"/>
        </w:rPr>
      </w:pPr>
      <w:r w:rsidRPr="00B57B36">
        <w:rPr>
          <w:lang w:val="en-GB"/>
        </w:rPr>
        <w:t>Introduction</w:t>
      </w:r>
    </w:p>
    <w:p w14:paraId="76D1EFC9" w14:textId="47E1E334" w:rsidR="00C21B20" w:rsidRPr="00C21B20" w:rsidRDefault="00C21B20" w:rsidP="00C21B20">
      <w:pPr>
        <w:pStyle w:val="CETBodytext"/>
        <w:rPr>
          <w:lang w:val="en-GB"/>
        </w:rPr>
      </w:pPr>
      <w:r w:rsidRPr="00C21B20">
        <w:rPr>
          <w:lang w:val="en-GB"/>
        </w:rPr>
        <w:t>The global drive toward a sustainable future necessitates efficient strategies for mitigating industrial pollution</w:t>
      </w:r>
      <w:r w:rsidR="00873097">
        <w:rPr>
          <w:lang w:val="en-GB"/>
        </w:rPr>
        <w:t xml:space="preserve"> </w:t>
      </w:r>
      <w:r w:rsidR="00873097">
        <w:rPr>
          <w:lang w:val="en-GB"/>
        </w:rPr>
        <w:fldChar w:fldCharType="begin">
          <w:fldData xml:space="preserve">PEVuZE5vdGU+PENpdGU+PEF1dGhvcj5DaG93ZGh1cnk8L0F1dGhvcj48WWVhcj4yMDIyPC9ZZWFy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</w:fldData>
        </w:fldChar>
      </w:r>
      <w:r w:rsidR="00873097">
        <w:rPr>
          <w:lang w:val="en-GB"/>
        </w:rPr>
        <w:instrText xml:space="preserve"> ADDIN EN.CITE </w:instrText>
      </w:r>
      <w:r w:rsidR="00873097">
        <w:rPr>
          <w:lang w:val="en-GB"/>
        </w:rPr>
        <w:fldChar w:fldCharType="begin">
          <w:fldData xml:space="preserve">PEVuZE5vdGU+PENpdGU+PEF1dGhvcj5DaG93ZGh1cnk8L0F1dGhvcj48WWVhcj4yMDIyPC9ZZWFy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</w:fldData>
        </w:fldChar>
      </w:r>
      <w:r w:rsidR="00873097">
        <w:rPr>
          <w:lang w:val="en-GB"/>
        </w:rPr>
        <w:instrText xml:space="preserve"> ADDIN EN.CITE.DATA </w:instrText>
      </w:r>
      <w:r w:rsidR="00873097">
        <w:rPr>
          <w:lang w:val="en-GB"/>
        </w:rPr>
      </w:r>
      <w:r w:rsidR="00873097">
        <w:rPr>
          <w:lang w:val="en-GB"/>
        </w:rPr>
        <w:fldChar w:fldCharType="end"/>
      </w:r>
      <w:r w:rsidR="00873097">
        <w:rPr>
          <w:lang w:val="en-GB"/>
        </w:rPr>
      </w:r>
      <w:r w:rsidR="00873097">
        <w:rPr>
          <w:lang w:val="en-GB"/>
        </w:rPr>
        <w:fldChar w:fldCharType="separate"/>
      </w:r>
      <w:r w:rsidR="00873097">
        <w:rPr>
          <w:noProof/>
          <w:lang w:val="en-GB"/>
        </w:rPr>
        <w:t>(Chowdhury et al., 2022)</w:t>
      </w:r>
      <w:r w:rsidR="00873097">
        <w:rPr>
          <w:lang w:val="en-GB"/>
        </w:rPr>
        <w:fldChar w:fldCharType="end"/>
      </w:r>
      <w:r w:rsidRPr="00C21B20">
        <w:rPr>
          <w:lang w:val="en-GB"/>
        </w:rPr>
        <w:t>. Cobalt(II) is released into the environment due to the occurrence of various anthropogenic activities. These include</w:t>
      </w:r>
      <w:r w:rsidR="004067A8">
        <w:rPr>
          <w:lang w:val="en-GB"/>
        </w:rPr>
        <w:t xml:space="preserve"> </w:t>
      </w:r>
      <w:r w:rsidRPr="00C21B20">
        <w:rPr>
          <w:lang w:val="en-GB"/>
        </w:rPr>
        <w:t xml:space="preserve">mining, battery manufacturing, and </w:t>
      </w:r>
      <w:r w:rsidR="00FE44F4">
        <w:rPr>
          <w:lang w:val="en-GB"/>
        </w:rPr>
        <w:t>other</w:t>
      </w:r>
      <w:r w:rsidRPr="00C21B20">
        <w:rPr>
          <w:lang w:val="en-GB"/>
        </w:rPr>
        <w:t xml:space="preserve"> industrial activities</w:t>
      </w:r>
      <w:r w:rsidR="00FE44F4">
        <w:rPr>
          <w:lang w:val="en-GB"/>
        </w:rPr>
        <w:t xml:space="preserve"> </w:t>
      </w:r>
      <w:r w:rsidR="00FE44F4" w:rsidRPr="00FE44F4">
        <w:rPr>
          <w:lang w:val="en-GB"/>
        </w:rPr>
        <w:t>(Altunkaynak et al., 2022)</w:t>
      </w:r>
      <w:r w:rsidR="004067A8">
        <w:rPr>
          <w:lang w:val="en-GB"/>
        </w:rPr>
        <w:t>. This</w:t>
      </w:r>
      <w:r w:rsidRPr="00C21B20">
        <w:rPr>
          <w:lang w:val="en-GB"/>
        </w:rPr>
        <w:t xml:space="preserve"> poses significant e</w:t>
      </w:r>
      <w:r w:rsidR="00565080">
        <w:rPr>
          <w:lang w:val="en-GB"/>
        </w:rPr>
        <w:t>cological and health-related</w:t>
      </w:r>
      <w:r w:rsidRPr="00C21B20">
        <w:rPr>
          <w:lang w:val="en-GB"/>
        </w:rPr>
        <w:t xml:space="preserve"> risks due to its toxicity and bioaccumulation potential</w:t>
      </w:r>
      <w:r w:rsidR="00873097">
        <w:rPr>
          <w:lang w:val="en-GB"/>
        </w:rPr>
        <w:t xml:space="preserve"> </w:t>
      </w:r>
      <w:r w:rsidR="00873097">
        <w:rPr>
          <w:lang w:val="en-GB"/>
        </w:rPr>
        <w:fldChar w:fldCharType="begin"/>
      </w:r>
      <w:r w:rsidR="00873097">
        <w:rPr>
          <w:lang w:val="en-GB"/>
        </w:rPr>
        <w:instrText xml:space="preserve"> ADDIN EN.CITE &lt;EndNote&gt;&lt;Cite&gt;&lt;Author&gt;Yang&lt;/Author&gt;&lt;Year&gt;2023&lt;/Year&gt;&lt;RecNum&gt;220&lt;/RecNum&gt;&lt;DisplayText&gt;(Yang et al., 2023)&lt;/DisplayText&gt;&lt;record&gt;&lt;rec-number&gt;220&lt;/rec-number&gt;&lt;foreign-keys&gt;&lt;key app="EN" db-id="2ep5f2xrhvpvtiep0rb5f2vnt5a0zw2xd9dv" timestamp="1740773297"&gt;220&lt;/key&gt;&lt;/foreign-keys&gt;&lt;ref-type name="Journal Article"&gt;17&lt;/ref-type&gt;&lt;contributors&gt;&lt;authors&gt;&lt;author&gt;Yang, Min Chieh&lt;/author&gt;&lt;author&gt;Rollins, Devin S.&lt;/author&gt;&lt;author&gt;Huber, Dale L.&lt;/author&gt;&lt;author&gt;Ou, Jou-Tsen&lt;/author&gt;&lt;author&gt;Baptiste, Michael R.&lt;/author&gt;&lt;author&gt;Zeppuhar, Andrea N.&lt;/author&gt;&lt;author&gt;Chen, Fu&lt;/author&gt;&lt;author&gt;Taylor, Mercedes K.&lt;/author&gt;&lt;/authors&gt;&lt;/contributors&gt;&lt;titles&gt;&lt;title&gt;Carbonyl-rich porous organic polymers for cobalt adsorption from water&lt;/title&gt;&lt;secondary-title&gt;Journal of Materials Chemistry C&lt;/secondary-title&gt;&lt;/titles&gt;&lt;periodical&gt;&lt;full-title&gt;Journal of Materials Chemistry C&lt;/full-title&gt;&lt;/periodical&gt;&lt;pages&gt;15541-15547&lt;/pages&gt;&lt;volume&gt;11&lt;/volume&gt;&lt;number&gt;44&lt;/number&gt;&lt;dates&gt;&lt;year&gt;2023&lt;/year&gt;&lt;/dates&gt;&lt;publisher&gt;The Royal Society of Chemistry&lt;/publisher&gt;&lt;isbn&gt;2050-7526&lt;/isbn&gt;&lt;work-type&gt;10.1039/D3TC03320A&lt;/work-type&gt;&lt;urls&gt;&lt;related-urls&gt;&lt;url&gt;http://dx.doi.org/10.1039/D3TC03320A&lt;/url&gt;&lt;/related-urls&gt;&lt;/urls&gt;&lt;electronic-resource-num&gt;10.1039/D3TC03320A&lt;/electronic-resource-num&gt;&lt;/record&gt;&lt;/Cite&gt;&lt;/EndNote&gt;</w:instrText>
      </w:r>
      <w:r w:rsidR="00873097">
        <w:rPr>
          <w:lang w:val="en-GB"/>
        </w:rPr>
        <w:fldChar w:fldCharType="separate"/>
      </w:r>
      <w:r w:rsidR="00873097">
        <w:rPr>
          <w:noProof/>
          <w:lang w:val="en-GB"/>
        </w:rPr>
        <w:t>(Yang et al., 2023)</w:t>
      </w:r>
      <w:r w:rsidR="00873097">
        <w:rPr>
          <w:lang w:val="en-GB"/>
        </w:rPr>
        <w:fldChar w:fldCharType="end"/>
      </w:r>
      <w:r w:rsidRPr="00C21B20">
        <w:rPr>
          <w:lang w:val="en-GB"/>
        </w:rPr>
        <w:t xml:space="preserve">. When released into aquatic environments, </w:t>
      </w:r>
      <w:r w:rsidR="00EC5F7F">
        <w:rPr>
          <w:lang w:val="en-GB"/>
        </w:rPr>
        <w:t>heavy metals</w:t>
      </w:r>
      <w:r w:rsidRPr="00C21B20">
        <w:rPr>
          <w:lang w:val="en-GB"/>
        </w:rPr>
        <w:t xml:space="preserve"> can persist in water bodies, leading to contamination of drinking water sources and disruption of aquatic ecosystems</w:t>
      </w:r>
      <w:r w:rsidR="00EC5F7F">
        <w:rPr>
          <w:lang w:val="en-GB"/>
        </w:rPr>
        <w:t xml:space="preserve"> </w:t>
      </w:r>
      <w:r w:rsidR="00EC5F7F">
        <w:rPr>
          <w:lang w:val="en-GB"/>
        </w:rPr>
        <w:fldChar w:fldCharType="begin">
          <w:fldData xml:space="preserve">PEVuZE5vdGU+PENpdGU+PEF1dGhvcj5NdWVkaTwvQXV0aG9yPjxZZWFyPjIwMjE8L1llYXI+PFJl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==
</w:fldData>
        </w:fldChar>
      </w:r>
      <w:r w:rsidR="00EC5F7F">
        <w:rPr>
          <w:lang w:val="en-GB"/>
        </w:rPr>
        <w:instrText xml:space="preserve"> ADDIN EN.CITE </w:instrText>
      </w:r>
      <w:r w:rsidR="00EC5F7F">
        <w:rPr>
          <w:lang w:val="en-GB"/>
        </w:rPr>
        <w:fldChar w:fldCharType="begin">
          <w:fldData xml:space="preserve">PEVuZE5vdGU+PENpdGU+PEF1dGhvcj5NdWVkaTwvQXV0aG9yPjxZZWFyPjIwMjE8L1llYXI+PFJl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==
</w:fldData>
        </w:fldChar>
      </w:r>
      <w:r w:rsidR="00EC5F7F">
        <w:rPr>
          <w:lang w:val="en-GB"/>
        </w:rPr>
        <w:instrText xml:space="preserve"> ADDIN EN.CITE.DATA </w:instrText>
      </w:r>
      <w:r w:rsidR="00EC5F7F">
        <w:rPr>
          <w:lang w:val="en-GB"/>
        </w:rPr>
      </w:r>
      <w:r w:rsidR="00EC5F7F">
        <w:rPr>
          <w:lang w:val="en-GB"/>
        </w:rPr>
        <w:fldChar w:fldCharType="end"/>
      </w:r>
      <w:r w:rsidR="00EC5F7F">
        <w:rPr>
          <w:lang w:val="en-GB"/>
        </w:rPr>
      </w:r>
      <w:r w:rsidR="00EC5F7F">
        <w:rPr>
          <w:lang w:val="en-GB"/>
        </w:rPr>
        <w:fldChar w:fldCharType="separate"/>
      </w:r>
      <w:r w:rsidR="00EC5F7F">
        <w:rPr>
          <w:noProof/>
          <w:lang w:val="en-GB"/>
        </w:rPr>
        <w:t>(Muedi et al., 2021)</w:t>
      </w:r>
      <w:r w:rsidR="00EC5F7F">
        <w:rPr>
          <w:lang w:val="en-GB"/>
        </w:rPr>
        <w:fldChar w:fldCharType="end"/>
      </w:r>
      <w:r w:rsidRPr="00C21B20">
        <w:rPr>
          <w:lang w:val="en-GB"/>
        </w:rPr>
        <w:t>. Prolonged exposure to cobalt can result in adverse health effects, including respiratory issues, cardiovascular diseases, and potential carcinogenic effects in humans</w:t>
      </w:r>
      <w:r w:rsidR="00D60DAC">
        <w:rPr>
          <w:lang w:val="en-GB"/>
        </w:rPr>
        <w:t xml:space="preserve"> </w:t>
      </w:r>
      <w:r w:rsidR="00D60DAC">
        <w:rPr>
          <w:lang w:val="en-GB"/>
        </w:rPr>
        <w:fldChar w:fldCharType="begin"/>
      </w:r>
      <w:r w:rsidR="00D60DAC">
        <w:rPr>
          <w:lang w:val="en-GB"/>
        </w:rPr>
        <w:instrText xml:space="preserve"> ADDIN EN.CITE &lt;EndNote&gt;&lt;Cite&gt;&lt;Author&gt;Abbas&lt;/Author&gt;&lt;Year&gt;2014&lt;/Year&gt;&lt;RecNum&gt;221&lt;/RecNum&gt;&lt;DisplayText&gt;(Abbas et al., 2014)&lt;/DisplayText&gt;&lt;record&gt;&lt;rec-number&gt;221&lt;/rec-number&gt;&lt;foreign-keys&gt;&lt;key app="EN" db-id="2ep5f2xrhvpvtiep0rb5f2vnt5a0zw2xd9dv" timestamp="1740775416"&gt;221&lt;/key&gt;&lt;/foreign-keys&gt;&lt;ref-type name="Journal Article"&gt;17&lt;/ref-type&gt;&lt;contributors&gt;&lt;authors&gt;&lt;author&gt;Abbas, M.&lt;/author&gt;&lt;author&gt;Kaddour, S.&lt;/author&gt;&lt;author&gt;Trari, M.&lt;/author&gt;&lt;/authors&gt;&lt;/contributors&gt;&lt;titles&gt;&lt;title&gt;Kinetic and equilibrium studies of cobalt adsorption on apricot stone activated carbon&lt;/title&gt;&lt;secondary-title&gt;Journal of Industrial and Engineering Chemistry&lt;/secondary-title&gt;&lt;/titles&gt;&lt;periodical&gt;&lt;full-title&gt;Journal of Industrial and Engineering Chemistry&lt;/full-title&gt;&lt;/periodical&gt;&lt;pages&gt;745-751&lt;/pages&gt;&lt;volume&gt;20&lt;/volume&gt;&lt;number&gt;3&lt;/number&gt;&lt;keywords&gt;&lt;keyword&gt;Apricot stone&lt;/keyword&gt;&lt;keyword&gt;Cobalt&lt;/keyword&gt;&lt;keyword&gt;Heavy metal removal&lt;/keyword&gt;&lt;keyword&gt;Kinetic&lt;/keyword&gt;&lt;keyword&gt;Isotherm&lt;/keyword&gt;&lt;keyword&gt;Activated carbon&lt;/keyword&gt;&lt;/keywords&gt;&lt;dates&gt;&lt;year&gt;2014&lt;/year&gt;&lt;pub-dates&gt;&lt;date&gt;2014/05/25/&lt;/date&gt;&lt;/pub-dates&gt;&lt;/dates&gt;&lt;isbn&gt;1226-086X&lt;/isbn&gt;&lt;urls&gt;&lt;related-urls&gt;&lt;url&gt;https://www.sciencedirect.com/science/article/pii/S1226086X13002748&lt;/url&gt;&lt;/related-urls&gt;&lt;/urls&gt;&lt;electronic-resource-num&gt;https://doi.org/10.1016/j.jiec.2013.06.030&lt;/electronic-resource-num&gt;&lt;/record&gt;&lt;/Cite&gt;&lt;/EndNote&gt;</w:instrText>
      </w:r>
      <w:r w:rsidR="00D60DAC">
        <w:rPr>
          <w:lang w:val="en-GB"/>
        </w:rPr>
        <w:fldChar w:fldCharType="separate"/>
      </w:r>
      <w:r w:rsidR="00D60DAC">
        <w:rPr>
          <w:noProof/>
          <w:lang w:val="en-GB"/>
        </w:rPr>
        <w:t>(Abbas et al., 2014)</w:t>
      </w:r>
      <w:r w:rsidR="00D60DAC">
        <w:rPr>
          <w:lang w:val="en-GB"/>
        </w:rPr>
        <w:fldChar w:fldCharType="end"/>
      </w:r>
      <w:r w:rsidRPr="00C21B20">
        <w:rPr>
          <w:lang w:val="en-GB"/>
        </w:rPr>
        <w:t>. Additionally, excessive cobalt concentrations in soil and water can negatively impact plant and microbial communities, further exacerbating environmental concerns</w:t>
      </w:r>
      <w:r w:rsidR="00732CE9">
        <w:rPr>
          <w:lang w:val="en-GB"/>
        </w:rPr>
        <w:t xml:space="preserve"> </w:t>
      </w:r>
      <w:r w:rsidR="00732CE9">
        <w:rPr>
          <w:lang w:val="en-GB"/>
        </w:rPr>
        <w:fldChar w:fldCharType="begin"/>
      </w:r>
      <w:r w:rsidR="00732CE9">
        <w:rPr>
          <w:lang w:val="en-GB"/>
        </w:rPr>
        <w:instrText xml:space="preserve"> ADDIN EN.CITE &lt;EndNote&gt;&lt;Cite&gt;&lt;Author&gt;Rethinasabapathy&lt;/Author&gt;&lt;Year&gt;2025&lt;/Year&gt;&lt;RecNum&gt;222&lt;/RecNum&gt;&lt;DisplayText&gt;(Rethinasabapathy et al., 2025)&lt;/DisplayText&gt;&lt;record&gt;&lt;rec-number&gt;222&lt;/rec-number&gt;&lt;foreign-keys&gt;&lt;key app="EN" db-id="2ep5f2xrhvpvtiep0rb5f2vnt5a0zw2xd9dv" timestamp="1740775569"&gt;222&lt;/key&gt;&lt;/foreign-keys&gt;&lt;ref-type name="Journal Article"&gt;17&lt;/ref-type&gt;&lt;contributors&gt;&lt;authors&gt;&lt;author&gt;Rethinasabapathy, Muruganantham&lt;/author&gt;&lt;author&gt;Ghoreishian, Seyed Majid&lt;/author&gt;&lt;author&gt;Kwak, Cheol Hwan&lt;/author&gt;&lt;author&gt;Han, Young-Kyu&lt;/author&gt;&lt;author&gt;Roh, Changhyun&lt;/author&gt;&lt;author&gt;Huh, Yun Suk&lt;/author&gt;&lt;/authors&gt;&lt;/contributors&gt;&lt;titles&gt;&lt;title&gt;Recent progress in advanced functional materials for adsorption and removal of cobalt from industrial and radioactive effluents&lt;/title&gt;&lt;secondary-title&gt;Coordination Chemistry Reviews&lt;/secondary-title&gt;&lt;/titles&gt;&lt;periodical&gt;&lt;full-title&gt;Coordination Chemistry Reviews&lt;/full-title&gt;&lt;/periodical&gt;&lt;pages&gt;216401&lt;/pages&gt;&lt;volume&gt;527&lt;/volume&gt;&lt;keywords&gt;&lt;keyword&gt;Adsorption&lt;/keyword&gt;&lt;keyword&gt;Cobalt&lt;/keyword&gt;&lt;keyword&gt;Heavy metals&lt;/keyword&gt;&lt;keyword&gt;Radionuclides&lt;/keyword&gt;&lt;keyword&gt;Metal-organic frameworks&lt;/keyword&gt;&lt;/keywords&gt;&lt;dates&gt;&lt;year&gt;2025&lt;/year&gt;&lt;pub-dates&gt;&lt;date&gt;2025/03/15/&lt;/date&gt;&lt;/pub-dates&gt;&lt;/dates&gt;&lt;isbn&gt;0010-8545&lt;/isbn&gt;&lt;urls&gt;&lt;related-urls&gt;&lt;url&gt;https://www.sciencedirect.com/science/article/pii/S0010854524007471&lt;/url&gt;&lt;/related-urls&gt;&lt;/urls&gt;&lt;electronic-resource-num&gt;https://doi.org/10.1016/j.ccr.2024.216401&lt;/electronic-resource-num&gt;&lt;/record&gt;&lt;/Cite&gt;&lt;/EndNote&gt;</w:instrText>
      </w:r>
      <w:r w:rsidR="00732CE9">
        <w:rPr>
          <w:lang w:val="en-GB"/>
        </w:rPr>
        <w:fldChar w:fldCharType="separate"/>
      </w:r>
      <w:r w:rsidR="00732CE9">
        <w:rPr>
          <w:noProof/>
          <w:lang w:val="en-GB"/>
        </w:rPr>
        <w:t>(Rethinasabapathy et al., 2025)</w:t>
      </w:r>
      <w:r w:rsidR="00732CE9">
        <w:rPr>
          <w:lang w:val="en-GB"/>
        </w:rPr>
        <w:fldChar w:fldCharType="end"/>
      </w:r>
      <w:r w:rsidRPr="00C21B20">
        <w:rPr>
          <w:lang w:val="en-GB"/>
        </w:rPr>
        <w:t>.</w:t>
      </w:r>
    </w:p>
    <w:p w14:paraId="6EE8F511" w14:textId="2B17BAA8" w:rsidR="00C21B20" w:rsidRPr="00C21B20" w:rsidRDefault="00C21B20" w:rsidP="00C21B20">
      <w:pPr>
        <w:pStyle w:val="CETBodytext"/>
        <w:rPr>
          <w:lang w:val="en-GB"/>
        </w:rPr>
      </w:pPr>
      <w:r w:rsidRPr="00C21B20">
        <w:rPr>
          <w:lang w:val="en-GB"/>
        </w:rPr>
        <w:t>Conventional water treatment methods such as chemical precipitation, ion exchange and membrane filtration have been employed to remove heavy metals, including Co(II), from wastewater</w:t>
      </w:r>
      <w:r w:rsidR="00873097">
        <w:rPr>
          <w:lang w:val="en-GB"/>
        </w:rPr>
        <w:t xml:space="preserve"> </w:t>
      </w:r>
      <w:r w:rsidR="00873097">
        <w:rPr>
          <w:lang w:val="en-GB"/>
        </w:rPr>
        <w:fldChar w:fldCharType="begin"/>
      </w:r>
      <w:r w:rsidR="00873097">
        <w:rPr>
          <w:lang w:val="en-GB"/>
        </w:rPr>
        <w:instrText xml:space="preserve"> ADDIN EN.CITE &lt;EndNote&gt;&lt;Cite&gt;&lt;Author&gt;Worch&lt;/Author&gt;&lt;Year&gt;2021&lt;/Year&gt;&lt;RecNum&gt;52&lt;/RecNum&gt;&lt;DisplayText&gt;(Worch, 2021)&lt;/DisplayText&gt;&lt;record&gt;&lt;rec-number&gt;52&lt;/rec-number&gt;&lt;foreign-keys&gt;&lt;key app="EN" db-id="2ep5f2xrhvpvtiep0rb5f2vnt5a0zw2xd9dv" timestamp="1710093160"&gt;52&lt;/key&gt;&lt;/foreign-keys&gt;&lt;ref-type name="Book"&gt;6&lt;/ref-type&gt;&lt;contributors&gt;&lt;authors&gt;&lt;author&gt;Worch, E. &lt;/author&gt;&lt;/authors&gt;&lt;/contributors&gt;&lt;titles&gt;&lt;title&gt;Adsorption technology in water treatment : fundamentals, processes, and modeling&lt;/title&gt;&lt;/titles&gt;&lt;volume&gt; (2nd, Revised ed.)&lt;/volume&gt;&lt;dates&gt;&lt;year&gt;2021&lt;/year&gt;&lt;/dates&gt;&lt;pub-location&gt;Berlin&lt;/pub-location&gt;&lt;publisher&gt;De Gruyter&lt;/publisher&gt;&lt;urls&gt;&lt;/urls&gt;&lt;/record&gt;&lt;/Cite&gt;&lt;/EndNote&gt;</w:instrText>
      </w:r>
      <w:r w:rsidR="00873097">
        <w:rPr>
          <w:lang w:val="en-GB"/>
        </w:rPr>
        <w:fldChar w:fldCharType="separate"/>
      </w:r>
      <w:r w:rsidR="00873097">
        <w:rPr>
          <w:noProof/>
          <w:lang w:val="en-GB"/>
        </w:rPr>
        <w:t>(Worch, 2021)</w:t>
      </w:r>
      <w:r w:rsidR="00873097">
        <w:rPr>
          <w:lang w:val="en-GB"/>
        </w:rPr>
        <w:fldChar w:fldCharType="end"/>
      </w:r>
      <w:r w:rsidRPr="00C21B20">
        <w:rPr>
          <w:lang w:val="en-GB"/>
        </w:rPr>
        <w:t>. However, these techniques often suffer from high operational costs, complex maintenance, and secondary waste generation</w:t>
      </w:r>
      <w:r w:rsidR="00873097">
        <w:rPr>
          <w:lang w:val="en-GB"/>
        </w:rPr>
        <w:t xml:space="preserve"> </w:t>
      </w:r>
      <w:r w:rsidR="00873097">
        <w:rPr>
          <w:lang w:val="en-GB"/>
        </w:rPr>
        <w:fldChar w:fldCharType="begin"/>
      </w:r>
      <w:r w:rsidR="00873097">
        <w:rPr>
          <w:lang w:val="en-GB"/>
        </w:rPr>
        <w:instrText xml:space="preserve"> ADDIN EN.CITE &lt;EndNote&gt;&lt;Cite&gt;&lt;Author&gt;Crini&lt;/Author&gt;&lt;Year&gt;2019&lt;/Year&gt;&lt;RecNum&gt;16&lt;/RecNum&gt;&lt;DisplayText&gt;(Crini and Lichtfouse, 2019)&lt;/DisplayText&gt;&lt;record&gt;&lt;rec-number&gt;16&lt;/rec-number&gt;&lt;foreign-keys&gt;&lt;key app="EN" db-id="2ep5f2xrhvpvtiep0rb5f2vnt5a0zw2xd9dv" timestamp="1710054983"&gt;16&lt;/key&gt;&lt;/foreign-keys&gt;&lt;ref-type name="Journal Article"&gt;17&lt;/ref-type&gt;&lt;contributors&gt;&lt;authors&gt;&lt;author&gt;Crini, Grégorio&lt;/author&gt;&lt;author&gt;Lichtfouse, Eric&lt;/author&gt;&lt;/authors&gt;&lt;/contributors&gt;&lt;titles&gt;&lt;title&gt;Advantages and disadvantages of techniques used for wastewater treatment&lt;/title&gt;&lt;secondary-title&gt;Environmental Chemistry Letters&lt;/secondary-title&gt;&lt;/titles&gt;&lt;periodical&gt;&lt;full-title&gt;Environmental Chemistry Letters&lt;/full-title&gt;&lt;/periodical&gt;&lt;pages&gt;145-155&lt;/pages&gt;&lt;volume&gt;17&lt;/volume&gt;&lt;number&gt;1&lt;/number&gt;&lt;dates&gt;&lt;year&gt;2019&lt;/year&gt;&lt;/dates&gt;&lt;publisher&gt;Springer Science and Business Media LLC&lt;/publisher&gt;&lt;isbn&gt;1610-3653&lt;/isbn&gt;&lt;urls&gt;&lt;related-urls&gt;&lt;url&gt;https://dx.doi.org/10.1007/s10311-018-0785-9&lt;/url&gt;&lt;/related-urls&gt;&lt;/urls&gt;&lt;electronic-resource-num&gt;10.1007/s10311-018-0785-9&lt;/electronic-resource-num&gt;&lt;/record&gt;&lt;/Cite&gt;&lt;/EndNote&gt;</w:instrText>
      </w:r>
      <w:r w:rsidR="00873097">
        <w:rPr>
          <w:lang w:val="en-GB"/>
        </w:rPr>
        <w:fldChar w:fldCharType="separate"/>
      </w:r>
      <w:r w:rsidR="00873097">
        <w:rPr>
          <w:noProof/>
          <w:lang w:val="en-GB"/>
        </w:rPr>
        <w:t>(Crini and Lichtfouse, 2019)</w:t>
      </w:r>
      <w:r w:rsidR="00873097">
        <w:rPr>
          <w:lang w:val="en-GB"/>
        </w:rPr>
        <w:fldChar w:fldCharType="end"/>
      </w:r>
      <w:r w:rsidRPr="00C21B20">
        <w:rPr>
          <w:lang w:val="en-GB"/>
        </w:rPr>
        <w:t>. Adsorption has emerged as a highly effective and economically viable alternative due to its simplicity, efficiency, and ability to remove low concentrations of contaminants</w:t>
      </w:r>
      <w:r w:rsidR="00873097">
        <w:rPr>
          <w:lang w:val="en-GB"/>
        </w:rPr>
        <w:t xml:space="preserve"> </w:t>
      </w:r>
      <w:r w:rsidR="00EC5F7F">
        <w:rPr>
          <w:lang w:val="en-GB"/>
        </w:rPr>
        <w:fldChar w:fldCharType="begin"/>
      </w:r>
      <w:r w:rsidR="00EC5F7F">
        <w:rPr>
          <w:lang w:val="en-GB"/>
        </w:rPr>
        <w:instrText xml:space="preserve"> ADDIN EN.CITE &lt;EndNote&gt;&lt;Cite&gt;&lt;Author&gt;Bhaumik&lt;/Author&gt;&lt;Year&gt;2013&lt;/Year&gt;&lt;RecNum&gt;18&lt;/RecNum&gt;&lt;DisplayText&gt;(Bhaumik et al., 2013)&lt;/DisplayText&gt;&lt;record&gt;&lt;rec-number&gt;18&lt;/rec-number&gt;&lt;foreign-keys&gt;&lt;key app="EN" db-id="2ep5f2xrhvpvtiep0rb5f2vnt5a0zw2xd9dv" timestamp="1710056539"&gt;18&lt;/key&gt;&lt;/foreign-keys&gt;&lt;ref-type name="Journal Article"&gt;17&lt;/ref-type&gt;&lt;contributors&gt;&lt;authors&gt;&lt;author&gt;Bhaumik, M.&lt;/author&gt;&lt;author&gt;Setshedi, K.&lt;/author&gt;&lt;author&gt;Maity, A.&lt;/author&gt;&lt;author&gt;Onyango, M.S.&lt;/author&gt;&lt;/authors&gt;&lt;/contributors&gt;&lt;titles&gt;&lt;title&gt;Chromium(VI) removal from water using fixed bed column of polypyrrole/Fe3O4 nanocomposite&lt;/title&gt;&lt;secondary-title&gt;Separation and Purification Technology&lt;/secondary-title&gt;&lt;/titles&gt;&lt;periodical&gt;&lt;full-title&gt;Separation and Purification Technology&lt;/full-title&gt;&lt;/periodical&gt;&lt;pages&gt;11-19&lt;/pages&gt;&lt;volume&gt;110&lt;/volume&gt;&lt;dates&gt;&lt;year&gt;2013&lt;/year&gt;&lt;/dates&gt;&lt;urls&gt;&lt;/urls&gt;&lt;/record&gt;&lt;/Cite&gt;&lt;/EndNote&gt;</w:instrText>
      </w:r>
      <w:r w:rsidR="00EC5F7F">
        <w:rPr>
          <w:lang w:val="en-GB"/>
        </w:rPr>
        <w:fldChar w:fldCharType="separate"/>
      </w:r>
      <w:r w:rsidR="00EC5F7F">
        <w:rPr>
          <w:noProof/>
          <w:lang w:val="en-GB"/>
        </w:rPr>
        <w:t>(Bhaumik et al., 2013)</w:t>
      </w:r>
      <w:r w:rsidR="00EC5F7F">
        <w:rPr>
          <w:lang w:val="en-GB"/>
        </w:rPr>
        <w:fldChar w:fldCharType="end"/>
      </w:r>
      <w:r w:rsidRPr="00C21B20">
        <w:rPr>
          <w:lang w:val="en-GB"/>
        </w:rPr>
        <w:t>. The success of adsorption largely depends on the properties of the adsorbent material</w:t>
      </w:r>
      <w:r w:rsidR="00EC5F7F">
        <w:rPr>
          <w:lang w:val="en-GB"/>
        </w:rPr>
        <w:t xml:space="preserve"> </w:t>
      </w:r>
      <w:r w:rsidR="00EC5F7F">
        <w:rPr>
          <w:lang w:val="en-GB"/>
        </w:rPr>
        <w:fldChar w:fldCharType="begin"/>
      </w:r>
      <w:r w:rsidR="00EC5F7F">
        <w:rPr>
          <w:lang w:val="en-GB"/>
        </w:rPr>
        <w:instrText xml:space="preserve"> ADDIN EN.CITE &lt;EndNote&gt;&lt;Cite&gt;&lt;Author&gt;Wankat&lt;/Author&gt;&lt;Year&gt;2011&lt;/Year&gt;&lt;RecNum&gt;165&lt;/RecNum&gt;&lt;DisplayText&gt;(Wankat, 2011)&lt;/DisplayText&gt;&lt;record&gt;&lt;rec-number&gt;165&lt;/rec-number&gt;&lt;foreign-keys&gt;&lt;key app="EN" db-id="2ep5f2xrhvpvtiep0rb5f2vnt5a0zw2xd9dv" timestamp="1732433105"&gt;165&lt;/key&gt;&lt;/foreign-keys&gt;&lt;ref-type name="Book"&gt;6&lt;/ref-type&gt;&lt;contributors&gt;&lt;authors&gt;&lt;author&gt;Phillip C. Wankat&lt;/author&gt;&lt;/authors&gt;&lt;/contributors&gt;&lt;titles&gt;&lt;title&gt;Separation Process Engineering - Includes Mass Transfer Analysis&lt;/title&gt;&lt;/titles&gt;&lt;edition&gt;3&lt;/edition&gt;&lt;dates&gt;&lt;year&gt;2011&lt;/year&gt;&lt;/dates&gt;&lt;pub-location&gt;US&lt;/pub-location&gt;&lt;publisher&gt;Pearson Education&lt;/publisher&gt;&lt;urls&gt;&lt;/urls&gt;&lt;/record&gt;&lt;/Cite&gt;&lt;/EndNote&gt;</w:instrText>
      </w:r>
      <w:r w:rsidR="00EC5F7F">
        <w:rPr>
          <w:lang w:val="en-GB"/>
        </w:rPr>
        <w:fldChar w:fldCharType="separate"/>
      </w:r>
      <w:r w:rsidR="00EC5F7F">
        <w:rPr>
          <w:noProof/>
          <w:lang w:val="en-GB"/>
        </w:rPr>
        <w:t>(Wankat, 2011)</w:t>
      </w:r>
      <w:r w:rsidR="00EC5F7F">
        <w:rPr>
          <w:lang w:val="en-GB"/>
        </w:rPr>
        <w:fldChar w:fldCharType="end"/>
      </w:r>
      <w:r w:rsidR="003025FF">
        <w:rPr>
          <w:lang w:val="en-GB"/>
        </w:rPr>
        <w:t>. C</w:t>
      </w:r>
      <w:r w:rsidRPr="00C21B20">
        <w:rPr>
          <w:lang w:val="en-GB"/>
        </w:rPr>
        <w:t xml:space="preserve">onventional adsorbents </w:t>
      </w:r>
      <w:r w:rsidR="003025FF">
        <w:rPr>
          <w:lang w:val="en-GB"/>
        </w:rPr>
        <w:t>are</w:t>
      </w:r>
      <w:r w:rsidRPr="00C21B20">
        <w:rPr>
          <w:lang w:val="en-GB"/>
        </w:rPr>
        <w:t xml:space="preserve"> </w:t>
      </w:r>
      <w:r w:rsidR="003025FF">
        <w:rPr>
          <w:lang w:val="en-GB"/>
        </w:rPr>
        <w:t xml:space="preserve">relatively </w:t>
      </w:r>
      <w:r w:rsidRPr="00C21B20">
        <w:rPr>
          <w:lang w:val="en-GB"/>
        </w:rPr>
        <w:t xml:space="preserve">costly and </w:t>
      </w:r>
      <w:r w:rsidR="003025FF">
        <w:rPr>
          <w:lang w:val="en-GB"/>
        </w:rPr>
        <w:t>limit the potential applicability of the technology</w:t>
      </w:r>
      <w:r w:rsidRPr="00C21B20">
        <w:rPr>
          <w:lang w:val="en-GB"/>
        </w:rPr>
        <w:t xml:space="preserve"> for large-scale applications</w:t>
      </w:r>
      <w:r w:rsidR="00EC5F7F">
        <w:rPr>
          <w:lang w:val="en-GB"/>
        </w:rPr>
        <w:t xml:space="preserve"> </w:t>
      </w:r>
      <w:r w:rsidR="00EC5F7F">
        <w:rPr>
          <w:lang w:val="en-GB"/>
        </w:rPr>
        <w:fldChar w:fldCharType="begin"/>
      </w:r>
      <w:r w:rsidR="00EC5F7F">
        <w:rPr>
          <w:lang w:val="en-GB"/>
        </w:rPr>
        <w:instrText xml:space="preserve"> ADDIN EN.CITE &lt;EndNote&gt;&lt;Cite&gt;&lt;Author&gt;Worch&lt;/Author&gt;&lt;Year&gt;2021&lt;/Year&gt;&lt;RecNum&gt;52&lt;/RecNum&gt;&lt;DisplayText&gt;(Worch, 2021)&lt;/DisplayText&gt;&lt;record&gt;&lt;rec-number&gt;52&lt;/rec-number&gt;&lt;foreign-keys&gt;&lt;key app="EN" db-id="2ep5f2xrhvpvtiep0rb5f2vnt5a0zw2xd9dv" timestamp="1710093160"&gt;52&lt;/key&gt;&lt;/foreign-keys&gt;&lt;ref-type name="Book"&gt;6&lt;/ref-type&gt;&lt;contributors&gt;&lt;authors&gt;&lt;author&gt;Worch, E. &lt;/author&gt;&lt;/authors&gt;&lt;/contributors&gt;&lt;titles&gt;&lt;title&gt;Adsorption technology in water treatment : fundamentals, processes, and modeling&lt;/title&gt;&lt;/titles&gt;&lt;volume&gt; (2nd, Revised ed.)&lt;/volume&gt;&lt;dates&gt;&lt;year&gt;2021&lt;/year&gt;&lt;/dates&gt;&lt;pub-location&gt;Berlin&lt;/pub-location&gt;&lt;publisher&gt;De Gruyter&lt;/publisher&gt;&lt;urls&gt;&lt;/urls&gt;&lt;/record&gt;&lt;/Cite&gt;&lt;/EndNote&gt;</w:instrText>
      </w:r>
      <w:r w:rsidR="00EC5F7F">
        <w:rPr>
          <w:lang w:val="en-GB"/>
        </w:rPr>
        <w:fldChar w:fldCharType="separate"/>
      </w:r>
      <w:r w:rsidR="00EC5F7F">
        <w:rPr>
          <w:noProof/>
          <w:lang w:val="en-GB"/>
        </w:rPr>
        <w:t>(Worch, 2021)</w:t>
      </w:r>
      <w:r w:rsidR="00EC5F7F">
        <w:rPr>
          <w:lang w:val="en-GB"/>
        </w:rPr>
        <w:fldChar w:fldCharType="end"/>
      </w:r>
      <w:r w:rsidRPr="00C21B20">
        <w:rPr>
          <w:lang w:val="en-GB"/>
        </w:rPr>
        <w:t>.</w:t>
      </w:r>
    </w:p>
    <w:p w14:paraId="3535993D" w14:textId="7099DD53" w:rsidR="001534E9" w:rsidRPr="00B14160" w:rsidRDefault="00C21B20" w:rsidP="00C21B20">
      <w:pPr>
        <w:pStyle w:val="CETBodytext"/>
        <w:rPr>
          <w:lang w:val="en-GB"/>
        </w:rPr>
      </w:pPr>
      <w:r w:rsidRPr="00C21B20">
        <w:rPr>
          <w:lang w:val="en-GB"/>
        </w:rPr>
        <w:t xml:space="preserve">In line with the principles of the circular economy and sustainable resource management, there is growing interest in utilizing waste-derived materials for water treatment. </w:t>
      </w:r>
      <w:r w:rsidR="00A408B9">
        <w:rPr>
          <w:lang w:val="en-GB"/>
        </w:rPr>
        <w:t>Mining influenced water sludge</w:t>
      </w:r>
      <w:r w:rsidRPr="00C21B20">
        <w:rPr>
          <w:lang w:val="en-GB"/>
        </w:rPr>
        <w:t xml:space="preserve"> (</w:t>
      </w:r>
      <w:r w:rsidR="00F918F4">
        <w:rPr>
          <w:lang w:val="en-GB"/>
        </w:rPr>
        <w:t>MIWS</w:t>
      </w:r>
      <w:r w:rsidRPr="00C21B20">
        <w:rPr>
          <w:lang w:val="en-GB"/>
        </w:rPr>
        <w:t xml:space="preserve">) </w:t>
      </w:r>
      <w:r w:rsidRPr="00C21B20">
        <w:rPr>
          <w:lang w:val="en-GB"/>
        </w:rPr>
        <w:lastRenderedPageBreak/>
        <w:t>represents a promising low-cost alternative, leveraging mining waste for environmental remediation. This study</w:t>
      </w:r>
      <w:r w:rsidR="001534E9">
        <w:rPr>
          <w:lang w:val="en-GB"/>
        </w:rPr>
        <w:t xml:space="preserve"> </w:t>
      </w:r>
      <w:r w:rsidRPr="00C21B20">
        <w:rPr>
          <w:lang w:val="en-GB"/>
        </w:rPr>
        <w:t>evaluate</w:t>
      </w:r>
      <w:r w:rsidR="001534E9">
        <w:rPr>
          <w:lang w:val="en-GB"/>
        </w:rPr>
        <w:t>d</w:t>
      </w:r>
      <w:r w:rsidRPr="00C21B20">
        <w:rPr>
          <w:lang w:val="en-GB"/>
        </w:rPr>
        <w:t xml:space="preserve"> the potential of </w:t>
      </w:r>
      <w:r w:rsidR="00F918F4">
        <w:rPr>
          <w:lang w:val="en-GB"/>
        </w:rPr>
        <w:t>MIWS</w:t>
      </w:r>
      <w:r w:rsidRPr="00C21B20">
        <w:rPr>
          <w:lang w:val="en-GB"/>
        </w:rPr>
        <w:t xml:space="preserve"> as an efficient adsorbent for Co(II) removal, contributing to sustainable water treatment solutions. By optimizing adsorption parameters and </w:t>
      </w:r>
      <w:r w:rsidRPr="00FF628E">
        <w:t>analyzing</w:t>
      </w:r>
      <w:r w:rsidRPr="00C21B20">
        <w:rPr>
          <w:lang w:val="en-GB"/>
        </w:rPr>
        <w:t xml:space="preserve"> kinetic </w:t>
      </w:r>
      <w:r w:rsidRPr="00FF628E">
        <w:t>behavior</w:t>
      </w:r>
      <w:r w:rsidRPr="00C21B20">
        <w:rPr>
          <w:lang w:val="en-GB"/>
        </w:rPr>
        <w:t xml:space="preserve">, this research provides insights into the feasibility of </w:t>
      </w:r>
      <w:r w:rsidR="00F918F4">
        <w:rPr>
          <w:lang w:val="en-GB"/>
        </w:rPr>
        <w:t>MIWS</w:t>
      </w:r>
      <w:r w:rsidRPr="00C21B20">
        <w:rPr>
          <w:lang w:val="en-GB"/>
        </w:rPr>
        <w:t xml:space="preserve"> as a scalable and eco-friendly </w:t>
      </w:r>
      <w:r w:rsidR="0066204F">
        <w:rPr>
          <w:lang w:val="en-GB"/>
        </w:rPr>
        <w:t>adsorbent</w:t>
      </w:r>
      <w:r w:rsidR="001534E9">
        <w:rPr>
          <w:lang w:val="en-GB"/>
        </w:rPr>
        <w:t xml:space="preserve">, </w:t>
      </w:r>
      <w:r w:rsidR="001534E9" w:rsidRPr="001534E9">
        <w:rPr>
          <w:lang w:val="en-GB"/>
        </w:rPr>
        <w:t>align</w:t>
      </w:r>
      <w:r w:rsidR="001534E9">
        <w:rPr>
          <w:lang w:val="en-GB"/>
        </w:rPr>
        <w:t>ing</w:t>
      </w:r>
      <w:r w:rsidR="001534E9" w:rsidRPr="001534E9">
        <w:rPr>
          <w:lang w:val="en-GB"/>
        </w:rPr>
        <w:t xml:space="preserve"> with Sustainable Development Goals </w:t>
      </w:r>
      <w:r w:rsidR="001534E9">
        <w:rPr>
          <w:lang w:val="en-GB"/>
        </w:rPr>
        <w:t xml:space="preserve">(SDGs) </w:t>
      </w:r>
      <w:r w:rsidR="001534E9" w:rsidRPr="001534E9">
        <w:rPr>
          <w:lang w:val="en-GB"/>
        </w:rPr>
        <w:t>6 and 12.</w:t>
      </w:r>
    </w:p>
    <w:p w14:paraId="5741900F" w14:textId="0525F9E7" w:rsidR="00453E24" w:rsidRDefault="00B14160" w:rsidP="00453E24">
      <w:pPr>
        <w:pStyle w:val="CETHeading1"/>
      </w:pPr>
      <w:r>
        <w:t>Materials and Methods</w:t>
      </w:r>
    </w:p>
    <w:p w14:paraId="09406386" w14:textId="36EDD034" w:rsidR="00453E24" w:rsidRDefault="00165314" w:rsidP="00453E24">
      <w:pPr>
        <w:pStyle w:val="CETBodytext"/>
      </w:pPr>
      <w:r w:rsidRPr="00165314">
        <w:rPr>
          <w:lang w:val="en-GB"/>
        </w:rPr>
        <w:t xml:space="preserve">This section outlines the preparation and characterization of </w:t>
      </w:r>
      <w:r w:rsidR="00F918F4">
        <w:rPr>
          <w:lang w:val="en-GB"/>
        </w:rPr>
        <w:t>MIWS</w:t>
      </w:r>
      <w:r w:rsidRPr="00165314">
        <w:rPr>
          <w:lang w:val="en-GB"/>
        </w:rPr>
        <w:t>, along with the experimental procedures employed to evaluate its effectiveness in Co(II) adsorption</w:t>
      </w:r>
      <w:r w:rsidR="00453E24">
        <w:t>.</w:t>
      </w:r>
    </w:p>
    <w:p w14:paraId="0636B784" w14:textId="52F13243" w:rsidR="00453E24" w:rsidRDefault="00165314" w:rsidP="00453E24">
      <w:pPr>
        <w:pStyle w:val="CETheadingx"/>
      </w:pPr>
      <w:r>
        <w:t>Material preparation</w:t>
      </w:r>
    </w:p>
    <w:p w14:paraId="7C2B0064" w14:textId="61690839" w:rsidR="00453E24" w:rsidRDefault="00165314" w:rsidP="00453E24">
      <w:pPr>
        <w:pStyle w:val="CETBodytext"/>
      </w:pPr>
      <w:r>
        <w:t xml:space="preserve">The </w:t>
      </w:r>
      <w:r w:rsidR="00F918F4">
        <w:t>MIWS</w:t>
      </w:r>
      <w:r>
        <w:t xml:space="preserve"> was prepared as in a previous study </w:t>
      </w:r>
      <w:r w:rsidR="00197F64">
        <w:fldChar w:fldCharType="begin"/>
      </w:r>
      <w:r w:rsidR="00197F64">
        <w:instrText xml:space="preserve"> ADDIN EN.CITE &lt;EndNote&gt;&lt;Cite&gt;&lt;Author&gt;Nchabeleng&lt;/Author&gt;&lt;Year&gt;2024&lt;/Year&gt;&lt;RecNum&gt;218&lt;/RecNum&gt;&lt;DisplayText&gt;(Nchabeleng and Brink, 2024)&lt;/DisplayText&gt;&lt;record&gt;&lt;rec-number&gt;218&lt;/rec-number&gt;&lt;foreign-keys&gt;&lt;key app="EN" db-id="2ep5f2xrhvpvtiep0rb5f2vnt5a0zw2xd9dv" timestamp="1738355240"&gt;218&lt;/key&gt;&lt;/foreign-keys&gt;&lt;ref-type name="Journal Article"&gt;17&lt;/ref-type&gt;&lt;contributors&gt;&lt;authors&gt;&lt;author&gt;Nchabeleng, Nokuthula&lt;/author&gt;&lt;author&gt;Brink, Hendrik&lt;/author&gt;&lt;/authors&gt;&lt;/contributors&gt;&lt;titles&gt;&lt;title&gt;Untreated Mining Influenced Water Sludge (MIWS) for Lead Adsorption: Modelling Mass Transfer Effects&lt;/title&gt;&lt;secondary-title&gt;Chemical Engineering Transactions&lt;/secondary-title&gt;&lt;/titles&gt;&lt;periodical&gt;&lt;full-title&gt;Chemical Engineering Transactions&lt;/full-title&gt;&lt;/periodical&gt;&lt;pages&gt;511&lt;/pages&gt;&lt;volume&gt;114&lt;/volume&gt;&lt;dates&gt;&lt;year&gt;2024&lt;/year&gt;&lt;pub-dates&gt;&lt;date&gt;12/30&lt;/date&gt;&lt;/pub-dates&gt;&lt;/dates&gt;&lt;urls&gt;&lt;/urls&gt;&lt;electronic-resource-num&gt;10.3303/CET24114086&lt;/electronic-resource-num&gt;&lt;/record&gt;&lt;/Cite&gt;&lt;/EndNote&gt;</w:instrText>
      </w:r>
      <w:r w:rsidR="00197F64">
        <w:fldChar w:fldCharType="separate"/>
      </w:r>
      <w:r w:rsidR="00197F64">
        <w:rPr>
          <w:noProof/>
        </w:rPr>
        <w:t>(Nchabeleng and Brink, 2024)</w:t>
      </w:r>
      <w:r w:rsidR="00197F64">
        <w:fldChar w:fldCharType="end"/>
      </w:r>
      <w:r>
        <w:t xml:space="preserve">. Adsorbent particles with approximate diameter of 3 mm were selected to conduct the study. A 1,000 mg/L Co(II) stock solution was prepared by dissolving </w:t>
      </w:r>
      <w:r w:rsidR="006E581E">
        <w:t>4.94</w:t>
      </w:r>
      <w:r>
        <w:t xml:space="preserve"> g of Co(NO</w:t>
      </w:r>
      <w:r w:rsidRPr="00197F64">
        <w:rPr>
          <w:vertAlign w:val="subscript"/>
        </w:rPr>
        <w:t>3</w:t>
      </w:r>
      <w:r>
        <w:t>)</w:t>
      </w:r>
      <w:r w:rsidRPr="00197F64">
        <w:rPr>
          <w:vertAlign w:val="subscript"/>
        </w:rPr>
        <w:t>2</w:t>
      </w:r>
      <w:r w:rsidRPr="00197F64">
        <w:rPr>
          <w:vertAlign w:val="superscript"/>
        </w:rPr>
        <w:t>.</w:t>
      </w:r>
      <w:r>
        <w:t>6H</w:t>
      </w:r>
      <w:r w:rsidRPr="00197F64">
        <w:rPr>
          <w:vertAlign w:val="subscript"/>
        </w:rPr>
        <w:t>2</w:t>
      </w:r>
      <w:r>
        <w:t>0 in distilled water in a 1,000 mL volumetric flask. Co(II) solutions required for the batch studies as well as the kinetics were prepared from this solution for uniformity.</w:t>
      </w:r>
    </w:p>
    <w:p w14:paraId="18BAFA6F" w14:textId="528FA212" w:rsidR="00453E24" w:rsidRPr="00B57B36" w:rsidRDefault="00165314" w:rsidP="00453E24">
      <w:pPr>
        <w:pStyle w:val="CETheadingx"/>
      </w:pPr>
      <w:r>
        <w:t>Batch experiments</w:t>
      </w:r>
    </w:p>
    <w:p w14:paraId="56878D3D" w14:textId="0780888F" w:rsidR="009D627A" w:rsidRDefault="00165314" w:rsidP="00453E24">
      <w:pPr>
        <w:pStyle w:val="CETBodytext"/>
      </w:pPr>
      <w:r>
        <w:t>Batch studies were conducted to determine conditions</w:t>
      </w:r>
      <w:r w:rsidR="009D627A">
        <w:t xml:space="preserve"> promoting </w:t>
      </w:r>
      <w:r>
        <w:t xml:space="preserve">optimal adsorption in the </w:t>
      </w:r>
      <w:r w:rsidR="00F918F4">
        <w:t>MIWS</w:t>
      </w:r>
      <w:r w:rsidR="00723306">
        <w:t>-Co(II)</w:t>
      </w:r>
      <w:r>
        <w:t xml:space="preserve"> adsorb</w:t>
      </w:r>
      <w:r w:rsidR="00723306">
        <w:t>ent</w:t>
      </w:r>
      <w:r>
        <w:t>-adsorb</w:t>
      </w:r>
      <w:r w:rsidR="00723306">
        <w:t>ate</w:t>
      </w:r>
      <w:r>
        <w:t xml:space="preserve"> system</w:t>
      </w:r>
      <w:r w:rsidR="00453E24">
        <w:t>.</w:t>
      </w:r>
      <w:r w:rsidR="009D627A">
        <w:t xml:space="preserve"> Each of the experiments were conducted in triplicate. In each instance, 50 mL </w:t>
      </w:r>
      <w:r w:rsidR="00DD7A24">
        <w:t xml:space="preserve">Co(II) </w:t>
      </w:r>
      <w:r w:rsidR="009D627A">
        <w:t>solutions were prepared for treatment. 0.1 M HNO</w:t>
      </w:r>
      <w:r w:rsidR="009D627A" w:rsidRPr="00197F64">
        <w:rPr>
          <w:vertAlign w:val="subscript"/>
        </w:rPr>
        <w:t>3</w:t>
      </w:r>
      <w:r w:rsidR="009D627A">
        <w:t xml:space="preserve"> and 0.1 </w:t>
      </w:r>
      <w:r w:rsidR="00DD7A24">
        <w:t xml:space="preserve">M </w:t>
      </w:r>
      <w:r w:rsidR="009D627A">
        <w:t>NaOH solutions were prepared for pH adjustment. To determine the effect of pH on the efficacy of Co(II) adsorption in the system, aqueous solutions with pH from 2 to 10 were prepared. The effect of initial contaminant concentration was determined by preparing</w:t>
      </w:r>
      <w:r w:rsidR="00DD7A24">
        <w:t xml:space="preserve"> Co(II)</w:t>
      </w:r>
      <w:r w:rsidR="009D627A">
        <w:t xml:space="preserve"> solutions varying from 25 to 1000 mg/L. The optimal adsorbent dosage was determined by conducting studies in the range 0.0125 to 1 g</w:t>
      </w:r>
      <w:r w:rsidR="006A3373">
        <w:t xml:space="preserve"> of MIWS</w:t>
      </w:r>
      <w:r w:rsidR="009D627A">
        <w:t xml:space="preserve">. </w:t>
      </w:r>
    </w:p>
    <w:p w14:paraId="1A9E91DD" w14:textId="7F2336E2" w:rsidR="009D627A" w:rsidRDefault="009D627A" w:rsidP="00453E24">
      <w:pPr>
        <w:pStyle w:val="CETBodytext"/>
        <w:rPr>
          <w:lang w:val="en-GB"/>
        </w:rPr>
      </w:pPr>
      <w:r>
        <w:t xml:space="preserve">The </w:t>
      </w:r>
      <w:r w:rsidR="00197F64">
        <w:t>experiments were conducted</w:t>
      </w:r>
      <w:r>
        <w:t xml:space="preserve"> for 24 h. Samples drawn were centrifuged and </w:t>
      </w:r>
      <w:r w:rsidR="00BB7DE3">
        <w:t>analyzed</w:t>
      </w:r>
      <w:r>
        <w:t xml:space="preserve"> using an </w:t>
      </w:r>
      <w:r w:rsidR="00BB7DE3" w:rsidRPr="00BB7DE3">
        <w:rPr>
          <w:lang w:val="en-GB"/>
        </w:rPr>
        <w:t>AAnalyst 400, Atomic Absorption Spectrometer (AAS) (PerkinElmer, Waltham, MA, USA)</w:t>
      </w:r>
      <w:r w:rsidR="00BB7DE3">
        <w:rPr>
          <w:lang w:val="en-GB"/>
        </w:rPr>
        <w:t xml:space="preserve"> to determine the residual Co(II) concentration. The removal efficiency was calculated by </w:t>
      </w:r>
      <w:proofErr w:type="spellStart"/>
      <w:r w:rsidR="00BB7DE3">
        <w:rPr>
          <w:lang w:val="en-GB"/>
        </w:rPr>
        <w:t>E</w:t>
      </w:r>
      <w:r w:rsidR="00197F64">
        <w:rPr>
          <w:lang w:val="en-GB"/>
        </w:rPr>
        <w:t>q</w:t>
      </w:r>
      <w:proofErr w:type="spellEnd"/>
      <w:r w:rsidR="00197F64">
        <w:rPr>
          <w:lang w:val="en-GB"/>
        </w:rPr>
        <w:t>(1)</w:t>
      </w:r>
      <w:r w:rsidR="00BB7DE3">
        <w:rPr>
          <w:lang w:val="en-GB"/>
        </w:rPr>
        <w:t xml:space="preserve"> where C</w:t>
      </w:r>
      <w:r w:rsidR="00BB7DE3" w:rsidRPr="00197F64">
        <w:rPr>
          <w:vertAlign w:val="subscript"/>
          <w:lang w:val="en-GB"/>
        </w:rPr>
        <w:t>o</w:t>
      </w:r>
      <w:r w:rsidR="00BB7DE3">
        <w:rPr>
          <w:lang w:val="en-GB"/>
        </w:rPr>
        <w:t xml:space="preserve"> is the initial contaminant concentration and C</w:t>
      </w:r>
      <w:r w:rsidR="00BB7DE3" w:rsidRPr="00197F64">
        <w:rPr>
          <w:vertAlign w:val="subscript"/>
          <w:lang w:val="en-GB"/>
        </w:rPr>
        <w:t>e</w:t>
      </w:r>
      <w:r w:rsidR="00BB7DE3">
        <w:rPr>
          <w:lang w:val="en-GB"/>
        </w:rPr>
        <w:t xml:space="preserve"> is the equilibrium concentration, both measured in mg/L.</w:t>
      </w:r>
    </w:p>
    <w:tbl>
      <w:tblPr>
        <w:tblW w:w="5000" w:type="pct"/>
        <w:tblLook w:val="04A0" w:firstRow="1" w:lastRow="0" w:firstColumn="1" w:lastColumn="0" w:noHBand="0" w:noVBand="1"/>
      </w:tblPr>
      <w:tblGrid>
        <w:gridCol w:w="7983"/>
        <w:gridCol w:w="804"/>
      </w:tblGrid>
      <w:tr w:rsidR="00BB7DE3" w:rsidRPr="00B57B36" w14:paraId="4B3478E8" w14:textId="77777777" w:rsidTr="00B55BA8">
        <w:tc>
          <w:tcPr>
            <w:tcW w:w="8188" w:type="dxa"/>
            <w:shd w:val="clear" w:color="auto" w:fill="auto"/>
            <w:vAlign w:val="center"/>
          </w:tcPr>
          <w:p w14:paraId="252F9E90" w14:textId="0D136917" w:rsidR="00BB7DE3" w:rsidRPr="00BB7DE3" w:rsidRDefault="00BB7DE3" w:rsidP="00BB7DE3">
            <w:pPr>
              <w:pStyle w:val="CETEquation"/>
            </w:pPr>
            <m:oMathPara>
              <m:oMathParaPr>
                <m:jc m:val="left"/>
              </m:oMathParaPr>
              <m:oMath>
                <m:r>
                  <w:rPr>
                    <w:rFonts w:ascii="Cambria Math" w:hAnsi="Cambria Math"/>
                  </w:rPr>
                  <m:t xml:space="preserve">% Removal=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o</m:t>
                        </m:r>
                      </m:sub>
                    </m:sSub>
                  </m:den>
                </m:f>
                <m:r>
                  <w:rPr>
                    <w:rFonts w:ascii="Cambria Math" w:hAnsi="Cambria Math"/>
                  </w:rPr>
                  <m:t>×100</m:t>
                </m:r>
              </m:oMath>
            </m:oMathPara>
          </w:p>
        </w:tc>
        <w:tc>
          <w:tcPr>
            <w:tcW w:w="815" w:type="dxa"/>
            <w:shd w:val="clear" w:color="auto" w:fill="auto"/>
            <w:vAlign w:val="center"/>
          </w:tcPr>
          <w:p w14:paraId="2EE2BB34" w14:textId="77777777" w:rsidR="00BB7DE3" w:rsidRPr="00B57B36" w:rsidRDefault="00BB7DE3" w:rsidP="00B55BA8">
            <w:pPr>
              <w:pStyle w:val="CETEquation"/>
              <w:jc w:val="right"/>
            </w:pPr>
            <w:r w:rsidRPr="00B57B36">
              <w:t>(1)</w:t>
            </w:r>
          </w:p>
        </w:tc>
      </w:tr>
    </w:tbl>
    <w:p w14:paraId="4455A5D6" w14:textId="7D03B3B7" w:rsidR="00BB7DE3" w:rsidRDefault="00BB7DE3" w:rsidP="00BB7DE3">
      <w:pPr>
        <w:pStyle w:val="CETheadingx"/>
      </w:pPr>
      <w:r>
        <w:t>Kinetic experiments</w:t>
      </w:r>
    </w:p>
    <w:p w14:paraId="67184753" w14:textId="6BE92B95" w:rsidR="00BB7DE3" w:rsidRDefault="00BB7DE3" w:rsidP="00BB7DE3">
      <w:pPr>
        <w:pStyle w:val="CETBodytext"/>
      </w:pPr>
      <w:r>
        <w:t>The time</w:t>
      </w:r>
      <w:r w:rsidR="00197F64">
        <w:t>-</w:t>
      </w:r>
      <w:r>
        <w:t>dependent behavior of the</w:t>
      </w:r>
      <w:r w:rsidR="00DD7A24">
        <w:t xml:space="preserve"> MIWS-Co(II) adsorbent -adsorbate</w:t>
      </w:r>
      <w:r>
        <w:t xml:space="preserve"> system was determined by conducting a kinetic experiment in triplicate under optimized conditions. Samples were withdrawn at set time intervals, centrifuged and </w:t>
      </w:r>
      <w:r w:rsidR="00FF628E">
        <w:t>analyzed</w:t>
      </w:r>
      <w:r>
        <w:t xml:space="preserve"> with AAS to obtain a kinetic profile giving insight into the time required by the system to reach equilibrium.</w:t>
      </w:r>
    </w:p>
    <w:p w14:paraId="3C802F99" w14:textId="67DE8644" w:rsidR="00E747DD" w:rsidRDefault="00E747DD" w:rsidP="00E747DD">
      <w:pPr>
        <w:pStyle w:val="CETheadingx"/>
      </w:pPr>
      <w:r>
        <w:t>Characterisation</w:t>
      </w:r>
    </w:p>
    <w:p w14:paraId="3341C8E3" w14:textId="0CCA3501" w:rsidR="00E747DD" w:rsidRPr="00E747DD" w:rsidRDefault="00E747DD" w:rsidP="00E747DD">
      <w:pPr>
        <w:pStyle w:val="CETBodytext"/>
      </w:pPr>
      <w:r>
        <w:rPr>
          <w:lang w:val="en-GB"/>
        </w:rPr>
        <w:t>A</w:t>
      </w:r>
      <w:r w:rsidRPr="00E747DD">
        <w:rPr>
          <w:lang w:val="en-GB"/>
        </w:rPr>
        <w:t xml:space="preserve"> high-resolution Field Emission Gun – Scanning Electron Microscope (FEG-SEM, Zeiss Ultra Plus, Oberkochen, Germany)</w:t>
      </w:r>
      <w:r>
        <w:rPr>
          <w:lang w:val="en-GB"/>
        </w:rPr>
        <w:t xml:space="preserve"> fitted </w:t>
      </w:r>
      <w:r w:rsidRPr="00E747DD">
        <w:rPr>
          <w:lang w:val="en-GB"/>
        </w:rPr>
        <w:t xml:space="preserve">with an </w:t>
      </w:r>
      <w:r w:rsidR="00197F64">
        <w:rPr>
          <w:lang w:val="en-GB"/>
        </w:rPr>
        <w:t>E</w:t>
      </w:r>
      <w:r w:rsidRPr="00E747DD">
        <w:rPr>
          <w:lang w:val="en-GB"/>
        </w:rPr>
        <w:t xml:space="preserve">nergy </w:t>
      </w:r>
      <w:r w:rsidR="00197F64">
        <w:rPr>
          <w:lang w:val="en-GB"/>
        </w:rPr>
        <w:t>D</w:t>
      </w:r>
      <w:r w:rsidRPr="00E747DD">
        <w:rPr>
          <w:lang w:val="en-GB"/>
        </w:rPr>
        <w:t xml:space="preserve">ispersive X-ray </w:t>
      </w:r>
      <w:r w:rsidR="00197F64">
        <w:rPr>
          <w:lang w:val="en-GB"/>
        </w:rPr>
        <w:t>S</w:t>
      </w:r>
      <w:r w:rsidRPr="00E747DD">
        <w:rPr>
          <w:lang w:val="en-GB"/>
        </w:rPr>
        <w:t>pectrometer (EDX) (Aztec version 3.0, Oxford Instruments)</w:t>
      </w:r>
      <w:r>
        <w:rPr>
          <w:lang w:val="en-GB"/>
        </w:rPr>
        <w:t xml:space="preserve"> was utilised to confirm the adsorption of the target contaminant onto the material and to determine whether any change is observed in the material’s morphology post adsorption.</w:t>
      </w:r>
    </w:p>
    <w:p w14:paraId="79109B69" w14:textId="26B0EF9C" w:rsidR="00E747DD" w:rsidRPr="00E747DD" w:rsidRDefault="00B34E48" w:rsidP="00E747DD">
      <w:pPr>
        <w:pStyle w:val="CETHeading1"/>
        <w:tabs>
          <w:tab w:val="clear" w:pos="360"/>
          <w:tab w:val="right" w:pos="7100"/>
        </w:tabs>
        <w:jc w:val="both"/>
        <w:rPr>
          <w:lang w:val="en-GB"/>
        </w:rPr>
      </w:pPr>
      <w:r>
        <w:rPr>
          <w:lang w:val="en-GB"/>
        </w:rPr>
        <w:t>Results and Discussion</w:t>
      </w:r>
    </w:p>
    <w:p w14:paraId="77A7A83E" w14:textId="7F0B516C" w:rsidR="000B1F58" w:rsidRPr="00EE7F9B" w:rsidRDefault="000B1F58" w:rsidP="000B1F58">
      <w:pPr>
        <w:pStyle w:val="CETBodytext"/>
      </w:pPr>
      <w:r w:rsidRPr="00EE7F9B">
        <w:t xml:space="preserve">The SEM/EDX analysis provided critical insights into the fate of Co(II) </w:t>
      </w:r>
      <w:r>
        <w:t>post</w:t>
      </w:r>
      <w:r w:rsidRPr="00EE7F9B">
        <w:t xml:space="preserve"> adsorption, as illustrated in F</w:t>
      </w:r>
      <w:r w:rsidR="00BD4649">
        <w:t>igure 1a to 1d</w:t>
      </w:r>
      <w:r w:rsidRPr="00EE7F9B">
        <w:t>, which display the pre-</w:t>
      </w:r>
      <w:r w:rsidR="00BD4649">
        <w:t xml:space="preserve">adsorption </w:t>
      </w:r>
      <w:r w:rsidRPr="00EE7F9B">
        <w:t xml:space="preserve">and post-adsorption results. The EDX spectrum confirmed the presence of Co(II) on the surface of the </w:t>
      </w:r>
      <w:r w:rsidR="00F918F4">
        <w:t>MIWS</w:t>
      </w:r>
      <w:r w:rsidRPr="00EE7F9B">
        <w:t xml:space="preserve">, demonstrating successful adsorption and validating the effectiveness of the material in capturing </w:t>
      </w:r>
      <w:r w:rsidR="006A3373">
        <w:t xml:space="preserve">the </w:t>
      </w:r>
      <w:r w:rsidRPr="00EE7F9B">
        <w:t xml:space="preserve">metal ions from </w:t>
      </w:r>
      <w:r>
        <w:t xml:space="preserve">the </w:t>
      </w:r>
      <w:r w:rsidRPr="00EE7F9B">
        <w:t xml:space="preserve">solution. </w:t>
      </w:r>
    </w:p>
    <w:p w14:paraId="6BC7ED42" w14:textId="7F83B306" w:rsidR="000B1F58" w:rsidRDefault="000B1F58" w:rsidP="000B1F58">
      <w:pPr>
        <w:pStyle w:val="CETBodytext"/>
      </w:pPr>
      <w:r w:rsidRPr="00EE7F9B">
        <w:t xml:space="preserve">Interestingly, a comparison of the SEM images before and after adsorption revealed minimal changes in the morphological structure of </w:t>
      </w:r>
      <w:r w:rsidR="00F918F4">
        <w:t>MIWS</w:t>
      </w:r>
      <w:r w:rsidRPr="00EE7F9B">
        <w:t xml:space="preserve">. This observation suggests that the adsorbent maintains its structural integrity during the adsorption process, which is a critical factor in evaluating material stability. </w:t>
      </w:r>
      <w:r>
        <w:t>T</w:t>
      </w:r>
      <w:r w:rsidRPr="00EE7F9B">
        <w:t xml:space="preserve">he preserved morphology of </w:t>
      </w:r>
      <w:r w:rsidR="00F918F4">
        <w:t>MIWS</w:t>
      </w:r>
      <w:r w:rsidRPr="00EE7F9B">
        <w:t xml:space="preserve"> indicates that it is a robust material capable of withstanding adsorption conditions without significant structural degradation. This stability enhances its potential for practical applications. Further studies on desorption and reusability could confirm the long-term effectiveness of </w:t>
      </w:r>
      <w:r w:rsidR="00F918F4">
        <w:t>MIWS</w:t>
      </w:r>
      <w:r w:rsidRPr="00EE7F9B">
        <w:t xml:space="preserve"> as a sustainable adsorbent for Co(II) removal.</w:t>
      </w:r>
    </w:p>
    <w:p w14:paraId="6ABF867A" w14:textId="77777777" w:rsidR="00586D1F" w:rsidRDefault="00586D1F" w:rsidP="000B1F58">
      <w:pPr>
        <w:pStyle w:val="CETBodytext"/>
      </w:pP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926"/>
      </w:tblGrid>
      <w:tr w:rsidR="000B1F58" w14:paraId="2AF4287A" w14:textId="77777777" w:rsidTr="00E964BC">
        <w:tc>
          <w:tcPr>
            <w:tcW w:w="5166" w:type="dxa"/>
          </w:tcPr>
          <w:p w14:paraId="5106686A" w14:textId="560EE326" w:rsidR="000B1F58" w:rsidRDefault="00BD4649" w:rsidP="008A6856">
            <w:pPr>
              <w:pStyle w:val="CETBodytext"/>
            </w:pPr>
            <w:r>
              <w:rPr>
                <w:noProof/>
              </w:rPr>
              <w:lastRenderedPageBreak/>
              <mc:AlternateContent>
                <mc:Choice Requires="wps">
                  <w:drawing>
                    <wp:anchor distT="45720" distB="45720" distL="114300" distR="114300" simplePos="0" relativeHeight="251659264" behindDoc="0" locked="0" layoutInCell="1" allowOverlap="1" wp14:anchorId="20947A36" wp14:editId="6D8D9AA1">
                      <wp:simplePos x="0" y="0"/>
                      <wp:positionH relativeFrom="column">
                        <wp:posOffset>58420</wp:posOffset>
                      </wp:positionH>
                      <wp:positionV relativeFrom="paragraph">
                        <wp:posOffset>1532839</wp:posOffset>
                      </wp:positionV>
                      <wp:extent cx="353568" cy="231648"/>
                      <wp:effectExtent l="0" t="0" r="2794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 cy="231648"/>
                              </a:xfrm>
                              <a:prstGeom prst="rect">
                                <a:avLst/>
                              </a:prstGeom>
                              <a:solidFill>
                                <a:srgbClr val="FFFFFF"/>
                              </a:solidFill>
                              <a:ln w="9525">
                                <a:solidFill>
                                  <a:srgbClr val="000000"/>
                                </a:solidFill>
                                <a:miter lim="800000"/>
                                <a:headEnd/>
                                <a:tailEnd/>
                              </a:ln>
                            </wps:spPr>
                            <wps:txbx>
                              <w:txbxContent>
                                <w:p w14:paraId="43000506" w14:textId="2932CA10" w:rsidR="00BD4649" w:rsidRDefault="00BD464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47A36" id="_x0000_t202" coordsize="21600,21600" o:spt="202" path="m,l,21600r21600,l21600,xe">
                      <v:stroke joinstyle="miter"/>
                      <v:path gradientshapeok="t" o:connecttype="rect"/>
                    </v:shapetype>
                    <v:shape id="Text Box 2" o:spid="_x0000_s1026" type="#_x0000_t202" style="position:absolute;left:0;text-align:left;margin-left:4.6pt;margin-top:120.7pt;width:27.85pt;height:1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">
                      <v:textbox>
                        <w:txbxContent>
                          <w:p w14:paraId="43000506" w14:textId="2932CA10" w:rsidR="00BD4649" w:rsidRDefault="00BD4649">
                            <w:r>
                              <w:t>(a)</w:t>
                            </w:r>
                          </w:p>
                        </w:txbxContent>
                      </v:textbox>
                    </v:shape>
                  </w:pict>
                </mc:Fallback>
              </mc:AlternateContent>
            </w:r>
            <w:r w:rsidR="000B1F58" w:rsidRPr="009E3232">
              <w:rPr>
                <w:rFonts w:ascii="Times New Roman" w:hAnsi="Times New Roman"/>
                <w:noProof/>
                <w:color w:val="000000" w:themeColor="text1"/>
                <w:sz w:val="24"/>
                <w:szCs w:val="24"/>
              </w:rPr>
              <w:drawing>
                <wp:inline distT="0" distB="0" distL="0" distR="0" wp14:anchorId="0C839E7A" wp14:editId="4310E6A2">
                  <wp:extent cx="2942082" cy="1925955"/>
                  <wp:effectExtent l="57150" t="0" r="48895" b="112395"/>
                  <wp:docPr id="101841640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2989227" cy="1956817"/>
                          </a:xfrm>
                          <a:prstGeom prst="rect">
                            <a:avLst/>
                          </a:prstGeom>
                          <a:ln/>
                          <a:effectLst>
                            <a:outerShdw blurRad="50800" dist="50800" dir="5400000" algn="ctr" rotWithShape="0">
                              <a:srgbClr val="000000">
                                <a:alpha val="71000"/>
                              </a:srgbClr>
                            </a:outerShdw>
                          </a:effectLst>
                        </pic:spPr>
                      </pic:pic>
                    </a:graphicData>
                  </a:graphic>
                </wp:inline>
              </w:drawing>
            </w:r>
          </w:p>
        </w:tc>
        <w:tc>
          <w:tcPr>
            <w:tcW w:w="4926" w:type="dxa"/>
          </w:tcPr>
          <w:p w14:paraId="7DE08FA8" w14:textId="142D0A4B" w:rsidR="000B1F58" w:rsidRDefault="00BD4649" w:rsidP="008A6856">
            <w:pPr>
              <w:pStyle w:val="CETBodytext"/>
            </w:pPr>
            <w:r>
              <w:rPr>
                <w:noProof/>
              </w:rPr>
              <mc:AlternateContent>
                <mc:Choice Requires="wps">
                  <w:drawing>
                    <wp:anchor distT="45720" distB="45720" distL="114300" distR="114300" simplePos="0" relativeHeight="251661312" behindDoc="0" locked="0" layoutInCell="1" allowOverlap="1" wp14:anchorId="76A0DAAA" wp14:editId="2C7C6BD7">
                      <wp:simplePos x="0" y="0"/>
                      <wp:positionH relativeFrom="column">
                        <wp:posOffset>12192</wp:posOffset>
                      </wp:positionH>
                      <wp:positionV relativeFrom="paragraph">
                        <wp:posOffset>1551178</wp:posOffset>
                      </wp:positionV>
                      <wp:extent cx="353568" cy="231648"/>
                      <wp:effectExtent l="0" t="0" r="27940" b="16510"/>
                      <wp:wrapNone/>
                      <wp:docPr id="753917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 cy="231648"/>
                              </a:xfrm>
                              <a:prstGeom prst="rect">
                                <a:avLst/>
                              </a:prstGeom>
                              <a:solidFill>
                                <a:srgbClr val="FFFFFF"/>
                              </a:solidFill>
                              <a:ln w="9525">
                                <a:solidFill>
                                  <a:srgbClr val="000000"/>
                                </a:solidFill>
                                <a:miter lim="800000"/>
                                <a:headEnd/>
                                <a:tailEnd/>
                              </a:ln>
                            </wps:spPr>
                            <wps:txbx>
                              <w:txbxContent>
                                <w:p w14:paraId="042DA145" w14:textId="0DBB1A93" w:rsidR="00BD4649" w:rsidRDefault="00BD4649" w:rsidP="00BD464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0DAAA" id="_x0000_s1027" type="#_x0000_t202" style="position:absolute;left:0;text-align:left;margin-left:.95pt;margin-top:122.15pt;width:27.85pt;height:1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">
                      <v:textbox>
                        <w:txbxContent>
                          <w:p w14:paraId="042DA145" w14:textId="0DBB1A93" w:rsidR="00BD4649" w:rsidRDefault="00BD4649" w:rsidP="00BD4649">
                            <w:r>
                              <w:t>(b)</w:t>
                            </w:r>
                          </w:p>
                        </w:txbxContent>
                      </v:textbox>
                    </v:shape>
                  </w:pict>
                </mc:Fallback>
              </mc:AlternateContent>
            </w:r>
            <w:r w:rsidR="00AF5FF5">
              <w:rPr>
                <w:noProof/>
              </w:rPr>
              <w:drawing>
                <wp:inline distT="0" distB="0" distL="0" distR="0" wp14:anchorId="5F351C72" wp14:editId="569D8005">
                  <wp:extent cx="2570205" cy="1927580"/>
                  <wp:effectExtent l="0" t="0" r="1905" b="0"/>
                  <wp:docPr id="1596454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6997" name="Picture 67026997"/>
                          <pic:cNvPicPr/>
                        </pic:nvPicPr>
                        <pic:blipFill>
                          <a:blip r:embed="rId11"/>
                          <a:stretch>
                            <a:fillRect/>
                          </a:stretch>
                        </pic:blipFill>
                        <pic:spPr>
                          <a:xfrm>
                            <a:off x="0" y="0"/>
                            <a:ext cx="2623003" cy="1967177"/>
                          </a:xfrm>
                          <a:prstGeom prst="rect">
                            <a:avLst/>
                          </a:prstGeom>
                        </pic:spPr>
                      </pic:pic>
                    </a:graphicData>
                  </a:graphic>
                </wp:inline>
              </w:drawing>
            </w:r>
          </w:p>
        </w:tc>
      </w:tr>
      <w:tr w:rsidR="000B1F58" w14:paraId="20A59CF8" w14:textId="77777777" w:rsidTr="00E964BC">
        <w:tc>
          <w:tcPr>
            <w:tcW w:w="5166" w:type="dxa"/>
          </w:tcPr>
          <w:p w14:paraId="73C1A151" w14:textId="5837EEA2" w:rsidR="000B1F58" w:rsidRDefault="00BD4649" w:rsidP="008A6856">
            <w:pPr>
              <w:pStyle w:val="CETBodytext"/>
            </w:pPr>
            <w:r>
              <w:rPr>
                <w:noProof/>
              </w:rPr>
              <mc:AlternateContent>
                <mc:Choice Requires="wps">
                  <w:drawing>
                    <wp:anchor distT="45720" distB="45720" distL="114300" distR="114300" simplePos="0" relativeHeight="251663360" behindDoc="0" locked="0" layoutInCell="1" allowOverlap="1" wp14:anchorId="039EA54A" wp14:editId="1C09FBAA">
                      <wp:simplePos x="0" y="0"/>
                      <wp:positionH relativeFrom="column">
                        <wp:posOffset>2611120</wp:posOffset>
                      </wp:positionH>
                      <wp:positionV relativeFrom="paragraph">
                        <wp:posOffset>1321452</wp:posOffset>
                      </wp:positionV>
                      <wp:extent cx="353568" cy="231648"/>
                      <wp:effectExtent l="0" t="0" r="27940" b="16510"/>
                      <wp:wrapNone/>
                      <wp:docPr id="1086836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 cy="231648"/>
                              </a:xfrm>
                              <a:prstGeom prst="rect">
                                <a:avLst/>
                              </a:prstGeom>
                              <a:solidFill>
                                <a:srgbClr val="FFFFFF"/>
                              </a:solidFill>
                              <a:ln w="9525">
                                <a:solidFill>
                                  <a:srgbClr val="000000"/>
                                </a:solidFill>
                                <a:miter lim="800000"/>
                                <a:headEnd/>
                                <a:tailEnd/>
                              </a:ln>
                            </wps:spPr>
                            <wps:txbx>
                              <w:txbxContent>
                                <w:p w14:paraId="0442419A" w14:textId="092907B4" w:rsidR="00BD4649" w:rsidRDefault="00BD4649" w:rsidP="00BD464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EA54A" id="_x0000_s1028" type="#_x0000_t202" style="position:absolute;left:0;text-align:left;margin-left:205.6pt;margin-top:104.05pt;width:27.85pt;height:1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">
                      <v:textbox>
                        <w:txbxContent>
                          <w:p w14:paraId="0442419A" w14:textId="092907B4" w:rsidR="00BD4649" w:rsidRDefault="00BD4649" w:rsidP="00BD4649">
                            <w:r>
                              <w:t>(c)</w:t>
                            </w:r>
                          </w:p>
                        </w:txbxContent>
                      </v:textbox>
                    </v:shape>
                  </w:pict>
                </mc:Fallback>
              </mc:AlternateContent>
            </w:r>
            <w:r w:rsidR="00E964BC">
              <w:rPr>
                <w:rFonts w:ascii="Calibri" w:hAnsi="Calibri" w:cs="Calibri"/>
                <w:noProof/>
                <w:color w:val="000000"/>
                <w:sz w:val="22"/>
                <w:szCs w:val="22"/>
                <w:bdr w:val="none" w:sz="0" w:space="0" w:color="auto" w:frame="1"/>
              </w:rPr>
              <w:drawing>
                <wp:inline distT="0" distB="0" distL="0" distR="0" wp14:anchorId="74CAA107" wp14:editId="5B955D3C">
                  <wp:extent cx="3014980" cy="1743727"/>
                  <wp:effectExtent l="0" t="0" r="0" b="8890"/>
                  <wp:docPr id="445124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866" cy="1763903"/>
                          </a:xfrm>
                          <a:prstGeom prst="rect">
                            <a:avLst/>
                          </a:prstGeom>
                          <a:noFill/>
                          <a:ln>
                            <a:noFill/>
                          </a:ln>
                        </pic:spPr>
                      </pic:pic>
                    </a:graphicData>
                  </a:graphic>
                </wp:inline>
              </w:drawing>
            </w:r>
          </w:p>
        </w:tc>
        <w:tc>
          <w:tcPr>
            <w:tcW w:w="4926" w:type="dxa"/>
          </w:tcPr>
          <w:p w14:paraId="665687D3" w14:textId="5A3B06D0" w:rsidR="000B1F58" w:rsidRDefault="00BD4649" w:rsidP="008A6856">
            <w:pPr>
              <w:pStyle w:val="CETBodytext"/>
            </w:pPr>
            <w:r>
              <w:rPr>
                <w:noProof/>
              </w:rPr>
              <mc:AlternateContent>
                <mc:Choice Requires="wps">
                  <w:drawing>
                    <wp:anchor distT="45720" distB="45720" distL="114300" distR="114300" simplePos="0" relativeHeight="251665408" behindDoc="0" locked="0" layoutInCell="1" allowOverlap="1" wp14:anchorId="6F5ECFE9" wp14:editId="600F533C">
                      <wp:simplePos x="0" y="0"/>
                      <wp:positionH relativeFrom="column">
                        <wp:posOffset>2250508</wp:posOffset>
                      </wp:positionH>
                      <wp:positionV relativeFrom="paragraph">
                        <wp:posOffset>1346869</wp:posOffset>
                      </wp:positionV>
                      <wp:extent cx="353568" cy="231648"/>
                      <wp:effectExtent l="0" t="0" r="27940" b="16510"/>
                      <wp:wrapNone/>
                      <wp:docPr id="371457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 cy="231648"/>
                              </a:xfrm>
                              <a:prstGeom prst="rect">
                                <a:avLst/>
                              </a:prstGeom>
                              <a:solidFill>
                                <a:srgbClr val="FFFFFF"/>
                              </a:solidFill>
                              <a:ln w="9525">
                                <a:solidFill>
                                  <a:srgbClr val="000000"/>
                                </a:solidFill>
                                <a:miter lim="800000"/>
                                <a:headEnd/>
                                <a:tailEnd/>
                              </a:ln>
                            </wps:spPr>
                            <wps:txbx>
                              <w:txbxContent>
                                <w:p w14:paraId="06193CAA" w14:textId="6C07A0C6" w:rsidR="00BD4649" w:rsidRDefault="00BD4649" w:rsidP="00BD464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CFE9" id="_x0000_s1029" type="#_x0000_t202" style="position:absolute;left:0;text-align:left;margin-left:177.2pt;margin-top:106.05pt;width:27.85pt;height:1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">
                      <v:textbox>
                        <w:txbxContent>
                          <w:p w14:paraId="06193CAA" w14:textId="6C07A0C6" w:rsidR="00BD4649" w:rsidRDefault="00BD4649" w:rsidP="00BD4649">
                            <w:r>
                              <w:t>(d)</w:t>
                            </w:r>
                          </w:p>
                        </w:txbxContent>
                      </v:textbox>
                    </v:shape>
                  </w:pict>
                </mc:Fallback>
              </mc:AlternateContent>
            </w:r>
            <w:r w:rsidR="00AF5FF5">
              <w:rPr>
                <w:rFonts w:ascii="Calibri" w:hAnsi="Calibri" w:cs="Calibri"/>
                <w:noProof/>
                <w:color w:val="000000"/>
                <w:sz w:val="22"/>
                <w:szCs w:val="22"/>
                <w:bdr w:val="none" w:sz="0" w:space="0" w:color="auto" w:frame="1"/>
              </w:rPr>
              <w:drawing>
                <wp:inline distT="0" distB="0" distL="0" distR="0" wp14:anchorId="7730AEE4" wp14:editId="6EDA90B6">
                  <wp:extent cx="2644346" cy="1766045"/>
                  <wp:effectExtent l="0" t="0" r="3810" b="5715"/>
                  <wp:docPr id="1750237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2707" cy="1805021"/>
                          </a:xfrm>
                          <a:prstGeom prst="rect">
                            <a:avLst/>
                          </a:prstGeom>
                          <a:noFill/>
                          <a:ln>
                            <a:noFill/>
                          </a:ln>
                        </pic:spPr>
                      </pic:pic>
                    </a:graphicData>
                  </a:graphic>
                </wp:inline>
              </w:drawing>
            </w:r>
          </w:p>
        </w:tc>
      </w:tr>
    </w:tbl>
    <w:p w14:paraId="7AD5D1CD" w14:textId="7EAA01E2" w:rsidR="000B1F58" w:rsidRPr="00794FAF" w:rsidRDefault="000B1F58" w:rsidP="00794FAF">
      <w:pPr>
        <w:pStyle w:val="CETCaption"/>
        <w:rPr>
          <w:rStyle w:val="CETCaptionCarattere"/>
          <w:i/>
        </w:rPr>
      </w:pPr>
      <w:r w:rsidRPr="00794FAF">
        <w:rPr>
          <w:rStyle w:val="CETCaptionCarattere"/>
          <w:i/>
        </w:rPr>
        <w:t xml:space="preserve">Figure 1: </w:t>
      </w:r>
      <w:r w:rsidR="00794FAF" w:rsidRPr="00794FAF">
        <w:rPr>
          <w:rStyle w:val="CETCaptionCarattere"/>
          <w:i/>
        </w:rPr>
        <w:t xml:space="preserve">SEM graphs of </w:t>
      </w:r>
      <w:r w:rsidR="00F918F4">
        <w:rPr>
          <w:rStyle w:val="CETCaptionCarattere"/>
          <w:i/>
        </w:rPr>
        <w:t>MIWS</w:t>
      </w:r>
      <w:r w:rsidR="00E645CC">
        <w:rPr>
          <w:rStyle w:val="CETCaptionCarattere"/>
          <w:i/>
        </w:rPr>
        <w:t>:</w:t>
      </w:r>
      <w:r w:rsidR="00794FAF" w:rsidRPr="00794FAF">
        <w:rPr>
          <w:rStyle w:val="CETCaptionCarattere"/>
          <w:i/>
        </w:rPr>
        <w:t xml:space="preserve"> (a) before adsorption and (b) after adsorption, illustrating morphological changes. EDX spectra: (c) pre-adsorption and (d) post-adsorption, confirming the presence and distribution of Co(II) on the adsorbent surface</w:t>
      </w:r>
    </w:p>
    <w:p w14:paraId="743DB4AF" w14:textId="0D568A0F" w:rsidR="005C34B8" w:rsidRPr="00794FAF" w:rsidRDefault="005C34B8" w:rsidP="000B1F58">
      <w:pPr>
        <w:pStyle w:val="CETBodytext"/>
      </w:pPr>
      <w:r w:rsidRPr="00794FAF">
        <w:t>The pH of a solution is a critical parameter in the adsorption of metal ions such as Co(II) because it influences the surface charge of the adsorbent. At low pH values, the presence of excess H</w:t>
      </w:r>
      <w:r w:rsidRPr="00794FAF">
        <w:rPr>
          <w:rFonts w:ascii="Cambria Math" w:hAnsi="Cambria Math" w:cs="Cambria Math"/>
        </w:rPr>
        <w:t>⁺</w:t>
      </w:r>
      <w:r w:rsidRPr="00794FAF">
        <w:t xml:space="preserve"> ions can compete with metal cations for adsorption sites, leading to lower adsorption efficiency. However, </w:t>
      </w:r>
      <w:r w:rsidR="00DD7A24">
        <w:t>with</w:t>
      </w:r>
      <w:r w:rsidRPr="00794FAF">
        <w:t>in the</w:t>
      </w:r>
      <w:r w:rsidR="00DD7A24">
        <w:t xml:space="preserve"> studied</w:t>
      </w:r>
      <w:r w:rsidRPr="00794FAF">
        <w:t xml:space="preserve"> pH range</w:t>
      </w:r>
      <w:r w:rsidR="00DD7A24">
        <w:t xml:space="preserve"> of 2 – 10</w:t>
      </w:r>
      <w:r w:rsidRPr="00794FAF">
        <w:t>, it was observed that pH had no significant impact on the system’s behavior (F</w:t>
      </w:r>
      <w:r w:rsidR="00E645CC">
        <w:t>igure 2a</w:t>
      </w:r>
      <w:r w:rsidRPr="00794FAF">
        <w:t>)</w:t>
      </w:r>
      <w:r w:rsidR="00622BFA" w:rsidRPr="00794FAF">
        <w:t xml:space="preserve">. </w:t>
      </w:r>
    </w:p>
    <w:p w14:paraId="698169AD" w14:textId="146AB8F3" w:rsidR="005C34B8" w:rsidRPr="00794FAF" w:rsidRDefault="005C34B8" w:rsidP="005C34B8">
      <w:pPr>
        <w:pStyle w:val="CETBodytext"/>
      </w:pPr>
      <w:r w:rsidRPr="00794FAF">
        <w:t xml:space="preserve">Beyond a pH of </w:t>
      </w:r>
      <w:r w:rsidR="00E645CC">
        <w:t xml:space="preserve">approximately </w:t>
      </w:r>
      <w:r w:rsidRPr="00794FAF">
        <w:t xml:space="preserve">7, </w:t>
      </w:r>
      <w:r w:rsidR="00540B2C">
        <w:t>Co(II)</w:t>
      </w:r>
      <w:r w:rsidRPr="00794FAF">
        <w:t xml:space="preserve"> begin</w:t>
      </w:r>
      <w:r w:rsidR="00540B2C">
        <w:t>s</w:t>
      </w:r>
      <w:r w:rsidRPr="00794FAF">
        <w:t xml:space="preserve"> to precipitate altering the removal mechanism from pure adsorption to a combination of adsorption and precipitation. This effect has been reported in similar studies on metal adsorption, where a shift from ion exchange to hydroxide precipitation occurs at higher pH levels. To ensure that adsorption remained the primary mechanism, the </w:t>
      </w:r>
      <w:r w:rsidR="00F57C4D">
        <w:t>inherent</w:t>
      </w:r>
      <w:r w:rsidRPr="00794FAF">
        <w:t xml:space="preserve"> </w:t>
      </w:r>
      <w:r w:rsidR="00F57C4D">
        <w:t xml:space="preserve">(unadjusted) </w:t>
      </w:r>
      <w:r w:rsidRPr="00794FAF">
        <w:t>pH of the solution</w:t>
      </w:r>
      <w:r w:rsidR="007D4038">
        <w:t xml:space="preserve"> – approximately 5 – </w:t>
      </w:r>
      <w:r w:rsidRPr="00794FAF">
        <w:t>was selected as the optimal pH for further experiments</w:t>
      </w:r>
      <w:r w:rsidR="00622BFA" w:rsidRPr="00794FAF">
        <w:t xml:space="preserve"> avoiding additional chemical requirements</w:t>
      </w:r>
      <w:r w:rsidR="006A3373">
        <w:t xml:space="preserve"> for pH adjustment</w:t>
      </w:r>
      <w:r w:rsidRPr="00794FAF">
        <w:t>.</w:t>
      </w:r>
    </w:p>
    <w:p w14:paraId="73EF3784" w14:textId="5A1DDAAB" w:rsidR="005C34B8" w:rsidRPr="00794FAF" w:rsidRDefault="005C34B8" w:rsidP="005C34B8">
      <w:pPr>
        <w:pStyle w:val="CETBodytext"/>
      </w:pPr>
      <w:r w:rsidRPr="00794FAF">
        <w:t>The effect of initial Co(II) concentration on adsorption efficiency was investigated, as shown in F</w:t>
      </w:r>
      <w:r w:rsidR="007A228B">
        <w:t>igure 2b</w:t>
      </w:r>
      <w:r w:rsidRPr="00794FAF">
        <w:t xml:space="preserve">. It was observed that as the initial concentration increased, the removal efficiency declined significantly, reducing to a third of its initial efficiency at the highest concentration tested. This trend is commonly observed in adsorption studies, as higher metal </w:t>
      </w:r>
      <w:r w:rsidR="006A3373">
        <w:t xml:space="preserve">ion </w:t>
      </w:r>
      <w:r w:rsidRPr="00794FAF">
        <w:t>concentrations lead to a greater number of Co(II) ions competing for a finite number of adsorption sites. At lower concentrations, the available binding sites on the adsorbent surface are in excess, leading to higher removal efficienc</w:t>
      </w:r>
      <w:r w:rsidR="007A228B">
        <w:t>ies</w:t>
      </w:r>
      <w:r w:rsidRPr="00794FAF">
        <w:t>. However, as the concentration increases, saturation of adsorption sites occurs, reducing overall efficiency. The optimal concentration for effective removal was determined to be 100 mg/L, as beyond this, a substantial decrease in efficiency was observed.</w:t>
      </w:r>
    </w:p>
    <w:p w14:paraId="7FF31D72" w14:textId="133CDD4E" w:rsidR="005C34B8" w:rsidRDefault="005C34B8" w:rsidP="005C34B8">
      <w:pPr>
        <w:pStyle w:val="CETBodytext"/>
      </w:pPr>
      <w:r w:rsidRPr="00794FAF">
        <w:t>The effect of adsorbent dosage was assessed within the range of 0.0125 to 1 g. It was observed that adsorption efficiency increased with dosage up to 0.5 g</w:t>
      </w:r>
      <w:r w:rsidR="006A3373">
        <w:t xml:space="preserve"> MIWS</w:t>
      </w:r>
      <w:r w:rsidRPr="00794FAF">
        <w:t xml:space="preserve">, beyond which no appreciable improvement was noted </w:t>
      </w:r>
      <w:r w:rsidR="006A3373">
        <w:t>(</w:t>
      </w:r>
      <w:r w:rsidR="007A228B">
        <w:t>Figure 2c</w:t>
      </w:r>
      <w:r w:rsidR="006A3373">
        <w:t>)</w:t>
      </w:r>
      <w:r w:rsidRPr="00794FAF">
        <w:t xml:space="preserve">. This plateau effect suggests that at higher dosages, excess adsorbent remains underutilized, as available adsorption </w:t>
      </w:r>
      <w:r>
        <w:t>sites outnumber the metal ions present in solution. Additionally, excessive adsorbent use could introduce economic and practical challenges in large-scale applications, making 0.5 g the optimal dose for further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2"/>
      </w:tblGrid>
      <w:tr w:rsidR="00E964BC" w:rsidRPr="009E3232" w14:paraId="36A0DC6C" w14:textId="77777777" w:rsidTr="002E5D44">
        <w:trPr>
          <w:trHeight w:val="161"/>
        </w:trPr>
        <w:tc>
          <w:tcPr>
            <w:tcW w:w="8332" w:type="dxa"/>
          </w:tcPr>
          <w:p w14:paraId="7C93368E" w14:textId="120EA951" w:rsidR="00E964BC" w:rsidRPr="00E964BC" w:rsidRDefault="00E964BC" w:rsidP="00E964BC">
            <w:pPr>
              <w:keepNext/>
              <w:spacing w:line="360" w:lineRule="auto"/>
              <w:jc w:val="left"/>
              <w:rPr>
                <w:rFonts w:cs="Arial"/>
                <w:noProof/>
                <w:szCs w:val="18"/>
              </w:rPr>
            </w:pPr>
            <w:r w:rsidRPr="00E964BC">
              <w:rPr>
                <w:rFonts w:cs="Arial"/>
                <w:color w:val="000000" w:themeColor="text1"/>
                <w:szCs w:val="18"/>
              </w:rPr>
              <w:lastRenderedPageBreak/>
              <w:t>(a)</w:t>
            </w:r>
          </w:p>
        </w:tc>
      </w:tr>
      <w:tr w:rsidR="00E964BC" w:rsidRPr="009E3232" w14:paraId="75FF8CD4" w14:textId="77777777" w:rsidTr="002E5D44">
        <w:trPr>
          <w:trHeight w:val="3554"/>
        </w:trPr>
        <w:tc>
          <w:tcPr>
            <w:tcW w:w="8332" w:type="dxa"/>
          </w:tcPr>
          <w:p w14:paraId="005C74F5" w14:textId="406CB2EF" w:rsidR="00E964BC" w:rsidRPr="009E3232" w:rsidRDefault="00E964BC" w:rsidP="00E964BC">
            <w:pPr>
              <w:keepNext/>
              <w:spacing w:line="360" w:lineRule="auto"/>
              <w:jc w:val="left"/>
              <w:rPr>
                <w:rFonts w:ascii="Times New Roman" w:hAnsi="Times New Roman"/>
                <w:b/>
                <w:bCs/>
                <w:color w:val="000000" w:themeColor="text1"/>
                <w:sz w:val="24"/>
                <w:szCs w:val="24"/>
              </w:rPr>
            </w:pPr>
            <w:r>
              <w:rPr>
                <w:noProof/>
              </w:rPr>
              <w:drawing>
                <wp:inline distT="0" distB="0" distL="0" distR="0" wp14:anchorId="6B79B51A" wp14:editId="4F36CA8B">
                  <wp:extent cx="3890683" cy="2205317"/>
                  <wp:effectExtent l="0" t="0" r="0" b="5080"/>
                  <wp:docPr id="1174225377" name="Chart 1">
                    <a:extLst xmlns:a="http://schemas.openxmlformats.org/drawingml/2006/main">
                      <a:ext uri="{FF2B5EF4-FFF2-40B4-BE49-F238E27FC236}">
                        <a16:creationId xmlns:a16="http://schemas.microsoft.com/office/drawing/2014/main" id="{09AD7929-6AF6-09A5-F67A-86453275C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E964BC" w:rsidRPr="009E3232" w14:paraId="78556BDE" w14:textId="77777777" w:rsidTr="002E5D44">
        <w:trPr>
          <w:trHeight w:val="269"/>
        </w:trPr>
        <w:tc>
          <w:tcPr>
            <w:tcW w:w="8332" w:type="dxa"/>
          </w:tcPr>
          <w:p w14:paraId="42B36C7A" w14:textId="7AC128D5" w:rsidR="00E964BC" w:rsidRPr="002E5D44" w:rsidRDefault="00E964BC" w:rsidP="00E964BC">
            <w:pPr>
              <w:keepNext/>
              <w:spacing w:line="360" w:lineRule="auto"/>
              <w:jc w:val="left"/>
              <w:rPr>
                <w:rFonts w:cs="Arial"/>
                <w:noProof/>
                <w:szCs w:val="18"/>
              </w:rPr>
            </w:pPr>
            <w:r w:rsidRPr="002E5D44">
              <w:rPr>
                <w:rFonts w:cs="Arial"/>
                <w:color w:val="000000" w:themeColor="text1"/>
                <w:szCs w:val="18"/>
              </w:rPr>
              <w:t>(b)</w:t>
            </w:r>
          </w:p>
        </w:tc>
      </w:tr>
      <w:tr w:rsidR="00E964BC" w:rsidRPr="009E3232" w14:paraId="38751EB6" w14:textId="77777777" w:rsidTr="002E5D44">
        <w:trPr>
          <w:trHeight w:val="3680"/>
        </w:trPr>
        <w:tc>
          <w:tcPr>
            <w:tcW w:w="8332" w:type="dxa"/>
          </w:tcPr>
          <w:p w14:paraId="62642F3D" w14:textId="21B45C51" w:rsidR="00E964BC" w:rsidRPr="009E3232" w:rsidRDefault="00E964BC" w:rsidP="00E964BC">
            <w:pPr>
              <w:keepNext/>
              <w:spacing w:line="360" w:lineRule="auto"/>
              <w:jc w:val="left"/>
              <w:rPr>
                <w:rFonts w:ascii="Times New Roman" w:hAnsi="Times New Roman"/>
                <w:color w:val="000000" w:themeColor="text1"/>
                <w:sz w:val="24"/>
                <w:szCs w:val="24"/>
              </w:rPr>
            </w:pPr>
            <w:r>
              <w:rPr>
                <w:noProof/>
              </w:rPr>
              <w:drawing>
                <wp:inline distT="0" distB="0" distL="0" distR="0" wp14:anchorId="37F8DCC3" wp14:editId="69207371">
                  <wp:extent cx="3916392" cy="2329132"/>
                  <wp:effectExtent l="0" t="0" r="8255" b="0"/>
                  <wp:docPr id="2077014672" name="Chart 1">
                    <a:extLst xmlns:a="http://schemas.openxmlformats.org/drawingml/2006/main">
                      <a:ext uri="{FF2B5EF4-FFF2-40B4-BE49-F238E27FC236}">
                        <a16:creationId xmlns:a16="http://schemas.microsoft.com/office/drawing/2014/main" id="{92EF00CE-B32D-B944-47E8-FD943C05A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E964BC" w:rsidRPr="009E3232" w14:paraId="24D98982" w14:textId="77777777" w:rsidTr="002E5D44">
        <w:trPr>
          <w:trHeight w:val="431"/>
        </w:trPr>
        <w:tc>
          <w:tcPr>
            <w:tcW w:w="8332" w:type="dxa"/>
          </w:tcPr>
          <w:p w14:paraId="13C9193A" w14:textId="6E269328" w:rsidR="00E964BC" w:rsidRPr="002E5D44" w:rsidRDefault="00E964BC" w:rsidP="00E964BC">
            <w:pPr>
              <w:keepNext/>
              <w:spacing w:line="360" w:lineRule="auto"/>
              <w:rPr>
                <w:noProof/>
              </w:rPr>
            </w:pPr>
            <w:r w:rsidRPr="002E5D44">
              <w:rPr>
                <w:rFonts w:cs="Arial"/>
                <w:color w:val="000000" w:themeColor="text1"/>
                <w:szCs w:val="18"/>
              </w:rPr>
              <w:t>(c)</w:t>
            </w:r>
          </w:p>
        </w:tc>
      </w:tr>
      <w:tr w:rsidR="00E964BC" w:rsidRPr="009E3232" w14:paraId="2EB83298" w14:textId="77777777" w:rsidTr="002E5D44">
        <w:trPr>
          <w:trHeight w:val="3698"/>
        </w:trPr>
        <w:tc>
          <w:tcPr>
            <w:tcW w:w="8332" w:type="dxa"/>
          </w:tcPr>
          <w:p w14:paraId="444BE5B5" w14:textId="77777777" w:rsidR="00E964BC" w:rsidRPr="001710C5" w:rsidRDefault="00E964BC" w:rsidP="00E964BC">
            <w:pPr>
              <w:keepNext/>
              <w:spacing w:line="360" w:lineRule="auto"/>
              <w:jc w:val="left"/>
              <w:rPr>
                <w:rFonts w:ascii="Times New Roman" w:hAnsi="Times New Roman"/>
                <w:b/>
                <w:bCs/>
                <w:color w:val="000000" w:themeColor="text1"/>
                <w:sz w:val="24"/>
                <w:szCs w:val="24"/>
              </w:rPr>
            </w:pPr>
            <w:r>
              <w:rPr>
                <w:noProof/>
              </w:rPr>
              <w:drawing>
                <wp:inline distT="0" distB="0" distL="0" distR="0" wp14:anchorId="090609B9" wp14:editId="0271D2A6">
                  <wp:extent cx="3872230" cy="2190750"/>
                  <wp:effectExtent l="0" t="0" r="0" b="0"/>
                  <wp:docPr id="182688565" name="Chart 1">
                    <a:extLst xmlns:a="http://schemas.openxmlformats.org/drawingml/2006/main">
                      <a:ext uri="{FF2B5EF4-FFF2-40B4-BE49-F238E27FC236}">
                        <a16:creationId xmlns:a16="http://schemas.microsoft.com/office/drawing/2014/main" id="{374263AA-B388-CF0B-939F-D2A78D825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161CF4A" w14:textId="60D5A1B8" w:rsidR="00C874D0" w:rsidRPr="00BD077D" w:rsidRDefault="00C874D0" w:rsidP="00C874D0">
      <w:pPr>
        <w:pStyle w:val="CETCaption"/>
      </w:pPr>
      <w:r w:rsidRPr="00BD077D">
        <w:rPr>
          <w:rStyle w:val="CETCaptionCarattere"/>
          <w:i/>
        </w:rPr>
        <w:t xml:space="preserve">Figure </w:t>
      </w:r>
      <w:r w:rsidR="007A228B">
        <w:rPr>
          <w:rStyle w:val="CETCaptionCarattere"/>
          <w:i/>
        </w:rPr>
        <w:t>2</w:t>
      </w:r>
      <w:r w:rsidRPr="00BD077D">
        <w:rPr>
          <w:rStyle w:val="CETCaptionCarattere"/>
          <w:i/>
        </w:rPr>
        <w:t>:</w:t>
      </w:r>
      <w:r>
        <w:rPr>
          <w:rStyle w:val="CETCaptionCarattere"/>
          <w:i/>
        </w:rPr>
        <w:t xml:space="preserve"> Key adsorption parameter optimisation results for (a) pH dependence of </w:t>
      </w:r>
      <w:r w:rsidR="00723306">
        <w:rPr>
          <w:rStyle w:val="CETCaptionCarattere"/>
          <w:i/>
        </w:rPr>
        <w:t xml:space="preserve">the </w:t>
      </w:r>
      <w:r>
        <w:rPr>
          <w:rStyle w:val="CETCaptionCarattere"/>
          <w:i/>
        </w:rPr>
        <w:t xml:space="preserve">system, (b) effect of </w:t>
      </w:r>
      <w:r w:rsidR="007A228B">
        <w:rPr>
          <w:rStyle w:val="CETCaptionCarattere"/>
          <w:i/>
        </w:rPr>
        <w:t xml:space="preserve">Co(II) </w:t>
      </w:r>
      <w:r>
        <w:rPr>
          <w:rStyle w:val="CETCaptionCarattere"/>
          <w:i/>
        </w:rPr>
        <w:t xml:space="preserve">initial concentration and (c) </w:t>
      </w:r>
      <w:r w:rsidR="00F918F4">
        <w:rPr>
          <w:rStyle w:val="CETCaptionCarattere"/>
          <w:i/>
        </w:rPr>
        <w:t>MIWS</w:t>
      </w:r>
      <w:r>
        <w:rPr>
          <w:rStyle w:val="CETCaptionCarattere"/>
          <w:i/>
        </w:rPr>
        <w:t xml:space="preserve"> adsorbent dosage</w:t>
      </w:r>
    </w:p>
    <w:p w14:paraId="6378B9FB" w14:textId="77777777" w:rsidR="002E5D44" w:rsidRDefault="002E5D44" w:rsidP="005C34B8">
      <w:pPr>
        <w:pStyle w:val="CETBodytext"/>
      </w:pPr>
    </w:p>
    <w:p w14:paraId="05C3FE3A" w14:textId="5040DD5B" w:rsidR="00622BFA" w:rsidRDefault="00622BFA" w:rsidP="005C34B8">
      <w:pPr>
        <w:pStyle w:val="CETBodytext"/>
      </w:pPr>
      <w:r>
        <w:lastRenderedPageBreak/>
        <w:t xml:space="preserve">These findings indicate that the adsorption of Co(II) onto </w:t>
      </w:r>
      <w:r w:rsidR="00F918F4">
        <w:t>MIWS</w:t>
      </w:r>
      <w:r>
        <w:t xml:space="preserve"> is influenced by initial concentration and adsorbent dosage, while pH within the studied range does not play a significant role. The results align with prior studies on </w:t>
      </w:r>
      <w:r w:rsidR="00AF5B01">
        <w:t>Co(II)</w:t>
      </w:r>
      <w:r>
        <w:t xml:space="preserve"> adsorption using low-cost adsorbents, reinforcing the potential of </w:t>
      </w:r>
      <w:r w:rsidR="00F918F4">
        <w:t>MIWS</w:t>
      </w:r>
      <w:r>
        <w:t xml:space="preserve"> as a viable material for Co(II) removal from aqueous solutions</w:t>
      </w:r>
      <w:r w:rsidR="00AF5B01">
        <w:t xml:space="preserve"> </w:t>
      </w:r>
      <w:bookmarkStart w:id="1" w:name="_Hlk196385150"/>
      <w:r w:rsidR="00F57C4D">
        <w:fldChar w:fldCharType="begin"/>
      </w:r>
      <w:r w:rsidR="00F57C4D">
        <w:instrText xml:space="preserve"> ADDIN EN.CITE &lt;EndNote&gt;&lt;Cite&gt;&lt;Author&gt;Altunkaynak&lt;/Author&gt;&lt;Year&gt;2022&lt;/Year&gt;&lt;RecNum&gt;223&lt;/RecNum&gt;&lt;DisplayText&gt;(Altunkaynak et al., 2022)&lt;/DisplayText&gt;&lt;record&gt;&lt;rec-number&gt;223&lt;/rec-number&gt;&lt;foreign-keys&gt;&lt;key app="EN" db-id="2ep5f2xrhvpvtiep0rb5f2vnt5a0zw2xd9dv" timestamp="1745480536"&gt;223&lt;/key&gt;&lt;/foreign-keys&gt;&lt;ref-type name="Journal Article"&gt;17&lt;/ref-type&gt;&lt;contributors&gt;&lt;authors&gt;&lt;author&gt;Altunkaynak, Yalçın&lt;/author&gt;&lt;author&gt;Canpolat, Mutlu&lt;/author&gt;&lt;author&gt;Yavuz, Ömer&lt;/author&gt;&lt;/authors&gt;&lt;/contributors&gt;&lt;titles&gt;&lt;title&gt;Adsorption of cobalt (II) ions from aqueous solution using orange peel waste: equilibrium, kinetic and thermodynamic studies&lt;/title&gt;&lt;secondary-title&gt;Journal of the Iranian Chemical Society&lt;/secondary-title&gt;&lt;/titles&gt;&lt;periodical&gt;&lt;full-title&gt;Journal of the Iranian Chemical Society&lt;/full-title&gt;&lt;/periodical&gt;&lt;pages&gt;2437-2448&lt;/pages&gt;&lt;volume&gt;19&lt;/volume&gt;&lt;number&gt;6&lt;/number&gt;&lt;dates&gt;&lt;year&gt;2022&lt;/year&gt;&lt;pub-dates&gt;&lt;date&gt;2022/06/01&lt;/date&gt;&lt;/pub-dates&gt;&lt;/dates&gt;&lt;isbn&gt;1735-2428&lt;/isbn&gt;&lt;urls&gt;&lt;related-urls&gt;&lt;url&gt;https://doi.org/10.1007/s13738-021-02458-8&lt;/url&gt;&lt;/related-urls&gt;&lt;/urls&gt;&lt;electronic-resource-num&gt;10.1007/s13738-021-02458-8&lt;/electronic-resource-num&gt;&lt;/record&gt;&lt;/Cite&gt;&lt;/EndNote&gt;</w:instrText>
      </w:r>
      <w:r w:rsidR="00F57C4D">
        <w:fldChar w:fldCharType="separate"/>
      </w:r>
      <w:r w:rsidR="00F57C4D">
        <w:rPr>
          <w:noProof/>
        </w:rPr>
        <w:t>(Altunkaynak et al., 2022)</w:t>
      </w:r>
      <w:r w:rsidR="00F57C4D">
        <w:fldChar w:fldCharType="end"/>
      </w:r>
      <w:r>
        <w:t>.</w:t>
      </w:r>
      <w:bookmarkEnd w:id="1"/>
      <w:r>
        <w:t xml:space="preserve"> Further investigations into adsorption kinetics and thermodynamics could provide deeper insights into the underlying mechanisms governing this process.</w:t>
      </w:r>
    </w:p>
    <w:p w14:paraId="144CC07F" w14:textId="065F7DBB" w:rsidR="005C34B8" w:rsidRPr="005C34B8" w:rsidRDefault="005C34B8" w:rsidP="005C34B8">
      <w:pPr>
        <w:pStyle w:val="CETBodytext"/>
      </w:pPr>
      <w:r w:rsidRPr="005C34B8">
        <w:t>The kinetic study conducted revealed that the adsorption system reached equilibrium within six hours, indicating a relatively moderate adsorption rate. The uptake of Co(II) followed a gradual adsorption kinetic profile, which suggests that multiple factors influenced the adsorption process, including surface interactions, pore diffusion, and potential mass transfer limitations (</w:t>
      </w:r>
      <w:r w:rsidR="007A228B">
        <w:t>Figure 3)</w:t>
      </w:r>
      <w:r w:rsidRPr="005C34B8">
        <w:t xml:space="preserve">. The initial rapid phase of adsorption can be attributed to the high availability of active binding sites on the </w:t>
      </w:r>
      <w:r w:rsidR="00F918F4">
        <w:t>MIWS</w:t>
      </w:r>
      <w:r w:rsidRPr="005C34B8">
        <w:t xml:space="preserve"> surface, where Co(II) ions readily interact with functional groups present on the adsorbent </w:t>
      </w:r>
      <w:r w:rsidR="00D60DAC">
        <w:fldChar w:fldCharType="begin"/>
      </w:r>
      <w:r w:rsidR="00D60DAC">
        <w:instrText xml:space="preserve"> ADDIN EN.CITE &lt;EndNote&gt;&lt;Cite&gt;&lt;Author&gt;Van Veenhuyzen&lt;/Author&gt;&lt;Year&gt;2021&lt;/Year&gt;&lt;RecNum&gt;32&lt;/RecNum&gt;&lt;DisplayText&gt;(Van Veenhuyzen et al., 2021)&lt;/DisplayText&gt;&lt;record&gt;&lt;rec-number&gt;32&lt;/rec-number&gt;&lt;foreign-keys&gt;&lt;key app="EN" db-id="2ep5f2xrhvpvtiep0rb5f2vnt5a0zw2xd9dv" timestamp="1710087236"&gt;32&lt;/key&gt;&lt;/foreign-keys&gt;&lt;ref-type name="Journal Article"&gt;17&lt;/ref-type&gt;&lt;contributors&gt;&lt;authors&gt;&lt;author&gt;Van Veenhuyzen, B. &lt;/author&gt;&lt;author&gt;Tichapondwa, S. &lt;/author&gt;&lt;author&gt;Hörstmann, C. &lt;/author&gt;&lt;author&gt;Chirwa, E.&lt;/author&gt;&lt;author&gt;Brink, H.G. 2021. .  416,.. https://doi.org/10.1016/j.jhazmat.2021.125943&lt;/author&gt;&lt;/authors&gt;&lt;/contributors&gt;&lt;titles&gt;&lt;title&gt;High capacity Pb(II) adsorption characteristics onto raw- and chemically activated waste activated sludge&lt;/title&gt;&lt;secondary-title&gt;Journal of Hazardous Materials&lt;/secondary-title&gt;&lt;/titles&gt;&lt;periodical&gt;&lt;full-title&gt;Journal of Hazardous Materials&lt;/full-title&gt;&lt;/periodical&gt;&lt;volume&gt;416&lt;/volume&gt;&lt;dates&gt;&lt;year&gt;2021&lt;/year&gt;&lt;/dates&gt;&lt;urls&gt;&lt;/urls&gt;&lt;custom7&gt; 125943&lt;/custom7&gt;&lt;electronic-resource-num&gt;https://doi.org/10.1016/j.jhazmat.2021.125943&lt;/electronic-resource-num&gt;&lt;/record&gt;&lt;/Cite&gt;&lt;/EndNote&gt;</w:instrText>
      </w:r>
      <w:r w:rsidR="00D60DAC">
        <w:fldChar w:fldCharType="separate"/>
      </w:r>
      <w:r w:rsidR="00D60DAC">
        <w:rPr>
          <w:noProof/>
        </w:rPr>
        <w:t>(Van Veenhuyzen et al., 2021)</w:t>
      </w:r>
      <w:r w:rsidR="00D60DAC">
        <w:fldChar w:fldCharType="end"/>
      </w:r>
      <w:r w:rsidRPr="005C34B8">
        <w:t>. As adsorption progresses, these sites become increasingly occupied, leading to a slower adsorption rate in the later stages. This behavior is characteristic o</w:t>
      </w:r>
      <w:r w:rsidR="00AB77F3">
        <w:t xml:space="preserve">f </w:t>
      </w:r>
      <w:r w:rsidRPr="005C34B8">
        <w:t xml:space="preserve">adsorption systems and is often described </w:t>
      </w:r>
      <w:r w:rsidR="007A228B">
        <w:t xml:space="preserve">by </w:t>
      </w:r>
      <w:r w:rsidRPr="005C34B8">
        <w:t xml:space="preserve">kinetic models, where adsorption is initially diffusion-controlled, followed by </w:t>
      </w:r>
      <w:r w:rsidR="007A228B">
        <w:t>reaction rate limited</w:t>
      </w:r>
      <w:r w:rsidRPr="005C34B8">
        <w:t xml:space="preserve"> </w:t>
      </w:r>
      <w:r w:rsidR="00F93D34">
        <w:fldChar w:fldCharType="begin"/>
      </w:r>
      <w:r w:rsidR="00F93D34">
        <w:instrText xml:space="preserve"> ADDIN EN.CITE &lt;EndNote&gt;&lt;Cite&gt;&lt;Author&gt;Fogler&lt;/Author&gt;&lt;Year&gt;2010&lt;/Year&gt;&lt;RecNum&gt;100&lt;/RecNum&gt;&lt;DisplayText&gt;(Fogler, 2010)&lt;/DisplayText&gt;&lt;record&gt;&lt;rec-number&gt;100&lt;/rec-number&gt;&lt;foreign-keys&gt;&lt;key app="EN" db-id="2ep5f2xrhvpvtiep0rb5f2vnt5a0zw2xd9dv" timestamp="1710095920"&gt;100&lt;/key&gt;&lt;/foreign-keys&gt;&lt;ref-type name="Book"&gt;6&lt;/ref-type&gt;&lt;contributors&gt;&lt;authors&gt;&lt;author&gt;Fogler, H.S.&lt;/author&gt;&lt;/authors&gt;&lt;/contributors&gt;&lt;titles&gt;&lt;title&gt;Elements of Chemical Reaction Engineering&lt;/title&gt;&lt;/titles&gt;&lt;edition&gt;Fourth&lt;/edition&gt;&lt;dates&gt;&lt;year&gt;2010&lt;/year&gt;&lt;/dates&gt;&lt;pub-location&gt;Massachusetts&lt;/pub-location&gt;&lt;publisher&gt;Pearson Education, Inc.&lt;/publisher&gt;&lt;urls&gt;&lt;/urls&gt;&lt;/record&gt;&lt;/Cite&gt;&lt;/EndNote&gt;</w:instrText>
      </w:r>
      <w:r w:rsidR="00F93D34">
        <w:fldChar w:fldCharType="separate"/>
      </w:r>
      <w:r w:rsidR="00F93D34">
        <w:rPr>
          <w:noProof/>
        </w:rPr>
        <w:t>(Fogler, 2010)</w:t>
      </w:r>
      <w:r w:rsidR="00F93D34">
        <w:fldChar w:fldCharType="end"/>
      </w:r>
      <w:r w:rsidRPr="005C34B8">
        <w:t xml:space="preserve">. </w:t>
      </w:r>
    </w:p>
    <w:p w14:paraId="0D49BC85" w14:textId="287543B8" w:rsidR="00A2514B" w:rsidRDefault="007A228B" w:rsidP="00E747DD">
      <w:pPr>
        <w:pStyle w:val="CETBodytext"/>
      </w:pPr>
      <w:r>
        <w:t>T</w:t>
      </w:r>
      <w:r w:rsidR="005C34B8" w:rsidRPr="005C34B8">
        <w:t xml:space="preserve">he presence of mass transfer limitations is a likely contributor to the gradual adsorption profile observed. These limitations arise from the diffusion of Co(II) ions through both the liquid phase and within the porous structure of </w:t>
      </w:r>
      <w:r w:rsidR="00F918F4">
        <w:t>MIWS</w:t>
      </w:r>
      <w:r w:rsidR="005C34B8" w:rsidRPr="005C34B8">
        <w:t xml:space="preserve"> before reaching the active adsorption sites. External mass transfer resistance, which occurs at the boundary layer surrounding the adsorbent particles, could slow down the process, particularly at </w:t>
      </w:r>
      <w:r w:rsidR="00F93D34">
        <w:t>inadequate</w:t>
      </w:r>
      <w:r w:rsidR="005C34B8" w:rsidRPr="005C34B8">
        <w:t xml:space="preserve"> stirrer speeds </w:t>
      </w:r>
      <w:r w:rsidR="00F93D34">
        <w:fldChar w:fldCharType="begin"/>
      </w:r>
      <w:r w:rsidR="00F93D34">
        <w:instrText xml:space="preserve"> ADDIN EN.CITE &lt;EndNote&gt;&lt;Cite&gt;&lt;Author&gt;Nchabeleng&lt;/Author&gt;&lt;Year&gt;2024&lt;/Year&gt;&lt;RecNum&gt;218&lt;/RecNum&gt;&lt;DisplayText&gt;(Nchabeleng and Brink, 2024)&lt;/DisplayText&gt;&lt;record&gt;&lt;rec-number&gt;218&lt;/rec-number&gt;&lt;foreign-keys&gt;&lt;key app="EN" db-id="2ep5f2xrhvpvtiep0rb5f2vnt5a0zw2xd9dv" timestamp="1738355240"&gt;218&lt;/key&gt;&lt;/foreign-keys&gt;&lt;ref-type name="Journal Article"&gt;17&lt;/ref-type&gt;&lt;contributors&gt;&lt;authors&gt;&lt;author&gt;Nchabeleng, Nokuthula&lt;/author&gt;&lt;author&gt;Brink, Hendrik&lt;/author&gt;&lt;/authors&gt;&lt;/contributors&gt;&lt;titles&gt;&lt;title&gt;Untreated Mining Influenced Water Sludge (MIWS) for Lead Adsorption: Modelling Mass Transfer Effects&lt;/title&gt;&lt;secondary-title&gt;Chemical Engineering Transactions&lt;/secondary-title&gt;&lt;/titles&gt;&lt;periodical&gt;&lt;full-title&gt;Chemical Engineering Transactions&lt;/full-title&gt;&lt;/periodical&gt;&lt;pages&gt;511&lt;/pages&gt;&lt;volume&gt;114&lt;/volume&gt;&lt;dates&gt;&lt;year&gt;2024&lt;/year&gt;&lt;pub-dates&gt;&lt;date&gt;12/30&lt;/date&gt;&lt;/pub-dates&gt;&lt;/dates&gt;&lt;urls&gt;&lt;/urls&gt;&lt;electronic-resource-num&gt;10.3303/CET24114086&lt;/electronic-resource-num&gt;&lt;/record&gt;&lt;/Cite&gt;&lt;/EndNote&gt;</w:instrText>
      </w:r>
      <w:r w:rsidR="00F93D34">
        <w:fldChar w:fldCharType="separate"/>
      </w:r>
      <w:r w:rsidR="00F93D34">
        <w:rPr>
          <w:noProof/>
        </w:rPr>
        <w:t>(Nchabeleng and Brink, 2024)</w:t>
      </w:r>
      <w:r w:rsidR="00F93D34">
        <w:fldChar w:fldCharType="end"/>
      </w:r>
      <w:r w:rsidR="005C34B8" w:rsidRPr="005C34B8">
        <w:t xml:space="preserve">. Internal diffusion within the pores of the adsorbent could also become a rate-limiting step, especially as surface sites become saturated and ion transport relies on diffusion deeper into the material </w:t>
      </w:r>
      <w:r w:rsidR="00F93D34">
        <w:fldChar w:fldCharType="begin"/>
      </w:r>
      <w:r w:rsidR="00F93D34">
        <w:instrText xml:space="preserve"> ADDIN EN.CITE &lt;EndNote&gt;&lt;Cite&gt;&lt;Author&gt;Wang&lt;/Author&gt;&lt;Year&gt;2020&lt;/Year&gt;&lt;RecNum&gt;22&lt;/RecNum&gt;&lt;DisplayText&gt;(Wang and Guo, 2020)&lt;/DisplayText&gt;&lt;record&gt;&lt;rec-number&gt;22&lt;/rec-number&gt;&lt;foreign-keys&gt;&lt;key app="EN" db-id="2ep5f2xrhvpvtiep0rb5f2vnt5a0zw2xd9dv" timestamp="1710057484"&gt;22&lt;/key&gt;&lt;/foreign-keys&gt;&lt;ref-type name="Journal Article"&gt;17&lt;/ref-type&gt;&lt;contributors&gt;&lt;authors&gt;&lt;author&gt;Wang, J.&lt;/author&gt;&lt;author&gt;Guo, X.&lt;/author&gt;&lt;/authors&gt;&lt;/contributors&gt;&lt;auth-address&gt;Collaborative Innovation Center for Advanced Nuclear Energy Technology, INET, Tsinghua University, Beijing 100084, PR China; Beijing Key Laboratory of Radioactive Waste Treatment, Tsinghua University, Beijing 100084, PR China. Electronic address: wangjl@mail.tsinghua.edu.cn.&amp;#xD;Collaborative Innovation Center for Advanced Nuclear Energy Technology, INET, Tsinghua University, Beijing 100084, PR China.&lt;/auth-address&gt;&lt;titles&gt;&lt;title&gt;Adsorption kinetic models: Physical meanings, applications, and solving methods&lt;/title&gt;&lt;secondary-title&gt;J Hazard Mater&lt;/secondary-title&gt;&lt;/titles&gt;&lt;periodical&gt;&lt;full-title&gt;J Hazard Mater&lt;/full-title&gt;&lt;/periodical&gt;&lt;pages&gt;122156&lt;/pages&gt;&lt;volume&gt;390&lt;/volume&gt;&lt;edition&gt;20200125&lt;/edition&gt;&lt;keywords&gt;&lt;keyword&gt;Adsorption&lt;/keyword&gt;&lt;keyword&gt;Kinetic model&lt;/keyword&gt;&lt;keyword&gt;Physical meaning&lt;/keyword&gt;&lt;keyword&gt;Solving method&lt;/keyword&gt;&lt;/keywords&gt;&lt;dates&gt;&lt;year&gt;2020&lt;/year&gt;&lt;pub-dates&gt;&lt;date&gt;May 15&lt;/date&gt;&lt;/pub-dates&gt;&lt;/dates&gt;&lt;isbn&gt;1873-3336 (Electronic)&amp;#xD;0304-3894 (Linking)&lt;/isbn&gt;&lt;accession-num&gt;32006847&lt;/accession-num&gt;&lt;urls&gt;&lt;related-urls&gt;&lt;url&gt;https://www.ncbi.nlm.nih.gov/pubmed/32006847&lt;/url&gt;&lt;/related-urls&gt;&lt;/urls&gt;&lt;custom1&gt;Declaration of Competing Interest The authors declare that they have no known competing financial interests or personal relationships that could have appeared to influence the work reported in this paper.&lt;/custom1&gt;&lt;electronic-resource-num&gt;10.1016/j.jhazmat.2020.122156&lt;/electronic-resource-num&gt;&lt;remote-database-name&gt;PubMed-not-MEDLINE&lt;/remote-database-name&gt;&lt;remote-database-provider&gt;NLM&lt;/remote-database-provider&gt;&lt;/record&gt;&lt;/Cite&gt;&lt;/EndNote&gt;</w:instrText>
      </w:r>
      <w:r w:rsidR="00F93D34">
        <w:fldChar w:fldCharType="separate"/>
      </w:r>
      <w:r w:rsidR="00F93D34">
        <w:rPr>
          <w:noProof/>
        </w:rPr>
        <w:t>(Wang and Guo, 2020)</w:t>
      </w:r>
      <w:r w:rsidR="00F93D34">
        <w:fldChar w:fldCharType="end"/>
      </w:r>
      <w:r w:rsidR="005C34B8" w:rsidRPr="005C34B8">
        <w:t xml:space="preserve">. This aspect of the adsorption mechanism could be further explored through intraparticle diffusion modeling and mass transfer coefficient analysis to quantify these effects. Such insights would be valuable for optimizing </w:t>
      </w:r>
      <w:r w:rsidR="00AB77F3">
        <w:t xml:space="preserve">the adsorption </w:t>
      </w:r>
      <w:r w:rsidR="005C34B8" w:rsidRPr="005C34B8">
        <w:t xml:space="preserve">process conditions, particularly in scaling up the application of </w:t>
      </w:r>
      <w:r w:rsidR="00F918F4">
        <w:t>MIWS</w:t>
      </w:r>
      <w:r w:rsidR="005C34B8" w:rsidRPr="005C34B8">
        <w:t xml:space="preserve"> for Co(II) removal.</w:t>
      </w:r>
    </w:p>
    <w:p w14:paraId="1CAAC49C" w14:textId="18411803" w:rsidR="0011563E" w:rsidRDefault="0011563E" w:rsidP="00AB77F3">
      <w:pPr>
        <w:pStyle w:val="CETBodytext"/>
        <w:jc w:val="left"/>
      </w:pPr>
      <w:r>
        <w:rPr>
          <w:noProof/>
        </w:rPr>
        <w:drawing>
          <wp:inline distT="0" distB="0" distL="0" distR="0" wp14:anchorId="1442F87F" wp14:editId="4733FE20">
            <wp:extent cx="4914900" cy="3143250"/>
            <wp:effectExtent l="0" t="0" r="0" b="0"/>
            <wp:docPr id="358212566" name="Chart 1">
              <a:extLst xmlns:a="http://schemas.openxmlformats.org/drawingml/2006/main">
                <a:ext uri="{FF2B5EF4-FFF2-40B4-BE49-F238E27FC236}">
                  <a16:creationId xmlns:a16="http://schemas.microsoft.com/office/drawing/2014/main" id="{4846A1CB-36CB-0D86-5E1B-D6324B648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626E72" w14:textId="79F92C69" w:rsidR="0011563E" w:rsidRDefault="002F0887" w:rsidP="00AB77F3">
      <w:pPr>
        <w:pStyle w:val="CETCaption"/>
        <w:jc w:val="left"/>
      </w:pPr>
      <w:r w:rsidRPr="00BD077D">
        <w:rPr>
          <w:rStyle w:val="CETCaptionCarattere"/>
          <w:i/>
        </w:rPr>
        <w:t xml:space="preserve">Figure </w:t>
      </w:r>
      <w:r w:rsidR="007A228B">
        <w:rPr>
          <w:rStyle w:val="CETCaptionCarattere"/>
          <w:i/>
        </w:rPr>
        <w:t>3</w:t>
      </w:r>
      <w:r w:rsidRPr="00BD077D">
        <w:rPr>
          <w:rStyle w:val="CETCaptionCarattere"/>
          <w:i/>
        </w:rPr>
        <w:t>:</w:t>
      </w:r>
      <w:r>
        <w:rPr>
          <w:rStyle w:val="CETCaptionCarattere"/>
          <w:i/>
        </w:rPr>
        <w:t xml:space="preserve"> </w:t>
      </w:r>
      <w:r w:rsidR="007A228B">
        <w:rPr>
          <w:rStyle w:val="CETCaptionCarattere"/>
          <w:i/>
        </w:rPr>
        <w:t xml:space="preserve">Kinetic profile of </w:t>
      </w:r>
      <w:r w:rsidR="00F918F4">
        <w:rPr>
          <w:rStyle w:val="CETCaptionCarattere"/>
          <w:i/>
        </w:rPr>
        <w:t>MIWS</w:t>
      </w:r>
      <w:r w:rsidR="00723306">
        <w:rPr>
          <w:rStyle w:val="CETCaptionCarattere"/>
          <w:i/>
        </w:rPr>
        <w:t>-Co(II)</w:t>
      </w:r>
      <w:r w:rsidR="007A228B">
        <w:rPr>
          <w:rStyle w:val="CETCaptionCarattere"/>
          <w:i/>
        </w:rPr>
        <w:t xml:space="preserve"> adsorb</w:t>
      </w:r>
      <w:r w:rsidR="00723306">
        <w:rPr>
          <w:rStyle w:val="CETCaptionCarattere"/>
          <w:i/>
        </w:rPr>
        <w:t>ent</w:t>
      </w:r>
      <w:r w:rsidR="007A228B">
        <w:rPr>
          <w:rStyle w:val="CETCaptionCarattere"/>
          <w:i/>
        </w:rPr>
        <w:t>-adsorb</w:t>
      </w:r>
      <w:r w:rsidR="00723306">
        <w:rPr>
          <w:rStyle w:val="CETCaptionCarattere"/>
          <w:i/>
        </w:rPr>
        <w:t>ate</w:t>
      </w:r>
      <w:r w:rsidR="007A228B">
        <w:rPr>
          <w:rStyle w:val="CETCaptionCarattere"/>
          <w:i/>
        </w:rPr>
        <w:t xml:space="preserve"> system under optimised conditions</w:t>
      </w:r>
    </w:p>
    <w:p w14:paraId="68D26B83" w14:textId="665E4EB8" w:rsidR="00600535" w:rsidRPr="00B57B36" w:rsidRDefault="00600535" w:rsidP="00600535">
      <w:pPr>
        <w:pStyle w:val="CETHeading1"/>
        <w:rPr>
          <w:lang w:val="en-GB"/>
        </w:rPr>
      </w:pPr>
      <w:r w:rsidRPr="00B57B36">
        <w:rPr>
          <w:lang w:val="en-GB"/>
        </w:rPr>
        <w:t>Conclusions</w:t>
      </w:r>
      <w:r w:rsidR="00D60496">
        <w:rPr>
          <w:lang w:val="en-GB"/>
        </w:rPr>
        <w:t xml:space="preserve"> and Recommendations</w:t>
      </w:r>
    </w:p>
    <w:p w14:paraId="4A677E3F" w14:textId="512E2BF9" w:rsidR="00622BFA" w:rsidRPr="00622BFA" w:rsidRDefault="00622BFA" w:rsidP="00622BFA">
      <w:pPr>
        <w:pStyle w:val="CETBodytextItalic"/>
        <w:rPr>
          <w:i w:val="0"/>
          <w:iCs/>
        </w:rPr>
      </w:pPr>
      <w:r w:rsidRPr="00622BFA">
        <w:rPr>
          <w:i w:val="0"/>
          <w:iCs/>
        </w:rPr>
        <w:t xml:space="preserve">The findings of this study underscore the effectiveness of </w:t>
      </w:r>
      <w:r w:rsidR="00A408B9">
        <w:rPr>
          <w:i w:val="0"/>
          <w:iCs/>
        </w:rPr>
        <w:t>mining influenced water sludge</w:t>
      </w:r>
      <w:r w:rsidRPr="00622BFA">
        <w:rPr>
          <w:i w:val="0"/>
          <w:iCs/>
        </w:rPr>
        <w:t xml:space="preserve"> (</w:t>
      </w:r>
      <w:r w:rsidR="00F918F4">
        <w:rPr>
          <w:i w:val="0"/>
          <w:iCs/>
        </w:rPr>
        <w:t>MIWS</w:t>
      </w:r>
      <w:r w:rsidRPr="00622BFA">
        <w:rPr>
          <w:i w:val="0"/>
          <w:iCs/>
        </w:rPr>
        <w:t xml:space="preserve">) as a promising low-cost and sustainable adsorbent for the removal of Cobalt(II) </w:t>
      </w:r>
      <w:r w:rsidR="007075B0">
        <w:rPr>
          <w:i w:val="0"/>
          <w:iCs/>
        </w:rPr>
        <w:t xml:space="preserve">– </w:t>
      </w:r>
      <w:r w:rsidRPr="00622BFA">
        <w:rPr>
          <w:i w:val="0"/>
          <w:iCs/>
        </w:rPr>
        <w:t>Co(II)</w:t>
      </w:r>
      <w:r w:rsidR="007075B0">
        <w:rPr>
          <w:i w:val="0"/>
          <w:iCs/>
        </w:rPr>
        <w:t xml:space="preserve"> –</w:t>
      </w:r>
      <w:r w:rsidRPr="00622BFA">
        <w:rPr>
          <w:i w:val="0"/>
          <w:iCs/>
        </w:rPr>
        <w:t xml:space="preserve"> from aqueous solutions. Given the increasing concerns surrounding heavy metal contamination in water systems</w:t>
      </w:r>
      <w:r w:rsidR="007075B0">
        <w:rPr>
          <w:i w:val="0"/>
          <w:iCs/>
        </w:rPr>
        <w:t>,</w:t>
      </w:r>
      <w:r w:rsidRPr="00622BFA">
        <w:rPr>
          <w:i w:val="0"/>
          <w:iCs/>
        </w:rPr>
        <w:t xml:space="preserve"> developing efficient and environmentally responsible remediation strategies is paramount. </w:t>
      </w:r>
      <w:r w:rsidR="00F918F4">
        <w:rPr>
          <w:i w:val="0"/>
          <w:iCs/>
        </w:rPr>
        <w:t>MIWS</w:t>
      </w:r>
      <w:r w:rsidRPr="00622BFA">
        <w:rPr>
          <w:i w:val="0"/>
          <w:iCs/>
        </w:rPr>
        <w:t xml:space="preserve"> offers a dual advantage: it not only mitigates heavy metal pollution but also repurposes mining waste, aligning with circular economy principles and sustainable resource management.</w:t>
      </w:r>
    </w:p>
    <w:p w14:paraId="185CEC09" w14:textId="41E28FF8" w:rsidR="00622BFA" w:rsidRPr="00622BFA" w:rsidRDefault="00622BFA" w:rsidP="00622BFA">
      <w:pPr>
        <w:pStyle w:val="CETBodytextItalic"/>
        <w:rPr>
          <w:i w:val="0"/>
          <w:iCs/>
        </w:rPr>
      </w:pPr>
      <w:r w:rsidRPr="00622BFA">
        <w:rPr>
          <w:i w:val="0"/>
          <w:iCs/>
        </w:rPr>
        <w:lastRenderedPageBreak/>
        <w:t xml:space="preserve">Through a systematic optimization of adsorption parameters, it was determined that </w:t>
      </w:r>
      <w:r w:rsidR="00F918F4">
        <w:rPr>
          <w:i w:val="0"/>
          <w:iCs/>
        </w:rPr>
        <w:t>MIWS</w:t>
      </w:r>
      <w:r w:rsidRPr="00622BFA">
        <w:rPr>
          <w:i w:val="0"/>
          <w:iCs/>
        </w:rPr>
        <w:t xml:space="preserve"> effectively removes Co(II) across a range of conditions, with adsorption efficiency influenced by initial contaminant concentration and adsorbent dosage, while pH played a negligible role within the studied range. The adsorption system exhibited a gradual kinetic profile, reaching equilibrium within six hours, indicating that mass transfer effects may influence the rate of adsorption. SEM/EDX analysis confirmed the successful uptake of Co(II) onto </w:t>
      </w:r>
      <w:r w:rsidR="00F918F4">
        <w:rPr>
          <w:i w:val="0"/>
          <w:iCs/>
        </w:rPr>
        <w:t>MIWS</w:t>
      </w:r>
      <w:r w:rsidRPr="00622BFA">
        <w:rPr>
          <w:i w:val="0"/>
          <w:iCs/>
        </w:rPr>
        <w:t>, demonstrating the material's structural integrity and highlighting its potential for multiple adsorption cycles.</w:t>
      </w:r>
    </w:p>
    <w:p w14:paraId="5665003A" w14:textId="5C263410" w:rsidR="00622BFA" w:rsidRPr="00622BFA" w:rsidRDefault="00622BFA" w:rsidP="00622BFA">
      <w:pPr>
        <w:pStyle w:val="CETBodytextItalic"/>
        <w:rPr>
          <w:i w:val="0"/>
          <w:iCs/>
        </w:rPr>
      </w:pPr>
      <w:r w:rsidRPr="00622BFA">
        <w:rPr>
          <w:i w:val="0"/>
          <w:iCs/>
        </w:rPr>
        <w:t xml:space="preserve">These results reinforce the feasibility of </w:t>
      </w:r>
      <w:r w:rsidR="00F918F4">
        <w:rPr>
          <w:i w:val="0"/>
          <w:iCs/>
        </w:rPr>
        <w:t>MIWS</w:t>
      </w:r>
      <w:r w:rsidRPr="00622BFA">
        <w:rPr>
          <w:i w:val="0"/>
          <w:iCs/>
        </w:rPr>
        <w:t xml:space="preserve"> as a viable alternative to conventional adsorbents. By transforming an industrial </w:t>
      </w:r>
      <w:r w:rsidR="00AB77F3">
        <w:rPr>
          <w:i w:val="0"/>
          <w:iCs/>
        </w:rPr>
        <w:t xml:space="preserve">waste </w:t>
      </w:r>
      <w:r w:rsidRPr="00622BFA">
        <w:rPr>
          <w:i w:val="0"/>
          <w:iCs/>
        </w:rPr>
        <w:t xml:space="preserve">byproduct into a highly effective adsorption medium, this study contributes to the broader goal of developing sustainable water treatment technologies that balance economic feasibility with environmental responsibility. </w:t>
      </w:r>
    </w:p>
    <w:p w14:paraId="383E63A4" w14:textId="396EBEF3" w:rsidR="007075B0" w:rsidRDefault="00622BFA" w:rsidP="00622BFA">
      <w:pPr>
        <w:pStyle w:val="CETBodytextItalic"/>
        <w:rPr>
          <w:i w:val="0"/>
          <w:iCs/>
        </w:rPr>
      </w:pPr>
      <w:r w:rsidRPr="00622BFA">
        <w:rPr>
          <w:i w:val="0"/>
          <w:iCs/>
        </w:rPr>
        <w:t xml:space="preserve">Moving forward, additional studies on long-term performance, competitive adsorption in multi-contaminant systems, and real wastewater applications will further validate </w:t>
      </w:r>
      <w:r w:rsidR="00F918F4">
        <w:rPr>
          <w:i w:val="0"/>
          <w:iCs/>
        </w:rPr>
        <w:t>MIWS</w:t>
      </w:r>
      <w:r w:rsidRPr="00622BFA">
        <w:rPr>
          <w:i w:val="0"/>
          <w:iCs/>
        </w:rPr>
        <w:t xml:space="preserve"> as a scalable and robust solution for </w:t>
      </w:r>
      <w:r w:rsidR="007A228B">
        <w:rPr>
          <w:i w:val="0"/>
          <w:iCs/>
        </w:rPr>
        <w:t>Co(II)</w:t>
      </w:r>
      <w:r w:rsidRPr="00622BFA">
        <w:rPr>
          <w:i w:val="0"/>
          <w:iCs/>
        </w:rPr>
        <w:t xml:space="preserve"> remediation. </w:t>
      </w:r>
      <w:r w:rsidR="007075B0">
        <w:rPr>
          <w:i w:val="0"/>
          <w:iCs/>
        </w:rPr>
        <w:t xml:space="preserve">Gaining insight into </w:t>
      </w:r>
      <w:r w:rsidR="007075B0" w:rsidRPr="00622BFA">
        <w:rPr>
          <w:i w:val="0"/>
          <w:iCs/>
        </w:rPr>
        <w:t>adsorption mechanisms, kinetic</w:t>
      </w:r>
      <w:r w:rsidR="007075B0">
        <w:rPr>
          <w:i w:val="0"/>
          <w:iCs/>
        </w:rPr>
        <w:t xml:space="preserve"> modelling</w:t>
      </w:r>
      <w:r w:rsidR="007075B0" w:rsidRPr="00622BFA">
        <w:rPr>
          <w:i w:val="0"/>
          <w:iCs/>
        </w:rPr>
        <w:t xml:space="preserve">, </w:t>
      </w:r>
      <w:r w:rsidR="007075B0">
        <w:rPr>
          <w:i w:val="0"/>
          <w:iCs/>
        </w:rPr>
        <w:t xml:space="preserve">regeneration </w:t>
      </w:r>
      <w:r w:rsidR="007075B0" w:rsidRPr="00622BFA">
        <w:rPr>
          <w:i w:val="0"/>
          <w:iCs/>
        </w:rPr>
        <w:t>and material stability</w:t>
      </w:r>
      <w:r w:rsidR="007075B0">
        <w:rPr>
          <w:i w:val="0"/>
          <w:iCs/>
        </w:rPr>
        <w:t xml:space="preserve"> will provide a strong foundation for future research.</w:t>
      </w:r>
    </w:p>
    <w:p w14:paraId="33F8138F" w14:textId="5C766283" w:rsidR="00600535" w:rsidRPr="00C21B20" w:rsidRDefault="001534E9" w:rsidP="00622BFA">
      <w:pPr>
        <w:pStyle w:val="CETBodytextItalic"/>
        <w:rPr>
          <w:i w:val="0"/>
          <w:iCs/>
        </w:rPr>
      </w:pPr>
      <w:r w:rsidRPr="001534E9">
        <w:rPr>
          <w:i w:val="0"/>
          <w:iCs/>
        </w:rPr>
        <w:t>The use of MIWS for Co(II) removal not only demonstrates technical feasibility but also aligns with global sustainability targets. This approach supports SDG 6 by improving water quality and SDG 12 through the valorization of mining waste, thus reinforcing the circular economy.</w:t>
      </w:r>
    </w:p>
    <w:p w14:paraId="4F1327F8" w14:textId="77777777" w:rsidR="00600535" w:rsidRPr="00B57B36" w:rsidRDefault="00600535" w:rsidP="00600535">
      <w:pPr>
        <w:pStyle w:val="CETReference"/>
      </w:pPr>
      <w:r w:rsidRPr="00B57B36">
        <w:t>References</w:t>
      </w:r>
    </w:p>
    <w:bookmarkStart w:id="2" w:name="_Hlk191678147"/>
    <w:p w14:paraId="3AAA5C79" w14:textId="65A99F84" w:rsidR="00F57C4D" w:rsidRPr="00F57C4D" w:rsidRDefault="00873097" w:rsidP="00F57C4D">
      <w:pPr>
        <w:pStyle w:val="EndNoteBibliography"/>
        <w:ind w:left="720" w:hanging="720"/>
      </w:pPr>
      <w:r>
        <w:fldChar w:fldCharType="begin"/>
      </w:r>
      <w:r>
        <w:instrText xml:space="preserve"> ADDIN EN.REFLIST </w:instrText>
      </w:r>
      <w:r>
        <w:fldChar w:fldCharType="separate"/>
      </w:r>
    </w:p>
    <w:p w14:paraId="6196E028" w14:textId="36B0E0BC" w:rsidR="00550866" w:rsidRDefault="00873097" w:rsidP="00550866">
      <w:pPr>
        <w:pStyle w:val="CETReferencetext"/>
      </w:pPr>
      <w:r>
        <w:fldChar w:fldCharType="end"/>
      </w:r>
      <w:bookmarkEnd w:id="2"/>
      <w:r w:rsidR="000A5E15">
        <w:t>Abbas M., Kaddour S., Trari M.,</w:t>
      </w:r>
      <w:r w:rsidR="00550866">
        <w:t xml:space="preserve"> 2014</w:t>
      </w:r>
      <w:r w:rsidR="000A5E15">
        <w:t>,</w:t>
      </w:r>
      <w:r w:rsidR="00550866">
        <w:t xml:space="preserve"> Kinetic and equilibrium studies of cobalt adsorption on apricot stone activated carbon</w:t>
      </w:r>
      <w:r w:rsidR="000A5E15">
        <w:t>,</w:t>
      </w:r>
      <w:r w:rsidR="00550866">
        <w:t xml:space="preserve"> Journal of Industrial and Engineering Chemistry, 20, 745-751</w:t>
      </w:r>
      <w:r w:rsidR="00A9210A">
        <w:t xml:space="preserve">. </w:t>
      </w:r>
      <w:r w:rsidR="00BB5748">
        <w:t>doi:</w:t>
      </w:r>
      <w:r w:rsidR="00857DC4" w:rsidRPr="001C20AB">
        <w:rPr>
          <w:lang w:val="en-US"/>
        </w:rPr>
        <w:t>10.1016/j.jiec.2013.06.030</w:t>
      </w:r>
      <w:r w:rsidR="00550866">
        <w:t>.</w:t>
      </w:r>
    </w:p>
    <w:p w14:paraId="0D686224" w14:textId="08E9D426" w:rsidR="00F57C4D" w:rsidRDefault="00F57C4D" w:rsidP="00F57C4D">
      <w:pPr>
        <w:pStyle w:val="EndNoteBibliography"/>
        <w:ind w:left="720" w:hanging="720"/>
      </w:pPr>
      <w:r w:rsidRPr="00F57C4D">
        <w:t>Altunkaynak Y., Canpolat M.</w:t>
      </w:r>
      <w:r>
        <w:t xml:space="preserve">, </w:t>
      </w:r>
      <w:r w:rsidRPr="00F57C4D">
        <w:t>Yavuz Ö.</w:t>
      </w:r>
      <w:r>
        <w:t>,</w:t>
      </w:r>
      <w:r w:rsidRPr="00F57C4D">
        <w:t xml:space="preserve"> 2022</w:t>
      </w:r>
      <w:r>
        <w:t>,</w:t>
      </w:r>
      <w:r w:rsidRPr="00F57C4D">
        <w:t xml:space="preserve"> Adsorption of cobalt (II) ions from aqueous solution using orange peel waste: equilibrium, kinetic and thermodynamic studies. </w:t>
      </w:r>
      <w:r w:rsidRPr="00F57C4D">
        <w:rPr>
          <w:iCs/>
        </w:rPr>
        <w:t>Journal of the Iranian Chemical Society</w:t>
      </w:r>
      <w:r w:rsidRPr="00F57C4D">
        <w:rPr>
          <w:i/>
        </w:rPr>
        <w:t>,</w:t>
      </w:r>
      <w:r w:rsidRPr="00F57C4D">
        <w:t xml:space="preserve"> 19</w:t>
      </w:r>
      <w:r w:rsidRPr="00F57C4D">
        <w:rPr>
          <w:b/>
        </w:rPr>
        <w:t>,</w:t>
      </w:r>
      <w:r w:rsidRPr="00F57C4D">
        <w:t xml:space="preserve"> 2437-2448.</w:t>
      </w:r>
      <w:r>
        <w:t xml:space="preserve"> </w:t>
      </w:r>
      <w:r>
        <w:rPr>
          <w:lang w:val="en-GB"/>
        </w:rPr>
        <w:t>doi:</w:t>
      </w:r>
      <w:r w:rsidRPr="00F57C4D">
        <w:rPr>
          <w:lang w:val="en-GB"/>
        </w:rPr>
        <w:t>10.1007/s13738-021-02458-8</w:t>
      </w:r>
      <w:r w:rsidR="00B52B9B">
        <w:rPr>
          <w:lang w:val="en-GB"/>
        </w:rPr>
        <w:t>.</w:t>
      </w:r>
    </w:p>
    <w:p w14:paraId="74224DDF" w14:textId="2EEEA87A" w:rsidR="00550866" w:rsidRDefault="000A5E15" w:rsidP="00550866">
      <w:pPr>
        <w:pStyle w:val="CETReferencetext"/>
      </w:pPr>
      <w:r>
        <w:t xml:space="preserve">Bhaumik M., Setshedi K., Maity A., Onyango M.S., </w:t>
      </w:r>
      <w:r w:rsidR="00550866">
        <w:t>2013</w:t>
      </w:r>
      <w:r>
        <w:t>,</w:t>
      </w:r>
      <w:r w:rsidR="00550866">
        <w:t xml:space="preserve"> Chromium(VI) removal from water using fixed bed column of polypyrrole/Fe</w:t>
      </w:r>
      <w:r w:rsidR="00550866" w:rsidRPr="0085586F">
        <w:rPr>
          <w:vertAlign w:val="subscript"/>
        </w:rPr>
        <w:t>3</w:t>
      </w:r>
      <w:r w:rsidR="00550866">
        <w:t>O</w:t>
      </w:r>
      <w:r w:rsidR="00550866" w:rsidRPr="0085586F">
        <w:rPr>
          <w:vertAlign w:val="subscript"/>
        </w:rPr>
        <w:t>4</w:t>
      </w:r>
      <w:r w:rsidR="00550866">
        <w:t xml:space="preserve"> nanocomposite</w:t>
      </w:r>
      <w:r>
        <w:t>,</w:t>
      </w:r>
      <w:r w:rsidR="00550866">
        <w:t xml:space="preserve"> Separation and Purification Technology, 110, 11-19</w:t>
      </w:r>
      <w:r w:rsidR="00A9210A">
        <w:t>.</w:t>
      </w:r>
      <w:r w:rsidR="0085586F">
        <w:t xml:space="preserve"> </w:t>
      </w:r>
      <w:r w:rsidR="00BB5748">
        <w:t>doi:</w:t>
      </w:r>
      <w:r w:rsidR="00F97479" w:rsidRPr="001C20AB">
        <w:rPr>
          <w:lang w:val="en-US"/>
        </w:rPr>
        <w:t>10.1016/j.seppur.2013.02.037</w:t>
      </w:r>
      <w:r w:rsidR="00550866">
        <w:t>.</w:t>
      </w:r>
    </w:p>
    <w:p w14:paraId="63126111" w14:textId="4427EFAE" w:rsidR="00550866" w:rsidRDefault="000A5E15" w:rsidP="00550866">
      <w:pPr>
        <w:pStyle w:val="CETReferencetext"/>
      </w:pPr>
      <w:r>
        <w:t>Chowdhury I.R., Chowdhury S., Mazumder M.A.J., Al-Ahmed A</w:t>
      </w:r>
      <w:r w:rsidR="00550866">
        <w:t>.</w:t>
      </w:r>
      <w:r>
        <w:t xml:space="preserve">, </w:t>
      </w:r>
      <w:r w:rsidR="00550866">
        <w:t>2022</w:t>
      </w:r>
      <w:r>
        <w:t>,</w:t>
      </w:r>
      <w:r w:rsidR="00550866">
        <w:t xml:space="preserve"> Removal of lead ions (Pb</w:t>
      </w:r>
      <w:r w:rsidR="00550866" w:rsidRPr="00170A86">
        <w:rPr>
          <w:vertAlign w:val="superscript"/>
        </w:rPr>
        <w:t>2+</w:t>
      </w:r>
      <w:r w:rsidR="00550866">
        <w:t>) from water and wastewater: a review on the low-cost adsorbents</w:t>
      </w:r>
      <w:r>
        <w:t>,</w:t>
      </w:r>
      <w:r w:rsidR="00550866">
        <w:t xml:space="preserve"> Appl</w:t>
      </w:r>
      <w:r w:rsidR="00BB5748">
        <w:t>ied</w:t>
      </w:r>
      <w:r w:rsidR="00550866">
        <w:t xml:space="preserve"> Water Sci</w:t>
      </w:r>
      <w:r w:rsidR="00BB5748">
        <w:t>ence</w:t>
      </w:r>
      <w:r w:rsidR="00550866">
        <w:t>, 12, 185</w:t>
      </w:r>
      <w:r w:rsidR="00A9210A">
        <w:t>.</w:t>
      </w:r>
      <w:r w:rsidR="00F97479">
        <w:t xml:space="preserve"> </w:t>
      </w:r>
      <w:r w:rsidR="00BB5748">
        <w:t>doi:</w:t>
      </w:r>
      <w:r w:rsidR="00170A86" w:rsidRPr="001C20AB">
        <w:rPr>
          <w:lang w:val="en-US"/>
        </w:rPr>
        <w:t>10.1007/s13201-022-01703-6</w:t>
      </w:r>
      <w:r w:rsidR="00550866">
        <w:t>.</w:t>
      </w:r>
    </w:p>
    <w:p w14:paraId="5322A928" w14:textId="60FB2FEC" w:rsidR="00550866" w:rsidRDefault="000A5E15" w:rsidP="00550866">
      <w:pPr>
        <w:pStyle w:val="CETReferencetext"/>
      </w:pPr>
      <w:r>
        <w:t xml:space="preserve">Crini G., Lichtfouse E., </w:t>
      </w:r>
      <w:r w:rsidR="00550866">
        <w:t>2019</w:t>
      </w:r>
      <w:r>
        <w:t>,</w:t>
      </w:r>
      <w:r w:rsidR="00550866">
        <w:t xml:space="preserve"> Advantages and disadvantages of techniques used for wastewater treatment</w:t>
      </w:r>
      <w:r>
        <w:t>,</w:t>
      </w:r>
      <w:r w:rsidR="00550866">
        <w:t xml:space="preserve"> Environmental Chemistry Letters, 17, 145-155</w:t>
      </w:r>
      <w:r w:rsidR="00A9210A">
        <w:t>.</w:t>
      </w:r>
      <w:r w:rsidR="00BB5748">
        <w:t xml:space="preserve"> doi:</w:t>
      </w:r>
      <w:r w:rsidR="00170A86" w:rsidRPr="001C20AB">
        <w:rPr>
          <w:lang w:val="en-US"/>
        </w:rPr>
        <w:t>10.1007/s10311-018-0785-9</w:t>
      </w:r>
      <w:r w:rsidR="00550866">
        <w:t>.</w:t>
      </w:r>
    </w:p>
    <w:p w14:paraId="73C05784" w14:textId="3D49F1DB" w:rsidR="00550866" w:rsidRDefault="00550866" w:rsidP="00550866">
      <w:pPr>
        <w:pStyle w:val="CETReferencetext"/>
      </w:pPr>
      <w:r>
        <w:t>F</w:t>
      </w:r>
      <w:r w:rsidR="000A5E15">
        <w:t>ogler</w:t>
      </w:r>
      <w:r>
        <w:t>, H.S.</w:t>
      </w:r>
      <w:r w:rsidR="000A5E15">
        <w:t xml:space="preserve">, </w:t>
      </w:r>
      <w:r>
        <w:t>2010</w:t>
      </w:r>
      <w:r w:rsidR="000A5E15">
        <w:t>,</w:t>
      </w:r>
      <w:r>
        <w:t xml:space="preserve"> Elements of Chemical Reaction Engineering, Pearson Education Inc</w:t>
      </w:r>
      <w:r w:rsidR="000A5E15">
        <w:t>, Massachusetts</w:t>
      </w:r>
      <w:r w:rsidR="00A414B3">
        <w:t>, USA</w:t>
      </w:r>
      <w:r>
        <w:t>.</w:t>
      </w:r>
    </w:p>
    <w:p w14:paraId="34EA6A0D" w14:textId="3B26633E" w:rsidR="00550866" w:rsidRDefault="000A5E15" w:rsidP="00550866">
      <w:pPr>
        <w:pStyle w:val="CETReferencetext"/>
      </w:pPr>
      <w:r>
        <w:t xml:space="preserve">Muedi K.L., Brink H.G., Masindi V., Maree J.P., </w:t>
      </w:r>
      <w:r w:rsidR="00550866">
        <w:t>2021</w:t>
      </w:r>
      <w:r>
        <w:t>,</w:t>
      </w:r>
      <w:r w:rsidR="00550866">
        <w:t xml:space="preserve"> Effective removal of arsenate from wastewater using aluminium enriched ferric oxide-hydroxide recovered from authentic acid mine drainage</w:t>
      </w:r>
      <w:r>
        <w:t>,</w:t>
      </w:r>
      <w:r w:rsidR="00550866">
        <w:t xml:space="preserve"> J</w:t>
      </w:r>
      <w:r w:rsidR="00A9210A">
        <w:t>ournal of</w:t>
      </w:r>
      <w:r w:rsidR="00550866">
        <w:t xml:space="preserve"> Hazard</w:t>
      </w:r>
      <w:r w:rsidR="00A9210A">
        <w:t>ous</w:t>
      </w:r>
      <w:r w:rsidR="00550866">
        <w:t xml:space="preserve"> Mater</w:t>
      </w:r>
      <w:r w:rsidR="00A9210A">
        <w:t>ials</w:t>
      </w:r>
      <w:r w:rsidR="00550866">
        <w:t>, 414, 125491</w:t>
      </w:r>
      <w:r w:rsidR="00A9210A">
        <w:t>.</w:t>
      </w:r>
      <w:r w:rsidR="00170A86">
        <w:t xml:space="preserve"> </w:t>
      </w:r>
      <w:r w:rsidR="00BB5748">
        <w:t>doi:</w:t>
      </w:r>
      <w:r w:rsidR="00170A86" w:rsidRPr="001C20AB">
        <w:rPr>
          <w:lang w:val="en-US"/>
        </w:rPr>
        <w:t>10.1016/j.jhazmat.2021.125491</w:t>
      </w:r>
      <w:r w:rsidR="00550866">
        <w:t>.</w:t>
      </w:r>
    </w:p>
    <w:p w14:paraId="1FF33B62" w14:textId="1A354CC7" w:rsidR="00550866" w:rsidRDefault="000A5E15" w:rsidP="00550866">
      <w:pPr>
        <w:pStyle w:val="CETReferencetext"/>
      </w:pPr>
      <w:r>
        <w:t>Nchabeleng N., Brink</w:t>
      </w:r>
      <w:r w:rsidR="00550866">
        <w:t xml:space="preserve"> H.</w:t>
      </w:r>
      <w:r>
        <w:t>,</w:t>
      </w:r>
      <w:r w:rsidR="00550866">
        <w:t xml:space="preserve"> 2024</w:t>
      </w:r>
      <w:r>
        <w:t>,</w:t>
      </w:r>
      <w:r w:rsidR="00550866">
        <w:t xml:space="preserve"> Untreated Mining Influenced Water Sludge (MIWS) for Lead Adsorption: Modelling Mass Transfer Effects</w:t>
      </w:r>
      <w:r>
        <w:t>,</w:t>
      </w:r>
      <w:r w:rsidR="00550866">
        <w:t xml:space="preserve"> Chemical Engineering Transactions, 114, </w:t>
      </w:r>
      <w:r w:rsidR="001C20AB" w:rsidRPr="001C20AB">
        <w:t>511-516</w:t>
      </w:r>
      <w:r w:rsidR="00A9210A">
        <w:t>.</w:t>
      </w:r>
      <w:r w:rsidR="00BB5748">
        <w:t xml:space="preserve"> doi:</w:t>
      </w:r>
      <w:r w:rsidR="001C20AB" w:rsidRPr="001C20AB">
        <w:t>10.3303/CET24114086</w:t>
      </w:r>
      <w:r w:rsidR="00550866">
        <w:t>.</w:t>
      </w:r>
    </w:p>
    <w:p w14:paraId="5139DD17" w14:textId="1E80EE9E" w:rsidR="00550866" w:rsidRDefault="000A5E15" w:rsidP="00550866">
      <w:pPr>
        <w:pStyle w:val="CETReferencetext"/>
      </w:pPr>
      <w:r>
        <w:t xml:space="preserve">Rethinasabapathy M., Ghoreishian S.M., Kwak C.H., Han Y.-K., Roh C., Huh Y.S., </w:t>
      </w:r>
      <w:r w:rsidR="00550866">
        <w:t>2025</w:t>
      </w:r>
      <w:r>
        <w:t>,</w:t>
      </w:r>
      <w:r w:rsidR="00550866">
        <w:t xml:space="preserve"> Recent progress in advanced functional materials for adsorption and removal of cobalt from industrial and radioactive effluents</w:t>
      </w:r>
      <w:r>
        <w:t>,</w:t>
      </w:r>
      <w:r w:rsidR="00550866">
        <w:t xml:space="preserve"> Coordination Chemistry Reviews, 527, 216401</w:t>
      </w:r>
      <w:r w:rsidR="00A9210A">
        <w:t>.</w:t>
      </w:r>
      <w:r w:rsidR="00170A86">
        <w:t xml:space="preserve"> </w:t>
      </w:r>
      <w:r w:rsidR="00BB5748">
        <w:t>doi:</w:t>
      </w:r>
      <w:r w:rsidR="00284233" w:rsidRPr="00284233">
        <w:t>10.1016/j.ccr.2024.216401</w:t>
      </w:r>
      <w:r w:rsidR="00550866">
        <w:t>.</w:t>
      </w:r>
    </w:p>
    <w:p w14:paraId="33E3A7ED" w14:textId="0C08B4EB" w:rsidR="00550866" w:rsidRDefault="00550866" w:rsidP="00550866">
      <w:pPr>
        <w:pStyle w:val="CETReferencetext"/>
      </w:pPr>
      <w:r>
        <w:t>Van Veenhuyzen B., Tichapondwa S., Hörstmann C., Chirwa E., Brink H.G., 2021, High capacity Pb(II) adsorption characteristics onto raw- and chemically activated waste activated sludge, Journal of Hazardous Materials, 416</w:t>
      </w:r>
      <w:r w:rsidR="00A9210A">
        <w:t>.</w:t>
      </w:r>
      <w:r>
        <w:t xml:space="preserve"> </w:t>
      </w:r>
      <w:r w:rsidR="00314284">
        <w:t>doi:</w:t>
      </w:r>
      <w:r>
        <w:t>10.1016/j.jhazmat.2021.125943.</w:t>
      </w:r>
    </w:p>
    <w:p w14:paraId="3FAE1081" w14:textId="24E86273" w:rsidR="00550866" w:rsidRDefault="00550866" w:rsidP="00550866">
      <w:pPr>
        <w:pStyle w:val="CETReferencetext"/>
      </w:pPr>
      <w:r>
        <w:t>Wang J., Guo X., 2020, Adsorption kinetic models: Physical meanings, applications, and solving methods, J</w:t>
      </w:r>
      <w:r w:rsidR="00314284">
        <w:t>ournal of</w:t>
      </w:r>
      <w:r>
        <w:t xml:space="preserve"> Hazard</w:t>
      </w:r>
      <w:r w:rsidR="00314284">
        <w:t>ous</w:t>
      </w:r>
      <w:r>
        <w:t xml:space="preserve"> Mater</w:t>
      </w:r>
      <w:r w:rsidR="00314284">
        <w:t>ials</w:t>
      </w:r>
      <w:r>
        <w:t>, 390, 122156</w:t>
      </w:r>
      <w:r w:rsidR="00A9210A">
        <w:t>.</w:t>
      </w:r>
      <w:r w:rsidR="00170A86">
        <w:t xml:space="preserve"> </w:t>
      </w:r>
      <w:r w:rsidR="00314284">
        <w:t>doi:</w:t>
      </w:r>
      <w:r w:rsidR="00170A86" w:rsidRPr="001C20AB">
        <w:rPr>
          <w:lang w:val="en-US"/>
        </w:rPr>
        <w:t>10.1016/j.jhazmat.2020.122156</w:t>
      </w:r>
      <w:r>
        <w:t>.</w:t>
      </w:r>
    </w:p>
    <w:p w14:paraId="13BC03CD" w14:textId="363D1AF4" w:rsidR="00550866" w:rsidRDefault="00550866" w:rsidP="00550866">
      <w:pPr>
        <w:pStyle w:val="CETReferencetext"/>
      </w:pPr>
      <w:r>
        <w:t>Wankat P.C., 2011, Separation Process Engineering - Includes Mass Transfer Analysis,</w:t>
      </w:r>
      <w:r w:rsidR="00F17238">
        <w:t xml:space="preserve"> 3</w:t>
      </w:r>
      <w:r w:rsidR="00F17238" w:rsidRPr="00F17238">
        <w:rPr>
          <w:vertAlign w:val="superscript"/>
        </w:rPr>
        <w:t>rd</w:t>
      </w:r>
      <w:r w:rsidR="00F17238">
        <w:t xml:space="preserve"> Edition,</w:t>
      </w:r>
      <w:r>
        <w:t xml:space="preserve"> Pearson Education, </w:t>
      </w:r>
      <w:r w:rsidR="00F17238" w:rsidRPr="00F17238">
        <w:t>Massachusetts</w:t>
      </w:r>
      <w:r w:rsidR="00F17238">
        <w:t xml:space="preserve">, </w:t>
      </w:r>
      <w:r>
        <w:t>US</w:t>
      </w:r>
      <w:r w:rsidR="00BB5748">
        <w:t>A</w:t>
      </w:r>
      <w:r>
        <w:t>.</w:t>
      </w:r>
    </w:p>
    <w:p w14:paraId="2EEA8845" w14:textId="19D8A390" w:rsidR="00550866" w:rsidRDefault="00550866" w:rsidP="00550866">
      <w:pPr>
        <w:pStyle w:val="CETReferencetext"/>
      </w:pPr>
      <w:r>
        <w:t>Worch E., 2021, Adsorption technology in water treatment : fundamentals, processes, and modeling, De Gruyter, Berlin</w:t>
      </w:r>
      <w:r w:rsidR="00314284">
        <w:t>, Germany</w:t>
      </w:r>
      <w:r>
        <w:t>.</w:t>
      </w:r>
    </w:p>
    <w:p w14:paraId="2C16898D" w14:textId="4441B993" w:rsidR="001C20AB" w:rsidRDefault="00550866" w:rsidP="00E65B91">
      <w:pPr>
        <w:pStyle w:val="CETReferencetext"/>
      </w:pPr>
      <w:r>
        <w:t>Yang M.C., Rollins D.S., Huber D.L., Ou J.-T., Baptiste M.R., Zeppuhar A.N., Chen F., Taylor M.K., 2023, Carbonyl-rich porous organic polymers for cobalt adsorption from water, Journal of Materials Chemistry C, 11, 15541-15547</w:t>
      </w:r>
      <w:r w:rsidR="00A9210A">
        <w:t>.</w:t>
      </w:r>
      <w:r w:rsidR="00170A86">
        <w:t xml:space="preserve"> </w:t>
      </w:r>
      <w:r w:rsidR="00F17238">
        <w:t>doi:</w:t>
      </w:r>
      <w:r w:rsidR="00170A86" w:rsidRPr="001C20AB">
        <w:rPr>
          <w:lang w:val="en-US"/>
        </w:rPr>
        <w:t>10.1039/D3TC03320A</w:t>
      </w:r>
      <w:r>
        <w:t>.</w:t>
      </w:r>
    </w:p>
    <w:p w14:paraId="77A88CB1" w14:textId="77777777" w:rsidR="001C20AB" w:rsidRDefault="001C20AB" w:rsidP="00E65B91">
      <w:pPr>
        <w:pStyle w:val="CETReferencetext"/>
      </w:pPr>
    </w:p>
    <w:sectPr w:rsidR="001C20AB"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D76B1" w14:textId="77777777" w:rsidR="00E10F31" w:rsidRDefault="00E10F31" w:rsidP="004F5E36">
      <w:r>
        <w:separator/>
      </w:r>
    </w:p>
  </w:endnote>
  <w:endnote w:type="continuationSeparator" w:id="0">
    <w:p w14:paraId="7D8BDFDE" w14:textId="77777777" w:rsidR="00E10F31" w:rsidRDefault="00E10F3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8DBA6" w14:textId="77777777" w:rsidR="00E10F31" w:rsidRDefault="00E10F31" w:rsidP="004F5E36">
      <w:r>
        <w:separator/>
      </w:r>
    </w:p>
  </w:footnote>
  <w:footnote w:type="continuationSeparator" w:id="0">
    <w:p w14:paraId="56300BAB" w14:textId="77777777" w:rsidR="00E10F31" w:rsidRDefault="00E10F3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0F7793A"/>
    <w:multiLevelType w:val="multilevel"/>
    <w:tmpl w:val="F2D0C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7D0117C"/>
    <w:multiLevelType w:val="multilevel"/>
    <w:tmpl w:val="A2D099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1"/>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84351335">
    <w:abstractNumId w:val="10"/>
  </w:num>
  <w:num w:numId="24" w16cid:durableId="1701008794">
    <w:abstractNumId w:val="20"/>
  </w:num>
  <w:num w:numId="25" w16cid:durableId="18375714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p5f2xrhvpvtiep0rb5f2vnt5a0zw2xd9dv&quot;&gt;Masters&lt;record-ids&gt;&lt;item&gt;3&lt;/item&gt;&lt;item&gt;16&lt;/item&gt;&lt;item&gt;18&lt;/item&gt;&lt;item&gt;22&lt;/item&gt;&lt;item&gt;32&lt;/item&gt;&lt;item&gt;52&lt;/item&gt;&lt;item&gt;99&lt;/item&gt;&lt;item&gt;100&lt;/item&gt;&lt;item&gt;165&lt;/item&gt;&lt;item&gt;218&lt;/item&gt;&lt;item&gt;220&lt;/item&gt;&lt;item&gt;221&lt;/item&gt;&lt;item&gt;222&lt;/item&gt;&lt;item&gt;223&lt;/item&gt;&lt;/record-ids&gt;&lt;/item&gt;&lt;/Libraries&gt;"/>
  </w:docVars>
  <w:rsids>
    <w:rsidRoot w:val="000E414A"/>
    <w:rsid w:val="000027C0"/>
    <w:rsid w:val="00004E36"/>
    <w:rsid w:val="000051FD"/>
    <w:rsid w:val="000052FB"/>
    <w:rsid w:val="00005A19"/>
    <w:rsid w:val="000117CB"/>
    <w:rsid w:val="0003148D"/>
    <w:rsid w:val="00031EEC"/>
    <w:rsid w:val="00051566"/>
    <w:rsid w:val="000562A9"/>
    <w:rsid w:val="00062A9A"/>
    <w:rsid w:val="00065058"/>
    <w:rsid w:val="00086C39"/>
    <w:rsid w:val="000932CE"/>
    <w:rsid w:val="000A03B2"/>
    <w:rsid w:val="000A5E15"/>
    <w:rsid w:val="000B1F58"/>
    <w:rsid w:val="000B6BEC"/>
    <w:rsid w:val="000D0268"/>
    <w:rsid w:val="000D2FF7"/>
    <w:rsid w:val="000D34BE"/>
    <w:rsid w:val="000E0B3C"/>
    <w:rsid w:val="000E102F"/>
    <w:rsid w:val="000E323F"/>
    <w:rsid w:val="000E36F1"/>
    <w:rsid w:val="000E3A73"/>
    <w:rsid w:val="000E414A"/>
    <w:rsid w:val="000E75FD"/>
    <w:rsid w:val="000F093C"/>
    <w:rsid w:val="000F787B"/>
    <w:rsid w:val="0011563E"/>
    <w:rsid w:val="0012091F"/>
    <w:rsid w:val="00126BC2"/>
    <w:rsid w:val="001308B6"/>
    <w:rsid w:val="0013121F"/>
    <w:rsid w:val="00131FE6"/>
    <w:rsid w:val="0013263F"/>
    <w:rsid w:val="001331DF"/>
    <w:rsid w:val="00134DE4"/>
    <w:rsid w:val="0014034D"/>
    <w:rsid w:val="00140481"/>
    <w:rsid w:val="00140FE3"/>
    <w:rsid w:val="00144D16"/>
    <w:rsid w:val="00150E59"/>
    <w:rsid w:val="00152DE3"/>
    <w:rsid w:val="001534E9"/>
    <w:rsid w:val="001545A3"/>
    <w:rsid w:val="00164CF9"/>
    <w:rsid w:val="00165314"/>
    <w:rsid w:val="001667A6"/>
    <w:rsid w:val="00170A86"/>
    <w:rsid w:val="0018171E"/>
    <w:rsid w:val="00184AD6"/>
    <w:rsid w:val="00197F64"/>
    <w:rsid w:val="001A4AF7"/>
    <w:rsid w:val="001B0349"/>
    <w:rsid w:val="001B1E93"/>
    <w:rsid w:val="001B65C1"/>
    <w:rsid w:val="001C20AB"/>
    <w:rsid w:val="001C260F"/>
    <w:rsid w:val="001C5C3A"/>
    <w:rsid w:val="001C684B"/>
    <w:rsid w:val="001D0CFB"/>
    <w:rsid w:val="001D21AF"/>
    <w:rsid w:val="001D53FC"/>
    <w:rsid w:val="001F42A5"/>
    <w:rsid w:val="001F7B9D"/>
    <w:rsid w:val="00201C93"/>
    <w:rsid w:val="00212A29"/>
    <w:rsid w:val="002224B4"/>
    <w:rsid w:val="002447EF"/>
    <w:rsid w:val="00251550"/>
    <w:rsid w:val="00263B05"/>
    <w:rsid w:val="0027221A"/>
    <w:rsid w:val="00275B61"/>
    <w:rsid w:val="00280FAF"/>
    <w:rsid w:val="00282656"/>
    <w:rsid w:val="00284233"/>
    <w:rsid w:val="00296B83"/>
    <w:rsid w:val="002B4015"/>
    <w:rsid w:val="002B78CE"/>
    <w:rsid w:val="002C2FB6"/>
    <w:rsid w:val="002E5D44"/>
    <w:rsid w:val="002E5FA7"/>
    <w:rsid w:val="002F0887"/>
    <w:rsid w:val="002F3309"/>
    <w:rsid w:val="003008CE"/>
    <w:rsid w:val="003009B7"/>
    <w:rsid w:val="00300E56"/>
    <w:rsid w:val="0030152C"/>
    <w:rsid w:val="003025FF"/>
    <w:rsid w:val="0030469C"/>
    <w:rsid w:val="00314284"/>
    <w:rsid w:val="00321CA6"/>
    <w:rsid w:val="00323763"/>
    <w:rsid w:val="00323C5F"/>
    <w:rsid w:val="00324F2F"/>
    <w:rsid w:val="00334C09"/>
    <w:rsid w:val="00350869"/>
    <w:rsid w:val="003723D4"/>
    <w:rsid w:val="00381905"/>
    <w:rsid w:val="00384CC8"/>
    <w:rsid w:val="003871FD"/>
    <w:rsid w:val="003904D3"/>
    <w:rsid w:val="003A1E30"/>
    <w:rsid w:val="003A2829"/>
    <w:rsid w:val="003A3AF5"/>
    <w:rsid w:val="003A7D1C"/>
    <w:rsid w:val="003B304B"/>
    <w:rsid w:val="003B3146"/>
    <w:rsid w:val="003B49CD"/>
    <w:rsid w:val="003C6C72"/>
    <w:rsid w:val="003D1E02"/>
    <w:rsid w:val="003D6DA8"/>
    <w:rsid w:val="003F015E"/>
    <w:rsid w:val="00400414"/>
    <w:rsid w:val="004067A8"/>
    <w:rsid w:val="0041446B"/>
    <w:rsid w:val="00435738"/>
    <w:rsid w:val="0044071E"/>
    <w:rsid w:val="0044329C"/>
    <w:rsid w:val="00453E24"/>
    <w:rsid w:val="00457456"/>
    <w:rsid w:val="004577FE"/>
    <w:rsid w:val="00457B9C"/>
    <w:rsid w:val="0046164A"/>
    <w:rsid w:val="004628D2"/>
    <w:rsid w:val="00462DCD"/>
    <w:rsid w:val="004641C3"/>
    <w:rsid w:val="004648AD"/>
    <w:rsid w:val="004703A9"/>
    <w:rsid w:val="004760DE"/>
    <w:rsid w:val="004763D7"/>
    <w:rsid w:val="004A004E"/>
    <w:rsid w:val="004A24CF"/>
    <w:rsid w:val="004C3D1D"/>
    <w:rsid w:val="004C3D84"/>
    <w:rsid w:val="004C7913"/>
    <w:rsid w:val="004E2B84"/>
    <w:rsid w:val="004E4DD6"/>
    <w:rsid w:val="004F42EA"/>
    <w:rsid w:val="004F5E36"/>
    <w:rsid w:val="00507B47"/>
    <w:rsid w:val="00507BEF"/>
    <w:rsid w:val="00507CC9"/>
    <w:rsid w:val="005119A5"/>
    <w:rsid w:val="00512F87"/>
    <w:rsid w:val="0052076A"/>
    <w:rsid w:val="005278B7"/>
    <w:rsid w:val="00532016"/>
    <w:rsid w:val="005346C8"/>
    <w:rsid w:val="00540B2C"/>
    <w:rsid w:val="00543E7D"/>
    <w:rsid w:val="00547A68"/>
    <w:rsid w:val="00550866"/>
    <w:rsid w:val="005531C9"/>
    <w:rsid w:val="00554879"/>
    <w:rsid w:val="00565080"/>
    <w:rsid w:val="00570C43"/>
    <w:rsid w:val="005767FC"/>
    <w:rsid w:val="005827E9"/>
    <w:rsid w:val="0058308F"/>
    <w:rsid w:val="005849C0"/>
    <w:rsid w:val="00586D1F"/>
    <w:rsid w:val="00592274"/>
    <w:rsid w:val="005A532A"/>
    <w:rsid w:val="005A69FA"/>
    <w:rsid w:val="005B2110"/>
    <w:rsid w:val="005B2321"/>
    <w:rsid w:val="005B350B"/>
    <w:rsid w:val="005B61E6"/>
    <w:rsid w:val="005C34B8"/>
    <w:rsid w:val="005C77E1"/>
    <w:rsid w:val="005D668A"/>
    <w:rsid w:val="005D6A2F"/>
    <w:rsid w:val="005E0592"/>
    <w:rsid w:val="005E1A82"/>
    <w:rsid w:val="005E794C"/>
    <w:rsid w:val="005F0A28"/>
    <w:rsid w:val="005F0E5E"/>
    <w:rsid w:val="005F6E3B"/>
    <w:rsid w:val="00600535"/>
    <w:rsid w:val="00610CD6"/>
    <w:rsid w:val="00620DEE"/>
    <w:rsid w:val="00621F92"/>
    <w:rsid w:val="0062280A"/>
    <w:rsid w:val="00622BFA"/>
    <w:rsid w:val="006231E1"/>
    <w:rsid w:val="00625639"/>
    <w:rsid w:val="00631B33"/>
    <w:rsid w:val="0064184D"/>
    <w:rsid w:val="006422CC"/>
    <w:rsid w:val="00651D18"/>
    <w:rsid w:val="00660E3E"/>
    <w:rsid w:val="0066204F"/>
    <w:rsid w:val="00662E74"/>
    <w:rsid w:val="00680C23"/>
    <w:rsid w:val="00683E23"/>
    <w:rsid w:val="00693766"/>
    <w:rsid w:val="00697F20"/>
    <w:rsid w:val="006A3281"/>
    <w:rsid w:val="006A3373"/>
    <w:rsid w:val="006A6DE5"/>
    <w:rsid w:val="006B4888"/>
    <w:rsid w:val="006C2E45"/>
    <w:rsid w:val="006C359C"/>
    <w:rsid w:val="006C5579"/>
    <w:rsid w:val="006C5DB7"/>
    <w:rsid w:val="006D6E8B"/>
    <w:rsid w:val="006D7209"/>
    <w:rsid w:val="006E581E"/>
    <w:rsid w:val="006E737D"/>
    <w:rsid w:val="0070138A"/>
    <w:rsid w:val="007075B0"/>
    <w:rsid w:val="00707DD1"/>
    <w:rsid w:val="007119DE"/>
    <w:rsid w:val="00713973"/>
    <w:rsid w:val="00720A24"/>
    <w:rsid w:val="00723306"/>
    <w:rsid w:val="00732386"/>
    <w:rsid w:val="00732CE9"/>
    <w:rsid w:val="0073514D"/>
    <w:rsid w:val="007447F3"/>
    <w:rsid w:val="0075499F"/>
    <w:rsid w:val="007661C8"/>
    <w:rsid w:val="0077098D"/>
    <w:rsid w:val="00785BF9"/>
    <w:rsid w:val="00787EBA"/>
    <w:rsid w:val="007931FA"/>
    <w:rsid w:val="00794FAF"/>
    <w:rsid w:val="007A228B"/>
    <w:rsid w:val="007A4861"/>
    <w:rsid w:val="007A7BBA"/>
    <w:rsid w:val="007B0C50"/>
    <w:rsid w:val="007B3268"/>
    <w:rsid w:val="007B48F9"/>
    <w:rsid w:val="007C1A43"/>
    <w:rsid w:val="007D0951"/>
    <w:rsid w:val="007D4038"/>
    <w:rsid w:val="007D610D"/>
    <w:rsid w:val="007F3814"/>
    <w:rsid w:val="0080013E"/>
    <w:rsid w:val="00801759"/>
    <w:rsid w:val="00813288"/>
    <w:rsid w:val="008168FC"/>
    <w:rsid w:val="00830996"/>
    <w:rsid w:val="008345F1"/>
    <w:rsid w:val="0085586F"/>
    <w:rsid w:val="00857DC4"/>
    <w:rsid w:val="00865B07"/>
    <w:rsid w:val="008667EA"/>
    <w:rsid w:val="00873097"/>
    <w:rsid w:val="0087637F"/>
    <w:rsid w:val="008832AA"/>
    <w:rsid w:val="00892AD5"/>
    <w:rsid w:val="008946DD"/>
    <w:rsid w:val="008A1512"/>
    <w:rsid w:val="008D32B9"/>
    <w:rsid w:val="008D433B"/>
    <w:rsid w:val="008D4A16"/>
    <w:rsid w:val="008D528B"/>
    <w:rsid w:val="008E5401"/>
    <w:rsid w:val="008E566E"/>
    <w:rsid w:val="0090161A"/>
    <w:rsid w:val="00901EB6"/>
    <w:rsid w:val="009041F8"/>
    <w:rsid w:val="00904C62"/>
    <w:rsid w:val="009173C9"/>
    <w:rsid w:val="00922BA8"/>
    <w:rsid w:val="00924DAC"/>
    <w:rsid w:val="00927058"/>
    <w:rsid w:val="00942750"/>
    <w:rsid w:val="009450CE"/>
    <w:rsid w:val="009459BB"/>
    <w:rsid w:val="00947179"/>
    <w:rsid w:val="0095164B"/>
    <w:rsid w:val="00954090"/>
    <w:rsid w:val="009573E7"/>
    <w:rsid w:val="00963E05"/>
    <w:rsid w:val="00963FC6"/>
    <w:rsid w:val="00964A45"/>
    <w:rsid w:val="00967843"/>
    <w:rsid w:val="00967D54"/>
    <w:rsid w:val="00971028"/>
    <w:rsid w:val="00993196"/>
    <w:rsid w:val="00993B84"/>
    <w:rsid w:val="00994C6A"/>
    <w:rsid w:val="00996483"/>
    <w:rsid w:val="00996F5A"/>
    <w:rsid w:val="009A27C1"/>
    <w:rsid w:val="009B041A"/>
    <w:rsid w:val="009C37C3"/>
    <w:rsid w:val="009C7C86"/>
    <w:rsid w:val="009D2FF7"/>
    <w:rsid w:val="009D5587"/>
    <w:rsid w:val="009D627A"/>
    <w:rsid w:val="009E7884"/>
    <w:rsid w:val="009E788A"/>
    <w:rsid w:val="009F0E08"/>
    <w:rsid w:val="00A079AE"/>
    <w:rsid w:val="00A1763D"/>
    <w:rsid w:val="00A17CEC"/>
    <w:rsid w:val="00A2514B"/>
    <w:rsid w:val="00A27EF0"/>
    <w:rsid w:val="00A408B9"/>
    <w:rsid w:val="00A414B3"/>
    <w:rsid w:val="00A42361"/>
    <w:rsid w:val="00A50B20"/>
    <w:rsid w:val="00A51390"/>
    <w:rsid w:val="00A60D13"/>
    <w:rsid w:val="00A7223D"/>
    <w:rsid w:val="00A72604"/>
    <w:rsid w:val="00A72745"/>
    <w:rsid w:val="00A76EFC"/>
    <w:rsid w:val="00A87D50"/>
    <w:rsid w:val="00A91010"/>
    <w:rsid w:val="00A9210A"/>
    <w:rsid w:val="00A97F29"/>
    <w:rsid w:val="00AA702E"/>
    <w:rsid w:val="00AA7D26"/>
    <w:rsid w:val="00AB0964"/>
    <w:rsid w:val="00AB5011"/>
    <w:rsid w:val="00AB77F3"/>
    <w:rsid w:val="00AC7368"/>
    <w:rsid w:val="00AD16B9"/>
    <w:rsid w:val="00AE377D"/>
    <w:rsid w:val="00AF0EBA"/>
    <w:rsid w:val="00AF2463"/>
    <w:rsid w:val="00AF5B01"/>
    <w:rsid w:val="00AF5FF5"/>
    <w:rsid w:val="00B02C8A"/>
    <w:rsid w:val="00B14160"/>
    <w:rsid w:val="00B17FBD"/>
    <w:rsid w:val="00B315A6"/>
    <w:rsid w:val="00B31813"/>
    <w:rsid w:val="00B31C89"/>
    <w:rsid w:val="00B33365"/>
    <w:rsid w:val="00B34E48"/>
    <w:rsid w:val="00B52B9B"/>
    <w:rsid w:val="00B57B36"/>
    <w:rsid w:val="00B57E6F"/>
    <w:rsid w:val="00B8686D"/>
    <w:rsid w:val="00B93F69"/>
    <w:rsid w:val="00BB1DDC"/>
    <w:rsid w:val="00BB5748"/>
    <w:rsid w:val="00BB7DE3"/>
    <w:rsid w:val="00BC30C9"/>
    <w:rsid w:val="00BD077D"/>
    <w:rsid w:val="00BD4649"/>
    <w:rsid w:val="00BE3E58"/>
    <w:rsid w:val="00BE44E0"/>
    <w:rsid w:val="00BF13CE"/>
    <w:rsid w:val="00C01616"/>
    <w:rsid w:val="00C0162B"/>
    <w:rsid w:val="00C068ED"/>
    <w:rsid w:val="00C21B20"/>
    <w:rsid w:val="00C22E0C"/>
    <w:rsid w:val="00C22FAB"/>
    <w:rsid w:val="00C30FD0"/>
    <w:rsid w:val="00C32C7D"/>
    <w:rsid w:val="00C345B1"/>
    <w:rsid w:val="00C40142"/>
    <w:rsid w:val="00C44AD4"/>
    <w:rsid w:val="00C52C3C"/>
    <w:rsid w:val="00C57182"/>
    <w:rsid w:val="00C57616"/>
    <w:rsid w:val="00C57863"/>
    <w:rsid w:val="00C640AF"/>
    <w:rsid w:val="00C655FD"/>
    <w:rsid w:val="00C75407"/>
    <w:rsid w:val="00C81E7D"/>
    <w:rsid w:val="00C841C6"/>
    <w:rsid w:val="00C867B5"/>
    <w:rsid w:val="00C870A8"/>
    <w:rsid w:val="00C874D0"/>
    <w:rsid w:val="00C91DC1"/>
    <w:rsid w:val="00C94434"/>
    <w:rsid w:val="00CA0D75"/>
    <w:rsid w:val="00CA1C95"/>
    <w:rsid w:val="00CA5A9C"/>
    <w:rsid w:val="00CC4C20"/>
    <w:rsid w:val="00CD3517"/>
    <w:rsid w:val="00CD5FE2"/>
    <w:rsid w:val="00CE0A5F"/>
    <w:rsid w:val="00CE7C68"/>
    <w:rsid w:val="00D0028A"/>
    <w:rsid w:val="00D02B4C"/>
    <w:rsid w:val="00D040C4"/>
    <w:rsid w:val="00D05308"/>
    <w:rsid w:val="00D20AD1"/>
    <w:rsid w:val="00D2582C"/>
    <w:rsid w:val="00D41069"/>
    <w:rsid w:val="00D46B7E"/>
    <w:rsid w:val="00D47A0C"/>
    <w:rsid w:val="00D54D4A"/>
    <w:rsid w:val="00D57C84"/>
    <w:rsid w:val="00D60496"/>
    <w:rsid w:val="00D6057D"/>
    <w:rsid w:val="00D60DAC"/>
    <w:rsid w:val="00D61AB1"/>
    <w:rsid w:val="00D71640"/>
    <w:rsid w:val="00D73FD9"/>
    <w:rsid w:val="00D836C5"/>
    <w:rsid w:val="00D84576"/>
    <w:rsid w:val="00DA1399"/>
    <w:rsid w:val="00DA1CF8"/>
    <w:rsid w:val="00DA24C6"/>
    <w:rsid w:val="00DA4D7B"/>
    <w:rsid w:val="00DC2840"/>
    <w:rsid w:val="00DC5683"/>
    <w:rsid w:val="00DC73EE"/>
    <w:rsid w:val="00DD271C"/>
    <w:rsid w:val="00DD7A24"/>
    <w:rsid w:val="00DE264A"/>
    <w:rsid w:val="00DE50AA"/>
    <w:rsid w:val="00DF5072"/>
    <w:rsid w:val="00E02D18"/>
    <w:rsid w:val="00E041E7"/>
    <w:rsid w:val="00E10F31"/>
    <w:rsid w:val="00E2170E"/>
    <w:rsid w:val="00E23CA1"/>
    <w:rsid w:val="00E409A8"/>
    <w:rsid w:val="00E50C12"/>
    <w:rsid w:val="00E645CC"/>
    <w:rsid w:val="00E65B91"/>
    <w:rsid w:val="00E70DA7"/>
    <w:rsid w:val="00E7209D"/>
    <w:rsid w:val="00E72EAD"/>
    <w:rsid w:val="00E747DD"/>
    <w:rsid w:val="00E77223"/>
    <w:rsid w:val="00E8528B"/>
    <w:rsid w:val="00E85B94"/>
    <w:rsid w:val="00E964BC"/>
    <w:rsid w:val="00E978D0"/>
    <w:rsid w:val="00EA4613"/>
    <w:rsid w:val="00EA7F91"/>
    <w:rsid w:val="00EB1523"/>
    <w:rsid w:val="00EC0E49"/>
    <w:rsid w:val="00EC101F"/>
    <w:rsid w:val="00EC1D9F"/>
    <w:rsid w:val="00EC5F7F"/>
    <w:rsid w:val="00EE0131"/>
    <w:rsid w:val="00EE17B0"/>
    <w:rsid w:val="00EE7F9B"/>
    <w:rsid w:val="00EF06D9"/>
    <w:rsid w:val="00F17238"/>
    <w:rsid w:val="00F22E93"/>
    <w:rsid w:val="00F3049E"/>
    <w:rsid w:val="00F30C64"/>
    <w:rsid w:val="00F32BA2"/>
    <w:rsid w:val="00F32CDB"/>
    <w:rsid w:val="00F41EE4"/>
    <w:rsid w:val="00F565FE"/>
    <w:rsid w:val="00F57C4D"/>
    <w:rsid w:val="00F63A70"/>
    <w:rsid w:val="00F63D8C"/>
    <w:rsid w:val="00F7534E"/>
    <w:rsid w:val="00F918F4"/>
    <w:rsid w:val="00F93D34"/>
    <w:rsid w:val="00F93EDF"/>
    <w:rsid w:val="00F97479"/>
    <w:rsid w:val="00FA1802"/>
    <w:rsid w:val="00FA21D0"/>
    <w:rsid w:val="00FA5F5F"/>
    <w:rsid w:val="00FB730C"/>
    <w:rsid w:val="00FC2695"/>
    <w:rsid w:val="00FC3E03"/>
    <w:rsid w:val="00FC3FC1"/>
    <w:rsid w:val="00FE44F4"/>
    <w:rsid w:val="00FF628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BB7DE3"/>
    <w:rPr>
      <w:color w:val="666666"/>
    </w:rPr>
  </w:style>
  <w:style w:type="paragraph" w:customStyle="1" w:styleId="EndNoteBibliographyTitle">
    <w:name w:val="EndNote Bibliography Title"/>
    <w:basedOn w:val="Normal"/>
    <w:link w:val="EndNoteBibliographyTitleChar"/>
    <w:rsid w:val="00873097"/>
    <w:pPr>
      <w:jc w:val="center"/>
    </w:pPr>
    <w:rPr>
      <w:rFonts w:cs="Arial"/>
      <w:noProof/>
      <w:lang w:val="en-US"/>
    </w:rPr>
  </w:style>
  <w:style w:type="character" w:customStyle="1" w:styleId="EndNoteBibliographyTitleChar">
    <w:name w:val="EndNote Bibliography Title Char"/>
    <w:basedOn w:val="CETBodytextCarattere"/>
    <w:link w:val="EndNoteBibliographyTitle"/>
    <w:rsid w:val="00873097"/>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873097"/>
    <w:pPr>
      <w:spacing w:line="240" w:lineRule="auto"/>
    </w:pPr>
    <w:rPr>
      <w:rFonts w:cs="Arial"/>
      <w:noProof/>
      <w:lang w:val="en-US"/>
    </w:rPr>
  </w:style>
  <w:style w:type="character" w:customStyle="1" w:styleId="EndNoteBibliographyChar">
    <w:name w:val="EndNote Bibliography Char"/>
    <w:basedOn w:val="CETBodytextCarattere"/>
    <w:link w:val="EndNoteBibliography"/>
    <w:rsid w:val="00873097"/>
    <w:rPr>
      <w:rFonts w:ascii="Arial" w:eastAsia="Times New Roman" w:hAnsi="Arial" w:cs="Arial"/>
      <w:noProof/>
      <w:sz w:val="18"/>
      <w:szCs w:val="20"/>
      <w:lang w:val="en-US"/>
    </w:rPr>
  </w:style>
  <w:style w:type="character" w:styleId="UnresolvedMention">
    <w:name w:val="Unresolved Mention"/>
    <w:basedOn w:val="DefaultParagraphFont"/>
    <w:uiPriority w:val="99"/>
    <w:semiHidden/>
    <w:unhideWhenUsed/>
    <w:rsid w:val="00D60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13235">
      <w:bodyDiv w:val="1"/>
      <w:marLeft w:val="0"/>
      <w:marRight w:val="0"/>
      <w:marTop w:val="0"/>
      <w:marBottom w:val="0"/>
      <w:divBdr>
        <w:top w:val="none" w:sz="0" w:space="0" w:color="auto"/>
        <w:left w:val="none" w:sz="0" w:space="0" w:color="auto"/>
        <w:bottom w:val="none" w:sz="0" w:space="0" w:color="auto"/>
        <w:right w:val="none" w:sz="0" w:space="0" w:color="auto"/>
      </w:divBdr>
    </w:div>
    <w:div w:id="319385011">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3112559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39668">
      <w:bodyDiv w:val="1"/>
      <w:marLeft w:val="0"/>
      <w:marRight w:val="0"/>
      <w:marTop w:val="0"/>
      <w:marBottom w:val="0"/>
      <w:divBdr>
        <w:top w:val="none" w:sz="0" w:space="0" w:color="auto"/>
        <w:left w:val="none" w:sz="0" w:space="0" w:color="auto"/>
        <w:bottom w:val="none" w:sz="0" w:space="0" w:color="auto"/>
        <w:right w:val="none" w:sz="0" w:space="0" w:color="auto"/>
      </w:divBdr>
    </w:div>
    <w:div w:id="978337504">
      <w:bodyDiv w:val="1"/>
      <w:marLeft w:val="0"/>
      <w:marRight w:val="0"/>
      <w:marTop w:val="0"/>
      <w:marBottom w:val="0"/>
      <w:divBdr>
        <w:top w:val="none" w:sz="0" w:space="0" w:color="auto"/>
        <w:left w:val="none" w:sz="0" w:space="0" w:color="auto"/>
        <w:bottom w:val="none" w:sz="0" w:space="0" w:color="auto"/>
        <w:right w:val="none" w:sz="0" w:space="0" w:color="auto"/>
      </w:divBdr>
    </w:div>
    <w:div w:id="1228229674">
      <w:bodyDiv w:val="1"/>
      <w:marLeft w:val="0"/>
      <w:marRight w:val="0"/>
      <w:marTop w:val="0"/>
      <w:marBottom w:val="0"/>
      <w:divBdr>
        <w:top w:val="none" w:sz="0" w:space="0" w:color="auto"/>
        <w:left w:val="none" w:sz="0" w:space="0" w:color="auto"/>
        <w:bottom w:val="none" w:sz="0" w:space="0" w:color="auto"/>
        <w:right w:val="none" w:sz="0" w:space="0" w:color="auto"/>
      </w:divBdr>
    </w:div>
    <w:div w:id="1234967315">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646461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89546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8477828">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018999248">
      <w:bodyDiv w:val="1"/>
      <w:marLeft w:val="0"/>
      <w:marRight w:val="0"/>
      <w:marTop w:val="0"/>
      <w:marBottom w:val="0"/>
      <w:divBdr>
        <w:top w:val="none" w:sz="0" w:space="0" w:color="auto"/>
        <w:left w:val="none" w:sz="0" w:space="0" w:color="auto"/>
        <w:bottom w:val="none" w:sz="0" w:space="0" w:color="auto"/>
        <w:right w:val="none" w:sz="0" w:space="0" w:color="auto"/>
      </w:divBdr>
    </w:div>
    <w:div w:id="208517528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khine\Desktop\E2DT_Coba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khine\Desktop\E2DT_Coba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khine\Desktop\E2DT_Cobal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khine\Desktop\E2DT_Cobal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1510499690213"/>
          <c:y val="5.5809233891425669E-2"/>
          <c:w val="0.81369952797029799"/>
          <c:h val="0.74018650894444638"/>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pH_study!$F$19:$F$23</c:f>
                <c:numCache>
                  <c:formatCode>General</c:formatCode>
                  <c:ptCount val="5"/>
                  <c:pt idx="0">
                    <c:v>0.22713942227806744</c:v>
                  </c:pt>
                  <c:pt idx="1">
                    <c:v>0.16617969387361287</c:v>
                  </c:pt>
                  <c:pt idx="2">
                    <c:v>0.44175781277457543</c:v>
                  </c:pt>
                  <c:pt idx="3">
                    <c:v>0.16601434090344366</c:v>
                  </c:pt>
                  <c:pt idx="4">
                    <c:v>9.455019167301934E-2</c:v>
                  </c:pt>
                </c:numCache>
              </c:numRef>
            </c:plus>
            <c:minus>
              <c:numRef>
                <c:f>pH_study!$F$19:$F$23</c:f>
                <c:numCache>
                  <c:formatCode>General</c:formatCode>
                  <c:ptCount val="5"/>
                  <c:pt idx="0">
                    <c:v>0.22713942227806744</c:v>
                  </c:pt>
                  <c:pt idx="1">
                    <c:v>0.16617969387361287</c:v>
                  </c:pt>
                  <c:pt idx="2">
                    <c:v>0.44175781277457543</c:v>
                  </c:pt>
                  <c:pt idx="3">
                    <c:v>0.16601434090344366</c:v>
                  </c:pt>
                  <c:pt idx="4">
                    <c:v>9.455019167301934E-2</c:v>
                  </c:pt>
                </c:numCache>
              </c:numRef>
            </c:minus>
            <c:spPr>
              <a:noFill/>
              <a:ln w="9525" cap="flat" cmpd="sng" algn="ctr">
                <a:solidFill>
                  <a:schemeClr val="tx1">
                    <a:lumMod val="65000"/>
                    <a:lumOff val="35000"/>
                  </a:schemeClr>
                </a:solidFill>
                <a:round/>
              </a:ln>
              <a:effectLst/>
            </c:spPr>
          </c:errBars>
          <c:xVal>
            <c:numRef>
              <c:f>pH_study!$A$19:$A$23</c:f>
              <c:numCache>
                <c:formatCode>General</c:formatCode>
                <c:ptCount val="5"/>
                <c:pt idx="0">
                  <c:v>2</c:v>
                </c:pt>
                <c:pt idx="1">
                  <c:v>4</c:v>
                </c:pt>
                <c:pt idx="2">
                  <c:v>6</c:v>
                </c:pt>
                <c:pt idx="3">
                  <c:v>8</c:v>
                </c:pt>
                <c:pt idx="4">
                  <c:v>10</c:v>
                </c:pt>
              </c:numCache>
            </c:numRef>
          </c:xVal>
          <c:yVal>
            <c:numRef>
              <c:f>pH_study!$E$19:$E$23</c:f>
              <c:numCache>
                <c:formatCode>General</c:formatCode>
                <c:ptCount val="5"/>
                <c:pt idx="0">
                  <c:v>97.608044501497645</c:v>
                </c:pt>
                <c:pt idx="1">
                  <c:v>98.62430466409927</c:v>
                </c:pt>
                <c:pt idx="2">
                  <c:v>98.953786906290119</c:v>
                </c:pt>
                <c:pt idx="3">
                  <c:v>99.73042362002569</c:v>
                </c:pt>
                <c:pt idx="4">
                  <c:v>99.871630295250313</c:v>
                </c:pt>
              </c:numCache>
            </c:numRef>
          </c:yVal>
          <c:smooth val="0"/>
          <c:extLst>
            <c:ext xmlns:c16="http://schemas.microsoft.com/office/drawing/2014/chart" uri="{C3380CC4-5D6E-409C-BE32-E72D297353CC}">
              <c16:uniqueId val="{00000000-377B-47AE-8BAB-687913BCC750}"/>
            </c:ext>
          </c:extLst>
        </c:ser>
        <c:dLbls>
          <c:showLegendKey val="0"/>
          <c:showVal val="0"/>
          <c:showCatName val="0"/>
          <c:showSerName val="0"/>
          <c:showPercent val="0"/>
          <c:showBubbleSize val="0"/>
        </c:dLbls>
        <c:axId val="367466104"/>
        <c:axId val="367466824"/>
      </c:scatterChart>
      <c:valAx>
        <c:axId val="367466104"/>
        <c:scaling>
          <c:orientation val="minMax"/>
          <c:max val="10.5"/>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pH</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7466824"/>
        <c:crosses val="autoZero"/>
        <c:crossBetween val="midCat"/>
      </c:valAx>
      <c:valAx>
        <c:axId val="367466824"/>
        <c:scaling>
          <c:orientation val="minMax"/>
          <c:max val="105"/>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 Removal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7466104"/>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4199475065616"/>
          <c:y val="6.0185185185185182E-2"/>
          <c:w val="0.80343022747156601"/>
          <c:h val="0.75240740740740741"/>
        </c:manualLayout>
      </c:layout>
      <c:scatterChart>
        <c:scatterStyle val="lineMarker"/>
        <c:varyColors val="0"/>
        <c:ser>
          <c:idx val="0"/>
          <c:order val="0"/>
          <c:spPr>
            <a:ln w="38100" cap="rnd">
              <a:no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Co_study!$G$23:$G$30</c:f>
                <c:numCache>
                  <c:formatCode>General</c:formatCode>
                  <c:ptCount val="8"/>
                  <c:pt idx="0">
                    <c:v>9.4690406652689347</c:v>
                  </c:pt>
                  <c:pt idx="1">
                    <c:v>5.9850320612423307</c:v>
                  </c:pt>
                  <c:pt idx="2">
                    <c:v>8.1956999707411953</c:v>
                  </c:pt>
                  <c:pt idx="3">
                    <c:v>8.2520675786841746</c:v>
                  </c:pt>
                  <c:pt idx="4">
                    <c:v>2.6443967224858018</c:v>
                  </c:pt>
                  <c:pt idx="5">
                    <c:v>2.188761644146838</c:v>
                  </c:pt>
                  <c:pt idx="6">
                    <c:v>3.2581840757634097</c:v>
                  </c:pt>
                  <c:pt idx="7">
                    <c:v>6.702075803003444</c:v>
                  </c:pt>
                </c:numCache>
              </c:numRef>
            </c:plus>
            <c:minus>
              <c:numRef>
                <c:f>Co_study!$G$23:$G$30</c:f>
                <c:numCache>
                  <c:formatCode>General</c:formatCode>
                  <c:ptCount val="8"/>
                  <c:pt idx="0">
                    <c:v>9.4690406652689347</c:v>
                  </c:pt>
                  <c:pt idx="1">
                    <c:v>5.9850320612423307</c:v>
                  </c:pt>
                  <c:pt idx="2">
                    <c:v>8.1956999707411953</c:v>
                  </c:pt>
                  <c:pt idx="3">
                    <c:v>8.2520675786841746</c:v>
                  </c:pt>
                  <c:pt idx="4">
                    <c:v>2.6443967224858018</c:v>
                  </c:pt>
                  <c:pt idx="5">
                    <c:v>2.188761644146838</c:v>
                  </c:pt>
                  <c:pt idx="6">
                    <c:v>3.2581840757634097</c:v>
                  </c:pt>
                  <c:pt idx="7">
                    <c:v>6.702075803003444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Co_study!$B$23:$B$30</c:f>
              <c:numCache>
                <c:formatCode>General</c:formatCode>
                <c:ptCount val="8"/>
                <c:pt idx="0">
                  <c:v>25</c:v>
                </c:pt>
                <c:pt idx="1">
                  <c:v>50</c:v>
                </c:pt>
                <c:pt idx="2">
                  <c:v>100</c:v>
                </c:pt>
                <c:pt idx="3">
                  <c:v>200</c:v>
                </c:pt>
                <c:pt idx="4">
                  <c:v>400</c:v>
                </c:pt>
                <c:pt idx="5">
                  <c:v>600</c:v>
                </c:pt>
                <c:pt idx="6">
                  <c:v>800</c:v>
                </c:pt>
                <c:pt idx="7">
                  <c:v>1000</c:v>
                </c:pt>
              </c:numCache>
            </c:numRef>
          </c:xVal>
          <c:yVal>
            <c:numRef>
              <c:f>Co_study!$F$23:$F$30</c:f>
              <c:numCache>
                <c:formatCode>General</c:formatCode>
                <c:ptCount val="8"/>
                <c:pt idx="0">
                  <c:v>95</c:v>
                </c:pt>
                <c:pt idx="1">
                  <c:v>95</c:v>
                </c:pt>
                <c:pt idx="2">
                  <c:v>92.156565656565647</c:v>
                </c:pt>
                <c:pt idx="3">
                  <c:v>84.896584896584883</c:v>
                </c:pt>
                <c:pt idx="4">
                  <c:v>62.159015302727873</c:v>
                </c:pt>
                <c:pt idx="5">
                  <c:v>50.87983911513323</c:v>
                </c:pt>
                <c:pt idx="6">
                  <c:v>38.478952520802743</c:v>
                </c:pt>
                <c:pt idx="7">
                  <c:v>26.911764705882351</c:v>
                </c:pt>
              </c:numCache>
            </c:numRef>
          </c:yVal>
          <c:smooth val="0"/>
          <c:extLst>
            <c:ext xmlns:c16="http://schemas.microsoft.com/office/drawing/2014/chart" uri="{C3380CC4-5D6E-409C-BE32-E72D297353CC}">
              <c16:uniqueId val="{00000000-7563-4A22-BAF9-1A01F8B5BCEB}"/>
            </c:ext>
          </c:extLst>
        </c:ser>
        <c:dLbls>
          <c:showLegendKey val="0"/>
          <c:showVal val="0"/>
          <c:showCatName val="0"/>
          <c:showSerName val="0"/>
          <c:showPercent val="0"/>
          <c:showBubbleSize val="0"/>
        </c:dLbls>
        <c:axId val="495221776"/>
        <c:axId val="495222496"/>
      </c:scatterChart>
      <c:valAx>
        <c:axId val="495221776"/>
        <c:scaling>
          <c:orientation val="minMax"/>
          <c:max val="103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Initial concentration (mg/L)</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5222496"/>
        <c:crosses val="autoZero"/>
        <c:crossBetween val="midCat"/>
        <c:majorUnit val="100"/>
      </c:valAx>
      <c:valAx>
        <c:axId val="495222496"/>
        <c:scaling>
          <c:orientation val="minMax"/>
          <c:max val="11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 Removal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5221776"/>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09904618566035"/>
          <c:y val="6.1572907920514973E-2"/>
          <c:w val="0.8150346591291473"/>
          <c:h val="0.72303386509935641"/>
        </c:manualLayout>
      </c:layout>
      <c:scatterChart>
        <c:scatterStyle val="lineMarker"/>
        <c:varyColors val="0"/>
        <c:ser>
          <c:idx val="0"/>
          <c:order val="0"/>
          <c:spPr>
            <a:ln w="38100" cap="rnd">
              <a:no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dosage_study!$P$6:$P$13</c:f>
                <c:numCache>
                  <c:formatCode>General</c:formatCode>
                  <c:ptCount val="8"/>
                  <c:pt idx="0">
                    <c:v>3.0078392399164375</c:v>
                  </c:pt>
                  <c:pt idx="1">
                    <c:v>3.2855802962049476</c:v>
                  </c:pt>
                  <c:pt idx="2">
                    <c:v>5.600733928857327</c:v>
                  </c:pt>
                  <c:pt idx="3">
                    <c:v>3.1882220674445065</c:v>
                  </c:pt>
                  <c:pt idx="4">
                    <c:v>3.998818025137044</c:v>
                  </c:pt>
                  <c:pt idx="5">
                    <c:v>2.5364998119874702</c:v>
                  </c:pt>
                  <c:pt idx="6">
                    <c:v>2.5166114784235836</c:v>
                  </c:pt>
                  <c:pt idx="7">
                    <c:v>1</c:v>
                  </c:pt>
                </c:numCache>
              </c:numRef>
            </c:plus>
            <c:minus>
              <c:numRef>
                <c:f>dosage_study!$P$6:$P$13</c:f>
                <c:numCache>
                  <c:formatCode>General</c:formatCode>
                  <c:ptCount val="8"/>
                  <c:pt idx="0">
                    <c:v>3.0078392399164375</c:v>
                  </c:pt>
                  <c:pt idx="1">
                    <c:v>3.2855802962049476</c:v>
                  </c:pt>
                  <c:pt idx="2">
                    <c:v>5.600733928857327</c:v>
                  </c:pt>
                  <c:pt idx="3">
                    <c:v>3.1882220674445065</c:v>
                  </c:pt>
                  <c:pt idx="4">
                    <c:v>3.998818025137044</c:v>
                  </c:pt>
                  <c:pt idx="5">
                    <c:v>2.5364998119874702</c:v>
                  </c:pt>
                  <c:pt idx="6">
                    <c:v>2.5166114784235836</c:v>
                  </c:pt>
                  <c:pt idx="7">
                    <c:v>1</c:v>
                  </c:pt>
                </c:numCache>
              </c:numRef>
            </c:minus>
            <c:spPr>
              <a:noFill/>
              <a:ln w="9525" cap="flat" cmpd="sng" algn="ctr">
                <a:solidFill>
                  <a:schemeClr val="tx1">
                    <a:lumMod val="65000"/>
                    <a:lumOff val="35000"/>
                  </a:schemeClr>
                </a:solidFill>
                <a:round/>
              </a:ln>
              <a:effectLst/>
            </c:spPr>
          </c:errBars>
          <c:xVal>
            <c:numRef>
              <c:f>dosage_study!$G$6:$G$13</c:f>
              <c:numCache>
                <c:formatCode>General</c:formatCode>
                <c:ptCount val="8"/>
                <c:pt idx="0">
                  <c:v>1.2500000000000001E-2</c:v>
                </c:pt>
                <c:pt idx="1">
                  <c:v>2.5000000000000001E-2</c:v>
                </c:pt>
                <c:pt idx="2">
                  <c:v>0.05</c:v>
                </c:pt>
                <c:pt idx="3">
                  <c:v>0.1</c:v>
                </c:pt>
                <c:pt idx="4">
                  <c:v>0.2</c:v>
                </c:pt>
                <c:pt idx="5">
                  <c:v>0.5</c:v>
                </c:pt>
                <c:pt idx="6">
                  <c:v>0.75</c:v>
                </c:pt>
                <c:pt idx="7">
                  <c:v>1</c:v>
                </c:pt>
              </c:numCache>
            </c:numRef>
          </c:xVal>
          <c:yVal>
            <c:numRef>
              <c:f>dosage_study!$O$6:$O$13</c:f>
              <c:numCache>
                <c:formatCode>General</c:formatCode>
                <c:ptCount val="8"/>
                <c:pt idx="0">
                  <c:v>32.874704491725772</c:v>
                </c:pt>
                <c:pt idx="1">
                  <c:v>39.193065405831355</c:v>
                </c:pt>
                <c:pt idx="2">
                  <c:v>48.024428684003148</c:v>
                </c:pt>
                <c:pt idx="3">
                  <c:v>60.747832939322301</c:v>
                </c:pt>
                <c:pt idx="4">
                  <c:v>82.999211977935389</c:v>
                </c:pt>
                <c:pt idx="5">
                  <c:v>90.099290780141857</c:v>
                </c:pt>
                <c:pt idx="6">
                  <c:v>90.333333333333329</c:v>
                </c:pt>
                <c:pt idx="7">
                  <c:v>92</c:v>
                </c:pt>
              </c:numCache>
            </c:numRef>
          </c:yVal>
          <c:smooth val="0"/>
          <c:extLst>
            <c:ext xmlns:c16="http://schemas.microsoft.com/office/drawing/2014/chart" uri="{C3380CC4-5D6E-409C-BE32-E72D297353CC}">
              <c16:uniqueId val="{00000000-0BA0-4A76-BAFF-7D143299A32C}"/>
            </c:ext>
          </c:extLst>
        </c:ser>
        <c:dLbls>
          <c:showLegendKey val="0"/>
          <c:showVal val="0"/>
          <c:showCatName val="0"/>
          <c:showSerName val="0"/>
          <c:showPercent val="0"/>
          <c:showBubbleSize val="0"/>
        </c:dLbls>
        <c:axId val="552313128"/>
        <c:axId val="552318528"/>
      </c:scatterChart>
      <c:valAx>
        <c:axId val="552313128"/>
        <c:scaling>
          <c:orientation val="minMax"/>
          <c:max val="1.05"/>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Adsorbent dosage</a:t>
                </a:r>
                <a:r>
                  <a:rPr lang="en-US" baseline="0">
                    <a:solidFill>
                      <a:sysClr val="windowText" lastClr="000000"/>
                    </a:solidFill>
                    <a:latin typeface="Arial" panose="020B0604020202020204" pitchFamily="34" charset="0"/>
                    <a:cs typeface="Arial" panose="020B0604020202020204" pitchFamily="34" charset="0"/>
                  </a:rPr>
                  <a:t> (g)</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2318528"/>
        <c:crosses val="autoZero"/>
        <c:crossBetween val="midCat"/>
      </c:valAx>
      <c:valAx>
        <c:axId val="5523185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 Removal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2313128"/>
        <c:crosses val="autoZero"/>
        <c:crossBetween val="midCat"/>
        <c:majorUnit val="20"/>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38100" cap="rnd">
              <a:no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kinetics!$P$24:$P$34</c:f>
                <c:numCache>
                  <c:formatCode>General</c:formatCode>
                  <c:ptCount val="11"/>
                  <c:pt idx="0">
                    <c:v>0</c:v>
                  </c:pt>
                  <c:pt idx="1">
                    <c:v>2.3282887077997194E-3</c:v>
                  </c:pt>
                  <c:pt idx="2">
                    <c:v>5.4751925570686151E-2</c:v>
                  </c:pt>
                  <c:pt idx="3">
                    <c:v>1.1890999958125301E-2</c:v>
                  </c:pt>
                  <c:pt idx="4">
                    <c:v>2.3581706797421043E-2</c:v>
                  </c:pt>
                  <c:pt idx="5">
                    <c:v>9.9521293001413793E-3</c:v>
                  </c:pt>
                  <c:pt idx="6">
                    <c:v>4.2360833390995382E-2</c:v>
                  </c:pt>
                  <c:pt idx="7">
                    <c:v>1.3336949054004175E-2</c:v>
                  </c:pt>
                  <c:pt idx="8">
                    <c:v>1.696018892239054E-2</c:v>
                  </c:pt>
                  <c:pt idx="9">
                    <c:v>3.7157000392327435E-3</c:v>
                  </c:pt>
                  <c:pt idx="10">
                    <c:v>3.6797751054262043E-2</c:v>
                  </c:pt>
                </c:numCache>
              </c:numRef>
            </c:plus>
            <c:minus>
              <c:numRef>
                <c:f>kinetics!$P$24:$P$34</c:f>
                <c:numCache>
                  <c:formatCode>General</c:formatCode>
                  <c:ptCount val="11"/>
                  <c:pt idx="0">
                    <c:v>0</c:v>
                  </c:pt>
                  <c:pt idx="1">
                    <c:v>2.3282887077997194E-3</c:v>
                  </c:pt>
                  <c:pt idx="2">
                    <c:v>5.4751925570686151E-2</c:v>
                  </c:pt>
                  <c:pt idx="3">
                    <c:v>1.1890999958125301E-2</c:v>
                  </c:pt>
                  <c:pt idx="4">
                    <c:v>2.3581706797421043E-2</c:v>
                  </c:pt>
                  <c:pt idx="5">
                    <c:v>9.9521293001413793E-3</c:v>
                  </c:pt>
                  <c:pt idx="6">
                    <c:v>4.2360833390995382E-2</c:v>
                  </c:pt>
                  <c:pt idx="7">
                    <c:v>1.3336949054004175E-2</c:v>
                  </c:pt>
                  <c:pt idx="8">
                    <c:v>1.696018892239054E-2</c:v>
                  </c:pt>
                  <c:pt idx="9">
                    <c:v>3.7157000392327435E-3</c:v>
                  </c:pt>
                  <c:pt idx="10">
                    <c:v>3.6797751054262043E-2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kinetics!$G$24:$G$34</c:f>
              <c:numCache>
                <c:formatCode>General</c:formatCode>
                <c:ptCount val="11"/>
                <c:pt idx="0">
                  <c:v>0</c:v>
                </c:pt>
                <c:pt idx="1">
                  <c:v>5</c:v>
                </c:pt>
                <c:pt idx="2">
                  <c:v>15</c:v>
                </c:pt>
                <c:pt idx="3">
                  <c:v>25</c:v>
                </c:pt>
                <c:pt idx="4">
                  <c:v>45</c:v>
                </c:pt>
                <c:pt idx="5">
                  <c:v>90</c:v>
                </c:pt>
                <c:pt idx="6">
                  <c:v>120</c:v>
                </c:pt>
                <c:pt idx="7">
                  <c:v>180</c:v>
                </c:pt>
                <c:pt idx="8">
                  <c:v>240</c:v>
                </c:pt>
                <c:pt idx="9">
                  <c:v>300</c:v>
                </c:pt>
                <c:pt idx="10">
                  <c:v>360</c:v>
                </c:pt>
              </c:numCache>
            </c:numRef>
          </c:xVal>
          <c:yVal>
            <c:numRef>
              <c:f>kinetics!$M$24:$M$34</c:f>
              <c:numCache>
                <c:formatCode>General</c:formatCode>
                <c:ptCount val="11"/>
                <c:pt idx="0">
                  <c:v>1</c:v>
                </c:pt>
                <c:pt idx="1">
                  <c:v>0.93364377182770664</c:v>
                </c:pt>
                <c:pt idx="2">
                  <c:v>0.82654249126891732</c:v>
                </c:pt>
                <c:pt idx="3">
                  <c:v>0.85098952270081474</c:v>
                </c:pt>
                <c:pt idx="4">
                  <c:v>0.68684516880093127</c:v>
                </c:pt>
                <c:pt idx="5">
                  <c:v>0.61059371362048886</c:v>
                </c:pt>
                <c:pt idx="6">
                  <c:v>0.54889406286379505</c:v>
                </c:pt>
                <c:pt idx="7">
                  <c:v>0.32305005820721772</c:v>
                </c:pt>
                <c:pt idx="8">
                  <c:v>0.21071012805587888</c:v>
                </c:pt>
                <c:pt idx="9">
                  <c:v>0.16792782305005821</c:v>
                </c:pt>
                <c:pt idx="10">
                  <c:v>0.18568102444703141</c:v>
                </c:pt>
              </c:numCache>
            </c:numRef>
          </c:yVal>
          <c:smooth val="0"/>
          <c:extLst>
            <c:ext xmlns:c16="http://schemas.microsoft.com/office/drawing/2014/chart" uri="{C3380CC4-5D6E-409C-BE32-E72D297353CC}">
              <c16:uniqueId val="{00000000-E0DA-4239-B228-BA78B9FE310C}"/>
            </c:ext>
          </c:extLst>
        </c:ser>
        <c:dLbls>
          <c:showLegendKey val="0"/>
          <c:showVal val="0"/>
          <c:showCatName val="0"/>
          <c:showSerName val="0"/>
          <c:showPercent val="0"/>
          <c:showBubbleSize val="0"/>
        </c:dLbls>
        <c:axId val="372034392"/>
        <c:axId val="372030792"/>
      </c:scatterChart>
      <c:valAx>
        <c:axId val="372034392"/>
        <c:scaling>
          <c:orientation val="minMax"/>
          <c:max val="365"/>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t (min)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2030792"/>
        <c:crosses val="autoZero"/>
        <c:crossBetween val="midCat"/>
        <c:majorUnit val="60"/>
      </c:valAx>
      <c:valAx>
        <c:axId val="372030792"/>
        <c:scaling>
          <c:orientation val="minMax"/>
          <c:max val="1.1000000000000001"/>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C</a:t>
                </a:r>
                <a:r>
                  <a:rPr lang="en-US" baseline="-25000">
                    <a:solidFill>
                      <a:sysClr val="windowText" lastClr="000000"/>
                    </a:solidFill>
                    <a:latin typeface="Arial" panose="020B0604020202020204" pitchFamily="34" charset="0"/>
                    <a:cs typeface="Arial" panose="020B0604020202020204" pitchFamily="34" charset="0"/>
                  </a:rPr>
                  <a:t>t</a:t>
                </a:r>
                <a:r>
                  <a:rPr lang="en-US">
                    <a:solidFill>
                      <a:sysClr val="windowText" lastClr="000000"/>
                    </a:solidFill>
                    <a:latin typeface="Arial" panose="020B0604020202020204" pitchFamily="34" charset="0"/>
                    <a:cs typeface="Arial" panose="020B0604020202020204" pitchFamily="34" charset="0"/>
                  </a:rPr>
                  <a:t>/C</a:t>
                </a:r>
                <a:r>
                  <a:rPr lang="en-US" baseline="-25000">
                    <a:solidFill>
                      <a:sysClr val="windowText" lastClr="000000"/>
                    </a:solidFill>
                    <a:latin typeface="Arial" panose="020B0604020202020204" pitchFamily="34" charset="0"/>
                    <a:cs typeface="Arial" panose="020B0604020202020204" pitchFamily="34" charset="0"/>
                  </a:rPr>
                  <a:t>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203439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5124</Words>
  <Characters>29211</Characters>
  <Application>Microsoft Office Word</Application>
  <DocSecurity>0</DocSecurity>
  <Lines>243</Lines>
  <Paragraphs>68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Ms. NN Nchabeleng</cp:lastModifiedBy>
  <cp:revision>10</cp:revision>
  <cp:lastPrinted>2015-05-12T18:31:00Z</cp:lastPrinted>
  <dcterms:created xsi:type="dcterms:W3CDTF">2025-04-24T09:07:00Z</dcterms:created>
  <dcterms:modified xsi:type="dcterms:W3CDTF">2025-04-24T10:28:00Z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