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9B93450" w:rsidR="00E978D0" w:rsidRPr="00B57B36" w:rsidRDefault="00365A70" w:rsidP="00E978D0">
      <w:pPr>
        <w:pStyle w:val="CETTitle"/>
      </w:pPr>
      <w:r w:rsidRPr="00365A70">
        <w:t>Exploring the Potential of Two-Stage Pyrolysis for Real Solid Plastic Waste Management</w:t>
      </w:r>
    </w:p>
    <w:p w14:paraId="0488FED2" w14:textId="57D99D83" w:rsidR="00B57E6F" w:rsidRPr="009D7C80" w:rsidRDefault="009D7C80" w:rsidP="00B57E6F">
      <w:pPr>
        <w:pStyle w:val="CETAuthors"/>
        <w:rPr>
          <w:lang w:val="it-IT"/>
        </w:rPr>
      </w:pPr>
      <w:r w:rsidRPr="009D7C80">
        <w:rPr>
          <w:lang w:val="it-IT"/>
        </w:rPr>
        <w:t>Letizia Marchetti</w:t>
      </w:r>
      <w:r w:rsidRPr="009D7C80">
        <w:rPr>
          <w:vertAlign w:val="superscript"/>
          <w:lang w:val="it-IT"/>
        </w:rPr>
        <w:t>a</w:t>
      </w:r>
      <w:r w:rsidR="00B57E6F" w:rsidRPr="009D7C80">
        <w:rPr>
          <w:vertAlign w:val="superscript"/>
          <w:lang w:val="it-IT"/>
        </w:rPr>
        <w:t>,</w:t>
      </w:r>
      <w:r w:rsidR="00B57E6F" w:rsidRPr="009D7C80">
        <w:rPr>
          <w:lang w:val="it-IT"/>
        </w:rPr>
        <w:t xml:space="preserve">*, </w:t>
      </w:r>
      <w:r w:rsidRPr="009D7C80">
        <w:rPr>
          <w:lang w:val="it-IT"/>
        </w:rPr>
        <w:t>Leonardo Tognotti</w:t>
      </w:r>
      <w:r w:rsidRPr="009D7C80">
        <w:rPr>
          <w:vertAlign w:val="superscript"/>
          <w:lang w:val="it-IT"/>
        </w:rPr>
        <w:t>a</w:t>
      </w:r>
      <w:r w:rsidRPr="009D7C80">
        <w:rPr>
          <w:lang w:val="it-IT"/>
        </w:rPr>
        <w:t>,</w:t>
      </w:r>
      <w:r>
        <w:rPr>
          <w:lang w:val="it-IT"/>
        </w:rPr>
        <w:t xml:space="preserve"> Federica Annunzi</w:t>
      </w:r>
      <w:r>
        <w:rPr>
          <w:vertAlign w:val="superscript"/>
          <w:lang w:val="it-IT"/>
        </w:rPr>
        <w:t>b</w:t>
      </w:r>
      <w:r>
        <w:rPr>
          <w:lang w:val="it-IT"/>
        </w:rPr>
        <w:t>, Cristiano Nicolella</w:t>
      </w:r>
      <w:r w:rsidRPr="009D7C80">
        <w:rPr>
          <w:vertAlign w:val="superscript"/>
          <w:lang w:val="it-IT"/>
        </w:rPr>
        <w:t>a</w:t>
      </w:r>
    </w:p>
    <w:p w14:paraId="6B2D21B3" w14:textId="2E5320AA" w:rsidR="00B57E6F" w:rsidRPr="009D7C80" w:rsidRDefault="00B57E6F" w:rsidP="00B57E6F">
      <w:pPr>
        <w:pStyle w:val="CETAddress"/>
        <w:rPr>
          <w:lang w:val="it-IT"/>
        </w:rPr>
      </w:pPr>
      <w:r w:rsidRPr="009D7C80">
        <w:rPr>
          <w:vertAlign w:val="superscript"/>
          <w:lang w:val="it-IT"/>
        </w:rPr>
        <w:t>a</w:t>
      </w:r>
      <w:r w:rsidR="009D7C80" w:rsidRPr="009D7C80">
        <w:rPr>
          <w:lang w:val="it-IT"/>
        </w:rPr>
        <w:t>Dipartimento di Ingegneria Civile e Industriale, Università di Pisa, Largo Lucio Lazzarino 2, 56122, Pisa (PI), Italy</w:t>
      </w:r>
    </w:p>
    <w:p w14:paraId="3D72B0B0" w14:textId="7EBCD22E" w:rsidR="00B57E6F" w:rsidRPr="009D7C80" w:rsidRDefault="00B57E6F" w:rsidP="00B57E6F">
      <w:pPr>
        <w:pStyle w:val="CETAddress"/>
        <w:rPr>
          <w:lang w:val="it-IT"/>
        </w:rPr>
      </w:pPr>
      <w:r w:rsidRPr="009D7C80">
        <w:rPr>
          <w:vertAlign w:val="superscript"/>
          <w:lang w:val="it-IT"/>
        </w:rPr>
        <w:t>b</w:t>
      </w:r>
      <w:r w:rsidR="009D7C80" w:rsidRPr="009D7C80">
        <w:rPr>
          <w:lang w:val="it-IT"/>
        </w:rPr>
        <w:t>Consorzio Polo Tecnologico Magona, via Magona, 57023, Cecina (LI), Italy</w:t>
      </w:r>
    </w:p>
    <w:p w14:paraId="73F1267A" w14:textId="2AEF40F2" w:rsidR="00B57E6F" w:rsidRPr="00973AF1" w:rsidRDefault="00B57E6F" w:rsidP="00B57E6F">
      <w:pPr>
        <w:pStyle w:val="CETemail"/>
      </w:pPr>
      <w:r w:rsidRPr="001B1220">
        <w:rPr>
          <w:lang w:val="it-IT"/>
        </w:rPr>
        <w:t xml:space="preserve"> </w:t>
      </w:r>
      <w:hyperlink r:id="rId10" w:history="1">
        <w:r w:rsidR="00973AF1" w:rsidRPr="00973AF1">
          <w:rPr>
            <w:rStyle w:val="Collegamentoipertestuale"/>
          </w:rPr>
          <w:t>letizia.marchetti@phd.unipi.it</w:t>
        </w:r>
      </w:hyperlink>
    </w:p>
    <w:p w14:paraId="3ED5678F" w14:textId="1BBF41B3" w:rsidR="00973AF1" w:rsidRPr="00973AF1" w:rsidRDefault="00A97758" w:rsidP="00973AF1">
      <w:pPr>
        <w:pStyle w:val="CETBodytext"/>
      </w:pPr>
      <w:r>
        <w:t xml:space="preserve">Solid plastic wastes management </w:t>
      </w:r>
      <w:r w:rsidR="001B1220">
        <w:t>is pivotal</w:t>
      </w:r>
      <w:r w:rsidR="00973AF1" w:rsidRPr="00973AF1">
        <w:t xml:space="preserve"> </w:t>
      </w:r>
      <w:r>
        <w:t>for</w:t>
      </w:r>
      <w:r w:rsidR="00973AF1" w:rsidRPr="00973AF1">
        <w:t xml:space="preserve"> environmental </w:t>
      </w:r>
      <w:r w:rsidR="001B1220" w:rsidRPr="00973AF1">
        <w:t>sustainability,</w:t>
      </w:r>
      <w:r w:rsidR="00973AF1" w:rsidRPr="00973AF1">
        <w:t xml:space="preserve"> </w:t>
      </w:r>
      <w:r w:rsidR="001B1220">
        <w:t xml:space="preserve">and it represents a challenge </w:t>
      </w:r>
      <w:r>
        <w:t xml:space="preserve">still nowadays </w:t>
      </w:r>
      <w:r w:rsidR="001B1220">
        <w:t>because of</w:t>
      </w:r>
      <w:r>
        <w:t xml:space="preserve"> </w:t>
      </w:r>
      <w:r w:rsidR="001B1220">
        <w:t>the huge plastic</w:t>
      </w:r>
      <w:r w:rsidR="00973AF1" w:rsidRPr="00973AF1">
        <w:t xml:space="preserve"> production and </w:t>
      </w:r>
      <w:r w:rsidR="001B1220">
        <w:t xml:space="preserve">its </w:t>
      </w:r>
      <w:r w:rsidR="00973AF1" w:rsidRPr="00973AF1">
        <w:t>intrinsic non-degradability. Recycling technolog</w:t>
      </w:r>
      <w:r w:rsidR="00565536">
        <w:t>ies</w:t>
      </w:r>
      <w:r w:rsidR="00973AF1" w:rsidRPr="00973AF1">
        <w:t xml:space="preserve"> </w:t>
      </w:r>
      <w:r w:rsidR="00E255EF">
        <w:t>ha</w:t>
      </w:r>
      <w:r w:rsidR="00565536">
        <w:t>ve</w:t>
      </w:r>
      <w:r w:rsidR="00E255EF">
        <w:t xml:space="preserve"> gained more and more interest as they are</w:t>
      </w:r>
      <w:r w:rsidR="00973AF1" w:rsidRPr="00973AF1">
        <w:t xml:space="preserve"> alternative</w:t>
      </w:r>
      <w:r w:rsidR="00E255EF">
        <w:t xml:space="preserve"> solutions</w:t>
      </w:r>
      <w:r w:rsidR="00973AF1" w:rsidRPr="00973AF1">
        <w:t xml:space="preserve"> to landfilling and incineration practices</w:t>
      </w:r>
      <w:r w:rsidR="00E255EF">
        <w:t>. Particularly, pyrolysis</w:t>
      </w:r>
      <w:r w:rsidR="00973AF1" w:rsidRPr="00973AF1">
        <w:t xml:space="preserve"> is </w:t>
      </w:r>
      <w:r w:rsidR="00E255EF">
        <w:t>a</w:t>
      </w:r>
      <w:r w:rsidR="00973AF1" w:rsidRPr="00973AF1">
        <w:t xml:space="preserve"> thermochemical treatment that converts </w:t>
      </w:r>
      <w:r w:rsidR="00E255EF">
        <w:t>plastic waste stream</w:t>
      </w:r>
      <w:r w:rsidR="00973AF1" w:rsidRPr="00973AF1">
        <w:t xml:space="preserve"> into solid, liquid, and gaseous </w:t>
      </w:r>
      <w:r w:rsidR="00801EF0">
        <w:t>co-</w:t>
      </w:r>
      <w:r w:rsidR="00973AF1" w:rsidRPr="00973AF1">
        <w:t>products</w:t>
      </w:r>
      <w:r w:rsidR="00801EF0">
        <w:t xml:space="preserve">, </w:t>
      </w:r>
      <w:r w:rsidR="00F34544">
        <w:t>breaking down the long polymeric chains in a</w:t>
      </w:r>
      <w:r w:rsidR="00973AF1" w:rsidRPr="00973AF1">
        <w:t xml:space="preserve"> </w:t>
      </w:r>
      <w:r w:rsidR="00801EF0" w:rsidRPr="00973AF1">
        <w:t>high</w:t>
      </w:r>
      <w:r w:rsidR="00F34544">
        <w:t>-</w:t>
      </w:r>
      <w:r w:rsidR="00801EF0" w:rsidRPr="00973AF1">
        <w:t>temperature</w:t>
      </w:r>
      <w:r w:rsidR="00F34544">
        <w:t xml:space="preserve"> and</w:t>
      </w:r>
      <w:r w:rsidR="00973AF1" w:rsidRPr="00973AF1">
        <w:t xml:space="preserve"> non-oxygen </w:t>
      </w:r>
      <w:r w:rsidR="00F34544">
        <w:t>environment</w:t>
      </w:r>
      <w:r w:rsidR="00973AF1" w:rsidRPr="00973AF1">
        <w:t xml:space="preserve">. </w:t>
      </w:r>
      <w:r w:rsidR="00BA146C">
        <w:t xml:space="preserve">Furthermore, </w:t>
      </w:r>
      <w:r w:rsidR="00B84D76">
        <w:t xml:space="preserve">using a two-step technology, i.e., </w:t>
      </w:r>
      <w:r w:rsidR="00BA146C">
        <w:t xml:space="preserve">coupling an auxiliary cracking reactor to a pyrolysis one, it is possible to further upgrade the energy content of both liquid and gaseous fraction. </w:t>
      </w:r>
      <w:r w:rsidR="00E4121D">
        <w:t xml:space="preserve">The two-stage pyrolysis has been </w:t>
      </w:r>
      <w:proofErr w:type="gramStart"/>
      <w:r w:rsidR="00E4121D">
        <w:t>studied in depth</w:t>
      </w:r>
      <w:proofErr w:type="gramEnd"/>
      <w:r w:rsidR="00E4121D">
        <w:t xml:space="preserve"> as it represents a viable solution. However, </w:t>
      </w:r>
      <w:r w:rsidR="00D22216">
        <w:t xml:space="preserve">while </w:t>
      </w:r>
      <w:r w:rsidR="00E4121D">
        <w:t>many studies are conducted on virgin polymers</w:t>
      </w:r>
      <w:r w:rsidR="00D22216">
        <w:t xml:space="preserve"> for better understanding the process, only a few experimental </w:t>
      </w:r>
      <w:r w:rsidR="004F0707">
        <w:t>tests</w:t>
      </w:r>
      <w:r w:rsidR="00D22216">
        <w:t xml:space="preserve"> are performed on real plastic solid wastes for figuring out the effect of waste heterogeneity. Thus, </w:t>
      </w:r>
      <w:r w:rsidR="005C79BF">
        <w:t xml:space="preserve">this </w:t>
      </w:r>
      <w:r w:rsidR="00B27540">
        <w:t xml:space="preserve">study aims to contribute to </w:t>
      </w:r>
      <w:r w:rsidR="00105EF4">
        <w:t>plastic</w:t>
      </w:r>
      <w:r w:rsidR="00786F9D">
        <w:t xml:space="preserve"> waste management by investigating three samples of real plastic scraps</w:t>
      </w:r>
      <w:r w:rsidR="00105EF4">
        <w:t xml:space="preserve">, i.e., automotive shredder residue, </w:t>
      </w:r>
      <w:r w:rsidR="00105EF4" w:rsidRPr="00973AF1">
        <w:t>light fraction</w:t>
      </w:r>
      <w:r w:rsidR="00105EF4">
        <w:t xml:space="preserve"> and heavy fraction of </w:t>
      </w:r>
      <w:r w:rsidR="00105EF4" w:rsidRPr="00973AF1">
        <w:t>polyolefin densification</w:t>
      </w:r>
      <w:r w:rsidR="00105EF4">
        <w:t xml:space="preserve"> scrap.</w:t>
      </w:r>
      <w:r w:rsidR="004C569E">
        <w:t xml:space="preserve"> The experimental campaign provided a first waste characterization with TGA, DSC and elemental analysis, followed </w:t>
      </w:r>
      <w:r w:rsidR="00973AF1" w:rsidRPr="00973AF1">
        <w:t>by laboratory-scale two-stage system pyrolysis experiments. The system successfully generated high-energy gas that mimics natural gas. The findings demonstrate the system's capability of handling di</w:t>
      </w:r>
      <w:r w:rsidR="00CC291A">
        <w:t>fferent</w:t>
      </w:r>
      <w:r w:rsidR="00973AF1" w:rsidRPr="00973AF1">
        <w:t xml:space="preserve"> streams of waste and emphasize its future potential for large-scale and environmentally friendly waste recycling technologies.</w:t>
      </w:r>
    </w:p>
    <w:p w14:paraId="476B2F2E" w14:textId="52B36035" w:rsidR="00600535" w:rsidRDefault="00600535" w:rsidP="00600535">
      <w:pPr>
        <w:pStyle w:val="CETHeading1"/>
        <w:rPr>
          <w:lang w:val="en-GB"/>
        </w:rPr>
      </w:pPr>
      <w:r w:rsidRPr="00B57B36">
        <w:rPr>
          <w:lang w:val="en-GB"/>
        </w:rPr>
        <w:t>Introduction</w:t>
      </w:r>
    </w:p>
    <w:p w14:paraId="4B1487F3" w14:textId="255C1CBF" w:rsidR="00AA21AB" w:rsidRDefault="009725BE" w:rsidP="00E52BCB">
      <w:pPr>
        <w:pStyle w:val="CETBodytext"/>
        <w:rPr>
          <w:lang w:val="en-GB"/>
        </w:rPr>
      </w:pPr>
      <w:r>
        <w:rPr>
          <w:lang w:val="en-GB"/>
        </w:rPr>
        <w:t>Plastic solid waste</w:t>
      </w:r>
      <w:r w:rsidR="00CF7436">
        <w:rPr>
          <w:lang w:val="en-GB"/>
        </w:rPr>
        <w:t xml:space="preserve"> (PSW)</w:t>
      </w:r>
      <w:r>
        <w:rPr>
          <w:lang w:val="en-GB"/>
        </w:rPr>
        <w:t xml:space="preserve"> management is one of the main challenges for environmental sustainability due to the high plastic production coupled with its non-degradable nature. In 2009, already more than 250</w:t>
      </w:r>
      <w:r>
        <w:rPr>
          <w:rFonts w:cs="Arial"/>
          <w:lang w:val="en-GB"/>
        </w:rPr>
        <w:t>·</w:t>
      </w:r>
      <w:r>
        <w:rPr>
          <w:lang w:val="en-GB"/>
        </w:rPr>
        <w:t>10</w:t>
      </w:r>
      <w:r>
        <w:rPr>
          <w:vertAlign w:val="superscript"/>
          <w:lang w:val="en-GB"/>
        </w:rPr>
        <w:t>6</w:t>
      </w:r>
      <w:r>
        <w:rPr>
          <w:lang w:val="en-GB"/>
        </w:rPr>
        <w:t xml:space="preserve"> tons of PSW were registered to be produced every year in the European Union Countries </w:t>
      </w:r>
      <w:r w:rsidRPr="00B37FD4">
        <w:rPr>
          <w:lang w:val="en-GB"/>
        </w:rPr>
        <w:t>(Al-Salem et al., 2009)</w:t>
      </w:r>
      <w:r w:rsidR="00E75EC5" w:rsidRPr="00B37FD4">
        <w:rPr>
          <w:lang w:val="en-GB"/>
        </w:rPr>
        <w:t>,</w:t>
      </w:r>
      <w:r w:rsidR="00E75EC5">
        <w:rPr>
          <w:lang w:val="en-GB"/>
        </w:rPr>
        <w:t xml:space="preserve"> while, </w:t>
      </w:r>
      <w:r w:rsidR="00AA21AB">
        <w:rPr>
          <w:lang w:val="en-GB"/>
        </w:rPr>
        <w:t>in 2022</w:t>
      </w:r>
      <w:r w:rsidR="00E75EC5">
        <w:rPr>
          <w:lang w:val="en-GB"/>
        </w:rPr>
        <w:t>,</w:t>
      </w:r>
      <w:r w:rsidR="00AA21AB">
        <w:rPr>
          <w:lang w:val="en-GB"/>
        </w:rPr>
        <w:t xml:space="preserve"> the </w:t>
      </w:r>
      <w:r w:rsidR="00AA21AB" w:rsidRPr="00AA21AB">
        <w:rPr>
          <w:lang w:val="en-GB"/>
        </w:rPr>
        <w:t>worldwide plastic production is calculated to be 400</w:t>
      </w:r>
      <w:r w:rsidR="00E75EC5">
        <w:rPr>
          <w:rFonts w:cs="Arial"/>
          <w:lang w:val="en-GB"/>
        </w:rPr>
        <w:t>·</w:t>
      </w:r>
      <w:r w:rsidR="00E75EC5">
        <w:rPr>
          <w:lang w:val="en-GB"/>
        </w:rPr>
        <w:t>10</w:t>
      </w:r>
      <w:r w:rsidR="00E75EC5">
        <w:rPr>
          <w:vertAlign w:val="superscript"/>
          <w:lang w:val="en-GB"/>
        </w:rPr>
        <w:t>6</w:t>
      </w:r>
      <w:r w:rsidR="00AA21AB" w:rsidRPr="00AA21AB">
        <w:rPr>
          <w:lang w:val="en-GB"/>
        </w:rPr>
        <w:t xml:space="preserve"> tons</w:t>
      </w:r>
      <w:r w:rsidR="00AA21AB">
        <w:rPr>
          <w:lang w:val="en-GB"/>
        </w:rPr>
        <w:t xml:space="preserve"> </w:t>
      </w:r>
      <w:r w:rsidR="00AA21AB" w:rsidRPr="00B37FD4">
        <w:rPr>
          <w:lang w:val="en-GB"/>
        </w:rPr>
        <w:t>(</w:t>
      </w:r>
      <w:proofErr w:type="spellStart"/>
      <w:r w:rsidR="00E52BCB" w:rsidRPr="00E52BCB">
        <w:rPr>
          <w:lang w:val="en-GB"/>
        </w:rPr>
        <w:t>Nayanathara</w:t>
      </w:r>
      <w:proofErr w:type="spellEnd"/>
      <w:r w:rsidR="00E52BCB" w:rsidRPr="00E52BCB">
        <w:rPr>
          <w:lang w:val="en-GB"/>
        </w:rPr>
        <w:t xml:space="preserve"> </w:t>
      </w:r>
      <w:proofErr w:type="spellStart"/>
      <w:r w:rsidR="00E52BCB" w:rsidRPr="00E52BCB">
        <w:rPr>
          <w:lang w:val="en-GB"/>
        </w:rPr>
        <w:t>Thathsarani</w:t>
      </w:r>
      <w:proofErr w:type="spellEnd"/>
      <w:r w:rsidR="00E52BCB" w:rsidRPr="00E52BCB">
        <w:rPr>
          <w:lang w:val="en-GB"/>
        </w:rPr>
        <w:t xml:space="preserve"> </w:t>
      </w:r>
      <w:proofErr w:type="spellStart"/>
      <w:r w:rsidR="00E52BCB" w:rsidRPr="00E52BCB">
        <w:rPr>
          <w:lang w:val="en-GB"/>
        </w:rPr>
        <w:t>Pilapitiya</w:t>
      </w:r>
      <w:proofErr w:type="spellEnd"/>
      <w:r w:rsidR="00AA21AB" w:rsidRPr="00B37FD4">
        <w:rPr>
          <w:lang w:val="en-GB"/>
        </w:rPr>
        <w:t xml:space="preserve"> and Ratnayake, 2024).</w:t>
      </w:r>
      <w:r w:rsidR="00AA21AB">
        <w:rPr>
          <w:lang w:val="en-GB"/>
        </w:rPr>
        <w:t xml:space="preserve"> </w:t>
      </w:r>
      <w:r w:rsidR="009018CC">
        <w:rPr>
          <w:lang w:val="en-GB"/>
        </w:rPr>
        <w:t>T</w:t>
      </w:r>
      <w:r w:rsidR="00E75EC5">
        <w:rPr>
          <w:lang w:val="en-GB"/>
        </w:rPr>
        <w:t>he significant progresses in recycling technologies</w:t>
      </w:r>
      <w:r w:rsidR="009018CC">
        <w:rPr>
          <w:lang w:val="en-GB"/>
        </w:rPr>
        <w:t xml:space="preserve"> brought to a lower amount of PSW treated in landfill</w:t>
      </w:r>
      <w:r w:rsidR="006B7F3E">
        <w:rPr>
          <w:lang w:val="en-GB"/>
        </w:rPr>
        <w:t>s</w:t>
      </w:r>
      <w:r w:rsidR="009018CC">
        <w:rPr>
          <w:lang w:val="en-GB"/>
        </w:rPr>
        <w:t xml:space="preserve">, e.g., from 2012 to 2017 the percentage of PSW landfilled decreased from 32 % to 23 % </w:t>
      </w:r>
      <w:r w:rsidR="009018CC" w:rsidRPr="0040467D">
        <w:rPr>
          <w:lang w:val="en-GB"/>
        </w:rPr>
        <w:t>(Eurostat, 201</w:t>
      </w:r>
      <w:r w:rsidR="002011F5" w:rsidRPr="0040467D">
        <w:rPr>
          <w:lang w:val="en-GB"/>
        </w:rPr>
        <w:t>8</w:t>
      </w:r>
      <w:r w:rsidR="009018CC" w:rsidRPr="0040467D">
        <w:rPr>
          <w:lang w:val="en-GB"/>
        </w:rPr>
        <w:t>),</w:t>
      </w:r>
      <w:r w:rsidR="009018CC">
        <w:rPr>
          <w:lang w:val="en-GB"/>
        </w:rPr>
        <w:t xml:space="preserve"> however this percentage requires</w:t>
      </w:r>
      <w:r w:rsidR="00CF7436">
        <w:rPr>
          <w:lang w:val="en-GB"/>
        </w:rPr>
        <w:t xml:space="preserve"> further</w:t>
      </w:r>
      <w:r w:rsidR="009018CC">
        <w:rPr>
          <w:lang w:val="en-GB"/>
        </w:rPr>
        <w:t xml:space="preserve"> interventions as it is still relevant. </w:t>
      </w:r>
      <w:r w:rsidR="000D00C2">
        <w:rPr>
          <w:lang w:val="en-GB"/>
        </w:rPr>
        <w:t xml:space="preserve">Thus, recycling technologies, </w:t>
      </w:r>
      <w:r w:rsidR="004B6744">
        <w:rPr>
          <w:lang w:val="en-GB"/>
        </w:rPr>
        <w:t xml:space="preserve">which </w:t>
      </w:r>
      <w:r w:rsidR="000D00C2">
        <w:rPr>
          <w:lang w:val="en-GB"/>
        </w:rPr>
        <w:t xml:space="preserve">emerged as promising options, need to be further investigated with particular attention to pyrolysis, a </w:t>
      </w:r>
      <w:r w:rsidR="004B6744">
        <w:rPr>
          <w:lang w:val="en-GB"/>
        </w:rPr>
        <w:t>specific</w:t>
      </w:r>
      <w:r w:rsidR="000D00C2">
        <w:rPr>
          <w:lang w:val="en-GB"/>
        </w:rPr>
        <w:t xml:space="preserve"> process </w:t>
      </w:r>
      <w:r w:rsidR="00565536">
        <w:rPr>
          <w:lang w:val="en-GB"/>
        </w:rPr>
        <w:t>cap</w:t>
      </w:r>
      <w:r w:rsidR="000D00C2">
        <w:rPr>
          <w:lang w:val="en-GB"/>
        </w:rPr>
        <w:t xml:space="preserve">able of converting PSW in added-value products such as chemicals or fuels. </w:t>
      </w:r>
      <w:r w:rsidR="004B6744">
        <w:rPr>
          <w:lang w:val="en-GB"/>
        </w:rPr>
        <w:t>Pyrolysis is a technology which uses high temperature in inert atmospheres bringing to the rapture of chemical bonds with low CO and CO</w:t>
      </w:r>
      <w:r w:rsidR="004B6744">
        <w:rPr>
          <w:vertAlign w:val="subscript"/>
          <w:lang w:val="en-GB"/>
        </w:rPr>
        <w:t>2</w:t>
      </w:r>
      <w:r w:rsidR="004B6744">
        <w:rPr>
          <w:lang w:val="en-GB"/>
        </w:rPr>
        <w:t xml:space="preserve"> </w:t>
      </w:r>
      <w:r w:rsidR="005B2E45">
        <w:rPr>
          <w:lang w:val="en-GB"/>
        </w:rPr>
        <w:t>emissions</w:t>
      </w:r>
      <w:r w:rsidR="00350F83">
        <w:rPr>
          <w:lang w:val="en-GB"/>
        </w:rPr>
        <w:t xml:space="preserve"> (Guastaferro et al., 2024)</w:t>
      </w:r>
      <w:r w:rsidR="004B6744">
        <w:rPr>
          <w:lang w:val="en-GB"/>
        </w:rPr>
        <w:t xml:space="preserve">. </w:t>
      </w:r>
      <w:r w:rsidR="00722AC4">
        <w:rPr>
          <w:lang w:val="en-GB"/>
        </w:rPr>
        <w:t>Gaseous and liquid products are potential energy sources as their heating value is comparable to those of fossil fuels, and it can be further enhanced through a second reactive stage, i.e., cracking reaction. Thus, the needed configuration incorporates a secondary cracking reactor to further break down the hydrocarbon chains of gas and liquid, improving their quality and allowing operational scalability. Indeed, the use of two</w:t>
      </w:r>
      <w:r w:rsidR="00946888">
        <w:rPr>
          <w:lang w:val="en-GB"/>
        </w:rPr>
        <w:t xml:space="preserve"> independent</w:t>
      </w:r>
      <w:r w:rsidR="00722AC4">
        <w:rPr>
          <w:lang w:val="en-GB"/>
        </w:rPr>
        <w:t xml:space="preserve"> sub-sequential reactors allows to </w:t>
      </w:r>
      <w:r w:rsidR="00946888">
        <w:rPr>
          <w:lang w:val="en-GB"/>
        </w:rPr>
        <w:t>higher energy gas and oil, without using extreme temperature or expensive catalysts.</w:t>
      </w:r>
    </w:p>
    <w:p w14:paraId="233C64C2" w14:textId="2445C8D2" w:rsidR="00973AF1" w:rsidRPr="00973AF1" w:rsidRDefault="00B06ED6" w:rsidP="00973AF1">
      <w:pPr>
        <w:pStyle w:val="CETBodytext"/>
        <w:rPr>
          <w:lang w:val="en-GB"/>
        </w:rPr>
      </w:pPr>
      <w:r>
        <w:rPr>
          <w:lang w:val="en-GB"/>
        </w:rPr>
        <w:t xml:space="preserve">Despite the </w:t>
      </w:r>
      <w:r w:rsidR="00565536">
        <w:rPr>
          <w:lang w:val="en-GB"/>
        </w:rPr>
        <w:t>large</w:t>
      </w:r>
      <w:r>
        <w:rPr>
          <w:lang w:val="en-GB"/>
        </w:rPr>
        <w:t xml:space="preserve"> number of studies on two-stage pyrolysis, only a few</w:t>
      </w:r>
      <w:r w:rsidR="00565536">
        <w:rPr>
          <w:lang w:val="en-GB"/>
        </w:rPr>
        <w:t xml:space="preserve"> have</w:t>
      </w:r>
      <w:r>
        <w:rPr>
          <w:lang w:val="en-GB"/>
        </w:rPr>
        <w:t xml:space="preserve"> considered the </w:t>
      </w:r>
      <w:r w:rsidR="000F4856">
        <w:rPr>
          <w:lang w:val="en-GB"/>
        </w:rPr>
        <w:t>variety</w:t>
      </w:r>
      <w:r>
        <w:rPr>
          <w:lang w:val="en-GB"/>
        </w:rPr>
        <w:t xml:space="preserve"> of real industrial PSW. </w:t>
      </w:r>
      <w:r w:rsidR="000F4856">
        <w:rPr>
          <w:lang w:val="en-GB"/>
        </w:rPr>
        <w:t xml:space="preserve">Indeed, real wastes are characterized by high heterogeneity </w:t>
      </w:r>
      <w:r w:rsidR="00565536">
        <w:rPr>
          <w:lang w:val="en-GB"/>
        </w:rPr>
        <w:t>that</w:t>
      </w:r>
      <w:r w:rsidR="000F4856">
        <w:rPr>
          <w:lang w:val="en-GB"/>
        </w:rPr>
        <w:t xml:space="preserve"> introduces challenging for recycling treatments. </w:t>
      </w:r>
      <w:r w:rsidR="00B9520C">
        <w:rPr>
          <w:lang w:val="en-GB"/>
        </w:rPr>
        <w:t>This study aims to address this research gap by investigating three different PSW streams: i.e., automotive shredder residue, and heavy and light fraction</w:t>
      </w:r>
      <w:r w:rsidR="00350F83">
        <w:rPr>
          <w:lang w:val="en-GB"/>
        </w:rPr>
        <w:t>s</w:t>
      </w:r>
      <w:r w:rsidR="00B9520C">
        <w:rPr>
          <w:lang w:val="en-GB"/>
        </w:rPr>
        <w:t xml:space="preserve"> of scrap from densified polyolefin production </w:t>
      </w:r>
      <w:r w:rsidR="00B9520C">
        <w:rPr>
          <w:lang w:val="en-GB"/>
        </w:rPr>
        <w:lastRenderedPageBreak/>
        <w:t xml:space="preserve">process. </w:t>
      </w:r>
      <w:r w:rsidR="00722BC4">
        <w:rPr>
          <w:lang w:val="en-GB"/>
        </w:rPr>
        <w:t xml:space="preserve">These samples were characterized with thermogravimetric analysis (TGA), differential scanning calorimetry (DSC) and elemental analysis (CHN) to figure out their degrative behaviour in nitrogen, to determine </w:t>
      </w:r>
      <w:r w:rsidR="002659F9">
        <w:rPr>
          <w:lang w:val="en-GB"/>
        </w:rPr>
        <w:t xml:space="preserve">the contained polymers, and to evaluate </w:t>
      </w:r>
      <w:r w:rsidR="00722BC4">
        <w:rPr>
          <w:lang w:val="en-GB"/>
        </w:rPr>
        <w:t>the carbon, hydrogen and nitrogen content</w:t>
      </w:r>
      <w:r w:rsidR="002659F9">
        <w:rPr>
          <w:lang w:val="en-GB"/>
        </w:rPr>
        <w:t xml:space="preserve">. Once characterized, the PSW materials were subjected to the lab-scale two-stage batch pyrolysis setup which simulates a full-scale process, allowing the co-product yields </w:t>
      </w:r>
      <w:r w:rsidR="004919E8">
        <w:rPr>
          <w:lang w:val="en-GB"/>
        </w:rPr>
        <w:t xml:space="preserve">evaluation. Moreover, each co-product was characterized for assessing the impact of feedstock variability on co-products quantity and quality. </w:t>
      </w:r>
      <w:r w:rsidR="00973AF1" w:rsidRPr="00973AF1">
        <w:rPr>
          <w:lang w:val="en-GB"/>
        </w:rPr>
        <w:t xml:space="preserve">This work highlights the potential of </w:t>
      </w:r>
      <w:r w:rsidR="00DF5EAB">
        <w:rPr>
          <w:lang w:val="en-GB"/>
        </w:rPr>
        <w:t xml:space="preserve">two-stage </w:t>
      </w:r>
      <w:r w:rsidR="00973AF1" w:rsidRPr="00973AF1">
        <w:rPr>
          <w:lang w:val="en-GB"/>
        </w:rPr>
        <w:t>pyrolysis as a sustainable waste management solution, offering insights for optimizing and scaling up thermochemical recycling processes.</w:t>
      </w:r>
    </w:p>
    <w:p w14:paraId="75D04D48" w14:textId="741CA8ED" w:rsidR="009D7C80" w:rsidRDefault="009D7C80" w:rsidP="009D7C80">
      <w:pPr>
        <w:pStyle w:val="CETHeading1"/>
      </w:pPr>
      <w:r>
        <w:t>Materials and methods</w:t>
      </w:r>
    </w:p>
    <w:p w14:paraId="68018976" w14:textId="4BAC6CD8" w:rsidR="006B7F3E" w:rsidRPr="006B7F3E" w:rsidRDefault="006B7F3E" w:rsidP="006B7F3E">
      <w:pPr>
        <w:pStyle w:val="CETBodytext"/>
      </w:pPr>
      <w:r>
        <w:t xml:space="preserve">The entire experimental campaign was </w:t>
      </w:r>
      <w:r w:rsidR="0088395E">
        <w:t>conducted</w:t>
      </w:r>
      <w:r>
        <w:t xml:space="preserve"> on three different samples, i.e., sample 1 (S1), sample 2 (S2) and sample 3 (S3), which </w:t>
      </w:r>
      <w:r w:rsidR="0088395E">
        <w:t>correspond to</w:t>
      </w:r>
      <w:r>
        <w:t xml:space="preserve"> automotive shredder residue, </w:t>
      </w:r>
      <w:r w:rsidR="0088395E">
        <w:t xml:space="preserve">and the </w:t>
      </w:r>
      <w:r>
        <w:t>light and heavy fractions of densified polyolefin production process scrap, respectively. Figure 1 dep</w:t>
      </w:r>
      <w:r w:rsidR="0088395E">
        <w:t>icts</w:t>
      </w:r>
      <w:r>
        <w:t xml:space="preserve"> the three different samples before (left) and after (right) the shredding procedure</w:t>
      </w:r>
      <w:r w:rsidR="007E11BD">
        <w:t xml:space="preserve">, which reduces the characteristic dimension of PSW to 5 mm </w:t>
      </w:r>
      <w:r w:rsidR="0088395E">
        <w:t>to</w:t>
      </w:r>
      <w:r w:rsidR="007E11BD">
        <w:t xml:space="preserve"> </w:t>
      </w:r>
      <w:r w:rsidR="0088395E">
        <w:t>enhance</w:t>
      </w:r>
      <w:r w:rsidR="007E11BD">
        <w:t xml:space="preserve"> heat transfer during pyrolysis.</w:t>
      </w:r>
    </w:p>
    <w:p w14:paraId="50EB22E8" w14:textId="77777777" w:rsidR="009D7C80" w:rsidRPr="00932044" w:rsidRDefault="009D7C80" w:rsidP="009D7C80">
      <w:pPr>
        <w:pStyle w:val="CETCaption"/>
      </w:pPr>
      <w:r>
        <w:rPr>
          <w:noProof/>
        </w:rPr>
        <w:drawing>
          <wp:inline distT="0" distB="0" distL="0" distR="0" wp14:anchorId="61F91D46" wp14:editId="554CD3B1">
            <wp:extent cx="5551724" cy="1152000"/>
            <wp:effectExtent l="0" t="0" r="0" b="0"/>
            <wp:docPr id="968358478" name="Immagine 2" descr="Immagine che contiene mone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58478" name="Immagine 2" descr="Immagine che contiene moneta&#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1724" cy="1152000"/>
                    </a:xfrm>
                    <a:prstGeom prst="rect">
                      <a:avLst/>
                    </a:prstGeom>
                    <a:noFill/>
                  </pic:spPr>
                </pic:pic>
              </a:graphicData>
            </a:graphic>
          </wp:inline>
        </w:drawing>
      </w:r>
    </w:p>
    <w:p w14:paraId="67A70A40" w14:textId="77777777" w:rsidR="009D7C80" w:rsidRDefault="009D7C80" w:rsidP="009D7C80">
      <w:pPr>
        <w:pStyle w:val="CETCaption"/>
        <w:rPr>
          <w:rStyle w:val="CETCaptionCarattere"/>
          <w:i/>
        </w:rPr>
      </w:pPr>
      <w:r w:rsidRPr="00BD077D">
        <w:rPr>
          <w:rStyle w:val="CETCaptionCarattere"/>
          <w:i/>
        </w:rPr>
        <w:t xml:space="preserve">Figure 1: </w:t>
      </w:r>
      <w:r>
        <w:rPr>
          <w:rStyle w:val="CETCaptionCarattere"/>
          <w:i/>
        </w:rPr>
        <w:t>Pictures of (a) sample 1, (b) sample 2, and (c) sample 3 before and after shredding procedure.</w:t>
      </w:r>
    </w:p>
    <w:p w14:paraId="3DCF1D85" w14:textId="00C2A6D4" w:rsidR="00D95296" w:rsidRDefault="00D95296" w:rsidP="0008523C">
      <w:pPr>
        <w:pStyle w:val="CETBodytext"/>
        <w:rPr>
          <w:rStyle w:val="CETCaptionCarattere"/>
          <w:i w:val="0"/>
          <w:lang w:val="en-US"/>
        </w:rPr>
      </w:pPr>
      <w:r w:rsidRPr="0008523C">
        <w:rPr>
          <w:rStyle w:val="CETCaptionCarattere"/>
          <w:i w:val="0"/>
          <w:lang w:val="en-US"/>
        </w:rPr>
        <w:t xml:space="preserve">Once shredded and dried, </w:t>
      </w:r>
      <w:r w:rsidR="0088395E">
        <w:rPr>
          <w:rStyle w:val="CETCaptionCarattere"/>
          <w:i w:val="0"/>
          <w:lang w:val="en-US"/>
        </w:rPr>
        <w:t xml:space="preserve">each sample underwent material </w:t>
      </w:r>
      <w:r w:rsidRPr="0008523C">
        <w:rPr>
          <w:rStyle w:val="CETCaptionCarattere"/>
          <w:i w:val="0"/>
          <w:lang w:val="en-US"/>
        </w:rPr>
        <w:t>characterization</w:t>
      </w:r>
      <w:r w:rsidR="00396428" w:rsidRPr="0008523C">
        <w:rPr>
          <w:rStyle w:val="CETCaptionCarattere"/>
          <w:i w:val="0"/>
          <w:lang w:val="en-US"/>
        </w:rPr>
        <w:t xml:space="preserve">. </w:t>
      </w:r>
      <w:r w:rsidR="00630CAA" w:rsidRPr="0008523C">
        <w:rPr>
          <w:rStyle w:val="CETCaptionCarattere"/>
          <w:i w:val="0"/>
          <w:lang w:val="en-US"/>
        </w:rPr>
        <w:t>Thermogravimetric analysis</w:t>
      </w:r>
      <w:r w:rsidR="0088395E">
        <w:rPr>
          <w:rStyle w:val="CETCaptionCarattere"/>
          <w:i w:val="0"/>
          <w:lang w:val="en-US"/>
        </w:rPr>
        <w:t xml:space="preserve"> (TGA)</w:t>
      </w:r>
      <w:r w:rsidR="00630CAA" w:rsidRPr="0008523C">
        <w:rPr>
          <w:rStyle w:val="CETCaptionCarattere"/>
          <w:i w:val="0"/>
          <w:lang w:val="en-US"/>
        </w:rPr>
        <w:t xml:space="preserve"> in nitrogen (100 mL/min) </w:t>
      </w:r>
      <w:r w:rsidR="0088395E">
        <w:rPr>
          <w:rStyle w:val="CETCaptionCarattere"/>
          <w:i w:val="0"/>
          <w:lang w:val="en-US"/>
        </w:rPr>
        <w:t>was performed</w:t>
      </w:r>
      <w:r w:rsidR="00630CAA" w:rsidRPr="0008523C">
        <w:rPr>
          <w:rStyle w:val="CETCaptionCarattere"/>
          <w:i w:val="0"/>
          <w:lang w:val="en-US"/>
        </w:rPr>
        <w:t xml:space="preserve"> to </w:t>
      </w:r>
      <w:r w:rsidR="0088395E">
        <w:rPr>
          <w:rStyle w:val="CETCaptionCarattere"/>
          <w:i w:val="0"/>
          <w:lang w:val="en-US"/>
        </w:rPr>
        <w:t>investigate</w:t>
      </w:r>
      <w:r w:rsidR="00630CAA" w:rsidRPr="0008523C">
        <w:rPr>
          <w:rStyle w:val="CETCaptionCarattere"/>
          <w:i w:val="0"/>
          <w:lang w:val="en-US"/>
        </w:rPr>
        <w:t xml:space="preserve"> the thermal degradati</w:t>
      </w:r>
      <w:r w:rsidR="0088395E">
        <w:rPr>
          <w:rStyle w:val="CETCaptionCarattere"/>
          <w:i w:val="0"/>
          <w:lang w:val="en-US"/>
        </w:rPr>
        <w:t>on</w:t>
      </w:r>
      <w:r w:rsidR="00630CAA" w:rsidRPr="0008523C">
        <w:rPr>
          <w:rStyle w:val="CETCaptionCarattere"/>
          <w:i w:val="0"/>
          <w:lang w:val="en-US"/>
        </w:rPr>
        <w:t xml:space="preserve"> </w:t>
      </w:r>
      <w:r w:rsidR="00D9656C" w:rsidRPr="0008523C">
        <w:rPr>
          <w:rStyle w:val="CETCaptionCarattere"/>
          <w:i w:val="0"/>
          <w:lang w:val="en-US"/>
        </w:rPr>
        <w:t>behavior</w:t>
      </w:r>
      <w:r w:rsidR="00630CAA" w:rsidRPr="0008523C">
        <w:rPr>
          <w:rStyle w:val="CETCaptionCarattere"/>
          <w:i w:val="0"/>
          <w:lang w:val="en-US"/>
        </w:rPr>
        <w:t xml:space="preserve"> of real PSW materials in</w:t>
      </w:r>
      <w:r w:rsidR="0088395E">
        <w:rPr>
          <w:rStyle w:val="CETCaptionCarattere"/>
          <w:i w:val="0"/>
          <w:lang w:val="en-US"/>
        </w:rPr>
        <w:t xml:space="preserve"> an</w:t>
      </w:r>
      <w:r w:rsidR="00630CAA" w:rsidRPr="0008523C">
        <w:rPr>
          <w:rStyle w:val="CETCaptionCarattere"/>
          <w:i w:val="0"/>
          <w:lang w:val="en-US"/>
        </w:rPr>
        <w:t xml:space="preserve"> inert environment. The samples were heated from </w:t>
      </w:r>
      <w:r w:rsidR="005820A4" w:rsidRPr="0008523C">
        <w:rPr>
          <w:rStyle w:val="CETCaptionCarattere"/>
          <w:i w:val="0"/>
          <w:lang w:val="en-US"/>
        </w:rPr>
        <w:t>3</w:t>
      </w:r>
      <w:r w:rsidR="00630CAA" w:rsidRPr="0008523C">
        <w:rPr>
          <w:rStyle w:val="CETCaptionCarattere"/>
          <w:i w:val="0"/>
          <w:lang w:val="en-US"/>
        </w:rPr>
        <w:t>0 °C to 800°C at a rate of 10 °C/</w:t>
      </w:r>
      <w:r w:rsidR="00626B1C" w:rsidRPr="0008523C">
        <w:rPr>
          <w:rStyle w:val="CETCaptionCarattere"/>
          <w:i w:val="0"/>
          <w:lang w:val="en-US"/>
        </w:rPr>
        <w:t>min and</w:t>
      </w:r>
      <w:r w:rsidR="00630CAA" w:rsidRPr="0008523C">
        <w:rPr>
          <w:rStyle w:val="CETCaptionCarattere"/>
          <w:i w:val="0"/>
          <w:lang w:val="en-US"/>
        </w:rPr>
        <w:t xml:space="preserve"> </w:t>
      </w:r>
      <w:r w:rsidR="0088395E">
        <w:rPr>
          <w:rStyle w:val="CETCaptionCarattere"/>
          <w:i w:val="0"/>
          <w:lang w:val="en-US"/>
        </w:rPr>
        <w:t xml:space="preserve">then </w:t>
      </w:r>
      <w:r w:rsidR="00630CAA" w:rsidRPr="0008523C">
        <w:rPr>
          <w:rStyle w:val="CETCaptionCarattere"/>
          <w:i w:val="0"/>
          <w:lang w:val="en-US"/>
        </w:rPr>
        <w:t>kept at 800°C for 2 hours.</w:t>
      </w:r>
      <w:r w:rsidR="0088395E">
        <w:rPr>
          <w:rStyle w:val="CETCaptionCarattere"/>
          <w:i w:val="0"/>
          <w:lang w:val="en-US"/>
        </w:rPr>
        <w:t xml:space="preserve"> D</w:t>
      </w:r>
      <w:r w:rsidR="0088395E" w:rsidRPr="0008523C">
        <w:rPr>
          <w:rStyle w:val="CETCaptionCarattere"/>
          <w:i w:val="0"/>
          <w:lang w:val="en-US"/>
        </w:rPr>
        <w:t>ifferential scanning calorimetry (DSC) analysis</w:t>
      </w:r>
      <w:r w:rsidR="0088395E">
        <w:rPr>
          <w:rStyle w:val="CETCaptionCarattere"/>
          <w:i w:val="0"/>
          <w:lang w:val="en-US"/>
        </w:rPr>
        <w:t xml:space="preserve"> was carried out with a</w:t>
      </w:r>
      <w:r w:rsidR="00630CAA" w:rsidRPr="0008523C">
        <w:rPr>
          <w:rStyle w:val="CETCaptionCarattere"/>
          <w:i w:val="0"/>
          <w:lang w:val="en-US"/>
        </w:rPr>
        <w:t xml:space="preserve"> </w:t>
      </w:r>
      <w:r w:rsidR="005820A4" w:rsidRPr="0008523C">
        <w:rPr>
          <w:rStyle w:val="CETCaptionCarattere"/>
          <w:i w:val="0"/>
          <w:lang w:val="en-US"/>
        </w:rPr>
        <w:t xml:space="preserve">Mettler Toledo Star DSC 1/700 instrument </w:t>
      </w:r>
      <w:r w:rsidR="0088395E">
        <w:rPr>
          <w:rStyle w:val="CETCaptionCarattere"/>
          <w:i w:val="0"/>
          <w:lang w:val="en-US"/>
        </w:rPr>
        <w:t>under</w:t>
      </w:r>
      <w:r w:rsidR="005820A4" w:rsidRPr="0008523C">
        <w:rPr>
          <w:rStyle w:val="CETCaptionCarattere"/>
          <w:i w:val="0"/>
          <w:lang w:val="en-US"/>
        </w:rPr>
        <w:t xml:space="preserve"> nitrogen</w:t>
      </w:r>
      <w:r w:rsidR="0088395E">
        <w:rPr>
          <w:rStyle w:val="CETCaptionCarattere"/>
          <w:i w:val="0"/>
          <w:lang w:val="en-US"/>
        </w:rPr>
        <w:t xml:space="preserve"> flow</w:t>
      </w:r>
      <w:r w:rsidR="005820A4" w:rsidRPr="0008523C">
        <w:rPr>
          <w:rStyle w:val="CETCaptionCarattere"/>
          <w:i w:val="0"/>
          <w:lang w:val="en-US"/>
        </w:rPr>
        <w:t xml:space="preserve"> (100 mL/min)</w:t>
      </w:r>
      <w:r w:rsidR="0088395E">
        <w:rPr>
          <w:rStyle w:val="CETCaptionCarattere"/>
          <w:i w:val="0"/>
          <w:lang w:val="en-US"/>
        </w:rPr>
        <w:t>. The samples were</w:t>
      </w:r>
      <w:r w:rsidR="005820A4" w:rsidRPr="0008523C">
        <w:rPr>
          <w:rStyle w:val="CETCaptionCarattere"/>
          <w:i w:val="0"/>
          <w:lang w:val="en-US"/>
        </w:rPr>
        <w:t xml:space="preserve"> heat</w:t>
      </w:r>
      <w:r w:rsidR="0088395E">
        <w:rPr>
          <w:rStyle w:val="CETCaptionCarattere"/>
          <w:i w:val="0"/>
          <w:lang w:val="en-US"/>
        </w:rPr>
        <w:t>ed</w:t>
      </w:r>
      <w:r w:rsidR="005820A4" w:rsidRPr="0008523C">
        <w:rPr>
          <w:rStyle w:val="CETCaptionCarattere"/>
          <w:i w:val="0"/>
          <w:lang w:val="en-US"/>
        </w:rPr>
        <w:t xml:space="preserve"> from -20°C up to 300°C at a rate of 10 °C/min, coo</w:t>
      </w:r>
      <w:r w:rsidR="0088395E">
        <w:rPr>
          <w:rStyle w:val="CETCaptionCarattere"/>
          <w:i w:val="0"/>
          <w:lang w:val="en-US"/>
        </w:rPr>
        <w:t>led</w:t>
      </w:r>
      <w:r w:rsidR="005820A4" w:rsidRPr="0008523C">
        <w:rPr>
          <w:rStyle w:val="CETCaptionCarattere"/>
          <w:i w:val="0"/>
          <w:lang w:val="en-US"/>
        </w:rPr>
        <w:t xml:space="preserve"> from 300 °C down to -20°C at 20°C/min, and heat</w:t>
      </w:r>
      <w:r w:rsidR="0088395E">
        <w:rPr>
          <w:rStyle w:val="CETCaptionCarattere"/>
          <w:i w:val="0"/>
          <w:lang w:val="en-US"/>
        </w:rPr>
        <w:t>ed</w:t>
      </w:r>
      <w:r w:rsidR="005820A4" w:rsidRPr="0008523C">
        <w:rPr>
          <w:rStyle w:val="CETCaptionCarattere"/>
          <w:i w:val="0"/>
          <w:lang w:val="en-US"/>
        </w:rPr>
        <w:t xml:space="preserve"> again from -20 °C up to 300°C at 10°C/min. </w:t>
      </w:r>
      <w:r w:rsidR="00DF2BDE" w:rsidRPr="0008523C">
        <w:rPr>
          <w:rStyle w:val="CETCaptionCarattere"/>
          <w:i w:val="0"/>
          <w:lang w:val="en-US"/>
        </w:rPr>
        <w:t xml:space="preserve">This analysis </w:t>
      </w:r>
      <w:r w:rsidR="0088395E">
        <w:rPr>
          <w:rStyle w:val="CETCaptionCarattere"/>
          <w:i w:val="0"/>
          <w:lang w:val="en-US"/>
        </w:rPr>
        <w:t>allowed for</w:t>
      </w:r>
      <w:r w:rsidR="00DF2BDE" w:rsidRPr="0008523C">
        <w:rPr>
          <w:rStyle w:val="CETCaptionCarattere"/>
          <w:i w:val="0"/>
          <w:lang w:val="en-US"/>
        </w:rPr>
        <w:t xml:space="preserve"> </w:t>
      </w:r>
      <w:r w:rsidR="0088395E">
        <w:rPr>
          <w:rStyle w:val="CETCaptionCarattere"/>
          <w:i w:val="0"/>
          <w:lang w:val="en-US"/>
        </w:rPr>
        <w:t>a qualitative identification of</w:t>
      </w:r>
      <w:r w:rsidR="00DF2BDE" w:rsidRPr="0008523C">
        <w:rPr>
          <w:rStyle w:val="CETCaptionCarattere"/>
          <w:i w:val="0"/>
          <w:lang w:val="en-US"/>
        </w:rPr>
        <w:t xml:space="preserve"> polymers contained in the sample</w:t>
      </w:r>
      <w:r w:rsidR="0088395E">
        <w:rPr>
          <w:rStyle w:val="CETCaptionCarattere"/>
          <w:i w:val="0"/>
          <w:lang w:val="en-US"/>
        </w:rPr>
        <w:t>s</w:t>
      </w:r>
      <w:r w:rsidR="00DF2BDE" w:rsidRPr="0008523C">
        <w:rPr>
          <w:rStyle w:val="CETCaptionCarattere"/>
          <w:i w:val="0"/>
          <w:lang w:val="en-US"/>
        </w:rPr>
        <w:t xml:space="preserve">. </w:t>
      </w:r>
      <w:r w:rsidR="003B0B91">
        <w:rPr>
          <w:rStyle w:val="CETCaptionCarattere"/>
          <w:i w:val="0"/>
          <w:lang w:val="en-US"/>
        </w:rPr>
        <w:t>Elemental analysis (CHN) was performed c</w:t>
      </w:r>
      <w:r w:rsidR="007059FB" w:rsidRPr="0008523C">
        <w:rPr>
          <w:rStyle w:val="CETCaptionCarattere"/>
          <w:i w:val="0"/>
          <w:lang w:val="en-US"/>
        </w:rPr>
        <w:t xml:space="preserve">oupling </w:t>
      </w:r>
      <w:r w:rsidR="003B0B91">
        <w:rPr>
          <w:rStyle w:val="CETCaptionCarattere"/>
          <w:i w:val="0"/>
          <w:lang w:val="en-US"/>
        </w:rPr>
        <w:t xml:space="preserve">the </w:t>
      </w:r>
      <w:r w:rsidR="007059FB" w:rsidRPr="0008523C">
        <w:rPr>
          <w:rStyle w:val="CETCaptionCarattere"/>
          <w:i w:val="0"/>
          <w:lang w:val="en-US"/>
        </w:rPr>
        <w:t xml:space="preserve">LECO </w:t>
      </w:r>
      <w:proofErr w:type="spellStart"/>
      <w:r w:rsidR="007059FB" w:rsidRPr="0008523C">
        <w:rPr>
          <w:rStyle w:val="CETCaptionCarattere"/>
          <w:i w:val="0"/>
          <w:lang w:val="en-US"/>
        </w:rPr>
        <w:t>TruSpec</w:t>
      </w:r>
      <w:proofErr w:type="spellEnd"/>
      <w:r w:rsidR="007059FB" w:rsidRPr="0008523C">
        <w:rPr>
          <w:rStyle w:val="CETCaptionCarattere"/>
          <w:i w:val="0"/>
          <w:lang w:val="en-US"/>
        </w:rPr>
        <w:t xml:space="preserve"> CHN analyzer and the </w:t>
      </w:r>
      <w:proofErr w:type="spellStart"/>
      <w:r w:rsidR="007059FB" w:rsidRPr="0008523C">
        <w:rPr>
          <w:rStyle w:val="CETCaptionCarattere"/>
          <w:i w:val="0"/>
          <w:lang w:val="en-US"/>
        </w:rPr>
        <w:t>Elementar</w:t>
      </w:r>
      <w:proofErr w:type="spellEnd"/>
      <w:r w:rsidR="007059FB" w:rsidRPr="0008523C">
        <w:rPr>
          <w:rStyle w:val="CETCaptionCarattere"/>
          <w:i w:val="0"/>
          <w:lang w:val="en-US"/>
        </w:rPr>
        <w:t xml:space="preserve"> Vario Macro CHNS </w:t>
      </w:r>
      <w:proofErr w:type="spellStart"/>
      <w:r w:rsidR="007059FB" w:rsidRPr="0008523C">
        <w:rPr>
          <w:rStyle w:val="CETCaptionCarattere"/>
          <w:i w:val="0"/>
          <w:lang w:val="en-US"/>
        </w:rPr>
        <w:t>analyser</w:t>
      </w:r>
      <w:proofErr w:type="spellEnd"/>
      <w:r w:rsidR="007059FB" w:rsidRPr="0008523C">
        <w:rPr>
          <w:rStyle w:val="CETCaptionCarattere"/>
          <w:i w:val="0"/>
          <w:lang w:val="en-US"/>
        </w:rPr>
        <w:t xml:space="preserve">, </w:t>
      </w:r>
      <w:r w:rsidR="003B0B91">
        <w:rPr>
          <w:rStyle w:val="CETCaptionCarattere"/>
          <w:i w:val="0"/>
          <w:lang w:val="en-US"/>
        </w:rPr>
        <w:t>following</w:t>
      </w:r>
      <w:r w:rsidR="007059FB" w:rsidRPr="0008523C">
        <w:rPr>
          <w:rStyle w:val="CETCaptionCarattere"/>
          <w:i w:val="0"/>
          <w:lang w:val="en-US"/>
        </w:rPr>
        <w:t xml:space="preserve"> the standard procedure UNI EN 15002:2015</w:t>
      </w:r>
      <w:r w:rsidR="00663621" w:rsidRPr="0040467D">
        <w:rPr>
          <w:rStyle w:val="CETCaptionCarattere"/>
          <w:i w:val="0"/>
          <w:lang w:val="en-US"/>
        </w:rPr>
        <w:t>.</w:t>
      </w:r>
      <w:r w:rsidR="00663621" w:rsidRPr="0008523C">
        <w:rPr>
          <w:rStyle w:val="CETCaptionCarattere"/>
          <w:i w:val="0"/>
          <w:lang w:val="en-US"/>
        </w:rPr>
        <w:t xml:space="preserve"> </w:t>
      </w:r>
      <w:r w:rsidR="00626B1C" w:rsidRPr="0008523C">
        <w:rPr>
          <w:rStyle w:val="CETCaptionCarattere"/>
          <w:i w:val="0"/>
          <w:lang w:val="en-US"/>
        </w:rPr>
        <w:t xml:space="preserve">After </w:t>
      </w:r>
      <w:r w:rsidR="003B0B91">
        <w:rPr>
          <w:rStyle w:val="CETCaptionCarattere"/>
          <w:i w:val="0"/>
          <w:lang w:val="en-US"/>
        </w:rPr>
        <w:t>determining</w:t>
      </w:r>
      <w:r w:rsidR="00626B1C" w:rsidRPr="0008523C">
        <w:rPr>
          <w:rStyle w:val="CETCaptionCarattere"/>
          <w:i w:val="0"/>
          <w:lang w:val="en-US"/>
        </w:rPr>
        <w:t xml:space="preserve"> the C, H and N</w:t>
      </w:r>
      <w:r w:rsidR="003B0B91">
        <w:rPr>
          <w:rStyle w:val="CETCaptionCarattere"/>
          <w:i w:val="0"/>
          <w:lang w:val="en-US"/>
        </w:rPr>
        <w:t>,</w:t>
      </w:r>
      <w:r w:rsidR="00626B1C" w:rsidRPr="0008523C">
        <w:rPr>
          <w:rStyle w:val="CETCaptionCarattere"/>
          <w:i w:val="0"/>
          <w:lang w:val="en-US"/>
        </w:rPr>
        <w:t xml:space="preserve"> the ash (A) content </w:t>
      </w:r>
      <w:r w:rsidR="003B0B91">
        <w:rPr>
          <w:rStyle w:val="CETCaptionCarattere"/>
          <w:i w:val="0"/>
          <w:lang w:val="en-US"/>
        </w:rPr>
        <w:t xml:space="preserve">was assessed </w:t>
      </w:r>
      <w:r w:rsidR="00626B1C" w:rsidRPr="0008523C">
        <w:rPr>
          <w:rStyle w:val="CETCaptionCarattere"/>
          <w:i w:val="0"/>
          <w:lang w:val="en-US"/>
        </w:rPr>
        <w:t>with</w:t>
      </w:r>
      <w:r w:rsidR="003B0B91">
        <w:rPr>
          <w:rStyle w:val="CETCaptionCarattere"/>
          <w:i w:val="0"/>
          <w:lang w:val="en-US"/>
        </w:rPr>
        <w:t xml:space="preserve"> the</w:t>
      </w:r>
      <w:r w:rsidR="00626B1C" w:rsidRPr="0008523C">
        <w:rPr>
          <w:rStyle w:val="CETCaptionCarattere"/>
          <w:i w:val="0"/>
          <w:lang w:val="en-US"/>
        </w:rPr>
        <w:t xml:space="preserve"> ASTM E1755–01 standard</w:t>
      </w:r>
      <w:r w:rsidR="003B0B91" w:rsidRPr="0040467D">
        <w:rPr>
          <w:rStyle w:val="CETCaptionCarattere"/>
          <w:i w:val="0"/>
          <w:lang w:val="en-US"/>
        </w:rPr>
        <w:t>.</w:t>
      </w:r>
      <w:r w:rsidR="00626B1C" w:rsidRPr="0008523C">
        <w:rPr>
          <w:rStyle w:val="CETCaptionCarattere"/>
          <w:i w:val="0"/>
          <w:lang w:val="en-US"/>
        </w:rPr>
        <w:t xml:space="preserve"> </w:t>
      </w:r>
      <w:r w:rsidR="003B0B91">
        <w:rPr>
          <w:rStyle w:val="CETCaptionCarattere"/>
          <w:i w:val="0"/>
          <w:lang w:val="en-US"/>
        </w:rPr>
        <w:t>T</w:t>
      </w:r>
      <w:r w:rsidR="00626B1C" w:rsidRPr="0008523C">
        <w:rPr>
          <w:rStyle w:val="CETCaptionCarattere"/>
          <w:i w:val="0"/>
          <w:lang w:val="en-US"/>
        </w:rPr>
        <w:t>he O c</w:t>
      </w:r>
      <w:r w:rsidR="003B0B91">
        <w:rPr>
          <w:rStyle w:val="CETCaptionCarattere"/>
          <w:i w:val="0"/>
          <w:lang w:val="en-US"/>
        </w:rPr>
        <w:t xml:space="preserve">ontent </w:t>
      </w:r>
      <w:r w:rsidR="00626B1C" w:rsidRPr="0008523C">
        <w:rPr>
          <w:rStyle w:val="CETCaptionCarattere"/>
          <w:i w:val="0"/>
          <w:lang w:val="en-US"/>
        </w:rPr>
        <w:t xml:space="preserve">was calculated </w:t>
      </w:r>
      <w:r w:rsidR="003B0B91">
        <w:rPr>
          <w:rStyle w:val="CETCaptionCarattere"/>
          <w:i w:val="0"/>
          <w:lang w:val="en-US"/>
        </w:rPr>
        <w:t>by difference</w:t>
      </w:r>
      <w:r w:rsidR="005703D8">
        <w:rPr>
          <w:rStyle w:val="CETCaptionCarattere"/>
          <w:i w:val="0"/>
          <w:lang w:val="en-US"/>
        </w:rPr>
        <w:t xml:space="preserve"> and t</w:t>
      </w:r>
      <w:r w:rsidR="00626B1C" w:rsidRPr="0008523C">
        <w:rPr>
          <w:rStyle w:val="CETCaptionCarattere"/>
          <w:i w:val="0"/>
          <w:lang w:val="en-US"/>
        </w:rPr>
        <w:t>he</w:t>
      </w:r>
      <w:r w:rsidR="003B0B91">
        <w:rPr>
          <w:rStyle w:val="CETCaptionCarattere"/>
          <w:i w:val="0"/>
          <w:lang w:val="en-US"/>
        </w:rPr>
        <w:t xml:space="preserve"> low heating value (</w:t>
      </w:r>
      <w:r w:rsidR="00626B1C" w:rsidRPr="0008523C">
        <w:rPr>
          <w:rStyle w:val="CETCaptionCarattere"/>
          <w:i w:val="0"/>
          <w:lang w:val="en-US"/>
        </w:rPr>
        <w:t>LHV</w:t>
      </w:r>
      <w:r w:rsidR="003B0B91">
        <w:rPr>
          <w:rStyle w:val="CETCaptionCarattere"/>
          <w:i w:val="0"/>
          <w:lang w:val="en-US"/>
        </w:rPr>
        <w:t>)</w:t>
      </w:r>
      <w:r w:rsidR="00626B1C" w:rsidRPr="0008523C">
        <w:rPr>
          <w:rStyle w:val="CETCaptionCarattere"/>
          <w:i w:val="0"/>
          <w:lang w:val="en-US"/>
        </w:rPr>
        <w:t xml:space="preserve"> was </w:t>
      </w:r>
      <w:r w:rsidR="003B0B91">
        <w:rPr>
          <w:rStyle w:val="CETCaptionCarattere"/>
          <w:i w:val="0"/>
          <w:lang w:val="en-US"/>
        </w:rPr>
        <w:t xml:space="preserve">estimated </w:t>
      </w:r>
      <w:r w:rsidR="00626B1C" w:rsidRPr="0008523C">
        <w:rPr>
          <w:rStyle w:val="CETCaptionCarattere"/>
          <w:i w:val="0"/>
          <w:lang w:val="en-US"/>
        </w:rPr>
        <w:t xml:space="preserve">using Eq. (1) and Eq. (2) </w:t>
      </w:r>
      <w:r w:rsidR="00626B1C" w:rsidRPr="0040467D">
        <w:rPr>
          <w:rStyle w:val="CETCaptionCarattere"/>
          <w:i w:val="0"/>
          <w:lang w:val="en-US"/>
        </w:rPr>
        <w:t>(</w:t>
      </w:r>
      <w:r w:rsidR="00B069B3">
        <w:rPr>
          <w:rStyle w:val="CETCaptionCarattere"/>
          <w:i w:val="0"/>
          <w:lang w:val="en-US"/>
        </w:rPr>
        <w:t xml:space="preserve">Green </w:t>
      </w:r>
      <w:r w:rsidR="00626B1C" w:rsidRPr="0040467D">
        <w:rPr>
          <w:rStyle w:val="CETCaptionCarattere"/>
          <w:i w:val="0"/>
          <w:lang w:val="en-US"/>
        </w:rPr>
        <w:t>and Perry, 2007).</w:t>
      </w:r>
    </w:p>
    <w:p w14:paraId="6E1D88BB" w14:textId="77777777" w:rsidR="0040467D" w:rsidRPr="0008523C" w:rsidRDefault="0040467D" w:rsidP="0008523C">
      <w:pPr>
        <w:pStyle w:val="CETBodytext"/>
        <w:rPr>
          <w:rStyle w:val="CETCaptionCarattere"/>
          <w:i w:val="0"/>
          <w:lang w:val="en-US"/>
        </w:rPr>
      </w:pPr>
    </w:p>
    <w:tbl>
      <w:tblPr>
        <w:tblW w:w="5000" w:type="pct"/>
        <w:tblLook w:val="04A0" w:firstRow="1" w:lastRow="0" w:firstColumn="1" w:lastColumn="0" w:noHBand="0" w:noVBand="1"/>
      </w:tblPr>
      <w:tblGrid>
        <w:gridCol w:w="7984"/>
        <w:gridCol w:w="803"/>
      </w:tblGrid>
      <w:tr w:rsidR="00626B1C" w:rsidRPr="00B57B36" w14:paraId="1A7E1A2A" w14:textId="77777777" w:rsidTr="00131DA3">
        <w:tc>
          <w:tcPr>
            <w:tcW w:w="8188" w:type="dxa"/>
            <w:shd w:val="clear" w:color="auto" w:fill="auto"/>
            <w:vAlign w:val="center"/>
          </w:tcPr>
          <w:p w14:paraId="39CBBD57" w14:textId="691BD0DC" w:rsidR="00626B1C" w:rsidRPr="00B57B36" w:rsidRDefault="00626B1C" w:rsidP="00131DA3">
            <w:pPr>
              <w:pStyle w:val="CETEquation"/>
            </w:pPr>
            <m:oMathPara>
              <m:oMath>
                <m:r>
                  <w:rPr>
                    <w:rFonts w:ascii="Cambria Math" w:eastAsia="Cambria Math" w:hAnsi="Cambria Math"/>
                  </w:rPr>
                  <m:t>HHV=2.326[146.58C+568.78H+29.4S-6.58A(O+N)]</m:t>
                </m:r>
              </m:oMath>
            </m:oMathPara>
          </w:p>
        </w:tc>
        <w:tc>
          <w:tcPr>
            <w:tcW w:w="815" w:type="dxa"/>
            <w:shd w:val="clear" w:color="auto" w:fill="auto"/>
            <w:vAlign w:val="center"/>
          </w:tcPr>
          <w:p w14:paraId="582B919D" w14:textId="77777777" w:rsidR="00626B1C" w:rsidRPr="00B57B36" w:rsidRDefault="00626B1C" w:rsidP="00131DA3">
            <w:pPr>
              <w:pStyle w:val="CETEquation"/>
              <w:jc w:val="right"/>
            </w:pPr>
            <w:r w:rsidRPr="00B57B36">
              <w:t>(1)</w:t>
            </w:r>
          </w:p>
        </w:tc>
      </w:tr>
      <w:tr w:rsidR="00626B1C" w:rsidRPr="00B57B36" w14:paraId="42399398" w14:textId="77777777" w:rsidTr="00131DA3">
        <w:tc>
          <w:tcPr>
            <w:tcW w:w="8188" w:type="dxa"/>
            <w:shd w:val="clear" w:color="auto" w:fill="auto"/>
            <w:vAlign w:val="center"/>
          </w:tcPr>
          <w:p w14:paraId="26774DA5" w14:textId="31AA3ABF" w:rsidR="00626B1C" w:rsidRPr="00B57B36" w:rsidRDefault="00626B1C" w:rsidP="00131DA3">
            <w:pPr>
              <w:pStyle w:val="CETEquation"/>
              <w:rPr>
                <w:noProof/>
                <w:lang w:val="it-IT" w:eastAsia="it-IT"/>
              </w:rPr>
            </w:pPr>
            <m:oMathPara>
              <m:oMath>
                <m:r>
                  <w:rPr>
                    <w:rFonts w:ascii="Cambria Math" w:eastAsia="Cambria Math" w:hAnsi="Cambria Math"/>
                  </w:rPr>
                  <m:t>LHV=(HHV-206H)</m:t>
                </m:r>
              </m:oMath>
            </m:oMathPara>
          </w:p>
        </w:tc>
        <w:tc>
          <w:tcPr>
            <w:tcW w:w="815" w:type="dxa"/>
            <w:shd w:val="clear" w:color="auto" w:fill="auto"/>
            <w:vAlign w:val="center"/>
          </w:tcPr>
          <w:p w14:paraId="49EA728E" w14:textId="0703B0FC" w:rsidR="00626B1C" w:rsidRPr="00B57B36" w:rsidRDefault="00626B1C" w:rsidP="00131DA3">
            <w:pPr>
              <w:pStyle w:val="CETEquation"/>
              <w:jc w:val="right"/>
            </w:pPr>
            <w:r w:rsidRPr="00B57B36">
              <w:t>(</w:t>
            </w:r>
            <w:r>
              <w:t>2</w:t>
            </w:r>
            <w:r w:rsidRPr="00B57B36">
              <w:t>)</w:t>
            </w:r>
          </w:p>
        </w:tc>
      </w:tr>
    </w:tbl>
    <w:p w14:paraId="493E946E" w14:textId="77777777" w:rsidR="0040467D" w:rsidRDefault="0040467D" w:rsidP="00F9502D">
      <w:pPr>
        <w:pStyle w:val="CETBodytext"/>
        <w:rPr>
          <w:rStyle w:val="CETCaptionCarattere"/>
          <w:i w:val="0"/>
          <w:lang w:val="en-US"/>
        </w:rPr>
      </w:pPr>
    </w:p>
    <w:p w14:paraId="5EBB6B91" w14:textId="3CC33A6A" w:rsidR="00630CAA" w:rsidRPr="00F9502D" w:rsidRDefault="00B25EC5" w:rsidP="00F9502D">
      <w:pPr>
        <w:pStyle w:val="CETBodytext"/>
        <w:rPr>
          <w:rStyle w:val="CETCaptionCarattere"/>
          <w:i w:val="0"/>
          <w:lang w:val="en-US"/>
        </w:rPr>
      </w:pPr>
      <w:r w:rsidRPr="00F9502D">
        <w:rPr>
          <w:rStyle w:val="CETCaptionCarattere"/>
          <w:i w:val="0"/>
          <w:lang w:val="en-US"/>
        </w:rPr>
        <w:t xml:space="preserve">The three characterized samples were </w:t>
      </w:r>
      <w:r w:rsidR="003B0B91">
        <w:rPr>
          <w:rStyle w:val="CETCaptionCarattere"/>
          <w:i w:val="0"/>
          <w:lang w:val="en-US"/>
        </w:rPr>
        <w:t>tested in a</w:t>
      </w:r>
      <w:r w:rsidRPr="00F9502D">
        <w:rPr>
          <w:rStyle w:val="CETCaptionCarattere"/>
          <w:i w:val="0"/>
          <w:lang w:val="en-US"/>
        </w:rPr>
        <w:t xml:space="preserve"> lab-scale batch setup</w:t>
      </w:r>
      <w:r w:rsidR="003B0B91">
        <w:rPr>
          <w:rStyle w:val="CETCaptionCarattere"/>
          <w:i w:val="0"/>
          <w:lang w:val="en-US"/>
        </w:rPr>
        <w:t>,</w:t>
      </w:r>
      <w:r w:rsidRPr="00F9502D">
        <w:rPr>
          <w:rStyle w:val="CETCaptionCarattere"/>
          <w:i w:val="0"/>
          <w:lang w:val="en-US"/>
        </w:rPr>
        <w:t xml:space="preserve"> whose scheme and elemental block diagram are shown in Figure </w:t>
      </w:r>
      <w:r w:rsidR="00315BF6">
        <w:rPr>
          <w:rStyle w:val="CETCaptionCarattere"/>
          <w:i w:val="0"/>
          <w:lang w:val="en-US"/>
        </w:rPr>
        <w:t>2</w:t>
      </w:r>
      <w:r w:rsidRPr="00F9502D">
        <w:rPr>
          <w:rStyle w:val="CETCaptionCarattere"/>
          <w:i w:val="0"/>
          <w:lang w:val="en-US"/>
        </w:rPr>
        <w:t>.</w:t>
      </w:r>
      <w:r w:rsidR="00A13287">
        <w:rPr>
          <w:rStyle w:val="CETCaptionCarattere"/>
          <w:i w:val="0"/>
          <w:lang w:val="en-US"/>
        </w:rPr>
        <w:t xml:space="preserve"> </w:t>
      </w:r>
      <w:r w:rsidR="00A13287">
        <w:t xml:space="preserve">The set-up simulates a two-stage pyrolysis process and consists of three main sections: i.e., reaction, separation, and analysis sections, as described in detail in a previous </w:t>
      </w:r>
      <w:r w:rsidR="00A13287" w:rsidRPr="0040467D">
        <w:t>paper (Marchetti et al., 2024).</w:t>
      </w:r>
    </w:p>
    <w:p w14:paraId="0E412FA4" w14:textId="77777777" w:rsidR="009D7C80" w:rsidRDefault="009D7C80" w:rsidP="009D7C80">
      <w:pPr>
        <w:pStyle w:val="CETCaption"/>
        <w:rPr>
          <w:rStyle w:val="CETCaptionCarattere"/>
          <w:i/>
        </w:rPr>
      </w:pPr>
      <w:r>
        <w:rPr>
          <w:rStyle w:val="CETCaptionCarattere"/>
          <w:i/>
          <w:noProof/>
        </w:rPr>
        <w:lastRenderedPageBreak/>
        <w:drawing>
          <wp:inline distT="0" distB="0" distL="0" distR="0" wp14:anchorId="65E96CCD" wp14:editId="4C836D67">
            <wp:extent cx="4543165" cy="3132000"/>
            <wp:effectExtent l="0" t="0" r="0" b="0"/>
            <wp:docPr id="888722030" name="Immagine 5"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22030" name="Immagine 5" descr="Immagine che contiene testo, schermata, diagramma, design&#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165" cy="3132000"/>
                    </a:xfrm>
                    <a:prstGeom prst="rect">
                      <a:avLst/>
                    </a:prstGeom>
                    <a:noFill/>
                  </pic:spPr>
                </pic:pic>
              </a:graphicData>
            </a:graphic>
          </wp:inline>
        </w:drawing>
      </w:r>
    </w:p>
    <w:p w14:paraId="6441F1EE" w14:textId="41DC1D2B" w:rsidR="009D7C80" w:rsidRDefault="009D7C80" w:rsidP="009D7C80">
      <w:pPr>
        <w:pStyle w:val="CETCaption"/>
        <w:rPr>
          <w:rStyle w:val="CETCaptionCarattere"/>
          <w:i/>
        </w:rPr>
      </w:pPr>
      <w:r w:rsidRPr="00BD077D">
        <w:rPr>
          <w:rStyle w:val="CETCaptionCarattere"/>
          <w:i/>
        </w:rPr>
        <w:t xml:space="preserve">Figure </w:t>
      </w:r>
      <w:r>
        <w:rPr>
          <w:rStyle w:val="CETCaptionCarattere"/>
          <w:i/>
        </w:rPr>
        <w:t>2</w:t>
      </w:r>
      <w:r w:rsidRPr="00BD077D">
        <w:rPr>
          <w:rStyle w:val="CETCaptionCarattere"/>
          <w:i/>
        </w:rPr>
        <w:t>:</w:t>
      </w:r>
      <w:r w:rsidRPr="00830D08">
        <w:t xml:space="preserve"> </w:t>
      </w:r>
      <w:r w:rsidRPr="00830D08">
        <w:rPr>
          <w:rStyle w:val="CETCaptionCarattere"/>
          <w:i/>
        </w:rPr>
        <w:t xml:space="preserve">Process scheme (a) and elemental block scheme (b) of the pyrolysis experimental setup with the measurement scheme </w:t>
      </w:r>
      <w:r w:rsidRPr="0040467D">
        <w:rPr>
          <w:rStyle w:val="CETCaptionCarattere"/>
          <w:i/>
        </w:rPr>
        <w:t>performed (Marchetti et al., 2024).</w:t>
      </w:r>
    </w:p>
    <w:p w14:paraId="270E2154" w14:textId="0B9BD71A" w:rsidR="0008523C" w:rsidRPr="0008523C" w:rsidRDefault="00030E34" w:rsidP="0008523C">
      <w:pPr>
        <w:pStyle w:val="CETBodytext"/>
      </w:pPr>
      <w:r>
        <w:t xml:space="preserve">The reaction section </w:t>
      </w:r>
      <w:r w:rsidR="00E167EF">
        <w:t>includes a</w:t>
      </w:r>
      <w:r w:rsidR="00DE1FF2">
        <w:t xml:space="preserve"> pyrolysis reactor and </w:t>
      </w:r>
      <w:r w:rsidR="00E167EF">
        <w:t>a</w:t>
      </w:r>
      <w:r w:rsidR="00DE1FF2">
        <w:t xml:space="preserve"> cracking reactor </w:t>
      </w:r>
      <w:r w:rsidR="00E167EF">
        <w:t>operating</w:t>
      </w:r>
      <w:r w:rsidR="00DE1FF2">
        <w:t xml:space="preserve"> at 500°C and 800°C, respectively. </w:t>
      </w:r>
      <w:r w:rsidR="00E42E60">
        <w:t>The</w:t>
      </w:r>
      <w:r w:rsidR="00E167EF">
        <w:t>se</w:t>
      </w:r>
      <w:r w:rsidR="00E42E60">
        <w:t xml:space="preserve"> reactors consist of two stainless steel tubes inserted in two </w:t>
      </w:r>
      <w:r w:rsidR="00E167EF">
        <w:t>independent</w:t>
      </w:r>
      <w:r w:rsidR="00E42E60">
        <w:t xml:space="preserve"> electric furnaces</w:t>
      </w:r>
      <w:r w:rsidR="0035042F">
        <w:t>, i.e.,</w:t>
      </w:r>
      <w:r w:rsidR="00E42E60">
        <w:t xml:space="preserve"> </w:t>
      </w:r>
      <w:proofErr w:type="spellStart"/>
      <w:r w:rsidR="0035042F" w:rsidRPr="0035042F">
        <w:t>Carbolite</w:t>
      </w:r>
      <w:proofErr w:type="spellEnd"/>
      <w:r w:rsidR="0035042F" w:rsidRPr="0035042F">
        <w:t xml:space="preserve"> TZF 12/65/550, and </w:t>
      </w:r>
      <w:proofErr w:type="spellStart"/>
      <w:r w:rsidR="0035042F" w:rsidRPr="0035042F">
        <w:t>Carbolite</w:t>
      </w:r>
      <w:proofErr w:type="spellEnd"/>
      <w:r w:rsidR="0035042F" w:rsidRPr="0035042F">
        <w:t xml:space="preserve"> MTF 12/38/250</w:t>
      </w:r>
      <w:r w:rsidR="0035042F">
        <w:t>.</w:t>
      </w:r>
      <w:r w:rsidR="00666A24">
        <w:t xml:space="preserve"> The separation section has a condenser</w:t>
      </w:r>
      <w:r w:rsidR="00E167EF">
        <w:t>, where the</w:t>
      </w:r>
      <w:r w:rsidR="00666A24">
        <w:t xml:space="preserve"> col</w:t>
      </w:r>
      <w:r w:rsidR="00E167EF">
        <w:t>d</w:t>
      </w:r>
      <w:r w:rsidR="00666A24">
        <w:t xml:space="preserve"> utility is a mixture of ethanol and liquid carbon dioxide (-70°C). </w:t>
      </w:r>
      <w:r w:rsidR="00921FA1">
        <w:t xml:space="preserve">The analysis section </w:t>
      </w:r>
      <w:r w:rsidR="00E167EF">
        <w:t>includes a</w:t>
      </w:r>
      <w:r w:rsidR="00921FA1">
        <w:t xml:space="preserve"> micro</w:t>
      </w:r>
      <w:r w:rsidR="00921FA1" w:rsidRPr="00921FA1">
        <w:t>-GC</w:t>
      </w:r>
      <w:r w:rsidR="00921FA1">
        <w:t xml:space="preserve"> for determining the gas composition. The entire proc</w:t>
      </w:r>
      <w:r w:rsidR="00E167EF">
        <w:t xml:space="preserve">ess is conducted under a nitrogen flow rate of 300 mL/min, with each test processing </w:t>
      </w:r>
      <w:r w:rsidR="005A4E4B">
        <w:t>5 g of PSW</w:t>
      </w:r>
      <w:r w:rsidR="00E167EF">
        <w:t>, repeated three times to ensure result</w:t>
      </w:r>
      <w:r w:rsidR="005A38FE">
        <w:t xml:space="preserve"> </w:t>
      </w:r>
      <w:r w:rsidR="00A269F3">
        <w:t xml:space="preserve">reliability. </w:t>
      </w:r>
      <w:r w:rsidR="00784132">
        <w:t>During the test, t</w:t>
      </w:r>
      <w:r w:rsidR="001930B9">
        <w:t>he material under</w:t>
      </w:r>
      <w:r w:rsidR="00784132">
        <w:t>goes</w:t>
      </w:r>
      <w:r w:rsidR="001930B9">
        <w:t xml:space="preserve"> </w:t>
      </w:r>
      <w:r w:rsidR="00784132">
        <w:t>thermal decomposition,</w:t>
      </w:r>
      <w:r w:rsidR="001930B9">
        <w:t xml:space="preserve"> producing a solid fraction (solid 1) which remains in reactor 1, a vapor </w:t>
      </w:r>
      <w:r w:rsidR="00480D97">
        <w:t xml:space="preserve">fraction </w:t>
      </w:r>
      <w:r w:rsidR="001930B9">
        <w:t xml:space="preserve">and a </w:t>
      </w:r>
      <w:r w:rsidR="00480D97">
        <w:t>gas fraction</w:t>
      </w:r>
      <w:r w:rsidR="001930B9">
        <w:t xml:space="preserve"> which </w:t>
      </w:r>
      <w:r w:rsidR="00784132">
        <w:t>are</w:t>
      </w:r>
      <w:r w:rsidR="001930B9">
        <w:t xml:space="preserve"> fed </w:t>
      </w:r>
      <w:r w:rsidR="00784132">
        <w:t>in</w:t>
      </w:r>
      <w:r w:rsidR="001930B9">
        <w:t>to reactor 2. In reactor 2, the cracking of gas</w:t>
      </w:r>
      <w:r w:rsidR="00784132">
        <w:t>es</w:t>
      </w:r>
      <w:r w:rsidR="001930B9">
        <w:t xml:space="preserve"> and vapor</w:t>
      </w:r>
      <w:r w:rsidR="00480D97">
        <w:t>s</w:t>
      </w:r>
      <w:r w:rsidR="001930B9">
        <w:t xml:space="preserve"> </w:t>
      </w:r>
      <w:r w:rsidR="00784132">
        <w:t xml:space="preserve">occurs, leading to the formation of </w:t>
      </w:r>
      <w:r w:rsidR="001930B9">
        <w:t>a new solid</w:t>
      </w:r>
      <w:r w:rsidR="00784132">
        <w:t xml:space="preserve"> residue</w:t>
      </w:r>
      <w:r w:rsidR="001930B9">
        <w:t xml:space="preserve"> (solid 2), a gas</w:t>
      </w:r>
      <w:r w:rsidR="00784132">
        <w:t>eous</w:t>
      </w:r>
      <w:r w:rsidR="001930B9">
        <w:t xml:space="preserve"> </w:t>
      </w:r>
      <w:r w:rsidR="00784132">
        <w:t xml:space="preserve">fraction </w:t>
      </w:r>
      <w:r w:rsidR="001930B9">
        <w:t>and a vapor</w:t>
      </w:r>
      <w:r w:rsidR="00784132">
        <w:t xml:space="preserve"> fraction</w:t>
      </w:r>
      <w:r w:rsidR="008407E0">
        <w:t xml:space="preserve">, </w:t>
      </w:r>
      <w:r w:rsidR="00784132">
        <w:t xml:space="preserve">which </w:t>
      </w:r>
      <w:r w:rsidR="008407E0">
        <w:t xml:space="preserve">is condensed and collected in </w:t>
      </w:r>
      <w:r w:rsidR="00784132">
        <w:t xml:space="preserve">the </w:t>
      </w:r>
      <w:r w:rsidR="008407E0">
        <w:t>separation system</w:t>
      </w:r>
      <w:r w:rsidR="00315BF6">
        <w:t xml:space="preserve">. </w:t>
      </w:r>
      <w:r w:rsidR="004834C9">
        <w:t xml:space="preserve">The non-condensable fraction </w:t>
      </w:r>
      <w:r w:rsidR="00480D97">
        <w:t>was</w:t>
      </w:r>
      <w:r w:rsidR="004834C9">
        <w:t xml:space="preserve"> collected in 5 L </w:t>
      </w:r>
      <w:proofErr w:type="spellStart"/>
      <w:r w:rsidR="004834C9">
        <w:t>Tedlar</w:t>
      </w:r>
      <w:proofErr w:type="spellEnd"/>
      <w:r w:rsidR="004834C9">
        <w:t xml:space="preserve"> Bag and analyzed via micro</w:t>
      </w:r>
      <w:r w:rsidR="00D04730">
        <w:t xml:space="preserve">-GC. </w:t>
      </w:r>
      <w:r w:rsidR="008828B2">
        <w:t xml:space="preserve">At the end of each test the mass of </w:t>
      </w:r>
      <w:r w:rsidR="004834C9">
        <w:t>the</w:t>
      </w:r>
      <w:r w:rsidR="008828B2">
        <w:t xml:space="preserve"> </w:t>
      </w:r>
      <w:r w:rsidR="004834C9">
        <w:t xml:space="preserve">four </w:t>
      </w:r>
      <w:r w:rsidR="008828B2">
        <w:t>co-</w:t>
      </w:r>
      <w:r w:rsidR="00646715">
        <w:t>product</w:t>
      </w:r>
      <w:r w:rsidR="004834C9">
        <w:t xml:space="preserve">s (gas, oil, solid 1 and solid 2) </w:t>
      </w:r>
      <w:r w:rsidR="00480D97">
        <w:t>was</w:t>
      </w:r>
      <w:r w:rsidR="00646715">
        <w:t xml:space="preserve"> </w:t>
      </w:r>
      <w:r w:rsidR="004834C9">
        <w:t>measured</w:t>
      </w:r>
      <w:r w:rsidR="008828B2">
        <w:t xml:space="preserve"> </w:t>
      </w:r>
      <w:r w:rsidR="004834C9">
        <w:t>to determine</w:t>
      </w:r>
      <w:r w:rsidR="008828B2">
        <w:t xml:space="preserve"> the co-product yields</w:t>
      </w:r>
      <w:r w:rsidR="004834C9">
        <w:t>,</w:t>
      </w:r>
      <w:r w:rsidR="008828B2">
        <w:t xml:space="preserve"> </w:t>
      </w:r>
      <w:r w:rsidR="00646715">
        <w:t xml:space="preserve">and the collected fractions </w:t>
      </w:r>
      <w:r w:rsidR="00480D97">
        <w:t>were</w:t>
      </w:r>
      <w:r w:rsidR="00646715">
        <w:t xml:space="preserve"> characterized. </w:t>
      </w:r>
      <w:r w:rsidR="004834C9">
        <w:t>Specifically</w:t>
      </w:r>
      <w:r w:rsidR="00646715">
        <w:t>,</w:t>
      </w:r>
      <w:r w:rsidR="004834C9">
        <w:t xml:space="preserve"> the</w:t>
      </w:r>
      <w:r w:rsidR="00646715">
        <w:t xml:space="preserve"> </w:t>
      </w:r>
      <w:r w:rsidR="002D2896">
        <w:t xml:space="preserve">oil </w:t>
      </w:r>
      <w:r w:rsidR="004834C9">
        <w:t xml:space="preserve">fraction </w:t>
      </w:r>
      <w:r w:rsidR="002D2896">
        <w:t xml:space="preserve">and solid 1 </w:t>
      </w:r>
      <w:r w:rsidR="00480D97">
        <w:t>were</w:t>
      </w:r>
      <w:r w:rsidR="004834C9">
        <w:t xml:space="preserve"> </w:t>
      </w:r>
      <w:r w:rsidR="002D2896">
        <w:t xml:space="preserve">subjected to </w:t>
      </w:r>
      <w:r w:rsidR="004834C9">
        <w:t xml:space="preserve">the same </w:t>
      </w:r>
      <w:r w:rsidR="002D2896">
        <w:t xml:space="preserve">elemental analysis </w:t>
      </w:r>
      <w:r w:rsidR="004834C9">
        <w:t xml:space="preserve">applied to the </w:t>
      </w:r>
      <w:r w:rsidR="002D2896">
        <w:t xml:space="preserve">PSW </w:t>
      </w:r>
      <w:r w:rsidR="004834C9">
        <w:t>samples</w:t>
      </w:r>
      <w:r w:rsidR="002D2896">
        <w:t>.</w:t>
      </w:r>
    </w:p>
    <w:p w14:paraId="677EBFF0" w14:textId="478C213A" w:rsidR="00600535" w:rsidRPr="00B57B36" w:rsidRDefault="009D7C80" w:rsidP="00600535">
      <w:pPr>
        <w:pStyle w:val="CETHeading1"/>
        <w:tabs>
          <w:tab w:val="clear" w:pos="360"/>
          <w:tab w:val="right" w:pos="7100"/>
        </w:tabs>
        <w:jc w:val="both"/>
        <w:rPr>
          <w:lang w:val="en-GB"/>
        </w:rPr>
      </w:pPr>
      <w:r>
        <w:rPr>
          <w:lang w:val="en-GB"/>
        </w:rPr>
        <w:t>Results</w:t>
      </w:r>
    </w:p>
    <w:p w14:paraId="2E562C00" w14:textId="70A34006" w:rsidR="004577FE" w:rsidRDefault="009D7C80" w:rsidP="009D7C80">
      <w:pPr>
        <w:pStyle w:val="CETheadingx"/>
      </w:pPr>
      <w:r>
        <w:t>Material characterization</w:t>
      </w:r>
    </w:p>
    <w:p w14:paraId="3B93C058" w14:textId="2CEC6C77" w:rsidR="00D14668" w:rsidRPr="00D14668" w:rsidRDefault="00D14668" w:rsidP="00D14668">
      <w:pPr>
        <w:pStyle w:val="CETBodytext"/>
      </w:pPr>
      <w:r>
        <w:t>In this paragraph the main results concerning the PSW samples characterization are collected starting from TGA graphs</w:t>
      </w:r>
      <w:r w:rsidR="00077FBB">
        <w:t xml:space="preserve"> (Figure 3).</w:t>
      </w:r>
    </w:p>
    <w:p w14:paraId="09E78262" w14:textId="77777777" w:rsidR="009D7C80" w:rsidRDefault="009D7C80" w:rsidP="009D7C80">
      <w:pPr>
        <w:pStyle w:val="CETCaption"/>
        <w:rPr>
          <w:rStyle w:val="CETCaptionCarattere"/>
          <w:i/>
        </w:rPr>
      </w:pPr>
      <w:r>
        <w:rPr>
          <w:rStyle w:val="CETCaptionCarattere"/>
          <w:i/>
          <w:noProof/>
        </w:rPr>
        <w:drawing>
          <wp:inline distT="0" distB="0" distL="0" distR="0" wp14:anchorId="19E3782F" wp14:editId="62DA3758">
            <wp:extent cx="5040000" cy="1433982"/>
            <wp:effectExtent l="0" t="0" r="8255" b="0"/>
            <wp:docPr id="1594902579" name="Immagine 7" descr="Immagine che contiene linea, diagramm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02579" name="Immagine 7" descr="Immagine che contiene linea, diagramma, Diagramma, testo&#10;&#10;Descrizione generat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433982"/>
                    </a:xfrm>
                    <a:prstGeom prst="rect">
                      <a:avLst/>
                    </a:prstGeom>
                    <a:noFill/>
                  </pic:spPr>
                </pic:pic>
              </a:graphicData>
            </a:graphic>
          </wp:inline>
        </w:drawing>
      </w:r>
    </w:p>
    <w:p w14:paraId="11819630" w14:textId="77777777" w:rsidR="009D7C80" w:rsidRDefault="009D7C80" w:rsidP="009D7C80">
      <w:pPr>
        <w:pStyle w:val="CETCaption"/>
        <w:rPr>
          <w:rStyle w:val="CETCaptionCarattere"/>
          <w:i/>
        </w:rPr>
      </w:pPr>
      <w:r w:rsidRPr="00BD077D">
        <w:rPr>
          <w:rStyle w:val="CETCaptionCarattere"/>
          <w:i/>
        </w:rPr>
        <w:t xml:space="preserve">Figure </w:t>
      </w:r>
      <w:r>
        <w:rPr>
          <w:rStyle w:val="CETCaptionCarattere"/>
          <w:i/>
        </w:rPr>
        <w:t>3</w:t>
      </w:r>
      <w:r w:rsidRPr="00BD077D">
        <w:rPr>
          <w:rStyle w:val="CETCaptionCarattere"/>
          <w:i/>
        </w:rPr>
        <w:t>:</w:t>
      </w:r>
      <w:r w:rsidRPr="00830D08">
        <w:t xml:space="preserve"> </w:t>
      </w:r>
      <w:r>
        <w:rPr>
          <w:rStyle w:val="CETCaptionCarattere"/>
          <w:i/>
        </w:rPr>
        <w:t>Thermogravimetric analysis results of</w:t>
      </w:r>
      <w:r w:rsidRPr="00830D08">
        <w:rPr>
          <w:rStyle w:val="CETCaptionCarattere"/>
          <w:i/>
        </w:rPr>
        <w:t xml:space="preserve"> (a) </w:t>
      </w:r>
      <w:r>
        <w:rPr>
          <w:rStyle w:val="CETCaptionCarattere"/>
          <w:i/>
        </w:rPr>
        <w:t>sample 1,</w:t>
      </w:r>
      <w:r w:rsidRPr="00830D08">
        <w:rPr>
          <w:rStyle w:val="CETCaptionCarattere"/>
          <w:i/>
        </w:rPr>
        <w:t xml:space="preserve"> (b)</w:t>
      </w:r>
      <w:r>
        <w:rPr>
          <w:rStyle w:val="CETCaptionCarattere"/>
          <w:i/>
        </w:rPr>
        <w:t xml:space="preserve"> sample 2, and (c) sample 3.</w:t>
      </w:r>
    </w:p>
    <w:p w14:paraId="04286948" w14:textId="4745BD2A" w:rsidR="00FA542A" w:rsidRDefault="00077FBB" w:rsidP="00077FBB">
      <w:pPr>
        <w:pStyle w:val="CETBodytext"/>
        <w:rPr>
          <w:lang w:val="en-GB"/>
        </w:rPr>
      </w:pPr>
      <w:r>
        <w:rPr>
          <w:lang w:val="en-GB"/>
        </w:rPr>
        <w:lastRenderedPageBreak/>
        <w:t>In Figure 3</w:t>
      </w:r>
      <w:r w:rsidR="0076691C">
        <w:rPr>
          <w:lang w:val="en-GB"/>
        </w:rPr>
        <w:t>,</w:t>
      </w:r>
      <w:r>
        <w:rPr>
          <w:lang w:val="en-GB"/>
        </w:rPr>
        <w:t xml:space="preserve"> </w:t>
      </w:r>
      <w:r w:rsidRPr="00077FBB">
        <w:rPr>
          <w:lang w:val="en-GB"/>
        </w:rPr>
        <w:t>the degradati</w:t>
      </w:r>
      <w:r>
        <w:rPr>
          <w:lang w:val="en-GB"/>
        </w:rPr>
        <w:t>on</w:t>
      </w:r>
      <w:r w:rsidRPr="00077FBB">
        <w:rPr>
          <w:lang w:val="en-GB"/>
        </w:rPr>
        <w:t xml:space="preserve"> behaviour </w:t>
      </w:r>
      <w:r w:rsidR="005A6982">
        <w:rPr>
          <w:lang w:val="en-GB"/>
        </w:rPr>
        <w:t>under</w:t>
      </w:r>
      <w:r>
        <w:rPr>
          <w:lang w:val="en-GB"/>
        </w:rPr>
        <w:t xml:space="preserve"> nitrogen is </w:t>
      </w:r>
      <w:r w:rsidR="005A6982">
        <w:rPr>
          <w:lang w:val="en-GB"/>
        </w:rPr>
        <w:t>shown</w:t>
      </w:r>
      <w:r>
        <w:rPr>
          <w:lang w:val="en-GB"/>
        </w:rPr>
        <w:t xml:space="preserve"> for sample</w:t>
      </w:r>
      <w:r w:rsidR="005A6982">
        <w:rPr>
          <w:lang w:val="en-GB"/>
        </w:rPr>
        <w:t>s</w:t>
      </w:r>
      <w:r>
        <w:rPr>
          <w:lang w:val="en-GB"/>
        </w:rPr>
        <w:t xml:space="preserve"> 1, 2 and 3 and each sample </w:t>
      </w:r>
      <w:r w:rsidR="00315BF6">
        <w:rPr>
          <w:lang w:val="en-GB"/>
        </w:rPr>
        <w:t>exhibits</w:t>
      </w:r>
      <w:r>
        <w:rPr>
          <w:lang w:val="en-GB"/>
        </w:rPr>
        <w:t xml:space="preserve"> </w:t>
      </w:r>
      <w:r w:rsidR="005A6982">
        <w:rPr>
          <w:lang w:val="en-GB"/>
        </w:rPr>
        <w:t>its</w:t>
      </w:r>
      <w:r>
        <w:rPr>
          <w:lang w:val="en-GB"/>
        </w:rPr>
        <w:t xml:space="preserve"> highest mass reduction between 280°C and 540°C</w:t>
      </w:r>
      <w:r w:rsidRPr="00077FBB">
        <w:rPr>
          <w:lang w:val="en-GB"/>
        </w:rPr>
        <w:t>.</w:t>
      </w:r>
      <w:r>
        <w:rPr>
          <w:lang w:val="en-GB"/>
        </w:rPr>
        <w:t xml:space="preserve"> </w:t>
      </w:r>
      <w:r w:rsidR="005A6982">
        <w:rPr>
          <w:lang w:val="en-GB"/>
        </w:rPr>
        <w:t xml:space="preserve">No </w:t>
      </w:r>
      <w:r>
        <w:rPr>
          <w:lang w:val="en-GB"/>
        </w:rPr>
        <w:t xml:space="preserve">mass loss </w:t>
      </w:r>
      <w:r w:rsidR="005A6982">
        <w:rPr>
          <w:lang w:val="en-GB"/>
        </w:rPr>
        <w:t xml:space="preserve">occurs </w:t>
      </w:r>
      <w:r>
        <w:rPr>
          <w:lang w:val="en-GB"/>
        </w:rPr>
        <w:t>before 280°C because the three sample</w:t>
      </w:r>
      <w:r w:rsidR="005A6982">
        <w:rPr>
          <w:lang w:val="en-GB"/>
        </w:rPr>
        <w:t>s</w:t>
      </w:r>
      <w:r>
        <w:rPr>
          <w:lang w:val="en-GB"/>
        </w:rPr>
        <w:t xml:space="preserve"> were dried </w:t>
      </w:r>
      <w:r w:rsidR="005A6982">
        <w:rPr>
          <w:lang w:val="en-GB"/>
        </w:rPr>
        <w:t>prior to</w:t>
      </w:r>
      <w:r>
        <w:rPr>
          <w:lang w:val="en-GB"/>
        </w:rPr>
        <w:t xml:space="preserve"> analysis</w:t>
      </w:r>
      <w:r w:rsidR="005A6982">
        <w:rPr>
          <w:lang w:val="en-GB"/>
        </w:rPr>
        <w:t>,</w:t>
      </w:r>
      <w:r>
        <w:rPr>
          <w:lang w:val="en-GB"/>
        </w:rPr>
        <w:t xml:space="preserve"> as explained in Sec. 2</w:t>
      </w:r>
      <w:r w:rsidR="005A6982">
        <w:rPr>
          <w:lang w:val="en-GB"/>
        </w:rPr>
        <w:t>.</w:t>
      </w:r>
      <w:r>
        <w:rPr>
          <w:lang w:val="en-GB"/>
        </w:rPr>
        <w:t xml:space="preserve"> </w:t>
      </w:r>
      <w:r w:rsidR="005A6982">
        <w:rPr>
          <w:lang w:val="en-GB"/>
        </w:rPr>
        <w:t>A</w:t>
      </w:r>
      <w:r>
        <w:rPr>
          <w:lang w:val="en-GB"/>
        </w:rPr>
        <w:t>fter 540</w:t>
      </w:r>
      <w:r w:rsidR="005A6982">
        <w:rPr>
          <w:lang w:val="en-GB"/>
        </w:rPr>
        <w:t xml:space="preserve"> </w:t>
      </w:r>
      <w:r>
        <w:rPr>
          <w:lang w:val="en-GB"/>
        </w:rPr>
        <w:t>°C</w:t>
      </w:r>
      <w:r w:rsidR="005A6982">
        <w:rPr>
          <w:lang w:val="en-GB"/>
        </w:rPr>
        <w:t>,</w:t>
      </w:r>
      <w:r>
        <w:rPr>
          <w:lang w:val="en-GB"/>
        </w:rPr>
        <w:t xml:space="preserve"> degradation is almost complete,</w:t>
      </w:r>
      <w:r w:rsidR="00E2067F">
        <w:rPr>
          <w:lang w:val="en-GB"/>
        </w:rPr>
        <w:t xml:space="preserve"> </w:t>
      </w:r>
      <w:r w:rsidR="005A6982">
        <w:rPr>
          <w:lang w:val="en-GB"/>
        </w:rPr>
        <w:t>although</w:t>
      </w:r>
      <w:r w:rsidR="00E2067F">
        <w:rPr>
          <w:lang w:val="en-GB"/>
        </w:rPr>
        <w:t xml:space="preserve"> slight variation</w:t>
      </w:r>
      <w:r w:rsidR="005A6982">
        <w:rPr>
          <w:lang w:val="en-GB"/>
        </w:rPr>
        <w:t xml:space="preserve">s are </w:t>
      </w:r>
      <w:r w:rsidR="00A44CE4">
        <w:rPr>
          <w:lang w:val="en-GB"/>
        </w:rPr>
        <w:t>observed</w:t>
      </w:r>
      <w:r w:rsidR="00E2067F">
        <w:rPr>
          <w:lang w:val="en-GB"/>
        </w:rPr>
        <w:t xml:space="preserve"> for sample</w:t>
      </w:r>
      <w:r w:rsidR="005A6982">
        <w:rPr>
          <w:lang w:val="en-GB"/>
        </w:rPr>
        <w:t>s</w:t>
      </w:r>
      <w:r w:rsidR="00E2067F">
        <w:rPr>
          <w:lang w:val="en-GB"/>
        </w:rPr>
        <w:t xml:space="preserve"> 1 and 3. This behaviour </w:t>
      </w:r>
      <w:r w:rsidR="005A6982">
        <w:rPr>
          <w:lang w:val="en-GB"/>
        </w:rPr>
        <w:t>may</w:t>
      </w:r>
      <w:r w:rsidR="00E2067F">
        <w:rPr>
          <w:lang w:val="en-GB"/>
        </w:rPr>
        <w:t xml:space="preserve"> be </w:t>
      </w:r>
      <w:r w:rsidR="005A6982">
        <w:rPr>
          <w:lang w:val="en-GB"/>
        </w:rPr>
        <w:t>attributed</w:t>
      </w:r>
      <w:r w:rsidR="00E2067F">
        <w:rPr>
          <w:lang w:val="en-GB"/>
        </w:rPr>
        <w:t xml:space="preserve"> to many factors</w:t>
      </w:r>
      <w:r w:rsidR="00307482">
        <w:rPr>
          <w:lang w:val="en-GB"/>
        </w:rPr>
        <w:t xml:space="preserve">, </w:t>
      </w:r>
      <w:r w:rsidR="005A6982">
        <w:rPr>
          <w:lang w:val="en-GB"/>
        </w:rPr>
        <w:t xml:space="preserve">such as </w:t>
      </w:r>
      <w:r w:rsidR="00307482">
        <w:rPr>
          <w:lang w:val="en-GB"/>
        </w:rPr>
        <w:t>the TGA</w:t>
      </w:r>
      <w:r w:rsidR="007A6882">
        <w:rPr>
          <w:lang w:val="en-GB"/>
        </w:rPr>
        <w:t xml:space="preserve"> operati</w:t>
      </w:r>
      <w:r w:rsidR="005A6982">
        <w:rPr>
          <w:lang w:val="en-GB"/>
        </w:rPr>
        <w:t>ng</w:t>
      </w:r>
      <w:r w:rsidR="00307482">
        <w:rPr>
          <w:lang w:val="en-GB"/>
        </w:rPr>
        <w:t xml:space="preserve"> </w:t>
      </w:r>
      <w:r w:rsidR="007A6882">
        <w:rPr>
          <w:lang w:val="en-GB"/>
        </w:rPr>
        <w:t>conditions</w:t>
      </w:r>
      <w:r w:rsidR="00307482">
        <w:rPr>
          <w:lang w:val="en-GB"/>
        </w:rPr>
        <w:t>, the</w:t>
      </w:r>
      <w:r w:rsidR="005A6982">
        <w:rPr>
          <w:lang w:val="en-GB"/>
        </w:rPr>
        <w:t xml:space="preserve"> chemical structures of</w:t>
      </w:r>
      <w:r w:rsidR="00307482">
        <w:rPr>
          <w:lang w:val="en-GB"/>
        </w:rPr>
        <w:t xml:space="preserve"> polymers, </w:t>
      </w:r>
      <w:r w:rsidR="005A6982">
        <w:rPr>
          <w:lang w:val="en-GB"/>
        </w:rPr>
        <w:t xml:space="preserve">and their interactions with </w:t>
      </w:r>
      <w:r w:rsidR="00BF0935">
        <w:rPr>
          <w:lang w:val="en-GB"/>
        </w:rPr>
        <w:t>additives</w:t>
      </w:r>
      <w:r w:rsidR="005A6982">
        <w:rPr>
          <w:lang w:val="en-GB"/>
        </w:rPr>
        <w:t xml:space="preserve"> </w:t>
      </w:r>
      <w:r w:rsidR="007A6882">
        <w:rPr>
          <w:lang w:val="en-GB"/>
        </w:rPr>
        <w:t>(</w:t>
      </w:r>
      <w:r w:rsidR="00B069B3" w:rsidRPr="00B069B3">
        <w:rPr>
          <w:lang w:val="en-GB"/>
        </w:rPr>
        <w:t>NETZSCH</w:t>
      </w:r>
      <w:r w:rsidR="007A6882">
        <w:rPr>
          <w:lang w:val="en-GB"/>
        </w:rPr>
        <w:t>)</w:t>
      </w:r>
      <w:r w:rsidR="00BF0935">
        <w:rPr>
          <w:lang w:val="en-GB"/>
        </w:rPr>
        <w:t xml:space="preserve">. </w:t>
      </w:r>
      <w:r w:rsidR="007A6882">
        <w:rPr>
          <w:lang w:val="en-GB"/>
        </w:rPr>
        <w:t>Th</w:t>
      </w:r>
      <w:r w:rsidR="005A6982">
        <w:rPr>
          <w:lang w:val="en-GB"/>
        </w:rPr>
        <w:t>erefore</w:t>
      </w:r>
      <w:r w:rsidR="007A6882">
        <w:rPr>
          <w:lang w:val="en-GB"/>
        </w:rPr>
        <w:t xml:space="preserve">, it is difficult to figure out </w:t>
      </w:r>
      <w:r w:rsidR="005A6982">
        <w:rPr>
          <w:lang w:val="en-GB"/>
        </w:rPr>
        <w:t>a</w:t>
      </w:r>
      <w:r w:rsidR="007A6882">
        <w:rPr>
          <w:lang w:val="en-GB"/>
        </w:rPr>
        <w:t xml:space="preserve"> specific </w:t>
      </w:r>
      <w:r w:rsidR="005A6982">
        <w:rPr>
          <w:lang w:val="en-GB"/>
        </w:rPr>
        <w:t>cause; however,</w:t>
      </w:r>
      <w:r w:rsidR="007A6882">
        <w:rPr>
          <w:lang w:val="en-GB"/>
        </w:rPr>
        <w:t xml:space="preserve"> </w:t>
      </w:r>
      <w:r w:rsidR="005A6982">
        <w:rPr>
          <w:lang w:val="en-GB"/>
        </w:rPr>
        <w:t>given</w:t>
      </w:r>
      <w:r w:rsidR="007A6882">
        <w:rPr>
          <w:lang w:val="en-GB"/>
        </w:rPr>
        <w:t xml:space="preserve"> that </w:t>
      </w:r>
      <w:r w:rsidR="005A6982">
        <w:rPr>
          <w:lang w:val="en-GB"/>
        </w:rPr>
        <w:t xml:space="preserve">degradation is almost complete </w:t>
      </w:r>
      <w:r w:rsidR="007A6882">
        <w:rPr>
          <w:lang w:val="en-GB"/>
        </w:rPr>
        <w:t xml:space="preserve">at 540°C, the pyrolysis temperature into the batch setup was </w:t>
      </w:r>
      <w:r w:rsidR="005A6982">
        <w:rPr>
          <w:lang w:val="en-GB"/>
        </w:rPr>
        <w:t>set</w:t>
      </w:r>
      <w:r w:rsidR="007A6882">
        <w:rPr>
          <w:lang w:val="en-GB"/>
        </w:rPr>
        <w:t xml:space="preserve"> at 500°C. </w:t>
      </w:r>
      <w:r w:rsidR="001E2B47">
        <w:rPr>
          <w:lang w:val="en-GB"/>
        </w:rPr>
        <w:t>Furthermore,</w:t>
      </w:r>
      <w:r w:rsidR="007A6882">
        <w:rPr>
          <w:lang w:val="en-GB"/>
        </w:rPr>
        <w:t xml:space="preserve"> </w:t>
      </w:r>
      <w:r w:rsidRPr="00077FBB">
        <w:rPr>
          <w:lang w:val="en-GB"/>
        </w:rPr>
        <w:t xml:space="preserve">the final residue at 800°C is </w:t>
      </w:r>
      <w:r w:rsidR="005A6982">
        <w:rPr>
          <w:lang w:val="en-GB"/>
        </w:rPr>
        <w:t>approximately</w:t>
      </w:r>
      <w:r w:rsidRPr="00077FBB">
        <w:rPr>
          <w:lang w:val="en-GB"/>
        </w:rPr>
        <w:t xml:space="preserve"> 40 </w:t>
      </w:r>
      <w:proofErr w:type="spellStart"/>
      <w:r w:rsidRPr="00077FBB">
        <w:rPr>
          <w:lang w:val="en-GB"/>
        </w:rPr>
        <w:t>wt</w:t>
      </w:r>
      <w:proofErr w:type="spellEnd"/>
      <w:r w:rsidRPr="00077FBB">
        <w:rPr>
          <w:lang w:val="en-GB"/>
        </w:rPr>
        <w:t xml:space="preserve">%, 7 </w:t>
      </w:r>
      <w:proofErr w:type="spellStart"/>
      <w:r w:rsidRPr="00077FBB">
        <w:rPr>
          <w:lang w:val="en-GB"/>
        </w:rPr>
        <w:t>wt</w:t>
      </w:r>
      <w:proofErr w:type="spellEnd"/>
      <w:r w:rsidRPr="00077FBB">
        <w:rPr>
          <w:lang w:val="en-GB"/>
        </w:rPr>
        <w:t xml:space="preserve">%, and 25 </w:t>
      </w:r>
      <w:proofErr w:type="spellStart"/>
      <w:r w:rsidRPr="00077FBB">
        <w:rPr>
          <w:lang w:val="en-GB"/>
        </w:rPr>
        <w:t>wt</w:t>
      </w:r>
      <w:proofErr w:type="spellEnd"/>
      <w:r w:rsidRPr="00077FBB">
        <w:rPr>
          <w:lang w:val="en-GB"/>
        </w:rPr>
        <w:t>% for sample</w:t>
      </w:r>
      <w:r w:rsidR="005A6982">
        <w:rPr>
          <w:lang w:val="en-GB"/>
        </w:rPr>
        <w:t>s</w:t>
      </w:r>
      <w:r w:rsidRPr="00077FBB">
        <w:rPr>
          <w:lang w:val="en-GB"/>
        </w:rPr>
        <w:t xml:space="preserve"> 1, 2 and 3</w:t>
      </w:r>
      <w:r w:rsidR="005A6982">
        <w:rPr>
          <w:lang w:val="en-GB"/>
        </w:rPr>
        <w:t>,</w:t>
      </w:r>
      <w:r w:rsidRPr="00077FBB">
        <w:rPr>
          <w:lang w:val="en-GB"/>
        </w:rPr>
        <w:t xml:space="preserve"> respectively</w:t>
      </w:r>
      <w:r w:rsidR="005A6982">
        <w:rPr>
          <w:lang w:val="en-GB"/>
        </w:rPr>
        <w:t>, highlighting</w:t>
      </w:r>
      <w:r w:rsidRPr="00077FBB">
        <w:rPr>
          <w:lang w:val="en-GB"/>
        </w:rPr>
        <w:t xml:space="preserve"> the </w:t>
      </w:r>
      <w:r w:rsidR="005A6982">
        <w:rPr>
          <w:lang w:val="en-GB"/>
        </w:rPr>
        <w:t>different behaviours</w:t>
      </w:r>
      <w:r w:rsidR="007C36E9">
        <w:rPr>
          <w:lang w:val="en-GB"/>
        </w:rPr>
        <w:t xml:space="preserve"> </w:t>
      </w:r>
      <w:r w:rsidR="005A6982">
        <w:rPr>
          <w:lang w:val="en-GB"/>
        </w:rPr>
        <w:t xml:space="preserve">of the samples </w:t>
      </w:r>
      <w:r w:rsidR="007C36E9">
        <w:rPr>
          <w:lang w:val="en-GB"/>
        </w:rPr>
        <w:t>in accordance with the intrinsic heterogeneity of real waste materials. The</w:t>
      </w:r>
      <w:r w:rsidR="005A6982">
        <w:rPr>
          <w:lang w:val="en-GB"/>
        </w:rPr>
        <w:t>se</w:t>
      </w:r>
      <w:r w:rsidR="007C36E9">
        <w:rPr>
          <w:lang w:val="en-GB"/>
        </w:rPr>
        <w:t xml:space="preserve"> results are in line with the expectations, indeed, </w:t>
      </w:r>
      <w:r w:rsidR="005A6982" w:rsidRPr="005A6982">
        <w:rPr>
          <w:lang w:val="en-GB"/>
        </w:rPr>
        <w:t xml:space="preserve">the automotive shredder residue (sample 1), also known as car fluff and composed of a mixture of plastic, rubber, glass, fabric, foam, paint residues, and other organic and inorganic compounds, </w:t>
      </w:r>
      <w:r w:rsidR="005A6982">
        <w:rPr>
          <w:lang w:val="en-GB"/>
        </w:rPr>
        <w:t>has</w:t>
      </w:r>
      <w:r w:rsidR="005A6982" w:rsidRPr="005A6982">
        <w:rPr>
          <w:lang w:val="en-GB"/>
        </w:rPr>
        <w:t xml:space="preserve"> the highest residue</w:t>
      </w:r>
      <w:r w:rsidR="007C36E9">
        <w:rPr>
          <w:lang w:val="en-GB"/>
        </w:rPr>
        <w:t xml:space="preserve">. </w:t>
      </w:r>
      <w:r w:rsidR="005A6982">
        <w:rPr>
          <w:lang w:val="en-GB"/>
        </w:rPr>
        <w:t>Similarly,</w:t>
      </w:r>
      <w:r w:rsidR="00D81452">
        <w:rPr>
          <w:lang w:val="en-GB"/>
        </w:rPr>
        <w:t xml:space="preserve"> the heavy fraction</w:t>
      </w:r>
      <w:r w:rsidR="005A6982">
        <w:rPr>
          <w:lang w:val="en-GB"/>
        </w:rPr>
        <w:t xml:space="preserve"> (sample 3)</w:t>
      </w:r>
      <w:r w:rsidR="00D81452">
        <w:rPr>
          <w:lang w:val="en-GB"/>
        </w:rPr>
        <w:t xml:space="preserve"> of densified polyolefin production scrap </w:t>
      </w:r>
      <w:r w:rsidR="00E45ABE">
        <w:rPr>
          <w:lang w:val="en-GB"/>
        </w:rPr>
        <w:t>exhibits</w:t>
      </w:r>
      <w:r w:rsidR="00D81452">
        <w:rPr>
          <w:lang w:val="en-GB"/>
        </w:rPr>
        <w:t xml:space="preserve"> a higher</w:t>
      </w:r>
      <w:r w:rsidR="00E45ABE">
        <w:rPr>
          <w:lang w:val="en-GB"/>
        </w:rPr>
        <w:t xml:space="preserve"> residue</w:t>
      </w:r>
      <w:r w:rsidR="00D81452">
        <w:rPr>
          <w:lang w:val="en-GB"/>
        </w:rPr>
        <w:t xml:space="preserve"> </w:t>
      </w:r>
      <w:r w:rsidR="0076691C">
        <w:rPr>
          <w:lang w:val="en-GB"/>
        </w:rPr>
        <w:t>than</w:t>
      </w:r>
      <w:r w:rsidR="00D81452">
        <w:rPr>
          <w:lang w:val="en-GB"/>
        </w:rPr>
        <w:t xml:space="preserve"> th</w:t>
      </w:r>
      <w:r w:rsidR="00E45ABE">
        <w:rPr>
          <w:lang w:val="en-GB"/>
        </w:rPr>
        <w:t>e</w:t>
      </w:r>
      <w:r w:rsidR="00D81452">
        <w:rPr>
          <w:lang w:val="en-GB"/>
        </w:rPr>
        <w:t xml:space="preserve"> light</w:t>
      </w:r>
      <w:r w:rsidR="00E45ABE">
        <w:rPr>
          <w:lang w:val="en-GB"/>
        </w:rPr>
        <w:t xml:space="preserve"> fraction</w:t>
      </w:r>
      <w:r w:rsidR="00D81452">
        <w:rPr>
          <w:lang w:val="en-GB"/>
        </w:rPr>
        <w:t xml:space="preserve"> due to </w:t>
      </w:r>
      <w:r w:rsidR="00E45ABE">
        <w:rPr>
          <w:lang w:val="en-GB"/>
        </w:rPr>
        <w:t>its</w:t>
      </w:r>
      <w:r w:rsidR="00D81452">
        <w:rPr>
          <w:lang w:val="en-GB"/>
        </w:rPr>
        <w:t xml:space="preserve"> higher metallic </w:t>
      </w:r>
      <w:r w:rsidR="00E45ABE">
        <w:rPr>
          <w:lang w:val="en-GB"/>
        </w:rPr>
        <w:t>content</w:t>
      </w:r>
      <w:r w:rsidR="00D81452">
        <w:rPr>
          <w:lang w:val="en-GB"/>
        </w:rPr>
        <w:t>.</w:t>
      </w:r>
      <w:r w:rsidR="007D43E3">
        <w:rPr>
          <w:lang w:val="en-GB"/>
        </w:rPr>
        <w:t xml:space="preserve"> </w:t>
      </w:r>
    </w:p>
    <w:p w14:paraId="0970D93A" w14:textId="1D571A7E" w:rsidR="0076691C" w:rsidRDefault="0076691C" w:rsidP="00077FBB">
      <w:pPr>
        <w:pStyle w:val="CETBodytext"/>
        <w:rPr>
          <w:rStyle w:val="CETCaptionCarattere"/>
          <w:i w:val="0"/>
        </w:rPr>
      </w:pPr>
      <w:r>
        <w:rPr>
          <w:lang w:val="en-GB"/>
        </w:rPr>
        <w:t xml:space="preserve">On the other </w:t>
      </w:r>
      <w:r w:rsidR="00E45ABE">
        <w:rPr>
          <w:lang w:val="en-GB"/>
        </w:rPr>
        <w:t>ha</w:t>
      </w:r>
      <w:r>
        <w:rPr>
          <w:lang w:val="en-GB"/>
        </w:rPr>
        <w:t>nd, the DSC</w:t>
      </w:r>
      <w:r w:rsidR="00E45ABE">
        <w:rPr>
          <w:lang w:val="en-GB"/>
        </w:rPr>
        <w:t xml:space="preserve"> results</w:t>
      </w:r>
      <w:r>
        <w:rPr>
          <w:lang w:val="en-GB"/>
        </w:rPr>
        <w:t xml:space="preserve"> allowed us to identify the main polymers contained into the tested samples.</w:t>
      </w:r>
    </w:p>
    <w:p w14:paraId="336B65D6" w14:textId="77777777" w:rsidR="009D7C80" w:rsidRDefault="009D7C80" w:rsidP="009D7C80">
      <w:pPr>
        <w:pStyle w:val="CETCaption"/>
      </w:pPr>
      <w:r>
        <w:rPr>
          <w:noProof/>
        </w:rPr>
        <w:drawing>
          <wp:inline distT="0" distB="0" distL="0" distR="0" wp14:anchorId="2B6848C0" wp14:editId="2524F842">
            <wp:extent cx="5490085" cy="1332000"/>
            <wp:effectExtent l="0" t="0" r="0" b="1905"/>
            <wp:docPr id="909298584" name="Immagine 8" descr="Immagine che contiene linea, testo,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98584" name="Immagine 8" descr="Immagine che contiene linea, testo, Diagramma, schermata&#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085" cy="1332000"/>
                    </a:xfrm>
                    <a:prstGeom prst="rect">
                      <a:avLst/>
                    </a:prstGeom>
                    <a:noFill/>
                  </pic:spPr>
                </pic:pic>
              </a:graphicData>
            </a:graphic>
          </wp:inline>
        </w:drawing>
      </w:r>
    </w:p>
    <w:p w14:paraId="3A2E97A3" w14:textId="77777777" w:rsidR="009D7C80" w:rsidRDefault="009D7C80" w:rsidP="009D7C80">
      <w:pPr>
        <w:pStyle w:val="CETCaption"/>
        <w:rPr>
          <w:rStyle w:val="CETCaptionCarattere"/>
          <w:i/>
        </w:rPr>
      </w:pPr>
      <w:r w:rsidRPr="00BD077D">
        <w:rPr>
          <w:rStyle w:val="CETCaptionCarattere"/>
          <w:i/>
        </w:rPr>
        <w:t xml:space="preserve">Figure </w:t>
      </w:r>
      <w:r>
        <w:rPr>
          <w:rStyle w:val="CETCaptionCarattere"/>
          <w:i/>
        </w:rPr>
        <w:t>4</w:t>
      </w:r>
      <w:r w:rsidRPr="00BD077D">
        <w:rPr>
          <w:rStyle w:val="CETCaptionCarattere"/>
          <w:i/>
        </w:rPr>
        <w:t>:</w:t>
      </w:r>
      <w:r>
        <w:rPr>
          <w:rStyle w:val="CETCaptionCarattere"/>
          <w:i/>
        </w:rPr>
        <w:t xml:space="preserve"> Differential scanning calorimetry results of</w:t>
      </w:r>
      <w:r w:rsidRPr="00830D08">
        <w:rPr>
          <w:rStyle w:val="CETCaptionCarattere"/>
          <w:i/>
        </w:rPr>
        <w:t xml:space="preserve"> (a) </w:t>
      </w:r>
      <w:r>
        <w:rPr>
          <w:rStyle w:val="CETCaptionCarattere"/>
          <w:i/>
        </w:rPr>
        <w:t>sample 1,</w:t>
      </w:r>
      <w:r w:rsidRPr="00830D08">
        <w:rPr>
          <w:rStyle w:val="CETCaptionCarattere"/>
          <w:i/>
        </w:rPr>
        <w:t xml:space="preserve"> (b)</w:t>
      </w:r>
      <w:r>
        <w:rPr>
          <w:rStyle w:val="CETCaptionCarattere"/>
          <w:i/>
        </w:rPr>
        <w:t xml:space="preserve"> sample 2, and (c) sample 3.</w:t>
      </w:r>
    </w:p>
    <w:p w14:paraId="2781BBC7" w14:textId="5BABBAB6" w:rsidR="00370995" w:rsidRDefault="00CF513E" w:rsidP="00530D0F">
      <w:pPr>
        <w:pStyle w:val="CETBodytext"/>
        <w:rPr>
          <w:rStyle w:val="CETCaptionCarattere"/>
          <w:i w:val="0"/>
        </w:rPr>
      </w:pPr>
      <w:r>
        <w:rPr>
          <w:rStyle w:val="CETCaptionCarattere"/>
          <w:i w:val="0"/>
        </w:rPr>
        <w:t xml:space="preserve">DSC revealed the presence of </w:t>
      </w:r>
      <w:r w:rsidR="0011402D">
        <w:rPr>
          <w:rStyle w:val="CETCaptionCarattere"/>
          <w:i w:val="0"/>
        </w:rPr>
        <w:t>p</w:t>
      </w:r>
      <w:r w:rsidR="00571D61">
        <w:rPr>
          <w:rStyle w:val="CETCaptionCarattere"/>
          <w:i w:val="0"/>
        </w:rPr>
        <w:t xml:space="preserve">olyethylene (PE), polypropylene (PP), and polyethylene terephthalate (PET) in </w:t>
      </w:r>
      <w:r w:rsidR="00565536">
        <w:rPr>
          <w:rStyle w:val="CETCaptionCarattere"/>
          <w:i w:val="0"/>
        </w:rPr>
        <w:t>all</w:t>
      </w:r>
      <w:r w:rsidR="00571D61">
        <w:rPr>
          <w:rStyle w:val="CETCaptionCarattere"/>
          <w:i w:val="0"/>
        </w:rPr>
        <w:t xml:space="preserve"> PSW sample</w:t>
      </w:r>
      <w:r w:rsidR="00565536">
        <w:rPr>
          <w:rStyle w:val="CETCaptionCarattere"/>
          <w:i w:val="0"/>
        </w:rPr>
        <w:t>s</w:t>
      </w:r>
      <w:r w:rsidR="00571D61">
        <w:rPr>
          <w:rStyle w:val="CETCaptionCarattere"/>
          <w:i w:val="0"/>
        </w:rPr>
        <w:t xml:space="preserve">, while </w:t>
      </w:r>
      <w:r w:rsidR="0011402D">
        <w:rPr>
          <w:rStyle w:val="CETCaptionCarattere"/>
          <w:i w:val="0"/>
        </w:rPr>
        <w:t>p</w:t>
      </w:r>
      <w:r w:rsidR="00571D61">
        <w:rPr>
          <w:rStyle w:val="CETCaptionCarattere"/>
          <w:i w:val="0"/>
        </w:rPr>
        <w:t>olyvinyl chloride</w:t>
      </w:r>
      <w:r w:rsidR="004942A6">
        <w:rPr>
          <w:rStyle w:val="CETCaptionCarattere"/>
          <w:i w:val="0"/>
        </w:rPr>
        <w:t xml:space="preserve"> (PVC)</w:t>
      </w:r>
      <w:r w:rsidR="0042432E">
        <w:rPr>
          <w:rStyle w:val="CETCaptionCarattere"/>
          <w:i w:val="0"/>
        </w:rPr>
        <w:t xml:space="preserve"> was</w:t>
      </w:r>
      <w:r w:rsidR="00571D61">
        <w:rPr>
          <w:rStyle w:val="CETCaptionCarattere"/>
          <w:i w:val="0"/>
        </w:rPr>
        <w:t xml:space="preserve"> </w:t>
      </w:r>
      <w:r>
        <w:rPr>
          <w:rStyle w:val="CETCaptionCarattere"/>
          <w:i w:val="0"/>
        </w:rPr>
        <w:t xml:space="preserve">detected </w:t>
      </w:r>
      <w:r w:rsidR="00571D61">
        <w:rPr>
          <w:rStyle w:val="CETCaptionCarattere"/>
          <w:i w:val="0"/>
        </w:rPr>
        <w:t>only in sample</w:t>
      </w:r>
      <w:r w:rsidR="00392354">
        <w:rPr>
          <w:rStyle w:val="CETCaptionCarattere"/>
          <w:i w:val="0"/>
        </w:rPr>
        <w:t>s</w:t>
      </w:r>
      <w:r w:rsidR="00571D61">
        <w:rPr>
          <w:rStyle w:val="CETCaptionCarattere"/>
          <w:i w:val="0"/>
        </w:rPr>
        <w:t xml:space="preserve"> 1 and 3. </w:t>
      </w:r>
      <w:r w:rsidR="0079331A" w:rsidRPr="0079331A">
        <w:rPr>
          <w:rStyle w:val="CETCaptionCarattere"/>
          <w:i w:val="0"/>
        </w:rPr>
        <w:t xml:space="preserve">Specifically, LDPE exhibits a melting peak between 85 and 125 °C, HDPE between 130 and 140 °C, PP between 165 and 175 °C, and PET between </w:t>
      </w:r>
      <w:r>
        <w:rPr>
          <w:rStyle w:val="CETCaptionCarattere"/>
          <w:i w:val="0"/>
        </w:rPr>
        <w:t>25</w:t>
      </w:r>
      <w:r w:rsidR="0079331A" w:rsidRPr="0079331A">
        <w:rPr>
          <w:rStyle w:val="CETCaptionCarattere"/>
          <w:i w:val="0"/>
        </w:rPr>
        <w:t xml:space="preserve">0 and </w:t>
      </w:r>
      <w:r>
        <w:rPr>
          <w:rStyle w:val="CETCaptionCarattere"/>
          <w:i w:val="0"/>
        </w:rPr>
        <w:t>26</w:t>
      </w:r>
      <w:r w:rsidR="0079331A" w:rsidRPr="0079331A">
        <w:rPr>
          <w:rStyle w:val="CETCaptionCarattere"/>
          <w:i w:val="0"/>
        </w:rPr>
        <w:t xml:space="preserve">0 °C, in alignment with the thermal data provided in the Shimadzu Application Note T160, which characterizes PE and other polymers via DSC </w:t>
      </w:r>
      <w:r w:rsidR="0079331A" w:rsidRPr="0040467D">
        <w:rPr>
          <w:rStyle w:val="CETCaptionCarattere"/>
          <w:i w:val="0"/>
        </w:rPr>
        <w:t>analysis (Kato, 2021).</w:t>
      </w:r>
      <w:r w:rsidR="0079331A" w:rsidRPr="0079331A">
        <w:rPr>
          <w:rStyle w:val="CETCaptionCarattere"/>
          <w:i w:val="0"/>
        </w:rPr>
        <w:t xml:space="preserve"> However, variations in peak intensities across the </w:t>
      </w:r>
      <w:r w:rsidR="0079331A">
        <w:rPr>
          <w:rStyle w:val="CETCaptionCarattere"/>
          <w:i w:val="0"/>
        </w:rPr>
        <w:t>three</w:t>
      </w:r>
      <w:r w:rsidR="0079331A" w:rsidRPr="0079331A">
        <w:rPr>
          <w:rStyle w:val="CETCaptionCarattere"/>
          <w:i w:val="0"/>
        </w:rPr>
        <w:t xml:space="preserve"> samples reflected</w:t>
      </w:r>
      <w:r w:rsidR="0042432E">
        <w:rPr>
          <w:rStyle w:val="CETCaptionCarattere"/>
          <w:i w:val="0"/>
        </w:rPr>
        <w:t xml:space="preserve"> once again</w:t>
      </w:r>
      <w:r w:rsidR="0079331A" w:rsidRPr="0079331A">
        <w:rPr>
          <w:rStyle w:val="CETCaptionCarattere"/>
          <w:i w:val="0"/>
        </w:rPr>
        <w:t xml:space="preserve"> the inherent heterogeneity</w:t>
      </w:r>
      <w:r w:rsidR="0079331A">
        <w:rPr>
          <w:rStyle w:val="CETCaptionCarattere"/>
          <w:i w:val="0"/>
        </w:rPr>
        <w:t xml:space="preserve"> </w:t>
      </w:r>
      <w:r w:rsidR="00565536">
        <w:rPr>
          <w:rStyle w:val="CETCaptionCarattere"/>
          <w:i w:val="0"/>
        </w:rPr>
        <w:t>that</w:t>
      </w:r>
      <w:r w:rsidR="0079331A">
        <w:rPr>
          <w:rStyle w:val="CETCaptionCarattere"/>
          <w:i w:val="0"/>
        </w:rPr>
        <w:t xml:space="preserve"> </w:t>
      </w:r>
      <w:r>
        <w:rPr>
          <w:rStyle w:val="CETCaptionCarattere"/>
          <w:i w:val="0"/>
        </w:rPr>
        <w:t>pose</w:t>
      </w:r>
      <w:r w:rsidR="0079331A">
        <w:rPr>
          <w:rStyle w:val="CETCaptionCarattere"/>
          <w:i w:val="0"/>
        </w:rPr>
        <w:t xml:space="preserve">s </w:t>
      </w:r>
      <w:r>
        <w:rPr>
          <w:rStyle w:val="CETCaptionCarattere"/>
          <w:i w:val="0"/>
        </w:rPr>
        <w:t>a significant</w:t>
      </w:r>
      <w:r w:rsidR="0079331A">
        <w:rPr>
          <w:rStyle w:val="CETCaptionCarattere"/>
          <w:i w:val="0"/>
        </w:rPr>
        <w:t xml:space="preserve"> challenge in </w:t>
      </w:r>
      <w:r>
        <w:rPr>
          <w:rStyle w:val="CETCaptionCarattere"/>
          <w:i w:val="0"/>
        </w:rPr>
        <w:t>processin</w:t>
      </w:r>
      <w:r w:rsidR="0079331A">
        <w:rPr>
          <w:rStyle w:val="CETCaptionCarattere"/>
          <w:i w:val="0"/>
        </w:rPr>
        <w:t>g real wastes.</w:t>
      </w:r>
    </w:p>
    <w:p w14:paraId="317F6974" w14:textId="1ABDAA55" w:rsidR="00370995" w:rsidRDefault="00CF513E" w:rsidP="00530D0F">
      <w:pPr>
        <w:pStyle w:val="CETBodytext"/>
        <w:rPr>
          <w:rStyle w:val="CETCaptionCarattere"/>
          <w:i w:val="0"/>
        </w:rPr>
      </w:pPr>
      <w:r>
        <w:rPr>
          <w:rStyle w:val="CETCaptionCarattere"/>
          <w:i w:val="0"/>
        </w:rPr>
        <w:t>To</w:t>
      </w:r>
      <w:r w:rsidR="00370995">
        <w:rPr>
          <w:rStyle w:val="CETCaptionCarattere"/>
          <w:i w:val="0"/>
        </w:rPr>
        <w:t xml:space="preserve"> better understand process efficiency</w:t>
      </w:r>
      <w:r>
        <w:rPr>
          <w:rStyle w:val="CETCaptionCarattere"/>
          <w:i w:val="0"/>
        </w:rPr>
        <w:t>,</w:t>
      </w:r>
      <w:r w:rsidR="00127AD1">
        <w:rPr>
          <w:rStyle w:val="CETCaptionCarattere"/>
          <w:i w:val="0"/>
        </w:rPr>
        <w:t xml:space="preserve"> elemental analysis was performed </w:t>
      </w:r>
      <w:r>
        <w:rPr>
          <w:rStyle w:val="CETCaptionCarattere"/>
          <w:i w:val="0"/>
        </w:rPr>
        <w:t>to</w:t>
      </w:r>
      <w:r w:rsidR="00127AD1">
        <w:rPr>
          <w:rStyle w:val="CETCaptionCarattere"/>
          <w:i w:val="0"/>
        </w:rPr>
        <w:t xml:space="preserve"> point out the C, H and N content, while O, A, and LHV were evaluated as </w:t>
      </w:r>
      <w:r>
        <w:rPr>
          <w:rStyle w:val="CETCaptionCarattere"/>
          <w:i w:val="0"/>
        </w:rPr>
        <w:t>describ</w:t>
      </w:r>
      <w:r w:rsidR="00127AD1">
        <w:rPr>
          <w:rStyle w:val="CETCaptionCarattere"/>
          <w:i w:val="0"/>
        </w:rPr>
        <w:t>ed in Sec. 2</w:t>
      </w:r>
      <w:r>
        <w:rPr>
          <w:rStyle w:val="CETCaptionCarattere"/>
          <w:i w:val="0"/>
        </w:rPr>
        <w:t>;</w:t>
      </w:r>
      <w:r w:rsidR="00320F9B">
        <w:rPr>
          <w:rStyle w:val="CETCaptionCarattere"/>
          <w:i w:val="0"/>
        </w:rPr>
        <w:t xml:space="preserve"> the results are collected in Table 1.</w:t>
      </w:r>
    </w:p>
    <w:p w14:paraId="287C1A57" w14:textId="77777777" w:rsidR="009D7C80" w:rsidRPr="00B57B36" w:rsidRDefault="009D7C80" w:rsidP="009D7C80">
      <w:pPr>
        <w:pStyle w:val="CETTabletitle"/>
      </w:pPr>
      <w:r w:rsidRPr="00B57B36">
        <w:t xml:space="preserve">Table 1: </w:t>
      </w:r>
      <w:r>
        <w:t>Elemental analysis results and LHV of sample 1, sample 2 and sample 3.</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8"/>
        <w:gridCol w:w="1102"/>
        <w:gridCol w:w="1102"/>
        <w:gridCol w:w="1102"/>
        <w:gridCol w:w="1087"/>
        <w:gridCol w:w="1087"/>
        <w:gridCol w:w="1087"/>
      </w:tblGrid>
      <w:tr w:rsidR="009D7C80" w:rsidRPr="00B57B36" w14:paraId="7B8E084E" w14:textId="77777777" w:rsidTr="00853E73">
        <w:tc>
          <w:tcPr>
            <w:tcW w:w="1118" w:type="dxa"/>
            <w:tcBorders>
              <w:top w:val="single" w:sz="12" w:space="0" w:color="008000"/>
              <w:bottom w:val="single" w:sz="6" w:space="0" w:color="008000"/>
            </w:tcBorders>
            <w:shd w:val="clear" w:color="auto" w:fill="FFFFFF"/>
          </w:tcPr>
          <w:p w14:paraId="3C0B3214" w14:textId="77777777" w:rsidR="009D7C80" w:rsidRPr="00B57B36" w:rsidRDefault="009D7C80" w:rsidP="00853E73">
            <w:pPr>
              <w:pStyle w:val="CETBodytext"/>
              <w:rPr>
                <w:lang w:val="en-GB"/>
              </w:rPr>
            </w:pPr>
            <w:r>
              <w:rPr>
                <w:lang w:val="en-GB"/>
              </w:rPr>
              <w:t>Sample</w:t>
            </w:r>
            <w:r w:rsidRPr="00B57B36">
              <w:rPr>
                <w:lang w:val="en-GB"/>
              </w:rPr>
              <w:t xml:space="preserve"> </w:t>
            </w:r>
          </w:p>
        </w:tc>
        <w:tc>
          <w:tcPr>
            <w:tcW w:w="1102" w:type="dxa"/>
            <w:tcBorders>
              <w:top w:val="single" w:sz="12" w:space="0" w:color="008000"/>
              <w:bottom w:val="single" w:sz="6" w:space="0" w:color="008000"/>
            </w:tcBorders>
            <w:shd w:val="clear" w:color="auto" w:fill="FFFFFF"/>
          </w:tcPr>
          <w:p w14:paraId="148D0521" w14:textId="77777777" w:rsidR="009D7C80" w:rsidRPr="00B57B36" w:rsidRDefault="009D7C80" w:rsidP="00853E73">
            <w:pPr>
              <w:pStyle w:val="CETBodytext"/>
              <w:rPr>
                <w:lang w:val="en-GB"/>
              </w:rPr>
            </w:pPr>
            <w:r>
              <w:rPr>
                <w:lang w:val="en-GB"/>
              </w:rPr>
              <w:t>C [% w/w]</w:t>
            </w:r>
          </w:p>
        </w:tc>
        <w:tc>
          <w:tcPr>
            <w:tcW w:w="1102" w:type="dxa"/>
            <w:tcBorders>
              <w:top w:val="single" w:sz="12" w:space="0" w:color="008000"/>
              <w:bottom w:val="single" w:sz="6" w:space="0" w:color="008000"/>
            </w:tcBorders>
            <w:shd w:val="clear" w:color="auto" w:fill="FFFFFF"/>
          </w:tcPr>
          <w:p w14:paraId="010A90FE" w14:textId="77777777" w:rsidR="009D7C80" w:rsidRPr="00B57B36" w:rsidRDefault="009D7C80" w:rsidP="00853E73">
            <w:pPr>
              <w:pStyle w:val="CETBodytext"/>
              <w:rPr>
                <w:lang w:val="en-GB"/>
              </w:rPr>
            </w:pPr>
            <w:r>
              <w:rPr>
                <w:lang w:val="en-GB"/>
              </w:rPr>
              <w:t>H [% w/w]</w:t>
            </w:r>
          </w:p>
        </w:tc>
        <w:tc>
          <w:tcPr>
            <w:tcW w:w="1102" w:type="dxa"/>
            <w:tcBorders>
              <w:top w:val="single" w:sz="12" w:space="0" w:color="008000"/>
              <w:bottom w:val="single" w:sz="6" w:space="0" w:color="008000"/>
            </w:tcBorders>
            <w:shd w:val="clear" w:color="auto" w:fill="FFFFFF"/>
          </w:tcPr>
          <w:p w14:paraId="0D691720" w14:textId="77777777" w:rsidR="009D7C80" w:rsidRPr="00B57B36" w:rsidRDefault="009D7C80" w:rsidP="00853E73">
            <w:pPr>
              <w:pStyle w:val="CETBodytext"/>
              <w:ind w:right="-1"/>
              <w:rPr>
                <w:rFonts w:cs="Arial"/>
                <w:szCs w:val="18"/>
                <w:lang w:val="en-GB"/>
              </w:rPr>
            </w:pPr>
            <w:r>
              <w:rPr>
                <w:rFonts w:cs="Arial"/>
                <w:szCs w:val="18"/>
                <w:lang w:val="en-GB"/>
              </w:rPr>
              <w:t xml:space="preserve">N </w:t>
            </w:r>
            <w:r>
              <w:rPr>
                <w:lang w:val="en-GB"/>
              </w:rPr>
              <w:t>[% w/w]</w:t>
            </w:r>
          </w:p>
        </w:tc>
        <w:tc>
          <w:tcPr>
            <w:tcW w:w="1087" w:type="dxa"/>
            <w:tcBorders>
              <w:top w:val="single" w:sz="12" w:space="0" w:color="008000"/>
              <w:bottom w:val="single" w:sz="6" w:space="0" w:color="008000"/>
            </w:tcBorders>
            <w:shd w:val="clear" w:color="auto" w:fill="FFFFFF"/>
          </w:tcPr>
          <w:p w14:paraId="13A8D89B" w14:textId="77777777" w:rsidR="009D7C80" w:rsidRDefault="009D7C80" w:rsidP="00853E73">
            <w:pPr>
              <w:pStyle w:val="CETBodytext"/>
              <w:ind w:right="-1"/>
              <w:rPr>
                <w:rFonts w:cs="Arial"/>
                <w:szCs w:val="18"/>
                <w:lang w:val="en-GB"/>
              </w:rPr>
            </w:pPr>
            <w:r>
              <w:rPr>
                <w:rFonts w:cs="Arial"/>
                <w:szCs w:val="18"/>
                <w:lang w:val="en-GB"/>
              </w:rPr>
              <w:t xml:space="preserve">O </w:t>
            </w:r>
            <w:r>
              <w:rPr>
                <w:lang w:val="en-GB"/>
              </w:rPr>
              <w:t>[% w/w]</w:t>
            </w:r>
          </w:p>
        </w:tc>
        <w:tc>
          <w:tcPr>
            <w:tcW w:w="1087" w:type="dxa"/>
            <w:tcBorders>
              <w:top w:val="single" w:sz="12" w:space="0" w:color="008000"/>
              <w:bottom w:val="single" w:sz="6" w:space="0" w:color="008000"/>
            </w:tcBorders>
            <w:shd w:val="clear" w:color="auto" w:fill="FFFFFF"/>
          </w:tcPr>
          <w:p w14:paraId="4F8A7734" w14:textId="77777777" w:rsidR="009D7C80" w:rsidRDefault="009D7C80" w:rsidP="00853E73">
            <w:pPr>
              <w:pStyle w:val="CETBodytext"/>
              <w:ind w:right="-1"/>
              <w:rPr>
                <w:rFonts w:cs="Arial"/>
                <w:szCs w:val="18"/>
                <w:lang w:val="en-GB"/>
              </w:rPr>
            </w:pPr>
            <w:r>
              <w:rPr>
                <w:rFonts w:cs="Arial"/>
                <w:szCs w:val="18"/>
                <w:lang w:val="en-GB"/>
              </w:rPr>
              <w:t xml:space="preserve">A </w:t>
            </w:r>
            <w:r>
              <w:rPr>
                <w:lang w:val="en-GB"/>
              </w:rPr>
              <w:t>[% w/w]</w:t>
            </w:r>
          </w:p>
        </w:tc>
        <w:tc>
          <w:tcPr>
            <w:tcW w:w="1087" w:type="dxa"/>
            <w:tcBorders>
              <w:top w:val="single" w:sz="12" w:space="0" w:color="008000"/>
              <w:bottom w:val="single" w:sz="6" w:space="0" w:color="008000"/>
            </w:tcBorders>
            <w:shd w:val="clear" w:color="auto" w:fill="FFFFFF"/>
          </w:tcPr>
          <w:p w14:paraId="0E0BF3A0" w14:textId="77777777" w:rsidR="009D7C80" w:rsidRDefault="009D7C80" w:rsidP="00853E73">
            <w:pPr>
              <w:pStyle w:val="CETBodytext"/>
              <w:ind w:right="-1"/>
              <w:rPr>
                <w:rFonts w:cs="Arial"/>
                <w:szCs w:val="18"/>
                <w:lang w:val="en-GB"/>
              </w:rPr>
            </w:pPr>
            <w:r>
              <w:rPr>
                <w:rFonts w:cs="Arial"/>
                <w:szCs w:val="18"/>
                <w:lang w:val="en-GB"/>
              </w:rPr>
              <w:t>LHV [MJ/kg]</w:t>
            </w:r>
          </w:p>
        </w:tc>
      </w:tr>
      <w:tr w:rsidR="009D7C80" w:rsidRPr="00B57B36" w14:paraId="1AC25E43" w14:textId="77777777" w:rsidTr="00853E73">
        <w:tc>
          <w:tcPr>
            <w:tcW w:w="1118" w:type="dxa"/>
            <w:shd w:val="clear" w:color="auto" w:fill="FFFFFF"/>
          </w:tcPr>
          <w:p w14:paraId="12E1879C" w14:textId="77777777" w:rsidR="009D7C80" w:rsidRPr="00B57B36" w:rsidRDefault="009D7C80" w:rsidP="00853E73">
            <w:pPr>
              <w:pStyle w:val="CETBodytext"/>
              <w:rPr>
                <w:lang w:val="en-GB"/>
              </w:rPr>
            </w:pPr>
            <w:r>
              <w:rPr>
                <w:lang w:val="en-GB"/>
              </w:rPr>
              <w:t>S1</w:t>
            </w:r>
          </w:p>
        </w:tc>
        <w:tc>
          <w:tcPr>
            <w:tcW w:w="1102" w:type="dxa"/>
            <w:shd w:val="clear" w:color="auto" w:fill="FFFFFF"/>
          </w:tcPr>
          <w:p w14:paraId="711C151B" w14:textId="77777777" w:rsidR="009D7C80" w:rsidRPr="00B57B36" w:rsidRDefault="009D7C80" w:rsidP="00853E73">
            <w:pPr>
              <w:pStyle w:val="CETBodytext"/>
              <w:rPr>
                <w:lang w:val="en-GB"/>
              </w:rPr>
            </w:pPr>
            <w:r>
              <w:rPr>
                <w:lang w:val="en-GB"/>
              </w:rPr>
              <w:t>53</w:t>
            </w:r>
          </w:p>
        </w:tc>
        <w:tc>
          <w:tcPr>
            <w:tcW w:w="1102" w:type="dxa"/>
            <w:shd w:val="clear" w:color="auto" w:fill="FFFFFF"/>
          </w:tcPr>
          <w:p w14:paraId="5D6297CE" w14:textId="77777777" w:rsidR="009D7C80" w:rsidRPr="00B57B36" w:rsidRDefault="009D7C80" w:rsidP="00853E73">
            <w:pPr>
              <w:pStyle w:val="CETBodytext"/>
              <w:rPr>
                <w:lang w:val="en-GB"/>
              </w:rPr>
            </w:pPr>
            <w:r>
              <w:rPr>
                <w:lang w:val="en-GB"/>
              </w:rPr>
              <w:t>6</w:t>
            </w:r>
          </w:p>
        </w:tc>
        <w:tc>
          <w:tcPr>
            <w:tcW w:w="1102" w:type="dxa"/>
            <w:shd w:val="clear" w:color="auto" w:fill="FFFFFF"/>
          </w:tcPr>
          <w:p w14:paraId="2A66A25D" w14:textId="77777777" w:rsidR="009D7C80" w:rsidRPr="00B57B36" w:rsidRDefault="009D7C80" w:rsidP="00853E73">
            <w:pPr>
              <w:pStyle w:val="CETBodytext"/>
              <w:ind w:right="-1"/>
              <w:rPr>
                <w:rFonts w:cs="Arial"/>
                <w:szCs w:val="18"/>
                <w:lang w:val="en-GB"/>
              </w:rPr>
            </w:pPr>
            <w:r>
              <w:rPr>
                <w:rFonts w:cs="Arial"/>
                <w:szCs w:val="18"/>
                <w:lang w:val="en-GB"/>
              </w:rPr>
              <w:t>1</w:t>
            </w:r>
          </w:p>
        </w:tc>
        <w:tc>
          <w:tcPr>
            <w:tcW w:w="1087" w:type="dxa"/>
            <w:shd w:val="clear" w:color="auto" w:fill="FFFFFF"/>
          </w:tcPr>
          <w:p w14:paraId="3E6F8C2C" w14:textId="77777777" w:rsidR="009D7C80" w:rsidRPr="00B57B36" w:rsidRDefault="009D7C80" w:rsidP="00853E73">
            <w:pPr>
              <w:pStyle w:val="CETBodytext"/>
              <w:ind w:right="-1"/>
              <w:rPr>
                <w:rFonts w:cs="Arial"/>
                <w:szCs w:val="18"/>
                <w:lang w:val="en-GB"/>
              </w:rPr>
            </w:pPr>
            <w:r>
              <w:rPr>
                <w:rFonts w:cs="Arial"/>
                <w:szCs w:val="18"/>
                <w:lang w:val="en-GB"/>
              </w:rPr>
              <w:t>9</w:t>
            </w:r>
          </w:p>
        </w:tc>
        <w:tc>
          <w:tcPr>
            <w:tcW w:w="1087" w:type="dxa"/>
            <w:shd w:val="clear" w:color="auto" w:fill="FFFFFF"/>
          </w:tcPr>
          <w:p w14:paraId="58614B46" w14:textId="77777777" w:rsidR="009D7C80" w:rsidRPr="00B57B36" w:rsidRDefault="009D7C80" w:rsidP="00853E73">
            <w:pPr>
              <w:pStyle w:val="CETBodytext"/>
              <w:ind w:right="-1"/>
              <w:rPr>
                <w:rFonts w:cs="Arial"/>
                <w:szCs w:val="18"/>
                <w:lang w:val="en-GB"/>
              </w:rPr>
            </w:pPr>
            <w:r>
              <w:rPr>
                <w:rFonts w:cs="Arial"/>
                <w:szCs w:val="18"/>
                <w:lang w:val="en-GB"/>
              </w:rPr>
              <w:t>31</w:t>
            </w:r>
          </w:p>
        </w:tc>
        <w:tc>
          <w:tcPr>
            <w:tcW w:w="1087" w:type="dxa"/>
            <w:shd w:val="clear" w:color="auto" w:fill="FFFFFF"/>
          </w:tcPr>
          <w:p w14:paraId="2791ADB9" w14:textId="77777777" w:rsidR="009D7C80" w:rsidRPr="00B57B36" w:rsidRDefault="009D7C80" w:rsidP="00853E73">
            <w:pPr>
              <w:pStyle w:val="CETBodytext"/>
              <w:ind w:right="-1"/>
              <w:rPr>
                <w:rFonts w:cs="Arial"/>
                <w:szCs w:val="18"/>
                <w:lang w:val="en-GB"/>
              </w:rPr>
            </w:pPr>
            <w:r>
              <w:rPr>
                <w:rFonts w:cs="Arial"/>
                <w:szCs w:val="18"/>
                <w:lang w:val="en-GB"/>
              </w:rPr>
              <w:t>23</w:t>
            </w:r>
          </w:p>
        </w:tc>
      </w:tr>
      <w:tr w:rsidR="009D7C80" w:rsidRPr="00B57B36" w14:paraId="522DFD73" w14:textId="77777777" w:rsidTr="00853E73">
        <w:tc>
          <w:tcPr>
            <w:tcW w:w="1118" w:type="dxa"/>
            <w:shd w:val="clear" w:color="auto" w:fill="FFFFFF"/>
          </w:tcPr>
          <w:p w14:paraId="2DA6F1D4" w14:textId="77777777" w:rsidR="009D7C80" w:rsidRPr="00B57B36" w:rsidRDefault="009D7C80" w:rsidP="00853E73">
            <w:pPr>
              <w:pStyle w:val="CETBodytext"/>
              <w:rPr>
                <w:lang w:val="en-GB"/>
              </w:rPr>
            </w:pPr>
            <w:r>
              <w:rPr>
                <w:lang w:val="en-GB"/>
              </w:rPr>
              <w:t>S2</w:t>
            </w:r>
          </w:p>
        </w:tc>
        <w:tc>
          <w:tcPr>
            <w:tcW w:w="1102" w:type="dxa"/>
            <w:shd w:val="clear" w:color="auto" w:fill="FFFFFF"/>
          </w:tcPr>
          <w:p w14:paraId="78982269" w14:textId="77777777" w:rsidR="009D7C80" w:rsidRPr="00B57B36" w:rsidRDefault="009D7C80" w:rsidP="00853E73">
            <w:pPr>
              <w:pStyle w:val="CETBodytext"/>
              <w:rPr>
                <w:lang w:val="en-GB"/>
              </w:rPr>
            </w:pPr>
            <w:r>
              <w:rPr>
                <w:lang w:val="en-GB"/>
              </w:rPr>
              <w:t>73</w:t>
            </w:r>
          </w:p>
        </w:tc>
        <w:tc>
          <w:tcPr>
            <w:tcW w:w="1102" w:type="dxa"/>
            <w:shd w:val="clear" w:color="auto" w:fill="FFFFFF"/>
          </w:tcPr>
          <w:p w14:paraId="7F6D1286" w14:textId="77777777" w:rsidR="009D7C80" w:rsidRPr="00B57B36" w:rsidRDefault="009D7C80" w:rsidP="00853E73">
            <w:pPr>
              <w:pStyle w:val="CETBodytext"/>
              <w:rPr>
                <w:lang w:val="en-GB"/>
              </w:rPr>
            </w:pPr>
            <w:r>
              <w:rPr>
                <w:lang w:val="en-GB"/>
              </w:rPr>
              <w:t>10</w:t>
            </w:r>
          </w:p>
        </w:tc>
        <w:tc>
          <w:tcPr>
            <w:tcW w:w="1102" w:type="dxa"/>
            <w:shd w:val="clear" w:color="auto" w:fill="FFFFFF"/>
          </w:tcPr>
          <w:p w14:paraId="166C8C9A" w14:textId="77777777" w:rsidR="009D7C80" w:rsidRPr="00B57B36" w:rsidRDefault="009D7C80" w:rsidP="00853E73">
            <w:pPr>
              <w:pStyle w:val="CETBodytext"/>
              <w:ind w:right="-1"/>
              <w:rPr>
                <w:rFonts w:cs="Arial"/>
                <w:szCs w:val="18"/>
                <w:lang w:val="en-GB"/>
              </w:rPr>
            </w:pPr>
            <w:r>
              <w:rPr>
                <w:rFonts w:cs="Arial"/>
                <w:szCs w:val="18"/>
                <w:lang w:val="en-GB"/>
              </w:rPr>
              <w:t>0</w:t>
            </w:r>
          </w:p>
        </w:tc>
        <w:tc>
          <w:tcPr>
            <w:tcW w:w="1087" w:type="dxa"/>
            <w:shd w:val="clear" w:color="auto" w:fill="FFFFFF"/>
          </w:tcPr>
          <w:p w14:paraId="5D5AB567" w14:textId="77777777" w:rsidR="009D7C80" w:rsidRPr="00B57B36" w:rsidRDefault="009D7C80" w:rsidP="00853E73">
            <w:pPr>
              <w:pStyle w:val="CETBodytext"/>
              <w:ind w:right="-1"/>
              <w:rPr>
                <w:rFonts w:cs="Arial"/>
                <w:szCs w:val="18"/>
                <w:lang w:val="en-GB"/>
              </w:rPr>
            </w:pPr>
            <w:r>
              <w:rPr>
                <w:rFonts w:cs="Arial"/>
                <w:szCs w:val="18"/>
                <w:lang w:val="en-GB"/>
              </w:rPr>
              <w:t>10</w:t>
            </w:r>
          </w:p>
        </w:tc>
        <w:tc>
          <w:tcPr>
            <w:tcW w:w="1087" w:type="dxa"/>
            <w:shd w:val="clear" w:color="auto" w:fill="FFFFFF"/>
          </w:tcPr>
          <w:p w14:paraId="7BEE18DD" w14:textId="77777777" w:rsidR="009D7C80" w:rsidRPr="00B57B36" w:rsidRDefault="009D7C80" w:rsidP="00853E73">
            <w:pPr>
              <w:pStyle w:val="CETBodytext"/>
              <w:ind w:right="-1"/>
              <w:rPr>
                <w:rFonts w:cs="Arial"/>
                <w:szCs w:val="18"/>
                <w:lang w:val="en-GB"/>
              </w:rPr>
            </w:pPr>
            <w:r>
              <w:rPr>
                <w:rFonts w:cs="Arial"/>
                <w:szCs w:val="18"/>
                <w:lang w:val="en-GB"/>
              </w:rPr>
              <w:t>7</w:t>
            </w:r>
          </w:p>
        </w:tc>
        <w:tc>
          <w:tcPr>
            <w:tcW w:w="1087" w:type="dxa"/>
            <w:shd w:val="clear" w:color="auto" w:fill="FFFFFF"/>
          </w:tcPr>
          <w:p w14:paraId="783CDE6D" w14:textId="77777777" w:rsidR="009D7C80" w:rsidRPr="00B57B36" w:rsidRDefault="009D7C80" w:rsidP="00853E73">
            <w:pPr>
              <w:pStyle w:val="CETBodytext"/>
              <w:ind w:right="-1"/>
              <w:rPr>
                <w:rFonts w:cs="Arial"/>
                <w:szCs w:val="18"/>
                <w:lang w:val="en-GB"/>
              </w:rPr>
            </w:pPr>
            <w:r>
              <w:rPr>
                <w:rFonts w:cs="Arial"/>
                <w:szCs w:val="18"/>
                <w:lang w:val="en-GB"/>
              </w:rPr>
              <w:t>34</w:t>
            </w:r>
          </w:p>
        </w:tc>
      </w:tr>
      <w:tr w:rsidR="009D7C80" w:rsidRPr="00B57B36" w14:paraId="29BB84D4" w14:textId="77777777" w:rsidTr="00853E73">
        <w:tc>
          <w:tcPr>
            <w:tcW w:w="1118" w:type="dxa"/>
            <w:shd w:val="clear" w:color="auto" w:fill="FFFFFF"/>
          </w:tcPr>
          <w:p w14:paraId="4960F660" w14:textId="77777777" w:rsidR="009D7C80" w:rsidRPr="00B57B36" w:rsidRDefault="009D7C80" w:rsidP="00853E73">
            <w:pPr>
              <w:pStyle w:val="CETBodytext"/>
              <w:ind w:right="-1"/>
              <w:rPr>
                <w:rFonts w:cs="Arial"/>
                <w:szCs w:val="18"/>
                <w:lang w:val="en-GB"/>
              </w:rPr>
            </w:pPr>
            <w:r>
              <w:rPr>
                <w:rFonts w:cs="Arial"/>
                <w:szCs w:val="18"/>
                <w:lang w:val="en-GB"/>
              </w:rPr>
              <w:t>S3</w:t>
            </w:r>
          </w:p>
        </w:tc>
        <w:tc>
          <w:tcPr>
            <w:tcW w:w="1102" w:type="dxa"/>
            <w:shd w:val="clear" w:color="auto" w:fill="FFFFFF"/>
          </w:tcPr>
          <w:p w14:paraId="27D8934C" w14:textId="77777777" w:rsidR="009D7C80" w:rsidRPr="00B57B36" w:rsidRDefault="009D7C80" w:rsidP="00853E73">
            <w:pPr>
              <w:pStyle w:val="CETBodytext"/>
              <w:ind w:right="-1"/>
              <w:rPr>
                <w:rFonts w:cs="Arial"/>
                <w:szCs w:val="18"/>
                <w:lang w:val="en-GB"/>
              </w:rPr>
            </w:pPr>
            <w:r>
              <w:rPr>
                <w:rFonts w:cs="Arial"/>
                <w:szCs w:val="18"/>
                <w:lang w:val="en-GB"/>
              </w:rPr>
              <w:t>59</w:t>
            </w:r>
          </w:p>
        </w:tc>
        <w:tc>
          <w:tcPr>
            <w:tcW w:w="1102" w:type="dxa"/>
            <w:shd w:val="clear" w:color="auto" w:fill="FFFFFF"/>
          </w:tcPr>
          <w:p w14:paraId="3A979CF5" w14:textId="77777777" w:rsidR="009D7C80" w:rsidRPr="00B57B36" w:rsidRDefault="009D7C80" w:rsidP="00853E73">
            <w:pPr>
              <w:pStyle w:val="CETBodytext"/>
              <w:ind w:right="-1"/>
              <w:rPr>
                <w:rFonts w:cs="Arial"/>
                <w:szCs w:val="18"/>
                <w:lang w:val="en-GB"/>
              </w:rPr>
            </w:pPr>
            <w:r>
              <w:rPr>
                <w:rFonts w:cs="Arial"/>
                <w:szCs w:val="18"/>
                <w:lang w:val="en-GB"/>
              </w:rPr>
              <w:t>6</w:t>
            </w:r>
          </w:p>
        </w:tc>
        <w:tc>
          <w:tcPr>
            <w:tcW w:w="1102" w:type="dxa"/>
            <w:shd w:val="clear" w:color="auto" w:fill="FFFFFF"/>
          </w:tcPr>
          <w:p w14:paraId="656D2E61" w14:textId="77777777" w:rsidR="009D7C80" w:rsidRPr="00B57B36" w:rsidRDefault="009D7C80" w:rsidP="00853E73">
            <w:pPr>
              <w:pStyle w:val="CETBodytext"/>
              <w:ind w:right="-1"/>
              <w:rPr>
                <w:rFonts w:cs="Arial"/>
                <w:szCs w:val="18"/>
                <w:lang w:val="en-GB"/>
              </w:rPr>
            </w:pPr>
            <w:r>
              <w:rPr>
                <w:rFonts w:cs="Arial"/>
                <w:szCs w:val="18"/>
                <w:lang w:val="en-GB"/>
              </w:rPr>
              <w:t>0</w:t>
            </w:r>
          </w:p>
        </w:tc>
        <w:tc>
          <w:tcPr>
            <w:tcW w:w="1087" w:type="dxa"/>
            <w:shd w:val="clear" w:color="auto" w:fill="FFFFFF"/>
          </w:tcPr>
          <w:p w14:paraId="2899351A" w14:textId="77777777" w:rsidR="009D7C80" w:rsidRPr="00B57B36" w:rsidRDefault="009D7C80" w:rsidP="00853E73">
            <w:pPr>
              <w:pStyle w:val="CETBodytext"/>
              <w:ind w:right="-1"/>
              <w:rPr>
                <w:rFonts w:cs="Arial"/>
                <w:szCs w:val="18"/>
                <w:lang w:val="en-GB"/>
              </w:rPr>
            </w:pPr>
            <w:r>
              <w:rPr>
                <w:rFonts w:cs="Arial"/>
                <w:szCs w:val="18"/>
                <w:lang w:val="en-GB"/>
              </w:rPr>
              <w:t>22</w:t>
            </w:r>
          </w:p>
        </w:tc>
        <w:tc>
          <w:tcPr>
            <w:tcW w:w="1087" w:type="dxa"/>
            <w:shd w:val="clear" w:color="auto" w:fill="FFFFFF"/>
          </w:tcPr>
          <w:p w14:paraId="1896F593" w14:textId="77777777" w:rsidR="009D7C80" w:rsidRPr="00B57B36" w:rsidRDefault="009D7C80" w:rsidP="00853E73">
            <w:pPr>
              <w:pStyle w:val="CETBodytext"/>
              <w:ind w:right="-1"/>
              <w:rPr>
                <w:rFonts w:cs="Arial"/>
                <w:szCs w:val="18"/>
                <w:lang w:val="en-GB"/>
              </w:rPr>
            </w:pPr>
            <w:r>
              <w:rPr>
                <w:rFonts w:cs="Arial"/>
                <w:szCs w:val="18"/>
                <w:lang w:val="en-GB"/>
              </w:rPr>
              <w:t>13</w:t>
            </w:r>
          </w:p>
        </w:tc>
        <w:tc>
          <w:tcPr>
            <w:tcW w:w="1087" w:type="dxa"/>
            <w:shd w:val="clear" w:color="auto" w:fill="FFFFFF"/>
          </w:tcPr>
          <w:p w14:paraId="7257B4AF" w14:textId="77777777" w:rsidR="009D7C80" w:rsidRPr="00B57B36" w:rsidRDefault="009D7C80" w:rsidP="00853E73">
            <w:pPr>
              <w:pStyle w:val="CETBodytext"/>
              <w:ind w:right="-1"/>
              <w:rPr>
                <w:rFonts w:cs="Arial"/>
                <w:szCs w:val="18"/>
                <w:lang w:val="en-GB"/>
              </w:rPr>
            </w:pPr>
            <w:r>
              <w:rPr>
                <w:rFonts w:cs="Arial"/>
                <w:szCs w:val="18"/>
                <w:lang w:val="en-GB"/>
              </w:rPr>
              <w:t>24</w:t>
            </w:r>
          </w:p>
        </w:tc>
      </w:tr>
    </w:tbl>
    <w:p w14:paraId="6CAB7D01" w14:textId="77777777" w:rsidR="009D7C80" w:rsidRDefault="009D7C80" w:rsidP="009D7C80">
      <w:pPr>
        <w:pStyle w:val="CETListbullets"/>
        <w:ind w:left="0" w:firstLine="0"/>
      </w:pPr>
    </w:p>
    <w:p w14:paraId="1E296C26" w14:textId="4340174E" w:rsidR="00A30AC7" w:rsidRPr="00B57B36" w:rsidRDefault="00CF513E" w:rsidP="009D7C80">
      <w:pPr>
        <w:pStyle w:val="CETListbullets"/>
        <w:ind w:left="0" w:firstLine="0"/>
      </w:pPr>
      <w:r>
        <w:t xml:space="preserve">Consistent </w:t>
      </w:r>
      <w:r w:rsidR="0038656A">
        <w:t xml:space="preserve">with TGA </w:t>
      </w:r>
      <w:r>
        <w:t>findings,</w:t>
      </w:r>
      <w:r w:rsidR="0038656A">
        <w:t xml:space="preserve"> sample 1</w:t>
      </w:r>
      <w:r>
        <w:t xml:space="preserve"> exhibited the highest ash content, whereas sample 2 has the lowest one and the </w:t>
      </w:r>
      <w:r w:rsidR="0038656A">
        <w:t>highest carbon and hydrogen</w:t>
      </w:r>
      <w:r>
        <w:t xml:space="preserve"> percentages</w:t>
      </w:r>
      <w:r w:rsidR="0038656A">
        <w:t xml:space="preserve">. </w:t>
      </w:r>
      <w:r>
        <w:t xml:space="preserve">Consequently, the LHV was calculated to be </w:t>
      </w:r>
      <w:r w:rsidR="0038656A">
        <w:t xml:space="preserve">34 MJ/kg </w:t>
      </w:r>
      <w:r>
        <w:t>for</w:t>
      </w:r>
      <w:r w:rsidR="0038656A">
        <w:t xml:space="preserve"> sample 2, 23 MJ/kg for sample 1 and 24 MJ/kg for sample 3. The</w:t>
      </w:r>
      <w:r>
        <w:t xml:space="preserve">se </w:t>
      </w:r>
      <w:r w:rsidR="0038656A">
        <w:t xml:space="preserve">values </w:t>
      </w:r>
      <w:r>
        <w:t xml:space="preserve">underscore the importance of </w:t>
      </w:r>
      <w:r w:rsidR="0038656A">
        <w:t>recycl</w:t>
      </w:r>
      <w:r>
        <w:t>ing</w:t>
      </w:r>
      <w:r w:rsidR="0038656A">
        <w:t xml:space="preserve"> PSW </w:t>
      </w:r>
      <w:r>
        <w:t>to employ</w:t>
      </w:r>
      <w:r w:rsidR="0038656A">
        <w:t xml:space="preserve"> its energy content.</w:t>
      </w:r>
    </w:p>
    <w:p w14:paraId="1F96CA21" w14:textId="7DB0318D" w:rsidR="00600535" w:rsidRDefault="009D7C80" w:rsidP="00FA5F5F">
      <w:pPr>
        <w:pStyle w:val="CETheadingx"/>
      </w:pPr>
      <w:r>
        <w:t>Co-product yields and characterization</w:t>
      </w:r>
    </w:p>
    <w:p w14:paraId="181D021F" w14:textId="084B8299" w:rsidR="00BD2C1E" w:rsidRPr="00BD2C1E" w:rsidRDefault="00BD2C1E" w:rsidP="00BD2C1E">
      <w:pPr>
        <w:pStyle w:val="CETBodytext"/>
      </w:pPr>
      <w:r>
        <w:t xml:space="preserve">In this </w:t>
      </w:r>
      <w:r w:rsidR="0087204C">
        <w:t>section,</w:t>
      </w:r>
      <w:r>
        <w:t xml:space="preserve"> the main results </w:t>
      </w:r>
      <w:r w:rsidR="0087204C">
        <w:t>concerning</w:t>
      </w:r>
      <w:r>
        <w:t xml:space="preserve"> the co-products</w:t>
      </w:r>
      <w:r w:rsidR="0087204C">
        <w:t xml:space="preserve"> are collected,</w:t>
      </w:r>
      <w:r>
        <w:t xml:space="preserve"> starting </w:t>
      </w:r>
      <w:r w:rsidR="0087204C">
        <w:t>with</w:t>
      </w:r>
      <w:r>
        <w:t xml:space="preserve"> their yields (Figure 5).</w:t>
      </w:r>
    </w:p>
    <w:p w14:paraId="52DAFDE0" w14:textId="283A106D" w:rsidR="001D0CFB" w:rsidRDefault="001131B4" w:rsidP="00F31AE5">
      <w:pPr>
        <w:pStyle w:val="CETBodytext"/>
        <w:rPr>
          <w:lang w:val="en-GB"/>
        </w:rPr>
      </w:pPr>
      <w:r>
        <w:rPr>
          <w:noProof/>
          <w:lang w:val="en-GB"/>
        </w:rPr>
        <w:lastRenderedPageBreak/>
        <w:drawing>
          <wp:inline distT="0" distB="0" distL="0" distR="0" wp14:anchorId="2A4177FC" wp14:editId="27209501">
            <wp:extent cx="3224756" cy="1404000"/>
            <wp:effectExtent l="0" t="0" r="0" b="5715"/>
            <wp:docPr id="68411002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4756" cy="1404000"/>
                    </a:xfrm>
                    <a:prstGeom prst="rect">
                      <a:avLst/>
                    </a:prstGeom>
                    <a:noFill/>
                  </pic:spPr>
                </pic:pic>
              </a:graphicData>
            </a:graphic>
          </wp:inline>
        </w:drawing>
      </w:r>
    </w:p>
    <w:p w14:paraId="2D5BD181" w14:textId="18E82750" w:rsidR="001131B4" w:rsidRDefault="001131B4" w:rsidP="001131B4">
      <w:pPr>
        <w:pStyle w:val="CETCaption"/>
        <w:rPr>
          <w:rStyle w:val="CETCaptionCarattere"/>
          <w:i/>
        </w:rPr>
      </w:pPr>
      <w:r w:rsidRPr="00BD077D">
        <w:rPr>
          <w:rStyle w:val="CETCaptionCarattere"/>
          <w:i/>
        </w:rPr>
        <w:t xml:space="preserve">Figure </w:t>
      </w:r>
      <w:r>
        <w:rPr>
          <w:rStyle w:val="CETCaptionCarattere"/>
          <w:i/>
        </w:rPr>
        <w:t>5</w:t>
      </w:r>
      <w:r w:rsidRPr="00BD077D">
        <w:rPr>
          <w:rStyle w:val="CETCaptionCarattere"/>
          <w:i/>
        </w:rPr>
        <w:t>:</w:t>
      </w:r>
      <w:r>
        <w:rPr>
          <w:rStyle w:val="CETCaptionCarattere"/>
          <w:i/>
        </w:rPr>
        <w:t xml:space="preserve"> Co-product yields from pyrolysis test</w:t>
      </w:r>
      <w:r w:rsidR="0011402D">
        <w:rPr>
          <w:rStyle w:val="CETCaptionCarattere"/>
          <w:i/>
        </w:rPr>
        <w:t>s</w:t>
      </w:r>
      <w:r>
        <w:rPr>
          <w:rStyle w:val="CETCaptionCarattere"/>
          <w:i/>
        </w:rPr>
        <w:t xml:space="preserve"> of</w:t>
      </w:r>
      <w:r w:rsidRPr="00830D08">
        <w:rPr>
          <w:rStyle w:val="CETCaptionCarattere"/>
          <w:i/>
        </w:rPr>
        <w:t xml:space="preserve"> (a) </w:t>
      </w:r>
      <w:r>
        <w:rPr>
          <w:rStyle w:val="CETCaptionCarattere"/>
          <w:i/>
        </w:rPr>
        <w:t>sample 1,</w:t>
      </w:r>
      <w:r w:rsidRPr="00830D08">
        <w:rPr>
          <w:rStyle w:val="CETCaptionCarattere"/>
          <w:i/>
        </w:rPr>
        <w:t xml:space="preserve"> (b)</w:t>
      </w:r>
      <w:r>
        <w:rPr>
          <w:rStyle w:val="CETCaptionCarattere"/>
          <w:i/>
        </w:rPr>
        <w:t xml:space="preserve"> sample 2, and (c) sample 3.</w:t>
      </w:r>
    </w:p>
    <w:p w14:paraId="26B3C492" w14:textId="6A911429" w:rsidR="007D1799" w:rsidRDefault="00BD2C1E" w:rsidP="00F31AE5">
      <w:pPr>
        <w:pStyle w:val="CETBodytext"/>
        <w:rPr>
          <w:lang w:val="en-GB"/>
        </w:rPr>
      </w:pPr>
      <w:r>
        <w:t xml:space="preserve">Figure 5 </w:t>
      </w:r>
      <w:r w:rsidR="007D1799">
        <w:t>illustrates</w:t>
      </w:r>
      <w:r>
        <w:t xml:space="preserve"> the co-product</w:t>
      </w:r>
      <w:r w:rsidRPr="00BD2C1E">
        <w:t xml:space="preserve"> yield</w:t>
      </w:r>
      <w:r>
        <w:t xml:space="preserve">s obtained </w:t>
      </w:r>
      <w:r w:rsidR="007D1799">
        <w:t>from processing</w:t>
      </w:r>
      <w:r>
        <w:t xml:space="preserve"> each sample into the batch setup.</w:t>
      </w:r>
      <w:r w:rsidRPr="00BD2C1E">
        <w:t xml:space="preserve"> </w:t>
      </w:r>
      <w:r w:rsidR="00FB5A15">
        <w:t xml:space="preserve">In detail, from left to right, the three charts represent the </w:t>
      </w:r>
      <w:r w:rsidR="007D1799">
        <w:t xml:space="preserve">distribution of </w:t>
      </w:r>
      <w:r w:rsidR="00FB5A15">
        <w:t xml:space="preserve">co-products </w:t>
      </w:r>
      <w:r w:rsidR="007D1799">
        <w:t>resulting</w:t>
      </w:r>
      <w:r w:rsidR="00FB5A15">
        <w:t xml:space="preserve"> from</w:t>
      </w:r>
      <w:r w:rsidR="007D1799">
        <w:t xml:space="preserve"> the</w:t>
      </w:r>
      <w:r w:rsidR="00FB5A15">
        <w:t xml:space="preserve"> pyrolysis of samples 1, 2 and 3</w:t>
      </w:r>
      <w:r w:rsidR="007D1799">
        <w:t>, respectively</w:t>
      </w:r>
      <w:r w:rsidR="00FB5A15">
        <w:t xml:space="preserve">. </w:t>
      </w:r>
      <w:r w:rsidR="007D1799">
        <w:t>Focusing on</w:t>
      </w:r>
      <w:r w:rsidRPr="00BD2C1E">
        <w:t xml:space="preserve"> the gas fraction,</w:t>
      </w:r>
      <w:r w:rsidR="007D1799">
        <w:t xml:space="preserve"> depicted in</w:t>
      </w:r>
      <w:r w:rsidRPr="00BD2C1E">
        <w:t xml:space="preserve"> </w:t>
      </w:r>
      <w:r w:rsidR="0011402D">
        <w:t>orange</w:t>
      </w:r>
      <w:r w:rsidRPr="00BD2C1E">
        <w:t xml:space="preserve">, </w:t>
      </w:r>
      <w:r w:rsidR="007D1799">
        <w:t xml:space="preserve">sample 2 exhibits </w:t>
      </w:r>
      <w:r w:rsidRPr="00BD2C1E">
        <w:t>the highest value</w:t>
      </w:r>
      <w:r w:rsidR="007D1799">
        <w:t>, while sample 1 shows the lowest.</w:t>
      </w:r>
      <w:r w:rsidRPr="00BD2C1E">
        <w:t xml:space="preserve"> A similar trend characterized the oil fraction </w:t>
      </w:r>
      <w:r w:rsidR="006B2B92">
        <w:t>(</w:t>
      </w:r>
      <w:r w:rsidRPr="00BD2C1E">
        <w:t>grey</w:t>
      </w:r>
      <w:r w:rsidR="006B2B92">
        <w:t xml:space="preserve"> in Figure 5)</w:t>
      </w:r>
      <w:r w:rsidRPr="00BD2C1E">
        <w:t xml:space="preserve">. </w:t>
      </w:r>
      <w:r w:rsidR="007D1799">
        <w:t>Conversely</w:t>
      </w:r>
      <w:r w:rsidRPr="00BD2C1E">
        <w:t>, the solid co-products</w:t>
      </w:r>
      <w:r w:rsidR="007D1799">
        <w:t xml:space="preserve"> display a different pattern</w:t>
      </w:r>
      <w:r w:rsidRPr="00BD2C1E">
        <w:t>,</w:t>
      </w:r>
      <w:r w:rsidR="007D1799">
        <w:t xml:space="preserve"> i.e., </w:t>
      </w:r>
      <w:r w:rsidRPr="00BD2C1E">
        <w:t xml:space="preserve">the highest value is </w:t>
      </w:r>
      <w:r w:rsidR="007D1799">
        <w:t>pointed out</w:t>
      </w:r>
      <w:r w:rsidRPr="00BD2C1E">
        <w:t xml:space="preserve"> for s</w:t>
      </w:r>
      <w:r w:rsidR="007D1799">
        <w:t>ample</w:t>
      </w:r>
      <w:r w:rsidRPr="00BD2C1E">
        <w:t xml:space="preserve"> 1, the middle value for s</w:t>
      </w:r>
      <w:r w:rsidR="007D1799">
        <w:t>ample</w:t>
      </w:r>
      <w:r w:rsidRPr="00BD2C1E">
        <w:t xml:space="preserve"> 3, and the lowest one for s</w:t>
      </w:r>
      <w:r w:rsidR="007D1799">
        <w:t>ample</w:t>
      </w:r>
      <w:r w:rsidRPr="00BD2C1E">
        <w:t xml:space="preserve"> 2. These </w:t>
      </w:r>
      <w:r w:rsidR="007D1799">
        <w:t>findings</w:t>
      </w:r>
      <w:r w:rsidRPr="00BD2C1E">
        <w:t xml:space="preserve"> </w:t>
      </w:r>
      <w:r w:rsidR="007D1799">
        <w:t>aligned with waste characterization results,</w:t>
      </w:r>
      <w:r w:rsidRPr="00BD2C1E">
        <w:t xml:space="preserve"> </w:t>
      </w:r>
      <w:r w:rsidR="007F2ED3">
        <w:t>from which</w:t>
      </w:r>
      <w:r w:rsidRPr="00BD2C1E">
        <w:t xml:space="preserve"> </w:t>
      </w:r>
      <w:r w:rsidR="007D1799">
        <w:t xml:space="preserve">sample 2 demonstrated </w:t>
      </w:r>
      <w:r w:rsidRPr="00BD2C1E">
        <w:t>the highest content of C and H</w:t>
      </w:r>
      <w:r w:rsidR="007D1799">
        <w:t>,</w:t>
      </w:r>
      <w:r w:rsidRPr="00BD2C1E">
        <w:t xml:space="preserve"> and </w:t>
      </w:r>
      <w:r w:rsidR="007D1799" w:rsidRPr="007D1799">
        <w:rPr>
          <w:lang w:val="en-GB"/>
        </w:rPr>
        <w:t>sample 1 had the greatest amount of inert material.</w:t>
      </w:r>
      <w:r w:rsidR="00895FA5">
        <w:rPr>
          <w:lang w:val="en-GB"/>
        </w:rPr>
        <w:t xml:space="preserve"> Indeed, considering that the entire number of metals remains into the solid 1 without volatilizing, the sample with the highest A is also the sample that produces the highest solid 1. </w:t>
      </w:r>
      <w:r w:rsidR="005E33E5">
        <w:rPr>
          <w:lang w:val="en-GB"/>
        </w:rPr>
        <w:t>As well as</w:t>
      </w:r>
      <w:r w:rsidR="00895FA5">
        <w:rPr>
          <w:lang w:val="en-GB"/>
        </w:rPr>
        <w:t xml:space="preserve"> the sample with the highest C and H is the sample that produces the highest </w:t>
      </w:r>
      <w:r w:rsidR="005E33E5">
        <w:rPr>
          <w:lang w:val="en-GB"/>
        </w:rPr>
        <w:t>hydrocarbons.</w:t>
      </w:r>
    </w:p>
    <w:p w14:paraId="74554C0E" w14:textId="7629EFD4" w:rsidR="00F15162" w:rsidRDefault="0087204C" w:rsidP="00F31AE5">
      <w:pPr>
        <w:pStyle w:val="CETBodytext"/>
        <w:rPr>
          <w:lang w:val="en-GB"/>
        </w:rPr>
      </w:pPr>
      <w:r>
        <w:rPr>
          <w:rFonts w:eastAsiaTheme="minorEastAsia"/>
        </w:rPr>
        <w:t>Beyond quantification, the co-products were also characterized</w:t>
      </w:r>
      <w:r w:rsidR="00F15162" w:rsidRPr="00657DB9">
        <w:rPr>
          <w:rFonts w:eastAsiaTheme="minorEastAsia"/>
        </w:rPr>
        <w:t xml:space="preserve">. </w:t>
      </w:r>
      <w:r w:rsidR="00F15162">
        <w:rPr>
          <w:rFonts w:eastAsiaTheme="minorEastAsia"/>
        </w:rPr>
        <w:t>T</w:t>
      </w:r>
      <w:r w:rsidR="00F15162" w:rsidRPr="00657DB9">
        <w:rPr>
          <w:rFonts w:eastAsiaTheme="minorEastAsia"/>
        </w:rPr>
        <w:t>he</w:t>
      </w:r>
      <w:r w:rsidR="00F15162">
        <w:rPr>
          <w:rFonts w:eastAsiaTheme="minorEastAsia"/>
        </w:rPr>
        <w:t xml:space="preserve"> gas</w:t>
      </w:r>
      <w:r w:rsidR="00F15162" w:rsidRPr="00657DB9">
        <w:rPr>
          <w:rFonts w:eastAsiaTheme="minorEastAsia"/>
        </w:rPr>
        <w:t xml:space="preserve"> volumetric composition </w:t>
      </w:r>
      <w:r>
        <w:rPr>
          <w:rFonts w:eastAsiaTheme="minorEastAsia"/>
        </w:rPr>
        <w:t>is presented</w:t>
      </w:r>
      <w:r w:rsidR="00F15162">
        <w:rPr>
          <w:rFonts w:eastAsiaTheme="minorEastAsia"/>
        </w:rPr>
        <w:t xml:space="preserve"> in Figure 6</w:t>
      </w:r>
      <w:r w:rsidR="0003165B">
        <w:rPr>
          <w:rFonts w:eastAsiaTheme="minorEastAsia"/>
        </w:rPr>
        <w:t xml:space="preserve"> for the three samples</w:t>
      </w:r>
      <w:r w:rsidR="00F15162">
        <w:rPr>
          <w:rFonts w:eastAsiaTheme="minorEastAsia"/>
        </w:rPr>
        <w:t>.</w:t>
      </w:r>
    </w:p>
    <w:p w14:paraId="5D33D440" w14:textId="021625C6" w:rsidR="001131B4" w:rsidRDefault="00354EB8" w:rsidP="00F31AE5">
      <w:pPr>
        <w:pStyle w:val="CETBodytext"/>
        <w:rPr>
          <w:lang w:val="en-GB"/>
        </w:rPr>
      </w:pPr>
      <w:r>
        <w:rPr>
          <w:noProof/>
          <w:lang w:val="en-GB"/>
        </w:rPr>
        <w:drawing>
          <wp:inline distT="0" distB="0" distL="0" distR="0" wp14:anchorId="763E6C18" wp14:editId="3046E543">
            <wp:extent cx="3389117" cy="1188000"/>
            <wp:effectExtent l="0" t="0" r="0" b="0"/>
            <wp:docPr id="148906638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9117" cy="1188000"/>
                    </a:xfrm>
                    <a:prstGeom prst="rect">
                      <a:avLst/>
                    </a:prstGeom>
                    <a:noFill/>
                  </pic:spPr>
                </pic:pic>
              </a:graphicData>
            </a:graphic>
          </wp:inline>
        </w:drawing>
      </w:r>
    </w:p>
    <w:p w14:paraId="29D759E6" w14:textId="332B883D" w:rsidR="00354EB8" w:rsidRDefault="00354EB8" w:rsidP="00354EB8">
      <w:pPr>
        <w:pStyle w:val="CETCaption"/>
        <w:rPr>
          <w:rStyle w:val="CETCaptionCarattere"/>
          <w:i/>
        </w:rPr>
      </w:pPr>
      <w:r w:rsidRPr="00BD077D">
        <w:rPr>
          <w:rStyle w:val="CETCaptionCarattere"/>
          <w:i/>
        </w:rPr>
        <w:t xml:space="preserve">Figure </w:t>
      </w:r>
      <w:r>
        <w:rPr>
          <w:rStyle w:val="CETCaptionCarattere"/>
          <w:i/>
        </w:rPr>
        <w:t>6</w:t>
      </w:r>
      <w:r w:rsidRPr="00BD077D">
        <w:rPr>
          <w:rStyle w:val="CETCaptionCarattere"/>
          <w:i/>
        </w:rPr>
        <w:t>:</w:t>
      </w:r>
      <w:r>
        <w:rPr>
          <w:rStyle w:val="CETCaptionCarattere"/>
          <w:i/>
        </w:rPr>
        <w:t xml:space="preserve"> Gas volumetric composition produced by sample 1, sample 2 and sample 3 pyrolysis.</w:t>
      </w:r>
    </w:p>
    <w:p w14:paraId="0E66370C" w14:textId="44FAB306" w:rsidR="00657DB9" w:rsidRDefault="0087204C" w:rsidP="00657DB9">
      <w:pPr>
        <w:pStyle w:val="CETBodytext"/>
        <w:rPr>
          <w:rFonts w:eastAsiaTheme="minorEastAsia"/>
        </w:rPr>
      </w:pPr>
      <w:r>
        <w:rPr>
          <w:rFonts w:eastAsiaTheme="minorEastAsia"/>
        </w:rPr>
        <w:t xml:space="preserve">The analysis </w:t>
      </w:r>
      <w:r w:rsidR="00B93E05">
        <w:rPr>
          <w:rFonts w:eastAsiaTheme="minorEastAsia"/>
        </w:rPr>
        <w:t xml:space="preserve">reveals that sample 2 produces the gas with </w:t>
      </w:r>
      <w:r w:rsidR="00657DB9" w:rsidRPr="00657DB9">
        <w:rPr>
          <w:rFonts w:eastAsiaTheme="minorEastAsia"/>
        </w:rPr>
        <w:t>the highest content of hydrogen</w:t>
      </w:r>
      <w:r w:rsidR="0003165B">
        <w:rPr>
          <w:rFonts w:eastAsiaTheme="minorEastAsia"/>
        </w:rPr>
        <w:t xml:space="preserve"> and </w:t>
      </w:r>
      <w:r w:rsidR="00F15162">
        <w:rPr>
          <w:rFonts w:eastAsiaTheme="minorEastAsia"/>
        </w:rPr>
        <w:t xml:space="preserve">light </w:t>
      </w:r>
      <w:r w:rsidR="00657DB9" w:rsidRPr="00657DB9">
        <w:rPr>
          <w:rFonts w:eastAsiaTheme="minorEastAsia"/>
        </w:rPr>
        <w:t>hydrocarbons,</w:t>
      </w:r>
      <w:r w:rsidR="0003165B">
        <w:rPr>
          <w:rFonts w:eastAsiaTheme="minorEastAsia"/>
        </w:rPr>
        <w:t xml:space="preserve"> calculated as the summatory of CH</w:t>
      </w:r>
      <w:r w:rsidR="0003165B">
        <w:rPr>
          <w:rFonts w:eastAsiaTheme="minorEastAsia"/>
          <w:vertAlign w:val="subscript"/>
        </w:rPr>
        <w:t>4</w:t>
      </w:r>
      <w:r w:rsidR="0003165B">
        <w:rPr>
          <w:rFonts w:eastAsiaTheme="minorEastAsia"/>
        </w:rPr>
        <w:t>, C</w:t>
      </w:r>
      <w:r w:rsidR="0003165B">
        <w:rPr>
          <w:rFonts w:eastAsiaTheme="minorEastAsia"/>
          <w:vertAlign w:val="subscript"/>
        </w:rPr>
        <w:t>2</w:t>
      </w:r>
      <w:r w:rsidR="0003165B">
        <w:rPr>
          <w:rFonts w:eastAsiaTheme="minorEastAsia"/>
        </w:rPr>
        <w:t>H</w:t>
      </w:r>
      <w:r w:rsidR="0003165B">
        <w:rPr>
          <w:rFonts w:eastAsiaTheme="minorEastAsia"/>
          <w:vertAlign w:val="subscript"/>
        </w:rPr>
        <w:t>4</w:t>
      </w:r>
      <w:r w:rsidR="0003165B">
        <w:rPr>
          <w:rFonts w:eastAsiaTheme="minorEastAsia"/>
        </w:rPr>
        <w:t>, C</w:t>
      </w:r>
      <w:r w:rsidR="0003165B">
        <w:rPr>
          <w:rFonts w:eastAsiaTheme="minorEastAsia"/>
          <w:vertAlign w:val="subscript"/>
        </w:rPr>
        <w:t>2</w:t>
      </w:r>
      <w:r w:rsidR="0003165B">
        <w:rPr>
          <w:rFonts w:eastAsiaTheme="minorEastAsia"/>
        </w:rPr>
        <w:t>H</w:t>
      </w:r>
      <w:r w:rsidR="0003165B">
        <w:rPr>
          <w:rFonts w:eastAsiaTheme="minorEastAsia"/>
          <w:vertAlign w:val="subscript"/>
        </w:rPr>
        <w:t>6</w:t>
      </w:r>
      <w:r w:rsidR="0003165B">
        <w:rPr>
          <w:rFonts w:eastAsiaTheme="minorEastAsia"/>
        </w:rPr>
        <w:t>, C</w:t>
      </w:r>
      <w:r w:rsidR="0003165B">
        <w:rPr>
          <w:rFonts w:eastAsiaTheme="minorEastAsia"/>
          <w:vertAlign w:val="subscript"/>
        </w:rPr>
        <w:t>2</w:t>
      </w:r>
      <w:r w:rsidR="0003165B">
        <w:rPr>
          <w:rFonts w:eastAsiaTheme="minorEastAsia"/>
        </w:rPr>
        <w:t>H</w:t>
      </w:r>
      <w:r w:rsidR="0003165B">
        <w:rPr>
          <w:rFonts w:eastAsiaTheme="minorEastAsia"/>
          <w:vertAlign w:val="subscript"/>
        </w:rPr>
        <w:t>2</w:t>
      </w:r>
      <w:r w:rsidR="0003165B">
        <w:rPr>
          <w:rFonts w:eastAsiaTheme="minorEastAsia"/>
        </w:rPr>
        <w:t>, and C</w:t>
      </w:r>
      <w:r w:rsidR="0003165B">
        <w:rPr>
          <w:rFonts w:eastAsiaTheme="minorEastAsia"/>
          <w:vertAlign w:val="subscript"/>
        </w:rPr>
        <w:t>3</w:t>
      </w:r>
      <w:r w:rsidR="0003165B">
        <w:rPr>
          <w:rFonts w:eastAsiaTheme="minorEastAsia"/>
        </w:rPr>
        <w:t xml:space="preserve">, while the pyrolysis gas from </w:t>
      </w:r>
      <w:r w:rsidR="00B93E05">
        <w:rPr>
          <w:rFonts w:eastAsiaTheme="minorEastAsia"/>
        </w:rPr>
        <w:t xml:space="preserve">sample 1 has </w:t>
      </w:r>
      <w:r w:rsidR="00657DB9" w:rsidRPr="00657DB9">
        <w:rPr>
          <w:rFonts w:eastAsiaTheme="minorEastAsia"/>
        </w:rPr>
        <w:t xml:space="preserve">the </w:t>
      </w:r>
      <w:r w:rsidR="00B93E05">
        <w:rPr>
          <w:rFonts w:eastAsiaTheme="minorEastAsia"/>
        </w:rPr>
        <w:t>most relevant</w:t>
      </w:r>
      <w:r w:rsidR="00657DB9" w:rsidRPr="00657DB9">
        <w:rPr>
          <w:rFonts w:eastAsiaTheme="minorEastAsia"/>
        </w:rPr>
        <w:t xml:space="preserve"> content</w:t>
      </w:r>
      <w:r w:rsidR="00F15162">
        <w:rPr>
          <w:rFonts w:eastAsiaTheme="minorEastAsia"/>
        </w:rPr>
        <w:t xml:space="preserve"> of heavy hydrocarbons</w:t>
      </w:r>
      <w:r w:rsidR="00050D6E">
        <w:rPr>
          <w:rFonts w:eastAsiaTheme="minorEastAsia"/>
        </w:rPr>
        <w:t xml:space="preserve"> (C</w:t>
      </w:r>
      <w:r w:rsidR="00050D6E">
        <w:rPr>
          <w:rFonts w:eastAsiaTheme="minorEastAsia"/>
          <w:vertAlign w:val="subscript"/>
        </w:rPr>
        <w:t>4</w:t>
      </w:r>
      <w:r w:rsidR="00050D6E">
        <w:rPr>
          <w:rFonts w:eastAsiaTheme="minorEastAsia"/>
        </w:rPr>
        <w:t>)</w:t>
      </w:r>
      <w:r w:rsidR="00F15162">
        <w:rPr>
          <w:rFonts w:eastAsiaTheme="minorEastAsia"/>
        </w:rPr>
        <w:t>, and the highest amount</w:t>
      </w:r>
      <w:r w:rsidR="00657DB9" w:rsidRPr="00657DB9">
        <w:rPr>
          <w:rFonts w:eastAsiaTheme="minorEastAsia"/>
        </w:rPr>
        <w:t xml:space="preserve"> of CO and CO</w:t>
      </w:r>
      <w:r w:rsidR="00657DB9" w:rsidRPr="00F15162">
        <w:rPr>
          <w:rFonts w:eastAsiaTheme="minorEastAsia"/>
          <w:vertAlign w:val="subscript"/>
        </w:rPr>
        <w:t>2</w:t>
      </w:r>
      <w:r w:rsidR="00657DB9" w:rsidRPr="00657DB9">
        <w:rPr>
          <w:rFonts w:eastAsiaTheme="minorEastAsia"/>
        </w:rPr>
        <w:t xml:space="preserve"> </w:t>
      </w:r>
      <w:r w:rsidR="00050D6E">
        <w:rPr>
          <w:rFonts w:eastAsiaTheme="minorEastAsia"/>
        </w:rPr>
        <w:t>are emitted</w:t>
      </w:r>
      <w:r w:rsidR="00B93E05">
        <w:rPr>
          <w:rFonts w:eastAsiaTheme="minorEastAsia"/>
        </w:rPr>
        <w:t xml:space="preserve"> from</w:t>
      </w:r>
      <w:r w:rsidR="00657DB9" w:rsidRPr="00657DB9">
        <w:rPr>
          <w:rFonts w:eastAsiaTheme="minorEastAsia"/>
        </w:rPr>
        <w:t xml:space="preserve"> sample 3. </w:t>
      </w:r>
      <w:r w:rsidR="00050D6E">
        <w:rPr>
          <w:rFonts w:eastAsiaTheme="minorEastAsia"/>
        </w:rPr>
        <w:t>Consequently</w:t>
      </w:r>
      <w:r w:rsidR="00B93E05">
        <w:rPr>
          <w:rFonts w:eastAsiaTheme="minorEastAsia"/>
        </w:rPr>
        <w:t>,</w:t>
      </w:r>
      <w:r w:rsidR="00657DB9" w:rsidRPr="00657DB9">
        <w:rPr>
          <w:rFonts w:eastAsiaTheme="minorEastAsia"/>
        </w:rPr>
        <w:t xml:space="preserve"> the </w:t>
      </w:r>
      <w:r w:rsidR="00B93E05">
        <w:rPr>
          <w:rFonts w:eastAsiaTheme="minorEastAsia"/>
        </w:rPr>
        <w:t xml:space="preserve">gas </w:t>
      </w:r>
      <w:r w:rsidR="00657DB9" w:rsidRPr="00657DB9">
        <w:rPr>
          <w:rFonts w:eastAsiaTheme="minorEastAsia"/>
        </w:rPr>
        <w:t xml:space="preserve">LHV is </w:t>
      </w:r>
      <w:r w:rsidR="00F15162" w:rsidRPr="00657DB9">
        <w:rPr>
          <w:rFonts w:eastAsiaTheme="minorEastAsia"/>
        </w:rPr>
        <w:t>high</w:t>
      </w:r>
      <w:r w:rsidR="00050D6E">
        <w:rPr>
          <w:rFonts w:eastAsiaTheme="minorEastAsia"/>
        </w:rPr>
        <w:t>er</w:t>
      </w:r>
      <w:r w:rsidR="00657DB9" w:rsidRPr="00657DB9">
        <w:rPr>
          <w:rFonts w:eastAsiaTheme="minorEastAsia"/>
        </w:rPr>
        <w:t xml:space="preserve"> </w:t>
      </w:r>
      <w:r w:rsidR="00B93E05">
        <w:rPr>
          <w:rFonts w:eastAsiaTheme="minorEastAsia"/>
        </w:rPr>
        <w:t>for</w:t>
      </w:r>
      <w:r w:rsidR="00657DB9" w:rsidRPr="00657DB9">
        <w:rPr>
          <w:rFonts w:eastAsiaTheme="minorEastAsia"/>
        </w:rPr>
        <w:t xml:space="preserve"> sample</w:t>
      </w:r>
      <w:r w:rsidR="00F15162">
        <w:rPr>
          <w:rFonts w:eastAsiaTheme="minorEastAsia"/>
        </w:rPr>
        <w:t>s</w:t>
      </w:r>
      <w:r w:rsidR="00657DB9" w:rsidRPr="00657DB9">
        <w:rPr>
          <w:rFonts w:eastAsiaTheme="minorEastAsia"/>
        </w:rPr>
        <w:t xml:space="preserve"> 1 and 2,</w:t>
      </w:r>
      <w:r w:rsidR="00F15162">
        <w:rPr>
          <w:rFonts w:eastAsiaTheme="minorEastAsia"/>
        </w:rPr>
        <w:t xml:space="preserve"> </w:t>
      </w:r>
      <w:r w:rsidR="00B93E05">
        <w:rPr>
          <w:rFonts w:eastAsiaTheme="minorEastAsia"/>
        </w:rPr>
        <w:t xml:space="preserve">at </w:t>
      </w:r>
      <w:r w:rsidR="00F15162">
        <w:rPr>
          <w:rFonts w:eastAsiaTheme="minorEastAsia"/>
        </w:rPr>
        <w:t>40 and 41 MJ/kg, respectively</w:t>
      </w:r>
      <w:r w:rsidR="00470AAA">
        <w:rPr>
          <w:rFonts w:eastAsiaTheme="minorEastAsia"/>
        </w:rPr>
        <w:t>,</w:t>
      </w:r>
      <w:r w:rsidR="00657DB9" w:rsidRPr="00657DB9">
        <w:rPr>
          <w:rFonts w:eastAsiaTheme="minorEastAsia"/>
        </w:rPr>
        <w:t xml:space="preserve"> and low</w:t>
      </w:r>
      <w:r w:rsidR="00B93E05">
        <w:rPr>
          <w:rFonts w:eastAsiaTheme="minorEastAsia"/>
        </w:rPr>
        <w:t>er</w:t>
      </w:r>
      <w:r w:rsidR="00657DB9" w:rsidRPr="00657DB9">
        <w:rPr>
          <w:rFonts w:eastAsiaTheme="minorEastAsia"/>
        </w:rPr>
        <w:t xml:space="preserve"> for sample 3</w:t>
      </w:r>
      <w:r w:rsidR="00F15162">
        <w:rPr>
          <w:rFonts w:eastAsiaTheme="minorEastAsia"/>
        </w:rPr>
        <w:t xml:space="preserve">, </w:t>
      </w:r>
      <w:r w:rsidR="00B93E05">
        <w:rPr>
          <w:rFonts w:eastAsiaTheme="minorEastAsia"/>
        </w:rPr>
        <w:t>at</w:t>
      </w:r>
      <w:r w:rsidR="00F15162">
        <w:rPr>
          <w:rFonts w:eastAsiaTheme="minorEastAsia"/>
        </w:rPr>
        <w:t xml:space="preserve"> 32 MJ/kg</w:t>
      </w:r>
      <w:r w:rsidR="00657DB9" w:rsidRPr="00657DB9">
        <w:rPr>
          <w:rFonts w:eastAsiaTheme="minorEastAsia"/>
        </w:rPr>
        <w:t xml:space="preserve">. </w:t>
      </w:r>
      <w:r w:rsidR="00ED2699">
        <w:rPr>
          <w:rFonts w:eastAsiaTheme="minorEastAsia"/>
        </w:rPr>
        <w:t xml:space="preserve">Despite the variation in LHV, pyrolysis gases produce from </w:t>
      </w:r>
      <w:r w:rsidR="00491C4D">
        <w:rPr>
          <w:rFonts w:eastAsiaTheme="minorEastAsia"/>
        </w:rPr>
        <w:t xml:space="preserve">all the </w:t>
      </w:r>
      <w:r w:rsidR="00ED2699">
        <w:rPr>
          <w:rFonts w:eastAsiaTheme="minorEastAsia"/>
        </w:rPr>
        <w:t>real PSW samples</w:t>
      </w:r>
      <w:r w:rsidR="00491C4D">
        <w:rPr>
          <w:rFonts w:eastAsiaTheme="minorEastAsia"/>
        </w:rPr>
        <w:t xml:space="preserve"> tested in this study</w:t>
      </w:r>
      <w:r w:rsidR="00ED2699">
        <w:rPr>
          <w:rFonts w:eastAsiaTheme="minorEastAsia"/>
        </w:rPr>
        <w:t xml:space="preserve"> exhibit a high energy content which make them suitable for being used to replace fossil </w:t>
      </w:r>
      <w:r w:rsidR="00ED2699" w:rsidRPr="0040467D">
        <w:rPr>
          <w:rFonts w:eastAsiaTheme="minorEastAsia"/>
        </w:rPr>
        <w:t>fuels (Marchetti et al., 2024).</w:t>
      </w:r>
      <w:r w:rsidR="00ED2699">
        <w:rPr>
          <w:rFonts w:eastAsiaTheme="minorEastAsia"/>
        </w:rPr>
        <w:t xml:space="preserve"> </w:t>
      </w:r>
      <w:r w:rsidR="000269FC">
        <w:rPr>
          <w:rFonts w:eastAsiaTheme="minorEastAsia"/>
        </w:rPr>
        <w:t xml:space="preserve">Consequently, two important environmental issues can be solved, i.e., the </w:t>
      </w:r>
      <w:r w:rsidR="00F00E81">
        <w:rPr>
          <w:rFonts w:eastAsiaTheme="minorEastAsia"/>
        </w:rPr>
        <w:t>plastic waste disposal, and the use of fossil fuels.</w:t>
      </w:r>
    </w:p>
    <w:p w14:paraId="4CE97778" w14:textId="4160CBB9" w:rsidR="0024374F" w:rsidRPr="00657DB9" w:rsidRDefault="00461A0F" w:rsidP="00657DB9">
      <w:pPr>
        <w:pStyle w:val="CETBodytext"/>
        <w:rPr>
          <w:rStyle w:val="CETCaptionCarattere"/>
          <w:i w:val="0"/>
          <w:lang w:val="en-US"/>
        </w:rPr>
      </w:pPr>
      <w:r>
        <w:rPr>
          <w:rFonts w:eastAsiaTheme="minorEastAsia"/>
        </w:rPr>
        <w:t>However, the process also produces a liquid and a solid phase, and their c</w:t>
      </w:r>
      <w:r w:rsidR="00B93E05" w:rsidRPr="00B93E05">
        <w:rPr>
          <w:rFonts w:eastAsiaTheme="minorEastAsia"/>
        </w:rPr>
        <w:t>haracterization data are summarized in Table 2.</w:t>
      </w:r>
    </w:p>
    <w:p w14:paraId="7B3E3B83" w14:textId="746D3444" w:rsidR="0099450B" w:rsidRDefault="0099450B" w:rsidP="0099450B">
      <w:pPr>
        <w:pStyle w:val="CETTabletitle"/>
        <w:rPr>
          <w:rStyle w:val="CETCaptionCarattere"/>
          <w:i/>
        </w:rPr>
      </w:pPr>
      <w:r w:rsidRPr="00B57B36">
        <w:t xml:space="preserve">Table </w:t>
      </w:r>
      <w:r>
        <w:t>2</w:t>
      </w:r>
      <w:r w:rsidRPr="00B57B36">
        <w:t xml:space="preserve">: </w:t>
      </w:r>
      <w:r w:rsidR="00470AAA">
        <w:t>CHN</w:t>
      </w:r>
      <w:r>
        <w:t xml:space="preserve"> results and LHV</w:t>
      </w:r>
      <w:r w:rsidR="00470AAA">
        <w:t>s</w:t>
      </w:r>
      <w:r>
        <w:t xml:space="preserve"> of oil and solid 1 produced </w:t>
      </w:r>
      <w:r w:rsidR="00470AAA">
        <w:t>from</w:t>
      </w:r>
      <w:r>
        <w:t xml:space="preserve"> sample 1, sample 2 and sample 3.</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8"/>
        <w:gridCol w:w="1102"/>
        <w:gridCol w:w="1102"/>
        <w:gridCol w:w="1102"/>
        <w:gridCol w:w="1087"/>
        <w:gridCol w:w="1087"/>
        <w:gridCol w:w="1087"/>
      </w:tblGrid>
      <w:tr w:rsidR="00354EB8" w:rsidRPr="00B57B36" w14:paraId="7385F56C" w14:textId="77777777" w:rsidTr="00853E73">
        <w:tc>
          <w:tcPr>
            <w:tcW w:w="1118" w:type="dxa"/>
            <w:tcBorders>
              <w:top w:val="single" w:sz="12" w:space="0" w:color="008000"/>
              <w:bottom w:val="single" w:sz="6" w:space="0" w:color="008000"/>
            </w:tcBorders>
            <w:shd w:val="clear" w:color="auto" w:fill="FFFFFF"/>
          </w:tcPr>
          <w:p w14:paraId="4DCB33CC" w14:textId="77777777" w:rsidR="00354EB8" w:rsidRPr="00B57B36" w:rsidRDefault="00354EB8" w:rsidP="00853E73">
            <w:pPr>
              <w:pStyle w:val="CETBodytext"/>
              <w:rPr>
                <w:lang w:val="en-GB"/>
              </w:rPr>
            </w:pPr>
            <w:r>
              <w:rPr>
                <w:lang w:val="en-GB"/>
              </w:rPr>
              <w:t>Sample</w:t>
            </w:r>
            <w:r w:rsidRPr="00B57B36">
              <w:rPr>
                <w:lang w:val="en-GB"/>
              </w:rPr>
              <w:t xml:space="preserve"> </w:t>
            </w:r>
          </w:p>
        </w:tc>
        <w:tc>
          <w:tcPr>
            <w:tcW w:w="1102" w:type="dxa"/>
            <w:tcBorders>
              <w:top w:val="single" w:sz="12" w:space="0" w:color="008000"/>
              <w:bottom w:val="single" w:sz="6" w:space="0" w:color="008000"/>
            </w:tcBorders>
            <w:shd w:val="clear" w:color="auto" w:fill="FFFFFF"/>
          </w:tcPr>
          <w:p w14:paraId="078EE52A" w14:textId="77777777" w:rsidR="00354EB8" w:rsidRPr="00B57B36" w:rsidRDefault="00354EB8" w:rsidP="00853E73">
            <w:pPr>
              <w:pStyle w:val="CETBodytext"/>
              <w:rPr>
                <w:lang w:val="en-GB"/>
              </w:rPr>
            </w:pPr>
            <w:r>
              <w:rPr>
                <w:lang w:val="en-GB"/>
              </w:rPr>
              <w:t>C [% w/w]</w:t>
            </w:r>
          </w:p>
        </w:tc>
        <w:tc>
          <w:tcPr>
            <w:tcW w:w="1102" w:type="dxa"/>
            <w:tcBorders>
              <w:top w:val="single" w:sz="12" w:space="0" w:color="008000"/>
              <w:bottom w:val="single" w:sz="6" w:space="0" w:color="008000"/>
            </w:tcBorders>
            <w:shd w:val="clear" w:color="auto" w:fill="FFFFFF"/>
          </w:tcPr>
          <w:p w14:paraId="0FFA3DC0" w14:textId="77777777" w:rsidR="00354EB8" w:rsidRPr="00B57B36" w:rsidRDefault="00354EB8" w:rsidP="00853E73">
            <w:pPr>
              <w:pStyle w:val="CETBodytext"/>
              <w:rPr>
                <w:lang w:val="en-GB"/>
              </w:rPr>
            </w:pPr>
            <w:r>
              <w:rPr>
                <w:lang w:val="en-GB"/>
              </w:rPr>
              <w:t>H [% w/w]</w:t>
            </w:r>
          </w:p>
        </w:tc>
        <w:tc>
          <w:tcPr>
            <w:tcW w:w="1102" w:type="dxa"/>
            <w:tcBorders>
              <w:top w:val="single" w:sz="12" w:space="0" w:color="008000"/>
              <w:bottom w:val="single" w:sz="6" w:space="0" w:color="008000"/>
            </w:tcBorders>
            <w:shd w:val="clear" w:color="auto" w:fill="FFFFFF"/>
          </w:tcPr>
          <w:p w14:paraId="0E1F98CA" w14:textId="77777777" w:rsidR="00354EB8" w:rsidRPr="00B57B36" w:rsidRDefault="00354EB8" w:rsidP="00853E73">
            <w:pPr>
              <w:pStyle w:val="CETBodytext"/>
              <w:ind w:right="-1"/>
              <w:rPr>
                <w:rFonts w:cs="Arial"/>
                <w:szCs w:val="18"/>
                <w:lang w:val="en-GB"/>
              </w:rPr>
            </w:pPr>
            <w:r>
              <w:rPr>
                <w:rFonts w:cs="Arial"/>
                <w:szCs w:val="18"/>
                <w:lang w:val="en-GB"/>
              </w:rPr>
              <w:t xml:space="preserve">N </w:t>
            </w:r>
            <w:r>
              <w:rPr>
                <w:lang w:val="en-GB"/>
              </w:rPr>
              <w:t>[% w/w]</w:t>
            </w:r>
          </w:p>
        </w:tc>
        <w:tc>
          <w:tcPr>
            <w:tcW w:w="1087" w:type="dxa"/>
            <w:tcBorders>
              <w:top w:val="single" w:sz="12" w:space="0" w:color="008000"/>
              <w:bottom w:val="single" w:sz="6" w:space="0" w:color="008000"/>
            </w:tcBorders>
            <w:shd w:val="clear" w:color="auto" w:fill="FFFFFF"/>
          </w:tcPr>
          <w:p w14:paraId="6D352D09" w14:textId="77777777" w:rsidR="00354EB8" w:rsidRDefault="00354EB8" w:rsidP="00853E73">
            <w:pPr>
              <w:pStyle w:val="CETBodytext"/>
              <w:ind w:right="-1"/>
              <w:rPr>
                <w:rFonts w:cs="Arial"/>
                <w:szCs w:val="18"/>
                <w:lang w:val="en-GB"/>
              </w:rPr>
            </w:pPr>
            <w:r>
              <w:rPr>
                <w:rFonts w:cs="Arial"/>
                <w:szCs w:val="18"/>
                <w:lang w:val="en-GB"/>
              </w:rPr>
              <w:t xml:space="preserve">O </w:t>
            </w:r>
            <w:r>
              <w:rPr>
                <w:lang w:val="en-GB"/>
              </w:rPr>
              <w:t>[% w/w]</w:t>
            </w:r>
          </w:p>
        </w:tc>
        <w:tc>
          <w:tcPr>
            <w:tcW w:w="1087" w:type="dxa"/>
            <w:tcBorders>
              <w:top w:val="single" w:sz="12" w:space="0" w:color="008000"/>
              <w:bottom w:val="single" w:sz="6" w:space="0" w:color="008000"/>
            </w:tcBorders>
            <w:shd w:val="clear" w:color="auto" w:fill="FFFFFF"/>
          </w:tcPr>
          <w:p w14:paraId="2C0DA031" w14:textId="77777777" w:rsidR="00354EB8" w:rsidRDefault="00354EB8" w:rsidP="00853E73">
            <w:pPr>
              <w:pStyle w:val="CETBodytext"/>
              <w:ind w:right="-1"/>
              <w:rPr>
                <w:rFonts w:cs="Arial"/>
                <w:szCs w:val="18"/>
                <w:lang w:val="en-GB"/>
              </w:rPr>
            </w:pPr>
            <w:r>
              <w:rPr>
                <w:rFonts w:cs="Arial"/>
                <w:szCs w:val="18"/>
                <w:lang w:val="en-GB"/>
              </w:rPr>
              <w:t xml:space="preserve">A </w:t>
            </w:r>
            <w:r>
              <w:rPr>
                <w:lang w:val="en-GB"/>
              </w:rPr>
              <w:t>[% w/w]</w:t>
            </w:r>
          </w:p>
        </w:tc>
        <w:tc>
          <w:tcPr>
            <w:tcW w:w="1087" w:type="dxa"/>
            <w:tcBorders>
              <w:top w:val="single" w:sz="12" w:space="0" w:color="008000"/>
              <w:bottom w:val="single" w:sz="6" w:space="0" w:color="008000"/>
            </w:tcBorders>
            <w:shd w:val="clear" w:color="auto" w:fill="FFFFFF"/>
          </w:tcPr>
          <w:p w14:paraId="21C73D43" w14:textId="77777777" w:rsidR="00354EB8" w:rsidRDefault="00354EB8" w:rsidP="00853E73">
            <w:pPr>
              <w:pStyle w:val="CETBodytext"/>
              <w:ind w:right="-1"/>
              <w:rPr>
                <w:rFonts w:cs="Arial"/>
                <w:szCs w:val="18"/>
                <w:lang w:val="en-GB"/>
              </w:rPr>
            </w:pPr>
            <w:r>
              <w:rPr>
                <w:rFonts w:cs="Arial"/>
                <w:szCs w:val="18"/>
                <w:lang w:val="en-GB"/>
              </w:rPr>
              <w:t>LHV [MJ/kg]</w:t>
            </w:r>
          </w:p>
        </w:tc>
      </w:tr>
      <w:tr w:rsidR="00354EB8" w:rsidRPr="00B57B36" w14:paraId="663B4B52" w14:textId="77777777" w:rsidTr="006817A0">
        <w:tc>
          <w:tcPr>
            <w:tcW w:w="1118" w:type="dxa"/>
            <w:tcBorders>
              <w:top w:val="single" w:sz="12" w:space="0" w:color="008000"/>
              <w:bottom w:val="single" w:sz="6" w:space="0" w:color="008000"/>
            </w:tcBorders>
            <w:shd w:val="clear" w:color="auto" w:fill="FFFFFF"/>
          </w:tcPr>
          <w:p w14:paraId="7B705A1D" w14:textId="77777777" w:rsidR="00354EB8" w:rsidRDefault="00354EB8" w:rsidP="00853E73">
            <w:pPr>
              <w:pStyle w:val="CETBodytext"/>
              <w:rPr>
                <w:lang w:val="en-GB"/>
              </w:rPr>
            </w:pPr>
          </w:p>
        </w:tc>
        <w:tc>
          <w:tcPr>
            <w:tcW w:w="6567" w:type="dxa"/>
            <w:gridSpan w:val="6"/>
            <w:tcBorders>
              <w:top w:val="single" w:sz="12" w:space="0" w:color="008000"/>
              <w:bottom w:val="single" w:sz="6" w:space="0" w:color="008000"/>
            </w:tcBorders>
            <w:shd w:val="clear" w:color="auto" w:fill="FFFFFF"/>
          </w:tcPr>
          <w:p w14:paraId="46CDF4F6" w14:textId="4B5A4855" w:rsidR="00354EB8" w:rsidRDefault="00354EB8" w:rsidP="00354EB8">
            <w:pPr>
              <w:pStyle w:val="CETBodytext"/>
              <w:ind w:right="-1"/>
              <w:jc w:val="center"/>
              <w:rPr>
                <w:rFonts w:cs="Arial"/>
                <w:szCs w:val="18"/>
                <w:lang w:val="en-GB"/>
              </w:rPr>
            </w:pPr>
            <w:r>
              <w:rPr>
                <w:rFonts w:cs="Arial"/>
                <w:szCs w:val="18"/>
                <w:lang w:val="en-GB"/>
              </w:rPr>
              <w:t>O</w:t>
            </w:r>
            <w:r>
              <w:rPr>
                <w:rFonts w:cs="Arial"/>
                <w:szCs w:val="18"/>
              </w:rPr>
              <w:t>il Characterization</w:t>
            </w:r>
          </w:p>
        </w:tc>
      </w:tr>
      <w:tr w:rsidR="00354EB8" w:rsidRPr="00B57B36" w14:paraId="6FE85380" w14:textId="77777777" w:rsidTr="00853E73">
        <w:tc>
          <w:tcPr>
            <w:tcW w:w="1118" w:type="dxa"/>
            <w:shd w:val="clear" w:color="auto" w:fill="FFFFFF"/>
          </w:tcPr>
          <w:p w14:paraId="75253860" w14:textId="77777777" w:rsidR="00354EB8" w:rsidRPr="00B57B36" w:rsidRDefault="00354EB8" w:rsidP="00853E73">
            <w:pPr>
              <w:pStyle w:val="CETBodytext"/>
              <w:rPr>
                <w:lang w:val="en-GB"/>
              </w:rPr>
            </w:pPr>
            <w:r>
              <w:rPr>
                <w:lang w:val="en-GB"/>
              </w:rPr>
              <w:t>S1</w:t>
            </w:r>
          </w:p>
        </w:tc>
        <w:tc>
          <w:tcPr>
            <w:tcW w:w="1102" w:type="dxa"/>
            <w:shd w:val="clear" w:color="auto" w:fill="FFFFFF"/>
          </w:tcPr>
          <w:p w14:paraId="2FF0BCBA" w14:textId="584FD74E" w:rsidR="00354EB8" w:rsidRPr="00B57B36" w:rsidRDefault="003526BF" w:rsidP="00853E73">
            <w:pPr>
              <w:pStyle w:val="CETBodytext"/>
              <w:rPr>
                <w:lang w:val="en-GB"/>
              </w:rPr>
            </w:pPr>
            <w:r>
              <w:rPr>
                <w:lang w:val="en-GB"/>
              </w:rPr>
              <w:t>83</w:t>
            </w:r>
          </w:p>
        </w:tc>
        <w:tc>
          <w:tcPr>
            <w:tcW w:w="1102" w:type="dxa"/>
            <w:shd w:val="clear" w:color="auto" w:fill="FFFFFF"/>
          </w:tcPr>
          <w:p w14:paraId="4184FD2B" w14:textId="6D4165D8" w:rsidR="00354EB8" w:rsidRPr="00B57B36" w:rsidRDefault="003526BF" w:rsidP="00853E73">
            <w:pPr>
              <w:pStyle w:val="CETBodytext"/>
              <w:rPr>
                <w:lang w:val="en-GB"/>
              </w:rPr>
            </w:pPr>
            <w:r>
              <w:rPr>
                <w:lang w:val="en-GB"/>
              </w:rPr>
              <w:t>7</w:t>
            </w:r>
          </w:p>
        </w:tc>
        <w:tc>
          <w:tcPr>
            <w:tcW w:w="1102" w:type="dxa"/>
            <w:shd w:val="clear" w:color="auto" w:fill="FFFFFF"/>
          </w:tcPr>
          <w:p w14:paraId="25F12D0B" w14:textId="00ED0F27" w:rsidR="00354EB8" w:rsidRPr="00B57B36" w:rsidRDefault="003526BF" w:rsidP="00853E73">
            <w:pPr>
              <w:pStyle w:val="CETBodytext"/>
              <w:ind w:right="-1"/>
              <w:rPr>
                <w:rFonts w:cs="Arial"/>
                <w:szCs w:val="18"/>
                <w:lang w:val="en-GB"/>
              </w:rPr>
            </w:pPr>
            <w:r>
              <w:rPr>
                <w:rFonts w:cs="Arial"/>
                <w:szCs w:val="18"/>
                <w:lang w:val="en-GB"/>
              </w:rPr>
              <w:t>2</w:t>
            </w:r>
          </w:p>
        </w:tc>
        <w:tc>
          <w:tcPr>
            <w:tcW w:w="1087" w:type="dxa"/>
            <w:shd w:val="clear" w:color="auto" w:fill="FFFFFF"/>
          </w:tcPr>
          <w:p w14:paraId="3059D158" w14:textId="72BAC40A" w:rsidR="00354EB8" w:rsidRPr="00B57B36" w:rsidRDefault="003526BF" w:rsidP="00853E73">
            <w:pPr>
              <w:pStyle w:val="CETBodytext"/>
              <w:ind w:right="-1"/>
              <w:rPr>
                <w:rFonts w:cs="Arial"/>
                <w:szCs w:val="18"/>
                <w:lang w:val="en-GB"/>
              </w:rPr>
            </w:pPr>
            <w:r>
              <w:rPr>
                <w:rFonts w:cs="Arial"/>
                <w:szCs w:val="18"/>
                <w:lang w:val="en-GB"/>
              </w:rPr>
              <w:t>8</w:t>
            </w:r>
          </w:p>
        </w:tc>
        <w:tc>
          <w:tcPr>
            <w:tcW w:w="1087" w:type="dxa"/>
            <w:shd w:val="clear" w:color="auto" w:fill="FFFFFF"/>
          </w:tcPr>
          <w:p w14:paraId="00C0E85A" w14:textId="530635B3" w:rsidR="00354EB8" w:rsidRPr="00B57B36" w:rsidRDefault="003526BF" w:rsidP="00853E73">
            <w:pPr>
              <w:pStyle w:val="CETBodytext"/>
              <w:ind w:right="-1"/>
              <w:rPr>
                <w:rFonts w:cs="Arial"/>
                <w:szCs w:val="18"/>
                <w:lang w:val="en-GB"/>
              </w:rPr>
            </w:pPr>
            <w:r>
              <w:rPr>
                <w:rFonts w:cs="Arial"/>
                <w:szCs w:val="18"/>
                <w:lang w:val="en-GB"/>
              </w:rPr>
              <w:t>0</w:t>
            </w:r>
          </w:p>
        </w:tc>
        <w:tc>
          <w:tcPr>
            <w:tcW w:w="1087" w:type="dxa"/>
            <w:shd w:val="clear" w:color="auto" w:fill="FFFFFF"/>
          </w:tcPr>
          <w:p w14:paraId="039E6DD6" w14:textId="2AA1E086" w:rsidR="00354EB8" w:rsidRPr="00B57B36" w:rsidRDefault="003526BF" w:rsidP="00853E73">
            <w:pPr>
              <w:pStyle w:val="CETBodytext"/>
              <w:ind w:right="-1"/>
              <w:rPr>
                <w:rFonts w:cs="Arial"/>
                <w:szCs w:val="18"/>
                <w:lang w:val="en-GB"/>
              </w:rPr>
            </w:pPr>
            <w:r>
              <w:rPr>
                <w:rFonts w:cs="Arial"/>
                <w:szCs w:val="18"/>
                <w:lang w:val="en-GB"/>
              </w:rPr>
              <w:t>35</w:t>
            </w:r>
          </w:p>
        </w:tc>
      </w:tr>
      <w:tr w:rsidR="00354EB8" w:rsidRPr="00B57B36" w14:paraId="130159A6" w14:textId="77777777" w:rsidTr="00853E73">
        <w:tc>
          <w:tcPr>
            <w:tcW w:w="1118" w:type="dxa"/>
            <w:shd w:val="clear" w:color="auto" w:fill="FFFFFF"/>
          </w:tcPr>
          <w:p w14:paraId="3ED85A02" w14:textId="77777777" w:rsidR="00354EB8" w:rsidRPr="00B57B36" w:rsidRDefault="00354EB8" w:rsidP="00853E73">
            <w:pPr>
              <w:pStyle w:val="CETBodytext"/>
              <w:rPr>
                <w:lang w:val="en-GB"/>
              </w:rPr>
            </w:pPr>
            <w:r>
              <w:rPr>
                <w:lang w:val="en-GB"/>
              </w:rPr>
              <w:t>S2</w:t>
            </w:r>
          </w:p>
        </w:tc>
        <w:tc>
          <w:tcPr>
            <w:tcW w:w="1102" w:type="dxa"/>
            <w:shd w:val="clear" w:color="auto" w:fill="FFFFFF"/>
          </w:tcPr>
          <w:p w14:paraId="0D01C6BC" w14:textId="490F9F14" w:rsidR="00354EB8" w:rsidRPr="00B57B36" w:rsidRDefault="003526BF" w:rsidP="00853E73">
            <w:pPr>
              <w:pStyle w:val="CETBodytext"/>
              <w:rPr>
                <w:lang w:val="en-GB"/>
              </w:rPr>
            </w:pPr>
            <w:r>
              <w:rPr>
                <w:lang w:val="en-GB"/>
              </w:rPr>
              <w:t>89</w:t>
            </w:r>
          </w:p>
        </w:tc>
        <w:tc>
          <w:tcPr>
            <w:tcW w:w="1102" w:type="dxa"/>
            <w:shd w:val="clear" w:color="auto" w:fill="FFFFFF"/>
          </w:tcPr>
          <w:p w14:paraId="1831E321" w14:textId="3F9FB722" w:rsidR="00354EB8" w:rsidRPr="00B57B36" w:rsidRDefault="003526BF" w:rsidP="00853E73">
            <w:pPr>
              <w:pStyle w:val="CETBodytext"/>
              <w:rPr>
                <w:lang w:val="en-GB"/>
              </w:rPr>
            </w:pPr>
            <w:r>
              <w:rPr>
                <w:lang w:val="en-GB"/>
              </w:rPr>
              <w:t>7</w:t>
            </w:r>
          </w:p>
        </w:tc>
        <w:tc>
          <w:tcPr>
            <w:tcW w:w="1102" w:type="dxa"/>
            <w:shd w:val="clear" w:color="auto" w:fill="FFFFFF"/>
          </w:tcPr>
          <w:p w14:paraId="4CE331BE" w14:textId="216AEC10" w:rsidR="00354EB8" w:rsidRPr="00B57B36" w:rsidRDefault="003526BF" w:rsidP="00853E73">
            <w:pPr>
              <w:pStyle w:val="CETBodytext"/>
              <w:ind w:right="-1"/>
              <w:rPr>
                <w:rFonts w:cs="Arial"/>
                <w:szCs w:val="18"/>
                <w:lang w:val="en-GB"/>
              </w:rPr>
            </w:pPr>
            <w:r>
              <w:rPr>
                <w:rFonts w:cs="Arial"/>
                <w:szCs w:val="18"/>
                <w:lang w:val="en-GB"/>
              </w:rPr>
              <w:t>1</w:t>
            </w:r>
          </w:p>
        </w:tc>
        <w:tc>
          <w:tcPr>
            <w:tcW w:w="1087" w:type="dxa"/>
            <w:shd w:val="clear" w:color="auto" w:fill="FFFFFF"/>
          </w:tcPr>
          <w:p w14:paraId="42F82E2D" w14:textId="01FFA6B0" w:rsidR="00354EB8" w:rsidRPr="00B57B36" w:rsidRDefault="003526BF" w:rsidP="00853E73">
            <w:pPr>
              <w:pStyle w:val="CETBodytext"/>
              <w:ind w:right="-1"/>
              <w:rPr>
                <w:rFonts w:cs="Arial"/>
                <w:szCs w:val="18"/>
                <w:lang w:val="en-GB"/>
              </w:rPr>
            </w:pPr>
            <w:r>
              <w:rPr>
                <w:rFonts w:cs="Arial"/>
                <w:szCs w:val="18"/>
                <w:lang w:val="en-GB"/>
              </w:rPr>
              <w:t>3</w:t>
            </w:r>
          </w:p>
        </w:tc>
        <w:tc>
          <w:tcPr>
            <w:tcW w:w="1087" w:type="dxa"/>
            <w:shd w:val="clear" w:color="auto" w:fill="FFFFFF"/>
          </w:tcPr>
          <w:p w14:paraId="46103A41" w14:textId="1A5F3F25" w:rsidR="00354EB8" w:rsidRPr="00B57B36" w:rsidRDefault="003526BF" w:rsidP="00853E73">
            <w:pPr>
              <w:pStyle w:val="CETBodytext"/>
              <w:ind w:right="-1"/>
              <w:rPr>
                <w:rFonts w:cs="Arial"/>
                <w:szCs w:val="18"/>
                <w:lang w:val="en-GB"/>
              </w:rPr>
            </w:pPr>
            <w:r>
              <w:rPr>
                <w:rFonts w:cs="Arial"/>
                <w:szCs w:val="18"/>
                <w:lang w:val="en-GB"/>
              </w:rPr>
              <w:t>0</w:t>
            </w:r>
          </w:p>
        </w:tc>
        <w:tc>
          <w:tcPr>
            <w:tcW w:w="1087" w:type="dxa"/>
            <w:shd w:val="clear" w:color="auto" w:fill="FFFFFF"/>
          </w:tcPr>
          <w:p w14:paraId="7797BB82" w14:textId="70B9A5F7" w:rsidR="00354EB8" w:rsidRPr="00B57B36" w:rsidRDefault="003526BF" w:rsidP="00853E73">
            <w:pPr>
              <w:pStyle w:val="CETBodytext"/>
              <w:ind w:right="-1"/>
              <w:rPr>
                <w:rFonts w:cs="Arial"/>
                <w:szCs w:val="18"/>
                <w:lang w:val="en-GB"/>
              </w:rPr>
            </w:pPr>
            <w:r>
              <w:rPr>
                <w:rFonts w:cs="Arial"/>
                <w:szCs w:val="18"/>
                <w:lang w:val="en-GB"/>
              </w:rPr>
              <w:t>38</w:t>
            </w:r>
          </w:p>
        </w:tc>
      </w:tr>
      <w:tr w:rsidR="00354EB8" w:rsidRPr="00B57B36" w14:paraId="339A7A00" w14:textId="77777777" w:rsidTr="00FB0976">
        <w:tc>
          <w:tcPr>
            <w:tcW w:w="1118" w:type="dxa"/>
            <w:tcBorders>
              <w:bottom w:val="single" w:sz="4" w:space="0" w:color="008000"/>
            </w:tcBorders>
            <w:shd w:val="clear" w:color="auto" w:fill="FFFFFF"/>
          </w:tcPr>
          <w:p w14:paraId="42AA677E" w14:textId="6A02AFF6" w:rsidR="00354EB8" w:rsidRDefault="00354EB8" w:rsidP="00853E73">
            <w:pPr>
              <w:pStyle w:val="CETBodytext"/>
              <w:rPr>
                <w:lang w:val="en-GB"/>
              </w:rPr>
            </w:pPr>
            <w:r>
              <w:rPr>
                <w:lang w:val="en-GB"/>
              </w:rPr>
              <w:t>S</w:t>
            </w:r>
            <w:r>
              <w:t>3</w:t>
            </w:r>
          </w:p>
        </w:tc>
        <w:tc>
          <w:tcPr>
            <w:tcW w:w="1102" w:type="dxa"/>
            <w:tcBorders>
              <w:bottom w:val="single" w:sz="4" w:space="0" w:color="008000"/>
            </w:tcBorders>
            <w:shd w:val="clear" w:color="auto" w:fill="FFFFFF"/>
          </w:tcPr>
          <w:p w14:paraId="1E513467" w14:textId="52DA5085" w:rsidR="00354EB8" w:rsidRDefault="003526BF" w:rsidP="00853E73">
            <w:pPr>
              <w:pStyle w:val="CETBodytext"/>
              <w:rPr>
                <w:lang w:val="en-GB"/>
              </w:rPr>
            </w:pPr>
            <w:r>
              <w:rPr>
                <w:lang w:val="en-GB"/>
              </w:rPr>
              <w:t>84</w:t>
            </w:r>
          </w:p>
        </w:tc>
        <w:tc>
          <w:tcPr>
            <w:tcW w:w="1102" w:type="dxa"/>
            <w:tcBorders>
              <w:bottom w:val="single" w:sz="4" w:space="0" w:color="008000"/>
            </w:tcBorders>
            <w:shd w:val="clear" w:color="auto" w:fill="FFFFFF"/>
          </w:tcPr>
          <w:p w14:paraId="2C540EEA" w14:textId="1C4FE20C" w:rsidR="00354EB8" w:rsidRDefault="003526BF" w:rsidP="00853E73">
            <w:pPr>
              <w:pStyle w:val="CETBodytext"/>
              <w:rPr>
                <w:lang w:val="en-GB"/>
              </w:rPr>
            </w:pPr>
            <w:r>
              <w:rPr>
                <w:lang w:val="en-GB"/>
              </w:rPr>
              <w:t>7</w:t>
            </w:r>
          </w:p>
        </w:tc>
        <w:tc>
          <w:tcPr>
            <w:tcW w:w="1102" w:type="dxa"/>
            <w:tcBorders>
              <w:bottom w:val="single" w:sz="4" w:space="0" w:color="008000"/>
            </w:tcBorders>
            <w:shd w:val="clear" w:color="auto" w:fill="FFFFFF"/>
          </w:tcPr>
          <w:p w14:paraId="2FCCE307" w14:textId="1DEEF1B1" w:rsidR="00354EB8" w:rsidRDefault="003526BF" w:rsidP="00853E73">
            <w:pPr>
              <w:pStyle w:val="CETBodytext"/>
              <w:ind w:right="-1"/>
              <w:rPr>
                <w:rFonts w:cs="Arial"/>
                <w:szCs w:val="18"/>
                <w:lang w:val="en-GB"/>
              </w:rPr>
            </w:pPr>
            <w:r>
              <w:rPr>
                <w:rFonts w:cs="Arial"/>
                <w:szCs w:val="18"/>
                <w:lang w:val="en-GB"/>
              </w:rPr>
              <w:t>1</w:t>
            </w:r>
          </w:p>
        </w:tc>
        <w:tc>
          <w:tcPr>
            <w:tcW w:w="1087" w:type="dxa"/>
            <w:tcBorders>
              <w:bottom w:val="single" w:sz="4" w:space="0" w:color="008000"/>
            </w:tcBorders>
            <w:shd w:val="clear" w:color="auto" w:fill="FFFFFF"/>
          </w:tcPr>
          <w:p w14:paraId="622E49F9" w14:textId="47AA7126" w:rsidR="00354EB8" w:rsidRDefault="003526BF" w:rsidP="00853E73">
            <w:pPr>
              <w:pStyle w:val="CETBodytext"/>
              <w:ind w:right="-1"/>
              <w:rPr>
                <w:rFonts w:cs="Arial"/>
                <w:szCs w:val="18"/>
                <w:lang w:val="en-GB"/>
              </w:rPr>
            </w:pPr>
            <w:r>
              <w:rPr>
                <w:rFonts w:cs="Arial"/>
                <w:szCs w:val="18"/>
                <w:lang w:val="en-GB"/>
              </w:rPr>
              <w:t>8</w:t>
            </w:r>
          </w:p>
        </w:tc>
        <w:tc>
          <w:tcPr>
            <w:tcW w:w="1087" w:type="dxa"/>
            <w:tcBorders>
              <w:bottom w:val="single" w:sz="4" w:space="0" w:color="008000"/>
            </w:tcBorders>
            <w:shd w:val="clear" w:color="auto" w:fill="FFFFFF"/>
          </w:tcPr>
          <w:p w14:paraId="24D8CBC5" w14:textId="70C39605" w:rsidR="00354EB8" w:rsidRDefault="003526BF" w:rsidP="00853E73">
            <w:pPr>
              <w:pStyle w:val="CETBodytext"/>
              <w:ind w:right="-1"/>
              <w:rPr>
                <w:rFonts w:cs="Arial"/>
                <w:szCs w:val="18"/>
                <w:lang w:val="en-GB"/>
              </w:rPr>
            </w:pPr>
            <w:r>
              <w:rPr>
                <w:rFonts w:cs="Arial"/>
                <w:szCs w:val="18"/>
                <w:lang w:val="en-GB"/>
              </w:rPr>
              <w:t>0</w:t>
            </w:r>
          </w:p>
        </w:tc>
        <w:tc>
          <w:tcPr>
            <w:tcW w:w="1087" w:type="dxa"/>
            <w:tcBorders>
              <w:bottom w:val="single" w:sz="4" w:space="0" w:color="008000"/>
            </w:tcBorders>
            <w:shd w:val="clear" w:color="auto" w:fill="FFFFFF"/>
          </w:tcPr>
          <w:p w14:paraId="2C0E1724" w14:textId="13787120" w:rsidR="00354EB8" w:rsidRDefault="003526BF" w:rsidP="00853E73">
            <w:pPr>
              <w:pStyle w:val="CETBodytext"/>
              <w:ind w:right="-1"/>
              <w:rPr>
                <w:rFonts w:cs="Arial"/>
                <w:szCs w:val="18"/>
                <w:lang w:val="en-GB"/>
              </w:rPr>
            </w:pPr>
            <w:r>
              <w:rPr>
                <w:rFonts w:cs="Arial"/>
                <w:szCs w:val="18"/>
                <w:lang w:val="en-GB"/>
              </w:rPr>
              <w:t>36</w:t>
            </w:r>
          </w:p>
        </w:tc>
      </w:tr>
      <w:tr w:rsidR="00354EB8" w:rsidRPr="00B57B36" w14:paraId="5ADCB3E8" w14:textId="77777777" w:rsidTr="00FB0976">
        <w:tc>
          <w:tcPr>
            <w:tcW w:w="1118" w:type="dxa"/>
            <w:tcBorders>
              <w:top w:val="single" w:sz="4" w:space="0" w:color="008000"/>
              <w:bottom w:val="single" w:sz="4" w:space="0" w:color="008000"/>
            </w:tcBorders>
            <w:shd w:val="clear" w:color="auto" w:fill="FFFFFF"/>
          </w:tcPr>
          <w:p w14:paraId="3BF28343" w14:textId="77777777" w:rsidR="00354EB8" w:rsidRDefault="00354EB8" w:rsidP="00853E73">
            <w:pPr>
              <w:pStyle w:val="CETBodytext"/>
              <w:rPr>
                <w:lang w:val="en-GB"/>
              </w:rPr>
            </w:pPr>
          </w:p>
        </w:tc>
        <w:tc>
          <w:tcPr>
            <w:tcW w:w="6567" w:type="dxa"/>
            <w:gridSpan w:val="6"/>
            <w:tcBorders>
              <w:top w:val="single" w:sz="4" w:space="0" w:color="008000"/>
              <w:bottom w:val="single" w:sz="4" w:space="0" w:color="008000"/>
            </w:tcBorders>
            <w:shd w:val="clear" w:color="auto" w:fill="FFFFFF"/>
          </w:tcPr>
          <w:p w14:paraId="1D4AD511" w14:textId="4C3E3B0D" w:rsidR="00354EB8" w:rsidRDefault="00354EB8" w:rsidP="00354EB8">
            <w:pPr>
              <w:pStyle w:val="CETBodytext"/>
              <w:ind w:right="-1"/>
              <w:jc w:val="center"/>
              <w:rPr>
                <w:rFonts w:cs="Arial"/>
                <w:szCs w:val="18"/>
                <w:lang w:val="en-GB"/>
              </w:rPr>
            </w:pPr>
            <w:r>
              <w:rPr>
                <w:rFonts w:cs="Arial"/>
                <w:szCs w:val="18"/>
                <w:lang w:val="en-GB"/>
              </w:rPr>
              <w:t>Solid 1 Characterization</w:t>
            </w:r>
          </w:p>
        </w:tc>
      </w:tr>
      <w:tr w:rsidR="00354EB8" w:rsidRPr="00B57B36" w14:paraId="7684F35C" w14:textId="77777777" w:rsidTr="00FB0976">
        <w:tc>
          <w:tcPr>
            <w:tcW w:w="1118" w:type="dxa"/>
            <w:tcBorders>
              <w:top w:val="single" w:sz="4" w:space="0" w:color="008000"/>
            </w:tcBorders>
            <w:shd w:val="clear" w:color="auto" w:fill="FFFFFF"/>
          </w:tcPr>
          <w:p w14:paraId="67298FC8" w14:textId="6D858459" w:rsidR="00354EB8" w:rsidRDefault="00354EB8" w:rsidP="00354EB8">
            <w:pPr>
              <w:pStyle w:val="CETBodytext"/>
              <w:rPr>
                <w:lang w:val="en-GB"/>
              </w:rPr>
            </w:pPr>
            <w:r>
              <w:rPr>
                <w:lang w:val="en-GB"/>
              </w:rPr>
              <w:t>S1</w:t>
            </w:r>
          </w:p>
        </w:tc>
        <w:tc>
          <w:tcPr>
            <w:tcW w:w="1102" w:type="dxa"/>
            <w:tcBorders>
              <w:top w:val="single" w:sz="4" w:space="0" w:color="008000"/>
            </w:tcBorders>
            <w:shd w:val="clear" w:color="auto" w:fill="FFFFFF"/>
          </w:tcPr>
          <w:p w14:paraId="407DE856" w14:textId="0D912FA1" w:rsidR="00354EB8" w:rsidRDefault="003526BF" w:rsidP="00354EB8">
            <w:pPr>
              <w:pStyle w:val="CETBodytext"/>
              <w:rPr>
                <w:lang w:val="en-GB"/>
              </w:rPr>
            </w:pPr>
            <w:r>
              <w:rPr>
                <w:lang w:val="en-GB"/>
              </w:rPr>
              <w:t>25</w:t>
            </w:r>
          </w:p>
        </w:tc>
        <w:tc>
          <w:tcPr>
            <w:tcW w:w="1102" w:type="dxa"/>
            <w:tcBorders>
              <w:top w:val="single" w:sz="4" w:space="0" w:color="008000"/>
            </w:tcBorders>
            <w:shd w:val="clear" w:color="auto" w:fill="FFFFFF"/>
          </w:tcPr>
          <w:p w14:paraId="39470EAC" w14:textId="05A2573E" w:rsidR="00354EB8" w:rsidRDefault="003526BF" w:rsidP="00354EB8">
            <w:pPr>
              <w:pStyle w:val="CETBodytext"/>
              <w:rPr>
                <w:lang w:val="en-GB"/>
              </w:rPr>
            </w:pPr>
            <w:r>
              <w:rPr>
                <w:lang w:val="en-GB"/>
              </w:rPr>
              <w:t>1</w:t>
            </w:r>
          </w:p>
        </w:tc>
        <w:tc>
          <w:tcPr>
            <w:tcW w:w="1102" w:type="dxa"/>
            <w:tcBorders>
              <w:top w:val="single" w:sz="4" w:space="0" w:color="008000"/>
            </w:tcBorders>
            <w:shd w:val="clear" w:color="auto" w:fill="FFFFFF"/>
          </w:tcPr>
          <w:p w14:paraId="760AB7BE" w14:textId="3FF99A80" w:rsidR="00354EB8" w:rsidRDefault="003526BF" w:rsidP="00354EB8">
            <w:pPr>
              <w:pStyle w:val="CETBodytext"/>
              <w:ind w:right="-1"/>
              <w:rPr>
                <w:rFonts w:cs="Arial"/>
                <w:szCs w:val="18"/>
                <w:lang w:val="en-GB"/>
              </w:rPr>
            </w:pPr>
            <w:r>
              <w:rPr>
                <w:rFonts w:cs="Arial"/>
                <w:szCs w:val="18"/>
                <w:lang w:val="en-GB"/>
              </w:rPr>
              <w:t>1</w:t>
            </w:r>
          </w:p>
        </w:tc>
        <w:tc>
          <w:tcPr>
            <w:tcW w:w="1087" w:type="dxa"/>
            <w:tcBorders>
              <w:top w:val="single" w:sz="4" w:space="0" w:color="008000"/>
            </w:tcBorders>
            <w:shd w:val="clear" w:color="auto" w:fill="FFFFFF"/>
          </w:tcPr>
          <w:p w14:paraId="1437FD5F" w14:textId="02D94CEB" w:rsidR="00354EB8" w:rsidRDefault="0099450B" w:rsidP="00354EB8">
            <w:pPr>
              <w:pStyle w:val="CETBodytext"/>
              <w:ind w:right="-1"/>
              <w:rPr>
                <w:rFonts w:cs="Arial"/>
                <w:szCs w:val="18"/>
                <w:lang w:val="en-GB"/>
              </w:rPr>
            </w:pPr>
            <w:r>
              <w:rPr>
                <w:rFonts w:cs="Arial"/>
                <w:szCs w:val="18"/>
                <w:lang w:val="en-GB"/>
              </w:rPr>
              <w:t>0</w:t>
            </w:r>
          </w:p>
        </w:tc>
        <w:tc>
          <w:tcPr>
            <w:tcW w:w="1087" w:type="dxa"/>
            <w:tcBorders>
              <w:top w:val="single" w:sz="4" w:space="0" w:color="008000"/>
            </w:tcBorders>
            <w:shd w:val="clear" w:color="auto" w:fill="FFFFFF"/>
          </w:tcPr>
          <w:p w14:paraId="42FFD70A" w14:textId="771471DC" w:rsidR="00354EB8" w:rsidRDefault="0099450B" w:rsidP="00354EB8">
            <w:pPr>
              <w:pStyle w:val="CETBodytext"/>
              <w:ind w:right="-1"/>
              <w:rPr>
                <w:rFonts w:cs="Arial"/>
                <w:szCs w:val="18"/>
                <w:lang w:val="en-GB"/>
              </w:rPr>
            </w:pPr>
            <w:r>
              <w:rPr>
                <w:rFonts w:cs="Arial"/>
                <w:szCs w:val="18"/>
                <w:lang w:val="en-GB"/>
              </w:rPr>
              <w:t>73</w:t>
            </w:r>
          </w:p>
        </w:tc>
        <w:tc>
          <w:tcPr>
            <w:tcW w:w="1087" w:type="dxa"/>
            <w:tcBorders>
              <w:top w:val="single" w:sz="4" w:space="0" w:color="008000"/>
            </w:tcBorders>
            <w:shd w:val="clear" w:color="auto" w:fill="FFFFFF"/>
          </w:tcPr>
          <w:p w14:paraId="6BE976F1" w14:textId="22F85032" w:rsidR="00354EB8" w:rsidRDefault="002D444B" w:rsidP="00354EB8">
            <w:pPr>
              <w:pStyle w:val="CETBodytext"/>
              <w:ind w:right="-1"/>
              <w:rPr>
                <w:rFonts w:cs="Arial"/>
                <w:szCs w:val="18"/>
                <w:lang w:val="en-GB"/>
              </w:rPr>
            </w:pPr>
            <w:r>
              <w:rPr>
                <w:rFonts w:cs="Arial"/>
                <w:szCs w:val="18"/>
                <w:lang w:val="en-GB"/>
              </w:rPr>
              <w:t>8</w:t>
            </w:r>
          </w:p>
        </w:tc>
      </w:tr>
      <w:tr w:rsidR="00354EB8" w:rsidRPr="00B57B36" w14:paraId="36096731" w14:textId="77777777" w:rsidTr="00853E73">
        <w:tc>
          <w:tcPr>
            <w:tcW w:w="1118" w:type="dxa"/>
            <w:shd w:val="clear" w:color="auto" w:fill="FFFFFF"/>
          </w:tcPr>
          <w:p w14:paraId="4A382593" w14:textId="36332991" w:rsidR="00354EB8" w:rsidRDefault="00354EB8" w:rsidP="00354EB8">
            <w:pPr>
              <w:pStyle w:val="CETBodytext"/>
              <w:rPr>
                <w:lang w:val="en-GB"/>
              </w:rPr>
            </w:pPr>
            <w:r>
              <w:rPr>
                <w:lang w:val="en-GB"/>
              </w:rPr>
              <w:t>S2</w:t>
            </w:r>
          </w:p>
        </w:tc>
        <w:tc>
          <w:tcPr>
            <w:tcW w:w="1102" w:type="dxa"/>
            <w:shd w:val="clear" w:color="auto" w:fill="FFFFFF"/>
          </w:tcPr>
          <w:p w14:paraId="670664F9" w14:textId="5DEDCF8C" w:rsidR="00354EB8" w:rsidRDefault="003526BF" w:rsidP="00354EB8">
            <w:pPr>
              <w:pStyle w:val="CETBodytext"/>
              <w:rPr>
                <w:lang w:val="en-GB"/>
              </w:rPr>
            </w:pPr>
            <w:r>
              <w:rPr>
                <w:lang w:val="en-GB"/>
              </w:rPr>
              <w:t>49</w:t>
            </w:r>
          </w:p>
        </w:tc>
        <w:tc>
          <w:tcPr>
            <w:tcW w:w="1102" w:type="dxa"/>
            <w:shd w:val="clear" w:color="auto" w:fill="FFFFFF"/>
          </w:tcPr>
          <w:p w14:paraId="7B5C85DC" w14:textId="0F1A790B" w:rsidR="00354EB8" w:rsidRDefault="003526BF" w:rsidP="00354EB8">
            <w:pPr>
              <w:pStyle w:val="CETBodytext"/>
              <w:rPr>
                <w:lang w:val="en-GB"/>
              </w:rPr>
            </w:pPr>
            <w:r>
              <w:rPr>
                <w:lang w:val="en-GB"/>
              </w:rPr>
              <w:t>2</w:t>
            </w:r>
          </w:p>
        </w:tc>
        <w:tc>
          <w:tcPr>
            <w:tcW w:w="1102" w:type="dxa"/>
            <w:shd w:val="clear" w:color="auto" w:fill="FFFFFF"/>
          </w:tcPr>
          <w:p w14:paraId="27884E39" w14:textId="65A8E415" w:rsidR="00354EB8" w:rsidRDefault="003526BF" w:rsidP="00354EB8">
            <w:pPr>
              <w:pStyle w:val="CETBodytext"/>
              <w:ind w:right="-1"/>
              <w:rPr>
                <w:rFonts w:cs="Arial"/>
                <w:szCs w:val="18"/>
                <w:lang w:val="en-GB"/>
              </w:rPr>
            </w:pPr>
            <w:r>
              <w:rPr>
                <w:rFonts w:cs="Arial"/>
                <w:szCs w:val="18"/>
                <w:lang w:val="en-GB"/>
              </w:rPr>
              <w:t>1</w:t>
            </w:r>
          </w:p>
        </w:tc>
        <w:tc>
          <w:tcPr>
            <w:tcW w:w="1087" w:type="dxa"/>
            <w:shd w:val="clear" w:color="auto" w:fill="FFFFFF"/>
          </w:tcPr>
          <w:p w14:paraId="332D9994" w14:textId="65689275" w:rsidR="00354EB8" w:rsidRDefault="0099450B" w:rsidP="00354EB8">
            <w:pPr>
              <w:pStyle w:val="CETBodytext"/>
              <w:ind w:right="-1"/>
              <w:rPr>
                <w:rFonts w:cs="Arial"/>
                <w:szCs w:val="18"/>
                <w:lang w:val="en-GB"/>
              </w:rPr>
            </w:pPr>
            <w:r>
              <w:rPr>
                <w:rFonts w:cs="Arial"/>
                <w:szCs w:val="18"/>
                <w:lang w:val="en-GB"/>
              </w:rPr>
              <w:t>0</w:t>
            </w:r>
          </w:p>
        </w:tc>
        <w:tc>
          <w:tcPr>
            <w:tcW w:w="1087" w:type="dxa"/>
            <w:shd w:val="clear" w:color="auto" w:fill="FFFFFF"/>
          </w:tcPr>
          <w:p w14:paraId="7769976E" w14:textId="5A61F75B" w:rsidR="00354EB8" w:rsidRDefault="0099450B" w:rsidP="00354EB8">
            <w:pPr>
              <w:pStyle w:val="CETBodytext"/>
              <w:ind w:right="-1"/>
              <w:rPr>
                <w:rFonts w:cs="Arial"/>
                <w:szCs w:val="18"/>
                <w:lang w:val="en-GB"/>
              </w:rPr>
            </w:pPr>
            <w:r>
              <w:rPr>
                <w:rFonts w:cs="Arial"/>
                <w:szCs w:val="18"/>
                <w:lang w:val="en-GB"/>
              </w:rPr>
              <w:t>48</w:t>
            </w:r>
          </w:p>
        </w:tc>
        <w:tc>
          <w:tcPr>
            <w:tcW w:w="1087" w:type="dxa"/>
            <w:shd w:val="clear" w:color="auto" w:fill="FFFFFF"/>
          </w:tcPr>
          <w:p w14:paraId="28E360E8" w14:textId="6E1D64D1" w:rsidR="00354EB8" w:rsidRDefault="002D444B" w:rsidP="00354EB8">
            <w:pPr>
              <w:pStyle w:val="CETBodytext"/>
              <w:ind w:right="-1"/>
              <w:rPr>
                <w:rFonts w:cs="Arial"/>
                <w:szCs w:val="18"/>
                <w:lang w:val="en-GB"/>
              </w:rPr>
            </w:pPr>
            <w:r>
              <w:rPr>
                <w:rFonts w:cs="Arial"/>
                <w:szCs w:val="18"/>
                <w:lang w:val="en-GB"/>
              </w:rPr>
              <w:t>18</w:t>
            </w:r>
          </w:p>
        </w:tc>
      </w:tr>
      <w:tr w:rsidR="00354EB8" w:rsidRPr="00B57B36" w14:paraId="5FC5DD8E" w14:textId="77777777" w:rsidTr="00FB0976">
        <w:tc>
          <w:tcPr>
            <w:tcW w:w="1118" w:type="dxa"/>
            <w:tcBorders>
              <w:bottom w:val="single" w:sz="12" w:space="0" w:color="008000"/>
            </w:tcBorders>
            <w:shd w:val="clear" w:color="auto" w:fill="FFFFFF"/>
          </w:tcPr>
          <w:p w14:paraId="35D8ECAD" w14:textId="0255176C" w:rsidR="00354EB8" w:rsidRPr="00B57B36" w:rsidRDefault="00354EB8" w:rsidP="00354EB8">
            <w:pPr>
              <w:pStyle w:val="CETBodytext"/>
              <w:ind w:right="-1"/>
              <w:rPr>
                <w:rFonts w:cs="Arial"/>
                <w:szCs w:val="18"/>
                <w:lang w:val="en-GB"/>
              </w:rPr>
            </w:pPr>
            <w:r>
              <w:rPr>
                <w:lang w:val="en-GB"/>
              </w:rPr>
              <w:t>S</w:t>
            </w:r>
            <w:r>
              <w:t>3</w:t>
            </w:r>
          </w:p>
        </w:tc>
        <w:tc>
          <w:tcPr>
            <w:tcW w:w="1102" w:type="dxa"/>
            <w:tcBorders>
              <w:bottom w:val="single" w:sz="12" w:space="0" w:color="008000"/>
            </w:tcBorders>
            <w:shd w:val="clear" w:color="auto" w:fill="FFFFFF"/>
          </w:tcPr>
          <w:p w14:paraId="5DFC8B9A" w14:textId="4156EE76" w:rsidR="00354EB8" w:rsidRPr="00B57B36" w:rsidRDefault="003526BF" w:rsidP="00354EB8">
            <w:pPr>
              <w:pStyle w:val="CETBodytext"/>
              <w:ind w:right="-1"/>
              <w:rPr>
                <w:rFonts w:cs="Arial"/>
                <w:szCs w:val="18"/>
                <w:lang w:val="en-GB"/>
              </w:rPr>
            </w:pPr>
            <w:r>
              <w:rPr>
                <w:rFonts w:cs="Arial"/>
                <w:szCs w:val="18"/>
                <w:lang w:val="en-GB"/>
              </w:rPr>
              <w:t>35</w:t>
            </w:r>
          </w:p>
        </w:tc>
        <w:tc>
          <w:tcPr>
            <w:tcW w:w="1102" w:type="dxa"/>
            <w:tcBorders>
              <w:bottom w:val="single" w:sz="12" w:space="0" w:color="008000"/>
            </w:tcBorders>
            <w:shd w:val="clear" w:color="auto" w:fill="FFFFFF"/>
          </w:tcPr>
          <w:p w14:paraId="3C847C38" w14:textId="535215C8" w:rsidR="00354EB8" w:rsidRPr="00B57B36" w:rsidRDefault="003526BF" w:rsidP="00354EB8">
            <w:pPr>
              <w:pStyle w:val="CETBodytext"/>
              <w:ind w:right="-1"/>
              <w:rPr>
                <w:rFonts w:cs="Arial"/>
                <w:szCs w:val="18"/>
                <w:lang w:val="en-GB"/>
              </w:rPr>
            </w:pPr>
            <w:r>
              <w:rPr>
                <w:rFonts w:cs="Arial"/>
                <w:szCs w:val="18"/>
                <w:lang w:val="en-GB"/>
              </w:rPr>
              <w:t>1</w:t>
            </w:r>
          </w:p>
        </w:tc>
        <w:tc>
          <w:tcPr>
            <w:tcW w:w="1102" w:type="dxa"/>
            <w:tcBorders>
              <w:bottom w:val="single" w:sz="12" w:space="0" w:color="008000"/>
            </w:tcBorders>
            <w:shd w:val="clear" w:color="auto" w:fill="FFFFFF"/>
          </w:tcPr>
          <w:p w14:paraId="419E520D" w14:textId="1B42F3B1" w:rsidR="00354EB8" w:rsidRPr="00B57B36" w:rsidRDefault="003526BF" w:rsidP="00354EB8">
            <w:pPr>
              <w:pStyle w:val="CETBodytext"/>
              <w:ind w:right="-1"/>
              <w:rPr>
                <w:rFonts w:cs="Arial"/>
                <w:szCs w:val="18"/>
                <w:lang w:val="en-GB"/>
              </w:rPr>
            </w:pPr>
            <w:r>
              <w:rPr>
                <w:rFonts w:cs="Arial"/>
                <w:szCs w:val="18"/>
                <w:lang w:val="en-GB"/>
              </w:rPr>
              <w:t>0</w:t>
            </w:r>
          </w:p>
        </w:tc>
        <w:tc>
          <w:tcPr>
            <w:tcW w:w="1087" w:type="dxa"/>
            <w:tcBorders>
              <w:bottom w:val="single" w:sz="12" w:space="0" w:color="008000"/>
            </w:tcBorders>
            <w:shd w:val="clear" w:color="auto" w:fill="FFFFFF"/>
          </w:tcPr>
          <w:p w14:paraId="71BE912A" w14:textId="707343D7" w:rsidR="00354EB8" w:rsidRPr="00B57B36" w:rsidRDefault="0099450B" w:rsidP="00354EB8">
            <w:pPr>
              <w:pStyle w:val="CETBodytext"/>
              <w:ind w:right="-1"/>
              <w:rPr>
                <w:rFonts w:cs="Arial"/>
                <w:szCs w:val="18"/>
                <w:lang w:val="en-GB"/>
              </w:rPr>
            </w:pPr>
            <w:r>
              <w:rPr>
                <w:rFonts w:cs="Arial"/>
                <w:szCs w:val="18"/>
                <w:lang w:val="en-GB"/>
              </w:rPr>
              <w:t>0</w:t>
            </w:r>
          </w:p>
        </w:tc>
        <w:tc>
          <w:tcPr>
            <w:tcW w:w="1087" w:type="dxa"/>
            <w:tcBorders>
              <w:bottom w:val="single" w:sz="12" w:space="0" w:color="008000"/>
            </w:tcBorders>
            <w:shd w:val="clear" w:color="auto" w:fill="FFFFFF"/>
          </w:tcPr>
          <w:p w14:paraId="36D3ED4C" w14:textId="092F238B" w:rsidR="00354EB8" w:rsidRPr="00B57B36" w:rsidRDefault="0099450B" w:rsidP="00354EB8">
            <w:pPr>
              <w:pStyle w:val="CETBodytext"/>
              <w:ind w:right="-1"/>
              <w:rPr>
                <w:rFonts w:cs="Arial"/>
                <w:szCs w:val="18"/>
                <w:lang w:val="en-GB"/>
              </w:rPr>
            </w:pPr>
            <w:r>
              <w:rPr>
                <w:rFonts w:cs="Arial"/>
                <w:szCs w:val="18"/>
                <w:lang w:val="en-GB"/>
              </w:rPr>
              <w:t>64</w:t>
            </w:r>
          </w:p>
        </w:tc>
        <w:tc>
          <w:tcPr>
            <w:tcW w:w="1087" w:type="dxa"/>
            <w:tcBorders>
              <w:bottom w:val="single" w:sz="12" w:space="0" w:color="008000"/>
            </w:tcBorders>
            <w:shd w:val="clear" w:color="auto" w:fill="FFFFFF"/>
          </w:tcPr>
          <w:p w14:paraId="7B434BF5" w14:textId="5208741E" w:rsidR="00354EB8" w:rsidRPr="00B57B36" w:rsidRDefault="002D444B" w:rsidP="00354EB8">
            <w:pPr>
              <w:pStyle w:val="CETBodytext"/>
              <w:ind w:right="-1"/>
              <w:rPr>
                <w:rFonts w:cs="Arial"/>
                <w:szCs w:val="18"/>
                <w:lang w:val="en-GB"/>
              </w:rPr>
            </w:pPr>
            <w:r>
              <w:rPr>
                <w:rFonts w:cs="Arial"/>
                <w:szCs w:val="18"/>
                <w:lang w:val="en-GB"/>
              </w:rPr>
              <w:t>12</w:t>
            </w:r>
          </w:p>
        </w:tc>
      </w:tr>
    </w:tbl>
    <w:p w14:paraId="793DBE9E" w14:textId="78A99F77" w:rsidR="00B663A2" w:rsidRPr="00565536" w:rsidRDefault="00B154A1" w:rsidP="00B663A2">
      <w:pPr>
        <w:pStyle w:val="CETBodytext"/>
      </w:pPr>
      <w:r>
        <w:lastRenderedPageBreak/>
        <w:t>The pyrolysis oil analysis indicates that the carbon, hydrogen, and nitrogen content is comparatively stable for all the samples examined, with the highest LHV observed for sample 2. In particular, the LHVs measured are 35, 38, and 36 MJ/kg for</w:t>
      </w:r>
      <w:r w:rsidR="009B2B8A">
        <w:t xml:space="preserve"> oil from</w:t>
      </w:r>
      <w:r>
        <w:t xml:space="preserve"> samples 1, 2, and 3, respectively. These findings imply that the resultant oil has great potential to be utilized as an alternative sustainable fuel compared to traditional fossil fuels. The solid residues, however, exhibit a significant variation in composition among the different samples. </w:t>
      </w:r>
      <w:r w:rsidR="00470AAA">
        <w:t>Solid from s</w:t>
      </w:r>
      <w:r>
        <w:t>ample 1 contains a high inert component percentage and consequently a lower LHV, whereas</w:t>
      </w:r>
      <w:r w:rsidR="00470AAA">
        <w:t xml:space="preserve"> solid from</w:t>
      </w:r>
      <w:r>
        <w:t xml:space="preserve"> sample 2 presents a clean profile with a higher energy content. Although sample 2 seems to be best suited for pyrolysis</w:t>
      </w:r>
      <w:r w:rsidR="009B2B8A">
        <w:t>,</w:t>
      </w:r>
      <w:r>
        <w:t xml:space="preserve"> according to its initial characterization</w:t>
      </w:r>
      <w:r w:rsidR="009B2B8A">
        <w:t>,</w:t>
      </w:r>
      <w:r>
        <w:t xml:space="preserve"> because it yields higher quantities of oil and gas with higher LHVs, it should be mentioned here that samples 1 and 3 also yield beneficial products regardless of their varied initial composition and energy content. By examining the energy distribution, the percentage of original energy that the final co-products contain, it is apparent that approximately 75% of waste's original energy content is preserved in gas co-</w:t>
      </w:r>
      <w:r w:rsidR="009B2B8A">
        <w:t>products</w:t>
      </w:r>
      <w:r>
        <w:t xml:space="preserve"> in samples 1 and 2. In sample 3, this percentage is 66</w:t>
      </w:r>
      <w:r w:rsidR="009B2B8A">
        <w:t xml:space="preserve"> </w:t>
      </w:r>
      <w:r>
        <w:t xml:space="preserve">% but still significant. The results indicate the flexibility and efficiency of the pyrolysis process. </w:t>
      </w:r>
      <w:r w:rsidR="009B2B8A">
        <w:t>Despite</w:t>
      </w:r>
      <w:r>
        <w:t xml:space="preserve"> the intrinsic heterogeneity and variable quality of the waste materials, the process achieves high energy recovery levels in every case.</w:t>
      </w:r>
      <w:r w:rsidR="00A520BB">
        <w:t xml:space="preserve"> </w:t>
      </w:r>
      <w:r w:rsidR="004A0A9C" w:rsidRPr="0034203A">
        <w:rPr>
          <w:lang w:val="en-GB"/>
        </w:rPr>
        <w:t>S</w:t>
      </w:r>
      <w:r w:rsidR="00A520BB" w:rsidRPr="0034203A">
        <w:rPr>
          <w:lang w:val="en-GB"/>
        </w:rPr>
        <w:t>pecific consideration must be given to the presence of polyvinyl chloride (PVC), identified in samples 1 and 3 via DSC analysis. Although the amounts are limited, chlorine may redistribute across the solid, liquid, and gas phases. For potential scale-up, it will be important to assess its presence in pyrolysis products and, if necessary, implement removal systems such as NaOH scrubbers, as suggested in the literature (Marchetti et al., 2025).</w:t>
      </w:r>
      <w:r w:rsidR="00A520BB">
        <w:rPr>
          <w:lang w:val="en-GB"/>
        </w:rPr>
        <w:t xml:space="preserve"> </w:t>
      </w:r>
    </w:p>
    <w:p w14:paraId="397446E1" w14:textId="0EC0A424" w:rsidR="00B02B75" w:rsidRPr="004A0A9C" w:rsidRDefault="00B663A2" w:rsidP="009741DF">
      <w:pPr>
        <w:pStyle w:val="CETHeading1"/>
        <w:rPr>
          <w:lang w:val="en-GB"/>
        </w:rPr>
      </w:pPr>
      <w:r w:rsidRPr="00B57B36">
        <w:rPr>
          <w:lang w:val="en-GB"/>
        </w:rPr>
        <w:t>Conclusions</w:t>
      </w:r>
    </w:p>
    <w:p w14:paraId="2A4152F7" w14:textId="05ED83CB" w:rsidR="00B02B75" w:rsidRPr="00B154A1" w:rsidRDefault="009050A0" w:rsidP="009741DF">
      <w:pPr>
        <w:pStyle w:val="CETBodytext"/>
      </w:pPr>
      <w:r w:rsidRPr="0034203A">
        <w:t xml:space="preserve">The environmental challenges </w:t>
      </w:r>
      <w:r w:rsidR="009741DF" w:rsidRPr="0034203A">
        <w:t>associated with</w:t>
      </w:r>
      <w:r w:rsidRPr="0034203A">
        <w:t xml:space="preserve"> PSW management need sustainable solutions. Among different treatment</w:t>
      </w:r>
      <w:r w:rsidR="009741DF" w:rsidRPr="0034203A">
        <w:t xml:space="preserve"> methods</w:t>
      </w:r>
      <w:r w:rsidRPr="0034203A">
        <w:t>, pyrolysis has emerged as a promising alternative</w:t>
      </w:r>
      <w:r w:rsidR="00B02B75" w:rsidRPr="0034203A">
        <w:t xml:space="preserve"> due to its </w:t>
      </w:r>
      <w:r w:rsidR="009741DF" w:rsidRPr="0034203A">
        <w:t>l</w:t>
      </w:r>
      <w:r w:rsidRPr="0034203A">
        <w:t>ow carbon emissions</w:t>
      </w:r>
      <w:r w:rsidR="009741DF" w:rsidRPr="0034203A">
        <w:t xml:space="preserve"> </w:t>
      </w:r>
      <w:r w:rsidRPr="0034203A">
        <w:t xml:space="preserve">and </w:t>
      </w:r>
      <w:r w:rsidR="009741DF" w:rsidRPr="0034203A">
        <w:t xml:space="preserve">its </w:t>
      </w:r>
      <w:r w:rsidRPr="0034203A">
        <w:t>easy technolog</w:t>
      </w:r>
      <w:r w:rsidR="009741DF" w:rsidRPr="0034203A">
        <w:t>y</w:t>
      </w:r>
      <w:r w:rsidRPr="0034203A">
        <w:t>. However, while many studies</w:t>
      </w:r>
      <w:r w:rsidR="009741DF" w:rsidRPr="0034203A">
        <w:t xml:space="preserve"> have</w:t>
      </w:r>
      <w:r w:rsidRPr="0034203A">
        <w:t xml:space="preserve"> focused on virgin polymers, only a </w:t>
      </w:r>
      <w:r w:rsidR="00C74B08" w:rsidRPr="0034203A">
        <w:t>limited number have investigated</w:t>
      </w:r>
      <w:r w:rsidRPr="0034203A">
        <w:t xml:space="preserve"> real </w:t>
      </w:r>
      <w:r w:rsidR="008D7DCD" w:rsidRPr="0034203A">
        <w:t>waste materials</w:t>
      </w:r>
      <w:r w:rsidRPr="0034203A">
        <w:t xml:space="preserve">. </w:t>
      </w:r>
      <w:r w:rsidR="00C74B08" w:rsidRPr="0034203A">
        <w:t>T</w:t>
      </w:r>
      <w:r w:rsidR="001D2F5E" w:rsidRPr="0034203A">
        <w:t xml:space="preserve">his study aims </w:t>
      </w:r>
      <w:r w:rsidR="00C74B08" w:rsidRPr="0034203A">
        <w:t>to address</w:t>
      </w:r>
      <w:r w:rsidR="001D2F5E" w:rsidRPr="0034203A">
        <w:t xml:space="preserve"> th</w:t>
      </w:r>
      <w:r w:rsidR="00C74B08" w:rsidRPr="0034203A">
        <w:t>is</w:t>
      </w:r>
      <w:r w:rsidR="001D2F5E" w:rsidRPr="0034203A">
        <w:t xml:space="preserve"> gap by testing three </w:t>
      </w:r>
      <w:r w:rsidR="00C74B08" w:rsidRPr="0034203A">
        <w:t>distinct</w:t>
      </w:r>
      <w:r w:rsidR="001D2F5E" w:rsidRPr="0034203A">
        <w:t xml:space="preserve"> real PSW samples</w:t>
      </w:r>
      <w:r w:rsidR="008D7DCD" w:rsidRPr="0034203A">
        <w:t>. Specifically</w:t>
      </w:r>
      <w:r w:rsidR="00B02B75" w:rsidRPr="0034203A">
        <w:t>, t</w:t>
      </w:r>
      <w:r w:rsidR="00B02B75" w:rsidRPr="0034203A">
        <w:rPr>
          <w:lang w:val="en-GB"/>
        </w:rPr>
        <w:t>he results confirm that the proposed two-stage pyrolysis process is effective in treating heterogeneous plastic waste streams, with a significant portion of the waste energy, between 66% and 75%, successfully recovered in the form of high-calorific pyro-gas. Despite the intrinsic variability of the real PSW samples, the process consistently produced valuable gas and liquid products, suggesting robustness and adaptability. These findings highlight the potential of the process as a sustainable and scalable alternative for plastic waste management, offering a pathway to energy recovery and fossil fuel displacement.</w:t>
      </w:r>
    </w:p>
    <w:p w14:paraId="19C4FC68" w14:textId="18F00EF1" w:rsidR="004628D2" w:rsidRDefault="00600535" w:rsidP="009D7C80">
      <w:pPr>
        <w:pStyle w:val="CETReference"/>
      </w:pPr>
      <w:r w:rsidRPr="00B57B36">
        <w:t>References</w:t>
      </w:r>
    </w:p>
    <w:p w14:paraId="52DC8585" w14:textId="18731BC0" w:rsidR="00B069B3" w:rsidRDefault="00B069B3" w:rsidP="002F0B7A">
      <w:pPr>
        <w:pStyle w:val="CETReferencetext"/>
      </w:pPr>
      <w:r w:rsidRPr="00B069B3">
        <w:t xml:space="preserve">Al-Salem S.M., Lettieri P., </w:t>
      </w:r>
      <w:proofErr w:type="spellStart"/>
      <w:r w:rsidRPr="00B069B3">
        <w:t>Baeyens</w:t>
      </w:r>
      <w:proofErr w:type="spellEnd"/>
      <w:r w:rsidRPr="00B069B3">
        <w:t xml:space="preserve"> J., 2009, Recycling and recovery routes of plastic solid waste (PSW): a review, Waste Management, 29(10), 2625-2643.</w:t>
      </w:r>
    </w:p>
    <w:p w14:paraId="78E907C2" w14:textId="673A909D" w:rsidR="00CF3D62" w:rsidRDefault="00CF3D62" w:rsidP="00CF3D62">
      <w:pPr>
        <w:pStyle w:val="CETReferencetext"/>
      </w:pPr>
      <w:r w:rsidRPr="00E52BCB">
        <w:t>European Union, Eurostat, 2018, Municipal waste statistics</w:t>
      </w:r>
      <w:r>
        <w:t xml:space="preserve"> &lt;</w:t>
      </w:r>
      <w:r w:rsidRPr="00E52BCB">
        <w:t>ec.europa.eu/eurostat/statistics-explained/index.php/Municipal_waste_statistics</w:t>
      </w:r>
      <w:r>
        <w:t>&gt;</w:t>
      </w:r>
      <w:r w:rsidRPr="00E52BCB">
        <w:t xml:space="preserve"> accessed </w:t>
      </w:r>
      <w:r>
        <w:t>13</w:t>
      </w:r>
      <w:r w:rsidRPr="00E52BCB">
        <w:t>.02.2025.</w:t>
      </w:r>
    </w:p>
    <w:p w14:paraId="2175E7C0" w14:textId="77777777" w:rsidR="00CF3D62" w:rsidRDefault="00CF3D62" w:rsidP="00CF3D62">
      <w:pPr>
        <w:pStyle w:val="CETReferencetext"/>
      </w:pPr>
      <w:r w:rsidRPr="00E52BCB">
        <w:t>Green D.W., Perry R.H., 2007, Perry’s Chemical Engineers’ Handbook, 8th ed., McGraw-Hill, New York, USA.</w:t>
      </w:r>
    </w:p>
    <w:p w14:paraId="43488771" w14:textId="77777777" w:rsidR="00CF3D62" w:rsidRDefault="00CF3D62" w:rsidP="00CF3D62">
      <w:pPr>
        <w:pStyle w:val="CETReferencetext"/>
      </w:pPr>
      <w:r w:rsidRPr="00B069B3">
        <w:t>Guastaferro M., Marchetti L., Vaccari M., Nicolella C., Tognotti L., 2024, Revitalizing plastic waste with pyrolysis: a UniSim Design© simulation case study for renewable energy production from car fluff, Computer Aided Chemical Engineering, 53, 1147-1152.</w:t>
      </w:r>
    </w:p>
    <w:p w14:paraId="7A367905" w14:textId="77777777" w:rsidR="00CF3D62" w:rsidRDefault="00CF3D62" w:rsidP="00CF3D62">
      <w:pPr>
        <w:pStyle w:val="CETReferencetext"/>
      </w:pPr>
      <w:r w:rsidRPr="00E52BCB">
        <w:t xml:space="preserve">Kato H., 2021, Characterization of Polyethylene Materials by Thermal Analysis, Shimadzu Corporation, </w:t>
      </w:r>
      <w:r>
        <w:t>&lt;</w:t>
      </w:r>
      <w:r w:rsidRPr="00E52BCB">
        <w:t>www.shimadzu.com/an/sites/shimadzu.com.an/files/pim/pim_document_file/applications/application_note/14058/an_t160-en.pdf</w:t>
      </w:r>
      <w:r>
        <w:t>&gt;</w:t>
      </w:r>
      <w:r w:rsidRPr="00E52BCB">
        <w:t xml:space="preserve"> accessed 13.02.2025.</w:t>
      </w:r>
    </w:p>
    <w:p w14:paraId="6E4CDFA0" w14:textId="77777777" w:rsidR="00CF3D62" w:rsidRDefault="00CF3D62" w:rsidP="00CF3D62">
      <w:pPr>
        <w:pStyle w:val="CETReferencetext"/>
      </w:pPr>
      <w:r w:rsidRPr="00E52BCB">
        <w:t xml:space="preserve">Marchetti L., Guastaferro M., </w:t>
      </w:r>
      <w:proofErr w:type="spellStart"/>
      <w:r w:rsidRPr="00E52BCB">
        <w:t>Annunzi</w:t>
      </w:r>
      <w:proofErr w:type="spellEnd"/>
      <w:r w:rsidRPr="00E52BCB">
        <w:t xml:space="preserve"> F., Tognotti L., Nicolella C., Vaccari M., 2024, Two-stage thermal pyrolysis of plastic solid waste: set-up and operative conditions investigation for gaseous fuel production, Waste Management, 179, 77-86.</w:t>
      </w:r>
    </w:p>
    <w:p w14:paraId="24E2B93D" w14:textId="7371ED81" w:rsidR="00B02B75" w:rsidRPr="00B02B75" w:rsidRDefault="00B02B75" w:rsidP="00B02B75">
      <w:pPr>
        <w:pStyle w:val="CETReferencetext"/>
      </w:pPr>
      <w:r w:rsidRPr="0034203A">
        <w:t xml:space="preserve">Marchetti L., Guastaferro M., Vaccari M., </w:t>
      </w:r>
      <w:proofErr w:type="spellStart"/>
      <w:r w:rsidRPr="0034203A">
        <w:t>Annunzi</w:t>
      </w:r>
      <w:proofErr w:type="spellEnd"/>
      <w:r w:rsidRPr="0034203A">
        <w:t xml:space="preserve"> F., Tognotti L., Nicolella C., 2025, Feasibility study of renewable recycled carbon fuel production via plastic waste pyrolysis, Journal of Cleaner Production, 495, 145035.</w:t>
      </w:r>
    </w:p>
    <w:p w14:paraId="54E642BB" w14:textId="726D1266" w:rsidR="00CF3D62" w:rsidRDefault="00CF3D62" w:rsidP="00CF3D62">
      <w:pPr>
        <w:pStyle w:val="CETReferencetext"/>
      </w:pPr>
      <w:proofErr w:type="spellStart"/>
      <w:r w:rsidRPr="00E52BCB">
        <w:t>Nayanathara</w:t>
      </w:r>
      <w:proofErr w:type="spellEnd"/>
      <w:r w:rsidRPr="00E52BCB">
        <w:t xml:space="preserve"> </w:t>
      </w:r>
      <w:proofErr w:type="spellStart"/>
      <w:r w:rsidRPr="00E52BCB">
        <w:t>Thathsarani</w:t>
      </w:r>
      <w:proofErr w:type="spellEnd"/>
      <w:r w:rsidRPr="00E52BCB">
        <w:t xml:space="preserve"> </w:t>
      </w:r>
      <w:proofErr w:type="spellStart"/>
      <w:r w:rsidRPr="00E52BCB">
        <w:t>Pilapitiya</w:t>
      </w:r>
      <w:proofErr w:type="spellEnd"/>
      <w:r w:rsidRPr="00E52BCB">
        <w:t xml:space="preserve"> P.G.C., Ratnayake A.S., 2024, The world of plastic waste: a review, Cleaner Materials, 11, 100220.</w:t>
      </w:r>
    </w:p>
    <w:p w14:paraId="1C73B38D" w14:textId="5D67B61C" w:rsidR="00CF3D62" w:rsidRDefault="00CF3D62" w:rsidP="00CF3D62">
      <w:pPr>
        <w:pStyle w:val="CETReferencetext"/>
      </w:pPr>
      <w:r w:rsidRPr="00B069B3">
        <w:t>NETZSCH</w:t>
      </w:r>
      <w:r>
        <w:t xml:space="preserve">, </w:t>
      </w:r>
      <w:r w:rsidRPr="00B069B3">
        <w:t>Factors Influencing the DSC and TGA Measurement Results</w:t>
      </w:r>
      <w:r>
        <w:t xml:space="preserve"> </w:t>
      </w:r>
      <w:r w:rsidRPr="00CF3D62">
        <w:t>&lt;analyzing-testing.netzsch.com/en/know-how/tips-tricks/tga/factors-influencing-the-dsc-and-tga-measurements-results-1</w:t>
      </w:r>
      <w:r>
        <w:t>&gt; accessed 13.02.2025.</w:t>
      </w:r>
    </w:p>
    <w:sectPr w:rsidR="00CF3D6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B28DE" w14:textId="77777777" w:rsidR="00897215" w:rsidRDefault="00897215" w:rsidP="004F5E36">
      <w:r>
        <w:separator/>
      </w:r>
    </w:p>
  </w:endnote>
  <w:endnote w:type="continuationSeparator" w:id="0">
    <w:p w14:paraId="2A4C96E0" w14:textId="77777777" w:rsidR="00897215" w:rsidRDefault="0089721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17BCB" w14:textId="77777777" w:rsidR="00897215" w:rsidRDefault="00897215" w:rsidP="004F5E36">
      <w:r>
        <w:separator/>
      </w:r>
    </w:p>
  </w:footnote>
  <w:footnote w:type="continuationSeparator" w:id="0">
    <w:p w14:paraId="4EC44D81" w14:textId="77777777" w:rsidR="00897215" w:rsidRDefault="0089721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69FC"/>
    <w:rsid w:val="00030E34"/>
    <w:rsid w:val="0003148D"/>
    <w:rsid w:val="0003165B"/>
    <w:rsid w:val="00031EEC"/>
    <w:rsid w:val="000434BE"/>
    <w:rsid w:val="00050D6E"/>
    <w:rsid w:val="00051566"/>
    <w:rsid w:val="000562A9"/>
    <w:rsid w:val="00062A9A"/>
    <w:rsid w:val="00065058"/>
    <w:rsid w:val="00077FBB"/>
    <w:rsid w:val="0008523C"/>
    <w:rsid w:val="00086C39"/>
    <w:rsid w:val="000A03B2"/>
    <w:rsid w:val="000B65E4"/>
    <w:rsid w:val="000D00C2"/>
    <w:rsid w:val="000D0268"/>
    <w:rsid w:val="000D34BE"/>
    <w:rsid w:val="000E0B3C"/>
    <w:rsid w:val="000E102F"/>
    <w:rsid w:val="000E323F"/>
    <w:rsid w:val="000E3432"/>
    <w:rsid w:val="000E36F1"/>
    <w:rsid w:val="000E3A73"/>
    <w:rsid w:val="000E414A"/>
    <w:rsid w:val="000E625B"/>
    <w:rsid w:val="000E75FD"/>
    <w:rsid w:val="000F093C"/>
    <w:rsid w:val="000F4856"/>
    <w:rsid w:val="000F787B"/>
    <w:rsid w:val="00105EF4"/>
    <w:rsid w:val="001131B4"/>
    <w:rsid w:val="0011402D"/>
    <w:rsid w:val="00117DBC"/>
    <w:rsid w:val="00120508"/>
    <w:rsid w:val="0012091F"/>
    <w:rsid w:val="00126BC2"/>
    <w:rsid w:val="00127AD1"/>
    <w:rsid w:val="001308B6"/>
    <w:rsid w:val="0013121F"/>
    <w:rsid w:val="00131FE6"/>
    <w:rsid w:val="0013263F"/>
    <w:rsid w:val="001331DF"/>
    <w:rsid w:val="00134DE4"/>
    <w:rsid w:val="0014034D"/>
    <w:rsid w:val="00140FE3"/>
    <w:rsid w:val="00144D16"/>
    <w:rsid w:val="00150E59"/>
    <w:rsid w:val="00152DE3"/>
    <w:rsid w:val="001545A3"/>
    <w:rsid w:val="00164CF9"/>
    <w:rsid w:val="001667A6"/>
    <w:rsid w:val="0018171E"/>
    <w:rsid w:val="00184AD6"/>
    <w:rsid w:val="001930B9"/>
    <w:rsid w:val="00197B89"/>
    <w:rsid w:val="001A4AF7"/>
    <w:rsid w:val="001B0349"/>
    <w:rsid w:val="001B04B3"/>
    <w:rsid w:val="001B1220"/>
    <w:rsid w:val="001B1E93"/>
    <w:rsid w:val="001B65C1"/>
    <w:rsid w:val="001C260F"/>
    <w:rsid w:val="001C5C3A"/>
    <w:rsid w:val="001C684B"/>
    <w:rsid w:val="001D0CFB"/>
    <w:rsid w:val="001D21AF"/>
    <w:rsid w:val="001D2F5E"/>
    <w:rsid w:val="001D53FC"/>
    <w:rsid w:val="001E2B47"/>
    <w:rsid w:val="001F42A5"/>
    <w:rsid w:val="001F7B9D"/>
    <w:rsid w:val="002011F5"/>
    <w:rsid w:val="00201C93"/>
    <w:rsid w:val="002174FA"/>
    <w:rsid w:val="002224B4"/>
    <w:rsid w:val="00224BD5"/>
    <w:rsid w:val="0024374F"/>
    <w:rsid w:val="002447EF"/>
    <w:rsid w:val="00246892"/>
    <w:rsid w:val="00250A82"/>
    <w:rsid w:val="00251550"/>
    <w:rsid w:val="002516F0"/>
    <w:rsid w:val="00263B05"/>
    <w:rsid w:val="002659F9"/>
    <w:rsid w:val="0027221A"/>
    <w:rsid w:val="002723C7"/>
    <w:rsid w:val="00275B61"/>
    <w:rsid w:val="00280FAF"/>
    <w:rsid w:val="00282656"/>
    <w:rsid w:val="00296B83"/>
    <w:rsid w:val="002972E5"/>
    <w:rsid w:val="002B4015"/>
    <w:rsid w:val="002B78CE"/>
    <w:rsid w:val="002C2FB6"/>
    <w:rsid w:val="002D2896"/>
    <w:rsid w:val="002D444B"/>
    <w:rsid w:val="002E5FA7"/>
    <w:rsid w:val="002F0B7A"/>
    <w:rsid w:val="002F3309"/>
    <w:rsid w:val="003008CE"/>
    <w:rsid w:val="003009B7"/>
    <w:rsid w:val="00300E56"/>
    <w:rsid w:val="0030152C"/>
    <w:rsid w:val="0030469C"/>
    <w:rsid w:val="00307482"/>
    <w:rsid w:val="00315BF6"/>
    <w:rsid w:val="00320F9B"/>
    <w:rsid w:val="0032124C"/>
    <w:rsid w:val="00321CA6"/>
    <w:rsid w:val="00323763"/>
    <w:rsid w:val="00323C5F"/>
    <w:rsid w:val="00334C09"/>
    <w:rsid w:val="0034203A"/>
    <w:rsid w:val="0035042F"/>
    <w:rsid w:val="00350F83"/>
    <w:rsid w:val="003526BF"/>
    <w:rsid w:val="00354EB8"/>
    <w:rsid w:val="003577C7"/>
    <w:rsid w:val="0036258A"/>
    <w:rsid w:val="00365A70"/>
    <w:rsid w:val="00370995"/>
    <w:rsid w:val="003723D4"/>
    <w:rsid w:val="003764D9"/>
    <w:rsid w:val="003813A1"/>
    <w:rsid w:val="00381905"/>
    <w:rsid w:val="00384CC8"/>
    <w:rsid w:val="0038656A"/>
    <w:rsid w:val="003871FD"/>
    <w:rsid w:val="003904D3"/>
    <w:rsid w:val="00392354"/>
    <w:rsid w:val="00396428"/>
    <w:rsid w:val="003A1E30"/>
    <w:rsid w:val="003A2829"/>
    <w:rsid w:val="003A7D1C"/>
    <w:rsid w:val="003B0B91"/>
    <w:rsid w:val="003B304B"/>
    <w:rsid w:val="003B3146"/>
    <w:rsid w:val="003B49CD"/>
    <w:rsid w:val="003C5D22"/>
    <w:rsid w:val="003D1194"/>
    <w:rsid w:val="003D1E02"/>
    <w:rsid w:val="003F015E"/>
    <w:rsid w:val="004003DD"/>
    <w:rsid w:val="00400414"/>
    <w:rsid w:val="0040467D"/>
    <w:rsid w:val="00406563"/>
    <w:rsid w:val="0041446B"/>
    <w:rsid w:val="0042432E"/>
    <w:rsid w:val="0044071E"/>
    <w:rsid w:val="0044329C"/>
    <w:rsid w:val="0045210B"/>
    <w:rsid w:val="00453E24"/>
    <w:rsid w:val="00457456"/>
    <w:rsid w:val="004577FE"/>
    <w:rsid w:val="00457B9C"/>
    <w:rsid w:val="0046164A"/>
    <w:rsid w:val="00461A0F"/>
    <w:rsid w:val="004628D2"/>
    <w:rsid w:val="00462DCD"/>
    <w:rsid w:val="004648AD"/>
    <w:rsid w:val="004703A9"/>
    <w:rsid w:val="00470AAA"/>
    <w:rsid w:val="004760DE"/>
    <w:rsid w:val="004763D7"/>
    <w:rsid w:val="00480D97"/>
    <w:rsid w:val="004834C9"/>
    <w:rsid w:val="004919E8"/>
    <w:rsid w:val="00491C4D"/>
    <w:rsid w:val="004942A6"/>
    <w:rsid w:val="004A004E"/>
    <w:rsid w:val="004A0A9C"/>
    <w:rsid w:val="004A24CF"/>
    <w:rsid w:val="004B6744"/>
    <w:rsid w:val="004C3D1D"/>
    <w:rsid w:val="004C3D84"/>
    <w:rsid w:val="004C569E"/>
    <w:rsid w:val="004C7913"/>
    <w:rsid w:val="004D74F0"/>
    <w:rsid w:val="004E2B84"/>
    <w:rsid w:val="004E4DD6"/>
    <w:rsid w:val="004F0707"/>
    <w:rsid w:val="004F5E36"/>
    <w:rsid w:val="00507B47"/>
    <w:rsid w:val="00507BEF"/>
    <w:rsid w:val="00507CC9"/>
    <w:rsid w:val="005119A5"/>
    <w:rsid w:val="005265EE"/>
    <w:rsid w:val="005278B7"/>
    <w:rsid w:val="00530D0F"/>
    <w:rsid w:val="00532016"/>
    <w:rsid w:val="005346C8"/>
    <w:rsid w:val="00536604"/>
    <w:rsid w:val="005411E0"/>
    <w:rsid w:val="00543E7D"/>
    <w:rsid w:val="00547A68"/>
    <w:rsid w:val="005527A3"/>
    <w:rsid w:val="005531C9"/>
    <w:rsid w:val="00554879"/>
    <w:rsid w:val="00557BF9"/>
    <w:rsid w:val="00565536"/>
    <w:rsid w:val="005703D8"/>
    <w:rsid w:val="00570C43"/>
    <w:rsid w:val="00571D61"/>
    <w:rsid w:val="005820A4"/>
    <w:rsid w:val="005849C0"/>
    <w:rsid w:val="00592274"/>
    <w:rsid w:val="005A38FE"/>
    <w:rsid w:val="005A48C4"/>
    <w:rsid w:val="005A4E4B"/>
    <w:rsid w:val="005A6982"/>
    <w:rsid w:val="005B2110"/>
    <w:rsid w:val="005B2E45"/>
    <w:rsid w:val="005B350B"/>
    <w:rsid w:val="005B61E6"/>
    <w:rsid w:val="005B782A"/>
    <w:rsid w:val="005C03A9"/>
    <w:rsid w:val="005C77E1"/>
    <w:rsid w:val="005C79BF"/>
    <w:rsid w:val="005D4C66"/>
    <w:rsid w:val="005D668A"/>
    <w:rsid w:val="005D6A2F"/>
    <w:rsid w:val="005E0592"/>
    <w:rsid w:val="005E1A82"/>
    <w:rsid w:val="005E33E5"/>
    <w:rsid w:val="005E794C"/>
    <w:rsid w:val="005F0A28"/>
    <w:rsid w:val="005F0E5E"/>
    <w:rsid w:val="00600535"/>
    <w:rsid w:val="00600AF4"/>
    <w:rsid w:val="00610CD6"/>
    <w:rsid w:val="00620DEE"/>
    <w:rsid w:val="00621F92"/>
    <w:rsid w:val="0062280A"/>
    <w:rsid w:val="006231E1"/>
    <w:rsid w:val="00625639"/>
    <w:rsid w:val="00626B1C"/>
    <w:rsid w:val="00630CAA"/>
    <w:rsid w:val="00631B33"/>
    <w:rsid w:val="0064184D"/>
    <w:rsid w:val="006422CC"/>
    <w:rsid w:val="00646715"/>
    <w:rsid w:val="00651D18"/>
    <w:rsid w:val="00657DB9"/>
    <w:rsid w:val="00660490"/>
    <w:rsid w:val="00660E3E"/>
    <w:rsid w:val="00662E74"/>
    <w:rsid w:val="00663621"/>
    <w:rsid w:val="00666A24"/>
    <w:rsid w:val="00666B68"/>
    <w:rsid w:val="00680C23"/>
    <w:rsid w:val="00683E23"/>
    <w:rsid w:val="00693766"/>
    <w:rsid w:val="006A3281"/>
    <w:rsid w:val="006A6DE5"/>
    <w:rsid w:val="006B2B92"/>
    <w:rsid w:val="006B4888"/>
    <w:rsid w:val="006B7F3E"/>
    <w:rsid w:val="006C2E45"/>
    <w:rsid w:val="006C359C"/>
    <w:rsid w:val="006C5579"/>
    <w:rsid w:val="006D6E8B"/>
    <w:rsid w:val="006D7209"/>
    <w:rsid w:val="006E737D"/>
    <w:rsid w:val="006F356C"/>
    <w:rsid w:val="007059FB"/>
    <w:rsid w:val="00707DD1"/>
    <w:rsid w:val="00713973"/>
    <w:rsid w:val="00720A24"/>
    <w:rsid w:val="00722AC4"/>
    <w:rsid w:val="00722BC4"/>
    <w:rsid w:val="00732386"/>
    <w:rsid w:val="0073514D"/>
    <w:rsid w:val="007447F3"/>
    <w:rsid w:val="0075499F"/>
    <w:rsid w:val="007661C8"/>
    <w:rsid w:val="0076691C"/>
    <w:rsid w:val="0077098D"/>
    <w:rsid w:val="00784132"/>
    <w:rsid w:val="00785BF9"/>
    <w:rsid w:val="00786F9D"/>
    <w:rsid w:val="007931FA"/>
    <w:rsid w:val="0079331A"/>
    <w:rsid w:val="007A4861"/>
    <w:rsid w:val="007A6882"/>
    <w:rsid w:val="007A7BBA"/>
    <w:rsid w:val="007B0C50"/>
    <w:rsid w:val="007B48F9"/>
    <w:rsid w:val="007B7F30"/>
    <w:rsid w:val="007C1868"/>
    <w:rsid w:val="007C1A43"/>
    <w:rsid w:val="007C34A7"/>
    <w:rsid w:val="007C36E9"/>
    <w:rsid w:val="007C695F"/>
    <w:rsid w:val="007D0951"/>
    <w:rsid w:val="007D1799"/>
    <w:rsid w:val="007D43E3"/>
    <w:rsid w:val="007D610D"/>
    <w:rsid w:val="007E11BD"/>
    <w:rsid w:val="007F20E6"/>
    <w:rsid w:val="007F2ED3"/>
    <w:rsid w:val="0080013E"/>
    <w:rsid w:val="00801759"/>
    <w:rsid w:val="00801EF0"/>
    <w:rsid w:val="00813288"/>
    <w:rsid w:val="008168FC"/>
    <w:rsid w:val="00830669"/>
    <w:rsid w:val="00830996"/>
    <w:rsid w:val="00830D08"/>
    <w:rsid w:val="008345F1"/>
    <w:rsid w:val="008407E0"/>
    <w:rsid w:val="00865B07"/>
    <w:rsid w:val="008667EA"/>
    <w:rsid w:val="0087204C"/>
    <w:rsid w:val="0087637F"/>
    <w:rsid w:val="00881976"/>
    <w:rsid w:val="008828B2"/>
    <w:rsid w:val="008832AA"/>
    <w:rsid w:val="0088395E"/>
    <w:rsid w:val="00892AD5"/>
    <w:rsid w:val="00895FA5"/>
    <w:rsid w:val="00897215"/>
    <w:rsid w:val="008A1512"/>
    <w:rsid w:val="008A3D74"/>
    <w:rsid w:val="008A7FE5"/>
    <w:rsid w:val="008D12F5"/>
    <w:rsid w:val="008D32B9"/>
    <w:rsid w:val="008D433B"/>
    <w:rsid w:val="008D4A16"/>
    <w:rsid w:val="008D7DCD"/>
    <w:rsid w:val="008E5401"/>
    <w:rsid w:val="008E566E"/>
    <w:rsid w:val="008E70AA"/>
    <w:rsid w:val="0090161A"/>
    <w:rsid w:val="009018CC"/>
    <w:rsid w:val="00901EB6"/>
    <w:rsid w:val="009041F8"/>
    <w:rsid w:val="00904C62"/>
    <w:rsid w:val="009050A0"/>
    <w:rsid w:val="00921FA1"/>
    <w:rsid w:val="00922BA8"/>
    <w:rsid w:val="00924DAC"/>
    <w:rsid w:val="00927058"/>
    <w:rsid w:val="00932044"/>
    <w:rsid w:val="00937112"/>
    <w:rsid w:val="00942750"/>
    <w:rsid w:val="009450CE"/>
    <w:rsid w:val="009459BB"/>
    <w:rsid w:val="00946888"/>
    <w:rsid w:val="00947179"/>
    <w:rsid w:val="0095164B"/>
    <w:rsid w:val="00954090"/>
    <w:rsid w:val="009573E7"/>
    <w:rsid w:val="00963E05"/>
    <w:rsid w:val="00964A45"/>
    <w:rsid w:val="00967843"/>
    <w:rsid w:val="00967D54"/>
    <w:rsid w:val="00971028"/>
    <w:rsid w:val="009725BE"/>
    <w:rsid w:val="00973AF1"/>
    <w:rsid w:val="009741DF"/>
    <w:rsid w:val="00993B84"/>
    <w:rsid w:val="0099450B"/>
    <w:rsid w:val="00994C6A"/>
    <w:rsid w:val="00996483"/>
    <w:rsid w:val="00996F5A"/>
    <w:rsid w:val="009B041A"/>
    <w:rsid w:val="009B2B8A"/>
    <w:rsid w:val="009C37C3"/>
    <w:rsid w:val="009C7C86"/>
    <w:rsid w:val="009D2FF7"/>
    <w:rsid w:val="009D7C80"/>
    <w:rsid w:val="009E7884"/>
    <w:rsid w:val="009E788A"/>
    <w:rsid w:val="009F0E08"/>
    <w:rsid w:val="00A000D2"/>
    <w:rsid w:val="00A079AE"/>
    <w:rsid w:val="00A13287"/>
    <w:rsid w:val="00A1763D"/>
    <w:rsid w:val="00A17CEC"/>
    <w:rsid w:val="00A269F3"/>
    <w:rsid w:val="00A27EF0"/>
    <w:rsid w:val="00A30AC7"/>
    <w:rsid w:val="00A42361"/>
    <w:rsid w:val="00A44CE4"/>
    <w:rsid w:val="00A50B20"/>
    <w:rsid w:val="00A51390"/>
    <w:rsid w:val="00A519B1"/>
    <w:rsid w:val="00A51C71"/>
    <w:rsid w:val="00A520BB"/>
    <w:rsid w:val="00A60D13"/>
    <w:rsid w:val="00A7223D"/>
    <w:rsid w:val="00A72745"/>
    <w:rsid w:val="00A73704"/>
    <w:rsid w:val="00A76EFC"/>
    <w:rsid w:val="00A83C36"/>
    <w:rsid w:val="00A87D50"/>
    <w:rsid w:val="00A91010"/>
    <w:rsid w:val="00A97758"/>
    <w:rsid w:val="00A97F29"/>
    <w:rsid w:val="00AA21AB"/>
    <w:rsid w:val="00AA702E"/>
    <w:rsid w:val="00AA7D26"/>
    <w:rsid w:val="00AB0964"/>
    <w:rsid w:val="00AB5011"/>
    <w:rsid w:val="00AC0052"/>
    <w:rsid w:val="00AC7368"/>
    <w:rsid w:val="00AD13FB"/>
    <w:rsid w:val="00AD16B9"/>
    <w:rsid w:val="00AE377D"/>
    <w:rsid w:val="00AF0EBA"/>
    <w:rsid w:val="00AF1DEA"/>
    <w:rsid w:val="00AF2463"/>
    <w:rsid w:val="00B02B75"/>
    <w:rsid w:val="00B02C8A"/>
    <w:rsid w:val="00B069B3"/>
    <w:rsid w:val="00B06ED6"/>
    <w:rsid w:val="00B154A1"/>
    <w:rsid w:val="00B17FBD"/>
    <w:rsid w:val="00B25EC5"/>
    <w:rsid w:val="00B27540"/>
    <w:rsid w:val="00B315A6"/>
    <w:rsid w:val="00B31813"/>
    <w:rsid w:val="00B33365"/>
    <w:rsid w:val="00B361B8"/>
    <w:rsid w:val="00B37FD4"/>
    <w:rsid w:val="00B57B36"/>
    <w:rsid w:val="00B57E6F"/>
    <w:rsid w:val="00B663A2"/>
    <w:rsid w:val="00B84D76"/>
    <w:rsid w:val="00B8686D"/>
    <w:rsid w:val="00B93E05"/>
    <w:rsid w:val="00B93F69"/>
    <w:rsid w:val="00B9520C"/>
    <w:rsid w:val="00BA146C"/>
    <w:rsid w:val="00BB1DDC"/>
    <w:rsid w:val="00BC30C9"/>
    <w:rsid w:val="00BD077D"/>
    <w:rsid w:val="00BD2C1E"/>
    <w:rsid w:val="00BD4E52"/>
    <w:rsid w:val="00BE3E58"/>
    <w:rsid w:val="00BE44E0"/>
    <w:rsid w:val="00BF0935"/>
    <w:rsid w:val="00BF13CE"/>
    <w:rsid w:val="00C01616"/>
    <w:rsid w:val="00C0162B"/>
    <w:rsid w:val="00C024B6"/>
    <w:rsid w:val="00C068ED"/>
    <w:rsid w:val="00C1029E"/>
    <w:rsid w:val="00C22E0C"/>
    <w:rsid w:val="00C32C7D"/>
    <w:rsid w:val="00C345B1"/>
    <w:rsid w:val="00C40142"/>
    <w:rsid w:val="00C52C3C"/>
    <w:rsid w:val="00C57182"/>
    <w:rsid w:val="00C57863"/>
    <w:rsid w:val="00C640AF"/>
    <w:rsid w:val="00C655FD"/>
    <w:rsid w:val="00C72E9E"/>
    <w:rsid w:val="00C74B08"/>
    <w:rsid w:val="00C75407"/>
    <w:rsid w:val="00C81E7D"/>
    <w:rsid w:val="00C841C6"/>
    <w:rsid w:val="00C870A8"/>
    <w:rsid w:val="00C94434"/>
    <w:rsid w:val="00CA0D75"/>
    <w:rsid w:val="00CA1C95"/>
    <w:rsid w:val="00CA5A9C"/>
    <w:rsid w:val="00CB5E47"/>
    <w:rsid w:val="00CC291A"/>
    <w:rsid w:val="00CC4C20"/>
    <w:rsid w:val="00CD3517"/>
    <w:rsid w:val="00CD5FE2"/>
    <w:rsid w:val="00CE7C68"/>
    <w:rsid w:val="00CF3D62"/>
    <w:rsid w:val="00CF513E"/>
    <w:rsid w:val="00CF7436"/>
    <w:rsid w:val="00D02B4C"/>
    <w:rsid w:val="00D040C4"/>
    <w:rsid w:val="00D04730"/>
    <w:rsid w:val="00D10D25"/>
    <w:rsid w:val="00D14668"/>
    <w:rsid w:val="00D20AD1"/>
    <w:rsid w:val="00D22216"/>
    <w:rsid w:val="00D257DA"/>
    <w:rsid w:val="00D2582C"/>
    <w:rsid w:val="00D46B7E"/>
    <w:rsid w:val="00D47A0C"/>
    <w:rsid w:val="00D57C84"/>
    <w:rsid w:val="00D6057D"/>
    <w:rsid w:val="00D66DCE"/>
    <w:rsid w:val="00D71640"/>
    <w:rsid w:val="00D73FD9"/>
    <w:rsid w:val="00D81452"/>
    <w:rsid w:val="00D836C5"/>
    <w:rsid w:val="00D84576"/>
    <w:rsid w:val="00D92E04"/>
    <w:rsid w:val="00D95296"/>
    <w:rsid w:val="00D9656C"/>
    <w:rsid w:val="00DA1399"/>
    <w:rsid w:val="00DA1CF8"/>
    <w:rsid w:val="00DA24C6"/>
    <w:rsid w:val="00DA4D7B"/>
    <w:rsid w:val="00DC2840"/>
    <w:rsid w:val="00DC73EE"/>
    <w:rsid w:val="00DD271C"/>
    <w:rsid w:val="00DD38E3"/>
    <w:rsid w:val="00DE1FF2"/>
    <w:rsid w:val="00DE264A"/>
    <w:rsid w:val="00DF2BDE"/>
    <w:rsid w:val="00DF5072"/>
    <w:rsid w:val="00DF5EAB"/>
    <w:rsid w:val="00E00E12"/>
    <w:rsid w:val="00E02D18"/>
    <w:rsid w:val="00E041E7"/>
    <w:rsid w:val="00E167EF"/>
    <w:rsid w:val="00E2067F"/>
    <w:rsid w:val="00E23CA1"/>
    <w:rsid w:val="00E255EF"/>
    <w:rsid w:val="00E2643A"/>
    <w:rsid w:val="00E409A8"/>
    <w:rsid w:val="00E4121D"/>
    <w:rsid w:val="00E42E60"/>
    <w:rsid w:val="00E45ABE"/>
    <w:rsid w:val="00E50C12"/>
    <w:rsid w:val="00E52BCB"/>
    <w:rsid w:val="00E642D5"/>
    <w:rsid w:val="00E65B91"/>
    <w:rsid w:val="00E7209D"/>
    <w:rsid w:val="00E72EAD"/>
    <w:rsid w:val="00E75EC5"/>
    <w:rsid w:val="00E77223"/>
    <w:rsid w:val="00E8528B"/>
    <w:rsid w:val="00E85B94"/>
    <w:rsid w:val="00E978D0"/>
    <w:rsid w:val="00EA4613"/>
    <w:rsid w:val="00EA7F91"/>
    <w:rsid w:val="00EB1523"/>
    <w:rsid w:val="00EC0E49"/>
    <w:rsid w:val="00EC101F"/>
    <w:rsid w:val="00EC1D9F"/>
    <w:rsid w:val="00ED2699"/>
    <w:rsid w:val="00EE0131"/>
    <w:rsid w:val="00EE17B0"/>
    <w:rsid w:val="00EE7B60"/>
    <w:rsid w:val="00EF06D9"/>
    <w:rsid w:val="00EF4307"/>
    <w:rsid w:val="00EF5879"/>
    <w:rsid w:val="00F00E81"/>
    <w:rsid w:val="00F15162"/>
    <w:rsid w:val="00F3049E"/>
    <w:rsid w:val="00F30C64"/>
    <w:rsid w:val="00F3135E"/>
    <w:rsid w:val="00F31AE5"/>
    <w:rsid w:val="00F32BA2"/>
    <w:rsid w:val="00F32CDB"/>
    <w:rsid w:val="00F34544"/>
    <w:rsid w:val="00F41EE4"/>
    <w:rsid w:val="00F565FE"/>
    <w:rsid w:val="00F63A70"/>
    <w:rsid w:val="00F63D8C"/>
    <w:rsid w:val="00F663AE"/>
    <w:rsid w:val="00F7534E"/>
    <w:rsid w:val="00F93EDF"/>
    <w:rsid w:val="00F9502D"/>
    <w:rsid w:val="00F97E60"/>
    <w:rsid w:val="00FA1802"/>
    <w:rsid w:val="00FA21D0"/>
    <w:rsid w:val="00FA542A"/>
    <w:rsid w:val="00FA5F5F"/>
    <w:rsid w:val="00FB0976"/>
    <w:rsid w:val="00FB5A15"/>
    <w:rsid w:val="00FB730C"/>
    <w:rsid w:val="00FC2695"/>
    <w:rsid w:val="00FC3E03"/>
    <w:rsid w:val="00FC3FC1"/>
    <w:rsid w:val="00FD0C5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973AF1"/>
    <w:rPr>
      <w:color w:val="605E5C"/>
      <w:shd w:val="clear" w:color="auto" w:fill="E1DFDD"/>
    </w:rPr>
  </w:style>
  <w:style w:type="character" w:styleId="Collegamentovisitato">
    <w:name w:val="FollowedHyperlink"/>
    <w:basedOn w:val="Carpredefinitoparagrafo"/>
    <w:uiPriority w:val="99"/>
    <w:semiHidden/>
    <w:unhideWhenUsed/>
    <w:rsid w:val="00CF3D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60387">
      <w:bodyDiv w:val="1"/>
      <w:marLeft w:val="0"/>
      <w:marRight w:val="0"/>
      <w:marTop w:val="0"/>
      <w:marBottom w:val="0"/>
      <w:divBdr>
        <w:top w:val="none" w:sz="0" w:space="0" w:color="auto"/>
        <w:left w:val="none" w:sz="0" w:space="0" w:color="auto"/>
        <w:bottom w:val="none" w:sz="0" w:space="0" w:color="auto"/>
        <w:right w:val="none" w:sz="0" w:space="0" w:color="auto"/>
      </w:divBdr>
    </w:div>
    <w:div w:id="255797439">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45332850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4141">
      <w:bodyDiv w:val="1"/>
      <w:marLeft w:val="0"/>
      <w:marRight w:val="0"/>
      <w:marTop w:val="0"/>
      <w:marBottom w:val="0"/>
      <w:divBdr>
        <w:top w:val="none" w:sz="0" w:space="0" w:color="auto"/>
        <w:left w:val="none" w:sz="0" w:space="0" w:color="auto"/>
        <w:bottom w:val="none" w:sz="0" w:space="0" w:color="auto"/>
        <w:right w:val="none" w:sz="0" w:space="0" w:color="auto"/>
      </w:divBdr>
    </w:div>
    <w:div w:id="1084841187">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70382762">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3154">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15104749">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letizia.marchetti@phd.unipi.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6</Pages>
  <Words>3027</Words>
  <Characters>17258</Characters>
  <Application>Microsoft Office Word</Application>
  <DocSecurity>0</DocSecurity>
  <Lines>143</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Letizia Marchetti</cp:lastModifiedBy>
  <cp:revision>220</cp:revision>
  <cp:lastPrinted>2015-05-12T18:31:00Z</cp:lastPrinted>
  <dcterms:created xsi:type="dcterms:W3CDTF">2024-02-20T10:29:00Z</dcterms:created>
  <dcterms:modified xsi:type="dcterms:W3CDTF">2025-06-05T08:24:00Z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