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66317B">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66317B">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66317B">
        <w:trPr>
          <w:trHeight w:val="68"/>
          <w:jc w:val="center"/>
        </w:trPr>
        <w:tc>
          <w:tcPr>
            <w:tcW w:w="8782" w:type="dxa"/>
            <w:gridSpan w:val="2"/>
          </w:tcPr>
          <w:p w14:paraId="1D8DD3C9" w14:textId="0F721BB9" w:rsidR="00AA7D26" w:rsidRPr="008832AA" w:rsidRDefault="00AA7D26" w:rsidP="008832AA">
            <w:pPr>
              <w:ind w:left="-107"/>
              <w:outlineLvl w:val="2"/>
              <w:rPr>
                <w:rFonts w:ascii="Aptos" w:eastAsiaTheme="minorHAnsi" w:hAnsi="Aptos" w:cs="Aptos"/>
                <w:sz w:val="22"/>
                <w:szCs w:val="22"/>
                <w:lang w:val="it-IT"/>
                <w14:ligatures w14:val="standardContextual"/>
              </w:rPr>
            </w:pPr>
            <w:r w:rsidRPr="007D610D">
              <w:rPr>
                <w:rFonts w:ascii="Tahoma" w:hAnsi="Tahoma" w:cs="Tahoma"/>
                <w:iCs/>
                <w:color w:val="333333"/>
                <w:sz w:val="14"/>
                <w:szCs w:val="14"/>
                <w:lang w:val="it-IT" w:eastAsia="it-IT"/>
              </w:rPr>
              <w:t>Guest Editors:</w:t>
            </w:r>
            <w:r w:rsidR="008832AA" w:rsidRPr="008832AA">
              <w:rPr>
                <w:rFonts w:ascii="Aptos" w:eastAsiaTheme="minorHAnsi" w:hAnsi="Aptos" w:cs="Aptos"/>
                <w:sz w:val="22"/>
                <w:szCs w:val="22"/>
                <w:lang w:val="it-IT"/>
              </w:rPr>
              <w:t xml:space="preserve"> </w:t>
            </w:r>
            <w:r w:rsidR="008832AA" w:rsidRPr="008832AA">
              <w:rPr>
                <w:rFonts w:ascii="Tahoma" w:eastAsiaTheme="minorHAnsi" w:hAnsi="Tahoma" w:cs="Tahoma"/>
                <w:sz w:val="14"/>
                <w:szCs w:val="14"/>
                <w:lang w:val="it-IT"/>
                <w14:ligatures w14:val="standardContextual"/>
              </w:rPr>
              <w:t>David Bogle, Flavio Manenti, Piero Salatino</w:t>
            </w:r>
          </w:p>
          <w:p w14:paraId="1B0F1814" w14:textId="39433521"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3904D3">
              <w:rPr>
                <w:rFonts w:ascii="Tahoma" w:hAnsi="Tahoma" w:cs="Tahoma"/>
                <w:sz w:val="14"/>
                <w:szCs w:val="14"/>
              </w:rPr>
              <w:t>21</w:t>
            </w:r>
            <w:r w:rsidR="003B49CD" w:rsidRPr="003904D3">
              <w:rPr>
                <w:rFonts w:ascii="Tahoma" w:hAnsi="Tahoma" w:cs="Tahoma"/>
                <w:sz w:val="14"/>
                <w:szCs w:val="14"/>
              </w:rPr>
              <w:t>-</w:t>
            </w:r>
            <w:r w:rsidR="003904D3">
              <w:rPr>
                <w:rFonts w:ascii="Tahoma" w:hAnsi="Tahoma" w:cs="Tahoma"/>
                <w:sz w:val="14"/>
                <w:szCs w:val="14"/>
              </w:rPr>
              <w:t>2</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121CD011" w:rsidR="00E978D0" w:rsidRPr="00B57B36" w:rsidRDefault="0066317B" w:rsidP="0066317B">
      <w:pPr>
        <w:pStyle w:val="CETTitle"/>
      </w:pPr>
      <w:r>
        <w:t xml:space="preserve"> </w:t>
      </w:r>
      <w:r w:rsidRPr="0066317B">
        <w:t>Open-source Automation of Aspen Plus simulation and</w:t>
      </w:r>
      <w:r w:rsidRPr="0066317B">
        <w:rPr>
          <w:b/>
          <w:bCs/>
          <w:szCs w:val="32"/>
        </w:rPr>
        <w:t xml:space="preserve"> </w:t>
      </w:r>
      <w:r w:rsidRPr="0066317B">
        <w:t>Life Cycle Assessment fo</w:t>
      </w:r>
      <w:r w:rsidR="0050253A" w:rsidRPr="0050253A">
        <w:t>r Carbon Capture: From Automation to Intelligent Scenario Optimization</w:t>
      </w:r>
    </w:p>
    <w:p w14:paraId="0488FED2" w14:textId="432838C4" w:rsidR="00B57E6F" w:rsidRPr="00E74A8F" w:rsidRDefault="0066317B" w:rsidP="0066317B">
      <w:pPr>
        <w:pStyle w:val="CETAuthors"/>
        <w:rPr>
          <w:lang w:val="sv-SE"/>
        </w:rPr>
      </w:pPr>
      <w:r w:rsidRPr="00E74A8F">
        <w:rPr>
          <w:lang w:val="sv-SE"/>
        </w:rPr>
        <w:t>Jonas Küng, Ada R</w:t>
      </w:r>
      <w:r w:rsidR="00CA4E9E" w:rsidRPr="00E74A8F">
        <w:rPr>
          <w:lang w:val="sv-SE"/>
        </w:rPr>
        <w:t>obinson</w:t>
      </w:r>
      <w:r w:rsidRPr="00E74A8F">
        <w:rPr>
          <w:lang w:val="sv-SE"/>
        </w:rPr>
        <w:t xml:space="preserve"> Medici, Michael Harasek, Stavros Papadokonstantakis*</w:t>
      </w:r>
    </w:p>
    <w:p w14:paraId="6B2D21B3" w14:textId="5D3307C9" w:rsidR="00B57E6F" w:rsidRPr="00B57B36" w:rsidRDefault="0066317B" w:rsidP="0066317B">
      <w:pPr>
        <w:pStyle w:val="CETAddress"/>
      </w:pPr>
      <w:r w:rsidRPr="0066317B">
        <w:t>Institute of Chemical, Environmental and Bioscience Engineering</w:t>
      </w:r>
      <w:r>
        <w:t xml:space="preserve">, </w:t>
      </w:r>
      <w:r w:rsidRPr="0066317B">
        <w:t>TU Wien, 1060 Wien, Austria</w:t>
      </w:r>
      <w:r>
        <w:rPr>
          <w:i/>
          <w:iCs/>
          <w:sz w:val="22"/>
          <w:szCs w:val="22"/>
        </w:rPr>
        <w:t xml:space="preserve"> </w:t>
      </w:r>
    </w:p>
    <w:p w14:paraId="73F1267A" w14:textId="37AE6135" w:rsidR="00B57E6F" w:rsidRPr="00B57B36" w:rsidRDefault="0066317B" w:rsidP="00B57E6F">
      <w:pPr>
        <w:pStyle w:val="CETemail"/>
      </w:pPr>
      <w:r w:rsidRPr="0066317B">
        <w:t>stavros.papadokonstantakis@tuwien.ac.at</w:t>
      </w:r>
    </w:p>
    <w:p w14:paraId="2DE312CD" w14:textId="6BA48642" w:rsidR="00FC701E" w:rsidRDefault="00FC701E" w:rsidP="009E08B0">
      <w:pPr>
        <w:pStyle w:val="CETBodytext"/>
      </w:pPr>
      <w:r>
        <w:t>Abstract</w:t>
      </w:r>
    </w:p>
    <w:p w14:paraId="07ED401D" w14:textId="7379A897" w:rsidR="00FC701E" w:rsidRDefault="00D96B9A" w:rsidP="009E08B0">
      <w:pPr>
        <w:pStyle w:val="CETBodytext"/>
      </w:pPr>
      <w:r>
        <w:rPr>
          <w:lang w:val="en-GB"/>
        </w:rPr>
        <w:t>An</w:t>
      </w:r>
      <w:r w:rsidR="00E21D18" w:rsidRPr="00E21D18">
        <w:rPr>
          <w:lang w:val="en-GB"/>
        </w:rPr>
        <w:t xml:space="preserve"> open-source framework that couples Aspen Plus process simulations with the Python-based Brightway package to conduct Life Cycle Assessments (LCA)</w:t>
      </w:r>
      <w:r w:rsidR="00435B0B">
        <w:rPr>
          <w:lang w:val="en-GB"/>
        </w:rPr>
        <w:t xml:space="preserve"> is presented</w:t>
      </w:r>
      <w:r w:rsidR="00E21D18" w:rsidRPr="00E21D18">
        <w:rPr>
          <w:lang w:val="en-GB"/>
        </w:rPr>
        <w:t xml:space="preserve">. </w:t>
      </w:r>
      <w:r w:rsidR="00505D1C">
        <w:rPr>
          <w:lang w:val="en-GB"/>
        </w:rPr>
        <w:t>This</w:t>
      </w:r>
      <w:r w:rsidR="00E21D18" w:rsidRPr="00E21D18">
        <w:rPr>
          <w:lang w:val="en-GB"/>
        </w:rPr>
        <w:t xml:space="preserve"> work emphasizes openness, transparency, and extensibility, </w:t>
      </w:r>
      <w:r w:rsidR="00505D1C">
        <w:rPr>
          <w:lang w:val="en-GB"/>
        </w:rPr>
        <w:t>to lower</w:t>
      </w:r>
      <w:r w:rsidR="00E21D18" w:rsidRPr="00E21D18">
        <w:rPr>
          <w:lang w:val="en-GB"/>
        </w:rPr>
        <w:t xml:space="preserve"> adoption barriers in both academia and industry. We demonstrate the approach on a well-studied, solvent-based post-combustion carbon capture system using Monoethanolamine (MEA). A parameter sensitivity analysis on the flue gas CO</w:t>
      </w:r>
      <w:r w:rsidR="00E21D18" w:rsidRPr="00E21D18">
        <w:rPr>
          <w:rFonts w:ascii="Cambria Math" w:hAnsi="Cambria Math" w:cs="Cambria Math"/>
          <w:lang w:val="en-GB"/>
        </w:rPr>
        <w:t>₂</w:t>
      </w:r>
      <w:r w:rsidR="00E21D18" w:rsidRPr="00E21D18">
        <w:rPr>
          <w:lang w:val="en-GB"/>
        </w:rPr>
        <w:t xml:space="preserve"> concentration (ranging from 8</w:t>
      </w:r>
      <w:r w:rsidR="00E21D18" w:rsidRPr="00E21D18">
        <w:rPr>
          <w:rFonts w:cs="Arial"/>
          <w:lang w:val="en-GB"/>
        </w:rPr>
        <w:t> </w:t>
      </w:r>
      <w:r w:rsidR="00E21D18" w:rsidRPr="00E21D18">
        <w:rPr>
          <w:lang w:val="en-GB"/>
        </w:rPr>
        <w:t>to</w:t>
      </w:r>
      <w:r w:rsidR="00E21D18" w:rsidRPr="00E21D18">
        <w:rPr>
          <w:rFonts w:cs="Arial"/>
          <w:lang w:val="en-GB"/>
        </w:rPr>
        <w:t> </w:t>
      </w:r>
      <w:r w:rsidR="00E21D18" w:rsidRPr="00E21D18">
        <w:rPr>
          <w:lang w:val="en-GB"/>
        </w:rPr>
        <w:t>11.8</w:t>
      </w:r>
      <w:r w:rsidR="00E21D18" w:rsidRPr="00E21D18">
        <w:rPr>
          <w:rFonts w:cs="Arial"/>
          <w:lang w:val="en-GB"/>
        </w:rPr>
        <w:t> </w:t>
      </w:r>
      <w:r w:rsidR="00E21D18" w:rsidRPr="00E21D18">
        <w:rPr>
          <w:lang w:val="en-GB"/>
        </w:rPr>
        <w:t>vol%) generates a suite of automated Aspen Plus runs, whose outputs are transferred to Brightway</w:t>
      </w:r>
      <w:r w:rsidR="00B812FB">
        <w:rPr>
          <w:lang w:val="en-GB"/>
        </w:rPr>
        <w:t xml:space="preserve">. To validate the </w:t>
      </w:r>
      <w:r w:rsidR="00754F30">
        <w:rPr>
          <w:lang w:val="en-GB"/>
        </w:rPr>
        <w:t xml:space="preserve">results, we conducted a </w:t>
      </w:r>
      <w:r w:rsidR="00E21D18" w:rsidRPr="00E21D18">
        <w:rPr>
          <w:lang w:val="en-GB"/>
        </w:rPr>
        <w:t>ReCiPe</w:t>
      </w:r>
      <w:r w:rsidR="00E21D18" w:rsidRPr="00E21D18">
        <w:rPr>
          <w:rFonts w:cs="Arial"/>
          <w:lang w:val="en-GB"/>
        </w:rPr>
        <w:t> </w:t>
      </w:r>
      <w:r w:rsidR="00E21D18" w:rsidRPr="00E21D18">
        <w:rPr>
          <w:lang w:val="en-GB"/>
        </w:rPr>
        <w:t>2016 impact assessments</w:t>
      </w:r>
      <w:r w:rsidR="00754F30">
        <w:rPr>
          <w:lang w:val="en-GB"/>
        </w:rPr>
        <w:t xml:space="preserve"> or midpoint indicators</w:t>
      </w:r>
      <w:r w:rsidR="00E21D18" w:rsidRPr="00E21D18">
        <w:rPr>
          <w:lang w:val="en-GB"/>
        </w:rPr>
        <w:t>.</w:t>
      </w:r>
      <w:r w:rsidR="004A3513">
        <w:rPr>
          <w:lang w:val="en-GB"/>
        </w:rPr>
        <w:t xml:space="preserve"> </w:t>
      </w:r>
      <w:r w:rsidR="00E21D18" w:rsidRPr="00E21D18">
        <w:rPr>
          <w:lang w:val="en-GB"/>
        </w:rPr>
        <w:t>The paper concludes by proposing strategies to scale the framework toward multi-parameter sensitivity analyses, uncertainty propagation, and</w:t>
      </w:r>
      <w:r w:rsidR="0003279F">
        <w:rPr>
          <w:lang w:val="en-GB"/>
        </w:rPr>
        <w:t xml:space="preserve"> </w:t>
      </w:r>
      <w:r w:rsidR="00E21D18" w:rsidRPr="00E21D18">
        <w:rPr>
          <w:lang w:val="en-GB"/>
        </w:rPr>
        <w:t xml:space="preserve">an iterative feedback loop wherein LCA results guide subsequent Aspen Plus runs. </w:t>
      </w:r>
      <w:r w:rsidR="00BD013D">
        <w:t xml:space="preserve">This iterative approach bridges the knowledge gap between environmental analysts, who interpret LCA results, and process engineers, who manage Aspen simulations, </w:t>
      </w:r>
      <w:r w:rsidR="00130FF0">
        <w:t>by allowing either stakeholder group to initiate parameter adjustments. As a result, the process</w:t>
      </w:r>
      <w:r w:rsidR="00D16605">
        <w:t>-</w:t>
      </w:r>
      <w:r w:rsidR="00130FF0">
        <w:t>LCA interaction becomes more agile, accelerating scenario exploration and converging on optimized, sustainable designs from both technical and environmental standpoints</w:t>
      </w:r>
    </w:p>
    <w:p w14:paraId="6DC1F1F0" w14:textId="77777777" w:rsidR="00FF7F4A" w:rsidRDefault="00FF7F4A" w:rsidP="009E08B0">
      <w:pPr>
        <w:pStyle w:val="CETBodytext"/>
      </w:pPr>
    </w:p>
    <w:p w14:paraId="3E9A74CB" w14:textId="3ACA339D" w:rsidR="009E08B0" w:rsidRPr="00F93E0E" w:rsidRDefault="00C838A9" w:rsidP="00F93E0E">
      <w:pPr>
        <w:rPr>
          <w:lang w:val="en-US"/>
        </w:rPr>
      </w:pPr>
      <w:r w:rsidRPr="00E019EF">
        <w:rPr>
          <w:b/>
          <w:bCs/>
          <w:lang w:val="en-US"/>
        </w:rPr>
        <w:t>Keywords:</w:t>
      </w:r>
      <w:r w:rsidRPr="00E019EF">
        <w:rPr>
          <w:lang w:val="en-US"/>
        </w:rPr>
        <w:t xml:space="preserve"> Life Cycle Assessment, Aspen Plus Simulation, Post-combustion Carbon Capture, Automation, </w:t>
      </w:r>
      <w:r w:rsidR="00964F96" w:rsidRPr="00E019EF">
        <w:rPr>
          <w:lang w:val="en-US"/>
        </w:rPr>
        <w:t>Machine Learning</w:t>
      </w:r>
    </w:p>
    <w:p w14:paraId="13D46B7A" w14:textId="6491A75A" w:rsidR="004A1E1B" w:rsidRDefault="00F02402" w:rsidP="00FF7F4A">
      <w:pPr>
        <w:pStyle w:val="CETHeading1"/>
      </w:pPr>
      <w:r>
        <w:t>Introduction</w:t>
      </w:r>
    </w:p>
    <w:p w14:paraId="6D93381D" w14:textId="68939178" w:rsidR="001D7207" w:rsidRDefault="00637C6C" w:rsidP="00680E4A">
      <w:pPr>
        <w:pStyle w:val="CETBodytext"/>
      </w:pPr>
      <w:r w:rsidRPr="00637C6C">
        <w:t>Process Systems Engineering (PSE) is increasingly tasked with integrating sustainability metrics</w:t>
      </w:r>
      <w:r>
        <w:t xml:space="preserve"> </w:t>
      </w:r>
      <w:r w:rsidRPr="00637C6C">
        <w:t>into early-stage process design and optimization.</w:t>
      </w:r>
      <w:r w:rsidR="00E019EF">
        <w:t xml:space="preserve"> </w:t>
      </w:r>
      <w:r w:rsidR="00680E4A">
        <w:t>In this context, a</w:t>
      </w:r>
      <w:r w:rsidR="00680E4A" w:rsidRPr="00FF7F4A">
        <w:t>utomation is increasingly recognized as a core requirement, where process optimization, control, and real-time decision-making are critical.</w:t>
      </w:r>
      <w:r w:rsidR="00680E4A">
        <w:t xml:space="preserve"> </w:t>
      </w:r>
      <w:r w:rsidR="00680E4A" w:rsidRPr="00FF7F4A">
        <w:t>Commercial simulators such as Aspen Plus provide rigorous models of thermodynamics and mass/energy balances but remain limited in their built-in automation capabilities</w:t>
      </w:r>
      <w:r w:rsidR="005B274D">
        <w:t>.</w:t>
      </w:r>
      <w:r w:rsidR="00E019EF">
        <w:t xml:space="preserve"> </w:t>
      </w:r>
      <w:r w:rsidR="00680E4A">
        <w:t xml:space="preserve">To date, Aspen Tech officially supports </w:t>
      </w:r>
      <w:r w:rsidR="00E74A8F">
        <w:t xml:space="preserve">only </w:t>
      </w:r>
      <w:r w:rsidR="00680E4A">
        <w:t xml:space="preserve">the integration of MS Excel-VBA. This can result in laborious workarounds when linking Aspen Plus with other commercial software, also offering limited compatibility to third-party software. </w:t>
      </w:r>
      <w:r w:rsidR="00444BB9" w:rsidRPr="00444BB9">
        <w:t>Recent efforts in automating LCA workflows underscore the need for systematic, reproducible, and transparent data exchanges between process simulators and LCA software</w:t>
      </w:r>
      <w:r w:rsidR="001D7207">
        <w:t xml:space="preserve"> </w:t>
      </w:r>
      <w:r w:rsidR="00C82D07">
        <w:t>(Wang et al., 2024).</w:t>
      </w:r>
    </w:p>
    <w:p w14:paraId="36B11F7F" w14:textId="7FE7757D" w:rsidR="00A638AD" w:rsidRDefault="00444BB9" w:rsidP="00680E4A">
      <w:pPr>
        <w:pStyle w:val="CETBodytext"/>
      </w:pPr>
      <w:r w:rsidRPr="00ED4EF3">
        <w:t>.</w:t>
      </w:r>
      <w:r w:rsidR="00174131" w:rsidRPr="00174131">
        <w:t xml:space="preserve"> </w:t>
      </w:r>
    </w:p>
    <w:p w14:paraId="0B64AF6A" w14:textId="28911415" w:rsidR="00E21B6C" w:rsidRDefault="00680E4A" w:rsidP="0051177F">
      <w:pPr>
        <w:pStyle w:val="CETBodytext"/>
      </w:pPr>
      <w:r>
        <w:t>For examp</w:t>
      </w:r>
      <w:r w:rsidRPr="00ED4EF3">
        <w:t xml:space="preserve">le, </w:t>
      </w:r>
      <w:r w:rsidR="00A63686" w:rsidRPr="00ED4EF3">
        <w:fldChar w:fldCharType="begin"/>
      </w:r>
      <w:r w:rsidR="00A63686" w:rsidRPr="00ED4EF3">
        <w:instrText xml:space="preserve"> ADDIN ZOTERO_ITEM CSL_CITATION {"citationID":"eM2xf0PH","properties":{"formattedCitation":"(Vaquerizo and Cocero, 2018)","plainCitation":"(Vaquerizo and Cocero, 2018)","noteIndex":0},"citationItems":[{"id":40,"uris":["http://zotero.org/groups/5821210/items/8U857GR5"],"itemData":{"id":40,"type":"article-journal","abstract":"Thermodynamic modeling in CFD is basically limited to the models available in the simulators. The method presented in this paper connects CFD simulators with Aspen Plus which instantaneously calculates and returns the value of any physical property required. Therefore, all the thermodynamic models and compounds available in Aspen Plus can be implemented in CFD simulations. The connection, created via Matlab and Excel-VBA, has been validated solving two identical CFD simulations first selecting a thermodynamic model available in the simulator and then connecting the simulator with Aspen Plus and selecting the same model. The maximum absolute average deviation between the density and viscosity values obtained in both simulations, for the two case studies analyzed, is lower than 0.7% which demonstrates the proper interconnection. The accuracy of the results obtained modeling multicomponent mixtures and supercritical fluids prove the applicability of the method to any scenarios.","container-title":"Computers &amp; Chemical Engineering","DOI":"10.1016/j.compchemeng.2018.03.019","ISSN":"0098-1354","journalAbbreviation":"Computers &amp; Chemical Engineering","page":"152-161","source":"ScienceDirect","title":"CFD–Aspen Plus interconnection method. Improving thermodynamic modeling in computational fluid dynamic simulations","volume":"113","author":[{"family":"Vaquerizo","given":"Luis"},{"family":"Cocero","given":"María José"}],"issued":{"date-parts":[["2018",5,8]]}}}],"schema":"https://github.com/citation-style-language/schema/raw/master/csl-citation.json"} </w:instrText>
      </w:r>
      <w:r w:rsidR="00A63686" w:rsidRPr="00ED4EF3">
        <w:fldChar w:fldCharType="separate"/>
      </w:r>
      <w:r w:rsidR="00B4380B" w:rsidRPr="00ED4EF3">
        <w:t>(Vaquerizo and Cocero, 2018)</w:t>
      </w:r>
      <w:r w:rsidR="00A63686" w:rsidRPr="00ED4EF3">
        <w:fldChar w:fldCharType="end"/>
      </w:r>
      <w:r w:rsidR="00A63686">
        <w:t xml:space="preserve"> </w:t>
      </w:r>
      <w:r>
        <w:t xml:space="preserve">provide a methodology for connecting Aspen Plus and </w:t>
      </w:r>
      <w:r w:rsidRPr="005E2CEA">
        <w:t>Ansys Fluent</w:t>
      </w:r>
      <w:r>
        <w:t xml:space="preserve"> (for computational fluid dynamics, CFD), including a “C” language subroutine, </w:t>
      </w:r>
      <w:r w:rsidR="00E019EF">
        <w:t>MATLAB</w:t>
      </w:r>
      <w:r>
        <w:t xml:space="preserve"> and MS Excel-VBA. </w:t>
      </w:r>
      <w:r w:rsidR="00902C9F">
        <w:t xml:space="preserve">This </w:t>
      </w:r>
      <w:r w:rsidR="007D1832">
        <w:t xml:space="preserve">example </w:t>
      </w:r>
      <w:r w:rsidR="00902C9F">
        <w:t>shows that</w:t>
      </w:r>
      <w:r>
        <w:t xml:space="preserve"> </w:t>
      </w:r>
      <w:r w:rsidRPr="00846CF4">
        <w:t>researchers have</w:t>
      </w:r>
      <w:r>
        <w:t xml:space="preserve"> investigated</w:t>
      </w:r>
      <w:r w:rsidRPr="00846CF4">
        <w:t xml:space="preserve"> the compatibility of Aspen Plus with various third-party applications</w:t>
      </w:r>
      <w:r>
        <w:t xml:space="preserve"> such as </w:t>
      </w:r>
      <w:r w:rsidR="00E019EF">
        <w:t>MATLAB</w:t>
      </w:r>
      <w:r>
        <w:t>, Python, C++, etc. in recent time to simplify their workflows </w:t>
      </w:r>
      <w:r>
        <w:fldChar w:fldCharType="begin"/>
      </w:r>
      <w:r>
        <w:instrText xml:space="preserve"> ADDIN ZOTERO_ITEM CSL_CITATION {"citationID":"kl91AWtq","properties":{"formattedCitation":"(Valverde et al., 2023)","plainCitation":"(Valverde et al., 2023)","noteIndex":0},"citationItems":[{"id":16,"uris":["http://zotero.org/groups/5821210/items/BLL5S4JS"],"itemData":{"id":16,"type":"article-journal","abstract":"Automation of commercial simulation software to third-party applications allow to connect different software around a central model which would improve their ability to optimize and operate productive processes. In this work, three production processes taken from literature, have been proposed to demonstrate the capability of the Automation concept by using Aspen Plus: the cyclohexane production from benzene and the production of biphenyl (sensitivity analysis), the optimization without constraints of the composition of a stream from the production of cumene (design specification), and the optimization with constraints of the isomerization of nC4- to iC4-. The way in which the different cases are raised and the solutions are extensively discussed.","language":"en","source":"Zotero","title":"Automation of Process Simulations with Aspen Plus","author":[{"family":"Valverde","given":"JL"},{"family":"Ferro","given":"VR"},{"family":"Barbero-Sánchez","given":"J"},{"family":"Giroir-Fendler","given":"A"}],"issued":{"date-parts":[["2023",7,25]]}}}],"schema":"https://github.com/citation-style-language/schema/raw/master/csl-citation.json"} </w:instrText>
      </w:r>
      <w:r>
        <w:fldChar w:fldCharType="separate"/>
      </w:r>
      <w:r w:rsidRPr="00846CF4">
        <w:rPr>
          <w:rFonts w:cs="Arial"/>
        </w:rPr>
        <w:t>(Valverde et al., 2023)</w:t>
      </w:r>
      <w:r>
        <w:fldChar w:fldCharType="end"/>
      </w:r>
      <w:r>
        <w:t>. Despite these efforts, the program code is rarely made available, resulting in a lack of detailed documentation and making the reproduction and adaptation of the provided methodologies a trial-and-error process</w:t>
      </w:r>
      <w:r w:rsidR="00D55C94">
        <w:t>.</w:t>
      </w:r>
      <w:r w:rsidR="00EF714B">
        <w:t xml:space="preserve"> </w:t>
      </w:r>
      <w:r w:rsidR="00EF714B" w:rsidRPr="00EF714B">
        <w:t xml:space="preserve">Recent developments such as BIOSTEAM-LCA (Shi &amp; Guest, 2020), an enhanced version of the BIOSTEAM biorefinery simulation platform (Cortes-Peña et al., 2020), allow simultaneous techno-economic and environmental impact </w:t>
      </w:r>
      <w:r w:rsidR="00EF714B" w:rsidRPr="00EF714B">
        <w:lastRenderedPageBreak/>
        <w:t>assessments by embedding LCA calculations directly into biorefinery process models. However, these methodologies, while efficient for biorefinery processes, are not directly transferable to carbon capture applications.</w:t>
      </w:r>
      <w:r w:rsidR="000F4C21">
        <w:t xml:space="preserve"> </w:t>
      </w:r>
    </w:p>
    <w:p w14:paraId="2E6BF39D" w14:textId="0F281D7F" w:rsidR="00C40D78" w:rsidRPr="00C40D78" w:rsidRDefault="00C40D78" w:rsidP="00C40D78">
      <w:pPr>
        <w:pStyle w:val="CETBodytext"/>
      </w:pPr>
      <w:r w:rsidRPr="00C40D78">
        <w:t>The main objective of this study is to provide a reproducible and openly documented automation framework for Aspen Plus</w:t>
      </w:r>
      <w:r w:rsidR="00EF2AA0">
        <w:t>-</w:t>
      </w:r>
      <w:r w:rsidRPr="00C40D78">
        <w:t>LCA coupling, using the Brightway library. Our scope includes:</w:t>
      </w:r>
    </w:p>
    <w:p w14:paraId="7E6D9956" w14:textId="2CFEA6FB" w:rsidR="00C40D78" w:rsidRPr="00C40D78" w:rsidRDefault="00C40D78" w:rsidP="00C40D78">
      <w:pPr>
        <w:pStyle w:val="CETBodytext"/>
        <w:numPr>
          <w:ilvl w:val="0"/>
          <w:numId w:val="33"/>
        </w:numPr>
      </w:pPr>
      <w:r w:rsidRPr="00C40D78">
        <w:t>Demonstrating how Python can programmatically adjust Aspen Plus parameters, run simulations, and retrieve mass and energy flows</w:t>
      </w:r>
      <w:r w:rsidR="00100D87" w:rsidRPr="003B4F9D">
        <w:t xml:space="preserve">, reducing </w:t>
      </w:r>
      <w:r w:rsidRPr="00C40D78">
        <w:t>the manual effort required in bridging process simulation with LCA data generation.</w:t>
      </w:r>
    </w:p>
    <w:p w14:paraId="4DA06723" w14:textId="7F32E60A" w:rsidR="00C40D78" w:rsidRPr="00C40D78" w:rsidRDefault="00B00AC6" w:rsidP="00C40D78">
      <w:pPr>
        <w:pStyle w:val="CETBodytext"/>
        <w:numPr>
          <w:ilvl w:val="0"/>
          <w:numId w:val="33"/>
        </w:numPr>
      </w:pPr>
      <w:r w:rsidRPr="003B4F9D">
        <w:t>Analysing</w:t>
      </w:r>
      <w:r w:rsidR="00C40D78" w:rsidRPr="00C40D78">
        <w:t xml:space="preserve"> a cradle-to-gate LCA model in Brightway, allowing the use of any LCA method supported by Brightway. </w:t>
      </w:r>
    </w:p>
    <w:p w14:paraId="1DA17CF6" w14:textId="5EB00345" w:rsidR="00C40D78" w:rsidRPr="00C40D78" w:rsidRDefault="00C40D78" w:rsidP="00C40D78">
      <w:pPr>
        <w:pStyle w:val="CETBodytext"/>
        <w:numPr>
          <w:ilvl w:val="0"/>
          <w:numId w:val="33"/>
        </w:numPr>
      </w:pPr>
      <w:r w:rsidRPr="00C40D78">
        <w:t>Demonstrating the framework’s effectiveness on a standard MEA-based post-combustion CO</w:t>
      </w:r>
      <w:r w:rsidRPr="00C40D78">
        <w:rPr>
          <w:rFonts w:ascii="Cambria Math" w:hAnsi="Cambria Math" w:cs="Cambria Math"/>
        </w:rPr>
        <w:t>₂</w:t>
      </w:r>
      <w:r w:rsidRPr="00C40D78">
        <w:t xml:space="preserve"> capture process. </w:t>
      </w:r>
    </w:p>
    <w:p w14:paraId="603E1813" w14:textId="6F0C87E7" w:rsidR="00C40D78" w:rsidRPr="00C40D78" w:rsidRDefault="00C40D78" w:rsidP="0051177F">
      <w:pPr>
        <w:pStyle w:val="CETBodytext"/>
        <w:numPr>
          <w:ilvl w:val="0"/>
          <w:numId w:val="33"/>
        </w:numPr>
      </w:pPr>
      <w:r w:rsidRPr="00C40D78">
        <w:t xml:space="preserve">Discussing future extension to a feedback-loop approach using machine learning (ML) for scenario optimization. </w:t>
      </w:r>
    </w:p>
    <w:p w14:paraId="737A197F" w14:textId="0B353431" w:rsidR="00C07E5A" w:rsidRDefault="005C4056" w:rsidP="00444F31">
      <w:pPr>
        <w:pStyle w:val="CETHeading1"/>
      </w:pPr>
      <w:r>
        <w:t>Methodology</w:t>
      </w:r>
    </w:p>
    <w:p w14:paraId="7A393D0D" w14:textId="1EBAB1BD" w:rsidR="00F541B9" w:rsidRDefault="00F541B9" w:rsidP="00F541B9">
      <w:pPr>
        <w:pStyle w:val="CETBodytext"/>
      </w:pPr>
      <w:r>
        <w:t>In the following, the generation of comprehensive data sets is discussed. Then, the PCCC process with MEA for showcasing the framework is briefly explained and its process conditions are specified</w:t>
      </w:r>
      <w:r w:rsidR="0034102B">
        <w:t xml:space="preserve">, </w:t>
      </w:r>
      <w:r w:rsidR="0058480F">
        <w:t>particularly</w:t>
      </w:r>
      <w:r w:rsidR="00E4426F">
        <w:t xml:space="preserve"> those </w:t>
      </w:r>
      <w:r w:rsidR="0034102B">
        <w:t>suited for automation</w:t>
      </w:r>
      <w:r>
        <w:t xml:space="preserve">. After defining </w:t>
      </w:r>
      <w:r w:rsidR="009211CC">
        <w:t>the</w:t>
      </w:r>
      <w:r>
        <w:t xml:space="preserve"> LCA</w:t>
      </w:r>
      <w:r w:rsidR="00A47CB3">
        <w:t xml:space="preserve"> scope</w:t>
      </w:r>
      <w:r>
        <w:t xml:space="preserve">, its implementation through the </w:t>
      </w:r>
      <w:r w:rsidR="00FD3F41">
        <w:t>B</w:t>
      </w:r>
      <w:r>
        <w:t>rightway package is illustrated, resulting in the final framewor</w:t>
      </w:r>
      <w:r w:rsidR="0034102B">
        <w:t>k</w:t>
      </w:r>
      <w:r>
        <w:t>.</w:t>
      </w:r>
    </w:p>
    <w:p w14:paraId="601D2BF4" w14:textId="1699F44F" w:rsidR="00F541B9" w:rsidRPr="00F541B9" w:rsidRDefault="00F541B9" w:rsidP="00F541B9">
      <w:pPr>
        <w:pStyle w:val="CETheadingx"/>
      </w:pPr>
      <w:r>
        <w:t>Systematical generation of data sets</w:t>
      </w:r>
      <w:r w:rsidR="00C300F7">
        <w:t xml:space="preserve"> in process simulation</w:t>
      </w:r>
    </w:p>
    <w:p w14:paraId="7589BD93" w14:textId="133891CA" w:rsidR="00F541B9" w:rsidRPr="00444F31" w:rsidRDefault="00C07E5A" w:rsidP="00444F31">
      <w:pPr>
        <w:pStyle w:val="CETBodytext"/>
      </w:pPr>
      <w:r w:rsidRPr="00C07E5A">
        <w:t xml:space="preserve">A prerequisite for using the framework is </w:t>
      </w:r>
      <w:r w:rsidR="006635E8">
        <w:t>to provide</w:t>
      </w:r>
      <w:r w:rsidRPr="00C07E5A">
        <w:t xml:space="preserve"> a test schedule for the systematic generation of data points.</w:t>
      </w:r>
      <w:r>
        <w:t xml:space="preserve"> </w:t>
      </w:r>
      <w:r w:rsidRPr="00C07E5A">
        <w:t>Possible applications are diverse, such as parameter sensitivity analysis in traditional process design or data</w:t>
      </w:r>
      <w:r w:rsidR="006635E8">
        <w:noBreakHyphen/>
      </w:r>
      <w:r w:rsidRPr="00C07E5A">
        <w:t>driven approaches</w:t>
      </w:r>
      <w:r w:rsidR="00F541B9">
        <w:t xml:space="preserve">, e. g. </w:t>
      </w:r>
      <w:r w:rsidRPr="00C07E5A">
        <w:t>the development of machine learning models.</w:t>
      </w:r>
      <w:r w:rsidR="006635E8">
        <w:t xml:space="preserve"> </w:t>
      </w:r>
      <w:r w:rsidR="00C300F7">
        <w:t>For generalization</w:t>
      </w:r>
      <w:r w:rsidR="006635E8" w:rsidRPr="006635E8">
        <w:t xml:space="preserve">, this is referred to </w:t>
      </w:r>
      <w:r w:rsidR="003A2050">
        <w:t>herein</w:t>
      </w:r>
      <w:r w:rsidR="003A2050" w:rsidRPr="006635E8">
        <w:t xml:space="preserve"> </w:t>
      </w:r>
      <w:r w:rsidR="006635E8" w:rsidRPr="006635E8">
        <w:t xml:space="preserve">as </w:t>
      </w:r>
      <w:r w:rsidR="00BA45CB">
        <w:t>p</w:t>
      </w:r>
      <w:r w:rsidR="00BA45CB" w:rsidRPr="00BA45CB">
        <w:t>rocess conditions sampling</w:t>
      </w:r>
      <w:r w:rsidR="002200A4">
        <w:t xml:space="preserve"> (</w:t>
      </w:r>
      <w:r w:rsidR="005436AA">
        <w:t>PCS</w:t>
      </w:r>
      <w:r w:rsidR="002200A4">
        <w:t>)</w:t>
      </w:r>
      <w:r w:rsidR="00BA45CB">
        <w:rPr>
          <w:rStyle w:val="CommentReference"/>
          <w:lang w:val="en-GB"/>
        </w:rPr>
        <w:t xml:space="preserve">. </w:t>
      </w:r>
      <w:r w:rsidR="002200A4">
        <w:rPr>
          <w:rStyle w:val="CommentReference"/>
          <w:lang w:val="en-GB"/>
        </w:rPr>
        <w:t>T</w:t>
      </w:r>
      <w:r w:rsidR="006635E8">
        <w:t xml:space="preserve">o conduct a systematical </w:t>
      </w:r>
      <w:r w:rsidR="0068011F">
        <w:t>PCS</w:t>
      </w:r>
      <w:r w:rsidR="00444F31">
        <w:t xml:space="preserve">, </w:t>
      </w:r>
      <w:r w:rsidR="001C66D6">
        <w:t>it is recommended to apply a</w:t>
      </w:r>
      <w:r w:rsidR="00C300F7">
        <w:t xml:space="preserve"> </w:t>
      </w:r>
      <w:r w:rsidR="00444F31">
        <w:t>Design of Experiment (DoE)</w:t>
      </w:r>
      <w:r w:rsidR="00C300F7">
        <w:t xml:space="preserve"> method such as </w:t>
      </w:r>
      <w:r w:rsidR="00BA4F8C">
        <w:t>Stratified Sampling</w:t>
      </w:r>
      <w:r w:rsidR="00C300F7">
        <w:t>,</w:t>
      </w:r>
      <w:r w:rsidR="008F602F">
        <w:t xml:space="preserve"> </w:t>
      </w:r>
      <w:r w:rsidR="008920D2">
        <w:t>Factorial Design</w:t>
      </w:r>
      <w:r w:rsidR="00C300F7">
        <w:t xml:space="preserve"> or</w:t>
      </w:r>
      <w:r w:rsidR="008920D2">
        <w:t xml:space="preserve"> Latin Hypercube Sampling</w:t>
      </w:r>
      <w:r w:rsidR="00444F31" w:rsidRPr="00C07E5A">
        <w:t xml:space="preserve">. </w:t>
      </w:r>
      <w:r w:rsidR="00C300F7">
        <w:t>In practice, a</w:t>
      </w:r>
      <w:r w:rsidR="00444F31" w:rsidRPr="00C07E5A">
        <w:t>pplying t</w:t>
      </w:r>
      <w:r w:rsidR="00444F31">
        <w:t xml:space="preserve">hese </w:t>
      </w:r>
      <w:r w:rsidR="00C300F7">
        <w:t xml:space="preserve">concepts </w:t>
      </w:r>
      <w:r w:rsidR="00444F31">
        <w:t xml:space="preserve">is linked to defining a </w:t>
      </w:r>
      <w:r w:rsidR="006635E8">
        <w:t xml:space="preserve">process </w:t>
      </w:r>
      <w:r w:rsidR="00444F31">
        <w:t xml:space="preserve">operation point (base case) </w:t>
      </w:r>
      <w:r w:rsidR="00444F31" w:rsidRPr="00AA1EA3">
        <w:t xml:space="preserve">around which </w:t>
      </w:r>
      <w:r w:rsidR="00444F31">
        <w:t xml:space="preserve">process </w:t>
      </w:r>
      <w:r w:rsidR="00444F31" w:rsidRPr="00AA1EA3">
        <w:t>parameters</w:t>
      </w:r>
      <w:r w:rsidR="00444F31">
        <w:t xml:space="preserve"> of interest</w:t>
      </w:r>
      <w:r w:rsidR="00444F31" w:rsidRPr="00AA1EA3">
        <w:t xml:space="preserve"> are varied within a </w:t>
      </w:r>
      <w:r w:rsidR="00444F31">
        <w:t>defined</w:t>
      </w:r>
      <w:r w:rsidR="00444F31" w:rsidRPr="00AA1EA3">
        <w:t xml:space="preserve"> range.</w:t>
      </w:r>
      <w:r w:rsidR="00444F31">
        <w:t xml:space="preserve"> </w:t>
      </w:r>
      <w:r w:rsidR="00617FA2" w:rsidRPr="00617FA2">
        <w:t>The choice of operating point is based on representing typical process operating conditions to ensure that the process behavior is adequately mapped. By repeating this procedure for multiple operating points, a more comprehensive mapping of the process performance can be achieved, which becomes particularly relevant in larger-scale sensitivity analyses or optimization scenarios.</w:t>
      </w:r>
      <w:r w:rsidR="00617FA2">
        <w:t xml:space="preserve"> </w:t>
      </w:r>
      <w:r w:rsidR="00444F31">
        <w:t xml:space="preserve">The range of values for the process parameters in the </w:t>
      </w:r>
      <w:r w:rsidR="0068011F">
        <w:t>PCS</w:t>
      </w:r>
      <w:r w:rsidR="00444F31">
        <w:t xml:space="preserve"> depends on achieving a high number of feasible process simulations in the design space </w:t>
      </w:r>
      <w:r w:rsidR="00444F31" w:rsidRPr="00697CA8">
        <w:t>without deviating from the defined test schedule</w:t>
      </w:r>
      <w:r w:rsidR="006635E8">
        <w:t xml:space="preserve"> for the </w:t>
      </w:r>
      <w:r w:rsidR="0068011F">
        <w:t>PCS</w:t>
      </w:r>
      <w:r w:rsidR="00444F31" w:rsidRPr="00697CA8">
        <w:t>.</w:t>
      </w:r>
      <w:r w:rsidR="00444F31">
        <w:t xml:space="preserve"> The described procedure is frequently used by researches </w:t>
      </w:r>
      <w:r w:rsidR="00444F31" w:rsidRPr="005E39E8">
        <w:fldChar w:fldCharType="begin"/>
      </w:r>
      <w:r w:rsidR="00444F31" w:rsidRPr="005E39E8">
        <w:instrText xml:space="preserve"> ADDIN ZOTERO_ITEM CSL_CITATION {"citationID":"SoyBX40c","properties":{"formattedCitation":"(Zheng et al., 2022)","plainCitation":"(Zheng et al., 2022)","noteIndex":0},"citationItems":[{"id":289,"uris":["http://zotero.org/groups/5821210/items/SFUQAKBR"],"itemData":{"id":289,"type":"article-journal","abstract":"Post-combustion carbon capture (PCC) technologies play an important role in the reduction of CO2 emissions to address climate challenges. This process is usually simulated in process simulation software based on first-principle models, which calculate physical properties directly from basic physical quantities such as mass and temperature. Using first-principle models usually requires a long computation time, which makes optimization and control difficult. In this study, machine learning algorithms, such as eXtreme Gradient Boosting (XGBoost) and Support Vector Regression (SVR), are investigated as potential alternative modeling approaches. XGBoost is an ensemble algorithm that is based on the decision tree and optimized by gradient boosting. SVR fits the best line within a predefined or threshold error value. These two algorithms are used to build models to predict the CO2 capture rate (CR) and specific reboiler duty (SRD) in a monoethanolamine-based PCC process. By using the XGBoost, the verification result shows R2 (a statistical measure that represents the fitness of the model) in predicting CR is 91.7% and in predicting SRD is 80.8%, while by using SVR the R2 in predicting CR and SRD is 87.9% and 87.2% individually. In addition, XGBoost and SVR take 0.022 seconds and 0.317 seconds respectively to predict CR and SRD of 1318 cases, while the first-principal process simulation model needs 3.15 seconds to calculate 1 case. The data-driven models built using the XGBoost algorithm are employed for further optimization, which aims to find an operating point to have a higher CR and lower SRD. Particle swarm optimization (PSO), a stochastic optimization technique based on the movement and intelligence of swarms, is implemented for the optimization. The CR and SRD for optimal operating conditions are 72.2% and 4.3 MJ/kg each. The computations are faster with the data-driven models incorporated in the optimization technique. Thus, the application of machine learning techniques in carbon capture technologies is demonstrated successfully.","container-title":"Scandinavian Simulation Society","DOI":"10.3384/ecp192011","ISSN":"1650-3740","language":"en","license":"Copyright (c) 2022 Huilan Zheng, Gaurav Mirlekar, Lars O. Nord","page":"72-79","source":"ecp.ep.liu.se","title":"Machine learning techniques for modeling chemical absorption in CO2 capture process","author":[{"family":"Zheng","given":"Huilan"},{"family":"Mirlekar","given":"Gaurav"},{"family":"Nord","given":"Lars O."}],"issued":{"date-parts":[["2022",10,28]]}}}],"schema":"https://github.com/citation-style-language/schema/raw/master/csl-citation.json"} </w:instrText>
      </w:r>
      <w:r w:rsidR="00444F31" w:rsidRPr="005E39E8">
        <w:fldChar w:fldCharType="separate"/>
      </w:r>
      <w:r w:rsidR="00444F31" w:rsidRPr="005E39E8">
        <w:t>(Zheng et al., 2022)</w:t>
      </w:r>
      <w:r w:rsidR="00444F31" w:rsidRPr="005E39E8">
        <w:fldChar w:fldCharType="end"/>
      </w:r>
      <w:r w:rsidR="00444F31">
        <w:t xml:space="preserve">. </w:t>
      </w:r>
      <w:r w:rsidR="00444F31" w:rsidRPr="00E701DA">
        <w:t>However, it is rarely explained which DOE method was used. Sufficient transparency should be ensured to enable the quality of the data to be assessed.</w:t>
      </w:r>
    </w:p>
    <w:p w14:paraId="3C8B97EE" w14:textId="30A0FDF6" w:rsidR="00444F31" w:rsidRPr="00444F31" w:rsidRDefault="00444F31" w:rsidP="00444F31">
      <w:pPr>
        <w:pStyle w:val="CETheadingx"/>
      </w:pPr>
      <w:r>
        <w:t>Process</w:t>
      </w:r>
      <w:r w:rsidR="00F541B9">
        <w:t xml:space="preserve"> design and simulation</w:t>
      </w:r>
    </w:p>
    <w:p w14:paraId="0B7A1780" w14:textId="34E7E52C" w:rsidR="00027CA6" w:rsidRDefault="00F93E0E" w:rsidP="00F93E0E">
      <w:pPr>
        <w:pStyle w:val="CETBodytext"/>
      </w:pPr>
      <w:r>
        <w:t>In this study, the developed framework is applied to a well-studied solvent-based PCCC process with MEA as a solvent, chosen to reflect the complexity of current research in PSE. Figure 1</w:t>
      </w:r>
      <w:r>
        <w:t xml:space="preserve"> </w:t>
      </w:r>
      <w:r w:rsidR="00271521" w:rsidRPr="00877A9E">
        <w:t>illustrates the flowsheet, including the absorber, heat exchanger and stripper.</w:t>
      </w:r>
      <w:r w:rsidR="00482361" w:rsidRPr="00877A9E">
        <w:t xml:space="preserve"> </w:t>
      </w:r>
      <w:r w:rsidR="00482361">
        <w:t>Flue gas enters the absorber bottom and contacts an aqueous MEA solution in counterflow, where CO</w:t>
      </w:r>
      <w:r w:rsidR="00482361">
        <w:rPr>
          <w:rFonts w:ascii="Cambria Math" w:hAnsi="Cambria Math" w:cs="Cambria Math"/>
        </w:rPr>
        <w:t>₂</w:t>
      </w:r>
      <w:r w:rsidR="00482361">
        <w:t xml:space="preserve"> transfers to the liquid phase.</w:t>
      </w:r>
      <w:r w:rsidR="00857945">
        <w:t xml:space="preserve"> </w:t>
      </w:r>
      <w:r w:rsidR="00482361">
        <w:t>The CO</w:t>
      </w:r>
      <w:r w:rsidR="00482361">
        <w:rPr>
          <w:rFonts w:ascii="Cambria Math" w:hAnsi="Cambria Math" w:cs="Cambria Math"/>
        </w:rPr>
        <w:t>₂</w:t>
      </w:r>
      <w:r w:rsidR="00482361">
        <w:t xml:space="preserve">-rich solvent is pumped to the stripper for heat-driven desorption. </w:t>
      </w:r>
      <w:r w:rsidR="00A17005" w:rsidRPr="00A17005">
        <w:t xml:space="preserve">To supply heat, saturated steam is fed into the reboiler from an external utility. In the reboiler, the steam condenses, providing the energy needed to partially vaporize the lean solvent mixture, which then flows countercurrent to the rich solvent mixture in the stripper. </w:t>
      </w:r>
      <w:r w:rsidR="00482361">
        <w:t>while CO</w:t>
      </w:r>
      <w:r w:rsidR="00482361">
        <w:rPr>
          <w:rFonts w:ascii="Cambria Math" w:hAnsi="Cambria Math" w:cs="Cambria Math"/>
        </w:rPr>
        <w:t>₂</w:t>
      </w:r>
      <w:r w:rsidR="00482361">
        <w:t>-rich gas is processed for storage or utilization. The regenerated solvent preheats incoming CO</w:t>
      </w:r>
      <w:r w:rsidR="00482361">
        <w:rPr>
          <w:rFonts w:ascii="Cambria Math" w:hAnsi="Cambria Math" w:cs="Cambria Math"/>
        </w:rPr>
        <w:t>₂</w:t>
      </w:r>
      <w:r w:rsidR="00482361">
        <w:t>-rich solvent before cooling to absorber conditions</w:t>
      </w:r>
      <w:r w:rsidR="00027CA6">
        <w:t> </w:t>
      </w:r>
      <w:r w:rsidR="00027CA6">
        <w:fldChar w:fldCharType="begin"/>
      </w:r>
      <w:r w:rsidR="00027CA6">
        <w:instrText xml:space="preserve"> ADDIN ZOTERO_ITEM CSL_CITATION {"citationID":"uldx6hhy","properties":{"formattedCitation":"(Wang et al., 2023)","plainCitation":"(Wang et al., 2023)","noteIndex":0},"citationItems":[{"id":291,"uris":["http://zotero.org/groups/5821210/items/A5VKGU2Q"],"itemData":{"id":291,"type":"article-journal","abstract":"&lt;p&gt;CO&lt;sub&gt;2&lt;/sub&gt; capture using monoethanolamine (MEA) is one of the important decarbonization options and often considered as a benchmark, while the optimal MEA contraction and systematic process study are still lacking. In this work, firstly, the MEA concentrations between 15 and 30 wt% were studied from both process simulations with Aspen Plus and experimental measurements in the pilot-scale. 20 wt% MEA was identified as the preferable solution. Subsequently, a systematic analysis was conducted for CO&lt;sub&gt;2&lt;/sub&gt; capture using 20 wt% MEA with/without CO&lt;sub&gt;2&lt;/sub&gt; compression to study how various parameters, including gas flow rate, CO&lt;sub&gt;2&lt;/sub&gt; concentration, and CO&lt;sub&gt;2&lt;/sub&gt; removal rate, affected the energy demand and techno-economic performances quantitatively. The influence of each parameter on both energy demand and cost showed an obvious non-linear relationship, evidencing the importance of systematic analysis for further study on decarbonization. The evaluation indicated that the regeneration heat required the largest portion of energy demand. The economic analysis showed that the capital cost was more sensitive to the selected parameters than the operational cost, while the operational cost created a major change in the overall cost. In addition, the gas flow rate and CO&lt;sub&gt;2&lt;/sub&gt; concentration were the main parameters affecting the cost, rather than the CO&lt;sub&gt;2&lt;/sub&gt; removal rate. Finally, it was suggested that, for a new plant, CO&lt;sub&gt;2&lt;/sub&gt; capture showed the minimum investment cost per ton CO&lt;sub&gt;2&lt;/sub&gt; when operating the plant on a large scale, high CO&lt;sub&gt;2&lt;/sub&gt; concentration, and high CO&lt;sub&gt;2&lt;/sub&gt; removal rate; for an existing plant, the capture preferred to run with the high CO&lt;sub&gt;2&lt;/sub&gt; removal rate.&lt;/p&gt;","container-title":"Frontiers in Energy Research","DOI":"10.3389/fenrg.2023.1230743","ISSN":"2296-598X","journalAbbreviation":"Front. Energy Res.","language":"English","note":"publisher: Frontiers","source":"Frontiers","title":"MEA-based CO2 capture: a study focuses on MEA concentrations and process parameters","title-short":"MEA-based CO2 capture","URL":"https://www.frontiersin.org/journals/energy-research/articles/10.3389/fenrg.2023.1230743/full","volume":"11","author":[{"family":"Wang","given":"Nan"},{"family":"Wang","given":"Dong"},{"family":"Krook-Riekkola","given":"Anna"},{"family":"Ji","given":"Xiaoyan"}],"accessed":{"date-parts":[["2025",2,15]]},"issued":{"date-parts":[["2023",9,15]]}}}],"schema":"https://github.com/citation-style-language/schema/raw/master/csl-citation.json"} </w:instrText>
      </w:r>
      <w:r w:rsidR="00027CA6">
        <w:fldChar w:fldCharType="separate"/>
      </w:r>
      <w:r w:rsidR="00027CA6" w:rsidRPr="004D1CD7">
        <w:rPr>
          <w:rFonts w:cs="Arial"/>
        </w:rPr>
        <w:t>(Wang et al., 2023)</w:t>
      </w:r>
      <w:r w:rsidR="00027CA6">
        <w:fldChar w:fldCharType="end"/>
      </w:r>
      <w:r w:rsidR="00482361">
        <w:t>.</w:t>
      </w:r>
    </w:p>
    <w:p w14:paraId="1A1ED9CC" w14:textId="47A3EDD1" w:rsidR="00027CA6" w:rsidRDefault="00027CA6" w:rsidP="00027CA6">
      <w:pPr>
        <w:pStyle w:val="CETBodytext"/>
      </w:pPr>
      <w:r>
        <w:t>A flowsheet is created in Aspen Plus V12.1 and a base case is defined, for which the specification of the flue gas and CO</w:t>
      </w:r>
      <w:r w:rsidRPr="009E2C78">
        <w:rPr>
          <w:vertAlign w:val="subscript"/>
        </w:rPr>
        <w:t>2</w:t>
      </w:r>
      <w:r>
        <w:t xml:space="preserve"> lean solvent are shown in </w:t>
      </w:r>
      <w:r w:rsidRPr="0031162D">
        <w:fldChar w:fldCharType="begin"/>
      </w:r>
      <w:r w:rsidRPr="0031162D">
        <w:instrText xml:space="preserve"> REF _Ref189476220 \h  \* MERGEFORMAT </w:instrText>
      </w:r>
      <w:r w:rsidRPr="0031162D">
        <w:fldChar w:fldCharType="separate"/>
      </w:r>
      <w:r w:rsidR="00993803" w:rsidRPr="00993803">
        <w:t>Table</w:t>
      </w:r>
      <w:r w:rsidR="00993803" w:rsidRPr="00EA6EE5">
        <w:rPr>
          <w:i/>
        </w:rPr>
        <w:t xml:space="preserve"> </w:t>
      </w:r>
      <w:r w:rsidR="00993803" w:rsidRPr="00993803">
        <w:rPr>
          <w:i/>
        </w:rPr>
        <w:t>1</w:t>
      </w:r>
      <w:r w:rsidRPr="0031162D">
        <w:fldChar w:fldCharType="end"/>
      </w:r>
      <w:r>
        <w:t xml:space="preserve">. </w:t>
      </w:r>
      <w:r w:rsidR="007C2970">
        <w:t>Details for the thermodynamic models and equipmen</w:t>
      </w:r>
      <w:r w:rsidR="00F90EE4">
        <w:t xml:space="preserve">t are provided by </w:t>
      </w:r>
      <w:r w:rsidRPr="005E39E8">
        <w:fldChar w:fldCharType="begin"/>
      </w:r>
      <w:r w:rsidRPr="005E39E8">
        <w:instrText xml:space="preserve"> ADDIN ZOTERO_ITEM CSL_CITATION {"citationID":"DGbYdBZI","properties":{"formattedCitation":"(K\\uc0\\u252{}ng, 2024)","plainCitation":"(Küng, 2024)","noteIndex":0},"citationItems":[{"id":51,"uris":["http://zotero.org/groups/5821210/items/2XVPWJH9"],"itemData":{"id":51,"type":"book","abstract":"Arbeit an der Bibliothek noch nicht eingelangt - Daten nicht geprüft, Abweichender Titel nach Übersetzung der Verfasserin/des Verfassers","event-place":"Wien","language":"eng","note":"DOI: 10.34726/hss.2024.119741","publisher-place":"Wien","source":"catalogplus.tuwien.at","title":"Prediction of Environmental Performance in Absorption-based Carbon Capture: Addressing Process Enhancements and Data Uncertainties","title-short":"Prediction of Environmental Performance in Absorption-based Carbon Capture","URL":"https://doi.org/10.34726/hss.2024.119741","author":[{"family":"Küng","given":"Jonas"}],"accessed":{"date-parts":[["2025",2,3]]},"issued":{"date-parts":[["2024"]]}}}],"schema":"https://github.com/citation-style-language/schema/raw/master/csl-citation.json"} </w:instrText>
      </w:r>
      <w:r w:rsidRPr="005E39E8">
        <w:fldChar w:fldCharType="separate"/>
      </w:r>
      <w:r w:rsidRPr="005E39E8">
        <w:t>(Küng, 2024)</w:t>
      </w:r>
      <w:r w:rsidRPr="005E39E8">
        <w:fldChar w:fldCharType="end"/>
      </w:r>
      <w:r>
        <w:t>.</w:t>
      </w:r>
    </w:p>
    <w:p w14:paraId="101B1231" w14:textId="77777777" w:rsidR="00521185" w:rsidRPr="00B57B36" w:rsidRDefault="00521185" w:rsidP="00027CA6">
      <w:pPr>
        <w:pStyle w:val="CETBodytext"/>
      </w:pPr>
    </w:p>
    <w:p w14:paraId="2C961B09" w14:textId="26F27912" w:rsidR="00027CA6" w:rsidRPr="00EA6EE5" w:rsidRDefault="00027CA6" w:rsidP="00027CA6">
      <w:pPr>
        <w:pStyle w:val="Caption"/>
        <w:keepNext/>
        <w:rPr>
          <w:b w:val="0"/>
          <w:bCs w:val="0"/>
          <w:i/>
          <w:color w:val="auto"/>
          <w:szCs w:val="20"/>
        </w:rPr>
      </w:pPr>
      <w:bookmarkStart w:id="1" w:name="_Ref189476220"/>
      <w:r w:rsidRPr="00EA6EE5">
        <w:rPr>
          <w:b w:val="0"/>
          <w:bCs w:val="0"/>
          <w:i/>
          <w:color w:val="auto"/>
          <w:szCs w:val="20"/>
        </w:rPr>
        <w:t xml:space="preserve">Table </w:t>
      </w:r>
      <w:r w:rsidRPr="00EA6EE5">
        <w:rPr>
          <w:b w:val="0"/>
          <w:bCs w:val="0"/>
          <w:i/>
          <w:color w:val="auto"/>
          <w:szCs w:val="20"/>
        </w:rPr>
        <w:fldChar w:fldCharType="begin"/>
      </w:r>
      <w:r w:rsidRPr="00EA6EE5">
        <w:rPr>
          <w:b w:val="0"/>
          <w:bCs w:val="0"/>
          <w:i/>
          <w:color w:val="auto"/>
          <w:szCs w:val="20"/>
        </w:rPr>
        <w:instrText xml:space="preserve"> SEQ Table \* ARABIC </w:instrText>
      </w:r>
      <w:r w:rsidRPr="00EA6EE5">
        <w:rPr>
          <w:b w:val="0"/>
          <w:bCs w:val="0"/>
          <w:i/>
          <w:color w:val="auto"/>
          <w:szCs w:val="20"/>
        </w:rPr>
        <w:fldChar w:fldCharType="separate"/>
      </w:r>
      <w:r w:rsidR="00993803">
        <w:rPr>
          <w:b w:val="0"/>
          <w:bCs w:val="0"/>
          <w:i/>
          <w:noProof/>
          <w:color w:val="auto"/>
          <w:szCs w:val="20"/>
        </w:rPr>
        <w:t>1</w:t>
      </w:r>
      <w:r w:rsidRPr="00EA6EE5">
        <w:rPr>
          <w:b w:val="0"/>
          <w:bCs w:val="0"/>
          <w:i/>
          <w:color w:val="auto"/>
          <w:szCs w:val="20"/>
        </w:rPr>
        <w:fldChar w:fldCharType="end"/>
      </w:r>
      <w:bookmarkEnd w:id="1"/>
      <w:r w:rsidRPr="00EA6EE5">
        <w:rPr>
          <w:b w:val="0"/>
          <w:bCs w:val="0"/>
          <w:i/>
          <w:color w:val="auto"/>
          <w:szCs w:val="20"/>
        </w:rPr>
        <w:t>: Base conditions for flue gas and CO</w:t>
      </w:r>
      <w:r w:rsidRPr="00027CA6">
        <w:rPr>
          <w:b w:val="0"/>
          <w:bCs w:val="0"/>
          <w:i/>
          <w:color w:val="auto"/>
          <w:szCs w:val="20"/>
          <w:vertAlign w:val="subscript"/>
        </w:rPr>
        <w:t>2</w:t>
      </w:r>
      <w:r w:rsidRPr="00EA6EE5">
        <w:rPr>
          <w:b w:val="0"/>
          <w:bCs w:val="0"/>
          <w:i/>
          <w:color w:val="auto"/>
          <w:szCs w:val="20"/>
        </w:rPr>
        <w:t xml:space="preserve"> lean solvent entering the absorber</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410"/>
        <w:gridCol w:w="1134"/>
        <w:gridCol w:w="2977"/>
        <w:gridCol w:w="20"/>
      </w:tblGrid>
      <w:tr w:rsidR="00027CA6" w:rsidRPr="00B57B36" w14:paraId="3A326250" w14:textId="77777777" w:rsidTr="004C07FC">
        <w:tc>
          <w:tcPr>
            <w:tcW w:w="2410" w:type="dxa"/>
            <w:tcBorders>
              <w:top w:val="single" w:sz="12" w:space="0" w:color="008000"/>
              <w:bottom w:val="single" w:sz="6" w:space="0" w:color="008000"/>
            </w:tcBorders>
            <w:shd w:val="clear" w:color="auto" w:fill="FFFFFF"/>
          </w:tcPr>
          <w:p w14:paraId="1597FD64" w14:textId="77777777" w:rsidR="00027CA6" w:rsidRPr="00B57B36" w:rsidRDefault="00027CA6" w:rsidP="004C07FC">
            <w:pPr>
              <w:pStyle w:val="CETBodytext"/>
              <w:rPr>
                <w:lang w:val="en-GB"/>
              </w:rPr>
            </w:pPr>
            <w:r>
              <w:rPr>
                <w:lang w:val="en-GB"/>
              </w:rPr>
              <w:t>Specifications</w:t>
            </w:r>
          </w:p>
        </w:tc>
        <w:tc>
          <w:tcPr>
            <w:tcW w:w="1134" w:type="dxa"/>
            <w:tcBorders>
              <w:top w:val="single" w:sz="12" w:space="0" w:color="008000"/>
              <w:bottom w:val="single" w:sz="6" w:space="0" w:color="008000"/>
            </w:tcBorders>
            <w:shd w:val="clear" w:color="auto" w:fill="FFFFFF"/>
          </w:tcPr>
          <w:p w14:paraId="02E0A5FF" w14:textId="77777777" w:rsidR="00027CA6" w:rsidRPr="00B57B36" w:rsidRDefault="00027CA6" w:rsidP="004C07FC">
            <w:pPr>
              <w:pStyle w:val="CETBodytext"/>
              <w:rPr>
                <w:lang w:val="en-GB"/>
              </w:rPr>
            </w:pPr>
            <w:r>
              <w:rPr>
                <w:lang w:val="en-GB"/>
              </w:rPr>
              <w:t>Flue gas</w:t>
            </w:r>
          </w:p>
        </w:tc>
        <w:tc>
          <w:tcPr>
            <w:tcW w:w="2977" w:type="dxa"/>
            <w:tcBorders>
              <w:top w:val="single" w:sz="12" w:space="0" w:color="008000"/>
              <w:bottom w:val="single" w:sz="6" w:space="0" w:color="008000"/>
            </w:tcBorders>
            <w:shd w:val="clear" w:color="auto" w:fill="FFFFFF"/>
          </w:tcPr>
          <w:p w14:paraId="7F4CD1BE" w14:textId="77777777" w:rsidR="00027CA6" w:rsidRPr="00B57B36" w:rsidRDefault="00027CA6" w:rsidP="004C07FC">
            <w:pPr>
              <w:pStyle w:val="CETBodytext"/>
              <w:rPr>
                <w:lang w:val="en-GB"/>
              </w:rPr>
            </w:pPr>
            <w:r>
              <w:rPr>
                <w:lang w:val="en-GB"/>
              </w:rPr>
              <w:t>CO</w:t>
            </w:r>
            <w:r w:rsidRPr="00027CA6">
              <w:rPr>
                <w:vertAlign w:val="subscript"/>
                <w:lang w:val="en-GB"/>
              </w:rPr>
              <w:t>2</w:t>
            </w:r>
            <w:r>
              <w:rPr>
                <w:lang w:val="en-GB"/>
              </w:rPr>
              <w:t xml:space="preserve"> lean solvent</w:t>
            </w:r>
          </w:p>
        </w:tc>
        <w:tc>
          <w:tcPr>
            <w:tcW w:w="20" w:type="dxa"/>
            <w:tcBorders>
              <w:top w:val="single" w:sz="12" w:space="0" w:color="008000"/>
              <w:bottom w:val="single" w:sz="6" w:space="0" w:color="008000"/>
            </w:tcBorders>
            <w:shd w:val="clear" w:color="auto" w:fill="FFFFFF"/>
          </w:tcPr>
          <w:p w14:paraId="41176960" w14:textId="77777777" w:rsidR="00027CA6" w:rsidRPr="00B57B36" w:rsidRDefault="00027CA6" w:rsidP="004C07FC">
            <w:pPr>
              <w:pStyle w:val="CETBodytext"/>
              <w:ind w:right="-1"/>
              <w:rPr>
                <w:rFonts w:cs="Arial"/>
                <w:szCs w:val="18"/>
                <w:lang w:val="en-GB"/>
              </w:rPr>
            </w:pPr>
          </w:p>
        </w:tc>
      </w:tr>
      <w:tr w:rsidR="00027CA6" w:rsidRPr="00B57B36" w14:paraId="6256E6AC" w14:textId="77777777" w:rsidTr="004C07FC">
        <w:tc>
          <w:tcPr>
            <w:tcW w:w="2410" w:type="dxa"/>
            <w:shd w:val="clear" w:color="auto" w:fill="FFFFFF"/>
          </w:tcPr>
          <w:p w14:paraId="39F27A1E" w14:textId="77777777" w:rsidR="00027CA6" w:rsidRPr="00B57B36" w:rsidRDefault="00027CA6" w:rsidP="004C07FC">
            <w:pPr>
              <w:pStyle w:val="CETBodytext"/>
              <w:rPr>
                <w:lang w:val="en-GB"/>
              </w:rPr>
            </w:pPr>
            <w:r>
              <w:rPr>
                <w:lang w:val="en-GB"/>
              </w:rPr>
              <w:t>Flow rate/ circulation rate</w:t>
            </w:r>
          </w:p>
        </w:tc>
        <w:tc>
          <w:tcPr>
            <w:tcW w:w="1134" w:type="dxa"/>
            <w:shd w:val="clear" w:color="auto" w:fill="FFFFFF"/>
          </w:tcPr>
          <w:p w14:paraId="2643AFAF" w14:textId="77777777" w:rsidR="00027CA6" w:rsidRPr="00B57B36" w:rsidRDefault="00027CA6" w:rsidP="004C07FC">
            <w:pPr>
              <w:pStyle w:val="CETBodytext"/>
              <w:rPr>
                <w:lang w:val="en-GB"/>
              </w:rPr>
            </w:pPr>
            <w:r>
              <w:rPr>
                <w:lang w:val="en-GB"/>
              </w:rPr>
              <w:t>5000 m³/h</w:t>
            </w:r>
          </w:p>
        </w:tc>
        <w:tc>
          <w:tcPr>
            <w:tcW w:w="2977" w:type="dxa"/>
            <w:shd w:val="clear" w:color="auto" w:fill="FFFFFF"/>
          </w:tcPr>
          <w:p w14:paraId="0DB79DCD" w14:textId="77777777" w:rsidR="00027CA6" w:rsidRPr="00B57B36" w:rsidRDefault="00027CA6" w:rsidP="004C07FC">
            <w:pPr>
              <w:pStyle w:val="CETBodytext"/>
              <w:rPr>
                <w:lang w:val="en-GB"/>
              </w:rPr>
            </w:pPr>
            <w:r>
              <w:rPr>
                <w:lang w:val="en-GB"/>
              </w:rPr>
              <w:t>19300 kg/h</w:t>
            </w:r>
          </w:p>
        </w:tc>
        <w:tc>
          <w:tcPr>
            <w:tcW w:w="20" w:type="dxa"/>
            <w:shd w:val="clear" w:color="auto" w:fill="FFFFFF"/>
          </w:tcPr>
          <w:p w14:paraId="582D710D" w14:textId="77777777" w:rsidR="00027CA6" w:rsidRPr="00B57B36" w:rsidRDefault="00027CA6" w:rsidP="004C07FC">
            <w:pPr>
              <w:pStyle w:val="CETBodytext"/>
              <w:ind w:right="-1"/>
              <w:rPr>
                <w:rFonts w:cs="Arial"/>
                <w:szCs w:val="18"/>
                <w:lang w:val="en-GB"/>
              </w:rPr>
            </w:pPr>
          </w:p>
        </w:tc>
      </w:tr>
      <w:tr w:rsidR="00027CA6" w:rsidRPr="00B57B36" w14:paraId="1D50DC19" w14:textId="77777777" w:rsidTr="004C07FC">
        <w:tc>
          <w:tcPr>
            <w:tcW w:w="2410" w:type="dxa"/>
            <w:shd w:val="clear" w:color="auto" w:fill="FFFFFF"/>
          </w:tcPr>
          <w:p w14:paraId="3ADC445A" w14:textId="77777777" w:rsidR="00027CA6" w:rsidRPr="00B57B36" w:rsidRDefault="00027CA6" w:rsidP="004C07FC">
            <w:pPr>
              <w:pStyle w:val="CETBodytext"/>
              <w:ind w:right="-1"/>
              <w:rPr>
                <w:rFonts w:cs="Arial"/>
                <w:szCs w:val="18"/>
                <w:lang w:val="en-GB"/>
              </w:rPr>
            </w:pPr>
            <w:r>
              <w:rPr>
                <w:rFonts w:cs="Arial"/>
                <w:szCs w:val="18"/>
                <w:lang w:val="en-GB"/>
              </w:rPr>
              <w:t>Pressure</w:t>
            </w:r>
          </w:p>
        </w:tc>
        <w:tc>
          <w:tcPr>
            <w:tcW w:w="1134" w:type="dxa"/>
            <w:shd w:val="clear" w:color="auto" w:fill="FFFFFF"/>
          </w:tcPr>
          <w:p w14:paraId="2F3711CE" w14:textId="77777777" w:rsidR="00027CA6" w:rsidRPr="00B57B36" w:rsidRDefault="00027CA6" w:rsidP="004C07FC">
            <w:pPr>
              <w:pStyle w:val="CETBodytext"/>
              <w:ind w:right="-1"/>
              <w:rPr>
                <w:rFonts w:cs="Arial"/>
                <w:szCs w:val="18"/>
                <w:lang w:val="en-GB"/>
              </w:rPr>
            </w:pPr>
            <w:r>
              <w:rPr>
                <w:rFonts w:cs="Arial"/>
                <w:szCs w:val="18"/>
                <w:lang w:val="en-GB"/>
              </w:rPr>
              <w:t>112 kPa</w:t>
            </w:r>
          </w:p>
        </w:tc>
        <w:tc>
          <w:tcPr>
            <w:tcW w:w="2977" w:type="dxa"/>
            <w:shd w:val="clear" w:color="auto" w:fill="FFFFFF"/>
          </w:tcPr>
          <w:p w14:paraId="6EB2CEE5" w14:textId="77777777" w:rsidR="00027CA6" w:rsidRPr="00B57B36" w:rsidRDefault="00027CA6" w:rsidP="004C07FC">
            <w:pPr>
              <w:pStyle w:val="CETBodytext"/>
              <w:ind w:right="-1"/>
              <w:rPr>
                <w:rFonts w:cs="Arial"/>
                <w:szCs w:val="18"/>
                <w:lang w:val="en-GB"/>
              </w:rPr>
            </w:pPr>
            <w:r>
              <w:rPr>
                <w:rFonts w:cs="Arial"/>
                <w:szCs w:val="18"/>
                <w:lang w:val="en-GB"/>
              </w:rPr>
              <w:t>112 kPa</w:t>
            </w:r>
          </w:p>
        </w:tc>
        <w:tc>
          <w:tcPr>
            <w:tcW w:w="20" w:type="dxa"/>
            <w:shd w:val="clear" w:color="auto" w:fill="FFFFFF"/>
          </w:tcPr>
          <w:p w14:paraId="5CB816D5" w14:textId="77777777" w:rsidR="00027CA6" w:rsidRPr="00B57B36" w:rsidRDefault="00027CA6" w:rsidP="004C07FC">
            <w:pPr>
              <w:pStyle w:val="CETBodytext"/>
              <w:ind w:right="-1"/>
              <w:rPr>
                <w:rFonts w:cs="Arial"/>
                <w:szCs w:val="18"/>
                <w:lang w:val="en-GB"/>
              </w:rPr>
            </w:pPr>
          </w:p>
        </w:tc>
      </w:tr>
      <w:tr w:rsidR="00027CA6" w:rsidRPr="00B57B36" w14:paraId="1D2C94CA" w14:textId="77777777" w:rsidTr="004C07FC">
        <w:tc>
          <w:tcPr>
            <w:tcW w:w="2410" w:type="dxa"/>
            <w:shd w:val="clear" w:color="auto" w:fill="FFFFFF"/>
          </w:tcPr>
          <w:p w14:paraId="42186214" w14:textId="77777777" w:rsidR="00027CA6" w:rsidRDefault="00027CA6" w:rsidP="004C07FC">
            <w:pPr>
              <w:pStyle w:val="CETBodytext"/>
              <w:ind w:right="-1"/>
              <w:rPr>
                <w:rFonts w:cs="Arial"/>
                <w:szCs w:val="18"/>
                <w:lang w:val="en-GB"/>
              </w:rPr>
            </w:pPr>
            <w:r>
              <w:rPr>
                <w:rFonts w:cs="Arial"/>
                <w:szCs w:val="18"/>
                <w:lang w:val="en-GB"/>
              </w:rPr>
              <w:t>Temperature</w:t>
            </w:r>
          </w:p>
        </w:tc>
        <w:tc>
          <w:tcPr>
            <w:tcW w:w="1134" w:type="dxa"/>
            <w:shd w:val="clear" w:color="auto" w:fill="FFFFFF"/>
          </w:tcPr>
          <w:p w14:paraId="3C777F8B" w14:textId="77777777" w:rsidR="00027CA6" w:rsidRPr="00B57B36" w:rsidRDefault="00027CA6" w:rsidP="004C07FC">
            <w:pPr>
              <w:pStyle w:val="CETBodytext"/>
              <w:ind w:right="-1"/>
              <w:rPr>
                <w:rFonts w:cs="Arial"/>
                <w:szCs w:val="18"/>
                <w:lang w:val="en-GB"/>
              </w:rPr>
            </w:pPr>
            <w:r>
              <w:rPr>
                <w:rFonts w:cs="Arial"/>
                <w:szCs w:val="18"/>
                <w:lang w:val="en-GB"/>
              </w:rPr>
              <w:t>48 °C</w:t>
            </w:r>
          </w:p>
        </w:tc>
        <w:tc>
          <w:tcPr>
            <w:tcW w:w="2977" w:type="dxa"/>
            <w:shd w:val="clear" w:color="auto" w:fill="FFFFFF"/>
          </w:tcPr>
          <w:p w14:paraId="4F64CF03" w14:textId="77777777" w:rsidR="00027CA6" w:rsidRPr="00B57B36" w:rsidRDefault="00027CA6" w:rsidP="004C07FC">
            <w:pPr>
              <w:pStyle w:val="CETBodytext"/>
              <w:ind w:right="-1"/>
              <w:rPr>
                <w:rFonts w:cs="Arial"/>
                <w:szCs w:val="18"/>
                <w:lang w:val="en-GB"/>
              </w:rPr>
            </w:pPr>
            <w:r>
              <w:rPr>
                <w:rFonts w:cs="Arial"/>
                <w:szCs w:val="18"/>
                <w:lang w:val="en-GB"/>
              </w:rPr>
              <w:t>35 °C</w:t>
            </w:r>
          </w:p>
        </w:tc>
        <w:tc>
          <w:tcPr>
            <w:tcW w:w="20" w:type="dxa"/>
            <w:shd w:val="clear" w:color="auto" w:fill="FFFFFF"/>
          </w:tcPr>
          <w:p w14:paraId="696685EC" w14:textId="77777777" w:rsidR="00027CA6" w:rsidRPr="00B57B36" w:rsidRDefault="00027CA6" w:rsidP="004C07FC">
            <w:pPr>
              <w:pStyle w:val="CETBodytext"/>
              <w:ind w:right="-1"/>
              <w:rPr>
                <w:rFonts w:cs="Arial"/>
                <w:szCs w:val="18"/>
                <w:lang w:val="en-GB"/>
              </w:rPr>
            </w:pPr>
          </w:p>
        </w:tc>
      </w:tr>
      <w:tr w:rsidR="00027CA6" w:rsidRPr="00B57B36" w14:paraId="53E8F2D8" w14:textId="77777777" w:rsidTr="004C07FC">
        <w:tc>
          <w:tcPr>
            <w:tcW w:w="2410" w:type="dxa"/>
            <w:shd w:val="clear" w:color="auto" w:fill="FFFFFF"/>
          </w:tcPr>
          <w:p w14:paraId="5254CBFE" w14:textId="77777777" w:rsidR="00027CA6" w:rsidRDefault="00027CA6" w:rsidP="004C07FC">
            <w:pPr>
              <w:pStyle w:val="CETBodytext"/>
              <w:ind w:right="-1"/>
              <w:rPr>
                <w:rFonts w:cs="Arial"/>
                <w:szCs w:val="18"/>
                <w:lang w:val="en-GB"/>
              </w:rPr>
            </w:pPr>
            <w:r>
              <w:rPr>
                <w:rFonts w:cs="Arial"/>
                <w:szCs w:val="18"/>
                <w:lang w:val="en-GB"/>
              </w:rPr>
              <w:lastRenderedPageBreak/>
              <w:t>Composition</w:t>
            </w:r>
          </w:p>
        </w:tc>
        <w:tc>
          <w:tcPr>
            <w:tcW w:w="1134" w:type="dxa"/>
            <w:shd w:val="clear" w:color="auto" w:fill="FFFFFF"/>
          </w:tcPr>
          <w:p w14:paraId="1A22BB79" w14:textId="77777777" w:rsidR="00027CA6" w:rsidRPr="00B57B36" w:rsidRDefault="00027CA6" w:rsidP="004C07FC">
            <w:pPr>
              <w:pStyle w:val="CETBodytext"/>
              <w:ind w:right="-1"/>
              <w:rPr>
                <w:rFonts w:cs="Arial"/>
                <w:szCs w:val="18"/>
                <w:lang w:val="en-GB"/>
              </w:rPr>
            </w:pPr>
          </w:p>
        </w:tc>
        <w:tc>
          <w:tcPr>
            <w:tcW w:w="2977" w:type="dxa"/>
            <w:shd w:val="clear" w:color="auto" w:fill="FFFFFF"/>
          </w:tcPr>
          <w:p w14:paraId="417ECF86" w14:textId="77777777" w:rsidR="00027CA6" w:rsidRPr="00B57B36" w:rsidRDefault="00027CA6" w:rsidP="004C07FC">
            <w:pPr>
              <w:pStyle w:val="CETBodytext"/>
              <w:ind w:right="-1"/>
              <w:rPr>
                <w:rFonts w:cs="Arial"/>
                <w:szCs w:val="18"/>
                <w:lang w:val="en-GB"/>
              </w:rPr>
            </w:pPr>
          </w:p>
        </w:tc>
        <w:tc>
          <w:tcPr>
            <w:tcW w:w="20" w:type="dxa"/>
            <w:shd w:val="clear" w:color="auto" w:fill="FFFFFF"/>
          </w:tcPr>
          <w:p w14:paraId="38EC14DB" w14:textId="77777777" w:rsidR="00027CA6" w:rsidRPr="00B57B36" w:rsidRDefault="00027CA6" w:rsidP="004C07FC">
            <w:pPr>
              <w:pStyle w:val="CETBodytext"/>
              <w:ind w:right="-1"/>
              <w:rPr>
                <w:rFonts w:cs="Arial"/>
                <w:szCs w:val="18"/>
                <w:lang w:val="en-GB"/>
              </w:rPr>
            </w:pPr>
          </w:p>
        </w:tc>
      </w:tr>
      <w:tr w:rsidR="00027CA6" w:rsidRPr="00B57B36" w14:paraId="3B848422" w14:textId="77777777" w:rsidTr="004C07FC">
        <w:tc>
          <w:tcPr>
            <w:tcW w:w="2410" w:type="dxa"/>
            <w:shd w:val="clear" w:color="auto" w:fill="FFFFFF"/>
          </w:tcPr>
          <w:p w14:paraId="2AB927C7" w14:textId="77777777" w:rsidR="00027CA6" w:rsidRDefault="00027CA6" w:rsidP="004C07FC">
            <w:pPr>
              <w:pStyle w:val="CETBodytext"/>
              <w:tabs>
                <w:tab w:val="left" w:pos="299"/>
              </w:tabs>
              <w:ind w:right="-1"/>
              <w:jc w:val="left"/>
              <w:rPr>
                <w:rFonts w:cs="Arial"/>
                <w:szCs w:val="18"/>
                <w:lang w:val="en-GB"/>
              </w:rPr>
            </w:pPr>
            <w:r>
              <w:rPr>
                <w:rFonts w:cs="Arial"/>
                <w:szCs w:val="18"/>
                <w:lang w:val="en-GB"/>
              </w:rPr>
              <w:tab/>
              <w:t>MEA</w:t>
            </w:r>
          </w:p>
        </w:tc>
        <w:tc>
          <w:tcPr>
            <w:tcW w:w="1134" w:type="dxa"/>
            <w:shd w:val="clear" w:color="auto" w:fill="FFFFFF"/>
          </w:tcPr>
          <w:p w14:paraId="1C37D8EF" w14:textId="77777777" w:rsidR="00027CA6" w:rsidRPr="00B57B36" w:rsidRDefault="00027CA6" w:rsidP="004C07FC">
            <w:pPr>
              <w:pStyle w:val="CETBodytext"/>
              <w:ind w:right="-1"/>
              <w:rPr>
                <w:rFonts w:cs="Arial"/>
                <w:szCs w:val="18"/>
                <w:lang w:val="en-GB"/>
              </w:rPr>
            </w:pPr>
            <w:r>
              <w:rPr>
                <w:rFonts w:cs="Arial"/>
                <w:szCs w:val="18"/>
                <w:lang w:val="en-GB"/>
              </w:rPr>
              <w:t>-</w:t>
            </w:r>
          </w:p>
        </w:tc>
        <w:tc>
          <w:tcPr>
            <w:tcW w:w="2977" w:type="dxa"/>
            <w:shd w:val="clear" w:color="auto" w:fill="FFFFFF"/>
          </w:tcPr>
          <w:p w14:paraId="258A01EC" w14:textId="77777777" w:rsidR="00027CA6" w:rsidRPr="00B57B36" w:rsidRDefault="00027CA6" w:rsidP="004C07FC">
            <w:pPr>
              <w:pStyle w:val="CETBodytext"/>
              <w:ind w:right="-1"/>
              <w:rPr>
                <w:rFonts w:cs="Arial"/>
                <w:szCs w:val="18"/>
                <w:lang w:val="en-GB"/>
              </w:rPr>
            </w:pPr>
            <w:r>
              <w:rPr>
                <w:rFonts w:cs="Arial"/>
                <w:szCs w:val="18"/>
                <w:lang w:val="en-GB"/>
              </w:rPr>
              <w:t>30.0 wt%</w:t>
            </w:r>
          </w:p>
        </w:tc>
        <w:tc>
          <w:tcPr>
            <w:tcW w:w="20" w:type="dxa"/>
            <w:shd w:val="clear" w:color="auto" w:fill="FFFFFF"/>
          </w:tcPr>
          <w:p w14:paraId="3A787DF2" w14:textId="77777777" w:rsidR="00027CA6" w:rsidRPr="00B57B36" w:rsidRDefault="00027CA6" w:rsidP="004C07FC">
            <w:pPr>
              <w:pStyle w:val="CETBodytext"/>
              <w:ind w:right="-1"/>
              <w:rPr>
                <w:rFonts w:cs="Arial"/>
                <w:szCs w:val="18"/>
                <w:lang w:val="en-GB"/>
              </w:rPr>
            </w:pPr>
          </w:p>
        </w:tc>
      </w:tr>
      <w:tr w:rsidR="00027CA6" w:rsidRPr="00B57B36" w14:paraId="7C354BF4" w14:textId="77777777" w:rsidTr="004C07FC">
        <w:tc>
          <w:tcPr>
            <w:tcW w:w="2410" w:type="dxa"/>
            <w:shd w:val="clear" w:color="auto" w:fill="FFFFFF"/>
          </w:tcPr>
          <w:p w14:paraId="65CDD04F" w14:textId="77777777" w:rsidR="00027CA6" w:rsidRDefault="00027CA6" w:rsidP="004C07FC">
            <w:pPr>
              <w:pStyle w:val="CETBodytext"/>
              <w:tabs>
                <w:tab w:val="left" w:pos="299"/>
              </w:tabs>
              <w:ind w:right="-1"/>
              <w:jc w:val="left"/>
              <w:rPr>
                <w:rFonts w:cs="Arial"/>
                <w:szCs w:val="18"/>
                <w:lang w:val="en-GB"/>
              </w:rPr>
            </w:pPr>
            <w:r>
              <w:rPr>
                <w:rFonts w:cs="Arial"/>
                <w:szCs w:val="18"/>
                <w:lang w:val="en-GB"/>
              </w:rPr>
              <w:tab/>
              <w:t>H</w:t>
            </w:r>
            <w:r w:rsidRPr="00027CA6">
              <w:rPr>
                <w:rFonts w:cs="Arial"/>
                <w:szCs w:val="18"/>
                <w:vertAlign w:val="subscript"/>
                <w:lang w:val="en-GB"/>
              </w:rPr>
              <w:t>2</w:t>
            </w:r>
            <w:r>
              <w:rPr>
                <w:rFonts w:cs="Arial"/>
                <w:szCs w:val="18"/>
                <w:lang w:val="en-GB"/>
              </w:rPr>
              <w:t>O</w:t>
            </w:r>
          </w:p>
        </w:tc>
        <w:tc>
          <w:tcPr>
            <w:tcW w:w="1134" w:type="dxa"/>
            <w:shd w:val="clear" w:color="auto" w:fill="FFFFFF"/>
          </w:tcPr>
          <w:p w14:paraId="23BD5D3D" w14:textId="77777777" w:rsidR="00027CA6" w:rsidRPr="00B57B36" w:rsidRDefault="00027CA6" w:rsidP="004C07FC">
            <w:pPr>
              <w:pStyle w:val="CETBodytext"/>
              <w:ind w:right="-1"/>
              <w:rPr>
                <w:rFonts w:cs="Arial"/>
                <w:szCs w:val="18"/>
                <w:lang w:val="en-GB"/>
              </w:rPr>
            </w:pPr>
            <w:r>
              <w:rPr>
                <w:rFonts w:cs="Arial"/>
                <w:szCs w:val="18"/>
                <w:lang w:val="en-GB"/>
              </w:rPr>
              <w:t>11.3 vol%</w:t>
            </w:r>
          </w:p>
        </w:tc>
        <w:tc>
          <w:tcPr>
            <w:tcW w:w="2977" w:type="dxa"/>
            <w:shd w:val="clear" w:color="auto" w:fill="FFFFFF"/>
          </w:tcPr>
          <w:p w14:paraId="32AEAE46" w14:textId="77777777" w:rsidR="00027CA6" w:rsidRPr="00B57B36" w:rsidRDefault="00027CA6" w:rsidP="004C07FC">
            <w:pPr>
              <w:pStyle w:val="CETBodytext"/>
              <w:ind w:right="-1"/>
              <w:rPr>
                <w:rFonts w:cs="Arial"/>
                <w:szCs w:val="18"/>
                <w:lang w:val="en-GB"/>
              </w:rPr>
            </w:pPr>
            <w:r>
              <w:rPr>
                <w:rFonts w:cs="Arial"/>
                <w:szCs w:val="18"/>
                <w:lang w:val="en-GB"/>
              </w:rPr>
              <w:t>63.5 wt%</w:t>
            </w:r>
          </w:p>
        </w:tc>
        <w:tc>
          <w:tcPr>
            <w:tcW w:w="20" w:type="dxa"/>
            <w:shd w:val="clear" w:color="auto" w:fill="FFFFFF"/>
          </w:tcPr>
          <w:p w14:paraId="72608759" w14:textId="77777777" w:rsidR="00027CA6" w:rsidRPr="00B57B36" w:rsidRDefault="00027CA6" w:rsidP="004C07FC">
            <w:pPr>
              <w:pStyle w:val="CETBodytext"/>
              <w:ind w:right="-1"/>
              <w:rPr>
                <w:rFonts w:cs="Arial"/>
                <w:szCs w:val="18"/>
                <w:lang w:val="en-GB"/>
              </w:rPr>
            </w:pPr>
          </w:p>
        </w:tc>
      </w:tr>
      <w:tr w:rsidR="00027CA6" w:rsidRPr="00B57B36" w14:paraId="3967BF6E" w14:textId="77777777" w:rsidTr="004C07FC">
        <w:tc>
          <w:tcPr>
            <w:tcW w:w="2410" w:type="dxa"/>
            <w:shd w:val="clear" w:color="auto" w:fill="FFFFFF"/>
          </w:tcPr>
          <w:p w14:paraId="23AFBBC4" w14:textId="77777777" w:rsidR="00027CA6" w:rsidRDefault="00027CA6" w:rsidP="004C07FC">
            <w:pPr>
              <w:pStyle w:val="CETBodytext"/>
              <w:tabs>
                <w:tab w:val="left" w:pos="299"/>
              </w:tabs>
              <w:ind w:right="-1"/>
              <w:jc w:val="left"/>
              <w:rPr>
                <w:rFonts w:cs="Arial"/>
                <w:szCs w:val="18"/>
                <w:lang w:val="en-GB"/>
              </w:rPr>
            </w:pPr>
            <w:r>
              <w:rPr>
                <w:rFonts w:cs="Arial"/>
                <w:szCs w:val="18"/>
                <w:lang w:val="en-GB"/>
              </w:rPr>
              <w:tab/>
              <w:t>CO</w:t>
            </w:r>
            <w:r w:rsidRPr="00027CA6">
              <w:rPr>
                <w:rFonts w:cs="Arial"/>
                <w:szCs w:val="18"/>
                <w:vertAlign w:val="subscript"/>
                <w:lang w:val="en-GB"/>
              </w:rPr>
              <w:t>2</w:t>
            </w:r>
          </w:p>
        </w:tc>
        <w:tc>
          <w:tcPr>
            <w:tcW w:w="1134" w:type="dxa"/>
            <w:shd w:val="clear" w:color="auto" w:fill="FFFFFF"/>
          </w:tcPr>
          <w:p w14:paraId="27C305E0" w14:textId="77777777" w:rsidR="00027CA6" w:rsidRPr="00B57B36" w:rsidRDefault="00027CA6" w:rsidP="004C07FC">
            <w:pPr>
              <w:pStyle w:val="CETBodytext"/>
              <w:ind w:right="-1"/>
              <w:rPr>
                <w:rFonts w:cs="Arial"/>
                <w:szCs w:val="18"/>
                <w:lang w:val="en-GB"/>
              </w:rPr>
            </w:pPr>
            <w:r>
              <w:rPr>
                <w:rFonts w:cs="Arial"/>
                <w:szCs w:val="18"/>
                <w:lang w:val="en-GB"/>
              </w:rPr>
              <w:t>10.0 vol%</w:t>
            </w:r>
          </w:p>
        </w:tc>
        <w:tc>
          <w:tcPr>
            <w:tcW w:w="2977" w:type="dxa"/>
            <w:shd w:val="clear" w:color="auto" w:fill="FFFFFF"/>
          </w:tcPr>
          <w:p w14:paraId="7FC53AA3" w14:textId="77777777" w:rsidR="00027CA6" w:rsidRPr="00B57B36" w:rsidRDefault="00027CA6" w:rsidP="004C07FC">
            <w:pPr>
              <w:pStyle w:val="CETBodytext"/>
              <w:tabs>
                <w:tab w:val="left" w:pos="113"/>
                <w:tab w:val="left" w:pos="138"/>
              </w:tabs>
              <w:ind w:right="-1"/>
              <w:rPr>
                <w:rFonts w:cs="Arial"/>
                <w:szCs w:val="18"/>
                <w:lang w:val="en-GB"/>
              </w:rPr>
            </w:pPr>
            <w:r>
              <w:rPr>
                <w:rFonts w:cs="Arial"/>
                <w:szCs w:val="18"/>
                <w:lang w:val="en-GB"/>
              </w:rPr>
              <w:tab/>
              <w:t>6.5 wt% (= 0.3 mol CO2/mol MEA)</w:t>
            </w:r>
          </w:p>
        </w:tc>
        <w:tc>
          <w:tcPr>
            <w:tcW w:w="20" w:type="dxa"/>
            <w:shd w:val="clear" w:color="auto" w:fill="FFFFFF"/>
          </w:tcPr>
          <w:p w14:paraId="4C677E5E" w14:textId="77777777" w:rsidR="00027CA6" w:rsidRPr="00B57B36" w:rsidRDefault="00027CA6" w:rsidP="004C07FC">
            <w:pPr>
              <w:pStyle w:val="CETBodytext"/>
              <w:ind w:right="-1"/>
              <w:rPr>
                <w:rFonts w:cs="Arial"/>
                <w:szCs w:val="18"/>
                <w:lang w:val="en-GB"/>
              </w:rPr>
            </w:pPr>
          </w:p>
        </w:tc>
      </w:tr>
      <w:tr w:rsidR="00027CA6" w:rsidRPr="00B57B36" w14:paraId="3D55EA41" w14:textId="77777777" w:rsidTr="004C07FC">
        <w:tc>
          <w:tcPr>
            <w:tcW w:w="2410" w:type="dxa"/>
            <w:shd w:val="clear" w:color="auto" w:fill="FFFFFF"/>
          </w:tcPr>
          <w:p w14:paraId="5C27AC49" w14:textId="77777777" w:rsidR="00027CA6" w:rsidRDefault="00027CA6" w:rsidP="004C07FC">
            <w:pPr>
              <w:pStyle w:val="CETBodytext"/>
              <w:tabs>
                <w:tab w:val="left" w:pos="299"/>
              </w:tabs>
              <w:ind w:right="-1"/>
              <w:jc w:val="left"/>
              <w:rPr>
                <w:rFonts w:cs="Arial"/>
                <w:szCs w:val="18"/>
                <w:lang w:val="en-GB"/>
              </w:rPr>
            </w:pPr>
            <w:r>
              <w:rPr>
                <w:rFonts w:cs="Arial"/>
                <w:szCs w:val="18"/>
                <w:lang w:val="en-GB"/>
              </w:rPr>
              <w:tab/>
              <w:t>O</w:t>
            </w:r>
            <w:r w:rsidRPr="00027CA6">
              <w:rPr>
                <w:rFonts w:cs="Arial"/>
                <w:szCs w:val="18"/>
                <w:vertAlign w:val="subscript"/>
                <w:lang w:val="en-GB"/>
              </w:rPr>
              <w:t>2</w:t>
            </w:r>
          </w:p>
        </w:tc>
        <w:tc>
          <w:tcPr>
            <w:tcW w:w="1134" w:type="dxa"/>
            <w:shd w:val="clear" w:color="auto" w:fill="FFFFFF"/>
          </w:tcPr>
          <w:p w14:paraId="790957BD" w14:textId="77777777" w:rsidR="00027CA6" w:rsidRPr="00B57B36" w:rsidRDefault="00027CA6" w:rsidP="004C07FC">
            <w:pPr>
              <w:pStyle w:val="CETBodytext"/>
              <w:tabs>
                <w:tab w:val="left" w:pos="113"/>
                <w:tab w:val="left" w:pos="144"/>
              </w:tabs>
              <w:ind w:right="-1"/>
              <w:rPr>
                <w:rFonts w:cs="Arial"/>
                <w:szCs w:val="18"/>
                <w:lang w:val="en-GB"/>
              </w:rPr>
            </w:pPr>
            <w:r>
              <w:rPr>
                <w:rFonts w:cs="Arial"/>
                <w:szCs w:val="18"/>
                <w:lang w:val="en-GB"/>
              </w:rPr>
              <w:tab/>
              <w:t>3.8 vol%</w:t>
            </w:r>
          </w:p>
        </w:tc>
        <w:tc>
          <w:tcPr>
            <w:tcW w:w="2977" w:type="dxa"/>
            <w:shd w:val="clear" w:color="auto" w:fill="FFFFFF"/>
          </w:tcPr>
          <w:p w14:paraId="7677EB16" w14:textId="77777777" w:rsidR="00027CA6" w:rsidRPr="00B57B36" w:rsidRDefault="00027CA6" w:rsidP="004C07FC">
            <w:pPr>
              <w:pStyle w:val="CETBodytext"/>
              <w:ind w:right="-1"/>
              <w:rPr>
                <w:rFonts w:cs="Arial"/>
                <w:szCs w:val="18"/>
                <w:lang w:val="en-GB"/>
              </w:rPr>
            </w:pPr>
          </w:p>
        </w:tc>
        <w:tc>
          <w:tcPr>
            <w:tcW w:w="20" w:type="dxa"/>
            <w:shd w:val="clear" w:color="auto" w:fill="FFFFFF"/>
          </w:tcPr>
          <w:p w14:paraId="7182ADE4" w14:textId="77777777" w:rsidR="00027CA6" w:rsidRPr="00B57B36" w:rsidRDefault="00027CA6" w:rsidP="004C07FC">
            <w:pPr>
              <w:pStyle w:val="CETBodytext"/>
              <w:ind w:right="-1"/>
              <w:rPr>
                <w:rFonts w:cs="Arial"/>
                <w:szCs w:val="18"/>
                <w:lang w:val="en-GB"/>
              </w:rPr>
            </w:pPr>
          </w:p>
        </w:tc>
      </w:tr>
      <w:tr w:rsidR="00027CA6" w:rsidRPr="00B57B36" w14:paraId="539D5FE9" w14:textId="77777777" w:rsidTr="004C07FC">
        <w:tc>
          <w:tcPr>
            <w:tcW w:w="2410" w:type="dxa"/>
            <w:shd w:val="clear" w:color="auto" w:fill="FFFFFF"/>
          </w:tcPr>
          <w:p w14:paraId="2408A525" w14:textId="77777777" w:rsidR="00027CA6" w:rsidRDefault="00027CA6" w:rsidP="004C07FC">
            <w:pPr>
              <w:pStyle w:val="CETBodytext"/>
              <w:tabs>
                <w:tab w:val="left" w:pos="299"/>
              </w:tabs>
              <w:ind w:right="-1"/>
              <w:jc w:val="left"/>
              <w:rPr>
                <w:rFonts w:cs="Arial"/>
                <w:szCs w:val="18"/>
                <w:lang w:val="en-GB"/>
              </w:rPr>
            </w:pPr>
            <w:r>
              <w:rPr>
                <w:rFonts w:cs="Arial"/>
                <w:szCs w:val="18"/>
                <w:lang w:val="en-GB"/>
              </w:rPr>
              <w:tab/>
              <w:t>N</w:t>
            </w:r>
            <w:r w:rsidRPr="00027CA6">
              <w:rPr>
                <w:rFonts w:cs="Arial"/>
                <w:szCs w:val="18"/>
                <w:vertAlign w:val="subscript"/>
                <w:lang w:val="en-GB"/>
              </w:rPr>
              <w:t>2</w:t>
            </w:r>
          </w:p>
        </w:tc>
        <w:tc>
          <w:tcPr>
            <w:tcW w:w="1134" w:type="dxa"/>
            <w:shd w:val="clear" w:color="auto" w:fill="FFFFFF"/>
          </w:tcPr>
          <w:p w14:paraId="7AB434A2" w14:textId="77777777" w:rsidR="00027CA6" w:rsidRPr="00B57B36" w:rsidRDefault="00027CA6" w:rsidP="004C07FC">
            <w:pPr>
              <w:pStyle w:val="CETBodytext"/>
              <w:ind w:right="-1"/>
              <w:rPr>
                <w:rFonts w:cs="Arial"/>
                <w:szCs w:val="18"/>
                <w:lang w:val="en-GB"/>
              </w:rPr>
            </w:pPr>
            <w:r>
              <w:rPr>
                <w:rFonts w:cs="Arial"/>
                <w:szCs w:val="18"/>
                <w:lang w:val="en-GB"/>
              </w:rPr>
              <w:t>74,9 vol%</w:t>
            </w:r>
          </w:p>
        </w:tc>
        <w:tc>
          <w:tcPr>
            <w:tcW w:w="2977" w:type="dxa"/>
            <w:shd w:val="clear" w:color="auto" w:fill="FFFFFF"/>
          </w:tcPr>
          <w:p w14:paraId="6E5433E5" w14:textId="77777777" w:rsidR="00027CA6" w:rsidRPr="00B57B36" w:rsidRDefault="00027CA6" w:rsidP="004C07FC">
            <w:pPr>
              <w:pStyle w:val="CETBodytext"/>
              <w:ind w:right="-1"/>
              <w:rPr>
                <w:rFonts w:cs="Arial"/>
                <w:szCs w:val="18"/>
                <w:lang w:val="en-GB"/>
              </w:rPr>
            </w:pPr>
          </w:p>
        </w:tc>
        <w:tc>
          <w:tcPr>
            <w:tcW w:w="20" w:type="dxa"/>
            <w:shd w:val="clear" w:color="auto" w:fill="FFFFFF"/>
          </w:tcPr>
          <w:p w14:paraId="2F57BA93" w14:textId="77777777" w:rsidR="00027CA6" w:rsidRPr="00B57B36" w:rsidRDefault="00027CA6" w:rsidP="004C07FC">
            <w:pPr>
              <w:pStyle w:val="CETBodytext"/>
              <w:ind w:right="-1"/>
              <w:rPr>
                <w:rFonts w:cs="Arial"/>
                <w:szCs w:val="18"/>
                <w:lang w:val="en-GB"/>
              </w:rPr>
            </w:pPr>
          </w:p>
        </w:tc>
      </w:tr>
    </w:tbl>
    <w:p w14:paraId="71BC852F" w14:textId="5C39B896" w:rsidR="00F47367" w:rsidRPr="00F2262A" w:rsidRDefault="00F47367" w:rsidP="00F93E0E">
      <w:pPr>
        <w:tabs>
          <w:tab w:val="clear" w:pos="7100"/>
        </w:tabs>
        <w:spacing w:before="100" w:beforeAutospacing="1" w:after="100" w:afterAutospacing="1" w:line="240" w:lineRule="auto"/>
        <w:jc w:val="center"/>
        <w:rPr>
          <w:rFonts w:ascii="Times New Roman" w:hAnsi="Times New Roman"/>
          <w:sz w:val="24"/>
          <w:szCs w:val="24"/>
          <w:lang w:val="en-AT" w:eastAsia="en-AT"/>
        </w:rPr>
      </w:pPr>
      <w:bookmarkStart w:id="2" w:name="_Ref190678916"/>
      <w:r w:rsidRPr="00F47367">
        <w:rPr>
          <w:rFonts w:ascii="Times New Roman" w:hAnsi="Times New Roman"/>
          <w:noProof/>
          <w:sz w:val="24"/>
          <w:szCs w:val="24"/>
          <w:lang w:val="en-AT" w:eastAsia="en-AT"/>
        </w:rPr>
        <w:drawing>
          <wp:inline distT="0" distB="0" distL="0" distR="0" wp14:anchorId="5D77F9D6" wp14:editId="17113416">
            <wp:extent cx="5708342" cy="3830128"/>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3217" t="435" b="3015"/>
                    <a:stretch/>
                  </pic:blipFill>
                  <pic:spPr bwMode="auto">
                    <a:xfrm>
                      <a:off x="0" y="0"/>
                      <a:ext cx="5713609" cy="3833662"/>
                    </a:xfrm>
                    <a:prstGeom prst="rect">
                      <a:avLst/>
                    </a:prstGeom>
                    <a:noFill/>
                    <a:ln>
                      <a:noFill/>
                    </a:ln>
                    <a:extLst>
                      <a:ext uri="{53640926-AAD7-44D8-BBD7-CCE9431645EC}">
                        <a14:shadowObscured xmlns:a14="http://schemas.microsoft.com/office/drawing/2010/main"/>
                      </a:ext>
                    </a:extLst>
                  </pic:spPr>
                </pic:pic>
              </a:graphicData>
            </a:graphic>
          </wp:inline>
        </w:drawing>
      </w:r>
    </w:p>
    <w:p w14:paraId="7F2EE718" w14:textId="10D21214" w:rsidR="00877A9E" w:rsidRPr="00877A9E" w:rsidRDefault="00877A9E" w:rsidP="00F93E0E">
      <w:pPr>
        <w:pStyle w:val="CETCaption"/>
        <w:jc w:val="center"/>
      </w:pPr>
      <w:r>
        <w:t xml:space="preserve">Figure </w:t>
      </w:r>
      <w:r>
        <w:fldChar w:fldCharType="begin"/>
      </w:r>
      <w:r>
        <w:instrText xml:space="preserve"> SEQ Figure \* ARABIC </w:instrText>
      </w:r>
      <w:r>
        <w:fldChar w:fldCharType="separate"/>
      </w:r>
      <w:r w:rsidR="00993803">
        <w:rPr>
          <w:noProof/>
        </w:rPr>
        <w:t>1</w:t>
      </w:r>
      <w:r>
        <w:fldChar w:fldCharType="end"/>
      </w:r>
      <w:bookmarkEnd w:id="2"/>
      <w:r>
        <w:t>:</w:t>
      </w:r>
      <w:r w:rsidR="009E0E33">
        <w:t xml:space="preserve"> </w:t>
      </w:r>
      <w:r w:rsidRPr="00E84899">
        <w:t>Flowsheet of a standard solvent-based post-combustion carbon capture process with MEA as a solvent, including the boundaries of the LCA.</w:t>
      </w:r>
    </w:p>
    <w:p w14:paraId="063BFFDD" w14:textId="3886189E" w:rsidR="00027CA6" w:rsidRDefault="00027CA6" w:rsidP="00027CA6">
      <w:pPr>
        <w:pStyle w:val="CETBodytext"/>
      </w:pPr>
      <w:r>
        <w:t>For</w:t>
      </w:r>
      <w:r w:rsidRPr="00F6519E">
        <w:t xml:space="preserve"> a stable and comparable process simulation </w:t>
      </w:r>
      <w:r>
        <w:t xml:space="preserve">suited </w:t>
      </w:r>
      <w:r w:rsidRPr="00F6519E">
        <w:t xml:space="preserve">for automation, </w:t>
      </w:r>
      <w:r>
        <w:t xml:space="preserve">the </w:t>
      </w:r>
      <w:r w:rsidRPr="00F6519E">
        <w:t xml:space="preserve">reboiler is specified by </w:t>
      </w:r>
      <w:r w:rsidR="00387C68">
        <w:t>fixing</w:t>
      </w:r>
      <w:r w:rsidRPr="00F6519E">
        <w:t xml:space="preserve"> the temperature to 121.5</w:t>
      </w:r>
      <w:r>
        <w:t> </w:t>
      </w:r>
      <w:r w:rsidRPr="00F6519E">
        <w:t>°C and an initial setting for the reboiler duty. The latter is adjusted through a design specification to achieve the same CO</w:t>
      </w:r>
      <w:r w:rsidRPr="00F6519E">
        <w:rPr>
          <w:vertAlign w:val="subscript"/>
        </w:rPr>
        <w:t>2</w:t>
      </w:r>
      <w:r w:rsidRPr="00F6519E">
        <w:t xml:space="preserve"> removal efficiency </w:t>
      </w:r>
      <w:r w:rsidR="00857945">
        <w:t xml:space="preserve">of 95 % </w:t>
      </w:r>
      <w:r w:rsidRPr="00F6519E">
        <w:t>for all simulations</w:t>
      </w:r>
      <w:r>
        <w:t xml:space="preserve">. When performing the simulations, closing the cycle for each simulation is a tedious task, as the simulation is prone to convergence issues due to the present chemistry and circulating solvent. </w:t>
      </w:r>
      <w:r w:rsidR="000A7F33" w:rsidRPr="000A7F33">
        <w:t>Instead of letting Aspen Plus automatically close the recycle with its default tear-stream procedure</w:t>
      </w:r>
      <w:r w:rsidR="00F3486B">
        <w:t xml:space="preserve">, </w:t>
      </w:r>
      <w:r w:rsidR="000A7F33" w:rsidRPr="000A7F33">
        <w:t>which can cause convergence issues under certain conditions, we implemented a custom-made approach for tearing. Specifically,</w:t>
      </w:r>
      <w:r>
        <w:t xml:space="preserve"> the CO</w:t>
      </w:r>
      <w:r w:rsidRPr="00F6519E">
        <w:rPr>
          <w:vertAlign w:val="subscript"/>
        </w:rPr>
        <w:t>2</w:t>
      </w:r>
      <w:r>
        <w:t xml:space="preserve"> lean solvent entering the absorber is selected as a “cutting point” and the composition of the corresponding tear streams is approximated</w:t>
      </w:r>
      <w:r w:rsidR="00072E48">
        <w:t xml:space="preserve"> to enable automation.</w:t>
      </w:r>
      <w:r>
        <w:t xml:space="preserve"> For each simulation, it was aimed to limit the deviation of the component mass flows in the tear streams to &lt; 0.1 %. </w:t>
      </w:r>
    </w:p>
    <w:p w14:paraId="7B4BAA16" w14:textId="7C38A97C" w:rsidR="00E8766F" w:rsidRDefault="00072E48" w:rsidP="00027CA6">
      <w:pPr>
        <w:pStyle w:val="CETBodytext"/>
      </w:pPr>
      <w:r>
        <w:t>Since the CO</w:t>
      </w:r>
      <w:r>
        <w:rPr>
          <w:rFonts w:ascii="Cambria Math" w:hAnsi="Cambria Math" w:cs="Cambria Math"/>
        </w:rPr>
        <w:t>₂</w:t>
      </w:r>
      <w:r>
        <w:t xml:space="preserve"> concentration in the flue gas is determined by the upstream process, it is a key parameter for ensuring process flexibility. </w:t>
      </w:r>
      <w:r w:rsidR="008920D2">
        <w:t>For example, the CO</w:t>
      </w:r>
      <w:r w:rsidR="008920D2">
        <w:rPr>
          <w:rFonts w:ascii="Cambria Math" w:hAnsi="Cambria Math" w:cs="Cambria Math"/>
        </w:rPr>
        <w:t>₂</w:t>
      </w:r>
      <w:r w:rsidR="008920D2">
        <w:t xml:space="preserve"> concentration in flue gas ranges from 3</w:t>
      </w:r>
      <w:r w:rsidR="008920D2">
        <w:noBreakHyphen/>
        <w:t>10 vol% for natural gas</w:t>
      </w:r>
      <w:r w:rsidR="008920D2">
        <w:noBreakHyphen/>
        <w:t>fired power plants </w:t>
      </w:r>
      <w:r w:rsidR="008920D2">
        <w:fldChar w:fldCharType="begin"/>
      </w:r>
      <w:r w:rsidR="008920D2">
        <w:instrText xml:space="preserve"> ADDIN ZOTERO_ITEM CSL_CITATION {"citationID":"kWGtoB3W","properties":{"formattedCitation":"(Ababneh et al., 2022)","plainCitation":"(Ababneh et al., 2022)","noteIndex":0},"citationItems":[{"id":293,"uris":["http://zotero.org/groups/5821210/items/E8BUELCC"],"itemData":{"id":293,"type":"article-journal","abstract":"This work attempts to address the quest of removing carbon dioxide from flue gas streams to help preserve the environment. It is based on a model that is able to describe the solid-liquid-vapour and solid-vapour phase equilibria for the ternary system of N2-O2-CO2 at pressures from 5 to 130 bar and over a wide range of temperature (140 to 220 K). Furthermore, a corresponding state-of-the art solid-vapor (SV) CO2 capture/separation unit is developed and introduced in this work. The SV unit was modeled using the Aspen Custom Modeler software by implementing the thermodynamic model developed before. It was then simulated using the Aspen Plus simulator; its performance was studied and analyzed. Moreover, the performance of the unit was optimized and compared to the most conventional corresponding technology used by the industry (i.e., amine-scrubbing). Results proved that for the same output clean gas composition, which contains only 0.3% CO2, the developed state-of-the-art SV unit consumes almost half of the energy required by the conventional process. Other advantages of the novel SV separation unit include the lower requirement of capital equipment, no need of additional agents (such as solvents) and the avoidance of product contamination with such additional agents.","container-title":"Processes","DOI":"10.3390/pr10112406","ISSN":"2227-9717","issue":"11","language":"en","license":"http://creativecommons.org/licenses/by/3.0/","note":"number: 11\npublisher: Multidisciplinary Digital Publishing Institute","page":"2406","source":"www.mdpi.com","title":"Carbon Capture from Post-Combustion Flue Gas Using a State-Of-The-Art, Anti-Sublimation, Solid–Vapor Separation Unit","volume":"10","author":[{"family":"Ababneh","given":"Hani"},{"family":"AlNouss","given":"Ahmed"},{"family":"Al-Muhtaseb","given":"Shaheen A."}],"issued":{"date-parts":[["2022",11]]}}}],"schema":"https://github.com/citation-style-language/schema/raw/master/csl-citation.json"} </w:instrText>
      </w:r>
      <w:r w:rsidR="008920D2">
        <w:fldChar w:fldCharType="separate"/>
      </w:r>
      <w:r w:rsidR="008920D2" w:rsidRPr="008920D2">
        <w:rPr>
          <w:rFonts w:cs="Arial"/>
        </w:rPr>
        <w:t>(Ababneh et al., 2022)</w:t>
      </w:r>
      <w:r w:rsidR="008920D2">
        <w:fldChar w:fldCharType="end"/>
      </w:r>
      <w:r w:rsidR="008920D2">
        <w:t xml:space="preserve"> and from 10</w:t>
      </w:r>
      <w:r w:rsidR="008920D2">
        <w:noBreakHyphen/>
        <w:t>18 vol% for coal-fired power plants </w:t>
      </w:r>
      <w:r w:rsidR="008920D2">
        <w:fldChar w:fldCharType="begin"/>
      </w:r>
      <w:r w:rsidR="008920D2">
        <w:instrText xml:space="preserve"> ADDIN ZOTERO_ITEM CSL_CITATION {"citationID":"AEKeXjNk","properties":{"formattedCitation":"(Cheng et al., 2021)","plainCitation":"(Cheng et al., 2021)","noteIndex":0},"citationItems":[{"id":295,"uris":["http://zotero.org/groups/5821210/items/IT37K9QU"],"itemData":{"id":295,"type":"article-journal","abstract":"The pressure swing adsorption (PSA) process was used to capture carbon dioxide (CO2) from the flue gas of a coal-fired power plant to reduce CO2 emissions. Herein, CO2 was captured from flue gas using the PSA process for at least 85 vol% CO2 purity and with the other exit stream from the process of more than 90 vol% N2 purity. The extended Langmuir–Freundlich isotherm was used for calculating the equilibrium adsorption capacity, and the linear driving force model was used to describe the gas adsorption kinetics. We compared the results of breakthrough curves obtained through experiments and simulations to verify the accuracy of the mass transfer coefficient. The flue gas obtained after desulphurization and water removal (13.5 vol% CO2 and 86.5 vol% N2) from a subcritical 1-kW coal-fired power plant served as the feed for the designed three-bed, nine-step PSA process. To determine optimal operating conditions for the process, the central composite design (CCD) was used. After CCD analysis, optimal operating conditions with a feed pressure of 3.66 atm and a vacuum pressure of 0.05 atm were obtained to produce a bottom product with a CO2 purity of 89.20 vol% and a recovery of 88.20%, and a top product with a N2 purity of 98.49 vol% and a recovery of 93.56%. The mechanical energy consumption was estimated to be 1.17 GJ/t-CO2.","container-title":"Energies","DOI":"10.3390/en14123582","ISSN":"1996-1073","issue":"12","language":"en","license":"http://creativecommons.org/licenses/by/3.0/","note":"number: 12\npublisher: Multidisciplinary Digital Publishing Institute","page":"3582","source":"www.mdpi.com","title":"CO2 Capture from Flue Gas of a Coal-Fired Power Plant Using Three-Bed PSA Process","volume":"14","author":[{"family":"Cheng","given":"Chu-Yun"},{"family":"Kuo","given":"Chia-Chen"},{"family":"Yang","given":"Ming-Wei"},{"family":"Zhuang","given":"Zong-Yu"},{"family":"Lin","given":"Po-Wei"},{"family":"Chen","given":"Yi-Fang"},{"family":"Yang","given":"Hong-Sung"},{"family":"Chou","given":"Cheng-Tung"}],"issued":{"date-parts":[["2021",1]]}}}],"schema":"https://github.com/citation-style-language/schema/raw/master/csl-citation.json"} </w:instrText>
      </w:r>
      <w:r w:rsidR="008920D2">
        <w:fldChar w:fldCharType="separate"/>
      </w:r>
      <w:r w:rsidR="008920D2" w:rsidRPr="008920D2">
        <w:rPr>
          <w:rFonts w:cs="Arial"/>
        </w:rPr>
        <w:t>(Cheng et al., 2021)</w:t>
      </w:r>
      <w:r w:rsidR="008920D2">
        <w:fldChar w:fldCharType="end"/>
      </w:r>
      <w:r w:rsidR="008920D2">
        <w:t>. For this reason, a single parameter </w:t>
      </w:r>
      <w:r w:rsidR="0068011F">
        <w:t>PCS</w:t>
      </w:r>
      <w:r w:rsidR="008920D2">
        <w:t xml:space="preserve"> for the flue gas CO</w:t>
      </w:r>
      <w:r w:rsidR="008920D2" w:rsidRPr="00971F57">
        <w:rPr>
          <w:vertAlign w:val="subscript"/>
        </w:rPr>
        <w:t>2</w:t>
      </w:r>
      <w:r w:rsidR="008920D2">
        <w:t xml:space="preserve"> concentration </w:t>
      </w:r>
      <w:r w:rsidR="00A76447">
        <w:t xml:space="preserve">is conducted </w:t>
      </w:r>
      <w:r w:rsidR="008920D2">
        <w:t>in the range of 8</w:t>
      </w:r>
      <w:r w:rsidR="008920D2">
        <w:noBreakHyphen/>
        <w:t>1</w:t>
      </w:r>
      <w:r w:rsidR="00442DDF">
        <w:t>1.8</w:t>
      </w:r>
      <w:r w:rsidR="008920D2">
        <w:t> vol%</w:t>
      </w:r>
      <w:r w:rsidR="001C3AE5">
        <w:t xml:space="preserve"> according to Stratified Sampling</w:t>
      </w:r>
      <w:r w:rsidR="00700054">
        <w:t xml:space="preserve">. </w:t>
      </w:r>
      <w:r w:rsidR="00027CA6">
        <w:t>To ensure a similar composition of the tear streams</w:t>
      </w:r>
      <w:r w:rsidR="00857945">
        <w:t xml:space="preserve"> and to keep the mass fraction of MEA constant at 30 wt%</w:t>
      </w:r>
      <w:r w:rsidR="00027CA6">
        <w:t>, the CO</w:t>
      </w:r>
      <w:r w:rsidR="00027CA6" w:rsidRPr="00AF081A">
        <w:rPr>
          <w:vertAlign w:val="subscript"/>
        </w:rPr>
        <w:t>2</w:t>
      </w:r>
      <w:r w:rsidR="00027CA6">
        <w:t xml:space="preserve"> lean solvent loading is adjusted for each simulation. All other process parameters are kept constant, </w:t>
      </w:r>
      <w:r w:rsidR="00C354A8">
        <w:t>except for</w:t>
      </w:r>
      <w:r w:rsidR="00027CA6">
        <w:t xml:space="preserve"> </w:t>
      </w:r>
      <w:r w:rsidR="00A76447">
        <w:t xml:space="preserve">the </w:t>
      </w:r>
      <w:r w:rsidR="00027CA6">
        <w:t xml:space="preserve">makeup stream, respectively, drain stream for </w:t>
      </w:r>
      <w:r w:rsidR="00E8766F">
        <w:t>adjusting the water balance</w:t>
      </w:r>
      <w:r w:rsidR="00027CA6">
        <w:t>.</w:t>
      </w:r>
      <w:r w:rsidR="00E8766F">
        <w:t xml:space="preserve"> </w:t>
      </w:r>
      <w:r w:rsidR="00027CA6" w:rsidRPr="00E60FA9">
        <w:t>The first simulation is performed manually to obtain a stable starting point</w:t>
      </w:r>
      <w:r w:rsidR="00E8766F">
        <w:t>. Then, the automated simulations are conducted, for which converge</w:t>
      </w:r>
      <w:r w:rsidR="00700054">
        <w:t>nce</w:t>
      </w:r>
      <w:r w:rsidR="00E8766F">
        <w:t xml:space="preserve"> is achieved if the increment is sufficiently small.</w:t>
      </w:r>
      <w:r w:rsidR="00700054">
        <w:t xml:space="preserve"> To</w:t>
      </w:r>
      <w:r w:rsidR="00700054" w:rsidRPr="00C33BA1">
        <w:t xml:space="preserve"> obtain an overview of the </w:t>
      </w:r>
      <w:r w:rsidR="00700054">
        <w:t>convergence</w:t>
      </w:r>
      <w:r w:rsidR="00700054" w:rsidRPr="00C33BA1">
        <w:t xml:space="preserve"> of the simulations, </w:t>
      </w:r>
      <w:r w:rsidR="00700054">
        <w:t>status reports</w:t>
      </w:r>
      <w:r w:rsidR="00700054" w:rsidRPr="00C33BA1">
        <w:t xml:space="preserve"> </w:t>
      </w:r>
      <w:r w:rsidR="00700054">
        <w:t xml:space="preserve">(success, warnings, errors) </w:t>
      </w:r>
      <w:r w:rsidR="00700054" w:rsidRPr="00C33BA1">
        <w:lastRenderedPageBreak/>
        <w:t xml:space="preserve">were implemented in the </w:t>
      </w:r>
      <w:r w:rsidR="00700054">
        <w:t>framework</w:t>
      </w:r>
      <w:r w:rsidR="00700054" w:rsidRPr="00C33BA1">
        <w:t>.</w:t>
      </w:r>
      <w:r w:rsidR="00E163D0">
        <w:t xml:space="preserve"> </w:t>
      </w:r>
      <w:r w:rsidR="00700054">
        <w:t xml:space="preserve"> </w:t>
      </w:r>
      <w:r w:rsidR="000C5213">
        <w:t>T</w:t>
      </w:r>
      <w:r w:rsidR="000C5213" w:rsidRPr="000C5213">
        <w:t>he flue gas CO</w:t>
      </w:r>
      <w:r w:rsidR="000C5213" w:rsidRPr="000C5213">
        <w:rPr>
          <w:rFonts w:ascii="Cambria Math" w:hAnsi="Cambria Math" w:cs="Cambria Math"/>
        </w:rPr>
        <w:t>₂</w:t>
      </w:r>
      <w:r w:rsidR="000C5213" w:rsidRPr="000C5213">
        <w:t xml:space="preserve"> concentration was varied from 8</w:t>
      </w:r>
      <w:r w:rsidR="000C5213" w:rsidRPr="000C5213">
        <w:rPr>
          <w:rFonts w:cs="Arial"/>
        </w:rPr>
        <w:t> </w:t>
      </w:r>
      <w:r w:rsidR="000C5213" w:rsidRPr="000C5213">
        <w:t>to</w:t>
      </w:r>
      <w:r w:rsidR="000C5213" w:rsidRPr="000C5213">
        <w:rPr>
          <w:rFonts w:cs="Arial"/>
        </w:rPr>
        <w:t> </w:t>
      </w:r>
      <w:r w:rsidR="000C5213" w:rsidRPr="000C5213">
        <w:t>11.8</w:t>
      </w:r>
      <w:r w:rsidR="000C5213" w:rsidRPr="000C5213">
        <w:rPr>
          <w:rFonts w:cs="Arial"/>
        </w:rPr>
        <w:t> </w:t>
      </w:r>
      <w:r w:rsidR="000C5213" w:rsidRPr="000C5213">
        <w:t>vol% in increments of 0.2</w:t>
      </w:r>
      <w:r w:rsidR="000C5213" w:rsidRPr="000C5213">
        <w:rPr>
          <w:rFonts w:cs="Arial"/>
        </w:rPr>
        <w:t> </w:t>
      </w:r>
      <w:r w:rsidR="000C5213" w:rsidRPr="000C5213">
        <w:t>vol%, so that each successive simulation was only marginally adjusted. This approach is a pragmatic, stratified stepping to ensure robust convergence between runs and reduce convergence failures. All 19 automated runs converged successfully (or with minor warnings), starting from one manually converged base case.</w:t>
      </w:r>
    </w:p>
    <w:p w14:paraId="2334006D" w14:textId="405A2331" w:rsidR="00993803" w:rsidRPr="005F39EB" w:rsidRDefault="000075A3" w:rsidP="005F39EB">
      <w:pPr>
        <w:pStyle w:val="CETheadingx"/>
      </w:pPr>
      <w:r>
        <w:t>LCA framework</w:t>
      </w:r>
      <w:r>
        <w:rPr>
          <w:lang w:val="en-GB"/>
        </w:rPr>
        <w:fldChar w:fldCharType="begin"/>
      </w:r>
      <w:r>
        <w:instrText xml:space="preserve"> REF _Ref190678916 \h </w:instrText>
      </w:r>
      <w:r>
        <w:rPr>
          <w:lang w:val="en-GB"/>
        </w:rPr>
        <w:fldChar w:fldCharType="separate"/>
      </w:r>
    </w:p>
    <w:p w14:paraId="6706903F" w14:textId="22071A1D" w:rsidR="000075A3" w:rsidRDefault="005F39EB" w:rsidP="000075A3">
      <w:pPr>
        <w:pStyle w:val="CETBodytext"/>
      </w:pPr>
      <w:r>
        <w:t>Regarding the LCA boundaries, illustrated in</w:t>
      </w:r>
      <w:r>
        <w:t xml:space="preserve"> </w:t>
      </w:r>
      <w:r w:rsidR="00993803">
        <w:t xml:space="preserve">Figure </w:t>
      </w:r>
      <w:r w:rsidR="00993803">
        <w:rPr>
          <w:noProof/>
        </w:rPr>
        <w:t>1</w:t>
      </w:r>
      <w:r w:rsidR="000075A3">
        <w:fldChar w:fldCharType="end"/>
      </w:r>
      <w:r w:rsidR="000075A3">
        <w:t>, a cradle-to-gate approach, covering the product’s life cycle from raw material extraction to plant exit but excluding</w:t>
      </w:r>
      <w:r w:rsidR="001F1FC4">
        <w:t xml:space="preserve"> </w:t>
      </w:r>
      <w:r w:rsidR="001F1FC4" w:rsidRPr="001F1FC4">
        <w:t>product use and end-of-life</w:t>
      </w:r>
      <w:r w:rsidR="001F1FC4">
        <w:t xml:space="preserve">, </w:t>
      </w:r>
      <w:r w:rsidR="001F1FC4" w:rsidRPr="001F1FC4">
        <w:t>is selected.</w:t>
      </w:r>
      <w:r w:rsidR="000075A3">
        <w:t xml:space="preserve"> The functional unit is 1 tonne of </w:t>
      </w:r>
      <w:r w:rsidR="00DC65DC">
        <w:t xml:space="preserve">treated </w:t>
      </w:r>
      <w:r w:rsidR="000075A3">
        <w:t>CO</w:t>
      </w:r>
      <w:r w:rsidR="000075A3" w:rsidRPr="00DC5F9B">
        <w:rPr>
          <w:vertAlign w:val="subscript"/>
        </w:rPr>
        <w:t>2</w:t>
      </w:r>
      <w:r w:rsidR="000075A3">
        <w:t xml:space="preserve"> </w:t>
      </w:r>
      <w:r w:rsidR="005A49DA">
        <w:t>with</w:t>
      </w:r>
      <w:r w:rsidR="000075A3">
        <w:t xml:space="preserve"> removal efficiency of 95 %</w:t>
      </w:r>
      <w:r w:rsidR="00CF54F5">
        <w:t xml:space="preserve"> and 99.5% purity</w:t>
      </w:r>
      <w:r w:rsidR="001F1FC4">
        <w:t xml:space="preserve">, </w:t>
      </w:r>
      <w:r w:rsidR="00D00826" w:rsidRPr="00D00826">
        <w:t>aligning with typical specifications for pipeline transport or utilization</w:t>
      </w:r>
      <w:r w:rsidR="00D00826">
        <w:t xml:space="preserve">. </w:t>
      </w:r>
    </w:p>
    <w:p w14:paraId="0857E0C2" w14:textId="5BF63AD5" w:rsidR="000075A3" w:rsidRDefault="000075A3" w:rsidP="000075A3">
      <w:pPr>
        <w:pStyle w:val="CETBodytext"/>
      </w:pPr>
      <w:r>
        <w:t>E</w:t>
      </w:r>
      <w:r w:rsidRPr="00DC5F9B">
        <w:t>xcluded from the scope are CO</w:t>
      </w:r>
      <w:r w:rsidRPr="00DC5F9B">
        <w:rPr>
          <w:vertAlign w:val="subscript"/>
        </w:rPr>
        <w:t>2</w:t>
      </w:r>
      <w:r w:rsidRPr="00DC5F9B">
        <w:t xml:space="preserve"> emitters</w:t>
      </w:r>
      <w:r>
        <w:t xml:space="preserve">, </w:t>
      </w:r>
      <w:r w:rsidRPr="00DC5F9B">
        <w:t>flue gas purification, and CO</w:t>
      </w:r>
      <w:r w:rsidRPr="00DC5F9B">
        <w:rPr>
          <w:vertAlign w:val="subscript"/>
        </w:rPr>
        <w:t>2</w:t>
      </w:r>
      <w:r w:rsidRPr="00DC5F9B">
        <w:t xml:space="preserve"> storage/utilization. The focus lies on plant construction, MEA production, and operation, including key equipment such as columns, packings, pumps, compressors, and heat exchangers. Column and packing materials are modeled b</w:t>
      </w:r>
      <w:r>
        <w:t>y a linear relationship to the</w:t>
      </w:r>
      <w:r w:rsidRPr="00DC5F9B">
        <w:t xml:space="preserve"> column height. MEA losses due to leaks or entrainment are neglected, as are thermal and oxidative degradation, though future research </w:t>
      </w:r>
      <w:r w:rsidR="008B266C">
        <w:t xml:space="preserve">plans to enhance the level of detail of the assessment. </w:t>
      </w:r>
      <w:r>
        <w:t xml:space="preserve"> </w:t>
      </w:r>
    </w:p>
    <w:p w14:paraId="01D8BF38" w14:textId="567CAF24" w:rsidR="000075A3" w:rsidRDefault="000075A3" w:rsidP="000075A3">
      <w:pPr>
        <w:pStyle w:val="CETBodytext"/>
      </w:pPr>
      <w:r>
        <w:t>A 30-year operational lifetime and natural gas combustion as a heat supply for the generation of low</w:t>
      </w:r>
      <w:r>
        <w:noBreakHyphen/>
        <w:t xml:space="preserve">pressure (LP) steam is assumed. Water is needed for washing and cooling, with wastewater treatment considered depending on the mass balance. </w:t>
      </w:r>
    </w:p>
    <w:p w14:paraId="2F8045E8" w14:textId="103BF258" w:rsidR="000075A3" w:rsidRDefault="00151396" w:rsidP="00027CA6">
      <w:pPr>
        <w:pStyle w:val="CETBodytext"/>
      </w:pPr>
      <w:r w:rsidRPr="00151396">
        <w:rPr>
          <w:lang w:val="en-GB"/>
        </w:rPr>
        <w:t>For the LCIA, the ReCiPe 2016 method is applied using the cutoff approach, the egalitarian perspective, and long-term midpoint indicators</w:t>
      </w:r>
      <w:r w:rsidR="001E0D13">
        <w:rPr>
          <w:lang w:val="en-GB"/>
        </w:rPr>
        <w:t xml:space="preserve">. </w:t>
      </w:r>
      <w:r w:rsidR="000075A3">
        <w:t>While midpoints are more related to environmental flows, endpoints are more straightforward for stakeholders to interpret in terms of environmental relevance. However, using endpoints introduces additional uncertainty when aggregating multiple midpoints. For these reasons, the midpoints are presented in this study.</w:t>
      </w:r>
    </w:p>
    <w:p w14:paraId="1393CBD1" w14:textId="77777777" w:rsidR="00700054" w:rsidRDefault="00700054" w:rsidP="00700054">
      <w:pPr>
        <w:pStyle w:val="CETheadingx"/>
      </w:pPr>
      <w:r>
        <w:t>Python Interface</w:t>
      </w:r>
    </w:p>
    <w:p w14:paraId="41019962" w14:textId="7AC774A7" w:rsidR="00E27ABE" w:rsidRDefault="00700054" w:rsidP="009E08B0">
      <w:pPr>
        <w:pStyle w:val="CETBodytext"/>
        <w:spacing w:after="120"/>
      </w:pPr>
      <w:r>
        <w:t>Given the lack of available coding documentation for accessing Aspen with Python, several unofficial and open</w:t>
      </w:r>
      <w:r>
        <w:noBreakHyphen/>
        <w:t>source GitHub repositories (platform for sharing code)</w:t>
      </w:r>
      <w:r w:rsidR="009E08B0">
        <w:t xml:space="preserve"> such as </w:t>
      </w:r>
      <w:r w:rsidR="009E08B0" w:rsidRPr="003746B6">
        <w:fldChar w:fldCharType="begin"/>
      </w:r>
      <w:r w:rsidR="009E08B0" w:rsidRPr="003746B6">
        <w:instrText xml:space="preserve"> ADDIN ZOTERO_ITEM CSL_CITATION {"citationID":"o6KKBNmH","properties":{"formattedCitation":"(ten Hagen, 2022)","plainCitation":"(ten Hagen, 2022)","noteIndex":0},"citationItems":[{"id":45,"uris":["http://zotero.org/groups/5821210/items/3UKPVCNA"],"itemData":{"id":45,"type":"webpage","title":"AspenPlus Python Interface","URL":"https://github.com/YouMayCallMeJesus/AspenPlus-Python-Interface","author":[{"family":"Hagen","given":"Richard Wolfgang","non-dropping-particle":"ten"}],"accessed":{"date-parts":[["2025",2,3]]},"issued":{"date-parts":[["2022",7,1]]}}}],"schema":"https://github.com/citation-style-language/schema/raw/master/csl-citation.json"} </w:instrText>
      </w:r>
      <w:r w:rsidR="009E08B0" w:rsidRPr="003746B6">
        <w:fldChar w:fldCharType="separate"/>
      </w:r>
      <w:r w:rsidR="009E08B0" w:rsidRPr="003746B6">
        <w:t>(ten Hagen, 2022)</w:t>
      </w:r>
      <w:r w:rsidR="009E08B0" w:rsidRPr="003746B6">
        <w:fldChar w:fldCharType="end"/>
      </w:r>
      <w:r w:rsidR="009E08B0" w:rsidRPr="003746B6">
        <w:t xml:space="preserve"> and </w:t>
      </w:r>
      <w:r w:rsidR="009E08B0" w:rsidRPr="003746B6">
        <w:fldChar w:fldCharType="begin"/>
      </w:r>
      <w:r w:rsidR="009E08B0" w:rsidRPr="003746B6">
        <w:instrText xml:space="preserve"> ADDIN ZOTERO_ITEM CSL_CITATION {"citationID":"oigFs65f","properties":{"formattedCitation":"(Wang, 2024)","plainCitation":"(Wang, 2024)","noteIndex":0},"citationItems":[{"id":47,"uris":["http://zotero.org/groups/5821210/items/7BI67R2X"],"itemData":{"id":47,"type":"webpage","abstract":"Automation of process simulation in Aspen Plus","note":"original-date: 2022-07-28T10:24:24Z","title":"Aspen-Plus-Automation","URL":"https://github.com/zwang1995/Aspen-Plus-Automation","author":[{"family":"Wang","given":"Zihao"}],"accessed":{"date-parts":[["2025",2,3]]},"issued":{"date-parts":[["2024"]]}}}],"schema":"https://github.com/citation-style-language/schema/raw/master/csl-citation.json"} </w:instrText>
      </w:r>
      <w:r w:rsidR="009E08B0" w:rsidRPr="003746B6">
        <w:fldChar w:fldCharType="separate"/>
      </w:r>
      <w:r w:rsidR="009E08B0" w:rsidRPr="003746B6">
        <w:t>(Wang, 2024)</w:t>
      </w:r>
      <w:r w:rsidR="009E08B0" w:rsidRPr="003746B6">
        <w:fldChar w:fldCharType="end"/>
      </w:r>
      <w:r>
        <w:t xml:space="preserve"> provide support. These interfaces are primarily built on the PyWin32 library, which enables the use of the Win32 API features in Python. It provides access to Windows' Component Object Model (COM), allowing Python to control Microsoft applications.</w:t>
      </w:r>
      <w:r w:rsidR="00620CF6">
        <w:t xml:space="preserve"> After installing the PyWin32 library, an Aspen Plus simulation can be opened using the following code:</w:t>
      </w:r>
      <w:r>
        <w:t xml:space="preserve"> </w:t>
      </w:r>
    </w:p>
    <w:bookmarkStart w:id="3" w:name="_MON_1801286589"/>
    <w:bookmarkEnd w:id="3"/>
    <w:p w14:paraId="5F186C66" w14:textId="16D3093F" w:rsidR="00E27ABE" w:rsidRDefault="0024348B" w:rsidP="00700054">
      <w:pPr>
        <w:pStyle w:val="CETBodytext"/>
      </w:pPr>
      <w:r>
        <w:object w:dxaOrig="9072" w:dyaOrig="863" w14:anchorId="575E1D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45pt;height:23.65pt" o:ole="">
            <v:imagedata r:id="rId11" o:title="" cropbottom="29991f" cropleft="-94f"/>
          </v:shape>
          <o:OLEObject Type="Embed" ProgID="Word.OpenDocumentText.12" ShapeID="_x0000_i1025" DrawAspect="Content" ObjectID="_1815233566" r:id="rId12"/>
        </w:object>
      </w:r>
    </w:p>
    <w:p w14:paraId="4E39EF6E" w14:textId="54B4C301" w:rsidR="00A97172" w:rsidRDefault="001264D1" w:rsidP="009E08B0">
      <w:pPr>
        <w:pStyle w:val="CETBodytext"/>
        <w:spacing w:before="120" w:after="120"/>
      </w:pPr>
      <w:r>
        <w:t>By using the built-in Variable Explorer in Aspen Plus, the inputs and outputs of a process simulation can be managed.</w:t>
      </w:r>
      <w:r w:rsidR="00A97172">
        <w:t xml:space="preserve"> For example, the flue gas CO</w:t>
      </w:r>
      <w:r w:rsidR="00A97172" w:rsidRPr="00A97172">
        <w:rPr>
          <w:vertAlign w:val="subscript"/>
        </w:rPr>
        <w:t>2</w:t>
      </w:r>
      <w:r w:rsidR="00A97172">
        <w:t xml:space="preserve"> concentration can be accessed by specifying its tree path in the Variable Explorer:</w:t>
      </w:r>
    </w:p>
    <w:bookmarkStart w:id="4" w:name="_MON_1801288826"/>
    <w:bookmarkEnd w:id="4"/>
    <w:p w14:paraId="57BDF252" w14:textId="34C2F9FE" w:rsidR="00A97172" w:rsidRPr="00A97172" w:rsidRDefault="00B370BF" w:rsidP="00700054">
      <w:pPr>
        <w:pStyle w:val="CETBodytext"/>
      </w:pPr>
      <w:r>
        <w:object w:dxaOrig="9072" w:dyaOrig="1387" w14:anchorId="3A920F1F">
          <v:shape id="_x0000_i1026" type="#_x0000_t75" style="width:438.45pt;height:22.55pt" o:ole="">
            <v:imagedata r:id="rId13" o:title="" cropbottom="45062f"/>
          </v:shape>
          <o:OLEObject Type="Embed" ProgID="Word.OpenDocumentText.12" ShapeID="_x0000_i1026" DrawAspect="Content" ObjectID="_1815233567" r:id="rId14"/>
        </w:object>
      </w:r>
    </w:p>
    <w:p w14:paraId="5F6E15CB" w14:textId="4C980C5F" w:rsidR="00B40249" w:rsidRDefault="009E08B0" w:rsidP="00191876">
      <w:pPr>
        <w:pStyle w:val="CETBodytext"/>
        <w:spacing w:before="120"/>
      </w:pPr>
      <w:r>
        <w:t>The GitHub repositories</w:t>
      </w:r>
      <w:r w:rsidR="00BA4F8C" w:rsidRPr="00BA4F8C">
        <w:rPr>
          <w:color w:val="000000" w:themeColor="text1"/>
        </w:rPr>
        <w:t xml:space="preserve"> </w:t>
      </w:r>
      <w:r>
        <w:rPr>
          <w:color w:val="000000" w:themeColor="text1"/>
        </w:rPr>
        <w:t xml:space="preserve">are extending this approach by various functionalities to achieve </w:t>
      </w:r>
      <w:r w:rsidR="004068C0">
        <w:rPr>
          <w:color w:val="000000" w:themeColor="text1"/>
        </w:rPr>
        <w:t>stable</w:t>
      </w:r>
      <w:r w:rsidR="00A97172">
        <w:rPr>
          <w:color w:val="000000" w:themeColor="text1"/>
        </w:rPr>
        <w:t xml:space="preserve"> </w:t>
      </w:r>
      <w:r>
        <w:rPr>
          <w:color w:val="000000" w:themeColor="text1"/>
        </w:rPr>
        <w:t xml:space="preserve">and customizable </w:t>
      </w:r>
      <w:r w:rsidR="00BA4F8C">
        <w:rPr>
          <w:color w:val="000000" w:themeColor="text1"/>
        </w:rPr>
        <w:t>access to the</w:t>
      </w:r>
      <w:r w:rsidR="00A97172">
        <w:rPr>
          <w:color w:val="000000" w:themeColor="text1"/>
        </w:rPr>
        <w:t xml:space="preserve"> simulation</w:t>
      </w:r>
      <w:r w:rsidR="00BA4F8C">
        <w:rPr>
          <w:color w:val="000000" w:themeColor="text1"/>
        </w:rPr>
        <w:t xml:space="preserve">. </w:t>
      </w:r>
      <w:r w:rsidR="00E27ABE">
        <w:t>With these instructions, an interface in Python for accessing Aspen Plus has been developed.</w:t>
      </w:r>
      <w:r w:rsidR="004A4E9E">
        <w:t xml:space="preserve"> </w:t>
      </w:r>
      <w:r>
        <w:t xml:space="preserve">For the </w:t>
      </w:r>
      <w:r w:rsidR="004A4E9E">
        <w:t>given</w:t>
      </w:r>
      <w:r w:rsidR="00877A9E">
        <w:t xml:space="preserve"> </w:t>
      </w:r>
      <w:r>
        <w:t>variation of the flue gas CO</w:t>
      </w:r>
      <w:r w:rsidRPr="009E08B0">
        <w:rPr>
          <w:vertAlign w:val="subscript"/>
        </w:rPr>
        <w:t>2</w:t>
      </w:r>
      <w:r>
        <w:t xml:space="preserve"> concentration</w:t>
      </w:r>
      <w:r w:rsidR="00877A9E">
        <w:t xml:space="preserve">, specified in an Excel file, </w:t>
      </w:r>
      <w:r w:rsidR="00E27ABE">
        <w:t xml:space="preserve">the interface </w:t>
      </w:r>
      <w:r w:rsidR="00F07DA3">
        <w:t>can modify</w:t>
      </w:r>
      <w:r w:rsidR="00E27ABE">
        <w:t xml:space="preserve"> </w:t>
      </w:r>
      <w:r w:rsidR="00877A9E">
        <w:t xml:space="preserve">the </w:t>
      </w:r>
      <w:r w:rsidR="00E27ABE">
        <w:t xml:space="preserve">process parameter, conducting the simulation and extracting </w:t>
      </w:r>
      <w:r w:rsidR="00E21B6C">
        <w:t>specific</w:t>
      </w:r>
      <w:r w:rsidR="00E27ABE">
        <w:t xml:space="preserve"> results </w:t>
      </w:r>
      <w:r w:rsidR="00E21B6C">
        <w:t>required</w:t>
      </w:r>
      <w:r w:rsidR="00877A9E">
        <w:t xml:space="preserve"> to populate</w:t>
      </w:r>
      <w:r w:rsidR="00E21B6C">
        <w:t xml:space="preserve"> the LCI.</w:t>
      </w:r>
      <w:r w:rsidR="004A4E9E">
        <w:t xml:space="preserve"> These data are divided into the main categories of material flows, natural resources, energy flows, equipment and infrastructure. For example, the equipment involves the amount and types of pumps, compressors, coolers, reboiler and condenser.</w:t>
      </w:r>
      <w:r w:rsidR="001C66D6">
        <w:t xml:space="preserve"> </w:t>
      </w:r>
      <w:r w:rsidR="001C66D6" w:rsidRPr="001C66D6">
        <w:t xml:space="preserve">The data </w:t>
      </w:r>
      <w:r w:rsidR="00F07DA3">
        <w:t>is</w:t>
      </w:r>
      <w:r w:rsidR="001C66D6" w:rsidRPr="001C66D6">
        <w:t xml:space="preserve"> saved again in an Excel file for monitoring purposes and used directly in </w:t>
      </w:r>
      <w:r w:rsidR="00645659">
        <w:t>B</w:t>
      </w:r>
      <w:r w:rsidR="001C66D6" w:rsidRPr="001C66D6">
        <w:t>rightway for LCA calculations.</w:t>
      </w:r>
    </w:p>
    <w:p w14:paraId="3FE97676" w14:textId="458D6225" w:rsidR="0047594B" w:rsidRDefault="00B40249" w:rsidP="0047594B">
      <w:pPr>
        <w:pStyle w:val="CETheadingx"/>
      </w:pPr>
      <w:r>
        <w:t xml:space="preserve">Brightway </w:t>
      </w:r>
      <w:r w:rsidR="00191876">
        <w:t>for LCA calculations</w:t>
      </w:r>
    </w:p>
    <w:p w14:paraId="67748CAE" w14:textId="5E67045F" w:rsidR="00D665DE" w:rsidRDefault="00D665DE" w:rsidP="00687782">
      <w:pPr>
        <w:pStyle w:val="CETBodytext"/>
      </w:pPr>
      <w:r w:rsidRPr="004F598C">
        <w:t>Brightway is an open-source Python library that implements a matrix-based LCA model</w:t>
      </w:r>
      <w:r w:rsidR="00A230A4" w:rsidRPr="003746B6">
        <w:t xml:space="preserve">. </w:t>
      </w:r>
      <w:r w:rsidRPr="004F598C">
        <w:t>Its modular structure supports multiple projects and databases, each with “activities” (representing processes) and “exchanges” (inputs/outputs linking processes).</w:t>
      </w:r>
      <w:r>
        <w:t xml:space="preserve"> However, Brightway modified this notation over the years, as many databases it builds on and utilises do not exhibit a clean separation between processes and products</w:t>
      </w:r>
      <w:r w:rsidR="00191876">
        <w:t> </w:t>
      </w:r>
      <w:r w:rsidR="00A230A4">
        <w:fldChar w:fldCharType="begin"/>
      </w:r>
      <w:r w:rsidR="00A230A4">
        <w:instrText xml:space="preserve"> ADDIN ZOTERO_ITEM CSL_CITATION {"citationID":"jJMEcCL6","properties":{"formattedCitation":"(Mutel, 2017)","plainCitation":"(Mutel, 2017)","noteIndex":0},"citationItems":[{"id":49,"uris":["http://zotero.org/groups/5821210/items/LNYGX7VT"],"itemData":{"id":49,"type":"article-journal","abstract":"Mutel, (2017), Brightway: An open source framework for Life Cycle Assessment, Journal of Open Source Software, 2(12), 236, doi:10.21105/joss.00236","container-title":"Journal of Open Source Software","DOI":"10.21105/joss.00236","ISSN":"2475-9066","issue":"12","language":"en","page":"236","source":"joss.theoj.org","title":"Brightway: An open source framework for Life Cycle Assessment","title-short":"Brightway","volume":"2","author":[{"family":"Mutel","given":"Chris"}],"issued":{"date-parts":[["2017",4,19]]}}}],"schema":"https://github.com/citation-style-language/schema/raw/master/csl-citation.json"} </w:instrText>
      </w:r>
      <w:r w:rsidR="00A230A4">
        <w:fldChar w:fldCharType="separate"/>
      </w:r>
      <w:r w:rsidR="00A230A4" w:rsidRPr="003746B6">
        <w:t>(Mutel, 2017)</w:t>
      </w:r>
      <w:r w:rsidR="00A230A4">
        <w:fldChar w:fldCharType="end"/>
      </w:r>
      <w:r w:rsidRPr="004F598C">
        <w:t>.</w:t>
      </w:r>
    </w:p>
    <w:p w14:paraId="6677F9A8" w14:textId="625EBD0E" w:rsidR="000075A3" w:rsidRDefault="00D665DE" w:rsidP="000C3F22">
      <w:pPr>
        <w:pStyle w:val="CETBodytext"/>
      </w:pPr>
      <w:r w:rsidRPr="004F598C">
        <w:t>In the present framework,</w:t>
      </w:r>
      <w:r w:rsidR="00C07276">
        <w:t xml:space="preserve"> a</w:t>
      </w:r>
      <w:r w:rsidR="00EE1B84">
        <w:t xml:space="preserve">n initial </w:t>
      </w:r>
      <w:r w:rsidR="0011196E">
        <w:t>B</w:t>
      </w:r>
      <w:r w:rsidR="00C07276">
        <w:t xml:space="preserve">rightway </w:t>
      </w:r>
      <w:r w:rsidR="00A76447">
        <w:t xml:space="preserve">2.5 </w:t>
      </w:r>
      <w:r w:rsidR="00C07276">
        <w:t xml:space="preserve">project </w:t>
      </w:r>
      <w:r w:rsidR="00EE1B84">
        <w:t xml:space="preserve">is created involving basic data on elementary flows and LCIA methods by utilizing biosphere data from the ecoinvent 3.9.1 database. Then, the ecoinvent </w:t>
      </w:r>
      <w:r w:rsidR="00EE1B84">
        <w:lastRenderedPageBreak/>
        <w:t>cut</w:t>
      </w:r>
      <w:r w:rsidR="00A76447">
        <w:noBreakHyphen/>
      </w:r>
      <w:r w:rsidR="00EE1B84">
        <w:t>off</w:t>
      </w:r>
      <w:r w:rsidR="00A76447">
        <w:t> </w:t>
      </w:r>
      <w:r w:rsidR="00EE1B84">
        <w:t>3.9.1 database itself is implemented as a second database to receive complementary information to the process simulation results for populating the LCI.</w:t>
      </w:r>
      <w:r w:rsidR="000075A3">
        <w:t xml:space="preserve"> </w:t>
      </w:r>
      <w:r w:rsidR="00541A8B">
        <w:t>A third database is created, which consists of user-defined activities</w:t>
      </w:r>
      <w:r w:rsidR="000C3F22">
        <w:t xml:space="preserve"> linked by exchanges</w:t>
      </w:r>
      <w:r w:rsidR="00541A8B">
        <w:t>, mapping the PCCC process</w:t>
      </w:r>
      <w:r w:rsidR="000C3F22">
        <w:t xml:space="preserve">. The exchanges </w:t>
      </w:r>
      <w:r w:rsidR="006F4ED1">
        <w:t>represent</w:t>
      </w:r>
      <w:r w:rsidR="00541A8B">
        <w:t xml:space="preserve"> the actual LCI</w:t>
      </w:r>
      <w:r w:rsidR="000C3F22">
        <w:t xml:space="preserve"> and are populated by the process simulation results</w:t>
      </w:r>
      <w:r w:rsidR="00A76447">
        <w:t xml:space="preserve"> and/or </w:t>
      </w:r>
      <w:r w:rsidR="000C3F22">
        <w:t>the ecoinvent data, depending on the type of exchange.</w:t>
      </w:r>
      <w:r w:rsidR="000075A3">
        <w:t xml:space="preserve"> For example, to implement the reference unit of 1 tonne of CO</w:t>
      </w:r>
      <w:r w:rsidR="000075A3" w:rsidRPr="000075A3">
        <w:rPr>
          <w:vertAlign w:val="subscript"/>
        </w:rPr>
        <w:t>2</w:t>
      </w:r>
      <w:r w:rsidR="000075A3">
        <w:rPr>
          <w:vertAlign w:val="subscript"/>
        </w:rPr>
        <w:t xml:space="preserve"> </w:t>
      </w:r>
      <w:r w:rsidR="00067A08">
        <w:t>captured, an activity “Production Absorption / Desorption” is defined as follows:</w:t>
      </w:r>
    </w:p>
    <w:p w14:paraId="759BEC04" w14:textId="578D6567" w:rsidR="000075A3" w:rsidRDefault="000075A3" w:rsidP="000C3F22">
      <w:pPr>
        <w:pStyle w:val="CETBodytext"/>
      </w:pPr>
      <w:r>
        <w:t xml:space="preserve"> </w:t>
      </w:r>
    </w:p>
    <w:bookmarkStart w:id="5" w:name="_MON_1801295944"/>
    <w:bookmarkEnd w:id="5"/>
    <w:p w14:paraId="7D2A16D4" w14:textId="79FE9C4E" w:rsidR="000C3F22" w:rsidRDefault="00FA47D2" w:rsidP="00A5267E">
      <w:pPr>
        <w:pStyle w:val="CETBodytext"/>
        <w:spacing w:after="120"/>
      </w:pPr>
      <w:r>
        <w:object w:dxaOrig="9072" w:dyaOrig="1994" w14:anchorId="4FC9F5E1">
          <v:shape id="_x0000_i1027" type="#_x0000_t75" style="width:440.05pt;height:98.85pt" o:ole="">
            <v:imagedata r:id="rId15" o:title=""/>
          </v:shape>
          <o:OLEObject Type="Embed" ProgID="Word.OpenDocumentText.12" ShapeID="_x0000_i1027" DrawAspect="Content" ObjectID="_1815233568" r:id="rId16"/>
        </w:object>
      </w:r>
    </w:p>
    <w:p w14:paraId="3B8FFC6A" w14:textId="19EB2715" w:rsidR="000075A3" w:rsidRDefault="00A5267E" w:rsidP="00A5267E">
      <w:pPr>
        <w:pStyle w:val="CETBodytext"/>
        <w:spacing w:after="120"/>
      </w:pPr>
      <w:r>
        <w:t>One specification required</w:t>
      </w:r>
      <w:r w:rsidR="003969B8">
        <w:t xml:space="preserve"> for this activity </w:t>
      </w:r>
      <w:r>
        <w:t>is the</w:t>
      </w:r>
      <w:r w:rsidR="003969B8">
        <w:t xml:space="preserve"> reboiler duty needed to capture the amount of CO</w:t>
      </w:r>
      <w:r w:rsidR="003969B8" w:rsidRPr="003969B8">
        <w:rPr>
          <w:vertAlign w:val="subscript"/>
        </w:rPr>
        <w:t>2</w:t>
      </w:r>
      <w:r w:rsidR="003969B8">
        <w:t xml:space="preserve"> for a certain process simulation. </w:t>
      </w:r>
      <w:r>
        <w:t>It can be defined by the following exchange:</w:t>
      </w:r>
    </w:p>
    <w:bookmarkStart w:id="6" w:name="_MON_1801297722"/>
    <w:bookmarkEnd w:id="6"/>
    <w:p w14:paraId="6777291B" w14:textId="1A0FD85C" w:rsidR="003969B8" w:rsidRDefault="00FA47D2" w:rsidP="003969B8">
      <w:pPr>
        <w:pStyle w:val="CETBodytext"/>
        <w:spacing w:before="120" w:after="120"/>
      </w:pPr>
      <w:r>
        <w:object w:dxaOrig="9072" w:dyaOrig="1450" w14:anchorId="6968458F">
          <v:shape id="_x0000_i1028" type="#_x0000_t75" style="width:440.05pt;height:72.55pt" o:ole="">
            <v:imagedata r:id="rId17" o:title=""/>
          </v:shape>
          <o:OLEObject Type="Embed" ProgID="Word.OpenDocumentText.12" ShapeID="_x0000_i1028" DrawAspect="Content" ObjectID="_1815233569" r:id="rId18"/>
        </w:object>
      </w:r>
    </w:p>
    <w:p w14:paraId="579AAF1B" w14:textId="6BCA0EE2" w:rsidR="00B432A4" w:rsidRDefault="003969B8" w:rsidP="00B432A4">
      <w:pPr>
        <w:pStyle w:val="CETBodytext"/>
        <w:spacing w:before="120"/>
      </w:pPr>
      <w:r>
        <w:t xml:space="preserve">The required reboiler duty is received from the process simulation in form of a pandas DataFrame (df_EnergyFlow) and the background information </w:t>
      </w:r>
      <w:r w:rsidR="00067A08">
        <w:t>for the</w:t>
      </w:r>
      <w:r>
        <w:t xml:space="preserve"> heat supply is provided by </w:t>
      </w:r>
      <w:r w:rsidR="00067A08">
        <w:t xml:space="preserve">the </w:t>
      </w:r>
      <w:r>
        <w:t>ecoinvent</w:t>
      </w:r>
      <w:r w:rsidR="00067A08">
        <w:t xml:space="preserve"> database (ecoinvent_cutoff_391)</w:t>
      </w:r>
      <w:r>
        <w:t xml:space="preserve">. </w:t>
      </w:r>
    </w:p>
    <w:p w14:paraId="60D1F9BC" w14:textId="4324B1B2" w:rsidR="00B432A4" w:rsidRDefault="00067A08" w:rsidP="005F39EB">
      <w:pPr>
        <w:pStyle w:val="CETBodytext"/>
        <w:spacing w:after="120"/>
      </w:pPr>
      <w:r>
        <w:t xml:space="preserve">To achieve an LCA calculation capable of automatically adjusting its LCI between </w:t>
      </w:r>
      <w:r w:rsidR="00B432A4">
        <w:t>simulation runs</w:t>
      </w:r>
      <w:r>
        <w:t>, this user</w:t>
      </w:r>
      <w:r>
        <w:noBreakHyphen/>
        <w:t>defined database is re</w:t>
      </w:r>
      <w:r>
        <w:noBreakHyphen/>
        <w:t xml:space="preserve">created for each </w:t>
      </w:r>
      <w:r w:rsidR="00B432A4">
        <w:t xml:space="preserve">run and populated with the results of the actual simulation. </w:t>
      </w:r>
      <w:r w:rsidR="001C66D6">
        <w:t xml:space="preserve">The </w:t>
      </w:r>
      <w:r w:rsidR="00B432A4">
        <w:t>final</w:t>
      </w:r>
      <w:r w:rsidR="001C66D6">
        <w:t xml:space="preserve"> framework is illustrated in </w:t>
      </w:r>
      <w:hyperlink r:id="rId19" w:history="1">
        <w:r w:rsidR="00D24368" w:rsidRPr="008312AC">
          <w:rPr>
            <w:rStyle w:val="Hyperlink"/>
          </w:rPr>
          <w:t>https://github.com/AdaRobinsonMedici/AspenPlus-Brightway-LCA-Platform</w:t>
        </w:r>
      </w:hyperlink>
      <w:r w:rsidR="00D24368">
        <w:t xml:space="preserve"> </w:t>
      </w:r>
      <w:r w:rsidR="001C66D6">
        <w:t xml:space="preserve">and consists of the following main parts: (i) Test schedule for conducting an </w:t>
      </w:r>
      <w:r w:rsidR="0068011F">
        <w:t>PCS</w:t>
      </w:r>
      <w:r w:rsidR="001C66D6">
        <w:t xml:space="preserve">, (ii) Python interface for modifying process parameters and extracting the results from Aspen Plus, (iii) </w:t>
      </w:r>
      <w:r w:rsidR="0011196E">
        <w:t>B</w:t>
      </w:r>
      <w:r w:rsidR="001C66D6">
        <w:t>rightway for LCA calculation and ecoinvent database for providing information for the LCI.</w:t>
      </w:r>
    </w:p>
    <w:p w14:paraId="4ED5030F" w14:textId="1A54A78C" w:rsidR="00A604EB" w:rsidRDefault="00A604EB" w:rsidP="00F93E0E">
      <w:pPr>
        <w:pStyle w:val="CETCaption"/>
        <w:jc w:val="center"/>
      </w:pPr>
      <w:r>
        <w:rPr>
          <w:noProof/>
        </w:rPr>
        <w:drawing>
          <wp:inline distT="0" distB="0" distL="0" distR="0" wp14:anchorId="20FBB72D" wp14:editId="712F3326">
            <wp:extent cx="4884420" cy="17976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3941" cy="1801184"/>
                    </a:xfrm>
                    <a:prstGeom prst="rect">
                      <a:avLst/>
                    </a:prstGeom>
                    <a:noFill/>
                    <a:ln>
                      <a:noFill/>
                    </a:ln>
                  </pic:spPr>
                </pic:pic>
              </a:graphicData>
            </a:graphic>
          </wp:inline>
        </w:drawing>
      </w:r>
    </w:p>
    <w:p w14:paraId="256735E2" w14:textId="0B9722C8" w:rsidR="005C4056" w:rsidRDefault="00B432A4" w:rsidP="005F39EB">
      <w:pPr>
        <w:pStyle w:val="CETCaption"/>
        <w:jc w:val="center"/>
      </w:pPr>
      <w:r>
        <w:t xml:space="preserve">Figure </w:t>
      </w:r>
      <w:r>
        <w:fldChar w:fldCharType="begin"/>
      </w:r>
      <w:r>
        <w:instrText xml:space="preserve"> SEQ Figure \* ARABIC </w:instrText>
      </w:r>
      <w:r>
        <w:fldChar w:fldCharType="separate"/>
      </w:r>
      <w:r w:rsidR="00993803">
        <w:rPr>
          <w:noProof/>
        </w:rPr>
        <w:t>2</w:t>
      </w:r>
      <w:r>
        <w:fldChar w:fldCharType="end"/>
      </w:r>
      <w:r>
        <w:t xml:space="preserve">: </w:t>
      </w:r>
      <w:r w:rsidRPr="00AD1210">
        <w:t xml:space="preserve">Interface developed in Python for conducting automated process simulations and connecting Aspen Plus with </w:t>
      </w:r>
      <w:r w:rsidR="0011196E">
        <w:t>B</w:t>
      </w:r>
      <w:r w:rsidRPr="00AD1210">
        <w:t>rightway</w:t>
      </w:r>
      <w:r>
        <w:t>.</w:t>
      </w:r>
    </w:p>
    <w:p w14:paraId="262A66B7" w14:textId="1CA469B1" w:rsidR="00795530" w:rsidRDefault="00513C1B" w:rsidP="00795530">
      <w:pPr>
        <w:pStyle w:val="CETHeading1"/>
      </w:pPr>
      <w:r>
        <w:t>Results</w:t>
      </w:r>
    </w:p>
    <w:p w14:paraId="71A2A942" w14:textId="77777777" w:rsidR="008050E9" w:rsidRDefault="00307157" w:rsidP="001D32BF">
      <w:pPr>
        <w:pStyle w:val="CETBodytext"/>
      </w:pPr>
      <w:r w:rsidRPr="00307157">
        <w:t>Twenty process simulations were performed for flue-gas CO</w:t>
      </w:r>
      <w:r w:rsidRPr="00307157">
        <w:rPr>
          <w:rFonts w:ascii="Cambria Math" w:hAnsi="Cambria Math" w:cs="Cambria Math"/>
        </w:rPr>
        <w:t>₂</w:t>
      </w:r>
      <w:r w:rsidRPr="00307157">
        <w:t xml:space="preserve"> concentrations ranging from 8 to 11.8 vol% (increment = 0.2); each run yielded ReCiPe 2016 impacts</w:t>
      </w:r>
      <w:r>
        <w:t xml:space="preserve"> (i.e. </w:t>
      </w:r>
      <w:r w:rsidRPr="00307157">
        <w:t>Global Warming Potential (GWP), Terrestrial Acidification Potential (TAP), Human Toxicity Potential (HTP</w:t>
      </w:r>
      <w:r w:rsidR="00DA560F">
        <w:t>nc</w:t>
      </w:r>
      <w:r w:rsidRPr="00307157">
        <w:t>), Marine Ecotoxicity Potential (METP), Photochemical Oxidant Formation Potential (POFP), and Freshwater Ecotoxicity Potential (FETP)</w:t>
      </w:r>
      <w:r>
        <w:t xml:space="preserve">) </w:t>
      </w:r>
      <w:r w:rsidRPr="00307157">
        <w:t>computed via Brightway. Figure 3 shows these six midpoint indicators, each normalized to its own [0, 100%] range.</w:t>
      </w:r>
      <w:r w:rsidR="008050E9">
        <w:t xml:space="preserve"> </w:t>
      </w:r>
    </w:p>
    <w:p w14:paraId="4DD85ECE" w14:textId="56690710" w:rsidR="00D24368" w:rsidRDefault="00395F5B" w:rsidP="00DC5F9B">
      <w:pPr>
        <w:pStyle w:val="CETBodytext"/>
      </w:pPr>
      <w:r w:rsidRPr="00395F5B">
        <w:lastRenderedPageBreak/>
        <w:t>Although the primary focus of this work is on automating the workflow, rather than a comprehensive LCA study, we performed a brief validation of the LCA interface: for simulations 1, 1</w:t>
      </w:r>
      <w:r w:rsidR="006A604A">
        <w:t>0</w:t>
      </w:r>
      <w:r w:rsidRPr="00395F5B">
        <w:t>,</w:t>
      </w:r>
      <w:r w:rsidR="006A604A">
        <w:t xml:space="preserve"> 13</w:t>
      </w:r>
      <w:r w:rsidRPr="00395F5B">
        <w:t xml:space="preserve"> and 20, the same LCA calculations were repeated in SimaPro</w:t>
      </w:r>
      <w:r w:rsidR="007610A6" w:rsidRPr="007610A6">
        <w:t xml:space="preserve"> to check the validity of Brightway</w:t>
      </w:r>
      <w:r w:rsidR="008D68D2">
        <w:t xml:space="preserve"> modeling results</w:t>
      </w:r>
      <w:r w:rsidR="007610A6" w:rsidRPr="007610A6">
        <w:t xml:space="preserve"> with another </w:t>
      </w:r>
      <w:r w:rsidR="008D68D2" w:rsidRPr="007610A6">
        <w:t>software</w:t>
      </w:r>
      <w:r w:rsidR="008D68D2">
        <w:t>,</w:t>
      </w:r>
      <w:r w:rsidRPr="00395F5B">
        <w:t xml:space="preserve"> producing identical values for all ReCiPe 2016 impact categories. These findings confirm that the automated coupling reliably captures environmental metrics. Further refinements, such as multi-parameter sensitivity, uncertainty propagation, and process-tailored system boundaries, are planned to enhance the analysis and demonstrate the adaptability of the open-source framework.</w:t>
      </w:r>
    </w:p>
    <w:p w14:paraId="75095336" w14:textId="74BD4EBC" w:rsidR="00756E0B" w:rsidRDefault="00D24368" w:rsidP="00D24368">
      <w:pPr>
        <w:pStyle w:val="CETBodytext"/>
        <w:jc w:val="center"/>
      </w:pPr>
      <w:r>
        <w:rPr>
          <w:noProof/>
        </w:rPr>
        <w:drawing>
          <wp:inline distT="0" distB="0" distL="0" distR="0" wp14:anchorId="7F85B8B7" wp14:editId="510FA098">
            <wp:extent cx="4476750" cy="3981353"/>
            <wp:effectExtent l="0" t="0" r="0" b="0"/>
            <wp:docPr id="1184241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r="12715"/>
                    <a:stretch>
                      <a:fillRect/>
                    </a:stretch>
                  </pic:blipFill>
                  <pic:spPr bwMode="auto">
                    <a:xfrm>
                      <a:off x="0" y="0"/>
                      <a:ext cx="4480849" cy="3984998"/>
                    </a:xfrm>
                    <a:prstGeom prst="rect">
                      <a:avLst/>
                    </a:prstGeom>
                    <a:noFill/>
                    <a:ln>
                      <a:noFill/>
                    </a:ln>
                    <a:extLst>
                      <a:ext uri="{53640926-AAD7-44D8-BBD7-CCE9431645EC}">
                        <a14:shadowObscured xmlns:a14="http://schemas.microsoft.com/office/drawing/2010/main"/>
                      </a:ext>
                    </a:extLst>
                  </pic:spPr>
                </pic:pic>
              </a:graphicData>
            </a:graphic>
          </wp:inline>
        </w:drawing>
      </w:r>
      <w:bookmarkStart w:id="7" w:name="_Ref190764799"/>
    </w:p>
    <w:p w14:paraId="350167E7" w14:textId="0B155EFD" w:rsidR="00D05274" w:rsidRDefault="00B370BF" w:rsidP="00D24368">
      <w:pPr>
        <w:pStyle w:val="CETCaption"/>
        <w:jc w:val="center"/>
      </w:pPr>
      <w:r>
        <w:t xml:space="preserve">Figure </w:t>
      </w:r>
      <w:r>
        <w:fldChar w:fldCharType="begin"/>
      </w:r>
      <w:r>
        <w:instrText xml:space="preserve"> SEQ Figure \* ARABIC </w:instrText>
      </w:r>
      <w:r>
        <w:fldChar w:fldCharType="separate"/>
      </w:r>
      <w:r w:rsidR="00993803">
        <w:rPr>
          <w:noProof/>
        </w:rPr>
        <w:t>3</w:t>
      </w:r>
      <w:r>
        <w:fldChar w:fldCharType="end"/>
      </w:r>
      <w:bookmarkEnd w:id="7"/>
      <w:r>
        <w:t>: Selected indicators from the ReCiPe 2016 method, normalized by their minimum and maximum values.</w:t>
      </w:r>
    </w:p>
    <w:p w14:paraId="45EACA8A" w14:textId="125B9FE9" w:rsidR="00D05274" w:rsidRPr="00D05274" w:rsidRDefault="00C74061" w:rsidP="00D05274">
      <w:pPr>
        <w:pStyle w:val="CETHeading1"/>
      </w:pPr>
      <w:r>
        <w:t>C</w:t>
      </w:r>
      <w:r w:rsidRPr="00C74061">
        <w:t>onclusions</w:t>
      </w:r>
      <w:r>
        <w:t xml:space="preserve"> and Future Work</w:t>
      </w:r>
    </w:p>
    <w:p w14:paraId="0B70F206" w14:textId="2BDD120F" w:rsidR="004001CF" w:rsidRPr="0064317A" w:rsidRDefault="001E21FE" w:rsidP="00660C76">
      <w:pPr>
        <w:pStyle w:val="CETBodytext"/>
      </w:pPr>
      <w:r>
        <w:t>In this study, an open</w:t>
      </w:r>
      <w:r>
        <w:noBreakHyphen/>
        <w:t xml:space="preserve">source framework for automating process simulations in Aspen Plus linked to LCA calculations in </w:t>
      </w:r>
      <w:r w:rsidR="00B85CDA">
        <w:t>B</w:t>
      </w:r>
      <w:r>
        <w:t xml:space="preserve">rightway </w:t>
      </w:r>
      <w:r w:rsidR="00B85CDA">
        <w:t xml:space="preserve">toolkit </w:t>
      </w:r>
      <w:r>
        <w:t>is presented. Its potential is showcased by</w:t>
      </w:r>
      <w:r w:rsidR="00E8535E">
        <w:t xml:space="preserve"> an </w:t>
      </w:r>
      <w:r w:rsidR="0068011F">
        <w:t>PCS</w:t>
      </w:r>
      <w:r w:rsidR="00E8535E">
        <w:t xml:space="preserve"> for </w:t>
      </w:r>
      <w:r w:rsidR="00E41115">
        <w:t>one</w:t>
      </w:r>
      <w:r w:rsidR="00E8535E">
        <w:t xml:space="preserve"> key parameter of </w:t>
      </w:r>
      <w:r>
        <w:t>a PCCC process</w:t>
      </w:r>
      <w:r w:rsidR="00E8535E">
        <w:t xml:space="preserve"> with MEA to capture the complexity of recent PSE research accurately</w:t>
      </w:r>
      <w:r w:rsidR="00313EB0">
        <w:t xml:space="preserve">. </w:t>
      </w:r>
      <w:r w:rsidR="00733DF4" w:rsidRPr="00733DF4">
        <w:t>One Aspen Plus simulation typically requires about 15 minutes, while the corresponding LCA setup and execution in Brightway can take up to 45 minutes. Therefore, manually performing the 20 simulations and LCAs would require roughly 20 hours in total. In contrast, our automated framework needed only one manual run (1 hour total) to establish the base case and validate the procedure; the remaining 19 runs proceeded automatically in about 20 minutes. This drastically reduces the total time from 20 hours (manual) to roughly 1 hour + 20 minutes (hybrid manual-and-automated)</w:t>
      </w:r>
      <w:r w:rsidR="00025F19">
        <w:t xml:space="preserve">. </w:t>
      </w:r>
      <w:r w:rsidR="00025F19" w:rsidRPr="00025F19">
        <w:t>The resulting workflow integrates environmental considerations at an early design stage and is applicable to a broad range of processes</w:t>
      </w:r>
    </w:p>
    <w:p w14:paraId="25602BC1" w14:textId="56737C3A" w:rsidR="00FF6175" w:rsidRPr="00D220FF" w:rsidRDefault="00F57072" w:rsidP="00D220FF">
      <w:pPr>
        <w:tabs>
          <w:tab w:val="clear" w:pos="7100"/>
        </w:tabs>
        <w:spacing w:before="100" w:beforeAutospacing="1" w:after="100" w:afterAutospacing="1" w:line="240" w:lineRule="auto"/>
        <w:rPr>
          <w:iCs/>
          <w:lang w:val="en-US"/>
        </w:rPr>
      </w:pPr>
      <w:r w:rsidRPr="00F57072">
        <w:rPr>
          <w:lang w:val="en-US"/>
        </w:rPr>
        <w:t xml:space="preserve">Despite the successful demonstration, increased process complexity can pose challenges. Convergence robustness depends on the choice of Design of Experiments (DoE) methods and on carefully defining parameter ranges. Balancing the number of process parameters, their variation levels, and total simulations is crucial to reducing computational effort while maintaining insight into design trade-offs. Furthermore, planned refinements include modeling solvent degradation, incorporating multi-parameter </w:t>
      </w:r>
      <w:r w:rsidR="00F06130">
        <w:rPr>
          <w:lang w:val="en-US"/>
        </w:rPr>
        <w:t>and</w:t>
      </w:r>
      <w:r w:rsidRPr="00F57072">
        <w:rPr>
          <w:lang w:val="en-US"/>
        </w:rPr>
        <w:t xml:space="preserve"> nested factorial experiments</w:t>
      </w:r>
      <w:r w:rsidR="00F06130">
        <w:rPr>
          <w:lang w:val="en-US"/>
        </w:rPr>
        <w:t>.</w:t>
      </w:r>
      <w:r w:rsidR="00D220FF">
        <w:rPr>
          <w:lang w:val="en-US"/>
        </w:rPr>
        <w:t xml:space="preserve"> </w:t>
      </w:r>
      <w:r w:rsidRPr="00F57072">
        <w:rPr>
          <w:iCs/>
          <w:lang w:val="en-US"/>
        </w:rPr>
        <w:t xml:space="preserve">From an LCA standpoint, Brightway’s built-in tools facilitate contribution and Monte-Carlo analyses, enabling uncertainty propagation and more thorough environmental trade-off evaluations. </w:t>
      </w:r>
      <w:r w:rsidR="009A5D3F" w:rsidRPr="00D220FF">
        <w:rPr>
          <w:iCs/>
          <w:lang w:val="en-US"/>
        </w:rPr>
        <w:t xml:space="preserve">Once a direct link is established between process simulation and LCA, one can move beyond static sensitivity analyses. An iterative LCA-Process </w:t>
      </w:r>
      <w:r w:rsidR="009A5D3F" w:rsidRPr="00D220FF">
        <w:rPr>
          <w:iCs/>
          <w:lang w:val="en-US"/>
        </w:rPr>
        <w:lastRenderedPageBreak/>
        <w:t xml:space="preserve">feedback loop scheme can adapt the next set of Aspen input parameters based on the LCA outcomes of the previous run. Mathematically, we can define an objective function (e.g., minimize GWP or a weighted sum of impact categories) and update the decision variables (e.g., flue gas composition, stripper setpoints, solvent properties) along a descending gradient or via more sophisticated heuristics. Such a scheme drastically reduces the number of runs needed to find more sustainable operating conditions, particularly if combined with partial surrogate modeling. Further, if the process exhibits strong non-linearities or discrete design decisions (e.g., number of column stages), specialized approaches (nested designs or evolutionary algorithms) may be required. </w:t>
      </w:r>
      <w:r w:rsidRPr="00F57072">
        <w:rPr>
          <w:iCs/>
          <w:lang w:val="en-US"/>
        </w:rPr>
        <w:t xml:space="preserve">In such a setup, LCA outputs inform re-tuned Aspen Plus runs, driving the system toward more sustainable operating conditions with fewer overall simulations. </w:t>
      </w:r>
    </w:p>
    <w:p w14:paraId="69DC8399" w14:textId="7F7FEE5A" w:rsidR="004F598C" w:rsidRPr="006F3431" w:rsidRDefault="00393127" w:rsidP="00444E1B">
      <w:pPr>
        <w:pStyle w:val="CETBodytext"/>
      </w:pPr>
      <w:r w:rsidRPr="00393127">
        <w:t>Our repository and step-by-step approach lower the barrier for reproducible research, contrasting with many closed-source or ad hoc scripts in the literature.</w:t>
      </w:r>
      <w:r>
        <w:t xml:space="preserve"> </w:t>
      </w:r>
      <w:r w:rsidR="00CC411A" w:rsidRPr="00CC411A">
        <w:t>By providing all scripts and documentation openly, this framework aims to foster reproducible research and invites broader adoption and collaboration for further enhancements.</w:t>
      </w:r>
    </w:p>
    <w:p w14:paraId="67029D64" w14:textId="77777777" w:rsidR="002F3604" w:rsidRDefault="0078312D" w:rsidP="00D55C94">
      <w:pPr>
        <w:pStyle w:val="CETHeading1"/>
      </w:pPr>
      <w:r>
        <w:t>References</w:t>
      </w:r>
    </w:p>
    <w:p w14:paraId="3144B908" w14:textId="77777777" w:rsidR="00DC207C" w:rsidRPr="00D55C94" w:rsidRDefault="00846CF4" w:rsidP="00D55C94">
      <w:pPr>
        <w:pStyle w:val="Bibliography"/>
        <w:rPr>
          <w:rFonts w:cs="Arial"/>
          <w:szCs w:val="18"/>
        </w:rPr>
      </w:pPr>
      <w:r w:rsidRPr="00D55C94">
        <w:rPr>
          <w:sz w:val="16"/>
          <w:szCs w:val="18"/>
        </w:rPr>
        <w:fldChar w:fldCharType="begin"/>
      </w:r>
      <w:r w:rsidR="00EF5C4C" w:rsidRPr="00D55C94">
        <w:rPr>
          <w:sz w:val="16"/>
          <w:szCs w:val="18"/>
          <w:lang w:val="en-US"/>
        </w:rPr>
        <w:instrText xml:space="preserve"> ADDIN ZOTERO_BIBL {"uncited":[],"omitted":[],"custom":[]} CSL_BIBLIOGRAPHY </w:instrText>
      </w:r>
      <w:r w:rsidRPr="00D55C94">
        <w:rPr>
          <w:sz w:val="16"/>
          <w:szCs w:val="18"/>
        </w:rPr>
        <w:fldChar w:fldCharType="separate"/>
      </w:r>
      <w:r w:rsidR="00DC207C" w:rsidRPr="00D55C94">
        <w:rPr>
          <w:rFonts w:cs="Arial"/>
          <w:szCs w:val="18"/>
        </w:rPr>
        <w:t xml:space="preserve">Ababneh, H., AlNouss, A. and Al-Muhtaseb, S.A. 2022. Carbon Capture from Post-Combustion Flue Gas Using a State-Of-The-Art, Anti-Sublimation, Solid–Vapor Separation Unit. </w:t>
      </w:r>
      <w:r w:rsidR="00DC207C" w:rsidRPr="00D55C94">
        <w:rPr>
          <w:rFonts w:cs="Arial"/>
          <w:i/>
          <w:iCs/>
          <w:szCs w:val="18"/>
        </w:rPr>
        <w:t>Processes</w:t>
      </w:r>
      <w:r w:rsidR="00DC207C" w:rsidRPr="00D55C94">
        <w:rPr>
          <w:rFonts w:cs="Arial"/>
          <w:szCs w:val="18"/>
        </w:rPr>
        <w:t xml:space="preserve">. </w:t>
      </w:r>
      <w:r w:rsidR="00DC207C" w:rsidRPr="00D55C94">
        <w:rPr>
          <w:rFonts w:cs="Arial"/>
          <w:b/>
          <w:bCs/>
          <w:szCs w:val="18"/>
        </w:rPr>
        <w:t>10</w:t>
      </w:r>
      <w:r w:rsidR="00DC207C" w:rsidRPr="00D55C94">
        <w:rPr>
          <w:rFonts w:cs="Arial"/>
          <w:szCs w:val="18"/>
        </w:rPr>
        <w:t>(11), p.2406.</w:t>
      </w:r>
    </w:p>
    <w:p w14:paraId="347B22F3" w14:textId="77777777" w:rsidR="00DC207C" w:rsidRPr="00D55C94" w:rsidRDefault="00DC207C" w:rsidP="00D55C94">
      <w:pPr>
        <w:pStyle w:val="Bibliography"/>
        <w:rPr>
          <w:rFonts w:cs="Arial"/>
          <w:szCs w:val="18"/>
        </w:rPr>
      </w:pPr>
      <w:r w:rsidRPr="00D55C94">
        <w:rPr>
          <w:rFonts w:cs="Arial"/>
          <w:szCs w:val="18"/>
        </w:rPr>
        <w:t xml:space="preserve">Cheng, C.-Y., Kuo, C.-C., Yang, M.-W., Zhuang, Z.-Y., Lin, P.-W., Chen, Y.-F., Yang, H.-S. and Chou, C.-T. 2021. CO2 Capture from Flue Gas of a Coal-Fired Power Plant Using Three-Bed PSA Process. </w:t>
      </w:r>
      <w:r w:rsidRPr="00D55C94">
        <w:rPr>
          <w:rFonts w:cs="Arial"/>
          <w:i/>
          <w:iCs/>
          <w:szCs w:val="18"/>
        </w:rPr>
        <w:t>Energies</w:t>
      </w:r>
      <w:r w:rsidRPr="00D55C94">
        <w:rPr>
          <w:rFonts w:cs="Arial"/>
          <w:szCs w:val="18"/>
        </w:rPr>
        <w:t xml:space="preserve">. </w:t>
      </w:r>
      <w:r w:rsidRPr="00D55C94">
        <w:rPr>
          <w:rFonts w:cs="Arial"/>
          <w:b/>
          <w:bCs/>
          <w:szCs w:val="18"/>
        </w:rPr>
        <w:t>14</w:t>
      </w:r>
      <w:r w:rsidRPr="00D55C94">
        <w:rPr>
          <w:rFonts w:cs="Arial"/>
          <w:szCs w:val="18"/>
        </w:rPr>
        <w:t>(12), p.3582.</w:t>
      </w:r>
    </w:p>
    <w:p w14:paraId="479A2DC7" w14:textId="4709F0B3" w:rsidR="00DC207C" w:rsidRPr="00D55C94" w:rsidRDefault="007F0FBB" w:rsidP="001D7207">
      <w:pPr>
        <w:pStyle w:val="Bibliography"/>
        <w:rPr>
          <w:rFonts w:cs="Arial"/>
          <w:szCs w:val="18"/>
        </w:rPr>
      </w:pPr>
      <w:r w:rsidRPr="00D55C94">
        <w:rPr>
          <w:rFonts w:cs="Arial"/>
          <w:szCs w:val="18"/>
        </w:rPr>
        <w:t>Cortes-Peña, Y., Kumar, D., Singh, V. and Guest, J.S. 2020. BioSTEAM: A Fast and Flexible Platform for the Design, Simulation, and Techno-Economic Analysis of Biorefineries under Uncertainty. ACS Sustainable Chemistry &amp; Engineering. 8(8).</w:t>
      </w:r>
    </w:p>
    <w:p w14:paraId="00DAF926" w14:textId="77777777" w:rsidR="00DC207C" w:rsidRPr="00D55C94" w:rsidRDefault="00DC207C" w:rsidP="00D55C94">
      <w:pPr>
        <w:pStyle w:val="Bibliography"/>
        <w:rPr>
          <w:rFonts w:cs="Arial"/>
          <w:szCs w:val="18"/>
        </w:rPr>
      </w:pPr>
      <w:r w:rsidRPr="00D55C94">
        <w:rPr>
          <w:rFonts w:cs="Arial"/>
          <w:szCs w:val="18"/>
        </w:rPr>
        <w:t>ten Hagen, R.W. 2022. AspenPlus Python Interface. [Accessed 3 February 2025]. Available from: https://github.com/YouMayCallMeJesus/AspenPlus-Python-Interface.</w:t>
      </w:r>
    </w:p>
    <w:p w14:paraId="34AB1E5F" w14:textId="77777777" w:rsidR="00DC207C" w:rsidRPr="00D55C94" w:rsidRDefault="00DC207C" w:rsidP="00D55C94">
      <w:pPr>
        <w:pStyle w:val="Bibliography"/>
        <w:rPr>
          <w:rFonts w:cs="Arial"/>
          <w:szCs w:val="18"/>
        </w:rPr>
      </w:pPr>
      <w:r w:rsidRPr="00D55C94">
        <w:rPr>
          <w:rFonts w:cs="Arial"/>
          <w:szCs w:val="18"/>
        </w:rPr>
        <w:t xml:space="preserve">Küng, J. 2024. </w:t>
      </w:r>
      <w:r w:rsidRPr="00D55C94">
        <w:rPr>
          <w:rFonts w:cs="Arial"/>
          <w:i/>
          <w:iCs/>
          <w:szCs w:val="18"/>
        </w:rPr>
        <w:t>Prediction of Environmental Performance in Absorption-based Carbon Capture: Addressing Process Enhancements and Data Uncertainties</w:t>
      </w:r>
      <w:r w:rsidRPr="00D55C94">
        <w:rPr>
          <w:rFonts w:cs="Arial"/>
          <w:szCs w:val="18"/>
        </w:rPr>
        <w:t xml:space="preserve"> [Online]. Wien. [Accessed 3 February 2025]. Available from: https://doi.org/10.34726/hss.2024.119741.</w:t>
      </w:r>
    </w:p>
    <w:p w14:paraId="0A489F49" w14:textId="77777777" w:rsidR="00DC207C" w:rsidRDefault="00DC207C" w:rsidP="00D55C94">
      <w:pPr>
        <w:pStyle w:val="Bibliography"/>
        <w:rPr>
          <w:rFonts w:cs="Arial"/>
          <w:szCs w:val="18"/>
        </w:rPr>
      </w:pPr>
      <w:r w:rsidRPr="00D55C94">
        <w:rPr>
          <w:rFonts w:cs="Arial"/>
          <w:szCs w:val="18"/>
        </w:rPr>
        <w:t xml:space="preserve">Mutel, C. 2017. Brightway: An open source framework for Life Cycle Assessment. </w:t>
      </w:r>
      <w:r w:rsidRPr="00D55C94">
        <w:rPr>
          <w:rFonts w:cs="Arial"/>
          <w:i/>
          <w:iCs/>
          <w:szCs w:val="18"/>
        </w:rPr>
        <w:t>Journal of Open Source Software</w:t>
      </w:r>
      <w:r w:rsidRPr="00D55C94">
        <w:rPr>
          <w:rFonts w:cs="Arial"/>
          <w:szCs w:val="18"/>
        </w:rPr>
        <w:t xml:space="preserve">. </w:t>
      </w:r>
      <w:r w:rsidRPr="00D55C94">
        <w:rPr>
          <w:rFonts w:cs="Arial"/>
          <w:b/>
          <w:bCs/>
          <w:szCs w:val="18"/>
        </w:rPr>
        <w:t>2</w:t>
      </w:r>
      <w:r w:rsidRPr="00D55C94">
        <w:rPr>
          <w:rFonts w:cs="Arial"/>
          <w:szCs w:val="18"/>
        </w:rPr>
        <w:t>(12), p.236.</w:t>
      </w:r>
    </w:p>
    <w:p w14:paraId="2634B995" w14:textId="1F3D7CD3" w:rsidR="00C82D07" w:rsidRPr="00D55C94" w:rsidRDefault="00C82D07" w:rsidP="00C82D07">
      <w:pPr>
        <w:pStyle w:val="Bibliography"/>
        <w:rPr>
          <w:rFonts w:cs="Arial"/>
          <w:szCs w:val="18"/>
        </w:rPr>
      </w:pPr>
      <w:r w:rsidRPr="00C82D07">
        <w:rPr>
          <w:rFonts w:cs="Arial"/>
          <w:szCs w:val="18"/>
        </w:rPr>
        <w:t>P. Wang, A.J. Robinson, S. Papadokonstantakis, Prospective techno-economic andlife cycle assessment: a review across established and emerging carbon capture,storage and utilization (CCS/CCU) technologies, Front. Energy Res. 12-2024</w:t>
      </w:r>
      <w:r>
        <w:rPr>
          <w:rFonts w:cs="Arial"/>
          <w:szCs w:val="18"/>
        </w:rPr>
        <w:t xml:space="preserve"> </w:t>
      </w:r>
      <w:r w:rsidRPr="00C82D07">
        <w:rPr>
          <w:rFonts w:cs="Arial"/>
          <w:szCs w:val="18"/>
        </w:rPr>
        <w:t>(2024), https://doi.org/10.3389/fenrg.2024.1412770.</w:t>
      </w:r>
    </w:p>
    <w:p w14:paraId="4A1C1610" w14:textId="53EC9B92" w:rsidR="003F2933" w:rsidRPr="00D55C94" w:rsidRDefault="003F2933" w:rsidP="00D55C94">
      <w:pPr>
        <w:pStyle w:val="Bibliography"/>
        <w:rPr>
          <w:rFonts w:cs="Arial"/>
          <w:szCs w:val="18"/>
        </w:rPr>
      </w:pPr>
      <w:r w:rsidRPr="00D55C94">
        <w:rPr>
          <w:rFonts w:cs="Arial"/>
          <w:szCs w:val="18"/>
        </w:rPr>
        <w:t>Shi, R. and Guest, J.S. 2020. BioSTEAM-LCA: An Integrated Modeling Framework for Agile Life Cycle Assessment of Biorefineries under Uncertainty. ACS Sustainable Chemistry &amp; Engineering. 8(51).</w:t>
      </w:r>
    </w:p>
    <w:p w14:paraId="039A472B" w14:textId="77777777" w:rsidR="00DC207C" w:rsidRPr="00D55C94" w:rsidRDefault="00DC207C" w:rsidP="00D55C94">
      <w:pPr>
        <w:pStyle w:val="Bibliography"/>
        <w:rPr>
          <w:rFonts w:cs="Arial"/>
          <w:szCs w:val="18"/>
        </w:rPr>
      </w:pPr>
      <w:r w:rsidRPr="00D55C94">
        <w:rPr>
          <w:rFonts w:cs="Arial"/>
          <w:szCs w:val="18"/>
        </w:rPr>
        <w:t>Valverde, J., Ferro, V., Barbero-Sánchez, J. and Giroir-Fendler, A. 2023. Automation of Process Simulations with Aspen Plus.</w:t>
      </w:r>
    </w:p>
    <w:p w14:paraId="50A8FBB6" w14:textId="77777777" w:rsidR="00DC207C" w:rsidRPr="00D55C94" w:rsidRDefault="00DC207C" w:rsidP="00D55C94">
      <w:pPr>
        <w:pStyle w:val="Bibliography"/>
        <w:rPr>
          <w:rFonts w:cs="Arial"/>
          <w:szCs w:val="18"/>
        </w:rPr>
      </w:pPr>
      <w:r w:rsidRPr="00D55C94">
        <w:rPr>
          <w:rFonts w:cs="Arial"/>
          <w:szCs w:val="18"/>
        </w:rPr>
        <w:t xml:space="preserve">Vaquerizo, L. and Cocero, M.J. 2018. CFD–Aspen Plus interconnection method. Improving thermodynamic modeling in computational fluid dynamic simulations. </w:t>
      </w:r>
      <w:r w:rsidRPr="00D55C94">
        <w:rPr>
          <w:rFonts w:cs="Arial"/>
          <w:i/>
          <w:iCs/>
          <w:szCs w:val="18"/>
        </w:rPr>
        <w:t>Computers &amp; Chemical Engineering</w:t>
      </w:r>
      <w:r w:rsidRPr="00D55C94">
        <w:rPr>
          <w:rFonts w:cs="Arial"/>
          <w:szCs w:val="18"/>
        </w:rPr>
        <w:t xml:space="preserve">. </w:t>
      </w:r>
      <w:r w:rsidRPr="00D55C94">
        <w:rPr>
          <w:rFonts w:cs="Arial"/>
          <w:b/>
          <w:bCs/>
          <w:szCs w:val="18"/>
        </w:rPr>
        <w:t>113</w:t>
      </w:r>
      <w:r w:rsidRPr="00D55C94">
        <w:rPr>
          <w:rFonts w:cs="Arial"/>
          <w:szCs w:val="18"/>
        </w:rPr>
        <w:t>, pp.152–161.</w:t>
      </w:r>
    </w:p>
    <w:p w14:paraId="7DCD4CB4" w14:textId="77777777" w:rsidR="00DC207C" w:rsidRPr="00D55C94" w:rsidRDefault="00DC207C" w:rsidP="00D55C94">
      <w:pPr>
        <w:pStyle w:val="Bibliography"/>
        <w:rPr>
          <w:rFonts w:cs="Arial"/>
          <w:szCs w:val="18"/>
        </w:rPr>
      </w:pPr>
      <w:r w:rsidRPr="00D55C94">
        <w:rPr>
          <w:rFonts w:cs="Arial"/>
          <w:szCs w:val="18"/>
        </w:rPr>
        <w:t xml:space="preserve">Wang, N., Wang, D., Krook-Riekkola, A. and Ji, X. 2023. MEA-based CO2 capture: a study focuses on MEA concentrations and process parameters. </w:t>
      </w:r>
      <w:r w:rsidRPr="00D55C94">
        <w:rPr>
          <w:rFonts w:cs="Arial"/>
          <w:i/>
          <w:iCs/>
          <w:szCs w:val="18"/>
        </w:rPr>
        <w:t>Frontiers in Energy Research</w:t>
      </w:r>
      <w:r w:rsidRPr="00D55C94">
        <w:rPr>
          <w:rFonts w:cs="Arial"/>
          <w:szCs w:val="18"/>
        </w:rPr>
        <w:t xml:space="preserve">. </w:t>
      </w:r>
      <w:r w:rsidRPr="00D55C94">
        <w:rPr>
          <w:rFonts w:cs="Arial"/>
          <w:b/>
          <w:bCs/>
          <w:szCs w:val="18"/>
        </w:rPr>
        <w:t>11</w:t>
      </w:r>
      <w:r w:rsidRPr="00D55C94">
        <w:rPr>
          <w:rFonts w:cs="Arial"/>
          <w:szCs w:val="18"/>
        </w:rPr>
        <w:t>.</w:t>
      </w:r>
    </w:p>
    <w:p w14:paraId="4804A28E" w14:textId="77777777" w:rsidR="00DC207C" w:rsidRDefault="00DC207C" w:rsidP="00D55C94">
      <w:pPr>
        <w:pStyle w:val="Bibliography"/>
        <w:rPr>
          <w:rFonts w:cs="Arial"/>
          <w:szCs w:val="18"/>
        </w:rPr>
      </w:pPr>
      <w:r w:rsidRPr="00D55C94">
        <w:rPr>
          <w:rFonts w:cs="Arial"/>
          <w:szCs w:val="18"/>
        </w:rPr>
        <w:t>Wang, Z. 2024. Aspen-Plus-Automation. [Accessed 3 February 2025]. Available from: https://github.com/zwang1995/Aspen-Plus-Automation.</w:t>
      </w:r>
    </w:p>
    <w:p w14:paraId="7484F4C7" w14:textId="01862F7E" w:rsidR="00F02402" w:rsidRPr="00D55C94" w:rsidRDefault="00DC207C" w:rsidP="00D55C94">
      <w:pPr>
        <w:pStyle w:val="Bibliography"/>
        <w:rPr>
          <w:sz w:val="16"/>
          <w:szCs w:val="18"/>
        </w:rPr>
      </w:pPr>
      <w:r w:rsidRPr="00D55C94">
        <w:rPr>
          <w:rFonts w:cs="Arial"/>
          <w:szCs w:val="18"/>
        </w:rPr>
        <w:t xml:space="preserve">Zheng, H., Mirlekar, G. and Nord, L.O. 2022. Machine learning techniques for modeling chemical absorption in CO2 capture process. </w:t>
      </w:r>
      <w:r w:rsidRPr="00D55C94">
        <w:rPr>
          <w:rFonts w:cs="Arial"/>
          <w:i/>
          <w:iCs/>
          <w:szCs w:val="18"/>
        </w:rPr>
        <w:t>Scandinavian Simulation Society</w:t>
      </w:r>
      <w:r w:rsidRPr="00D55C94">
        <w:rPr>
          <w:rFonts w:cs="Arial"/>
          <w:szCs w:val="18"/>
        </w:rPr>
        <w:t>., pp.72–79.</w:t>
      </w:r>
      <w:r w:rsidR="00846CF4" w:rsidRPr="00D55C94">
        <w:rPr>
          <w:sz w:val="16"/>
          <w:szCs w:val="18"/>
        </w:rPr>
        <w:fldChar w:fldCharType="end"/>
      </w:r>
    </w:p>
    <w:sectPr w:rsidR="00F02402" w:rsidRPr="00D55C94"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DA272" w14:textId="77777777" w:rsidR="000B7FB7" w:rsidRDefault="000B7FB7" w:rsidP="004F5E36">
      <w:r>
        <w:separator/>
      </w:r>
    </w:p>
  </w:endnote>
  <w:endnote w:type="continuationSeparator" w:id="0">
    <w:p w14:paraId="5E5DFCF3" w14:textId="77777777" w:rsidR="000B7FB7" w:rsidRDefault="000B7FB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74955" w14:textId="77777777" w:rsidR="000B7FB7" w:rsidRDefault="000B7FB7" w:rsidP="004F5E36">
      <w:r>
        <w:separator/>
      </w:r>
    </w:p>
  </w:footnote>
  <w:footnote w:type="continuationSeparator" w:id="0">
    <w:p w14:paraId="674A6AA6" w14:textId="77777777" w:rsidR="000B7FB7" w:rsidRDefault="000B7FB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0018A4"/>
    <w:multiLevelType w:val="hybridMultilevel"/>
    <w:tmpl w:val="DF16D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583E49"/>
    <w:multiLevelType w:val="multilevel"/>
    <w:tmpl w:val="6F8E1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910FC1"/>
    <w:multiLevelType w:val="hybridMultilevel"/>
    <w:tmpl w:val="C8F86E5C"/>
    <w:lvl w:ilvl="0" w:tplc="A0546546">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EEE3F30"/>
    <w:multiLevelType w:val="multilevel"/>
    <w:tmpl w:val="B4C4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6" w15:restartNumberingAfterBreak="0">
    <w:nsid w:val="251A7E71"/>
    <w:multiLevelType w:val="multilevel"/>
    <w:tmpl w:val="08784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CF34BD"/>
    <w:multiLevelType w:val="multilevel"/>
    <w:tmpl w:val="FD2C3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3DC74DEC"/>
    <w:multiLevelType w:val="multilevel"/>
    <w:tmpl w:val="416EA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58B7031"/>
    <w:multiLevelType w:val="hybridMultilevel"/>
    <w:tmpl w:val="FEE66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7" w15:restartNumberingAfterBreak="0">
    <w:nsid w:val="57F3597A"/>
    <w:multiLevelType w:val="multilevel"/>
    <w:tmpl w:val="E990DF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F1B7C38"/>
    <w:multiLevelType w:val="multilevel"/>
    <w:tmpl w:val="9B9C6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27764055">
    <w:abstractNumId w:val="15"/>
  </w:num>
  <w:num w:numId="2" w16cid:durableId="402263313">
    <w:abstractNumId w:val="8"/>
  </w:num>
  <w:num w:numId="3" w16cid:durableId="24988477">
    <w:abstractNumId w:val="3"/>
  </w:num>
  <w:num w:numId="4" w16cid:durableId="164520964">
    <w:abstractNumId w:val="2"/>
  </w:num>
  <w:num w:numId="5" w16cid:durableId="433403611">
    <w:abstractNumId w:val="1"/>
  </w:num>
  <w:num w:numId="6" w16cid:durableId="328211549">
    <w:abstractNumId w:val="0"/>
  </w:num>
  <w:num w:numId="7" w16cid:durableId="33383862">
    <w:abstractNumId w:val="9"/>
  </w:num>
  <w:num w:numId="8" w16cid:durableId="835152176">
    <w:abstractNumId w:val="7"/>
  </w:num>
  <w:num w:numId="9" w16cid:durableId="2081905597">
    <w:abstractNumId w:val="6"/>
  </w:num>
  <w:num w:numId="10" w16cid:durableId="1498498338">
    <w:abstractNumId w:val="5"/>
  </w:num>
  <w:num w:numId="11" w16cid:durableId="970284212">
    <w:abstractNumId w:val="4"/>
  </w:num>
  <w:num w:numId="12" w16cid:durableId="1028338273">
    <w:abstractNumId w:val="26"/>
  </w:num>
  <w:num w:numId="13" w16cid:durableId="1439179197">
    <w:abstractNumId w:val="19"/>
  </w:num>
  <w:num w:numId="14" w16cid:durableId="1009916823">
    <w:abstractNumId w:val="28"/>
  </w:num>
  <w:num w:numId="15" w16cid:durableId="1843011152">
    <w:abstractNumId w:val="30"/>
  </w:num>
  <w:num w:numId="16" w16cid:durableId="721100985">
    <w:abstractNumId w:val="29"/>
  </w:num>
  <w:num w:numId="17" w16cid:durableId="1188182937">
    <w:abstractNumId w:val="18"/>
  </w:num>
  <w:num w:numId="18" w16cid:durableId="709185339">
    <w:abstractNumId w:val="19"/>
    <w:lvlOverride w:ilvl="0">
      <w:startOverride w:val="1"/>
    </w:lvlOverride>
  </w:num>
  <w:num w:numId="19" w16cid:durableId="1952199117">
    <w:abstractNumId w:val="24"/>
  </w:num>
  <w:num w:numId="20" w16cid:durableId="862716103">
    <w:abstractNumId w:val="23"/>
  </w:num>
  <w:num w:numId="21" w16cid:durableId="1838302268">
    <w:abstractNumId w:val="21"/>
  </w:num>
  <w:num w:numId="22" w16cid:durableId="533426762">
    <w:abstractNumId w:val="20"/>
  </w:num>
  <w:num w:numId="23" w16cid:durableId="1970159160">
    <w:abstractNumId w:val="13"/>
  </w:num>
  <w:num w:numId="24" w16cid:durableId="921569385">
    <w:abstractNumId w:val="10"/>
  </w:num>
  <w:num w:numId="25" w16cid:durableId="661154044">
    <w:abstractNumId w:val="25"/>
  </w:num>
  <w:num w:numId="26" w16cid:durableId="1493643850">
    <w:abstractNumId w:val="12"/>
  </w:num>
  <w:num w:numId="27" w16cid:durableId="1202086105">
    <w:abstractNumId w:val="14"/>
  </w:num>
  <w:num w:numId="28" w16cid:durableId="238709513">
    <w:abstractNumId w:val="16"/>
  </w:num>
  <w:num w:numId="29" w16cid:durableId="144513654">
    <w:abstractNumId w:val="27"/>
  </w:num>
  <w:num w:numId="30" w16cid:durableId="509947475">
    <w:abstractNumId w:val="22"/>
  </w:num>
  <w:num w:numId="31" w16cid:durableId="457140347">
    <w:abstractNumId w:val="31"/>
  </w:num>
  <w:num w:numId="32" w16cid:durableId="704450588">
    <w:abstractNumId w:val="17"/>
  </w:num>
  <w:num w:numId="33" w16cid:durableId="13220838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9"/>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5C6"/>
    <w:rsid w:val="000027C0"/>
    <w:rsid w:val="000052FB"/>
    <w:rsid w:val="00005A19"/>
    <w:rsid w:val="000075A3"/>
    <w:rsid w:val="000117CB"/>
    <w:rsid w:val="00025F19"/>
    <w:rsid w:val="00027CA6"/>
    <w:rsid w:val="0003148D"/>
    <w:rsid w:val="00031EEC"/>
    <w:rsid w:val="0003279F"/>
    <w:rsid w:val="00046297"/>
    <w:rsid w:val="000473D7"/>
    <w:rsid w:val="00051566"/>
    <w:rsid w:val="000562A9"/>
    <w:rsid w:val="00062A9A"/>
    <w:rsid w:val="00065058"/>
    <w:rsid w:val="00067A08"/>
    <w:rsid w:val="000722C1"/>
    <w:rsid w:val="00072E48"/>
    <w:rsid w:val="000760A2"/>
    <w:rsid w:val="0008295E"/>
    <w:rsid w:val="00084AB3"/>
    <w:rsid w:val="00086C39"/>
    <w:rsid w:val="00090694"/>
    <w:rsid w:val="0009511E"/>
    <w:rsid w:val="000A03B2"/>
    <w:rsid w:val="000A7F33"/>
    <w:rsid w:val="000B4596"/>
    <w:rsid w:val="000B7FB7"/>
    <w:rsid w:val="000C26A1"/>
    <w:rsid w:val="000C2AB6"/>
    <w:rsid w:val="000C3F22"/>
    <w:rsid w:val="000C5213"/>
    <w:rsid w:val="000C6560"/>
    <w:rsid w:val="000D0268"/>
    <w:rsid w:val="000D2F0A"/>
    <w:rsid w:val="000D34BE"/>
    <w:rsid w:val="000E0B3C"/>
    <w:rsid w:val="000E102F"/>
    <w:rsid w:val="000E323F"/>
    <w:rsid w:val="000E36F1"/>
    <w:rsid w:val="000E3A73"/>
    <w:rsid w:val="000E414A"/>
    <w:rsid w:val="000E6524"/>
    <w:rsid w:val="000E75FD"/>
    <w:rsid w:val="000E7949"/>
    <w:rsid w:val="000F0240"/>
    <w:rsid w:val="000F093C"/>
    <w:rsid w:val="000F27CE"/>
    <w:rsid w:val="000F4C21"/>
    <w:rsid w:val="000F787B"/>
    <w:rsid w:val="00100D87"/>
    <w:rsid w:val="0011196E"/>
    <w:rsid w:val="0011545E"/>
    <w:rsid w:val="0012091F"/>
    <w:rsid w:val="001264D1"/>
    <w:rsid w:val="00126BC2"/>
    <w:rsid w:val="00130129"/>
    <w:rsid w:val="001308B6"/>
    <w:rsid w:val="00130FF0"/>
    <w:rsid w:val="0013121F"/>
    <w:rsid w:val="00131FE6"/>
    <w:rsid w:val="0013263F"/>
    <w:rsid w:val="001331DF"/>
    <w:rsid w:val="00134DE4"/>
    <w:rsid w:val="00136107"/>
    <w:rsid w:val="0014034D"/>
    <w:rsid w:val="00140FE3"/>
    <w:rsid w:val="00144D16"/>
    <w:rsid w:val="00150E59"/>
    <w:rsid w:val="00151396"/>
    <w:rsid w:val="00152DE3"/>
    <w:rsid w:val="001545A3"/>
    <w:rsid w:val="001626F7"/>
    <w:rsid w:val="00164CF9"/>
    <w:rsid w:val="001667A6"/>
    <w:rsid w:val="00174131"/>
    <w:rsid w:val="00177AAA"/>
    <w:rsid w:val="0018171E"/>
    <w:rsid w:val="00182C3A"/>
    <w:rsid w:val="00184AD6"/>
    <w:rsid w:val="00191876"/>
    <w:rsid w:val="001A1880"/>
    <w:rsid w:val="001A4AF7"/>
    <w:rsid w:val="001B0349"/>
    <w:rsid w:val="001B1E93"/>
    <w:rsid w:val="001B65C1"/>
    <w:rsid w:val="001B74F3"/>
    <w:rsid w:val="001C260F"/>
    <w:rsid w:val="001C3AE5"/>
    <w:rsid w:val="001C5C3A"/>
    <w:rsid w:val="001C66D6"/>
    <w:rsid w:val="001C684B"/>
    <w:rsid w:val="001D0CFB"/>
    <w:rsid w:val="001D21AF"/>
    <w:rsid w:val="001D32BF"/>
    <w:rsid w:val="001D53FC"/>
    <w:rsid w:val="001D7207"/>
    <w:rsid w:val="001E0D13"/>
    <w:rsid w:val="001E21FE"/>
    <w:rsid w:val="001F1FC4"/>
    <w:rsid w:val="001F42A5"/>
    <w:rsid w:val="001F6A65"/>
    <w:rsid w:val="001F7B9D"/>
    <w:rsid w:val="00201C93"/>
    <w:rsid w:val="002038DB"/>
    <w:rsid w:val="002200A4"/>
    <w:rsid w:val="002224B4"/>
    <w:rsid w:val="00223BD0"/>
    <w:rsid w:val="0024348B"/>
    <w:rsid w:val="002442B1"/>
    <w:rsid w:val="002447EF"/>
    <w:rsid w:val="00246EF5"/>
    <w:rsid w:val="00250974"/>
    <w:rsid w:val="00250BCB"/>
    <w:rsid w:val="00251550"/>
    <w:rsid w:val="00252A14"/>
    <w:rsid w:val="00256D9D"/>
    <w:rsid w:val="00257173"/>
    <w:rsid w:val="00263B05"/>
    <w:rsid w:val="0026616B"/>
    <w:rsid w:val="00271521"/>
    <w:rsid w:val="0027221A"/>
    <w:rsid w:val="00275B61"/>
    <w:rsid w:val="00280FAF"/>
    <w:rsid w:val="00282656"/>
    <w:rsid w:val="002870DD"/>
    <w:rsid w:val="002943A7"/>
    <w:rsid w:val="00295561"/>
    <w:rsid w:val="00296B83"/>
    <w:rsid w:val="002A5980"/>
    <w:rsid w:val="002B4015"/>
    <w:rsid w:val="002B78CE"/>
    <w:rsid w:val="002C065C"/>
    <w:rsid w:val="002C2FB6"/>
    <w:rsid w:val="002E40EF"/>
    <w:rsid w:val="002E5FA7"/>
    <w:rsid w:val="002F3309"/>
    <w:rsid w:val="002F3604"/>
    <w:rsid w:val="003008CE"/>
    <w:rsid w:val="003009B7"/>
    <w:rsid w:val="00300E56"/>
    <w:rsid w:val="0030152C"/>
    <w:rsid w:val="0030469C"/>
    <w:rsid w:val="00307157"/>
    <w:rsid w:val="0031162D"/>
    <w:rsid w:val="00313EB0"/>
    <w:rsid w:val="00321CA6"/>
    <w:rsid w:val="003231B4"/>
    <w:rsid w:val="00323763"/>
    <w:rsid w:val="00323C5F"/>
    <w:rsid w:val="003274CE"/>
    <w:rsid w:val="003278DC"/>
    <w:rsid w:val="00334C09"/>
    <w:rsid w:val="0034102B"/>
    <w:rsid w:val="003453CA"/>
    <w:rsid w:val="003479E3"/>
    <w:rsid w:val="00352F0F"/>
    <w:rsid w:val="00356B23"/>
    <w:rsid w:val="003615F3"/>
    <w:rsid w:val="00362743"/>
    <w:rsid w:val="003723D4"/>
    <w:rsid w:val="003746B6"/>
    <w:rsid w:val="00376430"/>
    <w:rsid w:val="00381905"/>
    <w:rsid w:val="00384CC8"/>
    <w:rsid w:val="003871FD"/>
    <w:rsid w:val="00387C68"/>
    <w:rsid w:val="003904D3"/>
    <w:rsid w:val="00393127"/>
    <w:rsid w:val="00395F5B"/>
    <w:rsid w:val="003969B8"/>
    <w:rsid w:val="003A1E30"/>
    <w:rsid w:val="003A2050"/>
    <w:rsid w:val="003A2829"/>
    <w:rsid w:val="003A7D1C"/>
    <w:rsid w:val="003B304B"/>
    <w:rsid w:val="003B3146"/>
    <w:rsid w:val="003B49CD"/>
    <w:rsid w:val="003B4F9D"/>
    <w:rsid w:val="003B611E"/>
    <w:rsid w:val="003C2950"/>
    <w:rsid w:val="003D1E02"/>
    <w:rsid w:val="003D7729"/>
    <w:rsid w:val="003D7AAA"/>
    <w:rsid w:val="003E4297"/>
    <w:rsid w:val="003F015E"/>
    <w:rsid w:val="003F2933"/>
    <w:rsid w:val="004001CF"/>
    <w:rsid w:val="00400414"/>
    <w:rsid w:val="004068C0"/>
    <w:rsid w:val="0041446B"/>
    <w:rsid w:val="0042324F"/>
    <w:rsid w:val="004251DB"/>
    <w:rsid w:val="00426F01"/>
    <w:rsid w:val="004304CD"/>
    <w:rsid w:val="00434A17"/>
    <w:rsid w:val="00435B0B"/>
    <w:rsid w:val="0044071E"/>
    <w:rsid w:val="00442A9C"/>
    <w:rsid w:val="00442DDF"/>
    <w:rsid w:val="0044329C"/>
    <w:rsid w:val="00443B61"/>
    <w:rsid w:val="00444BB9"/>
    <w:rsid w:val="00444E1B"/>
    <w:rsid w:val="00444F31"/>
    <w:rsid w:val="00446C27"/>
    <w:rsid w:val="0045124C"/>
    <w:rsid w:val="00453E24"/>
    <w:rsid w:val="00455748"/>
    <w:rsid w:val="004569DB"/>
    <w:rsid w:val="00457456"/>
    <w:rsid w:val="004577FE"/>
    <w:rsid w:val="00457B9C"/>
    <w:rsid w:val="0046164A"/>
    <w:rsid w:val="004628D2"/>
    <w:rsid w:val="00462DCD"/>
    <w:rsid w:val="004648AD"/>
    <w:rsid w:val="004703A9"/>
    <w:rsid w:val="0047370C"/>
    <w:rsid w:val="00475004"/>
    <w:rsid w:val="00475609"/>
    <w:rsid w:val="0047594B"/>
    <w:rsid w:val="004760DE"/>
    <w:rsid w:val="004763D7"/>
    <w:rsid w:val="00482361"/>
    <w:rsid w:val="00486901"/>
    <w:rsid w:val="00494F63"/>
    <w:rsid w:val="004A004E"/>
    <w:rsid w:val="004A1E1B"/>
    <w:rsid w:val="004A24CF"/>
    <w:rsid w:val="004A3476"/>
    <w:rsid w:val="004A3513"/>
    <w:rsid w:val="004A4E9E"/>
    <w:rsid w:val="004A5928"/>
    <w:rsid w:val="004B1948"/>
    <w:rsid w:val="004C3D1D"/>
    <w:rsid w:val="004C3D84"/>
    <w:rsid w:val="004C7913"/>
    <w:rsid w:val="004D1CD7"/>
    <w:rsid w:val="004E29D7"/>
    <w:rsid w:val="004E2B84"/>
    <w:rsid w:val="004E396C"/>
    <w:rsid w:val="004E4DD6"/>
    <w:rsid w:val="004F598C"/>
    <w:rsid w:val="004F5E36"/>
    <w:rsid w:val="004F74E0"/>
    <w:rsid w:val="00500582"/>
    <w:rsid w:val="0050253A"/>
    <w:rsid w:val="00502EA8"/>
    <w:rsid w:val="00505D1C"/>
    <w:rsid w:val="00505EC2"/>
    <w:rsid w:val="00507B47"/>
    <w:rsid w:val="00507BEF"/>
    <w:rsid w:val="00507CC9"/>
    <w:rsid w:val="0051177F"/>
    <w:rsid w:val="005119A5"/>
    <w:rsid w:val="00513C1B"/>
    <w:rsid w:val="00521185"/>
    <w:rsid w:val="005235BF"/>
    <w:rsid w:val="005278B7"/>
    <w:rsid w:val="00532016"/>
    <w:rsid w:val="005346C8"/>
    <w:rsid w:val="00541A8B"/>
    <w:rsid w:val="005436AA"/>
    <w:rsid w:val="00543E7D"/>
    <w:rsid w:val="00547A68"/>
    <w:rsid w:val="005531C9"/>
    <w:rsid w:val="00554879"/>
    <w:rsid w:val="005623F3"/>
    <w:rsid w:val="00570C43"/>
    <w:rsid w:val="00571077"/>
    <w:rsid w:val="00571AEA"/>
    <w:rsid w:val="0058480F"/>
    <w:rsid w:val="005849C0"/>
    <w:rsid w:val="00592274"/>
    <w:rsid w:val="005A1A3C"/>
    <w:rsid w:val="005A428D"/>
    <w:rsid w:val="005A49DA"/>
    <w:rsid w:val="005A69DE"/>
    <w:rsid w:val="005B2110"/>
    <w:rsid w:val="005B274D"/>
    <w:rsid w:val="005B350B"/>
    <w:rsid w:val="005B61E6"/>
    <w:rsid w:val="005C4056"/>
    <w:rsid w:val="005C77E1"/>
    <w:rsid w:val="005D0289"/>
    <w:rsid w:val="005D15FE"/>
    <w:rsid w:val="005D668A"/>
    <w:rsid w:val="005D6A2F"/>
    <w:rsid w:val="005E0592"/>
    <w:rsid w:val="005E1A82"/>
    <w:rsid w:val="005E2CEA"/>
    <w:rsid w:val="005E39E8"/>
    <w:rsid w:val="005E3A94"/>
    <w:rsid w:val="005E794C"/>
    <w:rsid w:val="005F0A28"/>
    <w:rsid w:val="005F0E5E"/>
    <w:rsid w:val="005F39EB"/>
    <w:rsid w:val="00600535"/>
    <w:rsid w:val="00602404"/>
    <w:rsid w:val="00604D18"/>
    <w:rsid w:val="00605EFA"/>
    <w:rsid w:val="00610CD6"/>
    <w:rsid w:val="006169E1"/>
    <w:rsid w:val="00617FA2"/>
    <w:rsid w:val="00620CF6"/>
    <w:rsid w:val="00620DEE"/>
    <w:rsid w:val="00621F92"/>
    <w:rsid w:val="0062280A"/>
    <w:rsid w:val="006231E1"/>
    <w:rsid w:val="00625639"/>
    <w:rsid w:val="00631B33"/>
    <w:rsid w:val="00637C6C"/>
    <w:rsid w:val="00640528"/>
    <w:rsid w:val="0064184D"/>
    <w:rsid w:val="006422CC"/>
    <w:rsid w:val="0064317A"/>
    <w:rsid w:val="00645659"/>
    <w:rsid w:val="00651D18"/>
    <w:rsid w:val="00660C76"/>
    <w:rsid w:val="00660E3E"/>
    <w:rsid w:val="00661242"/>
    <w:rsid w:val="00662E74"/>
    <w:rsid w:val="0066317B"/>
    <w:rsid w:val="006635E8"/>
    <w:rsid w:val="006723E0"/>
    <w:rsid w:val="00674D73"/>
    <w:rsid w:val="0068011F"/>
    <w:rsid w:val="00680C23"/>
    <w:rsid w:val="00680E4A"/>
    <w:rsid w:val="00683E23"/>
    <w:rsid w:val="00687782"/>
    <w:rsid w:val="00693766"/>
    <w:rsid w:val="00697CA8"/>
    <w:rsid w:val="006A3281"/>
    <w:rsid w:val="006A604A"/>
    <w:rsid w:val="006A6DE5"/>
    <w:rsid w:val="006B4888"/>
    <w:rsid w:val="006C2E45"/>
    <w:rsid w:val="006C359C"/>
    <w:rsid w:val="006C5579"/>
    <w:rsid w:val="006D6E8B"/>
    <w:rsid w:val="006D7209"/>
    <w:rsid w:val="006E1EB4"/>
    <w:rsid w:val="006E6F66"/>
    <w:rsid w:val="006E737D"/>
    <w:rsid w:val="006F3431"/>
    <w:rsid w:val="006F4ED1"/>
    <w:rsid w:val="006F60C4"/>
    <w:rsid w:val="00700054"/>
    <w:rsid w:val="00700653"/>
    <w:rsid w:val="00702BA5"/>
    <w:rsid w:val="0070674B"/>
    <w:rsid w:val="00707DD1"/>
    <w:rsid w:val="00713973"/>
    <w:rsid w:val="00716BE7"/>
    <w:rsid w:val="00720A24"/>
    <w:rsid w:val="007277A9"/>
    <w:rsid w:val="00732386"/>
    <w:rsid w:val="00733DF4"/>
    <w:rsid w:val="0073514D"/>
    <w:rsid w:val="00742594"/>
    <w:rsid w:val="007447F3"/>
    <w:rsid w:val="00750B58"/>
    <w:rsid w:val="0075499F"/>
    <w:rsid w:val="00754F30"/>
    <w:rsid w:val="00756E0B"/>
    <w:rsid w:val="007610A6"/>
    <w:rsid w:val="0076517D"/>
    <w:rsid w:val="007661C8"/>
    <w:rsid w:val="00767B5E"/>
    <w:rsid w:val="0077098D"/>
    <w:rsid w:val="00771BD9"/>
    <w:rsid w:val="0077673E"/>
    <w:rsid w:val="0078312D"/>
    <w:rsid w:val="00785BF9"/>
    <w:rsid w:val="007931FA"/>
    <w:rsid w:val="007951C2"/>
    <w:rsid w:val="00795530"/>
    <w:rsid w:val="0079583A"/>
    <w:rsid w:val="007A139A"/>
    <w:rsid w:val="007A4861"/>
    <w:rsid w:val="007A7BBA"/>
    <w:rsid w:val="007B0C50"/>
    <w:rsid w:val="007B48F9"/>
    <w:rsid w:val="007C1A43"/>
    <w:rsid w:val="007C2970"/>
    <w:rsid w:val="007C3E3A"/>
    <w:rsid w:val="007D0951"/>
    <w:rsid w:val="007D1832"/>
    <w:rsid w:val="007D610D"/>
    <w:rsid w:val="007E0F38"/>
    <w:rsid w:val="007F0523"/>
    <w:rsid w:val="007F0FBB"/>
    <w:rsid w:val="0080013E"/>
    <w:rsid w:val="00801759"/>
    <w:rsid w:val="008050E9"/>
    <w:rsid w:val="00807A6B"/>
    <w:rsid w:val="0081130F"/>
    <w:rsid w:val="00813288"/>
    <w:rsid w:val="008168FC"/>
    <w:rsid w:val="00830996"/>
    <w:rsid w:val="008345F1"/>
    <w:rsid w:val="00834F3C"/>
    <w:rsid w:val="008400CA"/>
    <w:rsid w:val="00846CF4"/>
    <w:rsid w:val="00857945"/>
    <w:rsid w:val="008623DE"/>
    <w:rsid w:val="008655B1"/>
    <w:rsid w:val="00865B07"/>
    <w:rsid w:val="0086649F"/>
    <w:rsid w:val="008667EA"/>
    <w:rsid w:val="008754F3"/>
    <w:rsid w:val="0087637F"/>
    <w:rsid w:val="00877A9E"/>
    <w:rsid w:val="00880FAD"/>
    <w:rsid w:val="008832AA"/>
    <w:rsid w:val="00885521"/>
    <w:rsid w:val="00886BA9"/>
    <w:rsid w:val="008920D2"/>
    <w:rsid w:val="00892AD5"/>
    <w:rsid w:val="008A12FA"/>
    <w:rsid w:val="008A1512"/>
    <w:rsid w:val="008A1FCD"/>
    <w:rsid w:val="008B266C"/>
    <w:rsid w:val="008B2804"/>
    <w:rsid w:val="008D32B9"/>
    <w:rsid w:val="008D409F"/>
    <w:rsid w:val="008D433B"/>
    <w:rsid w:val="008D4A16"/>
    <w:rsid w:val="008D68D2"/>
    <w:rsid w:val="008E5401"/>
    <w:rsid w:val="008E566E"/>
    <w:rsid w:val="008F602F"/>
    <w:rsid w:val="0090161A"/>
    <w:rsid w:val="00901EB6"/>
    <w:rsid w:val="00902C9F"/>
    <w:rsid w:val="009041F8"/>
    <w:rsid w:val="00904C62"/>
    <w:rsid w:val="009211CC"/>
    <w:rsid w:val="00922BA8"/>
    <w:rsid w:val="00924DAC"/>
    <w:rsid w:val="009262CE"/>
    <w:rsid w:val="00927058"/>
    <w:rsid w:val="009316C5"/>
    <w:rsid w:val="00940064"/>
    <w:rsid w:val="00942750"/>
    <w:rsid w:val="00943637"/>
    <w:rsid w:val="009450CE"/>
    <w:rsid w:val="009459BB"/>
    <w:rsid w:val="00947179"/>
    <w:rsid w:val="0094788C"/>
    <w:rsid w:val="0095164B"/>
    <w:rsid w:val="00952ED3"/>
    <w:rsid w:val="00954090"/>
    <w:rsid w:val="009573E7"/>
    <w:rsid w:val="00963E05"/>
    <w:rsid w:val="0096454C"/>
    <w:rsid w:val="00964A45"/>
    <w:rsid w:val="00964F96"/>
    <w:rsid w:val="009673D0"/>
    <w:rsid w:val="00967843"/>
    <w:rsid w:val="00967D54"/>
    <w:rsid w:val="00971028"/>
    <w:rsid w:val="0097170E"/>
    <w:rsid w:val="00971F57"/>
    <w:rsid w:val="00987C3C"/>
    <w:rsid w:val="00993803"/>
    <w:rsid w:val="00993B84"/>
    <w:rsid w:val="00994628"/>
    <w:rsid w:val="00994C6A"/>
    <w:rsid w:val="00996333"/>
    <w:rsid w:val="00996483"/>
    <w:rsid w:val="009968BC"/>
    <w:rsid w:val="00996F5A"/>
    <w:rsid w:val="009A5D3F"/>
    <w:rsid w:val="009A6167"/>
    <w:rsid w:val="009B041A"/>
    <w:rsid w:val="009C37C3"/>
    <w:rsid w:val="009C5501"/>
    <w:rsid w:val="009C7C86"/>
    <w:rsid w:val="009D2FF7"/>
    <w:rsid w:val="009E08B0"/>
    <w:rsid w:val="009E0E33"/>
    <w:rsid w:val="009E1A4F"/>
    <w:rsid w:val="009E2C78"/>
    <w:rsid w:val="009E5DC1"/>
    <w:rsid w:val="009E7884"/>
    <w:rsid w:val="009E788A"/>
    <w:rsid w:val="009F031D"/>
    <w:rsid w:val="009F0E08"/>
    <w:rsid w:val="009F3A04"/>
    <w:rsid w:val="00A01390"/>
    <w:rsid w:val="00A03C81"/>
    <w:rsid w:val="00A06D05"/>
    <w:rsid w:val="00A079AE"/>
    <w:rsid w:val="00A152A3"/>
    <w:rsid w:val="00A17005"/>
    <w:rsid w:val="00A1763D"/>
    <w:rsid w:val="00A17CEC"/>
    <w:rsid w:val="00A223E5"/>
    <w:rsid w:val="00A230A4"/>
    <w:rsid w:val="00A24D0C"/>
    <w:rsid w:val="00A26A69"/>
    <w:rsid w:val="00A27EF0"/>
    <w:rsid w:val="00A36D99"/>
    <w:rsid w:val="00A4021A"/>
    <w:rsid w:val="00A42361"/>
    <w:rsid w:val="00A45D59"/>
    <w:rsid w:val="00A47CB3"/>
    <w:rsid w:val="00A50B20"/>
    <w:rsid w:val="00A51390"/>
    <w:rsid w:val="00A5267E"/>
    <w:rsid w:val="00A604EB"/>
    <w:rsid w:val="00A60D13"/>
    <w:rsid w:val="00A62D4D"/>
    <w:rsid w:val="00A63686"/>
    <w:rsid w:val="00A638AD"/>
    <w:rsid w:val="00A7223D"/>
    <w:rsid w:val="00A72745"/>
    <w:rsid w:val="00A76447"/>
    <w:rsid w:val="00A76EFC"/>
    <w:rsid w:val="00A87D50"/>
    <w:rsid w:val="00A91010"/>
    <w:rsid w:val="00A928B7"/>
    <w:rsid w:val="00A97172"/>
    <w:rsid w:val="00A97F29"/>
    <w:rsid w:val="00AA1EA3"/>
    <w:rsid w:val="00AA702E"/>
    <w:rsid w:val="00AA7D26"/>
    <w:rsid w:val="00AB0964"/>
    <w:rsid w:val="00AB2DBF"/>
    <w:rsid w:val="00AB5011"/>
    <w:rsid w:val="00AB667D"/>
    <w:rsid w:val="00AB6A3B"/>
    <w:rsid w:val="00AC7368"/>
    <w:rsid w:val="00AD16B9"/>
    <w:rsid w:val="00AD261D"/>
    <w:rsid w:val="00AD2B47"/>
    <w:rsid w:val="00AE377D"/>
    <w:rsid w:val="00AF081A"/>
    <w:rsid w:val="00AF0EBA"/>
    <w:rsid w:val="00AF2463"/>
    <w:rsid w:val="00B00AC6"/>
    <w:rsid w:val="00B02C8A"/>
    <w:rsid w:val="00B13C93"/>
    <w:rsid w:val="00B17FBD"/>
    <w:rsid w:val="00B24787"/>
    <w:rsid w:val="00B315A6"/>
    <w:rsid w:val="00B31813"/>
    <w:rsid w:val="00B33365"/>
    <w:rsid w:val="00B33FF6"/>
    <w:rsid w:val="00B370BF"/>
    <w:rsid w:val="00B40249"/>
    <w:rsid w:val="00B432A4"/>
    <w:rsid w:val="00B4380B"/>
    <w:rsid w:val="00B462FD"/>
    <w:rsid w:val="00B46A50"/>
    <w:rsid w:val="00B46EF0"/>
    <w:rsid w:val="00B50D5A"/>
    <w:rsid w:val="00B53335"/>
    <w:rsid w:val="00B57B36"/>
    <w:rsid w:val="00B57E6F"/>
    <w:rsid w:val="00B60A3C"/>
    <w:rsid w:val="00B63798"/>
    <w:rsid w:val="00B650E8"/>
    <w:rsid w:val="00B812FB"/>
    <w:rsid w:val="00B85CDA"/>
    <w:rsid w:val="00B8686D"/>
    <w:rsid w:val="00B93F69"/>
    <w:rsid w:val="00BA1BC6"/>
    <w:rsid w:val="00BA3BD9"/>
    <w:rsid w:val="00BA45CB"/>
    <w:rsid w:val="00BA4F8C"/>
    <w:rsid w:val="00BA7553"/>
    <w:rsid w:val="00BB1DDC"/>
    <w:rsid w:val="00BB46D6"/>
    <w:rsid w:val="00BC30C9"/>
    <w:rsid w:val="00BD013D"/>
    <w:rsid w:val="00BD077D"/>
    <w:rsid w:val="00BD65CD"/>
    <w:rsid w:val="00BE3E58"/>
    <w:rsid w:val="00BE44E0"/>
    <w:rsid w:val="00BF13CE"/>
    <w:rsid w:val="00C01616"/>
    <w:rsid w:val="00C0162B"/>
    <w:rsid w:val="00C01F04"/>
    <w:rsid w:val="00C03D2C"/>
    <w:rsid w:val="00C068ED"/>
    <w:rsid w:val="00C07276"/>
    <w:rsid w:val="00C07E5A"/>
    <w:rsid w:val="00C17F92"/>
    <w:rsid w:val="00C22AF4"/>
    <w:rsid w:val="00C22E0C"/>
    <w:rsid w:val="00C300F7"/>
    <w:rsid w:val="00C32C7D"/>
    <w:rsid w:val="00C33BA1"/>
    <w:rsid w:val="00C345B1"/>
    <w:rsid w:val="00C354A8"/>
    <w:rsid w:val="00C40142"/>
    <w:rsid w:val="00C40D78"/>
    <w:rsid w:val="00C52C3C"/>
    <w:rsid w:val="00C562EC"/>
    <w:rsid w:val="00C57182"/>
    <w:rsid w:val="00C57863"/>
    <w:rsid w:val="00C640AF"/>
    <w:rsid w:val="00C655FD"/>
    <w:rsid w:val="00C74061"/>
    <w:rsid w:val="00C75407"/>
    <w:rsid w:val="00C77F7A"/>
    <w:rsid w:val="00C81E7D"/>
    <w:rsid w:val="00C82118"/>
    <w:rsid w:val="00C82124"/>
    <w:rsid w:val="00C82D07"/>
    <w:rsid w:val="00C838A9"/>
    <w:rsid w:val="00C841C6"/>
    <w:rsid w:val="00C85751"/>
    <w:rsid w:val="00C870A8"/>
    <w:rsid w:val="00C94434"/>
    <w:rsid w:val="00CA0D75"/>
    <w:rsid w:val="00CA1C95"/>
    <w:rsid w:val="00CA4E9E"/>
    <w:rsid w:val="00CA5A9C"/>
    <w:rsid w:val="00CA6955"/>
    <w:rsid w:val="00CC01C2"/>
    <w:rsid w:val="00CC251C"/>
    <w:rsid w:val="00CC3BC6"/>
    <w:rsid w:val="00CC411A"/>
    <w:rsid w:val="00CC4C20"/>
    <w:rsid w:val="00CD3517"/>
    <w:rsid w:val="00CD5FE2"/>
    <w:rsid w:val="00CE7C68"/>
    <w:rsid w:val="00CF54F5"/>
    <w:rsid w:val="00CF5BF6"/>
    <w:rsid w:val="00CF5DAB"/>
    <w:rsid w:val="00D00826"/>
    <w:rsid w:val="00D02B4C"/>
    <w:rsid w:val="00D040C4"/>
    <w:rsid w:val="00D05274"/>
    <w:rsid w:val="00D149B6"/>
    <w:rsid w:val="00D16605"/>
    <w:rsid w:val="00D20AD1"/>
    <w:rsid w:val="00D20D19"/>
    <w:rsid w:val="00D220FF"/>
    <w:rsid w:val="00D24136"/>
    <w:rsid w:val="00D24368"/>
    <w:rsid w:val="00D244D7"/>
    <w:rsid w:val="00D2582C"/>
    <w:rsid w:val="00D26FA6"/>
    <w:rsid w:val="00D32211"/>
    <w:rsid w:val="00D46B7E"/>
    <w:rsid w:val="00D47A0C"/>
    <w:rsid w:val="00D55C94"/>
    <w:rsid w:val="00D57C84"/>
    <w:rsid w:val="00D6057D"/>
    <w:rsid w:val="00D650F1"/>
    <w:rsid w:val="00D665DE"/>
    <w:rsid w:val="00D669C0"/>
    <w:rsid w:val="00D66EDE"/>
    <w:rsid w:val="00D71640"/>
    <w:rsid w:val="00D73FD9"/>
    <w:rsid w:val="00D759A4"/>
    <w:rsid w:val="00D836C5"/>
    <w:rsid w:val="00D84576"/>
    <w:rsid w:val="00D96B9A"/>
    <w:rsid w:val="00DA1399"/>
    <w:rsid w:val="00DA1CF8"/>
    <w:rsid w:val="00DA24C6"/>
    <w:rsid w:val="00DA4D7B"/>
    <w:rsid w:val="00DA560F"/>
    <w:rsid w:val="00DB083F"/>
    <w:rsid w:val="00DC207C"/>
    <w:rsid w:val="00DC2840"/>
    <w:rsid w:val="00DC5F9B"/>
    <w:rsid w:val="00DC65DC"/>
    <w:rsid w:val="00DC73EE"/>
    <w:rsid w:val="00DD271C"/>
    <w:rsid w:val="00DD4B04"/>
    <w:rsid w:val="00DD4FDA"/>
    <w:rsid w:val="00DE264A"/>
    <w:rsid w:val="00DE4ED7"/>
    <w:rsid w:val="00DF5072"/>
    <w:rsid w:val="00DF58FB"/>
    <w:rsid w:val="00E019EF"/>
    <w:rsid w:val="00E02D18"/>
    <w:rsid w:val="00E041E7"/>
    <w:rsid w:val="00E043D7"/>
    <w:rsid w:val="00E06B75"/>
    <w:rsid w:val="00E16079"/>
    <w:rsid w:val="00E163D0"/>
    <w:rsid w:val="00E21B6C"/>
    <w:rsid w:val="00E21D18"/>
    <w:rsid w:val="00E23CA1"/>
    <w:rsid w:val="00E27ABE"/>
    <w:rsid w:val="00E32E52"/>
    <w:rsid w:val="00E409A8"/>
    <w:rsid w:val="00E41115"/>
    <w:rsid w:val="00E42E94"/>
    <w:rsid w:val="00E4426F"/>
    <w:rsid w:val="00E50C12"/>
    <w:rsid w:val="00E60509"/>
    <w:rsid w:val="00E60FA9"/>
    <w:rsid w:val="00E65B91"/>
    <w:rsid w:val="00E701DA"/>
    <w:rsid w:val="00E7209D"/>
    <w:rsid w:val="00E72EAD"/>
    <w:rsid w:val="00E74A8F"/>
    <w:rsid w:val="00E7522E"/>
    <w:rsid w:val="00E77223"/>
    <w:rsid w:val="00E81906"/>
    <w:rsid w:val="00E81A07"/>
    <w:rsid w:val="00E84AD9"/>
    <w:rsid w:val="00E8528B"/>
    <w:rsid w:val="00E8535E"/>
    <w:rsid w:val="00E85B94"/>
    <w:rsid w:val="00E86D25"/>
    <w:rsid w:val="00E8766F"/>
    <w:rsid w:val="00E978D0"/>
    <w:rsid w:val="00EA00AF"/>
    <w:rsid w:val="00EA1638"/>
    <w:rsid w:val="00EA4613"/>
    <w:rsid w:val="00EA6EE5"/>
    <w:rsid w:val="00EA7F91"/>
    <w:rsid w:val="00EB1138"/>
    <w:rsid w:val="00EB1523"/>
    <w:rsid w:val="00EB798B"/>
    <w:rsid w:val="00EC0E49"/>
    <w:rsid w:val="00EC101F"/>
    <w:rsid w:val="00EC1D9F"/>
    <w:rsid w:val="00EC300A"/>
    <w:rsid w:val="00ED1279"/>
    <w:rsid w:val="00ED4EF3"/>
    <w:rsid w:val="00EE0131"/>
    <w:rsid w:val="00EE17B0"/>
    <w:rsid w:val="00EE1B84"/>
    <w:rsid w:val="00EF06D9"/>
    <w:rsid w:val="00EF23E9"/>
    <w:rsid w:val="00EF2AA0"/>
    <w:rsid w:val="00EF504B"/>
    <w:rsid w:val="00EF5C4C"/>
    <w:rsid w:val="00EF714B"/>
    <w:rsid w:val="00F02402"/>
    <w:rsid w:val="00F06130"/>
    <w:rsid w:val="00F07DA3"/>
    <w:rsid w:val="00F15524"/>
    <w:rsid w:val="00F2031B"/>
    <w:rsid w:val="00F224B9"/>
    <w:rsid w:val="00F2262A"/>
    <w:rsid w:val="00F3049E"/>
    <w:rsid w:val="00F30C64"/>
    <w:rsid w:val="00F32BA2"/>
    <w:rsid w:val="00F32CDB"/>
    <w:rsid w:val="00F3486B"/>
    <w:rsid w:val="00F41EE4"/>
    <w:rsid w:val="00F47367"/>
    <w:rsid w:val="00F50F96"/>
    <w:rsid w:val="00F541B9"/>
    <w:rsid w:val="00F565FE"/>
    <w:rsid w:val="00F57072"/>
    <w:rsid w:val="00F63A70"/>
    <w:rsid w:val="00F63D8C"/>
    <w:rsid w:val="00F6519E"/>
    <w:rsid w:val="00F7534E"/>
    <w:rsid w:val="00F77BC1"/>
    <w:rsid w:val="00F90EE4"/>
    <w:rsid w:val="00F93E0E"/>
    <w:rsid w:val="00F93EDF"/>
    <w:rsid w:val="00FA1802"/>
    <w:rsid w:val="00FA21D0"/>
    <w:rsid w:val="00FA2664"/>
    <w:rsid w:val="00FA47D2"/>
    <w:rsid w:val="00FA5F5F"/>
    <w:rsid w:val="00FB509F"/>
    <w:rsid w:val="00FB730C"/>
    <w:rsid w:val="00FC2695"/>
    <w:rsid w:val="00FC3E03"/>
    <w:rsid w:val="00FC3FC1"/>
    <w:rsid w:val="00FC701E"/>
    <w:rsid w:val="00FD07E8"/>
    <w:rsid w:val="00FD0F59"/>
    <w:rsid w:val="00FD3F41"/>
    <w:rsid w:val="00FF6175"/>
    <w:rsid w:val="00FF7701"/>
    <w:rsid w:val="00FF7F4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9E80BE64-6892-4809-9BE4-7848FE048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after="240"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paragraph" w:customStyle="1" w:styleId="Default">
    <w:name w:val="Default"/>
    <w:rsid w:val="0066317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Strong">
    <w:name w:val="Strong"/>
    <w:basedOn w:val="DefaultParagraphFont"/>
    <w:uiPriority w:val="22"/>
    <w:qFormat/>
    <w:rsid w:val="00A45D59"/>
    <w:rPr>
      <w:b/>
      <w:bCs/>
    </w:rPr>
  </w:style>
  <w:style w:type="character" w:customStyle="1" w:styleId="katex-mathml">
    <w:name w:val="katex-mathml"/>
    <w:basedOn w:val="DefaultParagraphFont"/>
    <w:rsid w:val="00D05274"/>
  </w:style>
  <w:style w:type="character" w:customStyle="1" w:styleId="mord">
    <w:name w:val="mord"/>
    <w:basedOn w:val="DefaultParagraphFont"/>
    <w:rsid w:val="00D05274"/>
  </w:style>
  <w:style w:type="character" w:customStyle="1" w:styleId="mopen">
    <w:name w:val="mopen"/>
    <w:basedOn w:val="DefaultParagraphFont"/>
    <w:rsid w:val="00D05274"/>
  </w:style>
  <w:style w:type="character" w:customStyle="1" w:styleId="mclose">
    <w:name w:val="mclose"/>
    <w:basedOn w:val="DefaultParagraphFont"/>
    <w:rsid w:val="00D05274"/>
  </w:style>
  <w:style w:type="character" w:customStyle="1" w:styleId="vlist-s">
    <w:name w:val="vlist-s"/>
    <w:basedOn w:val="DefaultParagraphFont"/>
    <w:rsid w:val="00D05274"/>
  </w:style>
  <w:style w:type="character" w:customStyle="1" w:styleId="mbin">
    <w:name w:val="mbin"/>
    <w:basedOn w:val="DefaultParagraphFont"/>
    <w:rsid w:val="00D05274"/>
  </w:style>
  <w:style w:type="character" w:customStyle="1" w:styleId="mrel">
    <w:name w:val="mrel"/>
    <w:basedOn w:val="DefaultParagraphFont"/>
    <w:rsid w:val="00D05274"/>
  </w:style>
  <w:style w:type="paragraph" w:styleId="Revision">
    <w:name w:val="Revision"/>
    <w:hidden/>
    <w:uiPriority w:val="99"/>
    <w:semiHidden/>
    <w:rsid w:val="00E74A8F"/>
    <w:pPr>
      <w:spacing w:after="0" w:line="240" w:lineRule="auto"/>
    </w:pPr>
    <w:rPr>
      <w:rFonts w:ascii="Arial" w:eastAsia="Times New Roman" w:hAnsi="Arial" w:cs="Times New Roman"/>
      <w:sz w:val="18"/>
      <w:szCs w:val="20"/>
      <w:lang w:val="en-GB"/>
    </w:rPr>
  </w:style>
  <w:style w:type="character" w:styleId="UnresolvedMention">
    <w:name w:val="Unresolved Mention"/>
    <w:basedOn w:val="DefaultParagraphFont"/>
    <w:uiPriority w:val="99"/>
    <w:semiHidden/>
    <w:unhideWhenUsed/>
    <w:rsid w:val="00D243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43020">
      <w:bodyDiv w:val="1"/>
      <w:marLeft w:val="0"/>
      <w:marRight w:val="0"/>
      <w:marTop w:val="0"/>
      <w:marBottom w:val="0"/>
      <w:divBdr>
        <w:top w:val="none" w:sz="0" w:space="0" w:color="auto"/>
        <w:left w:val="none" w:sz="0" w:space="0" w:color="auto"/>
        <w:bottom w:val="none" w:sz="0" w:space="0" w:color="auto"/>
        <w:right w:val="none" w:sz="0" w:space="0" w:color="auto"/>
      </w:divBdr>
    </w:div>
    <w:div w:id="433788055">
      <w:bodyDiv w:val="1"/>
      <w:marLeft w:val="0"/>
      <w:marRight w:val="0"/>
      <w:marTop w:val="0"/>
      <w:marBottom w:val="0"/>
      <w:divBdr>
        <w:top w:val="none" w:sz="0" w:space="0" w:color="auto"/>
        <w:left w:val="none" w:sz="0" w:space="0" w:color="auto"/>
        <w:bottom w:val="none" w:sz="0" w:space="0" w:color="auto"/>
        <w:right w:val="none" w:sz="0" w:space="0" w:color="auto"/>
      </w:divBdr>
      <w:divsChild>
        <w:div w:id="794719481">
          <w:marLeft w:val="0"/>
          <w:marRight w:val="0"/>
          <w:marTop w:val="0"/>
          <w:marBottom w:val="0"/>
          <w:divBdr>
            <w:top w:val="none" w:sz="0" w:space="0" w:color="auto"/>
            <w:left w:val="none" w:sz="0" w:space="0" w:color="auto"/>
            <w:bottom w:val="none" w:sz="0" w:space="0" w:color="auto"/>
            <w:right w:val="none" w:sz="0" w:space="0" w:color="auto"/>
          </w:divBdr>
        </w:div>
      </w:divsChild>
    </w:div>
    <w:div w:id="525674335">
      <w:bodyDiv w:val="1"/>
      <w:marLeft w:val="0"/>
      <w:marRight w:val="0"/>
      <w:marTop w:val="0"/>
      <w:marBottom w:val="0"/>
      <w:divBdr>
        <w:top w:val="none" w:sz="0" w:space="0" w:color="auto"/>
        <w:left w:val="none" w:sz="0" w:space="0" w:color="auto"/>
        <w:bottom w:val="none" w:sz="0" w:space="0" w:color="auto"/>
        <w:right w:val="none" w:sz="0" w:space="0" w:color="auto"/>
      </w:divBdr>
    </w:div>
    <w:div w:id="536088068">
      <w:bodyDiv w:val="1"/>
      <w:marLeft w:val="0"/>
      <w:marRight w:val="0"/>
      <w:marTop w:val="0"/>
      <w:marBottom w:val="0"/>
      <w:divBdr>
        <w:top w:val="none" w:sz="0" w:space="0" w:color="auto"/>
        <w:left w:val="none" w:sz="0" w:space="0" w:color="auto"/>
        <w:bottom w:val="none" w:sz="0" w:space="0" w:color="auto"/>
        <w:right w:val="none" w:sz="0" w:space="0" w:color="auto"/>
      </w:divBdr>
    </w:div>
    <w:div w:id="595016899">
      <w:bodyDiv w:val="1"/>
      <w:marLeft w:val="0"/>
      <w:marRight w:val="0"/>
      <w:marTop w:val="0"/>
      <w:marBottom w:val="0"/>
      <w:divBdr>
        <w:top w:val="none" w:sz="0" w:space="0" w:color="auto"/>
        <w:left w:val="none" w:sz="0" w:space="0" w:color="auto"/>
        <w:bottom w:val="none" w:sz="0" w:space="0" w:color="auto"/>
        <w:right w:val="none" w:sz="0" w:space="0" w:color="auto"/>
      </w:divBdr>
    </w:div>
    <w:div w:id="61625394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565491">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8594732">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01696">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5426">
      <w:bodyDiv w:val="1"/>
      <w:marLeft w:val="0"/>
      <w:marRight w:val="0"/>
      <w:marTop w:val="0"/>
      <w:marBottom w:val="0"/>
      <w:divBdr>
        <w:top w:val="none" w:sz="0" w:space="0" w:color="auto"/>
        <w:left w:val="none" w:sz="0" w:space="0" w:color="auto"/>
        <w:bottom w:val="none" w:sz="0" w:space="0" w:color="auto"/>
        <w:right w:val="none" w:sz="0" w:space="0" w:color="auto"/>
      </w:divBdr>
    </w:div>
    <w:div w:id="1714815380">
      <w:bodyDiv w:val="1"/>
      <w:marLeft w:val="0"/>
      <w:marRight w:val="0"/>
      <w:marTop w:val="0"/>
      <w:marBottom w:val="0"/>
      <w:divBdr>
        <w:top w:val="none" w:sz="0" w:space="0" w:color="auto"/>
        <w:left w:val="none" w:sz="0" w:space="0" w:color="auto"/>
        <w:bottom w:val="none" w:sz="0" w:space="0" w:color="auto"/>
        <w:right w:val="none" w:sz="0" w:space="0" w:color="auto"/>
      </w:divBdr>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97142620">
      <w:bodyDiv w:val="1"/>
      <w:marLeft w:val="0"/>
      <w:marRight w:val="0"/>
      <w:marTop w:val="0"/>
      <w:marBottom w:val="0"/>
      <w:divBdr>
        <w:top w:val="none" w:sz="0" w:space="0" w:color="auto"/>
        <w:left w:val="none" w:sz="0" w:space="0" w:color="auto"/>
        <w:bottom w:val="none" w:sz="0" w:space="0" w:color="auto"/>
        <w:right w:val="none" w:sz="0" w:space="0" w:color="auto"/>
      </w:divBdr>
    </w:div>
    <w:div w:id="182119122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299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github.com/AdaRobinsonMedici/AspenPlus-Brightway-LCA-Platfor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5234</Words>
  <Characters>36272</Characters>
  <Application>Microsoft Office Word</Application>
  <DocSecurity>0</DocSecurity>
  <Lines>711</Lines>
  <Paragraphs>251</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41255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Ada Robinson Medici</cp:lastModifiedBy>
  <cp:revision>7</cp:revision>
  <cp:lastPrinted>2025-03-18T22:21:00Z</cp:lastPrinted>
  <dcterms:created xsi:type="dcterms:W3CDTF">2025-07-28T15:56:00Z</dcterms:created>
  <dcterms:modified xsi:type="dcterms:W3CDTF">2025-07-28T16:45:00Z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id="eJtt9tLX"/&gt;&lt;style id="http://www.zotero.org/styles/harvard-university-of-leeds" hasBibliography="1" bibliographyStyleHasBeenSet="1"/&gt;&lt;prefs&gt;&lt;pref name="fieldType" value="Field"/&gt;&lt;pref name="store</vt:lpwstr>
  </property>
  <property fmtid="{D5CDD505-2E9C-101B-9397-08002B2CF9AE}" pid="3" name="ZOTERO_PREF_2">
    <vt:lpwstr>References" value="true"/&gt;&lt;/prefs&gt;&lt;/data&gt;</vt:lpwstr>
  </property>
</Properties>
</file>