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117037">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117037">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117037">
        <w:trPr>
          <w:trHeight w:val="68"/>
          <w:jc w:val="center"/>
        </w:trPr>
        <w:tc>
          <w:tcPr>
            <w:tcW w:w="8782" w:type="dxa"/>
            <w:gridSpan w:val="2"/>
          </w:tcPr>
          <w:p w14:paraId="1D8DD3C9" w14:textId="0F721BB9" w:rsidR="00AA7D26" w:rsidRPr="008832AA" w:rsidRDefault="00AA7D26" w:rsidP="008832AA">
            <w:pPr>
              <w:ind w:left="-107"/>
              <w:outlineLvl w:val="2"/>
              <w:rPr>
                <w:rFonts w:ascii="Aptos" w:eastAsiaTheme="minorHAnsi" w:hAnsi="Aptos" w:cs="Aptos"/>
                <w:sz w:val="22"/>
                <w:szCs w:val="22"/>
                <w:lang w:val="it-IT"/>
                <w14:ligatures w14:val="standardContextual"/>
              </w:rPr>
            </w:pPr>
            <w:r w:rsidRPr="007D610D">
              <w:rPr>
                <w:rFonts w:ascii="Tahoma" w:hAnsi="Tahoma" w:cs="Tahoma"/>
                <w:iCs/>
                <w:color w:val="333333"/>
                <w:sz w:val="14"/>
                <w:szCs w:val="14"/>
                <w:lang w:val="it-IT" w:eastAsia="it-IT"/>
              </w:rPr>
              <w:t>Guest Editors:</w:t>
            </w:r>
            <w:r w:rsidR="008832AA" w:rsidRPr="008832AA">
              <w:rPr>
                <w:rFonts w:ascii="Aptos" w:eastAsiaTheme="minorHAnsi" w:hAnsi="Aptos" w:cs="Aptos"/>
                <w:sz w:val="22"/>
                <w:szCs w:val="22"/>
                <w:lang w:val="it-IT"/>
              </w:rPr>
              <w:t xml:space="preserve"> </w:t>
            </w:r>
            <w:r w:rsidR="008832AA" w:rsidRPr="008832AA">
              <w:rPr>
                <w:rFonts w:ascii="Tahoma" w:eastAsiaTheme="minorHAnsi" w:hAnsi="Tahoma" w:cs="Tahoma"/>
                <w:sz w:val="14"/>
                <w:szCs w:val="14"/>
                <w:lang w:val="it-IT"/>
                <w14:ligatures w14:val="standardContextual"/>
              </w:rPr>
              <w:t>David Bogle, Flavio Manenti, Piero Salatino</w:t>
            </w:r>
          </w:p>
          <w:p w14:paraId="1B0F1814" w14:textId="39433521"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3904D3">
              <w:rPr>
                <w:rFonts w:ascii="Tahoma" w:hAnsi="Tahoma" w:cs="Tahoma"/>
                <w:sz w:val="14"/>
                <w:szCs w:val="14"/>
              </w:rPr>
              <w:t>21</w:t>
            </w:r>
            <w:r w:rsidR="003B49CD" w:rsidRPr="003904D3">
              <w:rPr>
                <w:rFonts w:ascii="Tahoma" w:hAnsi="Tahoma" w:cs="Tahoma"/>
                <w:sz w:val="14"/>
                <w:szCs w:val="14"/>
              </w:rPr>
              <w:t>-</w:t>
            </w:r>
            <w:r w:rsidR="003904D3">
              <w:rPr>
                <w:rFonts w:ascii="Tahoma" w:hAnsi="Tahoma" w:cs="Tahoma"/>
                <w:sz w:val="14"/>
                <w:szCs w:val="14"/>
              </w:rPr>
              <w:t>2</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1BF05AAC" w:rsidR="00E978D0" w:rsidRPr="00B57B36" w:rsidRDefault="00117037" w:rsidP="00E978D0">
      <w:pPr>
        <w:pStyle w:val="CETTitle"/>
      </w:pPr>
      <w:r w:rsidRPr="00117037">
        <w:t xml:space="preserve">Circularity of Water, Energy and Carbon Dioxide in the Production of Sustainable Aviation Fuel: </w:t>
      </w:r>
      <w:r w:rsidR="00CF003E" w:rsidRPr="00117037">
        <w:t>A</w:t>
      </w:r>
      <w:r w:rsidRPr="00117037">
        <w:t xml:space="preserve"> Case Study in Northern Europe</w:t>
      </w:r>
    </w:p>
    <w:p w14:paraId="0488FED2" w14:textId="6E5D20BB" w:rsidR="00B57E6F" w:rsidRPr="00EA0855" w:rsidRDefault="00117037" w:rsidP="00B57E6F">
      <w:pPr>
        <w:pStyle w:val="CETAuthors"/>
        <w:rPr>
          <w:lang w:val="it-IT"/>
        </w:rPr>
      </w:pPr>
      <w:r w:rsidRPr="00117037">
        <w:rPr>
          <w:lang w:val="it-IT"/>
        </w:rPr>
        <w:t>Maurizio Cence</w:t>
      </w:r>
      <w:r w:rsidRPr="00EA0855">
        <w:rPr>
          <w:vertAlign w:val="superscript"/>
          <w:lang w:val="it-IT"/>
        </w:rPr>
        <w:t>a</w:t>
      </w:r>
      <w:r w:rsidRPr="00117037">
        <w:rPr>
          <w:lang w:val="it-IT"/>
        </w:rPr>
        <w:t xml:space="preserve"> - Valeria Bernardini</w:t>
      </w:r>
      <w:r w:rsidRPr="00EA0855">
        <w:rPr>
          <w:vertAlign w:val="superscript"/>
          <w:lang w:val="it-IT"/>
        </w:rPr>
        <w:t>a</w:t>
      </w:r>
      <w:r w:rsidRPr="00117037">
        <w:rPr>
          <w:lang w:val="it-IT"/>
        </w:rPr>
        <w:t xml:space="preserve"> - Maria Valeria Ermini</w:t>
      </w:r>
      <w:r w:rsidRPr="00EA0855">
        <w:rPr>
          <w:vertAlign w:val="superscript"/>
          <w:lang w:val="it-IT"/>
        </w:rPr>
        <w:t>a</w:t>
      </w:r>
      <w:r w:rsidRPr="00117037">
        <w:rPr>
          <w:lang w:val="it-IT"/>
        </w:rPr>
        <w:t xml:space="preserve">  - Fabio Francia</w:t>
      </w:r>
      <w:r w:rsidRPr="00EA0855">
        <w:rPr>
          <w:vertAlign w:val="superscript"/>
          <w:lang w:val="it-IT"/>
        </w:rPr>
        <w:t>a</w:t>
      </w:r>
      <w:r w:rsidRPr="00117037">
        <w:rPr>
          <w:lang w:val="it-IT"/>
        </w:rPr>
        <w:t xml:space="preserve"> - Alessandro Bettoni</w:t>
      </w:r>
      <w:r w:rsidRPr="00EA0855">
        <w:rPr>
          <w:vertAlign w:val="superscript"/>
          <w:lang w:val="it-IT"/>
        </w:rPr>
        <w:t>a</w:t>
      </w:r>
      <w:r w:rsidRPr="00117037">
        <w:rPr>
          <w:lang w:val="it-IT"/>
        </w:rPr>
        <w:t xml:space="preserve"> -  Luciano De Gaetano</w:t>
      </w:r>
      <w:r w:rsidRPr="00EA0855">
        <w:rPr>
          <w:vertAlign w:val="superscript"/>
          <w:lang w:val="it-IT"/>
        </w:rPr>
        <w:t>a</w:t>
      </w:r>
      <w:r w:rsidR="005F4E57">
        <w:rPr>
          <w:lang w:val="it-IT"/>
        </w:rPr>
        <w:t xml:space="preserve"> </w:t>
      </w:r>
      <w:r w:rsidR="00EA0855">
        <w:rPr>
          <w:lang w:val="it-IT"/>
        </w:rPr>
        <w:t>–</w:t>
      </w:r>
      <w:r w:rsidR="005F4E57">
        <w:rPr>
          <w:lang w:val="it-IT"/>
        </w:rPr>
        <w:t xml:space="preserve"> </w:t>
      </w:r>
      <w:r w:rsidR="00EA0855">
        <w:rPr>
          <w:lang w:val="it-IT"/>
        </w:rPr>
        <w:t>Marco Verna</w:t>
      </w:r>
      <w:r w:rsidR="00EA0855" w:rsidRPr="00EA0855">
        <w:rPr>
          <w:vertAlign w:val="superscript"/>
          <w:lang w:val="it-IT"/>
        </w:rPr>
        <w:t>a</w:t>
      </w:r>
      <w:r w:rsidR="00EA0855">
        <w:rPr>
          <w:vertAlign w:val="superscript"/>
          <w:lang w:val="it-IT"/>
        </w:rPr>
        <w:t xml:space="preserve"> </w:t>
      </w:r>
      <w:r w:rsidR="00EA0855">
        <w:rPr>
          <w:lang w:val="it-IT"/>
        </w:rPr>
        <w:t>– Luca Giuseppe Campana</w:t>
      </w:r>
      <w:r w:rsidR="00DE3351" w:rsidRPr="00EA0855">
        <w:rPr>
          <w:vertAlign w:val="superscript"/>
          <w:lang w:val="it-IT"/>
        </w:rPr>
        <w:t>a</w:t>
      </w:r>
    </w:p>
    <w:p w14:paraId="3D72B0B0" w14:textId="75DFB67B" w:rsidR="00B57E6F" w:rsidRPr="00117037" w:rsidRDefault="00B57E6F" w:rsidP="00117037">
      <w:pPr>
        <w:pStyle w:val="CETAddress"/>
        <w:rPr>
          <w:lang w:val="it-IT"/>
        </w:rPr>
      </w:pPr>
      <w:r w:rsidRPr="00117037">
        <w:rPr>
          <w:vertAlign w:val="superscript"/>
          <w:lang w:val="it-IT"/>
        </w:rPr>
        <w:t>a</w:t>
      </w:r>
      <w:r w:rsidR="00117037" w:rsidRPr="00117037">
        <w:rPr>
          <w:lang w:val="it-IT"/>
        </w:rPr>
        <w:t xml:space="preserve"> </w:t>
      </w:r>
      <w:r w:rsidRPr="00117037">
        <w:rPr>
          <w:lang w:val="it-IT"/>
        </w:rPr>
        <w:t xml:space="preserve"> </w:t>
      </w:r>
      <w:r w:rsidR="00117037" w:rsidRPr="00117037">
        <w:rPr>
          <w:lang w:val="it-IT"/>
        </w:rPr>
        <w:t>TECHNIP ENERGIES ITALY  Viale Castello della Magliana 68 00148 Roma ITALY</w:t>
      </w:r>
      <w:r w:rsidRPr="00117037">
        <w:rPr>
          <w:lang w:val="it-IT"/>
        </w:rPr>
        <w:t xml:space="preserve"> </w:t>
      </w:r>
    </w:p>
    <w:p w14:paraId="73F1267A" w14:textId="4D38D034" w:rsidR="00B57E6F" w:rsidRPr="00117037" w:rsidRDefault="00B57E6F" w:rsidP="00B57E6F">
      <w:pPr>
        <w:pStyle w:val="CETemail"/>
        <w:rPr>
          <w:lang w:val="it-IT"/>
        </w:rPr>
      </w:pPr>
      <w:r w:rsidRPr="00117037">
        <w:rPr>
          <w:lang w:val="it-IT"/>
        </w:rPr>
        <w:t xml:space="preserve"> </w:t>
      </w:r>
      <w:r w:rsidR="00117037" w:rsidRPr="00117037">
        <w:rPr>
          <w:lang w:val="it-IT"/>
        </w:rPr>
        <w:t>valeria.bernardini@ten.com  maurizio.cence@ten.com  mariavaleria.ermini@ten.com</w:t>
      </w:r>
    </w:p>
    <w:p w14:paraId="1F9839A7" w14:textId="77777777" w:rsidR="00117037" w:rsidRPr="00117037" w:rsidRDefault="00117037" w:rsidP="00117037">
      <w:pPr>
        <w:pStyle w:val="CETBodytext"/>
        <w:rPr>
          <w:lang w:val="en-GB"/>
        </w:rPr>
      </w:pPr>
      <w:r w:rsidRPr="00117037">
        <w:rPr>
          <w:lang w:val="en-GB"/>
        </w:rPr>
        <w:t>To achieve sustainable development, we must emphasize “Energy Transition" across all human activities, with a particular focus on the decarbonization of the air transport sector that alone represented in 2024 approximately2,5% of global CO2 emissions.</w:t>
      </w:r>
    </w:p>
    <w:p w14:paraId="2DE87F08" w14:textId="77777777" w:rsidR="00117037" w:rsidRPr="00117037" w:rsidRDefault="00117037" w:rsidP="00117037">
      <w:pPr>
        <w:pStyle w:val="CETBodytext"/>
        <w:rPr>
          <w:lang w:val="en-GB"/>
        </w:rPr>
      </w:pPr>
      <w:r w:rsidRPr="00117037">
        <w:rPr>
          <w:lang w:val="en-GB"/>
        </w:rPr>
        <w:t xml:space="preserve">Sustainable aviation fuels (SAFs) present a promising solution for decarbonizing air transport, and their use is expected to increase from 2% of global jet fuel demand in 2025 to 65% in 2050. </w:t>
      </w:r>
    </w:p>
    <w:p w14:paraId="4B5E14B2" w14:textId="77777777" w:rsidR="00117037" w:rsidRPr="00117037" w:rsidRDefault="00117037" w:rsidP="00117037">
      <w:pPr>
        <w:pStyle w:val="CETBodytext"/>
        <w:rPr>
          <w:lang w:val="en-GB"/>
        </w:rPr>
      </w:pPr>
      <w:r w:rsidRPr="00117037">
        <w:rPr>
          <w:lang w:val="en-GB"/>
        </w:rPr>
        <w:t xml:space="preserve">Theoretically, SAFs produced with renewable energy and green hydrogen can achieve nearly 100% emission reduction, significantly contributing to CO2 avoidance. However, effective and sustainable air transport decarbonization poses several challenges, such as reducing costs, enhancing supply chain efficiency, certifying new supply chains, and developing infrastructure for storage and distribution. </w:t>
      </w:r>
    </w:p>
    <w:p w14:paraId="734CD2BE" w14:textId="2C679D09" w:rsidR="00117037" w:rsidRPr="00117037" w:rsidRDefault="00117037" w:rsidP="00117037">
      <w:pPr>
        <w:pStyle w:val="CETBodytext"/>
        <w:rPr>
          <w:lang w:val="en-GB"/>
        </w:rPr>
      </w:pPr>
      <w:r w:rsidRPr="00117037">
        <w:rPr>
          <w:lang w:val="en-GB"/>
        </w:rPr>
        <w:t>This analysis examines the sustainability and circularity of a SAF initiative in Northern Europe from carbon, environmental, energy, using a digital tool to compare various scenarios. The benefits of renewables, innovative design and circularity on water and gaseous effluents are shown for different grades of low-impact fuels.</w:t>
      </w:r>
    </w:p>
    <w:p w14:paraId="6893AF25" w14:textId="1E0039DD" w:rsidR="00600535" w:rsidRDefault="00117037" w:rsidP="00117037">
      <w:pPr>
        <w:pStyle w:val="CETBodytext"/>
        <w:rPr>
          <w:lang w:val="en-GB"/>
        </w:rPr>
      </w:pPr>
      <w:r w:rsidRPr="00117037">
        <w:rPr>
          <w:lang w:val="en-GB"/>
        </w:rPr>
        <w:t>Moreover, as transitioning to sustainable fuels requires significant investments in high-tech plants and infrastructure, the selected SAF design has been assessed for the accessibility of EU private and public funding opportunities in 2025-2030.</w:t>
      </w:r>
    </w:p>
    <w:p w14:paraId="476B2F2E" w14:textId="52B36035" w:rsidR="00600535" w:rsidRPr="00B57B36" w:rsidRDefault="00600535" w:rsidP="00600535">
      <w:pPr>
        <w:pStyle w:val="CETHeading1"/>
        <w:rPr>
          <w:lang w:val="en-GB"/>
        </w:rPr>
      </w:pPr>
      <w:r w:rsidRPr="00B57B36">
        <w:rPr>
          <w:lang w:val="en-GB"/>
        </w:rPr>
        <w:t>Introduction</w:t>
      </w:r>
    </w:p>
    <w:p w14:paraId="7994B78A" w14:textId="588D695C" w:rsidR="00117037" w:rsidRPr="00117037" w:rsidRDefault="00117037" w:rsidP="00117037">
      <w:pPr>
        <w:pStyle w:val="CETBodytext"/>
        <w:rPr>
          <w:lang w:val="en-GB"/>
        </w:rPr>
      </w:pPr>
      <w:r w:rsidRPr="00117037">
        <w:rPr>
          <w:lang w:val="en-GB"/>
        </w:rPr>
        <w:t>According to the most recent energy Transition Literature, most emission cuts by 2050 will come from new fuels and aviation technologies, including liquid hydrogen fuel</w:t>
      </w:r>
      <w:r w:rsidR="006327E2">
        <w:rPr>
          <w:lang w:val="en-GB"/>
        </w:rPr>
        <w:t xml:space="preserve"> (</w:t>
      </w:r>
      <w:r w:rsidR="006940BF">
        <w:rPr>
          <w:lang w:val="en-GB"/>
        </w:rPr>
        <w:t xml:space="preserve">EIA, 2025; </w:t>
      </w:r>
      <w:r w:rsidR="006327E2">
        <w:rPr>
          <w:lang w:val="en-GB"/>
        </w:rPr>
        <w:t>AFDC</w:t>
      </w:r>
      <w:r w:rsidR="00F94DEB">
        <w:rPr>
          <w:lang w:val="en-GB"/>
        </w:rPr>
        <w:t>, 2025)</w:t>
      </w:r>
      <w:r w:rsidRPr="00117037">
        <w:rPr>
          <w:lang w:val="en-GB"/>
        </w:rPr>
        <w:t>.</w:t>
      </w:r>
    </w:p>
    <w:p w14:paraId="595230D4" w14:textId="5B6E635A" w:rsidR="00117037" w:rsidRPr="00117037" w:rsidRDefault="00117037" w:rsidP="00117037">
      <w:pPr>
        <w:pStyle w:val="CETBodytext"/>
        <w:rPr>
          <w:lang w:val="en-GB"/>
        </w:rPr>
      </w:pPr>
      <w:r w:rsidRPr="00117037">
        <w:rPr>
          <w:lang w:val="en-GB"/>
        </w:rPr>
        <w:t xml:space="preserve"> eFuels are synthetic fuels like eGasoline, eDiesel, eKerosene, and eMethanol, produced from renewable sources or decarbonized electricity. They are made by generating Green Hydrogen through electrolysis, which is then combined with CO2 using processes like Fischer-Tropsch synthesis to create synthetic crude, later refined into various fuels. This Power-to-Liquid (PtL) process ensures climate neutrality. Among the eFuels</w:t>
      </w:r>
      <w:r w:rsidR="00716E0D">
        <w:rPr>
          <w:lang w:val="en-GB"/>
        </w:rPr>
        <w:t>,</w:t>
      </w:r>
      <w:r w:rsidRPr="00117037">
        <w:rPr>
          <w:lang w:val="en-GB"/>
        </w:rPr>
        <w:t xml:space="preserve"> Sustainable Aviation Fuels (SAF) are jet fuels derived from renewable </w:t>
      </w:r>
      <w:r w:rsidR="00716E0D">
        <w:rPr>
          <w:lang w:val="en-GB"/>
        </w:rPr>
        <w:t xml:space="preserve">and biogenic </w:t>
      </w:r>
      <w:r w:rsidRPr="00117037">
        <w:rPr>
          <w:lang w:val="en-GB"/>
        </w:rPr>
        <w:t>sources, used in aircraft engines. SAF is crucial for decarbonizing aviation, especially for long-haul flights where alternatives like electric or hydrogen-powered flights are impractical</w:t>
      </w:r>
      <w:r w:rsidR="00C36AF1">
        <w:rPr>
          <w:lang w:val="en-GB"/>
        </w:rPr>
        <w:t xml:space="preserve"> (Prussi </w:t>
      </w:r>
      <w:r w:rsidR="00C36AF1" w:rsidRPr="00C36AF1">
        <w:rPr>
          <w:i/>
          <w:iCs/>
          <w:lang w:val="en-GB"/>
        </w:rPr>
        <w:t>et al,</w:t>
      </w:r>
      <w:r w:rsidR="00C36AF1">
        <w:rPr>
          <w:lang w:val="en-GB"/>
        </w:rPr>
        <w:t xml:space="preserve"> 2021)</w:t>
      </w:r>
      <w:r w:rsidRPr="00117037">
        <w:rPr>
          <w:lang w:val="en-GB"/>
        </w:rPr>
        <w:t xml:space="preserve">. SAF can be used in current engines, with tests showing 100% compatibility, though currently certified for up to 50% blends with conventional jet fuel. </w:t>
      </w:r>
    </w:p>
    <w:p w14:paraId="41280D0E" w14:textId="77777777" w:rsidR="00117037" w:rsidRPr="00117037" w:rsidRDefault="00117037" w:rsidP="00117037">
      <w:pPr>
        <w:pStyle w:val="CETBodytext"/>
        <w:rPr>
          <w:lang w:val="en-GB"/>
        </w:rPr>
      </w:pPr>
      <w:r w:rsidRPr="00117037">
        <w:rPr>
          <w:lang w:val="en-GB"/>
        </w:rPr>
        <w:t>The EU supports increasing eFuels in SAF blends until 2050., however, the transition to sustainable fuels requires substantial investments in high-tech plants. Recent challenges like the pandemic, energy crisis, and geopolitical conflicts have stressed the aviation sector, highlighting the need for policy and technological advancements across all transport segments to lower production costs and improve competitiveness.</w:t>
      </w:r>
    </w:p>
    <w:p w14:paraId="3889BC56" w14:textId="77777777" w:rsidR="00117037" w:rsidRPr="00117037" w:rsidRDefault="00117037" w:rsidP="00117037">
      <w:pPr>
        <w:pStyle w:val="CETBodytext"/>
        <w:rPr>
          <w:lang w:val="en-GB"/>
        </w:rPr>
      </w:pPr>
      <w:r w:rsidRPr="00117037">
        <w:rPr>
          <w:lang w:val="en-GB"/>
        </w:rPr>
        <w:t>To accelerate the decarbonization of the civil aviation sector, we need to focus on several key areas:</w:t>
      </w:r>
    </w:p>
    <w:p w14:paraId="170AF873" w14:textId="5DFB04D9" w:rsidR="00117037" w:rsidRPr="00117037" w:rsidRDefault="00117037" w:rsidP="00117037">
      <w:pPr>
        <w:pStyle w:val="CETBodytext"/>
        <w:numPr>
          <w:ilvl w:val="0"/>
          <w:numId w:val="24"/>
        </w:numPr>
        <w:jc w:val="left"/>
        <w:rPr>
          <w:lang w:val="en-GB"/>
        </w:rPr>
      </w:pPr>
      <w:r w:rsidRPr="00117037">
        <w:rPr>
          <w:lang w:val="en-GB"/>
        </w:rPr>
        <w:t>Reduce costs.</w:t>
      </w:r>
    </w:p>
    <w:p w14:paraId="1AEA1904" w14:textId="503AEFA9" w:rsidR="00117037" w:rsidRPr="00117037" w:rsidRDefault="00117037" w:rsidP="00117037">
      <w:pPr>
        <w:pStyle w:val="CETBodytext"/>
        <w:numPr>
          <w:ilvl w:val="0"/>
          <w:numId w:val="24"/>
        </w:numPr>
        <w:jc w:val="left"/>
        <w:rPr>
          <w:lang w:val="en-GB"/>
        </w:rPr>
      </w:pPr>
      <w:r w:rsidRPr="00117037">
        <w:rPr>
          <w:lang w:val="en-GB"/>
        </w:rPr>
        <w:t>Improve the supply chain, regardless of its current state.</w:t>
      </w:r>
    </w:p>
    <w:p w14:paraId="21CE5BA3" w14:textId="77F59CF4" w:rsidR="00117037" w:rsidRPr="00117037" w:rsidRDefault="00117037" w:rsidP="00117037">
      <w:pPr>
        <w:pStyle w:val="CETBodytext"/>
        <w:numPr>
          <w:ilvl w:val="0"/>
          <w:numId w:val="24"/>
        </w:numPr>
        <w:jc w:val="left"/>
        <w:rPr>
          <w:lang w:val="en-GB"/>
        </w:rPr>
      </w:pPr>
      <w:r w:rsidRPr="00117037">
        <w:rPr>
          <w:lang w:val="en-GB"/>
        </w:rPr>
        <w:lastRenderedPageBreak/>
        <w:t>Enhance the maturity level of technology.</w:t>
      </w:r>
    </w:p>
    <w:p w14:paraId="049E4400" w14:textId="411EB801" w:rsidR="00117037" w:rsidRPr="00117037" w:rsidRDefault="00117037" w:rsidP="00117037">
      <w:pPr>
        <w:pStyle w:val="CETBodytext"/>
        <w:numPr>
          <w:ilvl w:val="0"/>
          <w:numId w:val="24"/>
        </w:numPr>
        <w:jc w:val="left"/>
        <w:rPr>
          <w:lang w:val="en-GB"/>
        </w:rPr>
      </w:pPr>
      <w:r w:rsidRPr="00117037">
        <w:rPr>
          <w:lang w:val="en-GB"/>
        </w:rPr>
        <w:t>Develop and bring nascent supply chains to a commercial scale.</w:t>
      </w:r>
    </w:p>
    <w:p w14:paraId="46A367ED" w14:textId="761719CA" w:rsidR="00117037" w:rsidRPr="00117037" w:rsidRDefault="00117037" w:rsidP="00117037">
      <w:pPr>
        <w:pStyle w:val="CETBodytext"/>
        <w:numPr>
          <w:ilvl w:val="0"/>
          <w:numId w:val="24"/>
        </w:numPr>
        <w:jc w:val="left"/>
        <w:rPr>
          <w:lang w:val="en-GB"/>
        </w:rPr>
      </w:pPr>
      <w:r w:rsidRPr="00117037">
        <w:rPr>
          <w:lang w:val="en-GB"/>
        </w:rPr>
        <w:t>Certify those supply chains that are currently uncertified.</w:t>
      </w:r>
    </w:p>
    <w:p w14:paraId="05D6C438" w14:textId="270491F0" w:rsidR="00117037" w:rsidRPr="00117037" w:rsidRDefault="00117037" w:rsidP="00117037">
      <w:pPr>
        <w:pStyle w:val="CETBodytext"/>
        <w:numPr>
          <w:ilvl w:val="0"/>
          <w:numId w:val="24"/>
        </w:numPr>
        <w:jc w:val="left"/>
        <w:rPr>
          <w:lang w:val="en-GB"/>
        </w:rPr>
      </w:pPr>
      <w:r w:rsidRPr="00117037">
        <w:rPr>
          <w:lang w:val="en-GB"/>
        </w:rPr>
        <w:t>Establish storage and distribution infrastructure at airports, as well as infrastructure that connects production, distribution, and use.</w:t>
      </w:r>
    </w:p>
    <w:p w14:paraId="758D7232" w14:textId="1A341B07" w:rsidR="00117037" w:rsidRPr="002A1D7B" w:rsidRDefault="00117037" w:rsidP="00117037">
      <w:pPr>
        <w:pStyle w:val="CETBodytext"/>
        <w:numPr>
          <w:ilvl w:val="0"/>
          <w:numId w:val="24"/>
        </w:numPr>
        <w:jc w:val="left"/>
        <w:rPr>
          <w:lang w:val="en-GB"/>
        </w:rPr>
      </w:pPr>
      <w:r w:rsidRPr="00117037">
        <w:rPr>
          <w:lang w:val="en-GB"/>
        </w:rPr>
        <w:t>Coordinate and align the international regulatory framework with the European system, which is a complex but essential task.</w:t>
      </w:r>
    </w:p>
    <w:p w14:paraId="2E5F1175" w14:textId="4E62EB83" w:rsidR="00117037" w:rsidRDefault="00117037" w:rsidP="00117037">
      <w:pPr>
        <w:pStyle w:val="CETBodytext"/>
        <w:rPr>
          <w:lang w:val="en-GB"/>
        </w:rPr>
      </w:pPr>
      <w:r w:rsidRPr="00117037">
        <w:rPr>
          <w:lang w:val="en-GB"/>
        </w:rPr>
        <w:t>The case study discusses these aspects, highlighting both advantages and drawbacks. Technological optimization can reduce raw material use and increase production efficiency, making it more competitive. Renewable energy is crucial, despite being energy-intensive, as it impacts only initial costs. Therefore, integrating green hydrogen and technology can significantly contribute to sustainable development in aviation</w:t>
      </w:r>
    </w:p>
    <w:p w14:paraId="5741900F" w14:textId="7EAA45E5" w:rsidR="00453E24" w:rsidRDefault="00117037" w:rsidP="00453E24">
      <w:pPr>
        <w:pStyle w:val="CETHeading1"/>
      </w:pPr>
      <w:r>
        <w:t>Methodology</w:t>
      </w:r>
    </w:p>
    <w:p w14:paraId="1A438394" w14:textId="77777777" w:rsidR="0060270D" w:rsidRDefault="00117037" w:rsidP="00B769EC">
      <w:pPr>
        <w:pStyle w:val="CETBodytext"/>
      </w:pPr>
      <w:r>
        <w:t xml:space="preserve">In this study, the shortlisted configurations have been </w:t>
      </w:r>
      <w:r w:rsidR="00530563">
        <w:t>studied, analyzed</w:t>
      </w:r>
      <w:r>
        <w:t xml:space="preserve"> and compared through a CEE&amp;C Model</w:t>
      </w:r>
      <w:r w:rsidR="00183076">
        <w:t xml:space="preserve"> (Ermini</w:t>
      </w:r>
      <w:r w:rsidR="00957A24">
        <w:t>,</w:t>
      </w:r>
      <w:r w:rsidR="00183076">
        <w:t xml:space="preserve"> </w:t>
      </w:r>
      <w:r w:rsidR="00183076" w:rsidRPr="009A1DBE">
        <w:rPr>
          <w:i/>
          <w:iCs/>
        </w:rPr>
        <w:t>et all</w:t>
      </w:r>
      <w:r w:rsidR="00183076">
        <w:t xml:space="preserve">, 2023).  </w:t>
      </w:r>
      <w:r>
        <w:t xml:space="preserve">The CEE&amp;C Model is a Life Cycle (LCA) Environmental Energy &amp; Climate Footprint with associated Costs Model that can </w:t>
      </w:r>
      <w:r w:rsidR="00530563">
        <w:t>sustain</w:t>
      </w:r>
      <w:r>
        <w:t xml:space="preserve"> a Decarbonization and Energy Transition Strategy. </w:t>
      </w:r>
    </w:p>
    <w:p w14:paraId="3E81250E" w14:textId="102C9B03" w:rsidR="00117037" w:rsidRDefault="00117037" w:rsidP="00B769EC">
      <w:pPr>
        <w:pStyle w:val="CETBodytext"/>
      </w:pPr>
      <w:r>
        <w:t xml:space="preserve">Through CEE&amp;C model, it is possible to </w:t>
      </w:r>
      <w:r w:rsidR="00B769EC">
        <w:t>show</w:t>
      </w:r>
      <w:r>
        <w:t xml:space="preserve"> the primary contributors to the project GHG impact and to </w:t>
      </w:r>
      <w:r w:rsidR="002D1542">
        <w:t>valorize</w:t>
      </w:r>
      <w:r>
        <w:t xml:space="preserve"> </w:t>
      </w:r>
      <w:r w:rsidR="00B769EC">
        <w:t>the best</w:t>
      </w:r>
      <w:r>
        <w:t xml:space="preserve"> ET solution in a Carbon Footprint Reduction Strategy. The model considers two different LCA boundaries in a wider Project to Context Decarbonization Assessment:</w:t>
      </w:r>
    </w:p>
    <w:p w14:paraId="7B77504A" w14:textId="20A2A1A5" w:rsidR="00117037" w:rsidRDefault="00117037" w:rsidP="00B769EC">
      <w:pPr>
        <w:pStyle w:val="CETBodytext"/>
        <w:numPr>
          <w:ilvl w:val="0"/>
          <w:numId w:val="26"/>
        </w:numPr>
      </w:pPr>
      <w:r>
        <w:t xml:space="preserve">Unit Boundary (such as Technology) </w:t>
      </w:r>
    </w:p>
    <w:p w14:paraId="2B502EA8" w14:textId="424E7DEF" w:rsidR="00117037" w:rsidRDefault="00117037" w:rsidP="00B769EC">
      <w:pPr>
        <w:pStyle w:val="CETBodytext"/>
        <w:numPr>
          <w:ilvl w:val="0"/>
          <w:numId w:val="26"/>
        </w:numPr>
      </w:pPr>
      <w:r>
        <w:t>System Boundary for decarbonization (such as ET Integration in an existing Industrial area and fossil fuel substitution)</w:t>
      </w:r>
    </w:p>
    <w:p w14:paraId="3E1A9B9A" w14:textId="4ADB442D" w:rsidR="00117037" w:rsidRDefault="00117037" w:rsidP="00B769EC">
      <w:pPr>
        <w:pStyle w:val="CETBodytext"/>
      </w:pPr>
      <w:r>
        <w:t xml:space="preserve">Shortlisted options are assessed for preliminary Energy and Climate screening criteria designed to </w:t>
      </w:r>
      <w:r w:rsidR="00B769EC">
        <w:t>find</w:t>
      </w:r>
      <w:r>
        <w:t xml:space="preserve"> the primary energy factors and greenhouse gas (GHG) contributors and </w:t>
      </w:r>
      <w:proofErr w:type="gramStart"/>
      <w:r>
        <w:t>is</w:t>
      </w:r>
      <w:proofErr w:type="gramEnd"/>
      <w:r>
        <w:t xml:space="preserve"> characterized by key Energy and CO2eq emission Indicators by Scope (Absolute and Intensity Key Performance Indicators, KPIs).</w:t>
      </w:r>
    </w:p>
    <w:p w14:paraId="1DD0421B" w14:textId="188FB785" w:rsidR="00117037" w:rsidRDefault="00117037" w:rsidP="00B769EC">
      <w:pPr>
        <w:pStyle w:val="CETBodytext"/>
      </w:pPr>
      <w:r>
        <w:t xml:space="preserve">Environmental impact criteria </w:t>
      </w:r>
      <w:r w:rsidR="00B769EC">
        <w:t>are</w:t>
      </w:r>
      <w:r>
        <w:t xml:space="preserve"> assessed by considering:</w:t>
      </w:r>
    </w:p>
    <w:p w14:paraId="5984D382" w14:textId="584223EC" w:rsidR="00117037" w:rsidRDefault="00117037" w:rsidP="00B769EC">
      <w:pPr>
        <w:pStyle w:val="CETBodytext"/>
        <w:numPr>
          <w:ilvl w:val="0"/>
          <w:numId w:val="27"/>
        </w:numPr>
      </w:pPr>
      <w:r>
        <w:t>Energy and Fuel streams by type and origin</w:t>
      </w:r>
    </w:p>
    <w:p w14:paraId="57B309ED" w14:textId="7C68F65D" w:rsidR="00117037" w:rsidRDefault="00117037" w:rsidP="00B769EC">
      <w:pPr>
        <w:pStyle w:val="CETBodytext"/>
        <w:numPr>
          <w:ilvl w:val="0"/>
          <w:numId w:val="27"/>
        </w:numPr>
      </w:pPr>
      <w:r>
        <w:t>Feedstock consumption and circularity of by products</w:t>
      </w:r>
    </w:p>
    <w:p w14:paraId="09406386" w14:textId="65D011FD" w:rsidR="00453E24" w:rsidRDefault="00117037" w:rsidP="00B769EC">
      <w:pPr>
        <w:pStyle w:val="CETBodytext"/>
        <w:numPr>
          <w:ilvl w:val="0"/>
          <w:numId w:val="27"/>
        </w:numPr>
      </w:pPr>
      <w:r>
        <w:t>Water and wastewater circularity</w:t>
      </w:r>
      <w:r w:rsidR="00453E24">
        <w:t>.</w:t>
      </w:r>
    </w:p>
    <w:p w14:paraId="49BF96F1" w14:textId="04B89B1C" w:rsidR="00117037" w:rsidRDefault="00117037" w:rsidP="00B769EC">
      <w:pPr>
        <w:pStyle w:val="CETBodytext"/>
      </w:pPr>
      <w:r w:rsidRPr="00117037">
        <w:t xml:space="preserve">The Output of the model is a set of KPIs including key Environmental, Energy and Carbon indicators by Absolute Avoidance, Intensity </w:t>
      </w:r>
      <w:r w:rsidR="00EE2F73" w:rsidRPr="00117037">
        <w:t xml:space="preserve">and </w:t>
      </w:r>
      <w:r w:rsidRPr="00117037">
        <w:t>Cradle-to-Grave, as well as the Levelized Cost of Carbon Abatement aligned to Literature</w:t>
      </w:r>
      <w:r w:rsidR="0060270D">
        <w:t xml:space="preserve"> (</w:t>
      </w:r>
      <w:r w:rsidR="0060270D" w:rsidRPr="0060270D">
        <w:rPr>
          <w:i/>
          <w:iCs/>
        </w:rPr>
        <w:t>Malina et al</w:t>
      </w:r>
      <w:r w:rsidR="0060270D">
        <w:t xml:space="preserve">. </w:t>
      </w:r>
      <w:r w:rsidR="00567074">
        <w:t>2022)</w:t>
      </w:r>
      <w:r w:rsidRPr="00117037">
        <w:t xml:space="preserve">, relevant and requested today by institutions and advisors to </w:t>
      </w:r>
      <w:proofErr w:type="gramStart"/>
      <w:r w:rsidRPr="00117037">
        <w:t>access to</w:t>
      </w:r>
      <w:proofErr w:type="gramEnd"/>
      <w:r w:rsidRPr="00117037">
        <w:t xml:space="preserve"> Climate Finance and Funding opportunities</w:t>
      </w:r>
    </w:p>
    <w:p w14:paraId="6286CE86" w14:textId="77777777" w:rsidR="00117037" w:rsidRPr="000414B3" w:rsidRDefault="00117037" w:rsidP="00117037">
      <w:pPr>
        <w:pStyle w:val="CETHeading1"/>
        <w:tabs>
          <w:tab w:val="clear" w:pos="360"/>
        </w:tabs>
      </w:pPr>
      <w:r w:rsidRPr="000414B3">
        <w:t>Case Study Description</w:t>
      </w:r>
    </w:p>
    <w:p w14:paraId="427A0B1B" w14:textId="40409B07" w:rsidR="00730674" w:rsidRPr="00606913" w:rsidRDefault="00117037" w:rsidP="009A1DBE">
      <w:pPr>
        <w:pStyle w:val="CETBodytext"/>
        <w:jc w:val="left"/>
      </w:pPr>
      <w:r w:rsidRPr="00117037">
        <w:t xml:space="preserve">The case study considers a SAF Facility built in a Northern European country, near a port, providing a water supply source and </w:t>
      </w:r>
      <w:r w:rsidR="00B769EC" w:rsidRPr="00117037">
        <w:t>easing</w:t>
      </w:r>
      <w:r w:rsidRPr="00117037">
        <w:t xml:space="preserve"> commercial exchanges, and next to an existing Industrial District with potentiality to export carbon dioxide (CO2) from Plant processes</w:t>
      </w:r>
      <w:r w:rsidR="00716E0D">
        <w:t xml:space="preserve"> to the facility</w:t>
      </w:r>
      <w:r w:rsidR="00730674" w:rsidRPr="000414B3">
        <w:rPr>
          <w:noProof/>
        </w:rPr>
        <w:drawing>
          <wp:inline distT="0" distB="0" distL="0" distR="0" wp14:anchorId="747D575C" wp14:editId="7B7D6BB1">
            <wp:extent cx="5108285" cy="1971924"/>
            <wp:effectExtent l="0" t="0" r="0" b="9525"/>
            <wp:docPr id="652855572" name="Picture 1" descr="A diagram of a chemical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855572" name="Picture 1" descr="A diagram of a chemical process&#10;&#10;AI-generated content may be incorrect."/>
                    <pic:cNvPicPr/>
                  </pic:nvPicPr>
                  <pic:blipFill>
                    <a:blip r:embed="rId10"/>
                    <a:stretch>
                      <a:fillRect/>
                    </a:stretch>
                  </pic:blipFill>
                  <pic:spPr>
                    <a:xfrm>
                      <a:off x="0" y="0"/>
                      <a:ext cx="5132636" cy="1981324"/>
                    </a:xfrm>
                    <a:prstGeom prst="rect">
                      <a:avLst/>
                    </a:prstGeom>
                  </pic:spPr>
                </pic:pic>
              </a:graphicData>
            </a:graphic>
          </wp:inline>
        </w:drawing>
      </w:r>
    </w:p>
    <w:p w14:paraId="5F08ED1D" w14:textId="0468A14F" w:rsidR="00730674" w:rsidRDefault="00730674" w:rsidP="00730674">
      <w:pPr>
        <w:pStyle w:val="CETBodytext"/>
        <w:rPr>
          <w:i/>
          <w:iCs/>
        </w:rPr>
      </w:pPr>
      <w:r w:rsidRPr="00A704A5">
        <w:rPr>
          <w:i/>
          <w:iCs/>
        </w:rPr>
        <w:t xml:space="preserve">Figure 1 Schematic Process Block </w:t>
      </w:r>
      <w:proofErr w:type="gramStart"/>
      <w:r w:rsidRPr="00A704A5">
        <w:rPr>
          <w:i/>
          <w:iCs/>
        </w:rPr>
        <w:t>Description</w:t>
      </w:r>
      <w:r>
        <w:rPr>
          <w:i/>
          <w:iCs/>
        </w:rPr>
        <w:t xml:space="preserve">  </w:t>
      </w:r>
      <w:r w:rsidR="00BF20FF">
        <w:rPr>
          <w:i/>
          <w:iCs/>
        </w:rPr>
        <w:t>(</w:t>
      </w:r>
      <w:proofErr w:type="gramEnd"/>
      <w:r w:rsidR="00234C09">
        <w:rPr>
          <w:i/>
          <w:iCs/>
        </w:rPr>
        <w:t xml:space="preserve">De Gaetano, </w:t>
      </w:r>
      <w:proofErr w:type="gramStart"/>
      <w:r w:rsidR="00234C09">
        <w:rPr>
          <w:i/>
          <w:iCs/>
        </w:rPr>
        <w:t>2023</w:t>
      </w:r>
      <w:r>
        <w:rPr>
          <w:i/>
          <w:iCs/>
        </w:rPr>
        <w:t xml:space="preserve"> </w:t>
      </w:r>
      <w:r w:rsidR="00BF20FF">
        <w:rPr>
          <w:i/>
          <w:iCs/>
        </w:rPr>
        <w:t>)</w:t>
      </w:r>
      <w:proofErr w:type="gramEnd"/>
    </w:p>
    <w:p w14:paraId="39D1D871" w14:textId="77777777" w:rsidR="006E073B" w:rsidRDefault="006E073B" w:rsidP="00730674">
      <w:pPr>
        <w:pStyle w:val="CETBodytext"/>
        <w:rPr>
          <w:i/>
          <w:iCs/>
        </w:rPr>
      </w:pPr>
    </w:p>
    <w:p w14:paraId="5ADCA7CC" w14:textId="6722A05A" w:rsidR="006E073B" w:rsidRPr="00330C53" w:rsidRDefault="006E073B" w:rsidP="006E073B">
      <w:pPr>
        <w:pStyle w:val="CETBodytext"/>
        <w:spacing w:line="240" w:lineRule="auto"/>
        <w:rPr>
          <w:bCs/>
        </w:rPr>
      </w:pPr>
      <w:r w:rsidRPr="006E073B">
        <w:rPr>
          <w:bCs/>
        </w:rPr>
        <w:t xml:space="preserve">The Facility is set to produce eFuels, synthetic fuels derived through an electrical process (electrolysis) using water and carbon dioxide. About 80% of the output will be low-carbon Kero (SAF), which is more valuable and commercially </w:t>
      </w:r>
      <w:r w:rsidR="00B769EC" w:rsidRPr="006E073B">
        <w:rPr>
          <w:bCs/>
        </w:rPr>
        <w:t>helpful</w:t>
      </w:r>
      <w:r w:rsidRPr="006E073B">
        <w:rPr>
          <w:bCs/>
        </w:rPr>
        <w:t xml:space="preserve">. Approximately 15% will be low-carbon Naphtha, with a small </w:t>
      </w:r>
      <w:r w:rsidR="00B769EC" w:rsidRPr="006E073B">
        <w:rPr>
          <w:bCs/>
        </w:rPr>
        <w:t>part</w:t>
      </w:r>
      <w:r w:rsidRPr="006E073B">
        <w:rPr>
          <w:bCs/>
        </w:rPr>
        <w:t xml:space="preserve"> being low-carbo</w:t>
      </w:r>
      <w:r>
        <w:rPr>
          <w:bCs/>
        </w:rPr>
        <w:t>n fuel.</w:t>
      </w:r>
      <w:r w:rsidR="002A1D7B">
        <w:rPr>
          <w:bCs/>
        </w:rPr>
        <w:t xml:space="preserve"> </w:t>
      </w:r>
      <w:r w:rsidRPr="00330C53">
        <w:rPr>
          <w:bCs/>
        </w:rPr>
        <w:lastRenderedPageBreak/>
        <w:t>The</w:t>
      </w:r>
      <w:r w:rsidR="00027CAF" w:rsidRPr="00B769EC">
        <w:rPr>
          <w:bCs/>
        </w:rPr>
        <w:t xml:space="preserve"> Facility will be a PtL (Power to Liquid for aviation) Plant,</w:t>
      </w:r>
      <w:r w:rsidRPr="00330C53">
        <w:rPr>
          <w:bCs/>
        </w:rPr>
        <w:t xml:space="preserve"> </w:t>
      </w:r>
      <w:r w:rsidR="00027CAF" w:rsidRPr="00B769EC">
        <w:rPr>
          <w:bCs/>
        </w:rPr>
        <w:t>producing liquid hydrocarbons</w:t>
      </w:r>
      <w:r w:rsidRPr="00330C53">
        <w:rPr>
          <w:bCs/>
        </w:rPr>
        <w:t xml:space="preserve"> falling under the category of </w:t>
      </w:r>
      <w:r w:rsidR="00027CAF" w:rsidRPr="00B769EC">
        <w:rPr>
          <w:bCs/>
        </w:rPr>
        <w:t>e</w:t>
      </w:r>
      <w:r w:rsidRPr="00330C53">
        <w:rPr>
          <w:bCs/>
        </w:rPr>
        <w:t xml:space="preserve">SAF (Sustainable Aviation Fuel) for aviation. This has the dual advantage of easy transportation and distribution through existing networks (pipelines and refueling stations) currently used for fossil </w:t>
      </w:r>
      <w:r w:rsidR="00B769EC" w:rsidRPr="00330C53">
        <w:rPr>
          <w:bCs/>
        </w:rPr>
        <w:t>fuels.</w:t>
      </w:r>
    </w:p>
    <w:p w14:paraId="5E1E3225" w14:textId="79BEACF9" w:rsidR="006E073B" w:rsidRPr="00330C53" w:rsidRDefault="006E073B" w:rsidP="006E073B">
      <w:pPr>
        <w:pStyle w:val="CETheadingx"/>
        <w:numPr>
          <w:ilvl w:val="0"/>
          <w:numId w:val="0"/>
        </w:numPr>
        <w:jc w:val="both"/>
        <w:rPr>
          <w:b w:val="0"/>
          <w:bCs/>
        </w:rPr>
      </w:pPr>
      <w:r w:rsidRPr="00330C53">
        <w:rPr>
          <w:b w:val="0"/>
          <w:bCs/>
        </w:rPr>
        <w:t xml:space="preserve">The plant will combine commercially available resources and technologies (water, electrolysis, CO2 capture from biogas, Fischer-Tropsch reaction, steam reforming, and refining). Production will be </w:t>
      </w:r>
      <w:r w:rsidR="0063720D" w:rsidRPr="00330C53">
        <w:rPr>
          <w:b w:val="0"/>
          <w:bCs/>
        </w:rPr>
        <w:t>improved</w:t>
      </w:r>
      <w:r w:rsidRPr="00330C53">
        <w:rPr>
          <w:b w:val="0"/>
          <w:bCs/>
        </w:rPr>
        <w:t xml:space="preserve"> in terms of energy consumption, recycling, and efficiency, producing eKerosene and eNaphtha</w:t>
      </w:r>
      <w:r w:rsidR="00AA58EF">
        <w:rPr>
          <w:b w:val="0"/>
          <w:bCs/>
        </w:rPr>
        <w:t xml:space="preserve"> (</w:t>
      </w:r>
      <w:r w:rsidR="00AA58EF" w:rsidRPr="005F4E57">
        <w:rPr>
          <w:b w:val="0"/>
          <w:bCs/>
        </w:rPr>
        <w:t>Collis</w:t>
      </w:r>
      <w:r w:rsidR="00617BCE">
        <w:rPr>
          <w:b w:val="0"/>
          <w:bCs/>
        </w:rPr>
        <w:t xml:space="preserve">, </w:t>
      </w:r>
      <w:r w:rsidR="00617BCE" w:rsidRPr="00617BCE">
        <w:rPr>
          <w:b w:val="0"/>
          <w:bCs/>
          <w:i/>
          <w:iCs/>
        </w:rPr>
        <w:t>et all</w:t>
      </w:r>
      <w:r w:rsidR="00617BCE">
        <w:rPr>
          <w:b w:val="0"/>
          <w:bCs/>
          <w:i/>
          <w:iCs/>
        </w:rPr>
        <w:t>,</w:t>
      </w:r>
      <w:r w:rsidR="00AA58EF" w:rsidRPr="005F4E57">
        <w:rPr>
          <w:b w:val="0"/>
          <w:bCs/>
        </w:rPr>
        <w:t xml:space="preserve"> </w:t>
      </w:r>
      <w:r w:rsidR="00AA58EF" w:rsidRPr="00AA58EF">
        <w:rPr>
          <w:b w:val="0"/>
          <w:bCs/>
        </w:rPr>
        <w:t>2022</w:t>
      </w:r>
      <w:r w:rsidR="00AA58EF">
        <w:rPr>
          <w:b w:val="0"/>
          <w:bCs/>
        </w:rPr>
        <w:t>)</w:t>
      </w:r>
      <w:r w:rsidRPr="00330C53">
        <w:rPr>
          <w:b w:val="0"/>
          <w:bCs/>
        </w:rPr>
        <w:t xml:space="preserve"> </w:t>
      </w:r>
    </w:p>
    <w:p w14:paraId="66142E0B" w14:textId="039A90CF" w:rsidR="006E073B" w:rsidRPr="00330C53" w:rsidRDefault="006E073B" w:rsidP="00E02937">
      <w:pPr>
        <w:pStyle w:val="CETheadingx"/>
        <w:numPr>
          <w:ilvl w:val="0"/>
          <w:numId w:val="0"/>
        </w:numPr>
        <w:jc w:val="both"/>
        <w:rPr>
          <w:b w:val="0"/>
          <w:bCs/>
        </w:rPr>
      </w:pPr>
      <w:r w:rsidRPr="00330C53">
        <w:rPr>
          <w:b w:val="0"/>
          <w:bCs/>
        </w:rPr>
        <w:t xml:space="preserve">The plant </w:t>
      </w:r>
      <w:r w:rsidR="00027CAF" w:rsidRPr="00B769EC">
        <w:rPr>
          <w:b w:val="0"/>
          <w:bCs/>
        </w:rPr>
        <w:t>feedstock is</w:t>
      </w:r>
      <w:r w:rsidRPr="00330C53">
        <w:rPr>
          <w:b w:val="0"/>
          <w:bCs/>
        </w:rPr>
        <w:t xml:space="preserve"> CO2 available from nearby Industrial District, plus the recycling of </w:t>
      </w:r>
      <w:r w:rsidR="00B769EC" w:rsidRPr="00330C53">
        <w:rPr>
          <w:b w:val="0"/>
          <w:bCs/>
        </w:rPr>
        <w:t>internally recovered</w:t>
      </w:r>
      <w:r w:rsidRPr="00330C53">
        <w:rPr>
          <w:b w:val="0"/>
          <w:bCs/>
        </w:rPr>
        <w:t xml:space="preserve"> CO2</w:t>
      </w:r>
      <w:r w:rsidR="00027CAF" w:rsidRPr="00B769EC">
        <w:rPr>
          <w:b w:val="0"/>
          <w:bCs/>
        </w:rPr>
        <w:t>. I</w:t>
      </w:r>
      <w:r w:rsidRPr="00330C53">
        <w:rPr>
          <w:b w:val="0"/>
          <w:bCs/>
        </w:rPr>
        <w:t xml:space="preserve">t uses 46 m³ of treated </w:t>
      </w:r>
      <w:r w:rsidR="00B769EC" w:rsidRPr="00330C53">
        <w:rPr>
          <w:b w:val="0"/>
          <w:bCs/>
        </w:rPr>
        <w:t>wastewater</w:t>
      </w:r>
      <w:r w:rsidRPr="00330C53">
        <w:rPr>
          <w:b w:val="0"/>
          <w:bCs/>
        </w:rPr>
        <w:t xml:space="preserve"> per hour, available from nearby Industrial District. The plant's energy input is renewable electricity, producing 4.8 tons of hydrogen per hour via electrolysis. Hydrogen and CO2 are converted into syngas and long-chain hydrocarbons through RWGS and Fischer-Tropsch processes. Finished products like eKerosene are stored and shipped. </w:t>
      </w:r>
      <w:r w:rsidR="00B769EC" w:rsidRPr="00330C53">
        <w:rPr>
          <w:b w:val="0"/>
          <w:bCs/>
        </w:rPr>
        <w:t>Finally,</w:t>
      </w:r>
      <w:r w:rsidRPr="00330C53">
        <w:rPr>
          <w:b w:val="0"/>
          <w:bCs/>
        </w:rPr>
        <w:t xml:space="preserve"> combustion gases are recovered and reused, to prevent emissions.</w:t>
      </w:r>
      <w:r w:rsidR="00E02937" w:rsidRPr="00330C53">
        <w:rPr>
          <w:b w:val="0"/>
          <w:bCs/>
        </w:rPr>
        <w:t xml:space="preserve"> Desalinated Water or </w:t>
      </w:r>
      <w:r w:rsidRPr="00330C53">
        <w:rPr>
          <w:b w:val="0"/>
          <w:bCs/>
        </w:rPr>
        <w:t xml:space="preserve">Treated </w:t>
      </w:r>
      <w:r w:rsidR="00B769EC" w:rsidRPr="00330C53">
        <w:rPr>
          <w:b w:val="0"/>
          <w:bCs/>
        </w:rPr>
        <w:t>wastewater</w:t>
      </w:r>
      <w:r w:rsidRPr="00330C53">
        <w:rPr>
          <w:b w:val="0"/>
          <w:bCs/>
        </w:rPr>
        <w:t xml:space="preserve"> is available from </w:t>
      </w:r>
      <w:r w:rsidR="00B769EC" w:rsidRPr="00330C53">
        <w:rPr>
          <w:b w:val="0"/>
          <w:bCs/>
        </w:rPr>
        <w:t>the nearby</w:t>
      </w:r>
      <w:r w:rsidRPr="00330C53">
        <w:rPr>
          <w:b w:val="0"/>
          <w:bCs/>
        </w:rPr>
        <w:t xml:space="preserve"> Industrial District.</w:t>
      </w:r>
      <w:r w:rsidR="00E02937" w:rsidRPr="00330C53">
        <w:rPr>
          <w:b w:val="0"/>
          <w:bCs/>
        </w:rPr>
        <w:t xml:space="preserve"> </w:t>
      </w:r>
      <w:r w:rsidRPr="00330C53">
        <w:rPr>
          <w:b w:val="0"/>
          <w:bCs/>
        </w:rPr>
        <w:t xml:space="preserve">The Facility </w:t>
      </w:r>
      <w:r w:rsidR="00E02937" w:rsidRPr="00330C53">
        <w:rPr>
          <w:b w:val="0"/>
          <w:bCs/>
        </w:rPr>
        <w:t>can be fed by Grid or by</w:t>
      </w:r>
      <w:r w:rsidRPr="00330C53">
        <w:rPr>
          <w:b w:val="0"/>
          <w:bCs/>
        </w:rPr>
        <w:t xml:space="preserve"> Offshore Wind Renewables </w:t>
      </w:r>
    </w:p>
    <w:p w14:paraId="2775A7CF" w14:textId="33871C0E" w:rsidR="006E073B" w:rsidRPr="00330C53" w:rsidRDefault="006E073B" w:rsidP="006E073B">
      <w:pPr>
        <w:pStyle w:val="CETheadingx"/>
        <w:numPr>
          <w:ilvl w:val="0"/>
          <w:numId w:val="0"/>
        </w:numPr>
        <w:jc w:val="both"/>
        <w:rPr>
          <w:b w:val="0"/>
          <w:bCs/>
        </w:rPr>
      </w:pPr>
      <w:r w:rsidRPr="00330C53">
        <w:rPr>
          <w:b w:val="0"/>
          <w:bCs/>
        </w:rPr>
        <w:t xml:space="preserve">Two configurations have been </w:t>
      </w:r>
      <w:r w:rsidR="00E02937" w:rsidRPr="00330C53">
        <w:rPr>
          <w:b w:val="0"/>
          <w:bCs/>
        </w:rPr>
        <w:t xml:space="preserve">analyzed to </w:t>
      </w:r>
      <w:r w:rsidR="002A1D7B" w:rsidRPr="00330C53">
        <w:rPr>
          <w:b w:val="0"/>
          <w:bCs/>
        </w:rPr>
        <w:t>figure out</w:t>
      </w:r>
      <w:r w:rsidR="00E02937" w:rsidRPr="00330C53">
        <w:rPr>
          <w:b w:val="0"/>
          <w:bCs/>
        </w:rPr>
        <w:t xml:space="preserve"> the best environmental carbon and energy </w:t>
      </w:r>
      <w:r w:rsidR="00B769EC" w:rsidRPr="00330C53">
        <w:rPr>
          <w:b w:val="0"/>
          <w:bCs/>
        </w:rPr>
        <w:t>scheme.</w:t>
      </w:r>
    </w:p>
    <w:p w14:paraId="67B3773B" w14:textId="0C49BD73" w:rsidR="006E073B" w:rsidRPr="00330C53" w:rsidRDefault="006E073B" w:rsidP="006E073B">
      <w:pPr>
        <w:pStyle w:val="CETheadingx"/>
        <w:numPr>
          <w:ilvl w:val="0"/>
          <w:numId w:val="29"/>
        </w:numPr>
        <w:jc w:val="both"/>
        <w:rPr>
          <w:b w:val="0"/>
          <w:bCs/>
        </w:rPr>
      </w:pPr>
      <w:r w:rsidRPr="00330C53">
        <w:rPr>
          <w:b w:val="0"/>
          <w:bCs/>
        </w:rPr>
        <w:t xml:space="preserve">Base </w:t>
      </w:r>
      <w:r w:rsidR="00B769EC" w:rsidRPr="00330C53">
        <w:rPr>
          <w:b w:val="0"/>
          <w:bCs/>
        </w:rPr>
        <w:t>Case Low</w:t>
      </w:r>
      <w:r w:rsidRPr="00330C53">
        <w:rPr>
          <w:b w:val="0"/>
          <w:bCs/>
        </w:rPr>
        <w:t xml:space="preserve"> carbon kerosene Production with H2 via Electrolysis</w:t>
      </w:r>
      <w:r w:rsidR="00E02937" w:rsidRPr="00330C53">
        <w:rPr>
          <w:b w:val="0"/>
          <w:bCs/>
        </w:rPr>
        <w:t xml:space="preserve"> with Energy and Utilities from external grid and networks</w:t>
      </w:r>
    </w:p>
    <w:p w14:paraId="0E129677" w14:textId="2E5CC5C9" w:rsidR="000E2B16" w:rsidRPr="00330C53" w:rsidRDefault="006E073B" w:rsidP="000E2B16">
      <w:pPr>
        <w:pStyle w:val="CETheadingx"/>
        <w:numPr>
          <w:ilvl w:val="0"/>
          <w:numId w:val="29"/>
        </w:numPr>
        <w:jc w:val="both"/>
        <w:rPr>
          <w:b w:val="0"/>
          <w:bCs/>
        </w:rPr>
      </w:pPr>
      <w:r w:rsidRPr="00330C53">
        <w:rPr>
          <w:b w:val="0"/>
          <w:bCs/>
        </w:rPr>
        <w:t>Optimized Scenario: SAF Production with Green H2 via Electrolysis</w:t>
      </w:r>
      <w:r w:rsidR="00E02937" w:rsidRPr="00330C53">
        <w:rPr>
          <w:b w:val="0"/>
          <w:bCs/>
        </w:rPr>
        <w:t xml:space="preserve"> with enhanced circularity and maximized reuse of energy by-products and </w:t>
      </w:r>
      <w:r w:rsidR="00B769EC" w:rsidRPr="00330C53">
        <w:rPr>
          <w:b w:val="0"/>
          <w:bCs/>
        </w:rPr>
        <w:t>wastewater.</w:t>
      </w:r>
    </w:p>
    <w:p w14:paraId="7625A6F6" w14:textId="4B3477B4" w:rsidR="00CA4765" w:rsidRPr="00CA4765" w:rsidRDefault="00CA4765" w:rsidP="00190A53">
      <w:pPr>
        <w:jc w:val="left"/>
      </w:pPr>
      <w:r w:rsidRPr="00CA4765">
        <w:rPr>
          <w:noProof/>
        </w:rPr>
        <w:drawing>
          <wp:inline distT="0" distB="0" distL="0" distR="0" wp14:anchorId="3B4E5D85" wp14:editId="4517844C">
            <wp:extent cx="5614793" cy="2767054"/>
            <wp:effectExtent l="0" t="0" r="5080" b="0"/>
            <wp:docPr id="646187678" name="Picture 4" descr="A diagram of a facto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187678" name="Picture 4" descr="A diagram of a factory&#10;&#10;AI-generated content may be incorrect."/>
                    <pic:cNvPicPr>
                      <a:picLocks noChangeAspect="1" noChangeArrowheads="1"/>
                    </pic:cNvPicPr>
                  </pic:nvPicPr>
                  <pic:blipFill rotWithShape="1">
                    <a:blip r:embed="rId11">
                      <a:extLst>
                        <a:ext uri="{28A0092B-C50C-407E-A947-70E740481C1C}">
                          <a14:useLocalDpi xmlns:a14="http://schemas.microsoft.com/office/drawing/2010/main" val="0"/>
                        </a:ext>
                      </a:extLst>
                    </a:blip>
                    <a:srcRect l="1772" t="4071" b="9912"/>
                    <a:stretch/>
                  </pic:blipFill>
                  <pic:spPr bwMode="auto">
                    <a:xfrm>
                      <a:off x="0" y="0"/>
                      <a:ext cx="5744256" cy="2830855"/>
                    </a:xfrm>
                    <a:prstGeom prst="rect">
                      <a:avLst/>
                    </a:prstGeom>
                    <a:noFill/>
                    <a:ln>
                      <a:noFill/>
                    </a:ln>
                    <a:extLst>
                      <a:ext uri="{53640926-AAD7-44D8-BBD7-CCE9431645EC}">
                        <a14:shadowObscured xmlns:a14="http://schemas.microsoft.com/office/drawing/2010/main"/>
                      </a:ext>
                    </a:extLst>
                  </pic:spPr>
                </pic:pic>
              </a:graphicData>
            </a:graphic>
          </wp:inline>
        </w:drawing>
      </w:r>
    </w:p>
    <w:p w14:paraId="3871EEF5" w14:textId="31EDBC8E" w:rsidR="00CA4765" w:rsidRPr="00190A53" w:rsidRDefault="00CA4765" w:rsidP="00190A53">
      <w:pPr>
        <w:rPr>
          <w:lang w:val="en-US"/>
        </w:rPr>
      </w:pPr>
      <w:r w:rsidRPr="00CA4765">
        <w:rPr>
          <w:noProof/>
          <w:lang w:val="en-US"/>
        </w:rPr>
        <w:drawing>
          <wp:inline distT="0" distB="0" distL="0" distR="0" wp14:anchorId="4351BF8A" wp14:editId="5CC8F23E">
            <wp:extent cx="5557390" cy="2743200"/>
            <wp:effectExtent l="0" t="0" r="5715" b="0"/>
            <wp:docPr id="922062471" name="Picture 6" descr="A diagram of a production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62471" name="Picture 6" descr="A diagram of a production process&#10;&#10;AI-generated content may be incorrect."/>
                    <pic:cNvPicPr>
                      <a:picLocks noChangeAspect="1" noChangeArrowheads="1"/>
                    </pic:cNvPicPr>
                  </pic:nvPicPr>
                  <pic:blipFill rotWithShape="1">
                    <a:blip r:embed="rId12">
                      <a:extLst>
                        <a:ext uri="{28A0092B-C50C-407E-A947-70E740481C1C}">
                          <a14:useLocalDpi xmlns:a14="http://schemas.microsoft.com/office/drawing/2010/main" val="0"/>
                        </a:ext>
                      </a:extLst>
                    </a:blip>
                    <a:srcRect l="1997" t="4814" r="1092" b="10186"/>
                    <a:stretch/>
                  </pic:blipFill>
                  <pic:spPr bwMode="auto">
                    <a:xfrm>
                      <a:off x="0" y="0"/>
                      <a:ext cx="5661633" cy="2794656"/>
                    </a:xfrm>
                    <a:prstGeom prst="rect">
                      <a:avLst/>
                    </a:prstGeom>
                    <a:noFill/>
                    <a:ln>
                      <a:noFill/>
                    </a:ln>
                    <a:extLst>
                      <a:ext uri="{53640926-AAD7-44D8-BBD7-CCE9431645EC}">
                        <a14:shadowObscured xmlns:a14="http://schemas.microsoft.com/office/drawing/2010/main"/>
                      </a:ext>
                    </a:extLst>
                  </pic:spPr>
                </pic:pic>
              </a:graphicData>
            </a:graphic>
          </wp:inline>
        </w:drawing>
      </w:r>
    </w:p>
    <w:p w14:paraId="3408AEB8" w14:textId="18CCFFBC" w:rsidR="00190A53" w:rsidRDefault="00730674" w:rsidP="00190A53">
      <w:pPr>
        <w:pStyle w:val="CETBodytext"/>
        <w:ind w:left="360"/>
        <w:rPr>
          <w:i/>
          <w:iCs/>
        </w:rPr>
      </w:pPr>
      <w:r w:rsidRPr="00A704A5">
        <w:rPr>
          <w:i/>
          <w:iCs/>
        </w:rPr>
        <w:t xml:space="preserve">Figure </w:t>
      </w:r>
      <w:r>
        <w:rPr>
          <w:i/>
          <w:iCs/>
        </w:rPr>
        <w:t>2</w:t>
      </w:r>
      <w:r w:rsidRPr="00A704A5">
        <w:rPr>
          <w:i/>
          <w:iCs/>
        </w:rPr>
        <w:t xml:space="preserve"> Schematic </w:t>
      </w:r>
      <w:r>
        <w:rPr>
          <w:i/>
          <w:iCs/>
        </w:rPr>
        <w:t>Base Case vs Optimized Scenario Description</w:t>
      </w:r>
    </w:p>
    <w:p w14:paraId="5F3330AA" w14:textId="7FCB4450" w:rsidR="00E32314" w:rsidRPr="00190A53" w:rsidRDefault="00E32314" w:rsidP="00190A53">
      <w:pPr>
        <w:pStyle w:val="CETBodytext"/>
        <w:ind w:left="360"/>
        <w:rPr>
          <w:i/>
          <w:iCs/>
        </w:rPr>
      </w:pPr>
      <w:r>
        <w:rPr>
          <w:i/>
        </w:rPr>
        <w:lastRenderedPageBreak/>
        <w:t>Table 1</w:t>
      </w:r>
      <w:r w:rsidRPr="00876EA0">
        <w:rPr>
          <w:i/>
        </w:rPr>
        <w:t>: Input table to the CEE&amp;C Analysis</w:t>
      </w:r>
    </w:p>
    <w:p w14:paraId="78468480" w14:textId="77777777" w:rsidR="00876EA0" w:rsidRDefault="00876EA0" w:rsidP="00730674">
      <w:pPr>
        <w:pStyle w:val="CETBodytext"/>
        <w:ind w:left="360"/>
        <w:rPr>
          <w:i/>
          <w:iCs/>
        </w:rPr>
      </w:pPr>
    </w:p>
    <w:tbl>
      <w:tblPr>
        <w:tblW w:w="9528" w:type="dxa"/>
        <w:tblCellMar>
          <w:left w:w="70" w:type="dxa"/>
          <w:right w:w="70" w:type="dxa"/>
        </w:tblCellMar>
        <w:tblLook w:val="04A0" w:firstRow="1" w:lastRow="0" w:firstColumn="1" w:lastColumn="0" w:noHBand="0" w:noVBand="1"/>
      </w:tblPr>
      <w:tblGrid>
        <w:gridCol w:w="1653"/>
        <w:gridCol w:w="893"/>
        <w:gridCol w:w="869"/>
        <w:gridCol w:w="826"/>
        <w:gridCol w:w="826"/>
        <w:gridCol w:w="971"/>
        <w:gridCol w:w="869"/>
        <w:gridCol w:w="826"/>
        <w:gridCol w:w="826"/>
        <w:gridCol w:w="969"/>
      </w:tblGrid>
      <w:tr w:rsidR="00B747AE" w:rsidRPr="00B747AE" w14:paraId="719F196B" w14:textId="77777777" w:rsidTr="00B747AE">
        <w:trPr>
          <w:trHeight w:val="237"/>
        </w:trPr>
        <w:tc>
          <w:tcPr>
            <w:tcW w:w="1653" w:type="dxa"/>
            <w:tcBorders>
              <w:top w:val="single" w:sz="12" w:space="0" w:color="008000"/>
              <w:left w:val="nil"/>
              <w:bottom w:val="single" w:sz="8" w:space="0" w:color="008000"/>
              <w:right w:val="nil"/>
            </w:tcBorders>
            <w:shd w:val="clear" w:color="000000" w:fill="FFFFFF"/>
            <w:vAlign w:val="center"/>
            <w:hideMark/>
          </w:tcPr>
          <w:p w14:paraId="20EE6CB9" w14:textId="158982C0" w:rsidR="00756505" w:rsidRPr="00B769EC" w:rsidRDefault="00756505" w:rsidP="00B769EC">
            <w:pPr>
              <w:tabs>
                <w:tab w:val="clear" w:pos="7100"/>
              </w:tabs>
              <w:spacing w:line="240" w:lineRule="auto"/>
              <w:jc w:val="left"/>
              <w:rPr>
                <w:rFonts w:ascii="Arial Narrow" w:hAnsi="Arial Narrow"/>
                <w:color w:val="000000"/>
                <w:sz w:val="16"/>
                <w:szCs w:val="16"/>
                <w:lang w:val="en-US" w:eastAsia="it-IT"/>
              </w:rPr>
            </w:pPr>
          </w:p>
        </w:tc>
        <w:tc>
          <w:tcPr>
            <w:tcW w:w="893" w:type="dxa"/>
            <w:tcBorders>
              <w:top w:val="single" w:sz="12" w:space="0" w:color="008000"/>
              <w:left w:val="nil"/>
              <w:bottom w:val="single" w:sz="8" w:space="0" w:color="008000"/>
              <w:right w:val="nil"/>
            </w:tcBorders>
            <w:shd w:val="clear" w:color="000000" w:fill="FFFFFF"/>
            <w:noWrap/>
            <w:vAlign w:val="center"/>
            <w:hideMark/>
          </w:tcPr>
          <w:p w14:paraId="75CDC574" w14:textId="5769BB18" w:rsidR="00756505" w:rsidRPr="00B769EC" w:rsidRDefault="00756505" w:rsidP="00B769EC">
            <w:pPr>
              <w:tabs>
                <w:tab w:val="clear" w:pos="7100"/>
              </w:tabs>
              <w:spacing w:line="240" w:lineRule="auto"/>
              <w:jc w:val="center"/>
              <w:rPr>
                <w:rFonts w:ascii="Arial Narrow" w:hAnsi="Arial Narrow"/>
                <w:color w:val="000000"/>
                <w:sz w:val="16"/>
                <w:szCs w:val="16"/>
                <w:lang w:val="en-US" w:eastAsia="it-IT"/>
              </w:rPr>
            </w:pPr>
          </w:p>
        </w:tc>
        <w:tc>
          <w:tcPr>
            <w:tcW w:w="869" w:type="dxa"/>
            <w:tcBorders>
              <w:top w:val="single" w:sz="12" w:space="0" w:color="008000"/>
              <w:left w:val="nil"/>
              <w:bottom w:val="single" w:sz="8" w:space="0" w:color="008000"/>
              <w:right w:val="nil"/>
            </w:tcBorders>
            <w:shd w:val="clear" w:color="000000" w:fill="FFFFFF"/>
            <w:vAlign w:val="center"/>
            <w:hideMark/>
          </w:tcPr>
          <w:p w14:paraId="721CE195" w14:textId="77777777" w:rsidR="00756505" w:rsidRPr="005B3511" w:rsidRDefault="00756505" w:rsidP="00B769EC">
            <w:pPr>
              <w:tabs>
                <w:tab w:val="clear" w:pos="7100"/>
              </w:tabs>
              <w:spacing w:line="240" w:lineRule="auto"/>
              <w:jc w:val="center"/>
              <w:rPr>
                <w:rFonts w:ascii="Arial Narrow" w:hAnsi="Arial Narrow"/>
                <w:color w:val="000000"/>
                <w:sz w:val="16"/>
                <w:szCs w:val="16"/>
                <w:lang w:val="it-IT" w:eastAsia="it-IT"/>
              </w:rPr>
            </w:pPr>
            <w:r w:rsidRPr="005B3511">
              <w:rPr>
                <w:rFonts w:ascii="Arial Narrow" w:hAnsi="Arial Narrow"/>
                <w:color w:val="000000"/>
                <w:sz w:val="16"/>
                <w:szCs w:val="16"/>
                <w:lang w:val="it-IT" w:eastAsia="it-IT"/>
              </w:rPr>
              <w:t>Block 1</w:t>
            </w:r>
          </w:p>
        </w:tc>
        <w:tc>
          <w:tcPr>
            <w:tcW w:w="826" w:type="dxa"/>
            <w:tcBorders>
              <w:top w:val="single" w:sz="12" w:space="0" w:color="008000"/>
              <w:left w:val="nil"/>
              <w:bottom w:val="single" w:sz="8" w:space="0" w:color="008000"/>
              <w:right w:val="nil"/>
            </w:tcBorders>
            <w:shd w:val="clear" w:color="000000" w:fill="FFFFFF"/>
            <w:vAlign w:val="center"/>
            <w:hideMark/>
          </w:tcPr>
          <w:p w14:paraId="59070771" w14:textId="77777777" w:rsidR="00756505" w:rsidRPr="005B3511" w:rsidRDefault="00756505" w:rsidP="00B769EC">
            <w:pPr>
              <w:tabs>
                <w:tab w:val="clear" w:pos="7100"/>
              </w:tabs>
              <w:spacing w:line="240" w:lineRule="auto"/>
              <w:jc w:val="center"/>
              <w:rPr>
                <w:rFonts w:ascii="Arial Narrow" w:hAnsi="Arial Narrow"/>
                <w:color w:val="000000"/>
                <w:sz w:val="16"/>
                <w:szCs w:val="16"/>
                <w:lang w:val="it-IT" w:eastAsia="it-IT"/>
              </w:rPr>
            </w:pPr>
            <w:r w:rsidRPr="005B3511">
              <w:rPr>
                <w:rFonts w:ascii="Arial Narrow" w:hAnsi="Arial Narrow"/>
                <w:color w:val="000000"/>
                <w:sz w:val="16"/>
                <w:szCs w:val="16"/>
                <w:lang w:val="it-IT" w:eastAsia="it-IT"/>
              </w:rPr>
              <w:t>Block 2</w:t>
            </w:r>
          </w:p>
        </w:tc>
        <w:tc>
          <w:tcPr>
            <w:tcW w:w="826" w:type="dxa"/>
            <w:tcBorders>
              <w:top w:val="single" w:sz="12" w:space="0" w:color="008000"/>
              <w:left w:val="nil"/>
              <w:bottom w:val="single" w:sz="8" w:space="0" w:color="008000"/>
              <w:right w:val="nil"/>
            </w:tcBorders>
            <w:shd w:val="clear" w:color="000000" w:fill="FFFFFF"/>
            <w:vAlign w:val="center"/>
            <w:hideMark/>
          </w:tcPr>
          <w:p w14:paraId="7DB54CB1" w14:textId="77777777" w:rsidR="00756505" w:rsidRPr="005B3511" w:rsidRDefault="00756505" w:rsidP="00B769EC">
            <w:pPr>
              <w:tabs>
                <w:tab w:val="clear" w:pos="7100"/>
              </w:tabs>
              <w:spacing w:line="240" w:lineRule="auto"/>
              <w:jc w:val="center"/>
              <w:rPr>
                <w:rFonts w:ascii="Arial Narrow" w:hAnsi="Arial Narrow"/>
                <w:color w:val="000000"/>
                <w:sz w:val="16"/>
                <w:szCs w:val="16"/>
                <w:lang w:val="it-IT" w:eastAsia="it-IT"/>
              </w:rPr>
            </w:pPr>
            <w:r w:rsidRPr="005B3511">
              <w:rPr>
                <w:rFonts w:ascii="Arial Narrow" w:hAnsi="Arial Narrow"/>
                <w:color w:val="000000"/>
                <w:sz w:val="16"/>
                <w:szCs w:val="16"/>
                <w:lang w:val="it-IT" w:eastAsia="it-IT"/>
              </w:rPr>
              <w:t>Block 3</w:t>
            </w:r>
          </w:p>
        </w:tc>
        <w:tc>
          <w:tcPr>
            <w:tcW w:w="970" w:type="dxa"/>
            <w:tcBorders>
              <w:top w:val="single" w:sz="12" w:space="0" w:color="008000"/>
              <w:left w:val="nil"/>
              <w:bottom w:val="single" w:sz="8" w:space="0" w:color="008000"/>
              <w:right w:val="nil"/>
            </w:tcBorders>
            <w:shd w:val="clear" w:color="000000" w:fill="FFFFFF"/>
            <w:vAlign w:val="center"/>
            <w:hideMark/>
          </w:tcPr>
          <w:p w14:paraId="2F4C2FEB" w14:textId="77777777" w:rsidR="00756505" w:rsidRPr="005B3511" w:rsidRDefault="00756505" w:rsidP="00B769EC">
            <w:pPr>
              <w:tabs>
                <w:tab w:val="clear" w:pos="7100"/>
              </w:tabs>
              <w:spacing w:line="240" w:lineRule="auto"/>
              <w:jc w:val="center"/>
              <w:rPr>
                <w:rFonts w:ascii="Arial Narrow" w:hAnsi="Arial Narrow"/>
                <w:color w:val="000000"/>
                <w:sz w:val="16"/>
                <w:szCs w:val="16"/>
                <w:lang w:val="it-IT" w:eastAsia="it-IT"/>
              </w:rPr>
            </w:pPr>
            <w:r w:rsidRPr="005B3511">
              <w:rPr>
                <w:rFonts w:ascii="Arial Narrow" w:hAnsi="Arial Narrow"/>
                <w:color w:val="000000"/>
                <w:sz w:val="16"/>
                <w:szCs w:val="16"/>
                <w:lang w:val="it-IT" w:eastAsia="it-IT"/>
              </w:rPr>
              <w:t>Block 4</w:t>
            </w:r>
          </w:p>
        </w:tc>
        <w:tc>
          <w:tcPr>
            <w:tcW w:w="869" w:type="dxa"/>
            <w:tcBorders>
              <w:top w:val="single" w:sz="12" w:space="0" w:color="008000"/>
              <w:left w:val="nil"/>
              <w:bottom w:val="single" w:sz="8" w:space="0" w:color="008000"/>
              <w:right w:val="nil"/>
            </w:tcBorders>
            <w:shd w:val="clear" w:color="000000" w:fill="FFFFFF"/>
            <w:vAlign w:val="center"/>
            <w:hideMark/>
          </w:tcPr>
          <w:p w14:paraId="18D7098A" w14:textId="77777777" w:rsidR="00756505" w:rsidRPr="005B3511" w:rsidRDefault="00756505" w:rsidP="00B769EC">
            <w:pPr>
              <w:tabs>
                <w:tab w:val="clear" w:pos="7100"/>
              </w:tabs>
              <w:spacing w:line="240" w:lineRule="auto"/>
              <w:jc w:val="center"/>
              <w:rPr>
                <w:rFonts w:ascii="Arial Narrow" w:hAnsi="Arial Narrow"/>
                <w:color w:val="000000"/>
                <w:sz w:val="16"/>
                <w:szCs w:val="16"/>
                <w:lang w:val="it-IT" w:eastAsia="it-IT"/>
              </w:rPr>
            </w:pPr>
            <w:r w:rsidRPr="005B3511">
              <w:rPr>
                <w:rFonts w:ascii="Arial Narrow" w:hAnsi="Arial Narrow"/>
                <w:color w:val="000000"/>
                <w:sz w:val="16"/>
                <w:szCs w:val="16"/>
                <w:lang w:val="it-IT" w:eastAsia="it-IT"/>
              </w:rPr>
              <w:t>Block 1</w:t>
            </w:r>
          </w:p>
        </w:tc>
        <w:tc>
          <w:tcPr>
            <w:tcW w:w="826" w:type="dxa"/>
            <w:tcBorders>
              <w:top w:val="single" w:sz="12" w:space="0" w:color="008000"/>
              <w:left w:val="nil"/>
              <w:bottom w:val="single" w:sz="8" w:space="0" w:color="008000"/>
              <w:right w:val="nil"/>
            </w:tcBorders>
            <w:shd w:val="clear" w:color="000000" w:fill="FFFFFF"/>
            <w:vAlign w:val="center"/>
            <w:hideMark/>
          </w:tcPr>
          <w:p w14:paraId="0C95AB55" w14:textId="77777777" w:rsidR="00756505" w:rsidRPr="005B3511" w:rsidRDefault="00756505" w:rsidP="00B769EC">
            <w:pPr>
              <w:tabs>
                <w:tab w:val="clear" w:pos="7100"/>
              </w:tabs>
              <w:spacing w:line="240" w:lineRule="auto"/>
              <w:jc w:val="center"/>
              <w:rPr>
                <w:rFonts w:ascii="Arial Narrow" w:hAnsi="Arial Narrow"/>
                <w:color w:val="000000"/>
                <w:sz w:val="16"/>
                <w:szCs w:val="16"/>
                <w:lang w:val="it-IT" w:eastAsia="it-IT"/>
              </w:rPr>
            </w:pPr>
            <w:r w:rsidRPr="005B3511">
              <w:rPr>
                <w:rFonts w:ascii="Arial Narrow" w:hAnsi="Arial Narrow"/>
                <w:color w:val="000000"/>
                <w:sz w:val="16"/>
                <w:szCs w:val="16"/>
                <w:lang w:val="it-IT" w:eastAsia="it-IT"/>
              </w:rPr>
              <w:t>Block 2</w:t>
            </w:r>
          </w:p>
        </w:tc>
        <w:tc>
          <w:tcPr>
            <w:tcW w:w="826" w:type="dxa"/>
            <w:tcBorders>
              <w:top w:val="single" w:sz="12" w:space="0" w:color="008000"/>
              <w:left w:val="nil"/>
              <w:bottom w:val="single" w:sz="8" w:space="0" w:color="008000"/>
              <w:right w:val="nil"/>
            </w:tcBorders>
            <w:shd w:val="clear" w:color="000000" w:fill="FFFFFF"/>
            <w:vAlign w:val="center"/>
            <w:hideMark/>
          </w:tcPr>
          <w:p w14:paraId="64DA9832" w14:textId="77777777" w:rsidR="00756505" w:rsidRPr="005B3511" w:rsidRDefault="00756505" w:rsidP="00B769EC">
            <w:pPr>
              <w:tabs>
                <w:tab w:val="clear" w:pos="7100"/>
              </w:tabs>
              <w:spacing w:line="240" w:lineRule="auto"/>
              <w:jc w:val="center"/>
              <w:rPr>
                <w:rFonts w:ascii="Arial Narrow" w:hAnsi="Arial Narrow"/>
                <w:color w:val="000000"/>
                <w:sz w:val="16"/>
                <w:szCs w:val="16"/>
                <w:lang w:val="it-IT" w:eastAsia="it-IT"/>
              </w:rPr>
            </w:pPr>
            <w:r w:rsidRPr="005B3511">
              <w:rPr>
                <w:rFonts w:ascii="Arial Narrow" w:hAnsi="Arial Narrow"/>
                <w:color w:val="000000"/>
                <w:sz w:val="16"/>
                <w:szCs w:val="16"/>
                <w:lang w:val="it-IT" w:eastAsia="it-IT"/>
              </w:rPr>
              <w:t>Block 3</w:t>
            </w:r>
          </w:p>
        </w:tc>
        <w:tc>
          <w:tcPr>
            <w:tcW w:w="969" w:type="dxa"/>
            <w:tcBorders>
              <w:top w:val="single" w:sz="12" w:space="0" w:color="008000"/>
              <w:left w:val="nil"/>
              <w:bottom w:val="single" w:sz="8" w:space="0" w:color="008000"/>
              <w:right w:val="nil"/>
            </w:tcBorders>
            <w:shd w:val="clear" w:color="000000" w:fill="FFFFFF"/>
            <w:vAlign w:val="center"/>
            <w:hideMark/>
          </w:tcPr>
          <w:p w14:paraId="310D9879" w14:textId="77777777" w:rsidR="00756505" w:rsidRPr="005B3511" w:rsidRDefault="00756505" w:rsidP="00B769EC">
            <w:pPr>
              <w:tabs>
                <w:tab w:val="clear" w:pos="7100"/>
              </w:tabs>
              <w:spacing w:line="240" w:lineRule="auto"/>
              <w:jc w:val="center"/>
              <w:rPr>
                <w:rFonts w:ascii="Arial Narrow" w:hAnsi="Arial Narrow"/>
                <w:color w:val="000000"/>
                <w:sz w:val="16"/>
                <w:szCs w:val="16"/>
                <w:lang w:val="it-IT" w:eastAsia="it-IT"/>
              </w:rPr>
            </w:pPr>
            <w:r w:rsidRPr="005B3511">
              <w:rPr>
                <w:rFonts w:ascii="Arial Narrow" w:hAnsi="Arial Narrow"/>
                <w:color w:val="000000"/>
                <w:sz w:val="16"/>
                <w:szCs w:val="16"/>
                <w:lang w:val="it-IT" w:eastAsia="it-IT"/>
              </w:rPr>
              <w:t>Block 4</w:t>
            </w:r>
          </w:p>
        </w:tc>
      </w:tr>
      <w:tr w:rsidR="00B747AE" w:rsidRPr="00B747AE" w14:paraId="47A9B32F" w14:textId="77777777" w:rsidTr="00B747AE">
        <w:trPr>
          <w:trHeight w:val="237"/>
        </w:trPr>
        <w:tc>
          <w:tcPr>
            <w:tcW w:w="1653" w:type="dxa"/>
            <w:tcBorders>
              <w:top w:val="nil"/>
              <w:left w:val="nil"/>
              <w:bottom w:val="nil"/>
              <w:right w:val="nil"/>
            </w:tcBorders>
            <w:shd w:val="clear" w:color="000000" w:fill="FFFFFF"/>
            <w:vAlign w:val="center"/>
            <w:hideMark/>
          </w:tcPr>
          <w:p w14:paraId="7F9F184D" w14:textId="0E3B5C2B" w:rsidR="00756505" w:rsidRPr="005B3511" w:rsidRDefault="00756505" w:rsidP="005B3511">
            <w:pPr>
              <w:tabs>
                <w:tab w:val="clear" w:pos="7100"/>
              </w:tabs>
              <w:spacing w:line="240" w:lineRule="auto"/>
              <w:jc w:val="left"/>
              <w:rPr>
                <w:rFonts w:ascii="Arial Narrow" w:hAnsi="Arial Narrow"/>
                <w:sz w:val="16"/>
                <w:szCs w:val="16"/>
                <w:lang w:val="it-IT" w:eastAsia="it-IT"/>
              </w:rPr>
            </w:pPr>
          </w:p>
        </w:tc>
        <w:tc>
          <w:tcPr>
            <w:tcW w:w="893" w:type="dxa"/>
            <w:tcBorders>
              <w:top w:val="nil"/>
              <w:left w:val="nil"/>
              <w:bottom w:val="nil"/>
              <w:right w:val="nil"/>
            </w:tcBorders>
            <w:shd w:val="clear" w:color="000000" w:fill="FFFFFF"/>
            <w:noWrap/>
            <w:vAlign w:val="center"/>
            <w:hideMark/>
          </w:tcPr>
          <w:p w14:paraId="15743AAF" w14:textId="164B85EF" w:rsidR="00756505" w:rsidRPr="005B3511" w:rsidRDefault="00756505" w:rsidP="00B769EC">
            <w:pPr>
              <w:tabs>
                <w:tab w:val="clear" w:pos="7100"/>
              </w:tabs>
              <w:spacing w:line="240" w:lineRule="auto"/>
              <w:jc w:val="center"/>
              <w:rPr>
                <w:rFonts w:ascii="Arial Narrow" w:hAnsi="Arial Narrow"/>
                <w:sz w:val="16"/>
                <w:szCs w:val="16"/>
                <w:lang w:val="it-IT" w:eastAsia="it-IT"/>
              </w:rPr>
            </w:pPr>
          </w:p>
        </w:tc>
        <w:tc>
          <w:tcPr>
            <w:tcW w:w="869" w:type="dxa"/>
            <w:tcBorders>
              <w:top w:val="nil"/>
              <w:left w:val="nil"/>
              <w:bottom w:val="nil"/>
              <w:right w:val="nil"/>
            </w:tcBorders>
            <w:shd w:val="clear" w:color="000000" w:fill="FFFFFF"/>
            <w:noWrap/>
            <w:vAlign w:val="center"/>
            <w:hideMark/>
          </w:tcPr>
          <w:p w14:paraId="26FC1707" w14:textId="77777777" w:rsidR="00756505" w:rsidRPr="005B3511" w:rsidRDefault="00756505" w:rsidP="005B3511">
            <w:pPr>
              <w:tabs>
                <w:tab w:val="clear" w:pos="7100"/>
              </w:tabs>
              <w:spacing w:line="240" w:lineRule="auto"/>
              <w:jc w:val="center"/>
              <w:rPr>
                <w:rFonts w:ascii="Arial Narrow" w:hAnsi="Arial Narrow"/>
                <w:sz w:val="16"/>
                <w:szCs w:val="16"/>
                <w:lang w:val="it-IT" w:eastAsia="it-IT"/>
              </w:rPr>
            </w:pPr>
            <w:r w:rsidRPr="005B3511">
              <w:rPr>
                <w:rFonts w:ascii="Arial Narrow" w:hAnsi="Arial Narrow"/>
                <w:sz w:val="16"/>
                <w:szCs w:val="16"/>
                <w:lang w:val="it-IT" w:eastAsia="it-IT"/>
              </w:rPr>
              <w:t>Electrolyzer</w:t>
            </w:r>
          </w:p>
        </w:tc>
        <w:tc>
          <w:tcPr>
            <w:tcW w:w="826" w:type="dxa"/>
            <w:tcBorders>
              <w:top w:val="nil"/>
              <w:left w:val="nil"/>
              <w:bottom w:val="nil"/>
              <w:right w:val="nil"/>
            </w:tcBorders>
            <w:shd w:val="clear" w:color="000000" w:fill="FFFFFF"/>
            <w:noWrap/>
            <w:vAlign w:val="center"/>
            <w:hideMark/>
          </w:tcPr>
          <w:p w14:paraId="300C3E03" w14:textId="77777777" w:rsidR="00756505" w:rsidRPr="005B3511" w:rsidRDefault="00756505" w:rsidP="005B3511">
            <w:pPr>
              <w:tabs>
                <w:tab w:val="clear" w:pos="7100"/>
              </w:tabs>
              <w:spacing w:line="240" w:lineRule="auto"/>
              <w:jc w:val="center"/>
              <w:rPr>
                <w:rFonts w:ascii="Arial Narrow" w:hAnsi="Arial Narrow"/>
                <w:sz w:val="16"/>
                <w:szCs w:val="16"/>
                <w:lang w:val="it-IT" w:eastAsia="it-IT"/>
              </w:rPr>
            </w:pPr>
            <w:r w:rsidRPr="005B3511">
              <w:rPr>
                <w:rFonts w:ascii="Arial Narrow" w:hAnsi="Arial Narrow"/>
                <w:sz w:val="16"/>
                <w:szCs w:val="16"/>
                <w:lang w:val="it-IT" w:eastAsia="it-IT"/>
              </w:rPr>
              <w:t>RWGS</w:t>
            </w:r>
          </w:p>
        </w:tc>
        <w:tc>
          <w:tcPr>
            <w:tcW w:w="826" w:type="dxa"/>
            <w:tcBorders>
              <w:top w:val="nil"/>
              <w:left w:val="nil"/>
              <w:bottom w:val="nil"/>
              <w:right w:val="nil"/>
            </w:tcBorders>
            <w:shd w:val="clear" w:color="000000" w:fill="FFFFFF"/>
            <w:noWrap/>
            <w:vAlign w:val="center"/>
            <w:hideMark/>
          </w:tcPr>
          <w:p w14:paraId="60B3C417" w14:textId="77777777" w:rsidR="00756505" w:rsidRPr="005B3511" w:rsidRDefault="00756505" w:rsidP="005B3511">
            <w:pPr>
              <w:tabs>
                <w:tab w:val="clear" w:pos="7100"/>
              </w:tabs>
              <w:spacing w:line="240" w:lineRule="auto"/>
              <w:jc w:val="center"/>
              <w:rPr>
                <w:rFonts w:ascii="Arial Narrow" w:hAnsi="Arial Narrow"/>
                <w:sz w:val="16"/>
                <w:szCs w:val="16"/>
                <w:lang w:val="it-IT" w:eastAsia="it-IT"/>
              </w:rPr>
            </w:pPr>
            <w:r w:rsidRPr="005B3511">
              <w:rPr>
                <w:rFonts w:ascii="Arial Narrow" w:hAnsi="Arial Narrow"/>
                <w:sz w:val="16"/>
                <w:szCs w:val="16"/>
                <w:lang w:val="it-IT" w:eastAsia="it-IT"/>
              </w:rPr>
              <w:t>FT</w:t>
            </w:r>
          </w:p>
        </w:tc>
        <w:tc>
          <w:tcPr>
            <w:tcW w:w="970" w:type="dxa"/>
            <w:tcBorders>
              <w:top w:val="nil"/>
              <w:left w:val="nil"/>
              <w:bottom w:val="nil"/>
              <w:right w:val="nil"/>
            </w:tcBorders>
            <w:shd w:val="clear" w:color="000000" w:fill="FFFFFF"/>
            <w:noWrap/>
            <w:vAlign w:val="center"/>
            <w:hideMark/>
          </w:tcPr>
          <w:p w14:paraId="6B769FBD" w14:textId="77777777" w:rsidR="00756505" w:rsidRPr="005B3511" w:rsidRDefault="00756505" w:rsidP="005B3511">
            <w:pPr>
              <w:tabs>
                <w:tab w:val="clear" w:pos="7100"/>
              </w:tabs>
              <w:spacing w:line="240" w:lineRule="auto"/>
              <w:jc w:val="center"/>
              <w:rPr>
                <w:rFonts w:ascii="Arial Narrow" w:hAnsi="Arial Narrow"/>
                <w:sz w:val="16"/>
                <w:szCs w:val="16"/>
                <w:lang w:val="it-IT" w:eastAsia="it-IT"/>
              </w:rPr>
            </w:pPr>
            <w:r w:rsidRPr="005B3511">
              <w:rPr>
                <w:rFonts w:ascii="Arial Narrow" w:hAnsi="Arial Narrow"/>
                <w:sz w:val="16"/>
                <w:szCs w:val="16"/>
                <w:lang w:val="it-IT" w:eastAsia="it-IT"/>
              </w:rPr>
              <w:t>Hydrocracker</w:t>
            </w:r>
          </w:p>
        </w:tc>
        <w:tc>
          <w:tcPr>
            <w:tcW w:w="869" w:type="dxa"/>
            <w:tcBorders>
              <w:top w:val="nil"/>
              <w:left w:val="nil"/>
              <w:bottom w:val="nil"/>
              <w:right w:val="nil"/>
            </w:tcBorders>
            <w:shd w:val="clear" w:color="000000" w:fill="FFFFFF"/>
            <w:noWrap/>
            <w:vAlign w:val="center"/>
            <w:hideMark/>
          </w:tcPr>
          <w:p w14:paraId="40DAF964" w14:textId="77777777" w:rsidR="00756505" w:rsidRPr="005B3511" w:rsidRDefault="00756505" w:rsidP="005B3511">
            <w:pPr>
              <w:tabs>
                <w:tab w:val="clear" w:pos="7100"/>
              </w:tabs>
              <w:spacing w:line="240" w:lineRule="auto"/>
              <w:jc w:val="center"/>
              <w:rPr>
                <w:rFonts w:ascii="Arial Narrow" w:hAnsi="Arial Narrow"/>
                <w:sz w:val="16"/>
                <w:szCs w:val="16"/>
                <w:lang w:val="it-IT" w:eastAsia="it-IT"/>
              </w:rPr>
            </w:pPr>
            <w:r w:rsidRPr="005B3511">
              <w:rPr>
                <w:rFonts w:ascii="Arial Narrow" w:hAnsi="Arial Narrow"/>
                <w:sz w:val="16"/>
                <w:szCs w:val="16"/>
                <w:lang w:val="it-IT" w:eastAsia="it-IT"/>
              </w:rPr>
              <w:t>Electrolyzer</w:t>
            </w:r>
          </w:p>
        </w:tc>
        <w:tc>
          <w:tcPr>
            <w:tcW w:w="826" w:type="dxa"/>
            <w:tcBorders>
              <w:top w:val="nil"/>
              <w:left w:val="nil"/>
              <w:bottom w:val="nil"/>
              <w:right w:val="nil"/>
            </w:tcBorders>
            <w:shd w:val="clear" w:color="000000" w:fill="FFFFFF"/>
            <w:noWrap/>
            <w:vAlign w:val="center"/>
            <w:hideMark/>
          </w:tcPr>
          <w:p w14:paraId="2B9E422D" w14:textId="77777777" w:rsidR="00756505" w:rsidRPr="005B3511" w:rsidRDefault="00756505" w:rsidP="005B3511">
            <w:pPr>
              <w:tabs>
                <w:tab w:val="clear" w:pos="7100"/>
              </w:tabs>
              <w:spacing w:line="240" w:lineRule="auto"/>
              <w:jc w:val="center"/>
              <w:rPr>
                <w:rFonts w:ascii="Arial Narrow" w:hAnsi="Arial Narrow"/>
                <w:sz w:val="16"/>
                <w:szCs w:val="16"/>
                <w:lang w:val="it-IT" w:eastAsia="it-IT"/>
              </w:rPr>
            </w:pPr>
            <w:r w:rsidRPr="005B3511">
              <w:rPr>
                <w:rFonts w:ascii="Arial Narrow" w:hAnsi="Arial Narrow"/>
                <w:sz w:val="16"/>
                <w:szCs w:val="16"/>
                <w:lang w:val="it-IT" w:eastAsia="it-IT"/>
              </w:rPr>
              <w:t>RWGS</w:t>
            </w:r>
          </w:p>
        </w:tc>
        <w:tc>
          <w:tcPr>
            <w:tcW w:w="826" w:type="dxa"/>
            <w:tcBorders>
              <w:top w:val="nil"/>
              <w:left w:val="nil"/>
              <w:bottom w:val="nil"/>
              <w:right w:val="nil"/>
            </w:tcBorders>
            <w:shd w:val="clear" w:color="000000" w:fill="FFFFFF"/>
            <w:noWrap/>
            <w:vAlign w:val="center"/>
            <w:hideMark/>
          </w:tcPr>
          <w:p w14:paraId="715D91CF" w14:textId="77777777" w:rsidR="00756505" w:rsidRPr="005B3511" w:rsidRDefault="00756505" w:rsidP="005B3511">
            <w:pPr>
              <w:tabs>
                <w:tab w:val="clear" w:pos="7100"/>
              </w:tabs>
              <w:spacing w:line="240" w:lineRule="auto"/>
              <w:jc w:val="center"/>
              <w:rPr>
                <w:rFonts w:ascii="Arial Narrow" w:hAnsi="Arial Narrow"/>
                <w:sz w:val="16"/>
                <w:szCs w:val="16"/>
                <w:lang w:val="it-IT" w:eastAsia="it-IT"/>
              </w:rPr>
            </w:pPr>
            <w:r w:rsidRPr="005B3511">
              <w:rPr>
                <w:rFonts w:ascii="Arial Narrow" w:hAnsi="Arial Narrow"/>
                <w:sz w:val="16"/>
                <w:szCs w:val="16"/>
                <w:lang w:val="it-IT" w:eastAsia="it-IT"/>
              </w:rPr>
              <w:t>FT</w:t>
            </w:r>
          </w:p>
        </w:tc>
        <w:tc>
          <w:tcPr>
            <w:tcW w:w="969" w:type="dxa"/>
            <w:tcBorders>
              <w:top w:val="nil"/>
              <w:left w:val="nil"/>
              <w:bottom w:val="nil"/>
              <w:right w:val="nil"/>
            </w:tcBorders>
            <w:shd w:val="clear" w:color="000000" w:fill="FFFFFF"/>
            <w:noWrap/>
            <w:vAlign w:val="center"/>
            <w:hideMark/>
          </w:tcPr>
          <w:p w14:paraId="2DAFADC2" w14:textId="77777777" w:rsidR="00756505" w:rsidRPr="005B3511" w:rsidRDefault="00756505" w:rsidP="005B3511">
            <w:pPr>
              <w:tabs>
                <w:tab w:val="clear" w:pos="7100"/>
              </w:tabs>
              <w:spacing w:line="240" w:lineRule="auto"/>
              <w:jc w:val="center"/>
              <w:rPr>
                <w:rFonts w:ascii="Arial Narrow" w:hAnsi="Arial Narrow"/>
                <w:sz w:val="16"/>
                <w:szCs w:val="16"/>
                <w:lang w:val="it-IT" w:eastAsia="it-IT"/>
              </w:rPr>
            </w:pPr>
            <w:r w:rsidRPr="005B3511">
              <w:rPr>
                <w:rFonts w:ascii="Arial Narrow" w:hAnsi="Arial Narrow"/>
                <w:sz w:val="16"/>
                <w:szCs w:val="16"/>
                <w:lang w:val="it-IT" w:eastAsia="it-IT"/>
              </w:rPr>
              <w:t>Hydrocracker</w:t>
            </w:r>
          </w:p>
        </w:tc>
      </w:tr>
      <w:tr w:rsidR="00B747AE" w:rsidRPr="00B747AE" w14:paraId="1D524621" w14:textId="77777777" w:rsidTr="00B747AE">
        <w:trPr>
          <w:trHeight w:val="237"/>
        </w:trPr>
        <w:tc>
          <w:tcPr>
            <w:tcW w:w="1653" w:type="dxa"/>
            <w:tcBorders>
              <w:top w:val="nil"/>
              <w:left w:val="nil"/>
              <w:bottom w:val="single" w:sz="4" w:space="0" w:color="auto"/>
              <w:right w:val="nil"/>
            </w:tcBorders>
            <w:shd w:val="clear" w:color="000000" w:fill="FFFFFF"/>
            <w:vAlign w:val="center"/>
            <w:hideMark/>
          </w:tcPr>
          <w:p w14:paraId="544BE565" w14:textId="77777777" w:rsidR="00756505" w:rsidRPr="005B3511" w:rsidRDefault="00756505" w:rsidP="005B3511">
            <w:pPr>
              <w:tabs>
                <w:tab w:val="clear" w:pos="7100"/>
              </w:tabs>
              <w:spacing w:line="240" w:lineRule="auto"/>
              <w:jc w:val="left"/>
              <w:rPr>
                <w:rFonts w:ascii="Arial Narrow" w:hAnsi="Arial Narrow"/>
                <w:b/>
                <w:bCs/>
                <w:sz w:val="16"/>
                <w:szCs w:val="16"/>
                <w:lang w:val="it-IT" w:eastAsia="it-IT"/>
              </w:rPr>
            </w:pPr>
            <w:r w:rsidRPr="005B3511">
              <w:rPr>
                <w:rFonts w:ascii="Arial Narrow" w:hAnsi="Arial Narrow"/>
                <w:b/>
                <w:bCs/>
                <w:sz w:val="16"/>
                <w:szCs w:val="16"/>
                <w:lang w:val="it-IT" w:eastAsia="it-IT"/>
              </w:rPr>
              <w:t>ENERGY</w:t>
            </w:r>
          </w:p>
        </w:tc>
        <w:tc>
          <w:tcPr>
            <w:tcW w:w="893" w:type="dxa"/>
            <w:tcBorders>
              <w:top w:val="nil"/>
              <w:left w:val="nil"/>
              <w:bottom w:val="single" w:sz="4" w:space="0" w:color="auto"/>
              <w:right w:val="nil"/>
            </w:tcBorders>
            <w:shd w:val="clear" w:color="000000" w:fill="FFFFFF"/>
            <w:noWrap/>
            <w:vAlign w:val="center"/>
            <w:hideMark/>
          </w:tcPr>
          <w:p w14:paraId="7EAC2CED" w14:textId="6A5DF105" w:rsidR="00756505" w:rsidRPr="005B3511" w:rsidRDefault="00756505" w:rsidP="00B769EC">
            <w:pPr>
              <w:tabs>
                <w:tab w:val="clear" w:pos="7100"/>
              </w:tabs>
              <w:spacing w:line="240" w:lineRule="auto"/>
              <w:jc w:val="center"/>
              <w:rPr>
                <w:rFonts w:ascii="Arial Narrow" w:hAnsi="Arial Narrow"/>
                <w:sz w:val="16"/>
                <w:szCs w:val="16"/>
                <w:lang w:val="it-IT" w:eastAsia="it-IT"/>
              </w:rPr>
            </w:pPr>
          </w:p>
        </w:tc>
        <w:tc>
          <w:tcPr>
            <w:tcW w:w="869" w:type="dxa"/>
            <w:tcBorders>
              <w:top w:val="nil"/>
              <w:left w:val="nil"/>
              <w:bottom w:val="single" w:sz="4" w:space="0" w:color="auto"/>
              <w:right w:val="nil"/>
            </w:tcBorders>
            <w:shd w:val="clear" w:color="000000" w:fill="FFFFFF"/>
            <w:noWrap/>
            <w:vAlign w:val="center"/>
            <w:hideMark/>
          </w:tcPr>
          <w:p w14:paraId="2E448D1D" w14:textId="16A7C850"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c>
          <w:tcPr>
            <w:tcW w:w="826" w:type="dxa"/>
            <w:tcBorders>
              <w:top w:val="nil"/>
              <w:left w:val="nil"/>
              <w:bottom w:val="single" w:sz="4" w:space="0" w:color="auto"/>
              <w:right w:val="nil"/>
            </w:tcBorders>
            <w:shd w:val="clear" w:color="000000" w:fill="FFFFFF"/>
            <w:noWrap/>
            <w:vAlign w:val="center"/>
            <w:hideMark/>
          </w:tcPr>
          <w:p w14:paraId="16E665AF" w14:textId="3DBC5CA9"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c>
          <w:tcPr>
            <w:tcW w:w="826" w:type="dxa"/>
            <w:tcBorders>
              <w:top w:val="nil"/>
              <w:left w:val="nil"/>
              <w:bottom w:val="single" w:sz="4" w:space="0" w:color="auto"/>
              <w:right w:val="nil"/>
            </w:tcBorders>
            <w:shd w:val="clear" w:color="000000" w:fill="FFFFFF"/>
            <w:noWrap/>
            <w:vAlign w:val="center"/>
            <w:hideMark/>
          </w:tcPr>
          <w:p w14:paraId="1FD79D61" w14:textId="7E3B90B0"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c>
          <w:tcPr>
            <w:tcW w:w="970" w:type="dxa"/>
            <w:tcBorders>
              <w:top w:val="nil"/>
              <w:left w:val="nil"/>
              <w:bottom w:val="single" w:sz="4" w:space="0" w:color="auto"/>
              <w:right w:val="nil"/>
            </w:tcBorders>
            <w:shd w:val="clear" w:color="000000" w:fill="FFFFFF"/>
            <w:noWrap/>
            <w:vAlign w:val="center"/>
            <w:hideMark/>
          </w:tcPr>
          <w:p w14:paraId="2DBD4B8F" w14:textId="4E2AB336"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c>
          <w:tcPr>
            <w:tcW w:w="869" w:type="dxa"/>
            <w:tcBorders>
              <w:top w:val="nil"/>
              <w:left w:val="nil"/>
              <w:bottom w:val="single" w:sz="4" w:space="0" w:color="auto"/>
              <w:right w:val="nil"/>
            </w:tcBorders>
            <w:shd w:val="clear" w:color="000000" w:fill="FFFFFF"/>
            <w:noWrap/>
            <w:vAlign w:val="center"/>
            <w:hideMark/>
          </w:tcPr>
          <w:p w14:paraId="52088510" w14:textId="30F44CCC"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c>
          <w:tcPr>
            <w:tcW w:w="826" w:type="dxa"/>
            <w:tcBorders>
              <w:top w:val="nil"/>
              <w:left w:val="nil"/>
              <w:bottom w:val="single" w:sz="4" w:space="0" w:color="auto"/>
              <w:right w:val="nil"/>
            </w:tcBorders>
            <w:shd w:val="clear" w:color="000000" w:fill="FFFFFF"/>
            <w:noWrap/>
            <w:vAlign w:val="center"/>
            <w:hideMark/>
          </w:tcPr>
          <w:p w14:paraId="2BE5A808" w14:textId="2732EAE1"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c>
          <w:tcPr>
            <w:tcW w:w="826" w:type="dxa"/>
            <w:tcBorders>
              <w:top w:val="nil"/>
              <w:left w:val="nil"/>
              <w:bottom w:val="single" w:sz="4" w:space="0" w:color="auto"/>
              <w:right w:val="nil"/>
            </w:tcBorders>
            <w:shd w:val="clear" w:color="000000" w:fill="FFFFFF"/>
            <w:noWrap/>
            <w:vAlign w:val="center"/>
            <w:hideMark/>
          </w:tcPr>
          <w:p w14:paraId="246BFFFE" w14:textId="67697920"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c>
          <w:tcPr>
            <w:tcW w:w="969" w:type="dxa"/>
            <w:tcBorders>
              <w:top w:val="nil"/>
              <w:left w:val="nil"/>
              <w:bottom w:val="single" w:sz="4" w:space="0" w:color="auto"/>
              <w:right w:val="nil"/>
            </w:tcBorders>
            <w:shd w:val="clear" w:color="000000" w:fill="FFFFFF"/>
            <w:noWrap/>
            <w:vAlign w:val="center"/>
            <w:hideMark/>
          </w:tcPr>
          <w:p w14:paraId="5E4878E1" w14:textId="5458B417"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r>
      <w:tr w:rsidR="00756505" w:rsidRPr="005B3511" w14:paraId="5D925C65" w14:textId="77777777" w:rsidTr="00B769EC">
        <w:trPr>
          <w:trHeight w:val="237"/>
        </w:trPr>
        <w:tc>
          <w:tcPr>
            <w:tcW w:w="1653" w:type="dxa"/>
            <w:tcBorders>
              <w:top w:val="nil"/>
              <w:left w:val="nil"/>
              <w:bottom w:val="nil"/>
              <w:right w:val="nil"/>
            </w:tcBorders>
            <w:shd w:val="clear" w:color="000000" w:fill="FFFFFF"/>
            <w:vAlign w:val="center"/>
            <w:hideMark/>
          </w:tcPr>
          <w:p w14:paraId="78591329" w14:textId="77777777" w:rsidR="00756505" w:rsidRPr="005B3511" w:rsidRDefault="00756505" w:rsidP="005B3511">
            <w:pPr>
              <w:tabs>
                <w:tab w:val="clear" w:pos="7100"/>
              </w:tabs>
              <w:spacing w:line="240" w:lineRule="auto"/>
              <w:jc w:val="left"/>
              <w:rPr>
                <w:rFonts w:ascii="Arial Narrow" w:hAnsi="Arial Narrow"/>
                <w:sz w:val="16"/>
                <w:szCs w:val="16"/>
                <w:lang w:val="it-IT" w:eastAsia="it-IT"/>
              </w:rPr>
            </w:pPr>
            <w:r w:rsidRPr="005B3511">
              <w:rPr>
                <w:rFonts w:ascii="Arial Narrow" w:hAnsi="Arial Narrow"/>
                <w:sz w:val="16"/>
                <w:szCs w:val="16"/>
                <w:lang w:val="it-IT" w:eastAsia="it-IT"/>
              </w:rPr>
              <w:t>GRID Energy</w:t>
            </w:r>
          </w:p>
        </w:tc>
        <w:tc>
          <w:tcPr>
            <w:tcW w:w="893" w:type="dxa"/>
            <w:tcBorders>
              <w:top w:val="nil"/>
              <w:left w:val="nil"/>
              <w:bottom w:val="nil"/>
              <w:right w:val="nil"/>
            </w:tcBorders>
            <w:shd w:val="clear" w:color="000000" w:fill="FFFFFF"/>
            <w:noWrap/>
            <w:vAlign w:val="center"/>
            <w:hideMark/>
          </w:tcPr>
          <w:p w14:paraId="0C410E6C" w14:textId="77777777" w:rsidR="00756505" w:rsidRPr="005B3511" w:rsidRDefault="00756505" w:rsidP="00B769EC">
            <w:pPr>
              <w:tabs>
                <w:tab w:val="clear" w:pos="7100"/>
              </w:tabs>
              <w:spacing w:line="240" w:lineRule="auto"/>
              <w:jc w:val="center"/>
              <w:rPr>
                <w:rFonts w:ascii="Arial Narrow" w:hAnsi="Arial Narrow"/>
                <w:sz w:val="16"/>
                <w:szCs w:val="16"/>
                <w:lang w:val="it-IT" w:eastAsia="it-IT"/>
              </w:rPr>
            </w:pPr>
            <w:r w:rsidRPr="005B3511">
              <w:rPr>
                <w:rFonts w:ascii="Arial Narrow" w:hAnsi="Arial Narrow"/>
                <w:sz w:val="16"/>
                <w:szCs w:val="16"/>
                <w:lang w:val="it-IT" w:eastAsia="it-IT"/>
              </w:rPr>
              <w:t>GWh/y</w:t>
            </w:r>
          </w:p>
        </w:tc>
        <w:tc>
          <w:tcPr>
            <w:tcW w:w="869" w:type="dxa"/>
            <w:tcBorders>
              <w:top w:val="nil"/>
              <w:left w:val="nil"/>
              <w:bottom w:val="nil"/>
              <w:right w:val="nil"/>
            </w:tcBorders>
            <w:shd w:val="clear" w:color="000000" w:fill="FFFFFF"/>
            <w:noWrap/>
            <w:vAlign w:val="center"/>
            <w:hideMark/>
          </w:tcPr>
          <w:p w14:paraId="36D308E5" w14:textId="77777777" w:rsidR="00756505" w:rsidRPr="005B3511" w:rsidRDefault="00756505" w:rsidP="005B3511">
            <w:pPr>
              <w:tabs>
                <w:tab w:val="clear" w:pos="7100"/>
              </w:tabs>
              <w:spacing w:line="240" w:lineRule="auto"/>
              <w:jc w:val="center"/>
              <w:rPr>
                <w:rFonts w:ascii="Arial Narrow" w:hAnsi="Arial Narrow"/>
                <w:sz w:val="16"/>
                <w:szCs w:val="16"/>
                <w:lang w:val="it-IT" w:eastAsia="it-IT"/>
              </w:rPr>
            </w:pPr>
            <w:r w:rsidRPr="005B3511">
              <w:rPr>
                <w:rFonts w:ascii="Arial Narrow" w:hAnsi="Arial Narrow"/>
                <w:sz w:val="16"/>
                <w:szCs w:val="16"/>
                <w:lang w:val="it-IT" w:eastAsia="it-IT"/>
              </w:rPr>
              <w:t>2520</w:t>
            </w:r>
          </w:p>
        </w:tc>
        <w:tc>
          <w:tcPr>
            <w:tcW w:w="2623" w:type="dxa"/>
            <w:gridSpan w:val="3"/>
            <w:tcBorders>
              <w:top w:val="single" w:sz="4" w:space="0" w:color="auto"/>
              <w:left w:val="nil"/>
              <w:bottom w:val="nil"/>
              <w:right w:val="nil"/>
            </w:tcBorders>
            <w:shd w:val="clear" w:color="000000" w:fill="FFFFFF"/>
            <w:noWrap/>
            <w:vAlign w:val="center"/>
            <w:hideMark/>
          </w:tcPr>
          <w:p w14:paraId="590913DA" w14:textId="77777777" w:rsidR="00756505" w:rsidRPr="005B3511" w:rsidRDefault="00756505" w:rsidP="005B3511">
            <w:pPr>
              <w:tabs>
                <w:tab w:val="clear" w:pos="7100"/>
              </w:tabs>
              <w:spacing w:line="240" w:lineRule="auto"/>
              <w:jc w:val="center"/>
              <w:rPr>
                <w:rFonts w:ascii="Arial Narrow" w:hAnsi="Arial Narrow"/>
                <w:sz w:val="16"/>
                <w:szCs w:val="16"/>
                <w:lang w:val="it-IT" w:eastAsia="it-IT"/>
              </w:rPr>
            </w:pPr>
            <w:r w:rsidRPr="005B3511">
              <w:rPr>
                <w:rFonts w:ascii="Arial Narrow" w:hAnsi="Arial Narrow"/>
                <w:sz w:val="16"/>
                <w:szCs w:val="16"/>
                <w:lang w:val="it-IT" w:eastAsia="it-IT"/>
              </w:rPr>
              <w:t>420</w:t>
            </w:r>
          </w:p>
        </w:tc>
        <w:tc>
          <w:tcPr>
            <w:tcW w:w="869" w:type="dxa"/>
            <w:tcBorders>
              <w:top w:val="nil"/>
              <w:left w:val="nil"/>
              <w:bottom w:val="nil"/>
              <w:right w:val="nil"/>
            </w:tcBorders>
            <w:shd w:val="clear" w:color="000000" w:fill="FFFFFF"/>
            <w:noWrap/>
            <w:vAlign w:val="center"/>
            <w:hideMark/>
          </w:tcPr>
          <w:p w14:paraId="4C4B8A28" w14:textId="77777777" w:rsidR="00756505" w:rsidRPr="005B3511" w:rsidRDefault="00756505" w:rsidP="005B3511">
            <w:pPr>
              <w:tabs>
                <w:tab w:val="clear" w:pos="7100"/>
              </w:tabs>
              <w:spacing w:line="240" w:lineRule="auto"/>
              <w:jc w:val="center"/>
              <w:rPr>
                <w:rFonts w:ascii="Arial Narrow" w:hAnsi="Arial Narrow"/>
                <w:sz w:val="16"/>
                <w:szCs w:val="16"/>
                <w:lang w:val="it-IT" w:eastAsia="it-IT"/>
              </w:rPr>
            </w:pPr>
            <w:r w:rsidRPr="005B3511">
              <w:rPr>
                <w:rFonts w:ascii="Arial Narrow" w:hAnsi="Arial Narrow"/>
                <w:sz w:val="16"/>
                <w:szCs w:val="16"/>
                <w:lang w:val="it-IT" w:eastAsia="it-IT"/>
              </w:rPr>
              <w:t>0</w:t>
            </w:r>
          </w:p>
        </w:tc>
        <w:tc>
          <w:tcPr>
            <w:tcW w:w="826" w:type="dxa"/>
            <w:tcBorders>
              <w:top w:val="nil"/>
              <w:left w:val="nil"/>
              <w:bottom w:val="nil"/>
              <w:right w:val="nil"/>
            </w:tcBorders>
            <w:shd w:val="clear" w:color="000000" w:fill="FFFFFF"/>
            <w:noWrap/>
            <w:vAlign w:val="center"/>
            <w:hideMark/>
          </w:tcPr>
          <w:p w14:paraId="08FFF2F5" w14:textId="77777777" w:rsidR="00756505" w:rsidRPr="005B3511" w:rsidRDefault="00756505" w:rsidP="005B3511">
            <w:pPr>
              <w:tabs>
                <w:tab w:val="clear" w:pos="7100"/>
              </w:tabs>
              <w:spacing w:line="240" w:lineRule="auto"/>
              <w:jc w:val="center"/>
              <w:rPr>
                <w:rFonts w:ascii="Arial Narrow" w:hAnsi="Arial Narrow"/>
                <w:sz w:val="16"/>
                <w:szCs w:val="16"/>
                <w:lang w:val="it-IT" w:eastAsia="it-IT"/>
              </w:rPr>
            </w:pPr>
            <w:r w:rsidRPr="005B3511">
              <w:rPr>
                <w:rFonts w:ascii="Arial Narrow" w:hAnsi="Arial Narrow"/>
                <w:sz w:val="16"/>
                <w:szCs w:val="16"/>
                <w:lang w:val="it-IT" w:eastAsia="it-IT"/>
              </w:rPr>
              <w:t>0</w:t>
            </w:r>
          </w:p>
        </w:tc>
        <w:tc>
          <w:tcPr>
            <w:tcW w:w="826" w:type="dxa"/>
            <w:tcBorders>
              <w:top w:val="nil"/>
              <w:left w:val="nil"/>
              <w:bottom w:val="nil"/>
              <w:right w:val="nil"/>
            </w:tcBorders>
            <w:shd w:val="clear" w:color="000000" w:fill="FFFFFF"/>
            <w:noWrap/>
            <w:vAlign w:val="center"/>
            <w:hideMark/>
          </w:tcPr>
          <w:p w14:paraId="5E184CFC" w14:textId="6A01ACAC"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c>
          <w:tcPr>
            <w:tcW w:w="969" w:type="dxa"/>
            <w:tcBorders>
              <w:top w:val="nil"/>
              <w:left w:val="nil"/>
              <w:bottom w:val="nil"/>
              <w:right w:val="nil"/>
            </w:tcBorders>
            <w:shd w:val="clear" w:color="000000" w:fill="FFFFFF"/>
            <w:noWrap/>
            <w:vAlign w:val="center"/>
            <w:hideMark/>
          </w:tcPr>
          <w:p w14:paraId="654E5149" w14:textId="5D4A25EA"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r>
      <w:tr w:rsidR="00756505" w:rsidRPr="005B3511" w14:paraId="39270BE4" w14:textId="77777777" w:rsidTr="00B769EC">
        <w:trPr>
          <w:trHeight w:val="237"/>
        </w:trPr>
        <w:tc>
          <w:tcPr>
            <w:tcW w:w="1653" w:type="dxa"/>
            <w:tcBorders>
              <w:top w:val="nil"/>
              <w:left w:val="nil"/>
              <w:bottom w:val="nil"/>
              <w:right w:val="nil"/>
            </w:tcBorders>
            <w:shd w:val="clear" w:color="000000" w:fill="FFFFFF"/>
            <w:vAlign w:val="center"/>
            <w:hideMark/>
          </w:tcPr>
          <w:p w14:paraId="4A38A5BA" w14:textId="77777777" w:rsidR="00756505" w:rsidRPr="005B3511" w:rsidRDefault="00756505" w:rsidP="005B3511">
            <w:pPr>
              <w:tabs>
                <w:tab w:val="clear" w:pos="7100"/>
              </w:tabs>
              <w:spacing w:line="240" w:lineRule="auto"/>
              <w:jc w:val="left"/>
              <w:rPr>
                <w:rFonts w:ascii="Arial Narrow" w:hAnsi="Arial Narrow"/>
                <w:sz w:val="16"/>
                <w:szCs w:val="16"/>
                <w:lang w:val="it-IT" w:eastAsia="it-IT"/>
              </w:rPr>
            </w:pPr>
            <w:r w:rsidRPr="005B3511">
              <w:rPr>
                <w:rFonts w:ascii="Arial Narrow" w:hAnsi="Arial Narrow"/>
                <w:sz w:val="16"/>
                <w:szCs w:val="16"/>
                <w:lang w:val="it-IT" w:eastAsia="it-IT"/>
              </w:rPr>
              <w:t>REN Wind Farm Energy</w:t>
            </w:r>
          </w:p>
        </w:tc>
        <w:tc>
          <w:tcPr>
            <w:tcW w:w="893" w:type="dxa"/>
            <w:tcBorders>
              <w:top w:val="nil"/>
              <w:left w:val="nil"/>
              <w:bottom w:val="nil"/>
              <w:right w:val="nil"/>
            </w:tcBorders>
            <w:shd w:val="clear" w:color="000000" w:fill="FFFFFF"/>
            <w:noWrap/>
            <w:vAlign w:val="center"/>
            <w:hideMark/>
          </w:tcPr>
          <w:p w14:paraId="7A3AA337" w14:textId="77777777" w:rsidR="00756505" w:rsidRPr="005B3511" w:rsidRDefault="00756505" w:rsidP="00B769EC">
            <w:pPr>
              <w:tabs>
                <w:tab w:val="clear" w:pos="7100"/>
              </w:tabs>
              <w:spacing w:line="240" w:lineRule="auto"/>
              <w:jc w:val="center"/>
              <w:rPr>
                <w:rFonts w:ascii="Arial Narrow" w:hAnsi="Arial Narrow"/>
                <w:sz w:val="16"/>
                <w:szCs w:val="16"/>
                <w:lang w:val="it-IT" w:eastAsia="it-IT"/>
              </w:rPr>
            </w:pPr>
            <w:r w:rsidRPr="005B3511">
              <w:rPr>
                <w:rFonts w:ascii="Arial Narrow" w:hAnsi="Arial Narrow"/>
                <w:sz w:val="16"/>
                <w:szCs w:val="16"/>
                <w:lang w:val="it-IT" w:eastAsia="it-IT"/>
              </w:rPr>
              <w:t>GWh/y</w:t>
            </w:r>
          </w:p>
        </w:tc>
        <w:tc>
          <w:tcPr>
            <w:tcW w:w="869" w:type="dxa"/>
            <w:tcBorders>
              <w:top w:val="nil"/>
              <w:left w:val="nil"/>
              <w:bottom w:val="nil"/>
              <w:right w:val="nil"/>
            </w:tcBorders>
            <w:shd w:val="clear" w:color="000000" w:fill="FFFFFF"/>
            <w:noWrap/>
            <w:vAlign w:val="center"/>
            <w:hideMark/>
          </w:tcPr>
          <w:p w14:paraId="36945C3C" w14:textId="77777777" w:rsidR="00756505" w:rsidRPr="005B3511" w:rsidRDefault="00756505" w:rsidP="005B3511">
            <w:pPr>
              <w:tabs>
                <w:tab w:val="clear" w:pos="7100"/>
              </w:tabs>
              <w:spacing w:line="240" w:lineRule="auto"/>
              <w:jc w:val="center"/>
              <w:rPr>
                <w:rFonts w:ascii="Arial Narrow" w:hAnsi="Arial Narrow"/>
                <w:sz w:val="16"/>
                <w:szCs w:val="16"/>
                <w:lang w:val="it-IT" w:eastAsia="it-IT"/>
              </w:rPr>
            </w:pPr>
            <w:r w:rsidRPr="005B3511">
              <w:rPr>
                <w:rFonts w:ascii="Arial Narrow" w:hAnsi="Arial Narrow"/>
                <w:sz w:val="16"/>
                <w:szCs w:val="16"/>
                <w:lang w:val="it-IT" w:eastAsia="it-IT"/>
              </w:rPr>
              <w:t>0</w:t>
            </w:r>
          </w:p>
        </w:tc>
        <w:tc>
          <w:tcPr>
            <w:tcW w:w="2623" w:type="dxa"/>
            <w:gridSpan w:val="3"/>
            <w:tcBorders>
              <w:top w:val="nil"/>
              <w:left w:val="nil"/>
              <w:bottom w:val="nil"/>
              <w:right w:val="nil"/>
            </w:tcBorders>
            <w:shd w:val="clear" w:color="000000" w:fill="FFFFFF"/>
            <w:noWrap/>
            <w:vAlign w:val="center"/>
            <w:hideMark/>
          </w:tcPr>
          <w:p w14:paraId="74A328F5" w14:textId="77777777" w:rsidR="00756505" w:rsidRPr="005B3511" w:rsidRDefault="00756505" w:rsidP="005B3511">
            <w:pPr>
              <w:tabs>
                <w:tab w:val="clear" w:pos="7100"/>
              </w:tabs>
              <w:spacing w:line="240" w:lineRule="auto"/>
              <w:jc w:val="center"/>
              <w:rPr>
                <w:rFonts w:ascii="Arial Narrow" w:hAnsi="Arial Narrow"/>
                <w:sz w:val="16"/>
                <w:szCs w:val="16"/>
                <w:lang w:val="it-IT" w:eastAsia="it-IT"/>
              </w:rPr>
            </w:pPr>
            <w:r w:rsidRPr="005B3511">
              <w:rPr>
                <w:rFonts w:ascii="Arial Narrow" w:hAnsi="Arial Narrow"/>
                <w:sz w:val="16"/>
                <w:szCs w:val="16"/>
                <w:lang w:val="it-IT" w:eastAsia="it-IT"/>
              </w:rPr>
              <w:t>0</w:t>
            </w:r>
          </w:p>
        </w:tc>
        <w:tc>
          <w:tcPr>
            <w:tcW w:w="869" w:type="dxa"/>
            <w:tcBorders>
              <w:top w:val="nil"/>
              <w:left w:val="nil"/>
              <w:bottom w:val="nil"/>
              <w:right w:val="nil"/>
            </w:tcBorders>
            <w:shd w:val="clear" w:color="000000" w:fill="FFFFFF"/>
            <w:noWrap/>
            <w:vAlign w:val="center"/>
            <w:hideMark/>
          </w:tcPr>
          <w:p w14:paraId="326743EE" w14:textId="77777777" w:rsidR="00756505" w:rsidRPr="005B3511" w:rsidRDefault="00756505" w:rsidP="005B3511">
            <w:pPr>
              <w:tabs>
                <w:tab w:val="clear" w:pos="7100"/>
              </w:tabs>
              <w:spacing w:line="240" w:lineRule="auto"/>
              <w:jc w:val="center"/>
              <w:rPr>
                <w:rFonts w:ascii="Arial Narrow" w:hAnsi="Arial Narrow"/>
                <w:sz w:val="16"/>
                <w:szCs w:val="16"/>
                <w:lang w:val="it-IT" w:eastAsia="it-IT"/>
              </w:rPr>
            </w:pPr>
            <w:r w:rsidRPr="005B3511">
              <w:rPr>
                <w:rFonts w:ascii="Arial Narrow" w:hAnsi="Arial Narrow"/>
                <w:sz w:val="16"/>
                <w:szCs w:val="16"/>
                <w:lang w:val="it-IT" w:eastAsia="it-IT"/>
              </w:rPr>
              <w:t>2520</w:t>
            </w:r>
          </w:p>
        </w:tc>
        <w:tc>
          <w:tcPr>
            <w:tcW w:w="826" w:type="dxa"/>
            <w:tcBorders>
              <w:top w:val="nil"/>
              <w:left w:val="nil"/>
              <w:bottom w:val="nil"/>
              <w:right w:val="nil"/>
            </w:tcBorders>
            <w:shd w:val="clear" w:color="000000" w:fill="FFFFFF"/>
            <w:noWrap/>
            <w:vAlign w:val="center"/>
            <w:hideMark/>
          </w:tcPr>
          <w:p w14:paraId="3EA5BDEE" w14:textId="77777777" w:rsidR="00756505" w:rsidRPr="005B3511" w:rsidRDefault="00756505" w:rsidP="005B3511">
            <w:pPr>
              <w:tabs>
                <w:tab w:val="clear" w:pos="7100"/>
              </w:tabs>
              <w:spacing w:line="240" w:lineRule="auto"/>
              <w:jc w:val="center"/>
              <w:rPr>
                <w:rFonts w:ascii="Arial Narrow" w:hAnsi="Arial Narrow"/>
                <w:sz w:val="16"/>
                <w:szCs w:val="16"/>
                <w:lang w:val="it-IT" w:eastAsia="it-IT"/>
              </w:rPr>
            </w:pPr>
            <w:r w:rsidRPr="005B3511">
              <w:rPr>
                <w:rFonts w:ascii="Arial Narrow" w:hAnsi="Arial Narrow"/>
                <w:sz w:val="16"/>
                <w:szCs w:val="16"/>
                <w:lang w:val="it-IT" w:eastAsia="it-IT"/>
              </w:rPr>
              <w:t>420</w:t>
            </w:r>
          </w:p>
        </w:tc>
        <w:tc>
          <w:tcPr>
            <w:tcW w:w="826" w:type="dxa"/>
            <w:tcBorders>
              <w:top w:val="nil"/>
              <w:left w:val="nil"/>
              <w:bottom w:val="nil"/>
              <w:right w:val="nil"/>
            </w:tcBorders>
            <w:shd w:val="clear" w:color="000000" w:fill="FFFFFF"/>
            <w:noWrap/>
            <w:vAlign w:val="center"/>
            <w:hideMark/>
          </w:tcPr>
          <w:p w14:paraId="77741D56" w14:textId="009D5D46"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c>
          <w:tcPr>
            <w:tcW w:w="969" w:type="dxa"/>
            <w:tcBorders>
              <w:top w:val="nil"/>
              <w:left w:val="nil"/>
              <w:bottom w:val="nil"/>
              <w:right w:val="nil"/>
            </w:tcBorders>
            <w:shd w:val="clear" w:color="000000" w:fill="FFFFFF"/>
            <w:noWrap/>
            <w:vAlign w:val="center"/>
            <w:hideMark/>
          </w:tcPr>
          <w:p w14:paraId="3C967031" w14:textId="3010030C"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r>
      <w:tr w:rsidR="00B747AE" w:rsidRPr="00B747AE" w14:paraId="659D5D69" w14:textId="77777777" w:rsidTr="00B747AE">
        <w:trPr>
          <w:trHeight w:val="237"/>
        </w:trPr>
        <w:tc>
          <w:tcPr>
            <w:tcW w:w="1653" w:type="dxa"/>
            <w:tcBorders>
              <w:top w:val="nil"/>
              <w:left w:val="nil"/>
              <w:bottom w:val="nil"/>
              <w:right w:val="nil"/>
            </w:tcBorders>
            <w:shd w:val="clear" w:color="000000" w:fill="FFFFFF"/>
            <w:vAlign w:val="center"/>
            <w:hideMark/>
          </w:tcPr>
          <w:p w14:paraId="22D16ACA" w14:textId="77777777" w:rsidR="00756505" w:rsidRPr="005B3511" w:rsidRDefault="00756505" w:rsidP="005B3511">
            <w:pPr>
              <w:tabs>
                <w:tab w:val="clear" w:pos="7100"/>
              </w:tabs>
              <w:spacing w:line="240" w:lineRule="auto"/>
              <w:jc w:val="left"/>
              <w:rPr>
                <w:rFonts w:ascii="Arial Narrow" w:hAnsi="Arial Narrow"/>
                <w:sz w:val="16"/>
                <w:szCs w:val="16"/>
                <w:lang w:val="it-IT" w:eastAsia="it-IT"/>
              </w:rPr>
            </w:pPr>
            <w:r w:rsidRPr="005B3511">
              <w:rPr>
                <w:rFonts w:ascii="Arial Narrow" w:hAnsi="Arial Narrow"/>
                <w:sz w:val="16"/>
                <w:szCs w:val="16"/>
                <w:lang w:val="it-IT" w:eastAsia="it-IT"/>
              </w:rPr>
              <w:t>Fuel Gas</w:t>
            </w:r>
          </w:p>
        </w:tc>
        <w:tc>
          <w:tcPr>
            <w:tcW w:w="893" w:type="dxa"/>
            <w:tcBorders>
              <w:top w:val="nil"/>
              <w:left w:val="nil"/>
              <w:bottom w:val="nil"/>
              <w:right w:val="nil"/>
            </w:tcBorders>
            <w:shd w:val="clear" w:color="000000" w:fill="FFFFFF"/>
            <w:noWrap/>
            <w:vAlign w:val="center"/>
            <w:hideMark/>
          </w:tcPr>
          <w:p w14:paraId="56FA7DDB" w14:textId="18064634" w:rsidR="00756505" w:rsidRPr="005B3511" w:rsidRDefault="00567074" w:rsidP="00B769EC">
            <w:pPr>
              <w:tabs>
                <w:tab w:val="clear" w:pos="7100"/>
              </w:tabs>
              <w:spacing w:line="240" w:lineRule="auto"/>
              <w:jc w:val="center"/>
              <w:rPr>
                <w:rFonts w:ascii="Arial Narrow" w:hAnsi="Arial Narrow"/>
                <w:sz w:val="16"/>
                <w:szCs w:val="16"/>
                <w:lang w:val="it-IT" w:eastAsia="it-IT"/>
              </w:rPr>
            </w:pPr>
            <w:r w:rsidRPr="005B3511">
              <w:rPr>
                <w:rFonts w:ascii="Arial Narrow" w:hAnsi="Arial Narrow"/>
                <w:sz w:val="16"/>
                <w:szCs w:val="16"/>
                <w:lang w:val="it-IT" w:eastAsia="it-IT"/>
              </w:rPr>
              <w:t>K</w:t>
            </w:r>
            <w:r w:rsidR="00756505" w:rsidRPr="005B3511">
              <w:rPr>
                <w:rFonts w:ascii="Arial Narrow" w:hAnsi="Arial Narrow"/>
                <w:sz w:val="16"/>
                <w:szCs w:val="16"/>
                <w:lang w:val="it-IT" w:eastAsia="it-IT"/>
              </w:rPr>
              <w:t>ta</w:t>
            </w:r>
          </w:p>
        </w:tc>
        <w:tc>
          <w:tcPr>
            <w:tcW w:w="869" w:type="dxa"/>
            <w:tcBorders>
              <w:top w:val="nil"/>
              <w:left w:val="nil"/>
              <w:bottom w:val="nil"/>
              <w:right w:val="nil"/>
            </w:tcBorders>
            <w:shd w:val="clear" w:color="000000" w:fill="FFFFFF"/>
            <w:noWrap/>
            <w:vAlign w:val="center"/>
            <w:hideMark/>
          </w:tcPr>
          <w:p w14:paraId="62BB166B" w14:textId="77777777" w:rsidR="00756505" w:rsidRPr="005B3511" w:rsidRDefault="00756505" w:rsidP="005B3511">
            <w:pPr>
              <w:tabs>
                <w:tab w:val="clear" w:pos="7100"/>
              </w:tabs>
              <w:spacing w:line="240" w:lineRule="auto"/>
              <w:jc w:val="center"/>
              <w:rPr>
                <w:rFonts w:ascii="Arial Narrow" w:hAnsi="Arial Narrow"/>
                <w:sz w:val="16"/>
                <w:szCs w:val="16"/>
                <w:lang w:val="it-IT" w:eastAsia="it-IT"/>
              </w:rPr>
            </w:pPr>
            <w:r w:rsidRPr="005B3511">
              <w:rPr>
                <w:rFonts w:ascii="Arial Narrow" w:hAnsi="Arial Narrow"/>
                <w:sz w:val="16"/>
                <w:szCs w:val="16"/>
                <w:lang w:val="it-IT" w:eastAsia="it-IT"/>
              </w:rPr>
              <w:t>0</w:t>
            </w:r>
          </w:p>
        </w:tc>
        <w:tc>
          <w:tcPr>
            <w:tcW w:w="826" w:type="dxa"/>
            <w:tcBorders>
              <w:top w:val="nil"/>
              <w:left w:val="nil"/>
              <w:bottom w:val="nil"/>
              <w:right w:val="nil"/>
            </w:tcBorders>
            <w:shd w:val="clear" w:color="000000" w:fill="FFFFFF"/>
            <w:noWrap/>
            <w:vAlign w:val="center"/>
            <w:hideMark/>
          </w:tcPr>
          <w:p w14:paraId="3E57FB3C" w14:textId="572A0172"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c>
          <w:tcPr>
            <w:tcW w:w="826" w:type="dxa"/>
            <w:tcBorders>
              <w:top w:val="nil"/>
              <w:left w:val="nil"/>
              <w:bottom w:val="nil"/>
              <w:right w:val="nil"/>
            </w:tcBorders>
            <w:shd w:val="clear" w:color="000000" w:fill="FFFFFF"/>
            <w:noWrap/>
            <w:vAlign w:val="center"/>
            <w:hideMark/>
          </w:tcPr>
          <w:p w14:paraId="504E0A02" w14:textId="77777777" w:rsidR="00756505" w:rsidRPr="005B3511" w:rsidRDefault="00756505" w:rsidP="005B3511">
            <w:pPr>
              <w:tabs>
                <w:tab w:val="clear" w:pos="7100"/>
              </w:tabs>
              <w:spacing w:line="240" w:lineRule="auto"/>
              <w:jc w:val="center"/>
              <w:rPr>
                <w:rFonts w:ascii="Arial Narrow" w:hAnsi="Arial Narrow"/>
                <w:sz w:val="16"/>
                <w:szCs w:val="16"/>
                <w:lang w:val="it-IT" w:eastAsia="it-IT"/>
              </w:rPr>
            </w:pPr>
            <w:r w:rsidRPr="005B3511">
              <w:rPr>
                <w:rFonts w:ascii="Arial Narrow" w:hAnsi="Arial Narrow"/>
                <w:sz w:val="16"/>
                <w:szCs w:val="16"/>
                <w:lang w:val="it-IT" w:eastAsia="it-IT"/>
              </w:rPr>
              <w:t>7</w:t>
            </w:r>
          </w:p>
        </w:tc>
        <w:tc>
          <w:tcPr>
            <w:tcW w:w="970" w:type="dxa"/>
            <w:tcBorders>
              <w:top w:val="nil"/>
              <w:left w:val="nil"/>
              <w:bottom w:val="nil"/>
              <w:right w:val="nil"/>
            </w:tcBorders>
            <w:shd w:val="clear" w:color="000000" w:fill="FFFFFF"/>
            <w:noWrap/>
            <w:vAlign w:val="center"/>
            <w:hideMark/>
          </w:tcPr>
          <w:p w14:paraId="5CE2C711" w14:textId="018662A9"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c>
          <w:tcPr>
            <w:tcW w:w="869" w:type="dxa"/>
            <w:tcBorders>
              <w:top w:val="nil"/>
              <w:left w:val="nil"/>
              <w:bottom w:val="nil"/>
              <w:right w:val="nil"/>
            </w:tcBorders>
            <w:shd w:val="clear" w:color="000000" w:fill="FFFFFF"/>
            <w:noWrap/>
            <w:vAlign w:val="center"/>
            <w:hideMark/>
          </w:tcPr>
          <w:p w14:paraId="02FBB6F0" w14:textId="77777777" w:rsidR="00756505" w:rsidRPr="005B3511" w:rsidRDefault="00756505" w:rsidP="005B3511">
            <w:pPr>
              <w:tabs>
                <w:tab w:val="clear" w:pos="7100"/>
              </w:tabs>
              <w:spacing w:line="240" w:lineRule="auto"/>
              <w:jc w:val="center"/>
              <w:rPr>
                <w:rFonts w:ascii="Arial Narrow" w:hAnsi="Arial Narrow"/>
                <w:sz w:val="16"/>
                <w:szCs w:val="16"/>
                <w:lang w:val="it-IT" w:eastAsia="it-IT"/>
              </w:rPr>
            </w:pPr>
            <w:r w:rsidRPr="005B3511">
              <w:rPr>
                <w:rFonts w:ascii="Arial Narrow" w:hAnsi="Arial Narrow"/>
                <w:sz w:val="16"/>
                <w:szCs w:val="16"/>
                <w:lang w:val="it-IT" w:eastAsia="it-IT"/>
              </w:rPr>
              <w:t>0</w:t>
            </w:r>
          </w:p>
        </w:tc>
        <w:tc>
          <w:tcPr>
            <w:tcW w:w="826" w:type="dxa"/>
            <w:tcBorders>
              <w:top w:val="nil"/>
              <w:left w:val="nil"/>
              <w:bottom w:val="nil"/>
              <w:right w:val="nil"/>
            </w:tcBorders>
            <w:shd w:val="clear" w:color="000000" w:fill="FFFFFF"/>
            <w:noWrap/>
            <w:vAlign w:val="center"/>
            <w:hideMark/>
          </w:tcPr>
          <w:p w14:paraId="0DA5CDE9" w14:textId="77777777" w:rsidR="00756505" w:rsidRPr="005B3511" w:rsidRDefault="00756505" w:rsidP="005B3511">
            <w:pPr>
              <w:tabs>
                <w:tab w:val="clear" w:pos="7100"/>
              </w:tabs>
              <w:spacing w:line="240" w:lineRule="auto"/>
              <w:jc w:val="center"/>
              <w:rPr>
                <w:rFonts w:ascii="Arial Narrow" w:hAnsi="Arial Narrow"/>
                <w:sz w:val="16"/>
                <w:szCs w:val="16"/>
                <w:lang w:val="it-IT" w:eastAsia="it-IT"/>
              </w:rPr>
            </w:pPr>
            <w:r w:rsidRPr="005B3511">
              <w:rPr>
                <w:rFonts w:ascii="Arial Narrow" w:hAnsi="Arial Narrow"/>
                <w:sz w:val="16"/>
                <w:szCs w:val="16"/>
                <w:lang w:val="it-IT" w:eastAsia="it-IT"/>
              </w:rPr>
              <w:t>0</w:t>
            </w:r>
          </w:p>
        </w:tc>
        <w:tc>
          <w:tcPr>
            <w:tcW w:w="826" w:type="dxa"/>
            <w:tcBorders>
              <w:top w:val="nil"/>
              <w:left w:val="nil"/>
              <w:bottom w:val="nil"/>
              <w:right w:val="nil"/>
            </w:tcBorders>
            <w:shd w:val="clear" w:color="000000" w:fill="FFFFFF"/>
            <w:noWrap/>
            <w:vAlign w:val="center"/>
            <w:hideMark/>
          </w:tcPr>
          <w:p w14:paraId="2CD92A61" w14:textId="7151BB2C"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c>
          <w:tcPr>
            <w:tcW w:w="969" w:type="dxa"/>
            <w:tcBorders>
              <w:top w:val="nil"/>
              <w:left w:val="nil"/>
              <w:bottom w:val="nil"/>
              <w:right w:val="nil"/>
            </w:tcBorders>
            <w:shd w:val="clear" w:color="000000" w:fill="FFFFFF"/>
            <w:noWrap/>
            <w:vAlign w:val="center"/>
            <w:hideMark/>
          </w:tcPr>
          <w:p w14:paraId="223BA7B4" w14:textId="67868E31"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r>
      <w:tr w:rsidR="00B747AE" w:rsidRPr="00B747AE" w14:paraId="3B609ADB" w14:textId="77777777" w:rsidTr="00B747AE">
        <w:trPr>
          <w:trHeight w:val="237"/>
        </w:trPr>
        <w:tc>
          <w:tcPr>
            <w:tcW w:w="1653" w:type="dxa"/>
            <w:tcBorders>
              <w:top w:val="nil"/>
              <w:left w:val="nil"/>
              <w:bottom w:val="single" w:sz="4" w:space="0" w:color="auto"/>
              <w:right w:val="nil"/>
            </w:tcBorders>
            <w:shd w:val="clear" w:color="000000" w:fill="FFFFFF"/>
            <w:vAlign w:val="center"/>
            <w:hideMark/>
          </w:tcPr>
          <w:p w14:paraId="6A8D8756" w14:textId="77777777" w:rsidR="00756505" w:rsidRPr="005B3511" w:rsidRDefault="00756505" w:rsidP="005B3511">
            <w:pPr>
              <w:tabs>
                <w:tab w:val="clear" w:pos="7100"/>
              </w:tabs>
              <w:spacing w:line="240" w:lineRule="auto"/>
              <w:jc w:val="left"/>
              <w:rPr>
                <w:rFonts w:ascii="Arial Narrow" w:hAnsi="Arial Narrow"/>
                <w:b/>
                <w:bCs/>
                <w:sz w:val="16"/>
                <w:szCs w:val="16"/>
                <w:lang w:val="it-IT" w:eastAsia="it-IT"/>
              </w:rPr>
            </w:pPr>
            <w:r w:rsidRPr="005B3511">
              <w:rPr>
                <w:rFonts w:ascii="Arial Narrow" w:hAnsi="Arial Narrow"/>
                <w:b/>
                <w:bCs/>
                <w:sz w:val="16"/>
                <w:szCs w:val="16"/>
                <w:lang w:val="it-IT" w:eastAsia="it-IT"/>
              </w:rPr>
              <w:t>FEEDSTOCK</w:t>
            </w:r>
          </w:p>
        </w:tc>
        <w:tc>
          <w:tcPr>
            <w:tcW w:w="893" w:type="dxa"/>
            <w:tcBorders>
              <w:top w:val="nil"/>
              <w:left w:val="nil"/>
              <w:bottom w:val="single" w:sz="4" w:space="0" w:color="auto"/>
              <w:right w:val="nil"/>
            </w:tcBorders>
            <w:shd w:val="clear" w:color="000000" w:fill="FFFFFF"/>
            <w:noWrap/>
            <w:vAlign w:val="center"/>
            <w:hideMark/>
          </w:tcPr>
          <w:p w14:paraId="528DDBB6" w14:textId="3009D222" w:rsidR="00756505" w:rsidRPr="005B3511" w:rsidRDefault="00756505" w:rsidP="00B769EC">
            <w:pPr>
              <w:tabs>
                <w:tab w:val="clear" w:pos="7100"/>
              </w:tabs>
              <w:spacing w:line="240" w:lineRule="auto"/>
              <w:jc w:val="center"/>
              <w:rPr>
                <w:rFonts w:ascii="Arial Narrow" w:hAnsi="Arial Narrow"/>
                <w:sz w:val="16"/>
                <w:szCs w:val="16"/>
                <w:lang w:val="it-IT" w:eastAsia="it-IT"/>
              </w:rPr>
            </w:pPr>
          </w:p>
        </w:tc>
        <w:tc>
          <w:tcPr>
            <w:tcW w:w="869" w:type="dxa"/>
            <w:tcBorders>
              <w:top w:val="nil"/>
              <w:left w:val="nil"/>
              <w:bottom w:val="single" w:sz="4" w:space="0" w:color="auto"/>
              <w:right w:val="nil"/>
            </w:tcBorders>
            <w:shd w:val="clear" w:color="000000" w:fill="FFFFFF"/>
            <w:noWrap/>
            <w:vAlign w:val="center"/>
            <w:hideMark/>
          </w:tcPr>
          <w:p w14:paraId="2732BD6B" w14:textId="6A86EC6C"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c>
          <w:tcPr>
            <w:tcW w:w="826" w:type="dxa"/>
            <w:tcBorders>
              <w:top w:val="nil"/>
              <w:left w:val="nil"/>
              <w:bottom w:val="single" w:sz="4" w:space="0" w:color="auto"/>
              <w:right w:val="nil"/>
            </w:tcBorders>
            <w:shd w:val="clear" w:color="000000" w:fill="FFFFFF"/>
            <w:noWrap/>
            <w:vAlign w:val="center"/>
            <w:hideMark/>
          </w:tcPr>
          <w:p w14:paraId="609985B7" w14:textId="5528CFF0"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c>
          <w:tcPr>
            <w:tcW w:w="826" w:type="dxa"/>
            <w:tcBorders>
              <w:top w:val="nil"/>
              <w:left w:val="nil"/>
              <w:bottom w:val="single" w:sz="4" w:space="0" w:color="auto"/>
              <w:right w:val="nil"/>
            </w:tcBorders>
            <w:shd w:val="clear" w:color="000000" w:fill="FFFFFF"/>
            <w:noWrap/>
            <w:vAlign w:val="center"/>
            <w:hideMark/>
          </w:tcPr>
          <w:p w14:paraId="7CABA122" w14:textId="19BE08D3"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c>
          <w:tcPr>
            <w:tcW w:w="970" w:type="dxa"/>
            <w:tcBorders>
              <w:top w:val="nil"/>
              <w:left w:val="nil"/>
              <w:bottom w:val="single" w:sz="4" w:space="0" w:color="auto"/>
              <w:right w:val="nil"/>
            </w:tcBorders>
            <w:shd w:val="clear" w:color="000000" w:fill="FFFFFF"/>
            <w:noWrap/>
            <w:vAlign w:val="center"/>
            <w:hideMark/>
          </w:tcPr>
          <w:p w14:paraId="5F518585" w14:textId="2A6549F1"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c>
          <w:tcPr>
            <w:tcW w:w="869" w:type="dxa"/>
            <w:tcBorders>
              <w:top w:val="nil"/>
              <w:left w:val="nil"/>
              <w:bottom w:val="single" w:sz="4" w:space="0" w:color="auto"/>
              <w:right w:val="nil"/>
            </w:tcBorders>
            <w:shd w:val="clear" w:color="000000" w:fill="FFFFFF"/>
            <w:noWrap/>
            <w:vAlign w:val="center"/>
            <w:hideMark/>
          </w:tcPr>
          <w:p w14:paraId="557C1602" w14:textId="03CF1E26"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c>
          <w:tcPr>
            <w:tcW w:w="826" w:type="dxa"/>
            <w:tcBorders>
              <w:top w:val="nil"/>
              <w:left w:val="nil"/>
              <w:bottom w:val="single" w:sz="4" w:space="0" w:color="auto"/>
              <w:right w:val="nil"/>
            </w:tcBorders>
            <w:shd w:val="clear" w:color="000000" w:fill="FFFFFF"/>
            <w:noWrap/>
            <w:vAlign w:val="center"/>
            <w:hideMark/>
          </w:tcPr>
          <w:p w14:paraId="14652AA3" w14:textId="3BC44955"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c>
          <w:tcPr>
            <w:tcW w:w="826" w:type="dxa"/>
            <w:tcBorders>
              <w:top w:val="nil"/>
              <w:left w:val="nil"/>
              <w:bottom w:val="single" w:sz="4" w:space="0" w:color="auto"/>
              <w:right w:val="nil"/>
            </w:tcBorders>
            <w:shd w:val="clear" w:color="000000" w:fill="FFFFFF"/>
            <w:noWrap/>
            <w:vAlign w:val="center"/>
            <w:hideMark/>
          </w:tcPr>
          <w:p w14:paraId="082175E0" w14:textId="743E1E30"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c>
          <w:tcPr>
            <w:tcW w:w="969" w:type="dxa"/>
            <w:tcBorders>
              <w:top w:val="nil"/>
              <w:left w:val="nil"/>
              <w:bottom w:val="single" w:sz="4" w:space="0" w:color="auto"/>
              <w:right w:val="nil"/>
            </w:tcBorders>
            <w:shd w:val="clear" w:color="000000" w:fill="FFFFFF"/>
            <w:noWrap/>
            <w:vAlign w:val="center"/>
            <w:hideMark/>
          </w:tcPr>
          <w:p w14:paraId="06B3D0DE" w14:textId="0E190F40"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r>
      <w:tr w:rsidR="00B747AE" w:rsidRPr="00B747AE" w14:paraId="4ECEB076" w14:textId="77777777" w:rsidTr="00B747AE">
        <w:trPr>
          <w:trHeight w:val="237"/>
        </w:trPr>
        <w:tc>
          <w:tcPr>
            <w:tcW w:w="1653" w:type="dxa"/>
            <w:tcBorders>
              <w:top w:val="nil"/>
              <w:left w:val="nil"/>
              <w:bottom w:val="nil"/>
              <w:right w:val="nil"/>
            </w:tcBorders>
            <w:shd w:val="clear" w:color="000000" w:fill="FFFFFF"/>
            <w:vAlign w:val="center"/>
            <w:hideMark/>
          </w:tcPr>
          <w:p w14:paraId="0421A4F8" w14:textId="77777777" w:rsidR="00756505" w:rsidRPr="005B3511" w:rsidRDefault="00756505" w:rsidP="005B3511">
            <w:pPr>
              <w:tabs>
                <w:tab w:val="clear" w:pos="7100"/>
              </w:tabs>
              <w:spacing w:line="240" w:lineRule="auto"/>
              <w:jc w:val="left"/>
              <w:rPr>
                <w:rFonts w:ascii="Arial Narrow" w:hAnsi="Arial Narrow"/>
                <w:sz w:val="16"/>
                <w:szCs w:val="16"/>
                <w:lang w:val="it-IT" w:eastAsia="it-IT"/>
              </w:rPr>
            </w:pPr>
            <w:r w:rsidRPr="005B3511">
              <w:rPr>
                <w:rFonts w:ascii="Arial Narrow" w:hAnsi="Arial Narrow"/>
                <w:sz w:val="16"/>
                <w:szCs w:val="16"/>
                <w:lang w:val="it-IT" w:eastAsia="it-IT"/>
              </w:rPr>
              <w:t>CO2 Intake</w:t>
            </w:r>
          </w:p>
        </w:tc>
        <w:tc>
          <w:tcPr>
            <w:tcW w:w="893" w:type="dxa"/>
            <w:tcBorders>
              <w:top w:val="nil"/>
              <w:left w:val="nil"/>
              <w:bottom w:val="nil"/>
              <w:right w:val="nil"/>
            </w:tcBorders>
            <w:shd w:val="clear" w:color="000000" w:fill="FFFFFF"/>
            <w:noWrap/>
            <w:vAlign w:val="center"/>
            <w:hideMark/>
          </w:tcPr>
          <w:p w14:paraId="19C276AB" w14:textId="342F2B95" w:rsidR="00756505" w:rsidRPr="005B3511" w:rsidRDefault="00567074" w:rsidP="00B769EC">
            <w:pPr>
              <w:tabs>
                <w:tab w:val="clear" w:pos="7100"/>
              </w:tabs>
              <w:spacing w:line="240" w:lineRule="auto"/>
              <w:jc w:val="center"/>
              <w:rPr>
                <w:rFonts w:ascii="Arial Narrow" w:hAnsi="Arial Narrow"/>
                <w:sz w:val="16"/>
                <w:szCs w:val="16"/>
                <w:lang w:val="it-IT" w:eastAsia="it-IT"/>
              </w:rPr>
            </w:pPr>
            <w:r w:rsidRPr="005B3511">
              <w:rPr>
                <w:rFonts w:ascii="Arial Narrow" w:hAnsi="Arial Narrow"/>
                <w:sz w:val="16"/>
                <w:szCs w:val="16"/>
                <w:lang w:val="it-IT" w:eastAsia="it-IT"/>
              </w:rPr>
              <w:t>K</w:t>
            </w:r>
            <w:r w:rsidR="00756505" w:rsidRPr="005B3511">
              <w:rPr>
                <w:rFonts w:ascii="Arial Narrow" w:hAnsi="Arial Narrow"/>
                <w:sz w:val="16"/>
                <w:szCs w:val="16"/>
                <w:lang w:val="it-IT" w:eastAsia="it-IT"/>
              </w:rPr>
              <w:t>ta</w:t>
            </w:r>
          </w:p>
        </w:tc>
        <w:tc>
          <w:tcPr>
            <w:tcW w:w="869" w:type="dxa"/>
            <w:tcBorders>
              <w:top w:val="nil"/>
              <w:left w:val="nil"/>
              <w:bottom w:val="nil"/>
              <w:right w:val="nil"/>
            </w:tcBorders>
            <w:shd w:val="clear" w:color="000000" w:fill="FFFFFF"/>
            <w:noWrap/>
            <w:vAlign w:val="center"/>
            <w:hideMark/>
          </w:tcPr>
          <w:p w14:paraId="544F36EA" w14:textId="0AD25A60"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c>
          <w:tcPr>
            <w:tcW w:w="826" w:type="dxa"/>
            <w:tcBorders>
              <w:top w:val="nil"/>
              <w:left w:val="nil"/>
              <w:bottom w:val="nil"/>
              <w:right w:val="nil"/>
            </w:tcBorders>
            <w:shd w:val="clear" w:color="000000" w:fill="FFFFFF"/>
            <w:noWrap/>
            <w:vAlign w:val="center"/>
            <w:hideMark/>
          </w:tcPr>
          <w:p w14:paraId="7DFAA311" w14:textId="77777777" w:rsidR="00756505" w:rsidRPr="005B3511" w:rsidRDefault="00756505" w:rsidP="005B3511">
            <w:pPr>
              <w:tabs>
                <w:tab w:val="clear" w:pos="7100"/>
              </w:tabs>
              <w:spacing w:line="240" w:lineRule="auto"/>
              <w:jc w:val="center"/>
              <w:rPr>
                <w:rFonts w:ascii="Arial Narrow" w:hAnsi="Arial Narrow"/>
                <w:sz w:val="16"/>
                <w:szCs w:val="16"/>
                <w:lang w:val="it-IT" w:eastAsia="it-IT"/>
              </w:rPr>
            </w:pPr>
            <w:r w:rsidRPr="005B3511">
              <w:rPr>
                <w:rFonts w:ascii="Arial Narrow" w:hAnsi="Arial Narrow"/>
                <w:sz w:val="16"/>
                <w:szCs w:val="16"/>
                <w:lang w:val="it-IT" w:eastAsia="it-IT"/>
              </w:rPr>
              <w:t>280</w:t>
            </w:r>
          </w:p>
        </w:tc>
        <w:tc>
          <w:tcPr>
            <w:tcW w:w="826" w:type="dxa"/>
            <w:tcBorders>
              <w:top w:val="nil"/>
              <w:left w:val="nil"/>
              <w:bottom w:val="nil"/>
              <w:right w:val="nil"/>
            </w:tcBorders>
            <w:shd w:val="clear" w:color="000000" w:fill="FFFFFF"/>
            <w:noWrap/>
            <w:vAlign w:val="center"/>
            <w:hideMark/>
          </w:tcPr>
          <w:p w14:paraId="134ED13E" w14:textId="42E1D4B7"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c>
          <w:tcPr>
            <w:tcW w:w="970" w:type="dxa"/>
            <w:tcBorders>
              <w:top w:val="nil"/>
              <w:left w:val="nil"/>
              <w:bottom w:val="nil"/>
              <w:right w:val="nil"/>
            </w:tcBorders>
            <w:shd w:val="clear" w:color="000000" w:fill="FFFFFF"/>
            <w:noWrap/>
            <w:vAlign w:val="center"/>
            <w:hideMark/>
          </w:tcPr>
          <w:p w14:paraId="51BDF9FC" w14:textId="6CAA4107"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c>
          <w:tcPr>
            <w:tcW w:w="869" w:type="dxa"/>
            <w:tcBorders>
              <w:top w:val="nil"/>
              <w:left w:val="nil"/>
              <w:bottom w:val="nil"/>
              <w:right w:val="nil"/>
            </w:tcBorders>
            <w:shd w:val="clear" w:color="000000" w:fill="FFFFFF"/>
            <w:noWrap/>
            <w:vAlign w:val="center"/>
            <w:hideMark/>
          </w:tcPr>
          <w:p w14:paraId="002C16D0" w14:textId="726ACECE"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c>
          <w:tcPr>
            <w:tcW w:w="826" w:type="dxa"/>
            <w:tcBorders>
              <w:top w:val="nil"/>
              <w:left w:val="nil"/>
              <w:bottom w:val="nil"/>
              <w:right w:val="nil"/>
            </w:tcBorders>
            <w:shd w:val="clear" w:color="000000" w:fill="FFFFFF"/>
            <w:noWrap/>
            <w:vAlign w:val="center"/>
            <w:hideMark/>
          </w:tcPr>
          <w:p w14:paraId="3673CA02" w14:textId="77777777" w:rsidR="00756505" w:rsidRPr="005B3511" w:rsidRDefault="00756505" w:rsidP="005B3511">
            <w:pPr>
              <w:tabs>
                <w:tab w:val="clear" w:pos="7100"/>
              </w:tabs>
              <w:spacing w:line="240" w:lineRule="auto"/>
              <w:jc w:val="center"/>
              <w:rPr>
                <w:rFonts w:ascii="Arial Narrow" w:hAnsi="Arial Narrow"/>
                <w:sz w:val="16"/>
                <w:szCs w:val="16"/>
                <w:lang w:val="it-IT" w:eastAsia="it-IT"/>
              </w:rPr>
            </w:pPr>
            <w:r w:rsidRPr="005B3511">
              <w:rPr>
                <w:rFonts w:ascii="Arial Narrow" w:hAnsi="Arial Narrow"/>
                <w:sz w:val="16"/>
                <w:szCs w:val="16"/>
                <w:lang w:val="it-IT" w:eastAsia="it-IT"/>
              </w:rPr>
              <w:t>280</w:t>
            </w:r>
          </w:p>
        </w:tc>
        <w:tc>
          <w:tcPr>
            <w:tcW w:w="826" w:type="dxa"/>
            <w:tcBorders>
              <w:top w:val="nil"/>
              <w:left w:val="nil"/>
              <w:bottom w:val="nil"/>
              <w:right w:val="nil"/>
            </w:tcBorders>
            <w:shd w:val="clear" w:color="000000" w:fill="FFFFFF"/>
            <w:noWrap/>
            <w:vAlign w:val="center"/>
            <w:hideMark/>
          </w:tcPr>
          <w:p w14:paraId="13197B28" w14:textId="068CBCC2"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c>
          <w:tcPr>
            <w:tcW w:w="969" w:type="dxa"/>
            <w:tcBorders>
              <w:top w:val="nil"/>
              <w:left w:val="nil"/>
              <w:bottom w:val="nil"/>
              <w:right w:val="nil"/>
            </w:tcBorders>
            <w:shd w:val="clear" w:color="000000" w:fill="FFFFFF"/>
            <w:noWrap/>
            <w:vAlign w:val="center"/>
            <w:hideMark/>
          </w:tcPr>
          <w:p w14:paraId="539679E2" w14:textId="60322522"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r>
      <w:tr w:rsidR="00756505" w:rsidRPr="005B3511" w14:paraId="34877B9D" w14:textId="77777777" w:rsidTr="00B769EC">
        <w:trPr>
          <w:trHeight w:val="237"/>
        </w:trPr>
        <w:tc>
          <w:tcPr>
            <w:tcW w:w="1653" w:type="dxa"/>
            <w:tcBorders>
              <w:top w:val="nil"/>
              <w:left w:val="nil"/>
              <w:bottom w:val="nil"/>
              <w:right w:val="nil"/>
            </w:tcBorders>
            <w:shd w:val="clear" w:color="000000" w:fill="FFFFFF"/>
            <w:vAlign w:val="center"/>
            <w:hideMark/>
          </w:tcPr>
          <w:p w14:paraId="6A548524" w14:textId="77777777" w:rsidR="00756505" w:rsidRPr="005B3511" w:rsidRDefault="00756505" w:rsidP="005B3511">
            <w:pPr>
              <w:tabs>
                <w:tab w:val="clear" w:pos="7100"/>
              </w:tabs>
              <w:spacing w:line="240" w:lineRule="auto"/>
              <w:jc w:val="left"/>
              <w:rPr>
                <w:rFonts w:ascii="Arial Narrow" w:hAnsi="Arial Narrow"/>
                <w:sz w:val="16"/>
                <w:szCs w:val="16"/>
                <w:lang w:val="it-IT" w:eastAsia="it-IT"/>
              </w:rPr>
            </w:pPr>
            <w:r w:rsidRPr="005B3511">
              <w:rPr>
                <w:rFonts w:ascii="Arial Narrow" w:hAnsi="Arial Narrow"/>
                <w:sz w:val="16"/>
                <w:szCs w:val="16"/>
                <w:lang w:val="it-IT" w:eastAsia="it-IT"/>
              </w:rPr>
              <w:t>H2 (produced by Block 1)</w:t>
            </w:r>
          </w:p>
        </w:tc>
        <w:tc>
          <w:tcPr>
            <w:tcW w:w="893" w:type="dxa"/>
            <w:tcBorders>
              <w:top w:val="nil"/>
              <w:left w:val="nil"/>
              <w:bottom w:val="nil"/>
              <w:right w:val="nil"/>
            </w:tcBorders>
            <w:shd w:val="clear" w:color="000000" w:fill="FFFFFF"/>
            <w:noWrap/>
            <w:vAlign w:val="center"/>
            <w:hideMark/>
          </w:tcPr>
          <w:p w14:paraId="4784B3F5" w14:textId="0D2D7D46" w:rsidR="00756505" w:rsidRPr="005B3511" w:rsidRDefault="00567074" w:rsidP="00B769EC">
            <w:pPr>
              <w:tabs>
                <w:tab w:val="clear" w:pos="7100"/>
              </w:tabs>
              <w:spacing w:line="240" w:lineRule="auto"/>
              <w:jc w:val="center"/>
              <w:rPr>
                <w:rFonts w:ascii="Arial Narrow" w:hAnsi="Arial Narrow"/>
                <w:sz w:val="16"/>
                <w:szCs w:val="16"/>
                <w:lang w:val="it-IT" w:eastAsia="it-IT"/>
              </w:rPr>
            </w:pPr>
            <w:r w:rsidRPr="005B3511">
              <w:rPr>
                <w:rFonts w:ascii="Arial Narrow" w:hAnsi="Arial Narrow"/>
                <w:sz w:val="16"/>
                <w:szCs w:val="16"/>
                <w:lang w:val="it-IT" w:eastAsia="it-IT"/>
              </w:rPr>
              <w:t>K</w:t>
            </w:r>
            <w:r w:rsidR="00756505" w:rsidRPr="005B3511">
              <w:rPr>
                <w:rFonts w:ascii="Arial Narrow" w:hAnsi="Arial Narrow"/>
                <w:sz w:val="16"/>
                <w:szCs w:val="16"/>
                <w:lang w:val="it-IT" w:eastAsia="it-IT"/>
              </w:rPr>
              <w:t>ta</w:t>
            </w:r>
          </w:p>
        </w:tc>
        <w:tc>
          <w:tcPr>
            <w:tcW w:w="869" w:type="dxa"/>
            <w:tcBorders>
              <w:top w:val="nil"/>
              <w:left w:val="nil"/>
              <w:bottom w:val="nil"/>
              <w:right w:val="nil"/>
            </w:tcBorders>
            <w:shd w:val="clear" w:color="000000" w:fill="FFFFFF"/>
            <w:noWrap/>
            <w:vAlign w:val="center"/>
            <w:hideMark/>
          </w:tcPr>
          <w:p w14:paraId="48F89DD6" w14:textId="77777777" w:rsidR="00756505" w:rsidRPr="005B3511" w:rsidRDefault="00756505" w:rsidP="005B3511">
            <w:pPr>
              <w:tabs>
                <w:tab w:val="clear" w:pos="7100"/>
              </w:tabs>
              <w:spacing w:line="240" w:lineRule="auto"/>
              <w:jc w:val="center"/>
              <w:rPr>
                <w:rFonts w:ascii="Arial Narrow" w:hAnsi="Arial Narrow"/>
                <w:sz w:val="16"/>
                <w:szCs w:val="16"/>
                <w:lang w:val="it-IT" w:eastAsia="it-IT"/>
              </w:rPr>
            </w:pPr>
            <w:r w:rsidRPr="005B3511">
              <w:rPr>
                <w:rFonts w:ascii="Arial Narrow" w:hAnsi="Arial Narrow"/>
                <w:sz w:val="16"/>
                <w:szCs w:val="16"/>
                <w:lang w:val="it-IT" w:eastAsia="it-IT"/>
              </w:rPr>
              <w:t>41</w:t>
            </w:r>
          </w:p>
        </w:tc>
        <w:tc>
          <w:tcPr>
            <w:tcW w:w="2623" w:type="dxa"/>
            <w:gridSpan w:val="3"/>
            <w:tcBorders>
              <w:top w:val="nil"/>
              <w:left w:val="nil"/>
              <w:bottom w:val="nil"/>
              <w:right w:val="nil"/>
            </w:tcBorders>
            <w:shd w:val="clear" w:color="000000" w:fill="FFFFFF"/>
            <w:noWrap/>
            <w:vAlign w:val="center"/>
            <w:hideMark/>
          </w:tcPr>
          <w:p w14:paraId="04CC00CC" w14:textId="5A8D8D7F"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c>
          <w:tcPr>
            <w:tcW w:w="869" w:type="dxa"/>
            <w:tcBorders>
              <w:top w:val="nil"/>
              <w:left w:val="nil"/>
              <w:bottom w:val="nil"/>
              <w:right w:val="nil"/>
            </w:tcBorders>
            <w:shd w:val="clear" w:color="000000" w:fill="FFFFFF"/>
            <w:noWrap/>
            <w:vAlign w:val="center"/>
            <w:hideMark/>
          </w:tcPr>
          <w:p w14:paraId="214754B9" w14:textId="77777777" w:rsidR="00756505" w:rsidRPr="005B3511" w:rsidRDefault="00756505" w:rsidP="005B3511">
            <w:pPr>
              <w:tabs>
                <w:tab w:val="clear" w:pos="7100"/>
              </w:tabs>
              <w:spacing w:line="240" w:lineRule="auto"/>
              <w:jc w:val="center"/>
              <w:rPr>
                <w:rFonts w:ascii="Arial Narrow" w:hAnsi="Arial Narrow"/>
                <w:sz w:val="16"/>
                <w:szCs w:val="16"/>
                <w:lang w:val="it-IT" w:eastAsia="it-IT"/>
              </w:rPr>
            </w:pPr>
            <w:r w:rsidRPr="005B3511">
              <w:rPr>
                <w:rFonts w:ascii="Arial Narrow" w:hAnsi="Arial Narrow"/>
                <w:sz w:val="16"/>
                <w:szCs w:val="16"/>
                <w:lang w:val="it-IT" w:eastAsia="it-IT"/>
              </w:rPr>
              <w:t>0</w:t>
            </w:r>
          </w:p>
        </w:tc>
        <w:tc>
          <w:tcPr>
            <w:tcW w:w="826" w:type="dxa"/>
            <w:tcBorders>
              <w:top w:val="nil"/>
              <w:left w:val="nil"/>
              <w:bottom w:val="nil"/>
              <w:right w:val="nil"/>
            </w:tcBorders>
            <w:shd w:val="clear" w:color="000000" w:fill="FFFFFF"/>
            <w:noWrap/>
            <w:vAlign w:val="center"/>
            <w:hideMark/>
          </w:tcPr>
          <w:p w14:paraId="488A030A" w14:textId="7EC76E34"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c>
          <w:tcPr>
            <w:tcW w:w="826" w:type="dxa"/>
            <w:tcBorders>
              <w:top w:val="nil"/>
              <w:left w:val="nil"/>
              <w:bottom w:val="nil"/>
              <w:right w:val="nil"/>
            </w:tcBorders>
            <w:shd w:val="clear" w:color="000000" w:fill="FFFFFF"/>
            <w:noWrap/>
            <w:vAlign w:val="center"/>
            <w:hideMark/>
          </w:tcPr>
          <w:p w14:paraId="71A37B8F" w14:textId="43DBAD76"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c>
          <w:tcPr>
            <w:tcW w:w="969" w:type="dxa"/>
            <w:tcBorders>
              <w:top w:val="nil"/>
              <w:left w:val="nil"/>
              <w:bottom w:val="nil"/>
              <w:right w:val="nil"/>
            </w:tcBorders>
            <w:shd w:val="clear" w:color="000000" w:fill="FFFFFF"/>
            <w:noWrap/>
            <w:vAlign w:val="center"/>
            <w:hideMark/>
          </w:tcPr>
          <w:p w14:paraId="27C8107E" w14:textId="5D9A6959"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r>
      <w:tr w:rsidR="00756505" w:rsidRPr="005B3511" w14:paraId="55F62046" w14:textId="77777777" w:rsidTr="00B769EC">
        <w:trPr>
          <w:trHeight w:val="338"/>
        </w:trPr>
        <w:tc>
          <w:tcPr>
            <w:tcW w:w="1653" w:type="dxa"/>
            <w:tcBorders>
              <w:top w:val="nil"/>
              <w:left w:val="nil"/>
              <w:bottom w:val="nil"/>
              <w:right w:val="nil"/>
            </w:tcBorders>
            <w:shd w:val="clear" w:color="000000" w:fill="FFFFFF"/>
            <w:vAlign w:val="center"/>
            <w:hideMark/>
          </w:tcPr>
          <w:p w14:paraId="061C13B8" w14:textId="77777777" w:rsidR="00756505" w:rsidRPr="00B769EC" w:rsidRDefault="00756505" w:rsidP="005B3511">
            <w:pPr>
              <w:tabs>
                <w:tab w:val="clear" w:pos="7100"/>
              </w:tabs>
              <w:spacing w:line="240" w:lineRule="auto"/>
              <w:jc w:val="left"/>
              <w:rPr>
                <w:rFonts w:ascii="Arial Narrow" w:hAnsi="Arial Narrow"/>
                <w:sz w:val="16"/>
                <w:szCs w:val="16"/>
                <w:lang w:val="en-US" w:eastAsia="it-IT"/>
              </w:rPr>
            </w:pPr>
            <w:r w:rsidRPr="00B769EC">
              <w:rPr>
                <w:rFonts w:ascii="Arial Narrow" w:hAnsi="Arial Narrow"/>
                <w:sz w:val="16"/>
                <w:szCs w:val="16"/>
                <w:lang w:val="en-US" w:eastAsia="it-IT"/>
              </w:rPr>
              <w:t>Green H2 (produced by Block 1)</w:t>
            </w:r>
          </w:p>
        </w:tc>
        <w:tc>
          <w:tcPr>
            <w:tcW w:w="893" w:type="dxa"/>
            <w:tcBorders>
              <w:top w:val="nil"/>
              <w:left w:val="nil"/>
              <w:bottom w:val="nil"/>
              <w:right w:val="nil"/>
            </w:tcBorders>
            <w:shd w:val="clear" w:color="000000" w:fill="FFFFFF"/>
            <w:noWrap/>
            <w:vAlign w:val="center"/>
            <w:hideMark/>
          </w:tcPr>
          <w:p w14:paraId="7E2D26DF" w14:textId="158B21A5" w:rsidR="00756505" w:rsidRPr="005B3511" w:rsidRDefault="00567074" w:rsidP="00B769EC">
            <w:pPr>
              <w:tabs>
                <w:tab w:val="clear" w:pos="7100"/>
              </w:tabs>
              <w:spacing w:line="240" w:lineRule="auto"/>
              <w:jc w:val="center"/>
              <w:rPr>
                <w:rFonts w:ascii="Arial Narrow" w:hAnsi="Arial Narrow"/>
                <w:sz w:val="16"/>
                <w:szCs w:val="16"/>
                <w:lang w:val="it-IT" w:eastAsia="it-IT"/>
              </w:rPr>
            </w:pPr>
            <w:r w:rsidRPr="005B3511">
              <w:rPr>
                <w:rFonts w:ascii="Arial Narrow" w:hAnsi="Arial Narrow"/>
                <w:sz w:val="16"/>
                <w:szCs w:val="16"/>
                <w:lang w:val="it-IT" w:eastAsia="it-IT"/>
              </w:rPr>
              <w:t>K</w:t>
            </w:r>
            <w:r w:rsidR="00756505" w:rsidRPr="005B3511">
              <w:rPr>
                <w:rFonts w:ascii="Arial Narrow" w:hAnsi="Arial Narrow"/>
                <w:sz w:val="16"/>
                <w:szCs w:val="16"/>
                <w:lang w:val="it-IT" w:eastAsia="it-IT"/>
              </w:rPr>
              <w:t>ta</w:t>
            </w:r>
          </w:p>
        </w:tc>
        <w:tc>
          <w:tcPr>
            <w:tcW w:w="869" w:type="dxa"/>
            <w:tcBorders>
              <w:top w:val="nil"/>
              <w:left w:val="nil"/>
              <w:bottom w:val="nil"/>
              <w:right w:val="nil"/>
            </w:tcBorders>
            <w:shd w:val="clear" w:color="000000" w:fill="FFFFFF"/>
            <w:noWrap/>
            <w:vAlign w:val="center"/>
            <w:hideMark/>
          </w:tcPr>
          <w:p w14:paraId="25393F96" w14:textId="77777777" w:rsidR="00756505" w:rsidRPr="005B3511" w:rsidRDefault="00756505" w:rsidP="005B3511">
            <w:pPr>
              <w:tabs>
                <w:tab w:val="clear" w:pos="7100"/>
              </w:tabs>
              <w:spacing w:line="240" w:lineRule="auto"/>
              <w:jc w:val="center"/>
              <w:rPr>
                <w:rFonts w:ascii="Arial Narrow" w:hAnsi="Arial Narrow"/>
                <w:sz w:val="16"/>
                <w:szCs w:val="16"/>
                <w:lang w:val="it-IT" w:eastAsia="it-IT"/>
              </w:rPr>
            </w:pPr>
            <w:r w:rsidRPr="005B3511">
              <w:rPr>
                <w:rFonts w:ascii="Arial Narrow" w:hAnsi="Arial Narrow"/>
                <w:sz w:val="16"/>
                <w:szCs w:val="16"/>
                <w:lang w:val="it-IT" w:eastAsia="it-IT"/>
              </w:rPr>
              <w:t>0</w:t>
            </w:r>
          </w:p>
        </w:tc>
        <w:tc>
          <w:tcPr>
            <w:tcW w:w="2623" w:type="dxa"/>
            <w:gridSpan w:val="3"/>
            <w:tcBorders>
              <w:top w:val="nil"/>
              <w:left w:val="nil"/>
              <w:bottom w:val="nil"/>
              <w:right w:val="nil"/>
            </w:tcBorders>
            <w:shd w:val="clear" w:color="000000" w:fill="FFFFFF"/>
            <w:noWrap/>
            <w:vAlign w:val="center"/>
            <w:hideMark/>
          </w:tcPr>
          <w:p w14:paraId="204919A9" w14:textId="037A26F8"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c>
          <w:tcPr>
            <w:tcW w:w="869" w:type="dxa"/>
            <w:tcBorders>
              <w:top w:val="nil"/>
              <w:left w:val="nil"/>
              <w:bottom w:val="nil"/>
              <w:right w:val="nil"/>
            </w:tcBorders>
            <w:shd w:val="clear" w:color="000000" w:fill="FFFFFF"/>
            <w:noWrap/>
            <w:vAlign w:val="center"/>
            <w:hideMark/>
          </w:tcPr>
          <w:p w14:paraId="2F6A3CC4" w14:textId="77777777" w:rsidR="00756505" w:rsidRPr="005B3511" w:rsidRDefault="00756505" w:rsidP="005B3511">
            <w:pPr>
              <w:tabs>
                <w:tab w:val="clear" w:pos="7100"/>
              </w:tabs>
              <w:spacing w:line="240" w:lineRule="auto"/>
              <w:jc w:val="center"/>
              <w:rPr>
                <w:rFonts w:ascii="Arial Narrow" w:hAnsi="Arial Narrow"/>
                <w:sz w:val="16"/>
                <w:szCs w:val="16"/>
                <w:lang w:val="it-IT" w:eastAsia="it-IT"/>
              </w:rPr>
            </w:pPr>
            <w:r w:rsidRPr="005B3511">
              <w:rPr>
                <w:rFonts w:ascii="Arial Narrow" w:hAnsi="Arial Narrow"/>
                <w:sz w:val="16"/>
                <w:szCs w:val="16"/>
                <w:lang w:val="it-IT" w:eastAsia="it-IT"/>
              </w:rPr>
              <w:t>41</w:t>
            </w:r>
          </w:p>
        </w:tc>
        <w:tc>
          <w:tcPr>
            <w:tcW w:w="826" w:type="dxa"/>
            <w:tcBorders>
              <w:top w:val="nil"/>
              <w:left w:val="nil"/>
              <w:bottom w:val="nil"/>
              <w:right w:val="nil"/>
            </w:tcBorders>
            <w:shd w:val="clear" w:color="000000" w:fill="FFFFFF"/>
            <w:noWrap/>
            <w:vAlign w:val="center"/>
            <w:hideMark/>
          </w:tcPr>
          <w:p w14:paraId="19A9F2EA" w14:textId="07C8613D"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c>
          <w:tcPr>
            <w:tcW w:w="826" w:type="dxa"/>
            <w:tcBorders>
              <w:top w:val="nil"/>
              <w:left w:val="nil"/>
              <w:bottom w:val="nil"/>
              <w:right w:val="nil"/>
            </w:tcBorders>
            <w:shd w:val="clear" w:color="000000" w:fill="FFFFFF"/>
            <w:noWrap/>
            <w:vAlign w:val="center"/>
            <w:hideMark/>
          </w:tcPr>
          <w:p w14:paraId="27D8A7F7" w14:textId="2D4715D6"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c>
          <w:tcPr>
            <w:tcW w:w="969" w:type="dxa"/>
            <w:tcBorders>
              <w:top w:val="nil"/>
              <w:left w:val="nil"/>
              <w:bottom w:val="nil"/>
              <w:right w:val="nil"/>
            </w:tcBorders>
            <w:shd w:val="clear" w:color="000000" w:fill="FFFFFF"/>
            <w:noWrap/>
            <w:vAlign w:val="center"/>
            <w:hideMark/>
          </w:tcPr>
          <w:p w14:paraId="3DB087F8" w14:textId="1B1D80D2"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r>
      <w:tr w:rsidR="00B747AE" w:rsidRPr="00B747AE" w14:paraId="26E81FFC" w14:textId="77777777" w:rsidTr="00B747AE">
        <w:trPr>
          <w:trHeight w:val="237"/>
        </w:trPr>
        <w:tc>
          <w:tcPr>
            <w:tcW w:w="1653" w:type="dxa"/>
            <w:tcBorders>
              <w:top w:val="nil"/>
              <w:left w:val="nil"/>
              <w:bottom w:val="single" w:sz="4" w:space="0" w:color="auto"/>
              <w:right w:val="nil"/>
            </w:tcBorders>
            <w:shd w:val="clear" w:color="000000" w:fill="FFFFFF"/>
            <w:vAlign w:val="center"/>
            <w:hideMark/>
          </w:tcPr>
          <w:p w14:paraId="65E5AAFC" w14:textId="77777777" w:rsidR="00756505" w:rsidRPr="005B3511" w:rsidRDefault="00756505" w:rsidP="005B3511">
            <w:pPr>
              <w:tabs>
                <w:tab w:val="clear" w:pos="7100"/>
              </w:tabs>
              <w:spacing w:line="240" w:lineRule="auto"/>
              <w:jc w:val="left"/>
              <w:rPr>
                <w:rFonts w:ascii="Arial Narrow" w:hAnsi="Arial Narrow"/>
                <w:b/>
                <w:bCs/>
                <w:sz w:val="16"/>
                <w:szCs w:val="16"/>
                <w:lang w:val="it-IT" w:eastAsia="it-IT"/>
              </w:rPr>
            </w:pPr>
            <w:r w:rsidRPr="005B3511">
              <w:rPr>
                <w:rFonts w:ascii="Arial Narrow" w:hAnsi="Arial Narrow"/>
                <w:b/>
                <w:bCs/>
                <w:sz w:val="16"/>
                <w:szCs w:val="16"/>
                <w:lang w:val="it-IT" w:eastAsia="it-IT"/>
              </w:rPr>
              <w:t>CIRCULARITY</w:t>
            </w:r>
          </w:p>
        </w:tc>
        <w:tc>
          <w:tcPr>
            <w:tcW w:w="893" w:type="dxa"/>
            <w:tcBorders>
              <w:top w:val="nil"/>
              <w:left w:val="nil"/>
              <w:bottom w:val="single" w:sz="4" w:space="0" w:color="auto"/>
              <w:right w:val="nil"/>
            </w:tcBorders>
            <w:shd w:val="clear" w:color="000000" w:fill="FFFFFF"/>
            <w:noWrap/>
            <w:vAlign w:val="center"/>
            <w:hideMark/>
          </w:tcPr>
          <w:p w14:paraId="36DD74D1" w14:textId="55E3B61B" w:rsidR="00756505" w:rsidRPr="005B3511" w:rsidRDefault="00756505" w:rsidP="00B769EC">
            <w:pPr>
              <w:tabs>
                <w:tab w:val="clear" w:pos="7100"/>
              </w:tabs>
              <w:spacing w:line="240" w:lineRule="auto"/>
              <w:jc w:val="center"/>
              <w:rPr>
                <w:rFonts w:ascii="Arial Narrow" w:hAnsi="Arial Narrow"/>
                <w:sz w:val="16"/>
                <w:szCs w:val="16"/>
                <w:lang w:val="it-IT" w:eastAsia="it-IT"/>
              </w:rPr>
            </w:pPr>
          </w:p>
        </w:tc>
        <w:tc>
          <w:tcPr>
            <w:tcW w:w="869" w:type="dxa"/>
            <w:tcBorders>
              <w:top w:val="nil"/>
              <w:left w:val="nil"/>
              <w:bottom w:val="single" w:sz="4" w:space="0" w:color="auto"/>
              <w:right w:val="nil"/>
            </w:tcBorders>
            <w:shd w:val="clear" w:color="000000" w:fill="FFFFFF"/>
            <w:noWrap/>
            <w:vAlign w:val="center"/>
            <w:hideMark/>
          </w:tcPr>
          <w:p w14:paraId="68D745A6" w14:textId="53343EA6"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c>
          <w:tcPr>
            <w:tcW w:w="826" w:type="dxa"/>
            <w:tcBorders>
              <w:top w:val="nil"/>
              <w:left w:val="nil"/>
              <w:bottom w:val="single" w:sz="4" w:space="0" w:color="auto"/>
              <w:right w:val="nil"/>
            </w:tcBorders>
            <w:shd w:val="clear" w:color="000000" w:fill="FFFFFF"/>
            <w:noWrap/>
            <w:vAlign w:val="center"/>
            <w:hideMark/>
          </w:tcPr>
          <w:p w14:paraId="2597D556" w14:textId="16544E62"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c>
          <w:tcPr>
            <w:tcW w:w="826" w:type="dxa"/>
            <w:tcBorders>
              <w:top w:val="nil"/>
              <w:left w:val="nil"/>
              <w:bottom w:val="single" w:sz="4" w:space="0" w:color="auto"/>
              <w:right w:val="nil"/>
            </w:tcBorders>
            <w:shd w:val="clear" w:color="000000" w:fill="FFFFFF"/>
            <w:noWrap/>
            <w:vAlign w:val="center"/>
            <w:hideMark/>
          </w:tcPr>
          <w:p w14:paraId="4CE00A86" w14:textId="3B4FC48B"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c>
          <w:tcPr>
            <w:tcW w:w="970" w:type="dxa"/>
            <w:tcBorders>
              <w:top w:val="nil"/>
              <w:left w:val="nil"/>
              <w:bottom w:val="single" w:sz="4" w:space="0" w:color="auto"/>
              <w:right w:val="nil"/>
            </w:tcBorders>
            <w:shd w:val="clear" w:color="000000" w:fill="FFFFFF"/>
            <w:noWrap/>
            <w:vAlign w:val="center"/>
            <w:hideMark/>
          </w:tcPr>
          <w:p w14:paraId="4A009F0E" w14:textId="7E33D226"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c>
          <w:tcPr>
            <w:tcW w:w="869" w:type="dxa"/>
            <w:tcBorders>
              <w:top w:val="nil"/>
              <w:left w:val="nil"/>
              <w:bottom w:val="single" w:sz="4" w:space="0" w:color="auto"/>
              <w:right w:val="nil"/>
            </w:tcBorders>
            <w:shd w:val="clear" w:color="000000" w:fill="FFFFFF"/>
            <w:noWrap/>
            <w:vAlign w:val="center"/>
            <w:hideMark/>
          </w:tcPr>
          <w:p w14:paraId="14E2B6E7" w14:textId="1BCDFE08"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c>
          <w:tcPr>
            <w:tcW w:w="826" w:type="dxa"/>
            <w:tcBorders>
              <w:top w:val="nil"/>
              <w:left w:val="nil"/>
              <w:bottom w:val="single" w:sz="4" w:space="0" w:color="auto"/>
              <w:right w:val="nil"/>
            </w:tcBorders>
            <w:shd w:val="clear" w:color="000000" w:fill="FFFFFF"/>
            <w:noWrap/>
            <w:vAlign w:val="center"/>
            <w:hideMark/>
          </w:tcPr>
          <w:p w14:paraId="588F7516" w14:textId="489732AD"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c>
          <w:tcPr>
            <w:tcW w:w="826" w:type="dxa"/>
            <w:tcBorders>
              <w:top w:val="nil"/>
              <w:left w:val="nil"/>
              <w:bottom w:val="single" w:sz="4" w:space="0" w:color="auto"/>
              <w:right w:val="nil"/>
            </w:tcBorders>
            <w:shd w:val="clear" w:color="000000" w:fill="FFFFFF"/>
            <w:noWrap/>
            <w:vAlign w:val="center"/>
            <w:hideMark/>
          </w:tcPr>
          <w:p w14:paraId="128BBD8A" w14:textId="6B7FF268"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c>
          <w:tcPr>
            <w:tcW w:w="969" w:type="dxa"/>
            <w:tcBorders>
              <w:top w:val="nil"/>
              <w:left w:val="nil"/>
              <w:bottom w:val="single" w:sz="4" w:space="0" w:color="auto"/>
              <w:right w:val="nil"/>
            </w:tcBorders>
            <w:shd w:val="clear" w:color="000000" w:fill="FFFFFF"/>
            <w:noWrap/>
            <w:vAlign w:val="center"/>
            <w:hideMark/>
          </w:tcPr>
          <w:p w14:paraId="15F303DE" w14:textId="26837EA3"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r>
      <w:tr w:rsidR="00B747AE" w:rsidRPr="00B747AE" w14:paraId="3A2F1B5D" w14:textId="77777777" w:rsidTr="00B747AE">
        <w:trPr>
          <w:trHeight w:val="237"/>
        </w:trPr>
        <w:tc>
          <w:tcPr>
            <w:tcW w:w="1653" w:type="dxa"/>
            <w:tcBorders>
              <w:top w:val="nil"/>
              <w:left w:val="nil"/>
              <w:bottom w:val="nil"/>
              <w:right w:val="nil"/>
            </w:tcBorders>
            <w:shd w:val="clear" w:color="000000" w:fill="FFFFFF"/>
            <w:vAlign w:val="center"/>
            <w:hideMark/>
          </w:tcPr>
          <w:p w14:paraId="321FD333" w14:textId="77777777" w:rsidR="00756505" w:rsidRPr="005B3511" w:rsidRDefault="00756505" w:rsidP="005B3511">
            <w:pPr>
              <w:tabs>
                <w:tab w:val="clear" w:pos="7100"/>
              </w:tabs>
              <w:spacing w:line="240" w:lineRule="auto"/>
              <w:jc w:val="left"/>
              <w:rPr>
                <w:rFonts w:ascii="Arial Narrow" w:hAnsi="Arial Narrow"/>
                <w:sz w:val="16"/>
                <w:szCs w:val="16"/>
                <w:lang w:val="it-IT" w:eastAsia="it-IT"/>
              </w:rPr>
            </w:pPr>
            <w:r w:rsidRPr="005B3511">
              <w:rPr>
                <w:rFonts w:ascii="Arial Narrow" w:hAnsi="Arial Narrow"/>
                <w:sz w:val="16"/>
                <w:szCs w:val="16"/>
                <w:lang w:val="it-IT" w:eastAsia="it-IT"/>
              </w:rPr>
              <w:t>Desalinated Water</w:t>
            </w:r>
          </w:p>
        </w:tc>
        <w:tc>
          <w:tcPr>
            <w:tcW w:w="893" w:type="dxa"/>
            <w:tcBorders>
              <w:top w:val="nil"/>
              <w:left w:val="nil"/>
              <w:bottom w:val="nil"/>
              <w:right w:val="nil"/>
            </w:tcBorders>
            <w:shd w:val="clear" w:color="000000" w:fill="FFFFFF"/>
            <w:noWrap/>
            <w:vAlign w:val="center"/>
            <w:hideMark/>
          </w:tcPr>
          <w:p w14:paraId="09F61E67" w14:textId="47F30BBB" w:rsidR="00756505" w:rsidRPr="005B3511" w:rsidRDefault="00567074" w:rsidP="00B769EC">
            <w:pPr>
              <w:tabs>
                <w:tab w:val="clear" w:pos="7100"/>
              </w:tabs>
              <w:spacing w:line="240" w:lineRule="auto"/>
              <w:jc w:val="center"/>
              <w:rPr>
                <w:rFonts w:ascii="Arial Narrow" w:hAnsi="Arial Narrow"/>
                <w:sz w:val="16"/>
                <w:szCs w:val="16"/>
                <w:lang w:val="it-IT" w:eastAsia="it-IT"/>
              </w:rPr>
            </w:pPr>
            <w:r w:rsidRPr="005B3511">
              <w:rPr>
                <w:rFonts w:ascii="Arial Narrow" w:hAnsi="Arial Narrow"/>
                <w:sz w:val="16"/>
                <w:szCs w:val="16"/>
                <w:lang w:val="it-IT" w:eastAsia="it-IT"/>
              </w:rPr>
              <w:t>K</w:t>
            </w:r>
            <w:r w:rsidR="00756505" w:rsidRPr="005B3511">
              <w:rPr>
                <w:rFonts w:ascii="Arial Narrow" w:hAnsi="Arial Narrow"/>
                <w:sz w:val="16"/>
                <w:szCs w:val="16"/>
                <w:lang w:val="it-IT" w:eastAsia="it-IT"/>
              </w:rPr>
              <w:t>ta</w:t>
            </w:r>
          </w:p>
        </w:tc>
        <w:tc>
          <w:tcPr>
            <w:tcW w:w="869" w:type="dxa"/>
            <w:tcBorders>
              <w:top w:val="nil"/>
              <w:left w:val="nil"/>
              <w:bottom w:val="nil"/>
              <w:right w:val="nil"/>
            </w:tcBorders>
            <w:shd w:val="clear" w:color="000000" w:fill="FFFFFF"/>
            <w:noWrap/>
            <w:vAlign w:val="center"/>
            <w:hideMark/>
          </w:tcPr>
          <w:p w14:paraId="41F904D9" w14:textId="77777777" w:rsidR="00756505" w:rsidRPr="005B3511" w:rsidRDefault="00756505" w:rsidP="005B3511">
            <w:pPr>
              <w:tabs>
                <w:tab w:val="clear" w:pos="7100"/>
              </w:tabs>
              <w:spacing w:line="240" w:lineRule="auto"/>
              <w:jc w:val="center"/>
              <w:rPr>
                <w:rFonts w:ascii="Arial Narrow" w:hAnsi="Arial Narrow"/>
                <w:sz w:val="16"/>
                <w:szCs w:val="16"/>
                <w:lang w:val="it-IT" w:eastAsia="it-IT"/>
              </w:rPr>
            </w:pPr>
            <w:r w:rsidRPr="005B3511">
              <w:rPr>
                <w:rFonts w:ascii="Arial Narrow" w:hAnsi="Arial Narrow"/>
                <w:sz w:val="16"/>
                <w:szCs w:val="16"/>
                <w:lang w:val="it-IT" w:eastAsia="it-IT"/>
              </w:rPr>
              <w:t>387</w:t>
            </w:r>
          </w:p>
        </w:tc>
        <w:tc>
          <w:tcPr>
            <w:tcW w:w="826" w:type="dxa"/>
            <w:tcBorders>
              <w:top w:val="nil"/>
              <w:left w:val="nil"/>
              <w:bottom w:val="nil"/>
              <w:right w:val="nil"/>
            </w:tcBorders>
            <w:shd w:val="clear" w:color="000000" w:fill="FFFFFF"/>
            <w:noWrap/>
            <w:vAlign w:val="center"/>
            <w:hideMark/>
          </w:tcPr>
          <w:p w14:paraId="093BD1DA" w14:textId="2511EADA"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c>
          <w:tcPr>
            <w:tcW w:w="826" w:type="dxa"/>
            <w:tcBorders>
              <w:top w:val="nil"/>
              <w:left w:val="nil"/>
              <w:bottom w:val="nil"/>
              <w:right w:val="nil"/>
            </w:tcBorders>
            <w:shd w:val="clear" w:color="000000" w:fill="FFFFFF"/>
            <w:noWrap/>
            <w:vAlign w:val="center"/>
            <w:hideMark/>
          </w:tcPr>
          <w:p w14:paraId="56EE4394" w14:textId="3B6B682A"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c>
          <w:tcPr>
            <w:tcW w:w="970" w:type="dxa"/>
            <w:tcBorders>
              <w:top w:val="nil"/>
              <w:left w:val="nil"/>
              <w:bottom w:val="nil"/>
              <w:right w:val="nil"/>
            </w:tcBorders>
            <w:shd w:val="clear" w:color="000000" w:fill="FFFFFF"/>
            <w:noWrap/>
            <w:vAlign w:val="center"/>
            <w:hideMark/>
          </w:tcPr>
          <w:p w14:paraId="0DA36520" w14:textId="2287EB3A"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c>
          <w:tcPr>
            <w:tcW w:w="869" w:type="dxa"/>
            <w:tcBorders>
              <w:top w:val="nil"/>
              <w:left w:val="nil"/>
              <w:bottom w:val="nil"/>
              <w:right w:val="nil"/>
            </w:tcBorders>
            <w:shd w:val="clear" w:color="000000" w:fill="FFFFFF"/>
            <w:noWrap/>
            <w:vAlign w:val="center"/>
            <w:hideMark/>
          </w:tcPr>
          <w:p w14:paraId="506B46BA" w14:textId="77777777" w:rsidR="00756505" w:rsidRPr="005B3511" w:rsidRDefault="00756505" w:rsidP="005B3511">
            <w:pPr>
              <w:tabs>
                <w:tab w:val="clear" w:pos="7100"/>
              </w:tabs>
              <w:spacing w:line="240" w:lineRule="auto"/>
              <w:jc w:val="center"/>
              <w:rPr>
                <w:rFonts w:ascii="Arial Narrow" w:hAnsi="Arial Narrow"/>
                <w:sz w:val="16"/>
                <w:szCs w:val="16"/>
                <w:lang w:val="it-IT" w:eastAsia="it-IT"/>
              </w:rPr>
            </w:pPr>
            <w:r w:rsidRPr="005B3511">
              <w:rPr>
                <w:rFonts w:ascii="Arial Narrow" w:hAnsi="Arial Narrow"/>
                <w:sz w:val="16"/>
                <w:szCs w:val="16"/>
                <w:lang w:val="it-IT" w:eastAsia="it-IT"/>
              </w:rPr>
              <w:t>0</w:t>
            </w:r>
          </w:p>
        </w:tc>
        <w:tc>
          <w:tcPr>
            <w:tcW w:w="826" w:type="dxa"/>
            <w:tcBorders>
              <w:top w:val="nil"/>
              <w:left w:val="nil"/>
              <w:bottom w:val="nil"/>
              <w:right w:val="nil"/>
            </w:tcBorders>
            <w:shd w:val="clear" w:color="000000" w:fill="FFFFFF"/>
            <w:noWrap/>
            <w:vAlign w:val="center"/>
            <w:hideMark/>
          </w:tcPr>
          <w:p w14:paraId="3E854010" w14:textId="1D9DFAA0"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c>
          <w:tcPr>
            <w:tcW w:w="826" w:type="dxa"/>
            <w:tcBorders>
              <w:top w:val="nil"/>
              <w:left w:val="nil"/>
              <w:bottom w:val="nil"/>
              <w:right w:val="nil"/>
            </w:tcBorders>
            <w:shd w:val="clear" w:color="000000" w:fill="FFFFFF"/>
            <w:noWrap/>
            <w:vAlign w:val="center"/>
            <w:hideMark/>
          </w:tcPr>
          <w:p w14:paraId="18F76E45" w14:textId="50A48392"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c>
          <w:tcPr>
            <w:tcW w:w="969" w:type="dxa"/>
            <w:tcBorders>
              <w:top w:val="nil"/>
              <w:left w:val="nil"/>
              <w:bottom w:val="nil"/>
              <w:right w:val="nil"/>
            </w:tcBorders>
            <w:shd w:val="clear" w:color="000000" w:fill="FFFFFF"/>
            <w:noWrap/>
            <w:vAlign w:val="center"/>
            <w:hideMark/>
          </w:tcPr>
          <w:p w14:paraId="674E1957" w14:textId="525861C3"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r>
      <w:tr w:rsidR="00B747AE" w:rsidRPr="00B747AE" w14:paraId="325D3815" w14:textId="77777777" w:rsidTr="00B747AE">
        <w:trPr>
          <w:trHeight w:val="237"/>
        </w:trPr>
        <w:tc>
          <w:tcPr>
            <w:tcW w:w="1653" w:type="dxa"/>
            <w:tcBorders>
              <w:top w:val="nil"/>
              <w:left w:val="nil"/>
              <w:bottom w:val="nil"/>
              <w:right w:val="nil"/>
            </w:tcBorders>
            <w:shd w:val="clear" w:color="000000" w:fill="FFFFFF"/>
            <w:vAlign w:val="center"/>
            <w:hideMark/>
          </w:tcPr>
          <w:p w14:paraId="3C3982D2" w14:textId="77777777" w:rsidR="00756505" w:rsidRPr="005B3511" w:rsidRDefault="00756505" w:rsidP="005B3511">
            <w:pPr>
              <w:tabs>
                <w:tab w:val="clear" w:pos="7100"/>
              </w:tabs>
              <w:spacing w:line="240" w:lineRule="auto"/>
              <w:jc w:val="left"/>
              <w:rPr>
                <w:rFonts w:ascii="Arial Narrow" w:hAnsi="Arial Narrow"/>
                <w:sz w:val="16"/>
                <w:szCs w:val="16"/>
                <w:lang w:val="it-IT" w:eastAsia="it-IT"/>
              </w:rPr>
            </w:pPr>
            <w:r w:rsidRPr="005B3511">
              <w:rPr>
                <w:rFonts w:ascii="Arial Narrow" w:hAnsi="Arial Narrow"/>
                <w:sz w:val="16"/>
                <w:szCs w:val="16"/>
                <w:lang w:val="it-IT" w:eastAsia="it-IT"/>
              </w:rPr>
              <w:t>Treated Waste Water</w:t>
            </w:r>
          </w:p>
        </w:tc>
        <w:tc>
          <w:tcPr>
            <w:tcW w:w="893" w:type="dxa"/>
            <w:tcBorders>
              <w:top w:val="nil"/>
              <w:left w:val="nil"/>
              <w:bottom w:val="nil"/>
              <w:right w:val="nil"/>
            </w:tcBorders>
            <w:shd w:val="clear" w:color="000000" w:fill="FFFFFF"/>
            <w:noWrap/>
            <w:vAlign w:val="center"/>
            <w:hideMark/>
          </w:tcPr>
          <w:p w14:paraId="055C896F" w14:textId="2C32A20D" w:rsidR="00756505" w:rsidRPr="005B3511" w:rsidRDefault="00567074" w:rsidP="00B769EC">
            <w:pPr>
              <w:tabs>
                <w:tab w:val="clear" w:pos="7100"/>
              </w:tabs>
              <w:spacing w:line="240" w:lineRule="auto"/>
              <w:jc w:val="center"/>
              <w:rPr>
                <w:rFonts w:ascii="Arial Narrow" w:hAnsi="Arial Narrow"/>
                <w:sz w:val="16"/>
                <w:szCs w:val="16"/>
                <w:lang w:val="it-IT" w:eastAsia="it-IT"/>
              </w:rPr>
            </w:pPr>
            <w:r w:rsidRPr="005B3511">
              <w:rPr>
                <w:rFonts w:ascii="Arial Narrow" w:hAnsi="Arial Narrow"/>
                <w:sz w:val="16"/>
                <w:szCs w:val="16"/>
                <w:lang w:val="it-IT" w:eastAsia="it-IT"/>
              </w:rPr>
              <w:t>K</w:t>
            </w:r>
            <w:r w:rsidR="00756505" w:rsidRPr="005B3511">
              <w:rPr>
                <w:rFonts w:ascii="Arial Narrow" w:hAnsi="Arial Narrow"/>
                <w:sz w:val="16"/>
                <w:szCs w:val="16"/>
                <w:lang w:val="it-IT" w:eastAsia="it-IT"/>
              </w:rPr>
              <w:t>ta</w:t>
            </w:r>
          </w:p>
        </w:tc>
        <w:tc>
          <w:tcPr>
            <w:tcW w:w="869" w:type="dxa"/>
            <w:tcBorders>
              <w:top w:val="nil"/>
              <w:left w:val="nil"/>
              <w:bottom w:val="nil"/>
              <w:right w:val="nil"/>
            </w:tcBorders>
            <w:shd w:val="clear" w:color="000000" w:fill="FFFFFF"/>
            <w:noWrap/>
            <w:vAlign w:val="center"/>
            <w:hideMark/>
          </w:tcPr>
          <w:p w14:paraId="4A112451" w14:textId="77777777" w:rsidR="00756505" w:rsidRPr="005B3511" w:rsidRDefault="00756505" w:rsidP="005B3511">
            <w:pPr>
              <w:tabs>
                <w:tab w:val="clear" w:pos="7100"/>
              </w:tabs>
              <w:spacing w:line="240" w:lineRule="auto"/>
              <w:jc w:val="center"/>
              <w:rPr>
                <w:rFonts w:ascii="Arial Narrow" w:hAnsi="Arial Narrow"/>
                <w:sz w:val="16"/>
                <w:szCs w:val="16"/>
                <w:lang w:val="it-IT" w:eastAsia="it-IT"/>
              </w:rPr>
            </w:pPr>
            <w:r w:rsidRPr="005B3511">
              <w:rPr>
                <w:rFonts w:ascii="Arial Narrow" w:hAnsi="Arial Narrow"/>
                <w:sz w:val="16"/>
                <w:szCs w:val="16"/>
                <w:lang w:val="it-IT" w:eastAsia="it-IT"/>
              </w:rPr>
              <w:t>0</w:t>
            </w:r>
          </w:p>
        </w:tc>
        <w:tc>
          <w:tcPr>
            <w:tcW w:w="826" w:type="dxa"/>
            <w:tcBorders>
              <w:top w:val="nil"/>
              <w:left w:val="nil"/>
              <w:bottom w:val="nil"/>
              <w:right w:val="nil"/>
            </w:tcBorders>
            <w:shd w:val="clear" w:color="000000" w:fill="FFFFFF"/>
            <w:noWrap/>
            <w:vAlign w:val="center"/>
            <w:hideMark/>
          </w:tcPr>
          <w:p w14:paraId="0EAB0BB9" w14:textId="5357CCFC"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c>
          <w:tcPr>
            <w:tcW w:w="826" w:type="dxa"/>
            <w:tcBorders>
              <w:top w:val="nil"/>
              <w:left w:val="nil"/>
              <w:bottom w:val="nil"/>
              <w:right w:val="nil"/>
            </w:tcBorders>
            <w:shd w:val="clear" w:color="000000" w:fill="FFFFFF"/>
            <w:noWrap/>
            <w:vAlign w:val="center"/>
            <w:hideMark/>
          </w:tcPr>
          <w:p w14:paraId="52ED78F2" w14:textId="6A5FD33C"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c>
          <w:tcPr>
            <w:tcW w:w="970" w:type="dxa"/>
            <w:tcBorders>
              <w:top w:val="nil"/>
              <w:left w:val="nil"/>
              <w:bottom w:val="nil"/>
              <w:right w:val="nil"/>
            </w:tcBorders>
            <w:shd w:val="clear" w:color="000000" w:fill="FFFFFF"/>
            <w:noWrap/>
            <w:vAlign w:val="center"/>
            <w:hideMark/>
          </w:tcPr>
          <w:p w14:paraId="7B45B35A" w14:textId="79379004"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c>
          <w:tcPr>
            <w:tcW w:w="869" w:type="dxa"/>
            <w:tcBorders>
              <w:top w:val="nil"/>
              <w:left w:val="nil"/>
              <w:bottom w:val="nil"/>
              <w:right w:val="nil"/>
            </w:tcBorders>
            <w:shd w:val="clear" w:color="000000" w:fill="FFFFFF"/>
            <w:noWrap/>
            <w:vAlign w:val="center"/>
            <w:hideMark/>
          </w:tcPr>
          <w:p w14:paraId="3BFE82ED" w14:textId="77777777" w:rsidR="00756505" w:rsidRPr="005B3511" w:rsidRDefault="00756505" w:rsidP="005B3511">
            <w:pPr>
              <w:tabs>
                <w:tab w:val="clear" w:pos="7100"/>
              </w:tabs>
              <w:spacing w:line="240" w:lineRule="auto"/>
              <w:jc w:val="center"/>
              <w:rPr>
                <w:rFonts w:ascii="Arial Narrow" w:hAnsi="Arial Narrow"/>
                <w:sz w:val="16"/>
                <w:szCs w:val="16"/>
                <w:lang w:val="it-IT" w:eastAsia="it-IT"/>
              </w:rPr>
            </w:pPr>
            <w:r w:rsidRPr="005B3511">
              <w:rPr>
                <w:rFonts w:ascii="Arial Narrow" w:hAnsi="Arial Narrow"/>
                <w:sz w:val="16"/>
                <w:szCs w:val="16"/>
                <w:lang w:val="it-IT" w:eastAsia="it-IT"/>
              </w:rPr>
              <w:t>387</w:t>
            </w:r>
          </w:p>
        </w:tc>
        <w:tc>
          <w:tcPr>
            <w:tcW w:w="826" w:type="dxa"/>
            <w:tcBorders>
              <w:top w:val="nil"/>
              <w:left w:val="nil"/>
              <w:bottom w:val="nil"/>
              <w:right w:val="nil"/>
            </w:tcBorders>
            <w:shd w:val="clear" w:color="000000" w:fill="FFFFFF"/>
            <w:noWrap/>
            <w:vAlign w:val="center"/>
            <w:hideMark/>
          </w:tcPr>
          <w:p w14:paraId="2DF1820F" w14:textId="23AB5AFF"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c>
          <w:tcPr>
            <w:tcW w:w="826" w:type="dxa"/>
            <w:tcBorders>
              <w:top w:val="nil"/>
              <w:left w:val="nil"/>
              <w:bottom w:val="nil"/>
              <w:right w:val="nil"/>
            </w:tcBorders>
            <w:shd w:val="clear" w:color="000000" w:fill="FFFFFF"/>
            <w:noWrap/>
            <w:vAlign w:val="center"/>
            <w:hideMark/>
          </w:tcPr>
          <w:p w14:paraId="251749A0" w14:textId="7FCEA45A"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c>
          <w:tcPr>
            <w:tcW w:w="969" w:type="dxa"/>
            <w:tcBorders>
              <w:top w:val="nil"/>
              <w:left w:val="nil"/>
              <w:bottom w:val="nil"/>
              <w:right w:val="nil"/>
            </w:tcBorders>
            <w:shd w:val="clear" w:color="000000" w:fill="FFFFFF"/>
            <w:noWrap/>
            <w:vAlign w:val="center"/>
            <w:hideMark/>
          </w:tcPr>
          <w:p w14:paraId="0970403E" w14:textId="358407FB" w:rsidR="00756505" w:rsidRPr="005B3511" w:rsidRDefault="00756505" w:rsidP="005B3511">
            <w:pPr>
              <w:tabs>
                <w:tab w:val="clear" w:pos="7100"/>
              </w:tabs>
              <w:spacing w:line="240" w:lineRule="auto"/>
              <w:jc w:val="center"/>
              <w:rPr>
                <w:rFonts w:ascii="Arial Narrow" w:hAnsi="Arial Narrow"/>
                <w:sz w:val="16"/>
                <w:szCs w:val="16"/>
                <w:lang w:val="it-IT" w:eastAsia="it-IT"/>
              </w:rPr>
            </w:pPr>
          </w:p>
        </w:tc>
      </w:tr>
      <w:tr w:rsidR="00B747AE" w:rsidRPr="00B747AE" w14:paraId="5BCF9AA4" w14:textId="77777777" w:rsidTr="00B747AE">
        <w:trPr>
          <w:trHeight w:val="380"/>
        </w:trPr>
        <w:tc>
          <w:tcPr>
            <w:tcW w:w="1653" w:type="dxa"/>
            <w:tcBorders>
              <w:top w:val="nil"/>
              <w:left w:val="nil"/>
              <w:bottom w:val="single" w:sz="12" w:space="0" w:color="008000"/>
              <w:right w:val="nil"/>
            </w:tcBorders>
            <w:shd w:val="clear" w:color="000000" w:fill="FFFFFF"/>
            <w:vAlign w:val="center"/>
            <w:hideMark/>
          </w:tcPr>
          <w:p w14:paraId="3D3D41E4" w14:textId="77777777" w:rsidR="00756505" w:rsidRPr="00B769EC" w:rsidRDefault="00756505" w:rsidP="00B769EC">
            <w:pPr>
              <w:tabs>
                <w:tab w:val="clear" w:pos="7100"/>
              </w:tabs>
              <w:spacing w:line="240" w:lineRule="auto"/>
              <w:jc w:val="left"/>
              <w:rPr>
                <w:rFonts w:ascii="Arial Narrow" w:hAnsi="Arial Narrow"/>
                <w:color w:val="000000"/>
                <w:sz w:val="16"/>
                <w:szCs w:val="16"/>
                <w:lang w:val="en-US" w:eastAsia="it-IT"/>
              </w:rPr>
            </w:pPr>
            <w:r w:rsidRPr="00B769EC">
              <w:rPr>
                <w:rFonts w:ascii="Arial Narrow" w:hAnsi="Arial Narrow"/>
                <w:color w:val="000000"/>
                <w:sz w:val="16"/>
                <w:szCs w:val="16"/>
                <w:lang w:val="en-US" w:eastAsia="it-IT"/>
              </w:rPr>
              <w:t>Fuel Gas (recirculated as by-product)</w:t>
            </w:r>
          </w:p>
        </w:tc>
        <w:tc>
          <w:tcPr>
            <w:tcW w:w="893" w:type="dxa"/>
            <w:tcBorders>
              <w:top w:val="nil"/>
              <w:left w:val="nil"/>
              <w:bottom w:val="single" w:sz="12" w:space="0" w:color="008000"/>
              <w:right w:val="nil"/>
            </w:tcBorders>
            <w:shd w:val="clear" w:color="000000" w:fill="FFFFFF"/>
            <w:noWrap/>
            <w:vAlign w:val="center"/>
            <w:hideMark/>
          </w:tcPr>
          <w:p w14:paraId="72158D82" w14:textId="136B07E7" w:rsidR="00756505" w:rsidRPr="005B3511" w:rsidRDefault="00567074" w:rsidP="00B769EC">
            <w:pPr>
              <w:tabs>
                <w:tab w:val="clear" w:pos="7100"/>
              </w:tabs>
              <w:spacing w:line="240" w:lineRule="auto"/>
              <w:jc w:val="center"/>
              <w:rPr>
                <w:rFonts w:ascii="Arial Narrow" w:hAnsi="Arial Narrow"/>
                <w:color w:val="000000"/>
                <w:sz w:val="16"/>
                <w:szCs w:val="16"/>
                <w:lang w:val="it-IT" w:eastAsia="it-IT"/>
              </w:rPr>
            </w:pPr>
            <w:r w:rsidRPr="005B3511">
              <w:rPr>
                <w:rFonts w:ascii="Arial Narrow" w:hAnsi="Arial Narrow"/>
                <w:color w:val="000000"/>
                <w:sz w:val="16"/>
                <w:szCs w:val="16"/>
                <w:lang w:val="it-IT" w:eastAsia="it-IT"/>
              </w:rPr>
              <w:t>K</w:t>
            </w:r>
            <w:r w:rsidR="00756505" w:rsidRPr="005B3511">
              <w:rPr>
                <w:rFonts w:ascii="Arial Narrow" w:hAnsi="Arial Narrow"/>
                <w:color w:val="000000"/>
                <w:sz w:val="16"/>
                <w:szCs w:val="16"/>
                <w:lang w:val="it-IT" w:eastAsia="it-IT"/>
              </w:rPr>
              <w:t>ta</w:t>
            </w:r>
          </w:p>
        </w:tc>
        <w:tc>
          <w:tcPr>
            <w:tcW w:w="869" w:type="dxa"/>
            <w:tcBorders>
              <w:top w:val="nil"/>
              <w:left w:val="nil"/>
              <w:bottom w:val="single" w:sz="12" w:space="0" w:color="008000"/>
              <w:right w:val="nil"/>
            </w:tcBorders>
            <w:shd w:val="clear" w:color="000000" w:fill="FFFFFF"/>
            <w:vAlign w:val="center"/>
            <w:hideMark/>
          </w:tcPr>
          <w:p w14:paraId="3FE2B195" w14:textId="639CE6E2" w:rsidR="00756505" w:rsidRPr="005B3511" w:rsidRDefault="00756505" w:rsidP="00B769EC">
            <w:pPr>
              <w:tabs>
                <w:tab w:val="clear" w:pos="7100"/>
              </w:tabs>
              <w:spacing w:line="240" w:lineRule="auto"/>
              <w:jc w:val="center"/>
              <w:rPr>
                <w:rFonts w:ascii="Arial Narrow" w:hAnsi="Arial Narrow"/>
                <w:color w:val="000000"/>
                <w:sz w:val="16"/>
                <w:szCs w:val="16"/>
                <w:lang w:val="it-IT" w:eastAsia="it-IT"/>
              </w:rPr>
            </w:pPr>
          </w:p>
        </w:tc>
        <w:tc>
          <w:tcPr>
            <w:tcW w:w="826" w:type="dxa"/>
            <w:tcBorders>
              <w:top w:val="nil"/>
              <w:left w:val="nil"/>
              <w:bottom w:val="single" w:sz="12" w:space="0" w:color="008000"/>
              <w:right w:val="nil"/>
            </w:tcBorders>
            <w:shd w:val="clear" w:color="000000" w:fill="FFFFFF"/>
            <w:vAlign w:val="center"/>
            <w:hideMark/>
          </w:tcPr>
          <w:p w14:paraId="76C3769E" w14:textId="155248A4" w:rsidR="00756505" w:rsidRPr="005B3511" w:rsidRDefault="00756505" w:rsidP="00B769EC">
            <w:pPr>
              <w:tabs>
                <w:tab w:val="clear" w:pos="7100"/>
              </w:tabs>
              <w:spacing w:line="240" w:lineRule="auto"/>
              <w:jc w:val="center"/>
              <w:rPr>
                <w:rFonts w:ascii="Arial Narrow" w:hAnsi="Arial Narrow"/>
                <w:color w:val="000000"/>
                <w:sz w:val="16"/>
                <w:szCs w:val="16"/>
                <w:lang w:val="it-IT" w:eastAsia="it-IT"/>
              </w:rPr>
            </w:pPr>
          </w:p>
        </w:tc>
        <w:tc>
          <w:tcPr>
            <w:tcW w:w="826" w:type="dxa"/>
            <w:tcBorders>
              <w:top w:val="nil"/>
              <w:left w:val="nil"/>
              <w:bottom w:val="single" w:sz="12" w:space="0" w:color="008000"/>
              <w:right w:val="nil"/>
            </w:tcBorders>
            <w:shd w:val="clear" w:color="000000" w:fill="FFFFFF"/>
            <w:vAlign w:val="center"/>
            <w:hideMark/>
          </w:tcPr>
          <w:p w14:paraId="43AA9544" w14:textId="10B97B92" w:rsidR="00756505" w:rsidRPr="005B3511" w:rsidRDefault="00756505" w:rsidP="00B769EC">
            <w:pPr>
              <w:tabs>
                <w:tab w:val="clear" w:pos="7100"/>
              </w:tabs>
              <w:spacing w:line="240" w:lineRule="auto"/>
              <w:jc w:val="center"/>
              <w:rPr>
                <w:rFonts w:ascii="Arial Narrow" w:hAnsi="Arial Narrow"/>
                <w:color w:val="000000"/>
                <w:sz w:val="16"/>
                <w:szCs w:val="16"/>
                <w:lang w:val="it-IT" w:eastAsia="it-IT"/>
              </w:rPr>
            </w:pPr>
          </w:p>
        </w:tc>
        <w:tc>
          <w:tcPr>
            <w:tcW w:w="970" w:type="dxa"/>
            <w:tcBorders>
              <w:top w:val="nil"/>
              <w:left w:val="nil"/>
              <w:bottom w:val="single" w:sz="12" w:space="0" w:color="008000"/>
              <w:right w:val="nil"/>
            </w:tcBorders>
            <w:shd w:val="clear" w:color="000000" w:fill="FFFFFF"/>
            <w:vAlign w:val="center"/>
            <w:hideMark/>
          </w:tcPr>
          <w:p w14:paraId="022D33F0" w14:textId="77777777" w:rsidR="00756505" w:rsidRPr="005B3511" w:rsidRDefault="00756505" w:rsidP="00B769EC">
            <w:pPr>
              <w:tabs>
                <w:tab w:val="clear" w:pos="7100"/>
              </w:tabs>
              <w:spacing w:line="240" w:lineRule="auto"/>
              <w:jc w:val="center"/>
              <w:rPr>
                <w:rFonts w:ascii="Arial Narrow" w:hAnsi="Arial Narrow"/>
                <w:color w:val="000000"/>
                <w:sz w:val="16"/>
                <w:szCs w:val="16"/>
                <w:lang w:val="it-IT" w:eastAsia="it-IT"/>
              </w:rPr>
            </w:pPr>
            <w:r w:rsidRPr="005B3511">
              <w:rPr>
                <w:rFonts w:ascii="Arial Narrow" w:hAnsi="Arial Narrow"/>
                <w:color w:val="000000"/>
                <w:sz w:val="16"/>
                <w:szCs w:val="16"/>
                <w:lang w:val="it-IT" w:eastAsia="it-IT"/>
              </w:rPr>
              <w:t>0</w:t>
            </w:r>
          </w:p>
        </w:tc>
        <w:tc>
          <w:tcPr>
            <w:tcW w:w="869" w:type="dxa"/>
            <w:tcBorders>
              <w:top w:val="nil"/>
              <w:left w:val="nil"/>
              <w:bottom w:val="single" w:sz="12" w:space="0" w:color="008000"/>
              <w:right w:val="nil"/>
            </w:tcBorders>
            <w:shd w:val="clear" w:color="000000" w:fill="FFFFFF"/>
            <w:vAlign w:val="center"/>
            <w:hideMark/>
          </w:tcPr>
          <w:p w14:paraId="1B2E36B0" w14:textId="2533089E" w:rsidR="00756505" w:rsidRPr="005B3511" w:rsidRDefault="00756505" w:rsidP="00B769EC">
            <w:pPr>
              <w:tabs>
                <w:tab w:val="clear" w:pos="7100"/>
              </w:tabs>
              <w:spacing w:line="240" w:lineRule="auto"/>
              <w:jc w:val="center"/>
              <w:rPr>
                <w:rFonts w:ascii="Arial Narrow" w:hAnsi="Arial Narrow"/>
                <w:color w:val="000000"/>
                <w:sz w:val="16"/>
                <w:szCs w:val="16"/>
                <w:lang w:val="it-IT" w:eastAsia="it-IT"/>
              </w:rPr>
            </w:pPr>
          </w:p>
        </w:tc>
        <w:tc>
          <w:tcPr>
            <w:tcW w:w="826" w:type="dxa"/>
            <w:tcBorders>
              <w:top w:val="nil"/>
              <w:left w:val="nil"/>
              <w:bottom w:val="single" w:sz="12" w:space="0" w:color="008000"/>
              <w:right w:val="nil"/>
            </w:tcBorders>
            <w:shd w:val="clear" w:color="000000" w:fill="FFFFFF"/>
            <w:vAlign w:val="center"/>
            <w:hideMark/>
          </w:tcPr>
          <w:p w14:paraId="56F4AFC4" w14:textId="31DE6679" w:rsidR="00756505" w:rsidRPr="005B3511" w:rsidRDefault="00756505" w:rsidP="00B769EC">
            <w:pPr>
              <w:tabs>
                <w:tab w:val="clear" w:pos="7100"/>
              </w:tabs>
              <w:spacing w:line="240" w:lineRule="auto"/>
              <w:jc w:val="center"/>
              <w:rPr>
                <w:rFonts w:ascii="Arial Narrow" w:hAnsi="Arial Narrow"/>
                <w:color w:val="000000"/>
                <w:sz w:val="16"/>
                <w:szCs w:val="16"/>
                <w:lang w:val="it-IT" w:eastAsia="it-IT"/>
              </w:rPr>
            </w:pPr>
          </w:p>
        </w:tc>
        <w:tc>
          <w:tcPr>
            <w:tcW w:w="826" w:type="dxa"/>
            <w:tcBorders>
              <w:top w:val="nil"/>
              <w:left w:val="nil"/>
              <w:bottom w:val="single" w:sz="12" w:space="0" w:color="008000"/>
              <w:right w:val="nil"/>
            </w:tcBorders>
            <w:shd w:val="clear" w:color="000000" w:fill="FFFFFF"/>
            <w:vAlign w:val="center"/>
            <w:hideMark/>
          </w:tcPr>
          <w:p w14:paraId="0407DB08" w14:textId="3C0DF7F7" w:rsidR="00756505" w:rsidRPr="005B3511" w:rsidRDefault="00756505" w:rsidP="00B769EC">
            <w:pPr>
              <w:tabs>
                <w:tab w:val="clear" w:pos="7100"/>
              </w:tabs>
              <w:spacing w:line="240" w:lineRule="auto"/>
              <w:jc w:val="center"/>
              <w:rPr>
                <w:rFonts w:ascii="Arial Narrow" w:hAnsi="Arial Narrow"/>
                <w:color w:val="000000"/>
                <w:sz w:val="16"/>
                <w:szCs w:val="16"/>
                <w:lang w:val="it-IT" w:eastAsia="it-IT"/>
              </w:rPr>
            </w:pPr>
          </w:p>
        </w:tc>
        <w:tc>
          <w:tcPr>
            <w:tcW w:w="969" w:type="dxa"/>
            <w:tcBorders>
              <w:top w:val="nil"/>
              <w:left w:val="nil"/>
              <w:bottom w:val="single" w:sz="12" w:space="0" w:color="008000"/>
              <w:right w:val="nil"/>
            </w:tcBorders>
            <w:shd w:val="clear" w:color="000000" w:fill="FFFFFF"/>
            <w:vAlign w:val="center"/>
            <w:hideMark/>
          </w:tcPr>
          <w:p w14:paraId="3C6A79CE" w14:textId="77777777" w:rsidR="00756505" w:rsidRPr="005B3511" w:rsidRDefault="00756505" w:rsidP="00B769EC">
            <w:pPr>
              <w:tabs>
                <w:tab w:val="clear" w:pos="7100"/>
              </w:tabs>
              <w:spacing w:line="240" w:lineRule="auto"/>
              <w:jc w:val="center"/>
              <w:rPr>
                <w:rFonts w:ascii="Arial Narrow" w:hAnsi="Arial Narrow"/>
                <w:color w:val="000000"/>
                <w:sz w:val="16"/>
                <w:szCs w:val="16"/>
                <w:lang w:val="it-IT" w:eastAsia="it-IT"/>
              </w:rPr>
            </w:pPr>
            <w:r w:rsidRPr="005B3511">
              <w:rPr>
                <w:rFonts w:ascii="Arial Narrow" w:hAnsi="Arial Narrow"/>
                <w:color w:val="000000"/>
                <w:sz w:val="16"/>
                <w:szCs w:val="16"/>
                <w:lang w:val="it-IT" w:eastAsia="it-IT"/>
              </w:rPr>
              <w:t>7</w:t>
            </w:r>
          </w:p>
        </w:tc>
      </w:tr>
    </w:tbl>
    <w:p w14:paraId="57A7FEFA" w14:textId="634E6D9F" w:rsidR="00730674" w:rsidRDefault="00730674" w:rsidP="00B769EC">
      <w:pPr>
        <w:pStyle w:val="CETBodytext"/>
        <w:jc w:val="left"/>
      </w:pPr>
    </w:p>
    <w:p w14:paraId="1193F7E9" w14:textId="77777777" w:rsidR="00876EA0" w:rsidRDefault="00876EA0" w:rsidP="00876EA0">
      <w:pPr>
        <w:pStyle w:val="CETBodytext"/>
        <w:ind w:left="360"/>
        <w:rPr>
          <w:iCs/>
        </w:rPr>
      </w:pPr>
    </w:p>
    <w:p w14:paraId="5DA98F7F" w14:textId="73F6D359" w:rsidR="00E32314" w:rsidRPr="00876EA0" w:rsidRDefault="00E32314" w:rsidP="009A1DBE">
      <w:pPr>
        <w:pStyle w:val="CETBodytext"/>
        <w:rPr>
          <w:i/>
        </w:rPr>
      </w:pPr>
      <w:r>
        <w:rPr>
          <w:i/>
        </w:rPr>
        <w:t>Table 2 Carbon Footprint Emission Factors</w:t>
      </w:r>
      <w:r w:rsidRPr="00107DC5">
        <w:rPr>
          <w:i/>
        </w:rPr>
        <w:t xml:space="preserve"> </w:t>
      </w:r>
      <w:r w:rsidR="00F07F82">
        <w:rPr>
          <w:i/>
        </w:rPr>
        <w:t xml:space="preserve"> </w:t>
      </w:r>
    </w:p>
    <w:p w14:paraId="6F7A4A60" w14:textId="77777777" w:rsidR="00730674" w:rsidRPr="00876EA0" w:rsidRDefault="00730674" w:rsidP="00730674">
      <w:pPr>
        <w:pStyle w:val="CETBodytext"/>
        <w:rPr>
          <w:i/>
          <w:lang w:val="en-GB"/>
        </w:rPr>
      </w:pPr>
    </w:p>
    <w:tbl>
      <w:tblPr>
        <w:tblW w:w="9074" w:type="dxa"/>
        <w:tblCellMar>
          <w:left w:w="70" w:type="dxa"/>
          <w:right w:w="70" w:type="dxa"/>
        </w:tblCellMar>
        <w:tblLook w:val="04A0" w:firstRow="1" w:lastRow="0" w:firstColumn="1" w:lastColumn="0" w:noHBand="0" w:noVBand="1"/>
      </w:tblPr>
      <w:tblGrid>
        <w:gridCol w:w="3406"/>
        <w:gridCol w:w="1501"/>
        <w:gridCol w:w="1389"/>
        <w:gridCol w:w="2778"/>
      </w:tblGrid>
      <w:tr w:rsidR="00E32314" w:rsidRPr="00E32314" w14:paraId="465BBF41" w14:textId="77777777" w:rsidTr="00A33E39">
        <w:trPr>
          <w:trHeight w:val="225"/>
        </w:trPr>
        <w:tc>
          <w:tcPr>
            <w:tcW w:w="3406" w:type="dxa"/>
            <w:tcBorders>
              <w:top w:val="single" w:sz="12" w:space="0" w:color="008000"/>
              <w:left w:val="nil"/>
              <w:bottom w:val="single" w:sz="8" w:space="0" w:color="008000"/>
              <w:right w:val="nil"/>
            </w:tcBorders>
            <w:shd w:val="clear" w:color="000000" w:fill="FFFFFF"/>
            <w:vAlign w:val="center"/>
            <w:hideMark/>
          </w:tcPr>
          <w:p w14:paraId="119D1ADA" w14:textId="77777777" w:rsidR="00E32314" w:rsidRPr="00E32314" w:rsidRDefault="00E32314" w:rsidP="00E32314">
            <w:pPr>
              <w:tabs>
                <w:tab w:val="clear" w:pos="7100"/>
              </w:tabs>
              <w:spacing w:line="240" w:lineRule="auto"/>
              <w:rPr>
                <w:rFonts w:cs="Arial"/>
                <w:color w:val="000000"/>
                <w:sz w:val="16"/>
                <w:szCs w:val="16"/>
                <w:lang w:val="it-IT" w:eastAsia="it-IT"/>
              </w:rPr>
            </w:pPr>
            <w:r w:rsidRPr="00E32314">
              <w:rPr>
                <w:rFonts w:cs="Arial"/>
                <w:color w:val="000000"/>
                <w:sz w:val="16"/>
                <w:szCs w:val="16"/>
                <w:lang w:val="it-IT" w:eastAsia="it-IT"/>
              </w:rPr>
              <w:t>Emission Factors</w:t>
            </w:r>
          </w:p>
        </w:tc>
        <w:tc>
          <w:tcPr>
            <w:tcW w:w="1501" w:type="dxa"/>
            <w:tcBorders>
              <w:top w:val="single" w:sz="12" w:space="0" w:color="008000"/>
              <w:left w:val="nil"/>
              <w:bottom w:val="single" w:sz="8" w:space="0" w:color="008000"/>
              <w:right w:val="nil"/>
            </w:tcBorders>
            <w:shd w:val="clear" w:color="000000" w:fill="FFFFFF"/>
            <w:noWrap/>
            <w:vAlign w:val="center"/>
            <w:hideMark/>
          </w:tcPr>
          <w:p w14:paraId="531BD6AA" w14:textId="77777777" w:rsidR="00E32314" w:rsidRPr="00E32314" w:rsidRDefault="00E32314" w:rsidP="00E32314">
            <w:pPr>
              <w:tabs>
                <w:tab w:val="clear" w:pos="7100"/>
              </w:tabs>
              <w:spacing w:line="240" w:lineRule="auto"/>
              <w:rPr>
                <w:rFonts w:cs="Arial"/>
                <w:color w:val="000000"/>
                <w:sz w:val="16"/>
                <w:szCs w:val="16"/>
                <w:lang w:val="it-IT" w:eastAsia="it-IT"/>
              </w:rPr>
            </w:pPr>
            <w:r w:rsidRPr="00E32314">
              <w:rPr>
                <w:rFonts w:cs="Arial"/>
                <w:color w:val="000000"/>
                <w:sz w:val="16"/>
                <w:szCs w:val="16"/>
                <w:lang w:val="it-IT" w:eastAsia="it-IT"/>
              </w:rPr>
              <w:t>Unit</w:t>
            </w:r>
          </w:p>
        </w:tc>
        <w:tc>
          <w:tcPr>
            <w:tcW w:w="1389" w:type="dxa"/>
            <w:tcBorders>
              <w:top w:val="single" w:sz="12" w:space="0" w:color="008000"/>
              <w:left w:val="nil"/>
              <w:bottom w:val="single" w:sz="8" w:space="0" w:color="008000"/>
              <w:right w:val="nil"/>
            </w:tcBorders>
            <w:shd w:val="clear" w:color="000000" w:fill="FFFFFF"/>
            <w:vAlign w:val="center"/>
            <w:hideMark/>
          </w:tcPr>
          <w:p w14:paraId="6E071DCF" w14:textId="77777777" w:rsidR="00E32314" w:rsidRPr="00E32314" w:rsidRDefault="00E32314" w:rsidP="00E32314">
            <w:pPr>
              <w:tabs>
                <w:tab w:val="clear" w:pos="7100"/>
              </w:tabs>
              <w:spacing w:line="240" w:lineRule="auto"/>
              <w:rPr>
                <w:rFonts w:cs="Arial"/>
                <w:color w:val="000000"/>
                <w:sz w:val="16"/>
                <w:szCs w:val="16"/>
                <w:lang w:val="it-IT" w:eastAsia="it-IT"/>
              </w:rPr>
            </w:pPr>
            <w:r w:rsidRPr="00E32314">
              <w:rPr>
                <w:rFonts w:cs="Arial"/>
                <w:color w:val="000000"/>
                <w:sz w:val="16"/>
                <w:szCs w:val="16"/>
                <w:lang w:val="it-IT" w:eastAsia="it-IT"/>
              </w:rPr>
              <w:t>CO2e</w:t>
            </w:r>
          </w:p>
        </w:tc>
        <w:tc>
          <w:tcPr>
            <w:tcW w:w="2778" w:type="dxa"/>
            <w:tcBorders>
              <w:top w:val="single" w:sz="12" w:space="0" w:color="008000"/>
              <w:left w:val="nil"/>
              <w:bottom w:val="single" w:sz="8" w:space="0" w:color="008000"/>
              <w:right w:val="nil"/>
            </w:tcBorders>
            <w:shd w:val="clear" w:color="000000" w:fill="FFFFFF"/>
            <w:vAlign w:val="center"/>
            <w:hideMark/>
          </w:tcPr>
          <w:p w14:paraId="220F772D" w14:textId="7031DB74" w:rsidR="00E32314" w:rsidRPr="00E32314" w:rsidRDefault="00107DC5" w:rsidP="00E32314">
            <w:pPr>
              <w:tabs>
                <w:tab w:val="clear" w:pos="7100"/>
              </w:tabs>
              <w:spacing w:line="240" w:lineRule="auto"/>
              <w:jc w:val="center"/>
              <w:rPr>
                <w:rFonts w:cs="Arial"/>
                <w:color w:val="000000"/>
                <w:sz w:val="16"/>
                <w:szCs w:val="16"/>
                <w:lang w:val="it-IT" w:eastAsia="it-IT"/>
              </w:rPr>
            </w:pPr>
            <w:r>
              <w:rPr>
                <w:rFonts w:cs="Arial"/>
                <w:color w:val="000000"/>
                <w:sz w:val="16"/>
                <w:szCs w:val="16"/>
                <w:lang w:val="it-IT" w:eastAsia="it-IT"/>
              </w:rPr>
              <w:t>Source</w:t>
            </w:r>
          </w:p>
        </w:tc>
      </w:tr>
      <w:tr w:rsidR="00E32314" w:rsidRPr="00E32314" w14:paraId="6FD43354" w14:textId="77777777" w:rsidTr="00A33E39">
        <w:trPr>
          <w:trHeight w:val="250"/>
        </w:trPr>
        <w:tc>
          <w:tcPr>
            <w:tcW w:w="3406" w:type="dxa"/>
            <w:tcBorders>
              <w:top w:val="nil"/>
              <w:left w:val="nil"/>
              <w:bottom w:val="nil"/>
              <w:right w:val="nil"/>
            </w:tcBorders>
            <w:shd w:val="clear" w:color="000000" w:fill="FFFFFF"/>
            <w:noWrap/>
            <w:vAlign w:val="center"/>
            <w:hideMark/>
          </w:tcPr>
          <w:p w14:paraId="48C50C83" w14:textId="77777777" w:rsidR="00E32314" w:rsidRPr="00E32314" w:rsidRDefault="00E32314" w:rsidP="00E32314">
            <w:pPr>
              <w:tabs>
                <w:tab w:val="clear" w:pos="7100"/>
              </w:tabs>
              <w:spacing w:line="240" w:lineRule="auto"/>
              <w:jc w:val="left"/>
              <w:rPr>
                <w:rFonts w:cs="Arial"/>
                <w:sz w:val="16"/>
                <w:szCs w:val="16"/>
                <w:lang w:val="it-IT" w:eastAsia="it-IT"/>
              </w:rPr>
            </w:pPr>
            <w:r w:rsidRPr="00E32314">
              <w:rPr>
                <w:rFonts w:cs="Arial"/>
                <w:sz w:val="16"/>
                <w:szCs w:val="16"/>
                <w:lang w:val="it-IT" w:eastAsia="it-IT"/>
              </w:rPr>
              <w:t>GRID Energy</w:t>
            </w:r>
          </w:p>
        </w:tc>
        <w:tc>
          <w:tcPr>
            <w:tcW w:w="1501" w:type="dxa"/>
            <w:tcBorders>
              <w:top w:val="nil"/>
              <w:left w:val="nil"/>
              <w:bottom w:val="nil"/>
              <w:right w:val="nil"/>
            </w:tcBorders>
            <w:shd w:val="clear" w:color="000000" w:fill="FFFFFF"/>
            <w:noWrap/>
            <w:vAlign w:val="center"/>
            <w:hideMark/>
          </w:tcPr>
          <w:p w14:paraId="4A7DC6A5" w14:textId="77777777" w:rsidR="00E32314" w:rsidRPr="00E32314" w:rsidRDefault="00E32314" w:rsidP="00E32314">
            <w:pPr>
              <w:tabs>
                <w:tab w:val="clear" w:pos="7100"/>
              </w:tabs>
              <w:spacing w:line="240" w:lineRule="auto"/>
              <w:jc w:val="left"/>
              <w:rPr>
                <w:rFonts w:cs="Arial"/>
                <w:sz w:val="16"/>
                <w:szCs w:val="16"/>
                <w:lang w:val="it-IT" w:eastAsia="it-IT"/>
              </w:rPr>
            </w:pPr>
            <w:r w:rsidRPr="00E32314">
              <w:rPr>
                <w:rFonts w:cs="Arial"/>
                <w:sz w:val="16"/>
                <w:szCs w:val="16"/>
                <w:lang w:val="it-IT" w:eastAsia="it-IT"/>
              </w:rPr>
              <w:t>tCO2e / MWh</w:t>
            </w:r>
          </w:p>
        </w:tc>
        <w:tc>
          <w:tcPr>
            <w:tcW w:w="1389" w:type="dxa"/>
            <w:tcBorders>
              <w:top w:val="nil"/>
              <w:left w:val="nil"/>
              <w:bottom w:val="nil"/>
              <w:right w:val="nil"/>
            </w:tcBorders>
            <w:shd w:val="clear" w:color="000000" w:fill="FFFFFF"/>
            <w:noWrap/>
            <w:vAlign w:val="center"/>
            <w:hideMark/>
          </w:tcPr>
          <w:p w14:paraId="563A859A" w14:textId="77777777" w:rsidR="00E32314" w:rsidRPr="00E32314" w:rsidRDefault="00E32314" w:rsidP="00E32314">
            <w:pPr>
              <w:tabs>
                <w:tab w:val="clear" w:pos="7100"/>
              </w:tabs>
              <w:spacing w:line="240" w:lineRule="auto"/>
              <w:jc w:val="right"/>
              <w:rPr>
                <w:rFonts w:cs="Arial"/>
                <w:sz w:val="16"/>
                <w:szCs w:val="16"/>
                <w:lang w:val="it-IT" w:eastAsia="it-IT"/>
              </w:rPr>
            </w:pPr>
            <w:r w:rsidRPr="00E32314">
              <w:rPr>
                <w:rFonts w:cs="Arial"/>
                <w:sz w:val="16"/>
                <w:szCs w:val="16"/>
                <w:lang w:val="it-IT" w:eastAsia="it-IT"/>
              </w:rPr>
              <w:t>0,272</w:t>
            </w:r>
          </w:p>
        </w:tc>
        <w:tc>
          <w:tcPr>
            <w:tcW w:w="2778" w:type="dxa"/>
            <w:tcBorders>
              <w:top w:val="nil"/>
              <w:left w:val="nil"/>
              <w:bottom w:val="nil"/>
              <w:right w:val="nil"/>
            </w:tcBorders>
            <w:shd w:val="clear" w:color="000000" w:fill="FFFFFF"/>
            <w:vAlign w:val="center"/>
            <w:hideMark/>
          </w:tcPr>
          <w:p w14:paraId="1E2440BC" w14:textId="2A76379A" w:rsidR="00E32314" w:rsidRPr="00107DC5" w:rsidRDefault="00E32314" w:rsidP="00E32314">
            <w:pPr>
              <w:tabs>
                <w:tab w:val="clear" w:pos="7100"/>
              </w:tabs>
              <w:spacing w:line="240" w:lineRule="auto"/>
              <w:jc w:val="center"/>
              <w:rPr>
                <w:rFonts w:cs="Arial"/>
                <w:i/>
                <w:iCs/>
                <w:sz w:val="16"/>
                <w:szCs w:val="16"/>
                <w:lang w:val="en-US" w:eastAsia="it-IT"/>
              </w:rPr>
            </w:pPr>
            <w:r w:rsidRPr="00107DC5">
              <w:rPr>
                <w:rFonts w:cs="Arial"/>
                <w:i/>
                <w:iCs/>
                <w:sz w:val="16"/>
                <w:szCs w:val="16"/>
                <w:lang w:val="en-US" w:eastAsia="it-IT"/>
              </w:rPr>
              <w:t>EIB</w:t>
            </w:r>
            <w:r w:rsidR="00EF6C2F">
              <w:rPr>
                <w:rFonts w:cs="Arial"/>
                <w:i/>
                <w:iCs/>
                <w:sz w:val="16"/>
                <w:szCs w:val="16"/>
                <w:lang w:val="en-US" w:eastAsia="it-IT"/>
              </w:rPr>
              <w:t xml:space="preserve"> </w:t>
            </w:r>
            <w:proofErr w:type="gramStart"/>
            <w:r w:rsidR="00EF6C2F">
              <w:rPr>
                <w:rFonts w:cs="Arial"/>
                <w:i/>
                <w:iCs/>
                <w:sz w:val="16"/>
                <w:szCs w:val="16"/>
                <w:lang w:val="en-US" w:eastAsia="it-IT"/>
              </w:rPr>
              <w:t xml:space="preserve">2023 </w:t>
            </w:r>
            <w:r w:rsidRPr="00107DC5">
              <w:rPr>
                <w:rFonts w:cs="Arial"/>
                <w:i/>
                <w:iCs/>
                <w:sz w:val="16"/>
                <w:szCs w:val="16"/>
                <w:lang w:val="en-US" w:eastAsia="it-IT"/>
              </w:rPr>
              <w:t xml:space="preserve"> EU</w:t>
            </w:r>
            <w:proofErr w:type="gramEnd"/>
            <w:r w:rsidRPr="00107DC5">
              <w:rPr>
                <w:rFonts w:cs="Arial"/>
                <w:i/>
                <w:iCs/>
                <w:sz w:val="16"/>
                <w:szCs w:val="16"/>
                <w:lang w:val="en-US" w:eastAsia="it-IT"/>
              </w:rPr>
              <w:t xml:space="preserve"> 27 MV (medium voltage) grid </w:t>
            </w:r>
          </w:p>
        </w:tc>
      </w:tr>
      <w:tr w:rsidR="00E32314" w:rsidRPr="00E32314" w14:paraId="5E354E17" w14:textId="77777777" w:rsidTr="00A33E39">
        <w:trPr>
          <w:trHeight w:val="250"/>
        </w:trPr>
        <w:tc>
          <w:tcPr>
            <w:tcW w:w="3406" w:type="dxa"/>
            <w:tcBorders>
              <w:top w:val="nil"/>
              <w:left w:val="nil"/>
              <w:bottom w:val="nil"/>
              <w:right w:val="nil"/>
            </w:tcBorders>
            <w:shd w:val="clear" w:color="000000" w:fill="FFFFFF"/>
            <w:noWrap/>
            <w:vAlign w:val="center"/>
            <w:hideMark/>
          </w:tcPr>
          <w:p w14:paraId="3AC1FED9" w14:textId="77777777" w:rsidR="00E32314" w:rsidRPr="00E32314" w:rsidRDefault="00E32314" w:rsidP="00E32314">
            <w:pPr>
              <w:tabs>
                <w:tab w:val="clear" w:pos="7100"/>
              </w:tabs>
              <w:spacing w:line="240" w:lineRule="auto"/>
              <w:jc w:val="left"/>
              <w:rPr>
                <w:rFonts w:cs="Arial"/>
                <w:sz w:val="16"/>
                <w:szCs w:val="16"/>
                <w:lang w:val="it-IT" w:eastAsia="it-IT"/>
              </w:rPr>
            </w:pPr>
            <w:r w:rsidRPr="00E32314">
              <w:rPr>
                <w:rFonts w:cs="Arial"/>
                <w:sz w:val="16"/>
                <w:szCs w:val="16"/>
                <w:lang w:val="it-IT" w:eastAsia="it-IT"/>
              </w:rPr>
              <w:t>REN Wind Farm Energy</w:t>
            </w:r>
          </w:p>
        </w:tc>
        <w:tc>
          <w:tcPr>
            <w:tcW w:w="1501" w:type="dxa"/>
            <w:tcBorders>
              <w:top w:val="nil"/>
              <w:left w:val="nil"/>
              <w:bottom w:val="nil"/>
              <w:right w:val="nil"/>
            </w:tcBorders>
            <w:shd w:val="clear" w:color="000000" w:fill="FFFFFF"/>
            <w:noWrap/>
            <w:vAlign w:val="center"/>
            <w:hideMark/>
          </w:tcPr>
          <w:p w14:paraId="3F5AA2E0" w14:textId="77777777" w:rsidR="00E32314" w:rsidRPr="00E32314" w:rsidRDefault="00E32314" w:rsidP="00E32314">
            <w:pPr>
              <w:tabs>
                <w:tab w:val="clear" w:pos="7100"/>
              </w:tabs>
              <w:spacing w:line="240" w:lineRule="auto"/>
              <w:jc w:val="left"/>
              <w:rPr>
                <w:rFonts w:cs="Arial"/>
                <w:sz w:val="16"/>
                <w:szCs w:val="16"/>
                <w:lang w:val="it-IT" w:eastAsia="it-IT"/>
              </w:rPr>
            </w:pPr>
            <w:r w:rsidRPr="00E32314">
              <w:rPr>
                <w:rFonts w:cs="Arial"/>
                <w:sz w:val="16"/>
                <w:szCs w:val="16"/>
                <w:lang w:val="it-IT" w:eastAsia="it-IT"/>
              </w:rPr>
              <w:t>t CO2e/MWh</w:t>
            </w:r>
          </w:p>
        </w:tc>
        <w:tc>
          <w:tcPr>
            <w:tcW w:w="1389" w:type="dxa"/>
            <w:tcBorders>
              <w:top w:val="nil"/>
              <w:left w:val="nil"/>
              <w:bottom w:val="nil"/>
              <w:right w:val="nil"/>
            </w:tcBorders>
            <w:shd w:val="clear" w:color="000000" w:fill="FFFFFF"/>
            <w:noWrap/>
            <w:vAlign w:val="center"/>
            <w:hideMark/>
          </w:tcPr>
          <w:p w14:paraId="13272F43" w14:textId="77777777" w:rsidR="00E32314" w:rsidRPr="00E32314" w:rsidRDefault="00E32314" w:rsidP="00E32314">
            <w:pPr>
              <w:tabs>
                <w:tab w:val="clear" w:pos="7100"/>
              </w:tabs>
              <w:spacing w:line="240" w:lineRule="auto"/>
              <w:jc w:val="right"/>
              <w:rPr>
                <w:rFonts w:cs="Arial"/>
                <w:sz w:val="16"/>
                <w:szCs w:val="16"/>
                <w:lang w:val="it-IT" w:eastAsia="it-IT"/>
              </w:rPr>
            </w:pPr>
            <w:r w:rsidRPr="00E32314">
              <w:rPr>
                <w:rFonts w:cs="Arial"/>
                <w:sz w:val="16"/>
                <w:szCs w:val="16"/>
                <w:lang w:val="it-IT" w:eastAsia="it-IT"/>
              </w:rPr>
              <w:t>0</w:t>
            </w:r>
          </w:p>
        </w:tc>
        <w:tc>
          <w:tcPr>
            <w:tcW w:w="2778" w:type="dxa"/>
            <w:tcBorders>
              <w:top w:val="nil"/>
              <w:left w:val="nil"/>
              <w:bottom w:val="nil"/>
              <w:right w:val="nil"/>
            </w:tcBorders>
            <w:shd w:val="clear" w:color="000000" w:fill="FFFFFF"/>
            <w:vAlign w:val="center"/>
            <w:hideMark/>
          </w:tcPr>
          <w:p w14:paraId="614CE68B" w14:textId="77777777" w:rsidR="00E32314" w:rsidRPr="00107DC5" w:rsidRDefault="00E32314" w:rsidP="00E32314">
            <w:pPr>
              <w:tabs>
                <w:tab w:val="clear" w:pos="7100"/>
              </w:tabs>
              <w:spacing w:line="240" w:lineRule="auto"/>
              <w:jc w:val="center"/>
              <w:rPr>
                <w:rFonts w:cs="Arial"/>
                <w:i/>
                <w:iCs/>
                <w:sz w:val="16"/>
                <w:szCs w:val="16"/>
                <w:lang w:val="it-IT" w:eastAsia="it-IT"/>
              </w:rPr>
            </w:pPr>
            <w:r w:rsidRPr="00107DC5">
              <w:rPr>
                <w:rFonts w:cs="Arial"/>
                <w:i/>
                <w:iCs/>
                <w:sz w:val="16"/>
                <w:szCs w:val="16"/>
                <w:lang w:val="it-IT" w:eastAsia="it-IT"/>
              </w:rPr>
              <w:t>From External Source</w:t>
            </w:r>
          </w:p>
        </w:tc>
      </w:tr>
      <w:tr w:rsidR="00E32314" w:rsidRPr="00E32314" w14:paraId="0C13E974" w14:textId="77777777" w:rsidTr="00A33E39">
        <w:trPr>
          <w:trHeight w:val="250"/>
        </w:trPr>
        <w:tc>
          <w:tcPr>
            <w:tcW w:w="3406" w:type="dxa"/>
            <w:tcBorders>
              <w:top w:val="nil"/>
              <w:left w:val="nil"/>
              <w:bottom w:val="nil"/>
              <w:right w:val="nil"/>
            </w:tcBorders>
            <w:shd w:val="clear" w:color="000000" w:fill="FFFFFF"/>
            <w:noWrap/>
            <w:vAlign w:val="center"/>
            <w:hideMark/>
          </w:tcPr>
          <w:p w14:paraId="3E01C244" w14:textId="77777777" w:rsidR="00E32314" w:rsidRPr="00E32314" w:rsidRDefault="00E32314" w:rsidP="00E32314">
            <w:pPr>
              <w:tabs>
                <w:tab w:val="clear" w:pos="7100"/>
              </w:tabs>
              <w:spacing w:line="240" w:lineRule="auto"/>
              <w:jc w:val="left"/>
              <w:rPr>
                <w:rFonts w:cs="Arial"/>
                <w:sz w:val="16"/>
                <w:szCs w:val="16"/>
                <w:lang w:val="it-IT" w:eastAsia="it-IT"/>
              </w:rPr>
            </w:pPr>
            <w:r w:rsidRPr="00E32314">
              <w:rPr>
                <w:rFonts w:cs="Arial"/>
                <w:sz w:val="16"/>
                <w:szCs w:val="16"/>
                <w:lang w:val="it-IT" w:eastAsia="it-IT"/>
              </w:rPr>
              <w:t>H2 (produced by Block 1)</w:t>
            </w:r>
          </w:p>
        </w:tc>
        <w:tc>
          <w:tcPr>
            <w:tcW w:w="1501" w:type="dxa"/>
            <w:tcBorders>
              <w:top w:val="nil"/>
              <w:left w:val="nil"/>
              <w:bottom w:val="nil"/>
              <w:right w:val="nil"/>
            </w:tcBorders>
            <w:shd w:val="clear" w:color="000000" w:fill="FFFFFF"/>
            <w:noWrap/>
            <w:vAlign w:val="center"/>
            <w:hideMark/>
          </w:tcPr>
          <w:p w14:paraId="6486727C" w14:textId="77777777" w:rsidR="00E32314" w:rsidRPr="00E32314" w:rsidRDefault="00E32314" w:rsidP="00E32314">
            <w:pPr>
              <w:tabs>
                <w:tab w:val="clear" w:pos="7100"/>
              </w:tabs>
              <w:spacing w:line="240" w:lineRule="auto"/>
              <w:jc w:val="left"/>
              <w:rPr>
                <w:rFonts w:cs="Arial"/>
                <w:sz w:val="16"/>
                <w:szCs w:val="16"/>
                <w:lang w:val="it-IT" w:eastAsia="it-IT"/>
              </w:rPr>
            </w:pPr>
            <w:r w:rsidRPr="00E32314">
              <w:rPr>
                <w:rFonts w:cs="Arial"/>
                <w:sz w:val="16"/>
                <w:szCs w:val="16"/>
                <w:lang w:val="it-IT" w:eastAsia="it-IT"/>
              </w:rPr>
              <w:t>t CO2e / t</w:t>
            </w:r>
          </w:p>
        </w:tc>
        <w:tc>
          <w:tcPr>
            <w:tcW w:w="1389" w:type="dxa"/>
            <w:tcBorders>
              <w:top w:val="nil"/>
              <w:left w:val="nil"/>
              <w:bottom w:val="nil"/>
              <w:right w:val="nil"/>
            </w:tcBorders>
            <w:shd w:val="clear" w:color="000000" w:fill="FFFFFF"/>
            <w:noWrap/>
            <w:vAlign w:val="center"/>
            <w:hideMark/>
          </w:tcPr>
          <w:p w14:paraId="14E2D957" w14:textId="77777777" w:rsidR="00E32314" w:rsidRPr="00E32314" w:rsidRDefault="00E32314" w:rsidP="00E32314">
            <w:pPr>
              <w:tabs>
                <w:tab w:val="clear" w:pos="7100"/>
              </w:tabs>
              <w:spacing w:line="240" w:lineRule="auto"/>
              <w:jc w:val="right"/>
              <w:rPr>
                <w:rFonts w:cs="Arial"/>
                <w:sz w:val="16"/>
                <w:szCs w:val="16"/>
                <w:lang w:val="it-IT" w:eastAsia="it-IT"/>
              </w:rPr>
            </w:pPr>
            <w:r w:rsidRPr="00E32314">
              <w:rPr>
                <w:rFonts w:cs="Arial"/>
                <w:sz w:val="16"/>
                <w:szCs w:val="16"/>
                <w:lang w:val="it-IT" w:eastAsia="it-IT"/>
              </w:rPr>
              <w:t>3</w:t>
            </w:r>
          </w:p>
        </w:tc>
        <w:tc>
          <w:tcPr>
            <w:tcW w:w="2778" w:type="dxa"/>
            <w:tcBorders>
              <w:top w:val="nil"/>
              <w:left w:val="nil"/>
              <w:bottom w:val="nil"/>
              <w:right w:val="nil"/>
            </w:tcBorders>
            <w:shd w:val="clear" w:color="000000" w:fill="FFFFFF"/>
            <w:vAlign w:val="center"/>
            <w:hideMark/>
          </w:tcPr>
          <w:p w14:paraId="5DB88D5C" w14:textId="77777777" w:rsidR="00E32314" w:rsidRPr="00107DC5" w:rsidRDefault="00E32314" w:rsidP="00E32314">
            <w:pPr>
              <w:tabs>
                <w:tab w:val="clear" w:pos="7100"/>
              </w:tabs>
              <w:spacing w:line="240" w:lineRule="auto"/>
              <w:jc w:val="center"/>
              <w:rPr>
                <w:rFonts w:cs="Arial"/>
                <w:i/>
                <w:iCs/>
                <w:sz w:val="16"/>
                <w:szCs w:val="16"/>
                <w:lang w:val="it-IT" w:eastAsia="it-IT"/>
              </w:rPr>
            </w:pPr>
            <w:r w:rsidRPr="00107DC5">
              <w:rPr>
                <w:rFonts w:cs="Arial"/>
                <w:i/>
                <w:iCs/>
                <w:sz w:val="16"/>
                <w:szCs w:val="16"/>
                <w:lang w:val="it-IT" w:eastAsia="it-IT"/>
              </w:rPr>
              <w:t>Internally produced</w:t>
            </w:r>
          </w:p>
        </w:tc>
      </w:tr>
      <w:tr w:rsidR="00E32314" w:rsidRPr="00E32314" w14:paraId="0EA15C55" w14:textId="77777777" w:rsidTr="00A33E39">
        <w:trPr>
          <w:trHeight w:val="250"/>
        </w:trPr>
        <w:tc>
          <w:tcPr>
            <w:tcW w:w="3406" w:type="dxa"/>
            <w:tcBorders>
              <w:top w:val="nil"/>
              <w:left w:val="nil"/>
              <w:bottom w:val="nil"/>
              <w:right w:val="nil"/>
            </w:tcBorders>
            <w:shd w:val="clear" w:color="000000" w:fill="FFFFFF"/>
            <w:noWrap/>
            <w:vAlign w:val="center"/>
            <w:hideMark/>
          </w:tcPr>
          <w:p w14:paraId="72EFB13F" w14:textId="77777777" w:rsidR="00E32314" w:rsidRPr="00E32314" w:rsidRDefault="00E32314" w:rsidP="00E32314">
            <w:pPr>
              <w:tabs>
                <w:tab w:val="clear" w:pos="7100"/>
              </w:tabs>
              <w:spacing w:line="240" w:lineRule="auto"/>
              <w:jc w:val="left"/>
              <w:rPr>
                <w:rFonts w:cs="Arial"/>
                <w:sz w:val="16"/>
                <w:szCs w:val="16"/>
                <w:lang w:val="en-US" w:eastAsia="it-IT"/>
              </w:rPr>
            </w:pPr>
            <w:r w:rsidRPr="00E32314">
              <w:rPr>
                <w:rFonts w:cs="Arial"/>
                <w:sz w:val="16"/>
                <w:szCs w:val="16"/>
                <w:lang w:val="en-US" w:eastAsia="it-IT"/>
              </w:rPr>
              <w:t>Green H2 (produced by Block 1)</w:t>
            </w:r>
          </w:p>
        </w:tc>
        <w:tc>
          <w:tcPr>
            <w:tcW w:w="1501" w:type="dxa"/>
            <w:tcBorders>
              <w:top w:val="nil"/>
              <w:left w:val="nil"/>
              <w:bottom w:val="nil"/>
              <w:right w:val="nil"/>
            </w:tcBorders>
            <w:shd w:val="clear" w:color="000000" w:fill="FFFFFF"/>
            <w:noWrap/>
            <w:vAlign w:val="center"/>
            <w:hideMark/>
          </w:tcPr>
          <w:p w14:paraId="706FC13C" w14:textId="77777777" w:rsidR="00E32314" w:rsidRPr="00E32314" w:rsidRDefault="00E32314" w:rsidP="00E32314">
            <w:pPr>
              <w:tabs>
                <w:tab w:val="clear" w:pos="7100"/>
              </w:tabs>
              <w:spacing w:line="240" w:lineRule="auto"/>
              <w:jc w:val="left"/>
              <w:rPr>
                <w:rFonts w:cs="Arial"/>
                <w:sz w:val="16"/>
                <w:szCs w:val="16"/>
                <w:lang w:val="it-IT" w:eastAsia="it-IT"/>
              </w:rPr>
            </w:pPr>
            <w:r w:rsidRPr="00E32314">
              <w:rPr>
                <w:rFonts w:cs="Arial"/>
                <w:sz w:val="16"/>
                <w:szCs w:val="16"/>
                <w:lang w:val="it-IT" w:eastAsia="it-IT"/>
              </w:rPr>
              <w:t>t CO2e / t</w:t>
            </w:r>
          </w:p>
        </w:tc>
        <w:tc>
          <w:tcPr>
            <w:tcW w:w="1389" w:type="dxa"/>
            <w:tcBorders>
              <w:top w:val="nil"/>
              <w:left w:val="nil"/>
              <w:bottom w:val="nil"/>
              <w:right w:val="nil"/>
            </w:tcBorders>
            <w:shd w:val="clear" w:color="000000" w:fill="FFFFFF"/>
            <w:noWrap/>
            <w:vAlign w:val="center"/>
            <w:hideMark/>
          </w:tcPr>
          <w:p w14:paraId="0A5504AD" w14:textId="77777777" w:rsidR="00E32314" w:rsidRPr="00E32314" w:rsidRDefault="00E32314" w:rsidP="00E32314">
            <w:pPr>
              <w:tabs>
                <w:tab w:val="clear" w:pos="7100"/>
              </w:tabs>
              <w:spacing w:line="240" w:lineRule="auto"/>
              <w:jc w:val="right"/>
              <w:rPr>
                <w:rFonts w:cs="Arial"/>
                <w:sz w:val="16"/>
                <w:szCs w:val="16"/>
                <w:lang w:val="it-IT" w:eastAsia="it-IT"/>
              </w:rPr>
            </w:pPr>
            <w:r w:rsidRPr="00E32314">
              <w:rPr>
                <w:rFonts w:cs="Arial"/>
                <w:sz w:val="16"/>
                <w:szCs w:val="16"/>
                <w:lang w:val="it-IT" w:eastAsia="it-IT"/>
              </w:rPr>
              <w:t>0</w:t>
            </w:r>
          </w:p>
        </w:tc>
        <w:tc>
          <w:tcPr>
            <w:tcW w:w="2778" w:type="dxa"/>
            <w:tcBorders>
              <w:top w:val="nil"/>
              <w:left w:val="nil"/>
              <w:bottom w:val="nil"/>
              <w:right w:val="nil"/>
            </w:tcBorders>
            <w:shd w:val="clear" w:color="000000" w:fill="FFFFFF"/>
            <w:vAlign w:val="center"/>
            <w:hideMark/>
          </w:tcPr>
          <w:p w14:paraId="7AA10748" w14:textId="77777777" w:rsidR="00E32314" w:rsidRPr="00107DC5" w:rsidRDefault="00E32314" w:rsidP="00E32314">
            <w:pPr>
              <w:tabs>
                <w:tab w:val="clear" w:pos="7100"/>
              </w:tabs>
              <w:spacing w:line="240" w:lineRule="auto"/>
              <w:jc w:val="center"/>
              <w:rPr>
                <w:rFonts w:cs="Arial"/>
                <w:i/>
                <w:iCs/>
                <w:sz w:val="16"/>
                <w:szCs w:val="16"/>
                <w:lang w:val="it-IT" w:eastAsia="it-IT"/>
              </w:rPr>
            </w:pPr>
            <w:r w:rsidRPr="00107DC5">
              <w:rPr>
                <w:rFonts w:cs="Arial"/>
                <w:i/>
                <w:iCs/>
                <w:sz w:val="16"/>
                <w:szCs w:val="16"/>
                <w:lang w:val="it-IT" w:eastAsia="it-IT"/>
              </w:rPr>
              <w:t>by definition</w:t>
            </w:r>
          </w:p>
        </w:tc>
      </w:tr>
      <w:tr w:rsidR="00E32314" w:rsidRPr="00E32314" w14:paraId="1118B959" w14:textId="77777777" w:rsidTr="00A33E39">
        <w:trPr>
          <w:trHeight w:val="250"/>
        </w:trPr>
        <w:tc>
          <w:tcPr>
            <w:tcW w:w="3406" w:type="dxa"/>
            <w:tcBorders>
              <w:top w:val="nil"/>
              <w:left w:val="nil"/>
              <w:bottom w:val="nil"/>
              <w:right w:val="nil"/>
            </w:tcBorders>
            <w:shd w:val="clear" w:color="000000" w:fill="FFFFFF"/>
            <w:noWrap/>
            <w:vAlign w:val="center"/>
            <w:hideMark/>
          </w:tcPr>
          <w:p w14:paraId="5F5FD011" w14:textId="77777777" w:rsidR="00E32314" w:rsidRPr="00E32314" w:rsidRDefault="00E32314" w:rsidP="00E32314">
            <w:pPr>
              <w:tabs>
                <w:tab w:val="clear" w:pos="7100"/>
              </w:tabs>
              <w:spacing w:line="240" w:lineRule="auto"/>
              <w:jc w:val="left"/>
              <w:rPr>
                <w:rFonts w:cs="Arial"/>
                <w:sz w:val="16"/>
                <w:szCs w:val="16"/>
                <w:lang w:val="it-IT" w:eastAsia="it-IT"/>
              </w:rPr>
            </w:pPr>
            <w:r w:rsidRPr="00E32314">
              <w:rPr>
                <w:rFonts w:cs="Arial"/>
                <w:sz w:val="16"/>
                <w:szCs w:val="16"/>
                <w:lang w:val="it-IT" w:eastAsia="it-IT"/>
              </w:rPr>
              <w:t>Desalinated Water</w:t>
            </w:r>
          </w:p>
        </w:tc>
        <w:tc>
          <w:tcPr>
            <w:tcW w:w="1501" w:type="dxa"/>
            <w:tcBorders>
              <w:top w:val="nil"/>
              <w:left w:val="nil"/>
              <w:bottom w:val="nil"/>
              <w:right w:val="nil"/>
            </w:tcBorders>
            <w:shd w:val="clear" w:color="000000" w:fill="FFFFFF"/>
            <w:noWrap/>
            <w:vAlign w:val="center"/>
            <w:hideMark/>
          </w:tcPr>
          <w:p w14:paraId="79BDF5F0" w14:textId="77777777" w:rsidR="00E32314" w:rsidRPr="00E32314" w:rsidRDefault="00E32314" w:rsidP="00E32314">
            <w:pPr>
              <w:tabs>
                <w:tab w:val="clear" w:pos="7100"/>
              </w:tabs>
              <w:spacing w:line="240" w:lineRule="auto"/>
              <w:jc w:val="left"/>
              <w:rPr>
                <w:rFonts w:cs="Arial"/>
                <w:sz w:val="16"/>
                <w:szCs w:val="16"/>
                <w:lang w:val="it-IT" w:eastAsia="it-IT"/>
              </w:rPr>
            </w:pPr>
            <w:r w:rsidRPr="00E32314">
              <w:rPr>
                <w:rFonts w:cs="Arial"/>
                <w:sz w:val="16"/>
                <w:szCs w:val="16"/>
                <w:lang w:val="it-IT" w:eastAsia="it-IT"/>
              </w:rPr>
              <w:t>t CO2e / t</w:t>
            </w:r>
          </w:p>
        </w:tc>
        <w:tc>
          <w:tcPr>
            <w:tcW w:w="1389" w:type="dxa"/>
            <w:tcBorders>
              <w:top w:val="nil"/>
              <w:left w:val="nil"/>
              <w:bottom w:val="nil"/>
              <w:right w:val="nil"/>
            </w:tcBorders>
            <w:shd w:val="clear" w:color="000000" w:fill="FFFFFF"/>
            <w:noWrap/>
            <w:vAlign w:val="center"/>
            <w:hideMark/>
          </w:tcPr>
          <w:p w14:paraId="0790E942" w14:textId="77777777" w:rsidR="00E32314" w:rsidRPr="00E32314" w:rsidRDefault="00E32314" w:rsidP="00E32314">
            <w:pPr>
              <w:tabs>
                <w:tab w:val="clear" w:pos="7100"/>
              </w:tabs>
              <w:spacing w:line="240" w:lineRule="auto"/>
              <w:jc w:val="right"/>
              <w:rPr>
                <w:rFonts w:cs="Arial"/>
                <w:sz w:val="16"/>
                <w:szCs w:val="16"/>
                <w:lang w:val="it-IT" w:eastAsia="it-IT"/>
              </w:rPr>
            </w:pPr>
            <w:r w:rsidRPr="00E32314">
              <w:rPr>
                <w:rFonts w:cs="Arial"/>
                <w:sz w:val="16"/>
                <w:szCs w:val="16"/>
                <w:lang w:val="it-IT" w:eastAsia="it-IT"/>
              </w:rPr>
              <w:t>0,15</w:t>
            </w:r>
          </w:p>
        </w:tc>
        <w:tc>
          <w:tcPr>
            <w:tcW w:w="2778" w:type="dxa"/>
            <w:tcBorders>
              <w:top w:val="nil"/>
              <w:left w:val="nil"/>
              <w:bottom w:val="nil"/>
              <w:right w:val="nil"/>
            </w:tcBorders>
            <w:shd w:val="clear" w:color="000000" w:fill="FFFFFF"/>
            <w:vAlign w:val="center"/>
            <w:hideMark/>
          </w:tcPr>
          <w:p w14:paraId="5D514032" w14:textId="77777777" w:rsidR="00E32314" w:rsidRPr="00107DC5" w:rsidRDefault="00E32314" w:rsidP="00E32314">
            <w:pPr>
              <w:tabs>
                <w:tab w:val="clear" w:pos="7100"/>
              </w:tabs>
              <w:spacing w:line="240" w:lineRule="auto"/>
              <w:jc w:val="center"/>
              <w:rPr>
                <w:rFonts w:cs="Arial"/>
                <w:i/>
                <w:iCs/>
                <w:sz w:val="16"/>
                <w:szCs w:val="16"/>
                <w:lang w:val="it-IT" w:eastAsia="it-IT"/>
              </w:rPr>
            </w:pPr>
            <w:r w:rsidRPr="00107DC5">
              <w:rPr>
                <w:rFonts w:cs="Arial"/>
                <w:i/>
                <w:iCs/>
                <w:sz w:val="16"/>
                <w:szCs w:val="16"/>
                <w:lang w:val="it-IT" w:eastAsia="it-IT"/>
              </w:rPr>
              <w:t>UK DEFRA 2024</w:t>
            </w:r>
          </w:p>
        </w:tc>
      </w:tr>
      <w:tr w:rsidR="00E32314" w:rsidRPr="00E32314" w14:paraId="08BE8B3B" w14:textId="77777777" w:rsidTr="00A33E39">
        <w:trPr>
          <w:trHeight w:val="250"/>
        </w:trPr>
        <w:tc>
          <w:tcPr>
            <w:tcW w:w="3406" w:type="dxa"/>
            <w:tcBorders>
              <w:top w:val="nil"/>
              <w:left w:val="nil"/>
              <w:bottom w:val="nil"/>
              <w:right w:val="nil"/>
            </w:tcBorders>
            <w:shd w:val="clear" w:color="000000" w:fill="FFFFFF"/>
            <w:noWrap/>
            <w:vAlign w:val="center"/>
            <w:hideMark/>
          </w:tcPr>
          <w:p w14:paraId="7C8B567B" w14:textId="77777777" w:rsidR="00E32314" w:rsidRPr="00E32314" w:rsidRDefault="00E32314" w:rsidP="00E32314">
            <w:pPr>
              <w:tabs>
                <w:tab w:val="clear" w:pos="7100"/>
              </w:tabs>
              <w:spacing w:line="240" w:lineRule="auto"/>
              <w:jc w:val="left"/>
              <w:rPr>
                <w:rFonts w:cs="Arial"/>
                <w:sz w:val="16"/>
                <w:szCs w:val="16"/>
                <w:lang w:val="it-IT" w:eastAsia="it-IT"/>
              </w:rPr>
            </w:pPr>
            <w:r w:rsidRPr="00E32314">
              <w:rPr>
                <w:rFonts w:cs="Arial"/>
                <w:sz w:val="16"/>
                <w:szCs w:val="16"/>
                <w:lang w:val="it-IT" w:eastAsia="it-IT"/>
              </w:rPr>
              <w:t>Treated Waste Water</w:t>
            </w:r>
          </w:p>
        </w:tc>
        <w:tc>
          <w:tcPr>
            <w:tcW w:w="1501" w:type="dxa"/>
            <w:tcBorders>
              <w:top w:val="nil"/>
              <w:left w:val="nil"/>
              <w:bottom w:val="nil"/>
              <w:right w:val="nil"/>
            </w:tcBorders>
            <w:shd w:val="clear" w:color="000000" w:fill="FFFFFF"/>
            <w:noWrap/>
            <w:vAlign w:val="center"/>
            <w:hideMark/>
          </w:tcPr>
          <w:p w14:paraId="0881B402" w14:textId="77777777" w:rsidR="00E32314" w:rsidRPr="00E32314" w:rsidRDefault="00E32314" w:rsidP="00E32314">
            <w:pPr>
              <w:tabs>
                <w:tab w:val="clear" w:pos="7100"/>
              </w:tabs>
              <w:spacing w:line="240" w:lineRule="auto"/>
              <w:jc w:val="left"/>
              <w:rPr>
                <w:rFonts w:cs="Arial"/>
                <w:sz w:val="16"/>
                <w:szCs w:val="16"/>
                <w:lang w:val="it-IT" w:eastAsia="it-IT"/>
              </w:rPr>
            </w:pPr>
            <w:r w:rsidRPr="00E32314">
              <w:rPr>
                <w:rFonts w:cs="Arial"/>
                <w:sz w:val="16"/>
                <w:szCs w:val="16"/>
                <w:lang w:val="it-IT" w:eastAsia="it-IT"/>
              </w:rPr>
              <w:t>t CO2e / t</w:t>
            </w:r>
          </w:p>
        </w:tc>
        <w:tc>
          <w:tcPr>
            <w:tcW w:w="1389" w:type="dxa"/>
            <w:tcBorders>
              <w:top w:val="nil"/>
              <w:left w:val="nil"/>
              <w:bottom w:val="nil"/>
              <w:right w:val="nil"/>
            </w:tcBorders>
            <w:shd w:val="clear" w:color="000000" w:fill="FFFFFF"/>
            <w:noWrap/>
            <w:vAlign w:val="center"/>
            <w:hideMark/>
          </w:tcPr>
          <w:p w14:paraId="72E365FF" w14:textId="77777777" w:rsidR="00E32314" w:rsidRPr="00E32314" w:rsidRDefault="00E32314" w:rsidP="00E32314">
            <w:pPr>
              <w:tabs>
                <w:tab w:val="clear" w:pos="7100"/>
              </w:tabs>
              <w:spacing w:line="240" w:lineRule="auto"/>
              <w:jc w:val="right"/>
              <w:rPr>
                <w:rFonts w:cs="Arial"/>
                <w:sz w:val="16"/>
                <w:szCs w:val="16"/>
                <w:lang w:val="it-IT" w:eastAsia="it-IT"/>
              </w:rPr>
            </w:pPr>
            <w:r w:rsidRPr="00E32314">
              <w:rPr>
                <w:rFonts w:cs="Arial"/>
                <w:sz w:val="16"/>
                <w:szCs w:val="16"/>
                <w:lang w:val="it-IT" w:eastAsia="it-IT"/>
              </w:rPr>
              <w:t>0</w:t>
            </w:r>
          </w:p>
        </w:tc>
        <w:tc>
          <w:tcPr>
            <w:tcW w:w="2778" w:type="dxa"/>
            <w:tcBorders>
              <w:top w:val="nil"/>
              <w:left w:val="nil"/>
              <w:bottom w:val="nil"/>
              <w:right w:val="nil"/>
            </w:tcBorders>
            <w:shd w:val="clear" w:color="000000" w:fill="FFFFFF"/>
            <w:vAlign w:val="center"/>
            <w:hideMark/>
          </w:tcPr>
          <w:p w14:paraId="18CCED76" w14:textId="77777777" w:rsidR="00E32314" w:rsidRPr="00107DC5" w:rsidRDefault="00E32314" w:rsidP="00E32314">
            <w:pPr>
              <w:tabs>
                <w:tab w:val="clear" w:pos="7100"/>
              </w:tabs>
              <w:spacing w:line="240" w:lineRule="auto"/>
              <w:jc w:val="center"/>
              <w:rPr>
                <w:rFonts w:cs="Arial"/>
                <w:i/>
                <w:iCs/>
                <w:sz w:val="16"/>
                <w:szCs w:val="16"/>
                <w:lang w:val="it-IT" w:eastAsia="it-IT"/>
              </w:rPr>
            </w:pPr>
            <w:r w:rsidRPr="00107DC5">
              <w:rPr>
                <w:rFonts w:cs="Arial"/>
                <w:i/>
                <w:iCs/>
                <w:sz w:val="16"/>
                <w:szCs w:val="16"/>
                <w:lang w:val="it-IT" w:eastAsia="it-IT"/>
              </w:rPr>
              <w:t>Internally produced</w:t>
            </w:r>
          </w:p>
        </w:tc>
      </w:tr>
      <w:tr w:rsidR="00E32314" w:rsidRPr="00E32314" w14:paraId="7AC82DA3" w14:textId="77777777" w:rsidTr="00A33E39">
        <w:trPr>
          <w:trHeight w:val="250"/>
        </w:trPr>
        <w:tc>
          <w:tcPr>
            <w:tcW w:w="3406" w:type="dxa"/>
            <w:tcBorders>
              <w:top w:val="nil"/>
              <w:left w:val="nil"/>
              <w:bottom w:val="nil"/>
              <w:right w:val="nil"/>
            </w:tcBorders>
            <w:shd w:val="clear" w:color="000000" w:fill="FFFFFF"/>
            <w:noWrap/>
            <w:vAlign w:val="center"/>
            <w:hideMark/>
          </w:tcPr>
          <w:p w14:paraId="10F0153A" w14:textId="77777777" w:rsidR="00E32314" w:rsidRPr="00E32314" w:rsidRDefault="00E32314" w:rsidP="00E32314">
            <w:pPr>
              <w:tabs>
                <w:tab w:val="clear" w:pos="7100"/>
              </w:tabs>
              <w:spacing w:line="240" w:lineRule="auto"/>
              <w:jc w:val="left"/>
              <w:rPr>
                <w:rFonts w:cs="Arial"/>
                <w:sz w:val="16"/>
                <w:szCs w:val="16"/>
                <w:lang w:val="it-IT" w:eastAsia="it-IT"/>
              </w:rPr>
            </w:pPr>
            <w:r w:rsidRPr="00E32314">
              <w:rPr>
                <w:rFonts w:cs="Arial"/>
                <w:sz w:val="16"/>
                <w:szCs w:val="16"/>
                <w:lang w:val="it-IT" w:eastAsia="it-IT"/>
              </w:rPr>
              <w:t xml:space="preserve">Fuel Gas </w:t>
            </w:r>
          </w:p>
        </w:tc>
        <w:tc>
          <w:tcPr>
            <w:tcW w:w="1501" w:type="dxa"/>
            <w:tcBorders>
              <w:top w:val="nil"/>
              <w:left w:val="nil"/>
              <w:bottom w:val="nil"/>
              <w:right w:val="nil"/>
            </w:tcBorders>
            <w:shd w:val="clear" w:color="000000" w:fill="FFFFFF"/>
            <w:noWrap/>
            <w:vAlign w:val="center"/>
            <w:hideMark/>
          </w:tcPr>
          <w:p w14:paraId="656B0DC9" w14:textId="77777777" w:rsidR="00E32314" w:rsidRPr="00E32314" w:rsidRDefault="00E32314" w:rsidP="00E32314">
            <w:pPr>
              <w:tabs>
                <w:tab w:val="clear" w:pos="7100"/>
              </w:tabs>
              <w:spacing w:line="240" w:lineRule="auto"/>
              <w:jc w:val="left"/>
              <w:rPr>
                <w:rFonts w:cs="Arial"/>
                <w:sz w:val="16"/>
                <w:szCs w:val="16"/>
                <w:lang w:val="it-IT" w:eastAsia="it-IT"/>
              </w:rPr>
            </w:pPr>
            <w:r w:rsidRPr="00E32314">
              <w:rPr>
                <w:rFonts w:cs="Arial"/>
                <w:sz w:val="16"/>
                <w:szCs w:val="16"/>
                <w:lang w:val="it-IT" w:eastAsia="it-IT"/>
              </w:rPr>
              <w:t>t CO2e / t</w:t>
            </w:r>
          </w:p>
        </w:tc>
        <w:tc>
          <w:tcPr>
            <w:tcW w:w="1389" w:type="dxa"/>
            <w:tcBorders>
              <w:top w:val="nil"/>
              <w:left w:val="nil"/>
              <w:bottom w:val="nil"/>
              <w:right w:val="nil"/>
            </w:tcBorders>
            <w:shd w:val="clear" w:color="000000" w:fill="FFFFFF"/>
            <w:noWrap/>
            <w:vAlign w:val="center"/>
            <w:hideMark/>
          </w:tcPr>
          <w:p w14:paraId="56FCCF4E" w14:textId="77777777" w:rsidR="00E32314" w:rsidRPr="00E32314" w:rsidRDefault="00E32314" w:rsidP="00E32314">
            <w:pPr>
              <w:tabs>
                <w:tab w:val="clear" w:pos="7100"/>
              </w:tabs>
              <w:spacing w:line="240" w:lineRule="auto"/>
              <w:jc w:val="right"/>
              <w:rPr>
                <w:rFonts w:cs="Arial"/>
                <w:sz w:val="16"/>
                <w:szCs w:val="16"/>
                <w:lang w:val="it-IT" w:eastAsia="it-IT"/>
              </w:rPr>
            </w:pPr>
            <w:r w:rsidRPr="00E32314">
              <w:rPr>
                <w:rFonts w:cs="Arial"/>
                <w:sz w:val="16"/>
                <w:szCs w:val="16"/>
                <w:lang w:val="it-IT" w:eastAsia="it-IT"/>
              </w:rPr>
              <w:t>2,568</w:t>
            </w:r>
          </w:p>
        </w:tc>
        <w:tc>
          <w:tcPr>
            <w:tcW w:w="2778" w:type="dxa"/>
            <w:tcBorders>
              <w:top w:val="nil"/>
              <w:left w:val="nil"/>
              <w:bottom w:val="nil"/>
              <w:right w:val="nil"/>
            </w:tcBorders>
            <w:shd w:val="clear" w:color="000000" w:fill="FFFFFF"/>
            <w:vAlign w:val="center"/>
            <w:hideMark/>
          </w:tcPr>
          <w:p w14:paraId="3BA9C3C5" w14:textId="77777777" w:rsidR="00E32314" w:rsidRPr="00107DC5" w:rsidRDefault="00E32314" w:rsidP="00E32314">
            <w:pPr>
              <w:tabs>
                <w:tab w:val="clear" w:pos="7100"/>
              </w:tabs>
              <w:spacing w:line="240" w:lineRule="auto"/>
              <w:jc w:val="center"/>
              <w:rPr>
                <w:rFonts w:cs="Arial"/>
                <w:i/>
                <w:iCs/>
                <w:sz w:val="16"/>
                <w:szCs w:val="16"/>
                <w:lang w:val="it-IT" w:eastAsia="it-IT"/>
              </w:rPr>
            </w:pPr>
            <w:r w:rsidRPr="00107DC5">
              <w:rPr>
                <w:rFonts w:cs="Arial"/>
                <w:i/>
                <w:iCs/>
                <w:sz w:val="16"/>
                <w:szCs w:val="16"/>
                <w:lang w:val="it-IT" w:eastAsia="it-IT"/>
              </w:rPr>
              <w:t>UK DEFRA 2024</w:t>
            </w:r>
          </w:p>
        </w:tc>
      </w:tr>
      <w:tr w:rsidR="00E32314" w:rsidRPr="00E32314" w14:paraId="4E30D953" w14:textId="77777777" w:rsidTr="00A33E39">
        <w:trPr>
          <w:trHeight w:val="250"/>
        </w:trPr>
        <w:tc>
          <w:tcPr>
            <w:tcW w:w="3406" w:type="dxa"/>
            <w:tcBorders>
              <w:top w:val="nil"/>
              <w:left w:val="nil"/>
              <w:bottom w:val="single" w:sz="12" w:space="0" w:color="008000"/>
              <w:right w:val="nil"/>
            </w:tcBorders>
            <w:shd w:val="clear" w:color="000000" w:fill="FFFFFF"/>
            <w:vAlign w:val="center"/>
            <w:hideMark/>
          </w:tcPr>
          <w:p w14:paraId="6C8BB495" w14:textId="77777777" w:rsidR="00E32314" w:rsidRPr="00E32314" w:rsidRDefault="00E32314" w:rsidP="00E32314">
            <w:pPr>
              <w:tabs>
                <w:tab w:val="clear" w:pos="7100"/>
              </w:tabs>
              <w:spacing w:line="240" w:lineRule="auto"/>
              <w:jc w:val="left"/>
              <w:rPr>
                <w:rFonts w:cs="Arial"/>
                <w:color w:val="000000"/>
                <w:sz w:val="16"/>
                <w:szCs w:val="16"/>
                <w:lang w:val="en-US" w:eastAsia="it-IT"/>
              </w:rPr>
            </w:pPr>
            <w:r w:rsidRPr="00E32314">
              <w:rPr>
                <w:rFonts w:cs="Arial"/>
                <w:color w:val="000000"/>
                <w:sz w:val="16"/>
                <w:szCs w:val="16"/>
                <w:lang w:val="en-US" w:eastAsia="it-IT"/>
              </w:rPr>
              <w:t>Fuel Gas (recirculated as by-product)</w:t>
            </w:r>
          </w:p>
        </w:tc>
        <w:tc>
          <w:tcPr>
            <w:tcW w:w="1501" w:type="dxa"/>
            <w:tcBorders>
              <w:top w:val="nil"/>
              <w:left w:val="nil"/>
              <w:bottom w:val="single" w:sz="12" w:space="0" w:color="008000"/>
              <w:right w:val="nil"/>
            </w:tcBorders>
            <w:shd w:val="clear" w:color="000000" w:fill="FFFFFF"/>
            <w:vAlign w:val="center"/>
            <w:hideMark/>
          </w:tcPr>
          <w:p w14:paraId="469BA766" w14:textId="77777777" w:rsidR="00E32314" w:rsidRPr="00E32314" w:rsidRDefault="00E32314" w:rsidP="00E32314">
            <w:pPr>
              <w:tabs>
                <w:tab w:val="clear" w:pos="7100"/>
              </w:tabs>
              <w:spacing w:line="240" w:lineRule="auto"/>
              <w:jc w:val="left"/>
              <w:rPr>
                <w:rFonts w:cs="Arial"/>
                <w:color w:val="000000"/>
                <w:sz w:val="16"/>
                <w:szCs w:val="16"/>
                <w:lang w:val="it-IT" w:eastAsia="it-IT"/>
              </w:rPr>
            </w:pPr>
            <w:r w:rsidRPr="00E32314">
              <w:rPr>
                <w:rFonts w:cs="Arial"/>
                <w:color w:val="000000"/>
                <w:sz w:val="16"/>
                <w:szCs w:val="16"/>
                <w:lang w:val="it-IT" w:eastAsia="it-IT"/>
              </w:rPr>
              <w:t>t CO2e / t</w:t>
            </w:r>
          </w:p>
        </w:tc>
        <w:tc>
          <w:tcPr>
            <w:tcW w:w="1389" w:type="dxa"/>
            <w:tcBorders>
              <w:top w:val="nil"/>
              <w:left w:val="nil"/>
              <w:bottom w:val="single" w:sz="12" w:space="0" w:color="008000"/>
              <w:right w:val="nil"/>
            </w:tcBorders>
            <w:shd w:val="clear" w:color="000000" w:fill="FFFFFF"/>
            <w:vAlign w:val="center"/>
            <w:hideMark/>
          </w:tcPr>
          <w:p w14:paraId="5C71C3DA" w14:textId="77777777" w:rsidR="00E32314" w:rsidRPr="00E32314" w:rsidRDefault="00E32314" w:rsidP="00E32314">
            <w:pPr>
              <w:tabs>
                <w:tab w:val="clear" w:pos="7100"/>
              </w:tabs>
              <w:spacing w:line="240" w:lineRule="auto"/>
              <w:jc w:val="right"/>
              <w:rPr>
                <w:rFonts w:cs="Arial"/>
                <w:color w:val="000000"/>
                <w:sz w:val="16"/>
                <w:szCs w:val="16"/>
                <w:lang w:val="it-IT" w:eastAsia="it-IT"/>
              </w:rPr>
            </w:pPr>
            <w:r w:rsidRPr="00E32314">
              <w:rPr>
                <w:rFonts w:cs="Arial"/>
                <w:color w:val="000000"/>
                <w:sz w:val="16"/>
                <w:szCs w:val="16"/>
                <w:lang w:val="it-IT" w:eastAsia="it-IT"/>
              </w:rPr>
              <w:t>0</w:t>
            </w:r>
          </w:p>
        </w:tc>
        <w:tc>
          <w:tcPr>
            <w:tcW w:w="2778" w:type="dxa"/>
            <w:tcBorders>
              <w:top w:val="nil"/>
              <w:left w:val="nil"/>
              <w:bottom w:val="single" w:sz="12" w:space="0" w:color="008000"/>
              <w:right w:val="nil"/>
            </w:tcBorders>
            <w:shd w:val="clear" w:color="000000" w:fill="FFFFFF"/>
            <w:vAlign w:val="center"/>
            <w:hideMark/>
          </w:tcPr>
          <w:p w14:paraId="13736D32" w14:textId="77777777" w:rsidR="00E32314" w:rsidRPr="00107DC5" w:rsidRDefault="00E32314" w:rsidP="00E32314">
            <w:pPr>
              <w:tabs>
                <w:tab w:val="clear" w:pos="7100"/>
              </w:tabs>
              <w:spacing w:line="240" w:lineRule="auto"/>
              <w:jc w:val="center"/>
              <w:rPr>
                <w:rFonts w:cs="Arial"/>
                <w:i/>
                <w:iCs/>
                <w:color w:val="000000"/>
                <w:sz w:val="16"/>
                <w:szCs w:val="16"/>
                <w:lang w:val="it-IT" w:eastAsia="it-IT"/>
              </w:rPr>
            </w:pPr>
            <w:r w:rsidRPr="00107DC5">
              <w:rPr>
                <w:rFonts w:cs="Arial"/>
                <w:i/>
                <w:iCs/>
                <w:color w:val="000000"/>
                <w:sz w:val="16"/>
                <w:szCs w:val="16"/>
                <w:lang w:val="it-IT" w:eastAsia="it-IT"/>
              </w:rPr>
              <w:t>UK DEFRA 2024</w:t>
            </w:r>
          </w:p>
        </w:tc>
      </w:tr>
    </w:tbl>
    <w:p w14:paraId="6B329DB2" w14:textId="77777777" w:rsidR="00E6477F" w:rsidRDefault="00E6477F" w:rsidP="00730674">
      <w:pPr>
        <w:pStyle w:val="CETBodytext"/>
      </w:pPr>
    </w:p>
    <w:p w14:paraId="29086780" w14:textId="77777777" w:rsidR="00004D2C" w:rsidRDefault="00004D2C" w:rsidP="00730674">
      <w:pPr>
        <w:pStyle w:val="CETBodytext"/>
      </w:pPr>
    </w:p>
    <w:p w14:paraId="729AFA02" w14:textId="4B020F0E" w:rsidR="00730674" w:rsidRPr="00004D2C" w:rsidRDefault="00730674" w:rsidP="00730674">
      <w:pPr>
        <w:pStyle w:val="CETBodytext"/>
        <w:rPr>
          <w:b/>
          <w:bCs/>
        </w:rPr>
      </w:pPr>
      <w:r w:rsidRPr="00004D2C">
        <w:rPr>
          <w:b/>
          <w:bCs/>
        </w:rPr>
        <w:t>5. Results</w:t>
      </w:r>
    </w:p>
    <w:p w14:paraId="3E761C3B" w14:textId="77777777" w:rsidR="00730674" w:rsidRDefault="00730674" w:rsidP="00730674">
      <w:pPr>
        <w:pStyle w:val="CETBodytext"/>
      </w:pPr>
    </w:p>
    <w:p w14:paraId="2C0FE09B" w14:textId="6DE092C2" w:rsidR="009301F8" w:rsidRDefault="00FF49B7" w:rsidP="000B438B">
      <w:pPr>
        <w:pStyle w:val="CETBodytext"/>
      </w:pPr>
      <w:r>
        <w:t xml:space="preserve">The </w:t>
      </w:r>
      <w:r w:rsidR="00B769EC">
        <w:t>first</w:t>
      </w:r>
      <w:r>
        <w:t xml:space="preserve"> analysis </w:t>
      </w:r>
      <w:r w:rsidR="009301F8">
        <w:t>is based on the GHG Protocol and European Bank for Investment Carbon Emission Project Assessment.</w:t>
      </w:r>
    </w:p>
    <w:p w14:paraId="745AE8D6" w14:textId="754FA90D" w:rsidR="00730674" w:rsidRDefault="00B769EC" w:rsidP="000B438B">
      <w:pPr>
        <w:pStyle w:val="CETBodytext"/>
      </w:pPr>
      <w:r>
        <w:t>The first</w:t>
      </w:r>
      <w:r w:rsidR="009301F8">
        <w:t xml:space="preserve"> screening of the Carbon Footprint of the two configurations is in </w:t>
      </w:r>
      <w:r w:rsidR="007512A6">
        <w:t>favor</w:t>
      </w:r>
      <w:r w:rsidR="009301F8">
        <w:t xml:space="preserve"> of the optimized scenario</w:t>
      </w:r>
      <w:r>
        <w:t xml:space="preserve">. </w:t>
      </w:r>
      <w:r w:rsidR="00FF49B7">
        <w:t>indicates that the benefits of the proposed technology outweigh its drawbacks.</w:t>
      </w:r>
      <w:r w:rsidR="00730674">
        <w:t>:</w:t>
      </w:r>
    </w:p>
    <w:p w14:paraId="3B70CE14" w14:textId="06E744EA" w:rsidR="00730674" w:rsidRDefault="00730674" w:rsidP="00730674">
      <w:pPr>
        <w:pStyle w:val="CETBodytext"/>
      </w:pPr>
    </w:p>
    <w:p w14:paraId="6259C383" w14:textId="4EEF3C4F" w:rsidR="00730674" w:rsidRDefault="000B438B" w:rsidP="00730674">
      <w:pPr>
        <w:pStyle w:val="CETBodytext"/>
      </w:pPr>
      <w:r>
        <w:rPr>
          <w:i/>
          <w:iCs/>
        </w:rPr>
        <w:t>Table 3</w:t>
      </w:r>
      <w:r w:rsidR="00730674" w:rsidRPr="00730674">
        <w:rPr>
          <w:i/>
          <w:iCs/>
        </w:rPr>
        <w:t xml:space="preserve"> Carbon </w:t>
      </w:r>
      <w:r w:rsidR="000F563E">
        <w:rPr>
          <w:i/>
          <w:iCs/>
        </w:rPr>
        <w:t>Impact Assessment</w:t>
      </w:r>
      <w:r w:rsidR="00730674" w:rsidRPr="00730674">
        <w:rPr>
          <w:i/>
          <w:iCs/>
        </w:rPr>
        <w:t xml:space="preserve">- Left Base Case output, right Optimized </w:t>
      </w:r>
      <w:r w:rsidR="00730674">
        <w:t xml:space="preserve">Scenario </w:t>
      </w:r>
    </w:p>
    <w:tbl>
      <w:tblPr>
        <w:tblW w:w="9337" w:type="dxa"/>
        <w:tblCellMar>
          <w:left w:w="70" w:type="dxa"/>
          <w:right w:w="70" w:type="dxa"/>
        </w:tblCellMar>
        <w:tblLook w:val="04A0" w:firstRow="1" w:lastRow="0" w:firstColumn="1" w:lastColumn="0" w:noHBand="0" w:noVBand="1"/>
      </w:tblPr>
      <w:tblGrid>
        <w:gridCol w:w="1565"/>
        <w:gridCol w:w="180"/>
        <w:gridCol w:w="769"/>
        <w:gridCol w:w="891"/>
        <w:gridCol w:w="719"/>
        <w:gridCol w:w="711"/>
        <w:gridCol w:w="1005"/>
        <w:gridCol w:w="185"/>
        <w:gridCol w:w="891"/>
        <w:gridCol w:w="711"/>
        <w:gridCol w:w="711"/>
        <w:gridCol w:w="1006"/>
      </w:tblGrid>
      <w:tr w:rsidR="000F563E" w:rsidRPr="000F563E" w14:paraId="3564CAE1" w14:textId="77777777" w:rsidTr="00EB7516">
        <w:trPr>
          <w:trHeight w:val="303"/>
        </w:trPr>
        <w:tc>
          <w:tcPr>
            <w:tcW w:w="1745" w:type="dxa"/>
            <w:gridSpan w:val="2"/>
            <w:tcBorders>
              <w:top w:val="nil"/>
              <w:left w:val="nil"/>
              <w:bottom w:val="nil"/>
              <w:right w:val="nil"/>
            </w:tcBorders>
            <w:noWrap/>
            <w:vAlign w:val="center"/>
            <w:hideMark/>
          </w:tcPr>
          <w:p w14:paraId="3AA4A959" w14:textId="77777777" w:rsidR="000F563E" w:rsidRPr="000F563E" w:rsidRDefault="000F563E" w:rsidP="000F563E">
            <w:pPr>
              <w:tabs>
                <w:tab w:val="clear" w:pos="7100"/>
              </w:tabs>
              <w:spacing w:line="240" w:lineRule="auto"/>
              <w:jc w:val="left"/>
              <w:rPr>
                <w:rFonts w:ascii="Times New Roman" w:hAnsi="Times New Roman"/>
                <w:sz w:val="16"/>
                <w:szCs w:val="16"/>
                <w:lang w:val="en-US" w:eastAsia="it-IT"/>
              </w:rPr>
            </w:pPr>
          </w:p>
        </w:tc>
        <w:tc>
          <w:tcPr>
            <w:tcW w:w="768" w:type="dxa"/>
            <w:tcBorders>
              <w:top w:val="nil"/>
              <w:left w:val="nil"/>
              <w:bottom w:val="nil"/>
              <w:right w:val="nil"/>
            </w:tcBorders>
            <w:noWrap/>
            <w:vAlign w:val="bottom"/>
            <w:hideMark/>
          </w:tcPr>
          <w:p w14:paraId="5A018702" w14:textId="77777777" w:rsidR="000F563E" w:rsidRPr="000F563E" w:rsidRDefault="000F563E" w:rsidP="000F563E">
            <w:pPr>
              <w:tabs>
                <w:tab w:val="clear" w:pos="7100"/>
              </w:tabs>
              <w:spacing w:line="240" w:lineRule="auto"/>
              <w:jc w:val="left"/>
              <w:rPr>
                <w:rFonts w:ascii="Times New Roman" w:hAnsi="Times New Roman"/>
                <w:sz w:val="16"/>
                <w:szCs w:val="16"/>
                <w:lang w:val="en-US" w:eastAsia="it-IT"/>
              </w:rPr>
            </w:pPr>
          </w:p>
        </w:tc>
        <w:tc>
          <w:tcPr>
            <w:tcW w:w="3319" w:type="dxa"/>
            <w:gridSpan w:val="4"/>
            <w:tcBorders>
              <w:top w:val="nil"/>
              <w:left w:val="nil"/>
              <w:bottom w:val="single" w:sz="12" w:space="0" w:color="008000"/>
              <w:right w:val="nil"/>
            </w:tcBorders>
            <w:noWrap/>
            <w:vAlign w:val="center"/>
            <w:hideMark/>
          </w:tcPr>
          <w:p w14:paraId="07A5431A" w14:textId="77777777" w:rsidR="000F563E" w:rsidRPr="000F563E" w:rsidRDefault="000F563E" w:rsidP="000F563E">
            <w:pPr>
              <w:tabs>
                <w:tab w:val="clear" w:pos="7100"/>
              </w:tabs>
              <w:spacing w:line="240" w:lineRule="auto"/>
              <w:jc w:val="center"/>
              <w:rPr>
                <w:rFonts w:cs="Arial"/>
                <w:i/>
                <w:iCs/>
                <w:color w:val="000000"/>
                <w:sz w:val="16"/>
                <w:szCs w:val="16"/>
                <w:lang w:val="it-IT" w:eastAsia="it-IT"/>
              </w:rPr>
            </w:pPr>
            <w:r w:rsidRPr="000F563E">
              <w:rPr>
                <w:rFonts w:cs="Arial"/>
                <w:i/>
                <w:iCs/>
                <w:color w:val="000000"/>
                <w:sz w:val="16"/>
                <w:szCs w:val="16"/>
                <w:lang w:val="it-IT" w:eastAsia="it-IT"/>
              </w:rPr>
              <w:t>Base Case</w:t>
            </w:r>
          </w:p>
        </w:tc>
        <w:tc>
          <w:tcPr>
            <w:tcW w:w="185" w:type="dxa"/>
            <w:tcBorders>
              <w:top w:val="nil"/>
              <w:left w:val="nil"/>
              <w:bottom w:val="nil"/>
              <w:right w:val="nil"/>
            </w:tcBorders>
            <w:noWrap/>
            <w:vAlign w:val="center"/>
            <w:hideMark/>
          </w:tcPr>
          <w:p w14:paraId="6A0BFB15" w14:textId="77777777" w:rsidR="000F563E" w:rsidRPr="000F563E" w:rsidRDefault="000F563E" w:rsidP="000F563E">
            <w:pPr>
              <w:tabs>
                <w:tab w:val="clear" w:pos="7100"/>
              </w:tabs>
              <w:spacing w:line="240" w:lineRule="auto"/>
              <w:jc w:val="center"/>
              <w:rPr>
                <w:rFonts w:cs="Arial"/>
                <w:i/>
                <w:iCs/>
                <w:color w:val="000000"/>
                <w:sz w:val="16"/>
                <w:szCs w:val="16"/>
                <w:lang w:val="it-IT" w:eastAsia="it-IT"/>
              </w:rPr>
            </w:pPr>
          </w:p>
        </w:tc>
        <w:tc>
          <w:tcPr>
            <w:tcW w:w="3319" w:type="dxa"/>
            <w:gridSpan w:val="4"/>
            <w:tcBorders>
              <w:top w:val="nil"/>
              <w:left w:val="nil"/>
              <w:bottom w:val="single" w:sz="12" w:space="0" w:color="008000"/>
              <w:right w:val="nil"/>
            </w:tcBorders>
            <w:noWrap/>
            <w:vAlign w:val="center"/>
            <w:hideMark/>
          </w:tcPr>
          <w:p w14:paraId="68AC4F22" w14:textId="77777777" w:rsidR="000F563E" w:rsidRPr="000F563E" w:rsidRDefault="000F563E" w:rsidP="000F563E">
            <w:pPr>
              <w:tabs>
                <w:tab w:val="clear" w:pos="7100"/>
              </w:tabs>
              <w:spacing w:line="240" w:lineRule="auto"/>
              <w:jc w:val="center"/>
              <w:rPr>
                <w:rFonts w:cs="Arial"/>
                <w:i/>
                <w:iCs/>
                <w:color w:val="000000"/>
                <w:sz w:val="16"/>
                <w:szCs w:val="16"/>
                <w:lang w:val="it-IT" w:eastAsia="it-IT"/>
              </w:rPr>
            </w:pPr>
            <w:r w:rsidRPr="000F563E">
              <w:rPr>
                <w:rFonts w:cs="Arial"/>
                <w:i/>
                <w:iCs/>
                <w:color w:val="000000"/>
                <w:sz w:val="16"/>
                <w:szCs w:val="16"/>
                <w:lang w:val="it-IT" w:eastAsia="it-IT"/>
              </w:rPr>
              <w:t>Optimized Scenario</w:t>
            </w:r>
          </w:p>
        </w:tc>
      </w:tr>
      <w:tr w:rsidR="00EB7516" w:rsidRPr="000F563E" w14:paraId="06129D37" w14:textId="77777777" w:rsidTr="00EB7516">
        <w:trPr>
          <w:trHeight w:val="303"/>
        </w:trPr>
        <w:tc>
          <w:tcPr>
            <w:tcW w:w="1565" w:type="dxa"/>
            <w:tcBorders>
              <w:top w:val="single" w:sz="12" w:space="0" w:color="008000"/>
              <w:left w:val="nil"/>
              <w:bottom w:val="single" w:sz="8" w:space="0" w:color="008000"/>
              <w:right w:val="nil"/>
            </w:tcBorders>
            <w:shd w:val="clear" w:color="000000" w:fill="FFFFFF"/>
            <w:vAlign w:val="center"/>
            <w:hideMark/>
          </w:tcPr>
          <w:p w14:paraId="76C7F96B" w14:textId="77777777" w:rsidR="000F563E" w:rsidRPr="000F563E" w:rsidRDefault="000F563E" w:rsidP="000F563E">
            <w:pPr>
              <w:tabs>
                <w:tab w:val="clear" w:pos="7100"/>
              </w:tabs>
              <w:spacing w:line="240" w:lineRule="auto"/>
              <w:jc w:val="left"/>
              <w:rPr>
                <w:rFonts w:cs="Arial"/>
                <w:color w:val="000000"/>
                <w:sz w:val="16"/>
                <w:szCs w:val="16"/>
                <w:lang w:val="it-IT" w:eastAsia="it-IT"/>
              </w:rPr>
            </w:pPr>
            <w:r w:rsidRPr="000F563E">
              <w:rPr>
                <w:rFonts w:cs="Arial"/>
                <w:color w:val="000000"/>
                <w:sz w:val="16"/>
                <w:szCs w:val="16"/>
                <w:lang w:val="it-IT" w:eastAsia="it-IT"/>
              </w:rPr>
              <w:t> </w:t>
            </w:r>
          </w:p>
        </w:tc>
        <w:tc>
          <w:tcPr>
            <w:tcW w:w="949" w:type="dxa"/>
            <w:gridSpan w:val="2"/>
            <w:tcBorders>
              <w:top w:val="single" w:sz="12" w:space="0" w:color="008000"/>
              <w:left w:val="nil"/>
              <w:bottom w:val="single" w:sz="8" w:space="0" w:color="008000"/>
              <w:right w:val="nil"/>
            </w:tcBorders>
            <w:shd w:val="clear" w:color="000000" w:fill="FFFFFF"/>
            <w:noWrap/>
            <w:vAlign w:val="center"/>
            <w:hideMark/>
          </w:tcPr>
          <w:p w14:paraId="70B87C59" w14:textId="77777777" w:rsidR="000F563E" w:rsidRPr="000F563E" w:rsidRDefault="000F563E" w:rsidP="000F563E">
            <w:pPr>
              <w:tabs>
                <w:tab w:val="clear" w:pos="7100"/>
              </w:tabs>
              <w:spacing w:line="240" w:lineRule="auto"/>
              <w:jc w:val="left"/>
              <w:rPr>
                <w:rFonts w:cs="Arial"/>
                <w:color w:val="000000"/>
                <w:sz w:val="16"/>
                <w:szCs w:val="16"/>
                <w:lang w:val="it-IT" w:eastAsia="it-IT"/>
              </w:rPr>
            </w:pPr>
            <w:r w:rsidRPr="000F563E">
              <w:rPr>
                <w:rFonts w:cs="Arial"/>
                <w:color w:val="000000"/>
                <w:sz w:val="16"/>
                <w:szCs w:val="16"/>
                <w:lang w:val="it-IT" w:eastAsia="it-IT"/>
              </w:rPr>
              <w:t> </w:t>
            </w:r>
          </w:p>
        </w:tc>
        <w:tc>
          <w:tcPr>
            <w:tcW w:w="891" w:type="dxa"/>
            <w:tcBorders>
              <w:top w:val="nil"/>
              <w:left w:val="nil"/>
              <w:bottom w:val="single" w:sz="8" w:space="0" w:color="008000"/>
              <w:right w:val="nil"/>
            </w:tcBorders>
            <w:shd w:val="clear" w:color="000000" w:fill="FFFFFF"/>
            <w:vAlign w:val="center"/>
            <w:hideMark/>
          </w:tcPr>
          <w:p w14:paraId="7087538C" w14:textId="77777777" w:rsidR="000F563E" w:rsidRPr="000F563E" w:rsidRDefault="000F563E" w:rsidP="000F563E">
            <w:pPr>
              <w:tabs>
                <w:tab w:val="clear" w:pos="7100"/>
              </w:tabs>
              <w:spacing w:line="240" w:lineRule="auto"/>
              <w:jc w:val="center"/>
              <w:rPr>
                <w:rFonts w:cs="Arial"/>
                <w:color w:val="000000"/>
                <w:sz w:val="16"/>
                <w:szCs w:val="16"/>
                <w:lang w:val="it-IT" w:eastAsia="it-IT"/>
              </w:rPr>
            </w:pPr>
            <w:r w:rsidRPr="000F563E">
              <w:rPr>
                <w:rFonts w:cs="Arial"/>
                <w:color w:val="000000"/>
                <w:sz w:val="16"/>
                <w:szCs w:val="16"/>
                <w:lang w:val="it-IT" w:eastAsia="it-IT"/>
              </w:rPr>
              <w:t>Block 1</w:t>
            </w:r>
          </w:p>
        </w:tc>
        <w:tc>
          <w:tcPr>
            <w:tcW w:w="711" w:type="dxa"/>
            <w:tcBorders>
              <w:top w:val="nil"/>
              <w:left w:val="nil"/>
              <w:bottom w:val="single" w:sz="8" w:space="0" w:color="008000"/>
              <w:right w:val="nil"/>
            </w:tcBorders>
            <w:shd w:val="clear" w:color="000000" w:fill="FFFFFF"/>
            <w:vAlign w:val="center"/>
            <w:hideMark/>
          </w:tcPr>
          <w:p w14:paraId="129D0D62" w14:textId="77777777" w:rsidR="000F563E" w:rsidRPr="000F563E" w:rsidRDefault="000F563E" w:rsidP="000F563E">
            <w:pPr>
              <w:tabs>
                <w:tab w:val="clear" w:pos="7100"/>
              </w:tabs>
              <w:spacing w:line="240" w:lineRule="auto"/>
              <w:jc w:val="center"/>
              <w:rPr>
                <w:rFonts w:cs="Arial"/>
                <w:color w:val="000000"/>
                <w:sz w:val="16"/>
                <w:szCs w:val="16"/>
                <w:lang w:val="it-IT" w:eastAsia="it-IT"/>
              </w:rPr>
            </w:pPr>
            <w:r w:rsidRPr="000F563E">
              <w:rPr>
                <w:rFonts w:cs="Arial"/>
                <w:color w:val="000000"/>
                <w:sz w:val="16"/>
                <w:szCs w:val="16"/>
                <w:lang w:val="it-IT" w:eastAsia="it-IT"/>
              </w:rPr>
              <w:t>Block 2</w:t>
            </w:r>
          </w:p>
        </w:tc>
        <w:tc>
          <w:tcPr>
            <w:tcW w:w="711" w:type="dxa"/>
            <w:tcBorders>
              <w:top w:val="nil"/>
              <w:left w:val="nil"/>
              <w:bottom w:val="single" w:sz="8" w:space="0" w:color="008000"/>
              <w:right w:val="nil"/>
            </w:tcBorders>
            <w:shd w:val="clear" w:color="000000" w:fill="FFFFFF"/>
            <w:vAlign w:val="center"/>
            <w:hideMark/>
          </w:tcPr>
          <w:p w14:paraId="2E173541" w14:textId="77777777" w:rsidR="000F563E" w:rsidRPr="000F563E" w:rsidRDefault="000F563E" w:rsidP="000F563E">
            <w:pPr>
              <w:tabs>
                <w:tab w:val="clear" w:pos="7100"/>
              </w:tabs>
              <w:spacing w:line="240" w:lineRule="auto"/>
              <w:jc w:val="center"/>
              <w:rPr>
                <w:rFonts w:cs="Arial"/>
                <w:color w:val="000000"/>
                <w:sz w:val="16"/>
                <w:szCs w:val="16"/>
                <w:lang w:val="it-IT" w:eastAsia="it-IT"/>
              </w:rPr>
            </w:pPr>
            <w:r w:rsidRPr="000F563E">
              <w:rPr>
                <w:rFonts w:cs="Arial"/>
                <w:color w:val="000000"/>
                <w:sz w:val="16"/>
                <w:szCs w:val="16"/>
                <w:lang w:val="it-IT" w:eastAsia="it-IT"/>
              </w:rPr>
              <w:t>Block 3</w:t>
            </w:r>
          </w:p>
        </w:tc>
        <w:tc>
          <w:tcPr>
            <w:tcW w:w="1005" w:type="dxa"/>
            <w:tcBorders>
              <w:top w:val="nil"/>
              <w:left w:val="nil"/>
              <w:bottom w:val="single" w:sz="8" w:space="0" w:color="008000"/>
              <w:right w:val="nil"/>
            </w:tcBorders>
            <w:shd w:val="clear" w:color="000000" w:fill="FFFFFF"/>
            <w:vAlign w:val="center"/>
            <w:hideMark/>
          </w:tcPr>
          <w:p w14:paraId="4B62D17C" w14:textId="77777777" w:rsidR="000F563E" w:rsidRPr="000F563E" w:rsidRDefault="000F563E" w:rsidP="000F563E">
            <w:pPr>
              <w:tabs>
                <w:tab w:val="clear" w:pos="7100"/>
              </w:tabs>
              <w:spacing w:line="240" w:lineRule="auto"/>
              <w:jc w:val="center"/>
              <w:rPr>
                <w:rFonts w:cs="Arial"/>
                <w:color w:val="000000"/>
                <w:sz w:val="16"/>
                <w:szCs w:val="16"/>
                <w:lang w:val="it-IT" w:eastAsia="it-IT"/>
              </w:rPr>
            </w:pPr>
            <w:r w:rsidRPr="000F563E">
              <w:rPr>
                <w:rFonts w:cs="Arial"/>
                <w:color w:val="000000"/>
                <w:sz w:val="16"/>
                <w:szCs w:val="16"/>
                <w:lang w:val="it-IT" w:eastAsia="it-IT"/>
              </w:rPr>
              <w:t>Block 4</w:t>
            </w:r>
          </w:p>
        </w:tc>
        <w:tc>
          <w:tcPr>
            <w:tcW w:w="185" w:type="dxa"/>
            <w:tcBorders>
              <w:top w:val="nil"/>
              <w:left w:val="nil"/>
              <w:bottom w:val="nil"/>
              <w:right w:val="nil"/>
            </w:tcBorders>
            <w:shd w:val="clear" w:color="000000" w:fill="FFFFFF"/>
            <w:vAlign w:val="center"/>
            <w:hideMark/>
          </w:tcPr>
          <w:p w14:paraId="290B57D7" w14:textId="77777777" w:rsidR="000F563E" w:rsidRPr="000F563E" w:rsidRDefault="000F563E" w:rsidP="000F563E">
            <w:pPr>
              <w:tabs>
                <w:tab w:val="clear" w:pos="7100"/>
              </w:tabs>
              <w:spacing w:line="240" w:lineRule="auto"/>
              <w:jc w:val="center"/>
              <w:rPr>
                <w:rFonts w:cs="Arial"/>
                <w:color w:val="000000"/>
                <w:sz w:val="16"/>
                <w:szCs w:val="16"/>
                <w:lang w:val="it-IT" w:eastAsia="it-IT"/>
              </w:rPr>
            </w:pPr>
            <w:r w:rsidRPr="000F563E">
              <w:rPr>
                <w:rFonts w:cs="Arial"/>
                <w:color w:val="000000"/>
                <w:sz w:val="16"/>
                <w:szCs w:val="16"/>
                <w:lang w:val="it-IT" w:eastAsia="it-IT"/>
              </w:rPr>
              <w:t> </w:t>
            </w:r>
          </w:p>
        </w:tc>
        <w:tc>
          <w:tcPr>
            <w:tcW w:w="891" w:type="dxa"/>
            <w:tcBorders>
              <w:top w:val="nil"/>
              <w:left w:val="nil"/>
              <w:bottom w:val="single" w:sz="8" w:space="0" w:color="008000"/>
              <w:right w:val="nil"/>
            </w:tcBorders>
            <w:shd w:val="clear" w:color="000000" w:fill="FFFFFF"/>
            <w:vAlign w:val="center"/>
            <w:hideMark/>
          </w:tcPr>
          <w:p w14:paraId="3335AC1F" w14:textId="77777777" w:rsidR="000F563E" w:rsidRPr="000F563E" w:rsidRDefault="000F563E" w:rsidP="000F563E">
            <w:pPr>
              <w:tabs>
                <w:tab w:val="clear" w:pos="7100"/>
              </w:tabs>
              <w:spacing w:line="240" w:lineRule="auto"/>
              <w:jc w:val="center"/>
              <w:rPr>
                <w:rFonts w:cs="Arial"/>
                <w:color w:val="000000"/>
                <w:sz w:val="16"/>
                <w:szCs w:val="16"/>
                <w:lang w:val="it-IT" w:eastAsia="it-IT"/>
              </w:rPr>
            </w:pPr>
            <w:r w:rsidRPr="000F563E">
              <w:rPr>
                <w:rFonts w:cs="Arial"/>
                <w:color w:val="000000"/>
                <w:sz w:val="16"/>
                <w:szCs w:val="16"/>
                <w:lang w:val="it-IT" w:eastAsia="it-IT"/>
              </w:rPr>
              <w:t>Block 1</w:t>
            </w:r>
          </w:p>
        </w:tc>
        <w:tc>
          <w:tcPr>
            <w:tcW w:w="711" w:type="dxa"/>
            <w:tcBorders>
              <w:top w:val="nil"/>
              <w:left w:val="nil"/>
              <w:bottom w:val="single" w:sz="8" w:space="0" w:color="008000"/>
              <w:right w:val="nil"/>
            </w:tcBorders>
            <w:shd w:val="clear" w:color="000000" w:fill="FFFFFF"/>
            <w:vAlign w:val="center"/>
            <w:hideMark/>
          </w:tcPr>
          <w:p w14:paraId="2D18F303" w14:textId="77777777" w:rsidR="000F563E" w:rsidRPr="000F563E" w:rsidRDefault="000F563E" w:rsidP="000F563E">
            <w:pPr>
              <w:tabs>
                <w:tab w:val="clear" w:pos="7100"/>
              </w:tabs>
              <w:spacing w:line="240" w:lineRule="auto"/>
              <w:jc w:val="center"/>
              <w:rPr>
                <w:rFonts w:cs="Arial"/>
                <w:color w:val="000000"/>
                <w:sz w:val="16"/>
                <w:szCs w:val="16"/>
                <w:lang w:val="it-IT" w:eastAsia="it-IT"/>
              </w:rPr>
            </w:pPr>
            <w:r w:rsidRPr="000F563E">
              <w:rPr>
                <w:rFonts w:cs="Arial"/>
                <w:color w:val="000000"/>
                <w:sz w:val="16"/>
                <w:szCs w:val="16"/>
                <w:lang w:val="it-IT" w:eastAsia="it-IT"/>
              </w:rPr>
              <w:t>Block 2</w:t>
            </w:r>
          </w:p>
        </w:tc>
        <w:tc>
          <w:tcPr>
            <w:tcW w:w="711" w:type="dxa"/>
            <w:tcBorders>
              <w:top w:val="nil"/>
              <w:left w:val="nil"/>
              <w:bottom w:val="single" w:sz="8" w:space="0" w:color="008000"/>
              <w:right w:val="nil"/>
            </w:tcBorders>
            <w:shd w:val="clear" w:color="000000" w:fill="FFFFFF"/>
            <w:vAlign w:val="center"/>
            <w:hideMark/>
          </w:tcPr>
          <w:p w14:paraId="312F7416" w14:textId="77777777" w:rsidR="000F563E" w:rsidRPr="000F563E" w:rsidRDefault="000F563E" w:rsidP="000F563E">
            <w:pPr>
              <w:tabs>
                <w:tab w:val="clear" w:pos="7100"/>
              </w:tabs>
              <w:spacing w:line="240" w:lineRule="auto"/>
              <w:jc w:val="center"/>
              <w:rPr>
                <w:rFonts w:cs="Arial"/>
                <w:color w:val="000000"/>
                <w:sz w:val="16"/>
                <w:szCs w:val="16"/>
                <w:lang w:val="it-IT" w:eastAsia="it-IT"/>
              </w:rPr>
            </w:pPr>
            <w:r w:rsidRPr="000F563E">
              <w:rPr>
                <w:rFonts w:cs="Arial"/>
                <w:color w:val="000000"/>
                <w:sz w:val="16"/>
                <w:szCs w:val="16"/>
                <w:lang w:val="it-IT" w:eastAsia="it-IT"/>
              </w:rPr>
              <w:t>Block 3</w:t>
            </w:r>
          </w:p>
        </w:tc>
        <w:tc>
          <w:tcPr>
            <w:tcW w:w="1005" w:type="dxa"/>
            <w:tcBorders>
              <w:top w:val="nil"/>
              <w:left w:val="nil"/>
              <w:bottom w:val="single" w:sz="8" w:space="0" w:color="008000"/>
              <w:right w:val="nil"/>
            </w:tcBorders>
            <w:shd w:val="clear" w:color="000000" w:fill="FFFFFF"/>
            <w:vAlign w:val="center"/>
            <w:hideMark/>
          </w:tcPr>
          <w:p w14:paraId="04853A1A" w14:textId="77777777" w:rsidR="000F563E" w:rsidRPr="000F563E" w:rsidRDefault="000F563E" w:rsidP="000F563E">
            <w:pPr>
              <w:tabs>
                <w:tab w:val="clear" w:pos="7100"/>
              </w:tabs>
              <w:spacing w:line="240" w:lineRule="auto"/>
              <w:jc w:val="center"/>
              <w:rPr>
                <w:rFonts w:cs="Arial"/>
                <w:color w:val="000000"/>
                <w:sz w:val="16"/>
                <w:szCs w:val="16"/>
                <w:lang w:val="it-IT" w:eastAsia="it-IT"/>
              </w:rPr>
            </w:pPr>
            <w:r w:rsidRPr="000F563E">
              <w:rPr>
                <w:rFonts w:cs="Arial"/>
                <w:color w:val="000000"/>
                <w:sz w:val="16"/>
                <w:szCs w:val="16"/>
                <w:lang w:val="it-IT" w:eastAsia="it-IT"/>
              </w:rPr>
              <w:t>Block 4</w:t>
            </w:r>
          </w:p>
        </w:tc>
      </w:tr>
      <w:tr w:rsidR="000F563E" w:rsidRPr="000F563E" w14:paraId="5075B3A7" w14:textId="77777777" w:rsidTr="00EB7516">
        <w:trPr>
          <w:trHeight w:val="303"/>
        </w:trPr>
        <w:tc>
          <w:tcPr>
            <w:tcW w:w="1565" w:type="dxa"/>
            <w:tcBorders>
              <w:top w:val="nil"/>
              <w:left w:val="nil"/>
              <w:bottom w:val="nil"/>
              <w:right w:val="nil"/>
            </w:tcBorders>
            <w:shd w:val="clear" w:color="000000" w:fill="FFFFFF"/>
            <w:vAlign w:val="center"/>
            <w:hideMark/>
          </w:tcPr>
          <w:p w14:paraId="1325E913" w14:textId="77777777" w:rsidR="000F563E" w:rsidRPr="000F563E" w:rsidRDefault="000F563E" w:rsidP="000F563E">
            <w:pPr>
              <w:tabs>
                <w:tab w:val="clear" w:pos="7100"/>
              </w:tabs>
              <w:spacing w:line="240" w:lineRule="auto"/>
              <w:jc w:val="left"/>
              <w:rPr>
                <w:rFonts w:ascii="Aptos Narrow" w:hAnsi="Aptos Narrow"/>
                <w:sz w:val="16"/>
                <w:szCs w:val="16"/>
                <w:lang w:val="it-IT" w:eastAsia="it-IT"/>
              </w:rPr>
            </w:pPr>
            <w:r w:rsidRPr="000F563E">
              <w:rPr>
                <w:rFonts w:ascii="Aptos Narrow" w:hAnsi="Aptos Narrow"/>
                <w:sz w:val="16"/>
                <w:szCs w:val="16"/>
                <w:lang w:val="it-IT" w:eastAsia="it-IT"/>
              </w:rPr>
              <w:t>Carbon Footprint</w:t>
            </w:r>
          </w:p>
        </w:tc>
        <w:tc>
          <w:tcPr>
            <w:tcW w:w="949" w:type="dxa"/>
            <w:gridSpan w:val="2"/>
            <w:tcBorders>
              <w:top w:val="nil"/>
              <w:left w:val="nil"/>
              <w:bottom w:val="nil"/>
              <w:right w:val="nil"/>
            </w:tcBorders>
            <w:shd w:val="clear" w:color="000000" w:fill="FFFFFF"/>
            <w:noWrap/>
            <w:vAlign w:val="center"/>
            <w:hideMark/>
          </w:tcPr>
          <w:p w14:paraId="306B4A2E" w14:textId="77777777" w:rsidR="000F563E" w:rsidRPr="000F563E" w:rsidRDefault="000F563E" w:rsidP="000F563E">
            <w:pPr>
              <w:tabs>
                <w:tab w:val="clear" w:pos="7100"/>
              </w:tabs>
              <w:spacing w:line="240" w:lineRule="auto"/>
              <w:jc w:val="left"/>
              <w:rPr>
                <w:rFonts w:ascii="Aptos Narrow" w:hAnsi="Aptos Narrow"/>
                <w:sz w:val="16"/>
                <w:szCs w:val="16"/>
                <w:lang w:val="it-IT" w:eastAsia="it-IT"/>
              </w:rPr>
            </w:pPr>
            <w:r w:rsidRPr="000F563E">
              <w:rPr>
                <w:rFonts w:ascii="Aptos Narrow" w:hAnsi="Aptos Narrow"/>
                <w:sz w:val="16"/>
                <w:szCs w:val="16"/>
                <w:lang w:val="it-IT" w:eastAsia="it-IT"/>
              </w:rPr>
              <w:t> </w:t>
            </w:r>
          </w:p>
        </w:tc>
        <w:tc>
          <w:tcPr>
            <w:tcW w:w="891" w:type="dxa"/>
            <w:tcBorders>
              <w:top w:val="nil"/>
              <w:left w:val="nil"/>
              <w:bottom w:val="nil"/>
              <w:right w:val="nil"/>
            </w:tcBorders>
            <w:shd w:val="clear" w:color="000000" w:fill="FFFFFF"/>
            <w:noWrap/>
            <w:vAlign w:val="center"/>
            <w:hideMark/>
          </w:tcPr>
          <w:p w14:paraId="1F099D1B" w14:textId="77777777" w:rsidR="000F563E" w:rsidRPr="000F563E" w:rsidRDefault="000F563E" w:rsidP="000F563E">
            <w:pPr>
              <w:tabs>
                <w:tab w:val="clear" w:pos="7100"/>
              </w:tabs>
              <w:spacing w:line="240" w:lineRule="auto"/>
              <w:jc w:val="center"/>
              <w:rPr>
                <w:rFonts w:ascii="Aptos Narrow" w:hAnsi="Aptos Narrow"/>
                <w:sz w:val="16"/>
                <w:szCs w:val="16"/>
                <w:lang w:val="it-IT" w:eastAsia="it-IT"/>
              </w:rPr>
            </w:pPr>
            <w:r w:rsidRPr="000F563E">
              <w:rPr>
                <w:rFonts w:ascii="Aptos Narrow" w:hAnsi="Aptos Narrow"/>
                <w:sz w:val="16"/>
                <w:szCs w:val="16"/>
                <w:lang w:val="it-IT" w:eastAsia="it-IT"/>
              </w:rPr>
              <w:t>Electrolyzer</w:t>
            </w:r>
          </w:p>
        </w:tc>
        <w:tc>
          <w:tcPr>
            <w:tcW w:w="711" w:type="dxa"/>
            <w:tcBorders>
              <w:top w:val="nil"/>
              <w:left w:val="nil"/>
              <w:bottom w:val="nil"/>
              <w:right w:val="nil"/>
            </w:tcBorders>
            <w:shd w:val="clear" w:color="000000" w:fill="FFFFFF"/>
            <w:noWrap/>
            <w:vAlign w:val="center"/>
            <w:hideMark/>
          </w:tcPr>
          <w:p w14:paraId="4EDCD8D8" w14:textId="77777777" w:rsidR="000F563E" w:rsidRPr="000F563E" w:rsidRDefault="000F563E" w:rsidP="000F563E">
            <w:pPr>
              <w:tabs>
                <w:tab w:val="clear" w:pos="7100"/>
              </w:tabs>
              <w:spacing w:line="240" w:lineRule="auto"/>
              <w:jc w:val="center"/>
              <w:rPr>
                <w:rFonts w:ascii="Aptos Narrow" w:hAnsi="Aptos Narrow"/>
                <w:sz w:val="16"/>
                <w:szCs w:val="16"/>
                <w:lang w:val="it-IT" w:eastAsia="it-IT"/>
              </w:rPr>
            </w:pPr>
            <w:r w:rsidRPr="000F563E">
              <w:rPr>
                <w:rFonts w:ascii="Aptos Narrow" w:hAnsi="Aptos Narrow"/>
                <w:sz w:val="16"/>
                <w:szCs w:val="16"/>
                <w:lang w:val="it-IT" w:eastAsia="it-IT"/>
              </w:rPr>
              <w:t>RWGS</w:t>
            </w:r>
          </w:p>
        </w:tc>
        <w:tc>
          <w:tcPr>
            <w:tcW w:w="711" w:type="dxa"/>
            <w:tcBorders>
              <w:top w:val="nil"/>
              <w:left w:val="nil"/>
              <w:bottom w:val="nil"/>
              <w:right w:val="nil"/>
            </w:tcBorders>
            <w:shd w:val="clear" w:color="000000" w:fill="FFFFFF"/>
            <w:noWrap/>
            <w:vAlign w:val="center"/>
            <w:hideMark/>
          </w:tcPr>
          <w:p w14:paraId="0977AD9D" w14:textId="77777777" w:rsidR="000F563E" w:rsidRPr="000F563E" w:rsidRDefault="000F563E" w:rsidP="000F563E">
            <w:pPr>
              <w:tabs>
                <w:tab w:val="clear" w:pos="7100"/>
              </w:tabs>
              <w:spacing w:line="240" w:lineRule="auto"/>
              <w:jc w:val="center"/>
              <w:rPr>
                <w:rFonts w:ascii="Aptos Narrow" w:hAnsi="Aptos Narrow"/>
                <w:sz w:val="16"/>
                <w:szCs w:val="16"/>
                <w:lang w:val="it-IT" w:eastAsia="it-IT"/>
              </w:rPr>
            </w:pPr>
            <w:r w:rsidRPr="000F563E">
              <w:rPr>
                <w:rFonts w:ascii="Aptos Narrow" w:hAnsi="Aptos Narrow"/>
                <w:sz w:val="16"/>
                <w:szCs w:val="16"/>
                <w:lang w:val="it-IT" w:eastAsia="it-IT"/>
              </w:rPr>
              <w:t>FT</w:t>
            </w:r>
          </w:p>
        </w:tc>
        <w:tc>
          <w:tcPr>
            <w:tcW w:w="1005" w:type="dxa"/>
            <w:tcBorders>
              <w:top w:val="nil"/>
              <w:left w:val="nil"/>
              <w:bottom w:val="nil"/>
              <w:right w:val="nil"/>
            </w:tcBorders>
            <w:shd w:val="clear" w:color="000000" w:fill="FFFFFF"/>
            <w:noWrap/>
            <w:vAlign w:val="center"/>
            <w:hideMark/>
          </w:tcPr>
          <w:p w14:paraId="4F4C1D07" w14:textId="77777777" w:rsidR="000F563E" w:rsidRPr="000F563E" w:rsidRDefault="000F563E" w:rsidP="000F563E">
            <w:pPr>
              <w:tabs>
                <w:tab w:val="clear" w:pos="7100"/>
              </w:tabs>
              <w:spacing w:line="240" w:lineRule="auto"/>
              <w:jc w:val="center"/>
              <w:rPr>
                <w:rFonts w:ascii="Aptos Narrow" w:hAnsi="Aptos Narrow"/>
                <w:sz w:val="16"/>
                <w:szCs w:val="16"/>
                <w:lang w:val="it-IT" w:eastAsia="it-IT"/>
              </w:rPr>
            </w:pPr>
            <w:r w:rsidRPr="000F563E">
              <w:rPr>
                <w:rFonts w:ascii="Aptos Narrow" w:hAnsi="Aptos Narrow"/>
                <w:sz w:val="16"/>
                <w:szCs w:val="16"/>
                <w:lang w:val="it-IT" w:eastAsia="it-IT"/>
              </w:rPr>
              <w:t>Hydrocracker</w:t>
            </w:r>
          </w:p>
        </w:tc>
        <w:tc>
          <w:tcPr>
            <w:tcW w:w="185" w:type="dxa"/>
            <w:tcBorders>
              <w:top w:val="nil"/>
              <w:left w:val="nil"/>
              <w:bottom w:val="nil"/>
              <w:right w:val="nil"/>
            </w:tcBorders>
            <w:shd w:val="clear" w:color="000000" w:fill="FFFFFF"/>
            <w:noWrap/>
            <w:vAlign w:val="center"/>
            <w:hideMark/>
          </w:tcPr>
          <w:p w14:paraId="360269D7" w14:textId="77777777" w:rsidR="000F563E" w:rsidRPr="000F563E" w:rsidRDefault="000F563E" w:rsidP="000F563E">
            <w:pPr>
              <w:tabs>
                <w:tab w:val="clear" w:pos="7100"/>
              </w:tabs>
              <w:spacing w:line="240" w:lineRule="auto"/>
              <w:jc w:val="center"/>
              <w:rPr>
                <w:rFonts w:ascii="Aptos Narrow" w:hAnsi="Aptos Narrow"/>
                <w:sz w:val="16"/>
                <w:szCs w:val="16"/>
                <w:lang w:val="it-IT" w:eastAsia="it-IT"/>
              </w:rPr>
            </w:pPr>
            <w:r w:rsidRPr="000F563E">
              <w:rPr>
                <w:rFonts w:ascii="Aptos Narrow" w:hAnsi="Aptos Narrow"/>
                <w:sz w:val="16"/>
                <w:szCs w:val="16"/>
                <w:lang w:val="it-IT" w:eastAsia="it-IT"/>
              </w:rPr>
              <w:t> </w:t>
            </w:r>
          </w:p>
        </w:tc>
        <w:tc>
          <w:tcPr>
            <w:tcW w:w="891" w:type="dxa"/>
            <w:tcBorders>
              <w:top w:val="nil"/>
              <w:left w:val="nil"/>
              <w:bottom w:val="nil"/>
              <w:right w:val="nil"/>
            </w:tcBorders>
            <w:shd w:val="clear" w:color="000000" w:fill="FFFFFF"/>
            <w:noWrap/>
            <w:vAlign w:val="center"/>
            <w:hideMark/>
          </w:tcPr>
          <w:p w14:paraId="15A31DD9" w14:textId="77777777" w:rsidR="000F563E" w:rsidRPr="000F563E" w:rsidRDefault="000F563E" w:rsidP="000F563E">
            <w:pPr>
              <w:tabs>
                <w:tab w:val="clear" w:pos="7100"/>
              </w:tabs>
              <w:spacing w:line="240" w:lineRule="auto"/>
              <w:jc w:val="center"/>
              <w:rPr>
                <w:rFonts w:ascii="Aptos Narrow" w:hAnsi="Aptos Narrow"/>
                <w:sz w:val="16"/>
                <w:szCs w:val="16"/>
                <w:lang w:val="it-IT" w:eastAsia="it-IT"/>
              </w:rPr>
            </w:pPr>
            <w:r w:rsidRPr="000F563E">
              <w:rPr>
                <w:rFonts w:ascii="Aptos Narrow" w:hAnsi="Aptos Narrow"/>
                <w:sz w:val="16"/>
                <w:szCs w:val="16"/>
                <w:lang w:val="it-IT" w:eastAsia="it-IT"/>
              </w:rPr>
              <w:t>Electrolyzer</w:t>
            </w:r>
          </w:p>
        </w:tc>
        <w:tc>
          <w:tcPr>
            <w:tcW w:w="711" w:type="dxa"/>
            <w:tcBorders>
              <w:top w:val="nil"/>
              <w:left w:val="nil"/>
              <w:bottom w:val="nil"/>
              <w:right w:val="nil"/>
            </w:tcBorders>
            <w:shd w:val="clear" w:color="000000" w:fill="FFFFFF"/>
            <w:noWrap/>
            <w:vAlign w:val="center"/>
            <w:hideMark/>
          </w:tcPr>
          <w:p w14:paraId="2DBCBEE9" w14:textId="77777777" w:rsidR="000F563E" w:rsidRPr="000F563E" w:rsidRDefault="000F563E" w:rsidP="000F563E">
            <w:pPr>
              <w:tabs>
                <w:tab w:val="clear" w:pos="7100"/>
              </w:tabs>
              <w:spacing w:line="240" w:lineRule="auto"/>
              <w:jc w:val="center"/>
              <w:rPr>
                <w:rFonts w:ascii="Aptos Narrow" w:hAnsi="Aptos Narrow"/>
                <w:sz w:val="16"/>
                <w:szCs w:val="16"/>
                <w:lang w:val="it-IT" w:eastAsia="it-IT"/>
              </w:rPr>
            </w:pPr>
            <w:r w:rsidRPr="000F563E">
              <w:rPr>
                <w:rFonts w:ascii="Aptos Narrow" w:hAnsi="Aptos Narrow"/>
                <w:sz w:val="16"/>
                <w:szCs w:val="16"/>
                <w:lang w:val="it-IT" w:eastAsia="it-IT"/>
              </w:rPr>
              <w:t>RWGS</w:t>
            </w:r>
          </w:p>
        </w:tc>
        <w:tc>
          <w:tcPr>
            <w:tcW w:w="711" w:type="dxa"/>
            <w:tcBorders>
              <w:top w:val="nil"/>
              <w:left w:val="nil"/>
              <w:bottom w:val="nil"/>
              <w:right w:val="nil"/>
            </w:tcBorders>
            <w:shd w:val="clear" w:color="000000" w:fill="FFFFFF"/>
            <w:noWrap/>
            <w:vAlign w:val="center"/>
            <w:hideMark/>
          </w:tcPr>
          <w:p w14:paraId="3CF4C983" w14:textId="77777777" w:rsidR="000F563E" w:rsidRPr="000F563E" w:rsidRDefault="000F563E" w:rsidP="000F563E">
            <w:pPr>
              <w:tabs>
                <w:tab w:val="clear" w:pos="7100"/>
              </w:tabs>
              <w:spacing w:line="240" w:lineRule="auto"/>
              <w:jc w:val="center"/>
              <w:rPr>
                <w:rFonts w:ascii="Aptos Narrow" w:hAnsi="Aptos Narrow"/>
                <w:sz w:val="16"/>
                <w:szCs w:val="16"/>
                <w:lang w:val="it-IT" w:eastAsia="it-IT"/>
              </w:rPr>
            </w:pPr>
            <w:r w:rsidRPr="000F563E">
              <w:rPr>
                <w:rFonts w:ascii="Aptos Narrow" w:hAnsi="Aptos Narrow"/>
                <w:sz w:val="16"/>
                <w:szCs w:val="16"/>
                <w:lang w:val="it-IT" w:eastAsia="it-IT"/>
              </w:rPr>
              <w:t>FT</w:t>
            </w:r>
          </w:p>
        </w:tc>
        <w:tc>
          <w:tcPr>
            <w:tcW w:w="1005" w:type="dxa"/>
            <w:tcBorders>
              <w:top w:val="nil"/>
              <w:left w:val="nil"/>
              <w:bottom w:val="nil"/>
              <w:right w:val="nil"/>
            </w:tcBorders>
            <w:shd w:val="clear" w:color="000000" w:fill="FFFFFF"/>
            <w:noWrap/>
            <w:vAlign w:val="center"/>
            <w:hideMark/>
          </w:tcPr>
          <w:p w14:paraId="15E36A67" w14:textId="77777777" w:rsidR="000F563E" w:rsidRPr="000F563E" w:rsidRDefault="000F563E" w:rsidP="000F563E">
            <w:pPr>
              <w:tabs>
                <w:tab w:val="clear" w:pos="7100"/>
              </w:tabs>
              <w:spacing w:line="240" w:lineRule="auto"/>
              <w:jc w:val="center"/>
              <w:rPr>
                <w:rFonts w:ascii="Aptos Narrow" w:hAnsi="Aptos Narrow"/>
                <w:sz w:val="16"/>
                <w:szCs w:val="16"/>
                <w:lang w:val="it-IT" w:eastAsia="it-IT"/>
              </w:rPr>
            </w:pPr>
            <w:r w:rsidRPr="000F563E">
              <w:rPr>
                <w:rFonts w:ascii="Aptos Narrow" w:hAnsi="Aptos Narrow"/>
                <w:sz w:val="16"/>
                <w:szCs w:val="16"/>
                <w:lang w:val="it-IT" w:eastAsia="it-IT"/>
              </w:rPr>
              <w:t>Hydrocracker</w:t>
            </w:r>
          </w:p>
        </w:tc>
      </w:tr>
      <w:tr w:rsidR="000F563E" w:rsidRPr="000F563E" w14:paraId="7C8E6726" w14:textId="77777777" w:rsidTr="00EB7516">
        <w:trPr>
          <w:trHeight w:val="303"/>
        </w:trPr>
        <w:tc>
          <w:tcPr>
            <w:tcW w:w="1565" w:type="dxa"/>
            <w:tcBorders>
              <w:top w:val="nil"/>
              <w:left w:val="nil"/>
              <w:bottom w:val="nil"/>
              <w:right w:val="nil"/>
            </w:tcBorders>
            <w:shd w:val="clear" w:color="000000" w:fill="FFFFFF"/>
            <w:vAlign w:val="center"/>
            <w:hideMark/>
          </w:tcPr>
          <w:p w14:paraId="4E79FD63" w14:textId="77777777" w:rsidR="000F563E" w:rsidRPr="000F563E" w:rsidRDefault="000F563E" w:rsidP="000F563E">
            <w:pPr>
              <w:tabs>
                <w:tab w:val="clear" w:pos="7100"/>
              </w:tabs>
              <w:spacing w:line="240" w:lineRule="auto"/>
              <w:jc w:val="left"/>
              <w:rPr>
                <w:rFonts w:ascii="Aptos Narrow" w:hAnsi="Aptos Narrow"/>
                <w:sz w:val="16"/>
                <w:szCs w:val="16"/>
                <w:lang w:val="it-IT" w:eastAsia="it-IT"/>
              </w:rPr>
            </w:pPr>
            <w:r w:rsidRPr="000F563E">
              <w:rPr>
                <w:rFonts w:ascii="Aptos Narrow" w:hAnsi="Aptos Narrow"/>
                <w:sz w:val="16"/>
                <w:szCs w:val="16"/>
                <w:lang w:val="it-IT" w:eastAsia="it-IT"/>
              </w:rPr>
              <w:t>Scope 1</w:t>
            </w:r>
          </w:p>
        </w:tc>
        <w:tc>
          <w:tcPr>
            <w:tcW w:w="949" w:type="dxa"/>
            <w:gridSpan w:val="2"/>
            <w:tcBorders>
              <w:top w:val="nil"/>
              <w:left w:val="nil"/>
              <w:bottom w:val="nil"/>
              <w:right w:val="nil"/>
            </w:tcBorders>
            <w:shd w:val="clear" w:color="000000" w:fill="FFFFFF"/>
            <w:noWrap/>
            <w:vAlign w:val="center"/>
            <w:hideMark/>
          </w:tcPr>
          <w:p w14:paraId="38FA9223" w14:textId="77777777" w:rsidR="000F563E" w:rsidRPr="000F563E" w:rsidRDefault="000F563E" w:rsidP="000F563E">
            <w:pPr>
              <w:tabs>
                <w:tab w:val="clear" w:pos="7100"/>
              </w:tabs>
              <w:spacing w:line="240" w:lineRule="auto"/>
              <w:jc w:val="left"/>
              <w:rPr>
                <w:rFonts w:ascii="Aptos Narrow" w:hAnsi="Aptos Narrow"/>
                <w:sz w:val="16"/>
                <w:szCs w:val="16"/>
                <w:lang w:val="it-IT" w:eastAsia="it-IT"/>
              </w:rPr>
            </w:pPr>
            <w:r w:rsidRPr="000F563E">
              <w:rPr>
                <w:rFonts w:ascii="Aptos Narrow" w:hAnsi="Aptos Narrow"/>
                <w:sz w:val="16"/>
                <w:szCs w:val="16"/>
                <w:lang w:val="it-IT" w:eastAsia="it-IT"/>
              </w:rPr>
              <w:t>Ton CO2e</w:t>
            </w:r>
          </w:p>
        </w:tc>
        <w:tc>
          <w:tcPr>
            <w:tcW w:w="891" w:type="dxa"/>
            <w:tcBorders>
              <w:top w:val="nil"/>
              <w:left w:val="nil"/>
              <w:bottom w:val="nil"/>
              <w:right w:val="nil"/>
            </w:tcBorders>
            <w:shd w:val="clear" w:color="000000" w:fill="FFFFFF"/>
            <w:noWrap/>
            <w:vAlign w:val="center"/>
            <w:hideMark/>
          </w:tcPr>
          <w:p w14:paraId="7FC51404" w14:textId="77777777" w:rsidR="000F563E" w:rsidRPr="000F563E" w:rsidRDefault="000F563E" w:rsidP="000F563E">
            <w:pPr>
              <w:tabs>
                <w:tab w:val="clear" w:pos="7100"/>
              </w:tabs>
              <w:spacing w:line="240" w:lineRule="auto"/>
              <w:jc w:val="center"/>
              <w:rPr>
                <w:rFonts w:ascii="Aptos Narrow" w:hAnsi="Aptos Narrow"/>
                <w:sz w:val="16"/>
                <w:szCs w:val="16"/>
                <w:lang w:val="it-IT" w:eastAsia="it-IT"/>
              </w:rPr>
            </w:pPr>
            <w:r w:rsidRPr="000F563E">
              <w:rPr>
                <w:rFonts w:ascii="Aptos Narrow" w:hAnsi="Aptos Narrow"/>
                <w:sz w:val="16"/>
                <w:szCs w:val="16"/>
                <w:lang w:val="it-IT" w:eastAsia="it-IT"/>
              </w:rPr>
              <w:t xml:space="preserve">0 </w:t>
            </w:r>
          </w:p>
        </w:tc>
        <w:tc>
          <w:tcPr>
            <w:tcW w:w="711" w:type="dxa"/>
            <w:tcBorders>
              <w:top w:val="nil"/>
              <w:left w:val="nil"/>
              <w:bottom w:val="nil"/>
              <w:right w:val="nil"/>
            </w:tcBorders>
            <w:shd w:val="clear" w:color="000000" w:fill="FFFFFF"/>
            <w:noWrap/>
            <w:vAlign w:val="center"/>
            <w:hideMark/>
          </w:tcPr>
          <w:p w14:paraId="469DCC59" w14:textId="77777777" w:rsidR="000F563E" w:rsidRPr="000F563E" w:rsidRDefault="000F563E" w:rsidP="000F563E">
            <w:pPr>
              <w:tabs>
                <w:tab w:val="clear" w:pos="7100"/>
              </w:tabs>
              <w:spacing w:line="240" w:lineRule="auto"/>
              <w:jc w:val="center"/>
              <w:rPr>
                <w:rFonts w:ascii="Aptos Narrow" w:hAnsi="Aptos Narrow"/>
                <w:sz w:val="16"/>
                <w:szCs w:val="16"/>
                <w:lang w:val="it-IT" w:eastAsia="it-IT"/>
              </w:rPr>
            </w:pPr>
            <w:r w:rsidRPr="000F563E">
              <w:rPr>
                <w:rFonts w:ascii="Aptos Narrow" w:hAnsi="Aptos Narrow"/>
                <w:sz w:val="16"/>
                <w:szCs w:val="16"/>
                <w:lang w:val="it-IT" w:eastAsia="it-IT"/>
              </w:rPr>
              <w:t xml:space="preserve">0 </w:t>
            </w:r>
          </w:p>
        </w:tc>
        <w:tc>
          <w:tcPr>
            <w:tcW w:w="711" w:type="dxa"/>
            <w:tcBorders>
              <w:top w:val="nil"/>
              <w:left w:val="nil"/>
              <w:bottom w:val="nil"/>
              <w:right w:val="nil"/>
            </w:tcBorders>
            <w:shd w:val="clear" w:color="000000" w:fill="FFFFFF"/>
            <w:noWrap/>
            <w:vAlign w:val="center"/>
            <w:hideMark/>
          </w:tcPr>
          <w:p w14:paraId="2EB54594" w14:textId="77777777" w:rsidR="000F563E" w:rsidRPr="000F563E" w:rsidRDefault="000F563E" w:rsidP="000F563E">
            <w:pPr>
              <w:tabs>
                <w:tab w:val="clear" w:pos="7100"/>
              </w:tabs>
              <w:spacing w:line="240" w:lineRule="auto"/>
              <w:jc w:val="center"/>
              <w:rPr>
                <w:rFonts w:ascii="Aptos Narrow" w:hAnsi="Aptos Narrow"/>
                <w:sz w:val="16"/>
                <w:szCs w:val="16"/>
                <w:lang w:val="it-IT" w:eastAsia="it-IT"/>
              </w:rPr>
            </w:pPr>
            <w:r w:rsidRPr="000F563E">
              <w:rPr>
                <w:rFonts w:ascii="Aptos Narrow" w:hAnsi="Aptos Narrow"/>
                <w:sz w:val="16"/>
                <w:szCs w:val="16"/>
                <w:lang w:val="it-IT" w:eastAsia="it-IT"/>
              </w:rPr>
              <w:t xml:space="preserve">17.976 </w:t>
            </w:r>
          </w:p>
        </w:tc>
        <w:tc>
          <w:tcPr>
            <w:tcW w:w="1005" w:type="dxa"/>
            <w:tcBorders>
              <w:top w:val="nil"/>
              <w:left w:val="nil"/>
              <w:bottom w:val="nil"/>
              <w:right w:val="nil"/>
            </w:tcBorders>
            <w:shd w:val="clear" w:color="000000" w:fill="FFFFFF"/>
            <w:noWrap/>
            <w:vAlign w:val="center"/>
            <w:hideMark/>
          </w:tcPr>
          <w:p w14:paraId="7B3B1109" w14:textId="77777777" w:rsidR="000F563E" w:rsidRPr="000F563E" w:rsidRDefault="000F563E" w:rsidP="000F563E">
            <w:pPr>
              <w:tabs>
                <w:tab w:val="clear" w:pos="7100"/>
              </w:tabs>
              <w:spacing w:line="240" w:lineRule="auto"/>
              <w:jc w:val="center"/>
              <w:rPr>
                <w:rFonts w:ascii="Aptos Narrow" w:hAnsi="Aptos Narrow"/>
                <w:sz w:val="16"/>
                <w:szCs w:val="16"/>
                <w:lang w:val="it-IT" w:eastAsia="it-IT"/>
              </w:rPr>
            </w:pPr>
            <w:r w:rsidRPr="000F563E">
              <w:rPr>
                <w:rFonts w:ascii="Aptos Narrow" w:hAnsi="Aptos Narrow"/>
                <w:sz w:val="16"/>
                <w:szCs w:val="16"/>
                <w:lang w:val="it-IT" w:eastAsia="it-IT"/>
              </w:rPr>
              <w:t xml:space="preserve">0 </w:t>
            </w:r>
          </w:p>
        </w:tc>
        <w:tc>
          <w:tcPr>
            <w:tcW w:w="185" w:type="dxa"/>
            <w:tcBorders>
              <w:top w:val="nil"/>
              <w:left w:val="nil"/>
              <w:bottom w:val="nil"/>
              <w:right w:val="nil"/>
            </w:tcBorders>
            <w:shd w:val="clear" w:color="000000" w:fill="FFFFFF"/>
            <w:noWrap/>
            <w:vAlign w:val="center"/>
            <w:hideMark/>
          </w:tcPr>
          <w:p w14:paraId="2409710B" w14:textId="77777777" w:rsidR="000F563E" w:rsidRPr="000F563E" w:rsidRDefault="000F563E" w:rsidP="000F563E">
            <w:pPr>
              <w:tabs>
                <w:tab w:val="clear" w:pos="7100"/>
              </w:tabs>
              <w:spacing w:line="240" w:lineRule="auto"/>
              <w:jc w:val="center"/>
              <w:rPr>
                <w:rFonts w:ascii="Aptos Narrow" w:hAnsi="Aptos Narrow"/>
                <w:sz w:val="16"/>
                <w:szCs w:val="16"/>
                <w:lang w:val="it-IT" w:eastAsia="it-IT"/>
              </w:rPr>
            </w:pPr>
            <w:r w:rsidRPr="000F563E">
              <w:rPr>
                <w:rFonts w:ascii="Aptos Narrow" w:hAnsi="Aptos Narrow"/>
                <w:sz w:val="16"/>
                <w:szCs w:val="16"/>
                <w:lang w:val="it-IT" w:eastAsia="it-IT"/>
              </w:rPr>
              <w:t> </w:t>
            </w:r>
          </w:p>
        </w:tc>
        <w:tc>
          <w:tcPr>
            <w:tcW w:w="891" w:type="dxa"/>
            <w:tcBorders>
              <w:top w:val="nil"/>
              <w:left w:val="nil"/>
              <w:bottom w:val="nil"/>
              <w:right w:val="nil"/>
            </w:tcBorders>
            <w:shd w:val="clear" w:color="000000" w:fill="FFFFFF"/>
            <w:noWrap/>
            <w:vAlign w:val="center"/>
            <w:hideMark/>
          </w:tcPr>
          <w:p w14:paraId="194286B2" w14:textId="77777777" w:rsidR="000F563E" w:rsidRPr="000F563E" w:rsidRDefault="000F563E" w:rsidP="000F563E">
            <w:pPr>
              <w:tabs>
                <w:tab w:val="clear" w:pos="7100"/>
              </w:tabs>
              <w:spacing w:line="240" w:lineRule="auto"/>
              <w:jc w:val="center"/>
              <w:rPr>
                <w:rFonts w:ascii="Aptos Narrow" w:hAnsi="Aptos Narrow"/>
                <w:sz w:val="16"/>
                <w:szCs w:val="16"/>
                <w:lang w:val="it-IT" w:eastAsia="it-IT"/>
              </w:rPr>
            </w:pPr>
            <w:r w:rsidRPr="000F563E">
              <w:rPr>
                <w:rFonts w:ascii="Aptos Narrow" w:hAnsi="Aptos Narrow"/>
                <w:sz w:val="16"/>
                <w:szCs w:val="16"/>
                <w:lang w:val="it-IT" w:eastAsia="it-IT"/>
              </w:rPr>
              <w:t xml:space="preserve">0 </w:t>
            </w:r>
          </w:p>
        </w:tc>
        <w:tc>
          <w:tcPr>
            <w:tcW w:w="711" w:type="dxa"/>
            <w:tcBorders>
              <w:top w:val="nil"/>
              <w:left w:val="nil"/>
              <w:bottom w:val="nil"/>
              <w:right w:val="nil"/>
            </w:tcBorders>
            <w:shd w:val="clear" w:color="000000" w:fill="FFFFFF"/>
            <w:noWrap/>
            <w:vAlign w:val="center"/>
            <w:hideMark/>
          </w:tcPr>
          <w:p w14:paraId="28360A05" w14:textId="77777777" w:rsidR="000F563E" w:rsidRPr="000F563E" w:rsidRDefault="000F563E" w:rsidP="000F563E">
            <w:pPr>
              <w:tabs>
                <w:tab w:val="clear" w:pos="7100"/>
              </w:tabs>
              <w:spacing w:line="240" w:lineRule="auto"/>
              <w:jc w:val="center"/>
              <w:rPr>
                <w:rFonts w:ascii="Aptos Narrow" w:hAnsi="Aptos Narrow"/>
                <w:sz w:val="16"/>
                <w:szCs w:val="16"/>
                <w:lang w:val="it-IT" w:eastAsia="it-IT"/>
              </w:rPr>
            </w:pPr>
            <w:r w:rsidRPr="000F563E">
              <w:rPr>
                <w:rFonts w:ascii="Aptos Narrow" w:hAnsi="Aptos Narrow"/>
                <w:sz w:val="16"/>
                <w:szCs w:val="16"/>
                <w:lang w:val="it-IT" w:eastAsia="it-IT"/>
              </w:rPr>
              <w:t xml:space="preserve">0 </w:t>
            </w:r>
          </w:p>
        </w:tc>
        <w:tc>
          <w:tcPr>
            <w:tcW w:w="711" w:type="dxa"/>
            <w:tcBorders>
              <w:top w:val="nil"/>
              <w:left w:val="nil"/>
              <w:bottom w:val="nil"/>
              <w:right w:val="nil"/>
            </w:tcBorders>
            <w:shd w:val="clear" w:color="000000" w:fill="FFFFFF"/>
            <w:noWrap/>
            <w:vAlign w:val="center"/>
            <w:hideMark/>
          </w:tcPr>
          <w:p w14:paraId="3C2B33DD" w14:textId="77777777" w:rsidR="000F563E" w:rsidRPr="000F563E" w:rsidRDefault="000F563E" w:rsidP="000F563E">
            <w:pPr>
              <w:tabs>
                <w:tab w:val="clear" w:pos="7100"/>
              </w:tabs>
              <w:spacing w:line="240" w:lineRule="auto"/>
              <w:jc w:val="center"/>
              <w:rPr>
                <w:rFonts w:ascii="Aptos Narrow" w:hAnsi="Aptos Narrow"/>
                <w:sz w:val="16"/>
                <w:szCs w:val="16"/>
                <w:lang w:val="it-IT" w:eastAsia="it-IT"/>
              </w:rPr>
            </w:pPr>
            <w:r w:rsidRPr="000F563E">
              <w:rPr>
                <w:rFonts w:ascii="Aptos Narrow" w:hAnsi="Aptos Narrow"/>
                <w:sz w:val="16"/>
                <w:szCs w:val="16"/>
                <w:lang w:val="it-IT" w:eastAsia="it-IT"/>
              </w:rPr>
              <w:t xml:space="preserve">0 </w:t>
            </w:r>
          </w:p>
        </w:tc>
        <w:tc>
          <w:tcPr>
            <w:tcW w:w="1005" w:type="dxa"/>
            <w:tcBorders>
              <w:top w:val="nil"/>
              <w:left w:val="nil"/>
              <w:bottom w:val="nil"/>
              <w:right w:val="nil"/>
            </w:tcBorders>
            <w:shd w:val="clear" w:color="000000" w:fill="FFFFFF"/>
            <w:noWrap/>
            <w:vAlign w:val="center"/>
            <w:hideMark/>
          </w:tcPr>
          <w:p w14:paraId="60717B27" w14:textId="77777777" w:rsidR="000F563E" w:rsidRPr="000F563E" w:rsidRDefault="000F563E" w:rsidP="000F563E">
            <w:pPr>
              <w:tabs>
                <w:tab w:val="clear" w:pos="7100"/>
              </w:tabs>
              <w:spacing w:line="240" w:lineRule="auto"/>
              <w:jc w:val="center"/>
              <w:rPr>
                <w:rFonts w:ascii="Aptos Narrow" w:hAnsi="Aptos Narrow"/>
                <w:sz w:val="16"/>
                <w:szCs w:val="16"/>
                <w:lang w:val="it-IT" w:eastAsia="it-IT"/>
              </w:rPr>
            </w:pPr>
            <w:r w:rsidRPr="000F563E">
              <w:rPr>
                <w:rFonts w:ascii="Aptos Narrow" w:hAnsi="Aptos Narrow"/>
                <w:sz w:val="16"/>
                <w:szCs w:val="16"/>
                <w:lang w:val="it-IT" w:eastAsia="it-IT"/>
              </w:rPr>
              <w:t xml:space="preserve">0 </w:t>
            </w:r>
          </w:p>
        </w:tc>
      </w:tr>
      <w:tr w:rsidR="000F563E" w:rsidRPr="000F563E" w14:paraId="70640A20" w14:textId="77777777" w:rsidTr="00EB7516">
        <w:trPr>
          <w:trHeight w:val="303"/>
        </w:trPr>
        <w:tc>
          <w:tcPr>
            <w:tcW w:w="1565" w:type="dxa"/>
            <w:tcBorders>
              <w:top w:val="nil"/>
              <w:left w:val="nil"/>
              <w:bottom w:val="nil"/>
              <w:right w:val="nil"/>
            </w:tcBorders>
            <w:shd w:val="clear" w:color="000000" w:fill="FFFFFF"/>
            <w:vAlign w:val="center"/>
            <w:hideMark/>
          </w:tcPr>
          <w:p w14:paraId="7E1810CA" w14:textId="77777777" w:rsidR="000F563E" w:rsidRPr="000F563E" w:rsidRDefault="000F563E" w:rsidP="000F563E">
            <w:pPr>
              <w:tabs>
                <w:tab w:val="clear" w:pos="7100"/>
              </w:tabs>
              <w:spacing w:line="240" w:lineRule="auto"/>
              <w:jc w:val="left"/>
              <w:rPr>
                <w:rFonts w:ascii="Aptos Narrow" w:hAnsi="Aptos Narrow"/>
                <w:sz w:val="16"/>
                <w:szCs w:val="16"/>
                <w:lang w:val="it-IT" w:eastAsia="it-IT"/>
              </w:rPr>
            </w:pPr>
            <w:r w:rsidRPr="000F563E">
              <w:rPr>
                <w:rFonts w:ascii="Aptos Narrow" w:hAnsi="Aptos Narrow"/>
                <w:sz w:val="16"/>
                <w:szCs w:val="16"/>
                <w:lang w:val="it-IT" w:eastAsia="it-IT"/>
              </w:rPr>
              <w:t>Scope 2</w:t>
            </w:r>
          </w:p>
        </w:tc>
        <w:tc>
          <w:tcPr>
            <w:tcW w:w="949" w:type="dxa"/>
            <w:gridSpan w:val="2"/>
            <w:tcBorders>
              <w:top w:val="nil"/>
              <w:left w:val="nil"/>
              <w:bottom w:val="nil"/>
              <w:right w:val="nil"/>
            </w:tcBorders>
            <w:shd w:val="clear" w:color="000000" w:fill="FFFFFF"/>
            <w:noWrap/>
            <w:vAlign w:val="center"/>
            <w:hideMark/>
          </w:tcPr>
          <w:p w14:paraId="7C491C7A" w14:textId="77777777" w:rsidR="000F563E" w:rsidRPr="000F563E" w:rsidRDefault="000F563E" w:rsidP="000F563E">
            <w:pPr>
              <w:tabs>
                <w:tab w:val="clear" w:pos="7100"/>
              </w:tabs>
              <w:spacing w:line="240" w:lineRule="auto"/>
              <w:jc w:val="left"/>
              <w:rPr>
                <w:rFonts w:ascii="Aptos Narrow" w:hAnsi="Aptos Narrow"/>
                <w:sz w:val="16"/>
                <w:szCs w:val="16"/>
                <w:lang w:val="it-IT" w:eastAsia="it-IT"/>
              </w:rPr>
            </w:pPr>
            <w:r w:rsidRPr="000F563E">
              <w:rPr>
                <w:rFonts w:ascii="Aptos Narrow" w:hAnsi="Aptos Narrow"/>
                <w:sz w:val="16"/>
                <w:szCs w:val="16"/>
                <w:lang w:val="it-IT" w:eastAsia="it-IT"/>
              </w:rPr>
              <w:t>Ton CO2e</w:t>
            </w:r>
          </w:p>
        </w:tc>
        <w:tc>
          <w:tcPr>
            <w:tcW w:w="891" w:type="dxa"/>
            <w:tcBorders>
              <w:top w:val="nil"/>
              <w:left w:val="nil"/>
              <w:bottom w:val="nil"/>
              <w:right w:val="nil"/>
            </w:tcBorders>
            <w:shd w:val="clear" w:color="000000" w:fill="FFFFFF"/>
            <w:noWrap/>
            <w:vAlign w:val="center"/>
            <w:hideMark/>
          </w:tcPr>
          <w:p w14:paraId="1BD66158" w14:textId="77777777" w:rsidR="000F563E" w:rsidRPr="000F563E" w:rsidRDefault="000F563E" w:rsidP="000F563E">
            <w:pPr>
              <w:tabs>
                <w:tab w:val="clear" w:pos="7100"/>
              </w:tabs>
              <w:spacing w:line="240" w:lineRule="auto"/>
              <w:jc w:val="center"/>
              <w:rPr>
                <w:rFonts w:ascii="Aptos Narrow" w:hAnsi="Aptos Narrow"/>
                <w:sz w:val="16"/>
                <w:szCs w:val="16"/>
                <w:lang w:val="it-IT" w:eastAsia="it-IT"/>
              </w:rPr>
            </w:pPr>
            <w:r w:rsidRPr="000F563E">
              <w:rPr>
                <w:rFonts w:ascii="Aptos Narrow" w:hAnsi="Aptos Narrow"/>
                <w:sz w:val="16"/>
                <w:szCs w:val="16"/>
                <w:lang w:val="it-IT" w:eastAsia="it-IT"/>
              </w:rPr>
              <w:t xml:space="preserve">685.440 </w:t>
            </w:r>
          </w:p>
        </w:tc>
        <w:tc>
          <w:tcPr>
            <w:tcW w:w="711" w:type="dxa"/>
            <w:tcBorders>
              <w:top w:val="nil"/>
              <w:left w:val="nil"/>
              <w:bottom w:val="nil"/>
              <w:right w:val="nil"/>
            </w:tcBorders>
            <w:shd w:val="clear" w:color="000000" w:fill="FFFFFF"/>
            <w:noWrap/>
            <w:vAlign w:val="center"/>
            <w:hideMark/>
          </w:tcPr>
          <w:p w14:paraId="0A612B8A" w14:textId="636580B5" w:rsidR="000F563E" w:rsidRPr="000F563E" w:rsidRDefault="000F563E" w:rsidP="000F563E">
            <w:pPr>
              <w:tabs>
                <w:tab w:val="clear" w:pos="7100"/>
              </w:tabs>
              <w:spacing w:line="240" w:lineRule="auto"/>
              <w:jc w:val="center"/>
              <w:rPr>
                <w:rFonts w:ascii="Aptos Narrow" w:hAnsi="Aptos Narrow"/>
                <w:sz w:val="16"/>
                <w:szCs w:val="16"/>
                <w:lang w:val="it-IT" w:eastAsia="it-IT"/>
              </w:rPr>
            </w:pPr>
            <w:r w:rsidRPr="000F563E">
              <w:rPr>
                <w:rFonts w:ascii="Aptos Narrow" w:hAnsi="Aptos Narrow"/>
                <w:sz w:val="16"/>
                <w:szCs w:val="16"/>
                <w:lang w:val="it-IT" w:eastAsia="it-IT"/>
              </w:rPr>
              <w:t>114</w:t>
            </w:r>
            <w:r w:rsidR="001442BB">
              <w:rPr>
                <w:rFonts w:ascii="Aptos Narrow" w:hAnsi="Aptos Narrow"/>
                <w:sz w:val="16"/>
                <w:szCs w:val="16"/>
                <w:lang w:val="it-IT" w:eastAsia="it-IT"/>
              </w:rPr>
              <w:t>.</w:t>
            </w:r>
            <w:r w:rsidRPr="000F563E">
              <w:rPr>
                <w:rFonts w:ascii="Aptos Narrow" w:hAnsi="Aptos Narrow"/>
                <w:sz w:val="16"/>
                <w:szCs w:val="16"/>
                <w:lang w:val="it-IT" w:eastAsia="it-IT"/>
              </w:rPr>
              <w:t>24</w:t>
            </w:r>
            <w:r w:rsidR="001442BB">
              <w:rPr>
                <w:rFonts w:ascii="Aptos Narrow" w:hAnsi="Aptos Narrow"/>
                <w:sz w:val="16"/>
                <w:szCs w:val="16"/>
                <w:lang w:val="it-IT" w:eastAsia="it-IT"/>
              </w:rPr>
              <w:t>0</w:t>
            </w:r>
            <w:r w:rsidRPr="000F563E">
              <w:rPr>
                <w:rFonts w:ascii="Aptos Narrow" w:hAnsi="Aptos Narrow"/>
                <w:sz w:val="16"/>
                <w:szCs w:val="16"/>
                <w:lang w:val="it-IT" w:eastAsia="it-IT"/>
              </w:rPr>
              <w:t xml:space="preserve"> </w:t>
            </w:r>
          </w:p>
        </w:tc>
        <w:tc>
          <w:tcPr>
            <w:tcW w:w="711" w:type="dxa"/>
            <w:tcBorders>
              <w:top w:val="nil"/>
              <w:left w:val="nil"/>
              <w:bottom w:val="nil"/>
              <w:right w:val="nil"/>
            </w:tcBorders>
            <w:shd w:val="clear" w:color="000000" w:fill="FFFFFF"/>
            <w:noWrap/>
            <w:vAlign w:val="center"/>
            <w:hideMark/>
          </w:tcPr>
          <w:p w14:paraId="4CCFF3F2" w14:textId="77777777" w:rsidR="000F563E" w:rsidRPr="000F563E" w:rsidRDefault="000F563E" w:rsidP="000F563E">
            <w:pPr>
              <w:tabs>
                <w:tab w:val="clear" w:pos="7100"/>
              </w:tabs>
              <w:spacing w:line="240" w:lineRule="auto"/>
              <w:jc w:val="center"/>
              <w:rPr>
                <w:rFonts w:ascii="Aptos Narrow" w:hAnsi="Aptos Narrow"/>
                <w:sz w:val="16"/>
                <w:szCs w:val="16"/>
                <w:lang w:val="it-IT" w:eastAsia="it-IT"/>
              </w:rPr>
            </w:pPr>
            <w:r w:rsidRPr="000F563E">
              <w:rPr>
                <w:rFonts w:ascii="Aptos Narrow" w:hAnsi="Aptos Narrow"/>
                <w:sz w:val="16"/>
                <w:szCs w:val="16"/>
                <w:lang w:val="it-IT" w:eastAsia="it-IT"/>
              </w:rPr>
              <w:t xml:space="preserve">0 </w:t>
            </w:r>
          </w:p>
        </w:tc>
        <w:tc>
          <w:tcPr>
            <w:tcW w:w="1005" w:type="dxa"/>
            <w:tcBorders>
              <w:top w:val="nil"/>
              <w:left w:val="nil"/>
              <w:bottom w:val="nil"/>
              <w:right w:val="nil"/>
            </w:tcBorders>
            <w:shd w:val="clear" w:color="000000" w:fill="FFFFFF"/>
            <w:noWrap/>
            <w:vAlign w:val="center"/>
            <w:hideMark/>
          </w:tcPr>
          <w:p w14:paraId="60CE6833" w14:textId="77777777" w:rsidR="000F563E" w:rsidRPr="000F563E" w:rsidRDefault="000F563E" w:rsidP="000F563E">
            <w:pPr>
              <w:tabs>
                <w:tab w:val="clear" w:pos="7100"/>
              </w:tabs>
              <w:spacing w:line="240" w:lineRule="auto"/>
              <w:jc w:val="center"/>
              <w:rPr>
                <w:rFonts w:ascii="Aptos Narrow" w:hAnsi="Aptos Narrow"/>
                <w:sz w:val="16"/>
                <w:szCs w:val="16"/>
                <w:lang w:val="it-IT" w:eastAsia="it-IT"/>
              </w:rPr>
            </w:pPr>
            <w:r w:rsidRPr="000F563E">
              <w:rPr>
                <w:rFonts w:ascii="Aptos Narrow" w:hAnsi="Aptos Narrow"/>
                <w:sz w:val="16"/>
                <w:szCs w:val="16"/>
                <w:lang w:val="it-IT" w:eastAsia="it-IT"/>
              </w:rPr>
              <w:t xml:space="preserve">0 </w:t>
            </w:r>
          </w:p>
        </w:tc>
        <w:tc>
          <w:tcPr>
            <w:tcW w:w="185" w:type="dxa"/>
            <w:tcBorders>
              <w:top w:val="nil"/>
              <w:left w:val="nil"/>
              <w:bottom w:val="nil"/>
              <w:right w:val="nil"/>
            </w:tcBorders>
            <w:shd w:val="clear" w:color="000000" w:fill="FFFFFF"/>
            <w:noWrap/>
            <w:vAlign w:val="center"/>
            <w:hideMark/>
          </w:tcPr>
          <w:p w14:paraId="69804BD5" w14:textId="77777777" w:rsidR="000F563E" w:rsidRPr="000F563E" w:rsidRDefault="000F563E" w:rsidP="000F563E">
            <w:pPr>
              <w:tabs>
                <w:tab w:val="clear" w:pos="7100"/>
              </w:tabs>
              <w:spacing w:line="240" w:lineRule="auto"/>
              <w:jc w:val="center"/>
              <w:rPr>
                <w:rFonts w:ascii="Aptos Narrow" w:hAnsi="Aptos Narrow"/>
                <w:sz w:val="16"/>
                <w:szCs w:val="16"/>
                <w:lang w:val="it-IT" w:eastAsia="it-IT"/>
              </w:rPr>
            </w:pPr>
            <w:r w:rsidRPr="000F563E">
              <w:rPr>
                <w:rFonts w:ascii="Aptos Narrow" w:hAnsi="Aptos Narrow"/>
                <w:sz w:val="16"/>
                <w:szCs w:val="16"/>
                <w:lang w:val="it-IT" w:eastAsia="it-IT"/>
              </w:rPr>
              <w:t> </w:t>
            </w:r>
          </w:p>
        </w:tc>
        <w:tc>
          <w:tcPr>
            <w:tcW w:w="891" w:type="dxa"/>
            <w:tcBorders>
              <w:top w:val="nil"/>
              <w:left w:val="nil"/>
              <w:bottom w:val="nil"/>
              <w:right w:val="nil"/>
            </w:tcBorders>
            <w:shd w:val="clear" w:color="000000" w:fill="FFFFFF"/>
            <w:noWrap/>
            <w:vAlign w:val="center"/>
            <w:hideMark/>
          </w:tcPr>
          <w:p w14:paraId="79EA2C60" w14:textId="77777777" w:rsidR="000F563E" w:rsidRPr="000F563E" w:rsidRDefault="000F563E" w:rsidP="000F563E">
            <w:pPr>
              <w:tabs>
                <w:tab w:val="clear" w:pos="7100"/>
              </w:tabs>
              <w:spacing w:line="240" w:lineRule="auto"/>
              <w:jc w:val="center"/>
              <w:rPr>
                <w:rFonts w:ascii="Aptos Narrow" w:hAnsi="Aptos Narrow"/>
                <w:sz w:val="16"/>
                <w:szCs w:val="16"/>
                <w:lang w:val="it-IT" w:eastAsia="it-IT"/>
              </w:rPr>
            </w:pPr>
            <w:r w:rsidRPr="000F563E">
              <w:rPr>
                <w:rFonts w:ascii="Aptos Narrow" w:hAnsi="Aptos Narrow"/>
                <w:sz w:val="16"/>
                <w:szCs w:val="16"/>
                <w:lang w:val="it-IT" w:eastAsia="it-IT"/>
              </w:rPr>
              <w:t xml:space="preserve">0 </w:t>
            </w:r>
          </w:p>
        </w:tc>
        <w:tc>
          <w:tcPr>
            <w:tcW w:w="711" w:type="dxa"/>
            <w:tcBorders>
              <w:top w:val="nil"/>
              <w:left w:val="nil"/>
              <w:bottom w:val="nil"/>
              <w:right w:val="nil"/>
            </w:tcBorders>
            <w:shd w:val="clear" w:color="000000" w:fill="FFFFFF"/>
            <w:noWrap/>
            <w:vAlign w:val="center"/>
            <w:hideMark/>
          </w:tcPr>
          <w:p w14:paraId="27B564B3" w14:textId="77777777" w:rsidR="000F563E" w:rsidRPr="000F563E" w:rsidRDefault="000F563E" w:rsidP="000F563E">
            <w:pPr>
              <w:tabs>
                <w:tab w:val="clear" w:pos="7100"/>
              </w:tabs>
              <w:spacing w:line="240" w:lineRule="auto"/>
              <w:jc w:val="center"/>
              <w:rPr>
                <w:rFonts w:ascii="Aptos Narrow" w:hAnsi="Aptos Narrow"/>
                <w:sz w:val="16"/>
                <w:szCs w:val="16"/>
                <w:lang w:val="it-IT" w:eastAsia="it-IT"/>
              </w:rPr>
            </w:pPr>
            <w:r w:rsidRPr="000F563E">
              <w:rPr>
                <w:rFonts w:ascii="Aptos Narrow" w:hAnsi="Aptos Narrow"/>
                <w:sz w:val="16"/>
                <w:szCs w:val="16"/>
                <w:lang w:val="it-IT" w:eastAsia="it-IT"/>
              </w:rPr>
              <w:t xml:space="preserve">0 </w:t>
            </w:r>
          </w:p>
        </w:tc>
        <w:tc>
          <w:tcPr>
            <w:tcW w:w="711" w:type="dxa"/>
            <w:tcBorders>
              <w:top w:val="nil"/>
              <w:left w:val="nil"/>
              <w:bottom w:val="nil"/>
              <w:right w:val="nil"/>
            </w:tcBorders>
            <w:shd w:val="clear" w:color="000000" w:fill="FFFFFF"/>
            <w:noWrap/>
            <w:vAlign w:val="center"/>
            <w:hideMark/>
          </w:tcPr>
          <w:p w14:paraId="74E4EA63" w14:textId="77777777" w:rsidR="000F563E" w:rsidRPr="000F563E" w:rsidRDefault="000F563E" w:rsidP="000F563E">
            <w:pPr>
              <w:tabs>
                <w:tab w:val="clear" w:pos="7100"/>
              </w:tabs>
              <w:spacing w:line="240" w:lineRule="auto"/>
              <w:jc w:val="center"/>
              <w:rPr>
                <w:rFonts w:ascii="Aptos Narrow" w:hAnsi="Aptos Narrow"/>
                <w:sz w:val="16"/>
                <w:szCs w:val="16"/>
                <w:lang w:val="it-IT" w:eastAsia="it-IT"/>
              </w:rPr>
            </w:pPr>
            <w:r w:rsidRPr="000F563E">
              <w:rPr>
                <w:rFonts w:ascii="Aptos Narrow" w:hAnsi="Aptos Narrow"/>
                <w:sz w:val="16"/>
                <w:szCs w:val="16"/>
                <w:lang w:val="it-IT" w:eastAsia="it-IT"/>
              </w:rPr>
              <w:t xml:space="preserve">0 </w:t>
            </w:r>
          </w:p>
        </w:tc>
        <w:tc>
          <w:tcPr>
            <w:tcW w:w="1005" w:type="dxa"/>
            <w:tcBorders>
              <w:top w:val="nil"/>
              <w:left w:val="nil"/>
              <w:bottom w:val="nil"/>
              <w:right w:val="nil"/>
            </w:tcBorders>
            <w:shd w:val="clear" w:color="000000" w:fill="FFFFFF"/>
            <w:noWrap/>
            <w:vAlign w:val="center"/>
            <w:hideMark/>
          </w:tcPr>
          <w:p w14:paraId="0D00BD1F" w14:textId="77777777" w:rsidR="000F563E" w:rsidRPr="000F563E" w:rsidRDefault="000F563E" w:rsidP="000F563E">
            <w:pPr>
              <w:tabs>
                <w:tab w:val="clear" w:pos="7100"/>
              </w:tabs>
              <w:spacing w:line="240" w:lineRule="auto"/>
              <w:jc w:val="center"/>
              <w:rPr>
                <w:rFonts w:ascii="Aptos Narrow" w:hAnsi="Aptos Narrow"/>
                <w:sz w:val="16"/>
                <w:szCs w:val="16"/>
                <w:lang w:val="it-IT" w:eastAsia="it-IT"/>
              </w:rPr>
            </w:pPr>
            <w:r w:rsidRPr="000F563E">
              <w:rPr>
                <w:rFonts w:ascii="Aptos Narrow" w:hAnsi="Aptos Narrow"/>
                <w:sz w:val="16"/>
                <w:szCs w:val="16"/>
                <w:lang w:val="it-IT" w:eastAsia="it-IT"/>
              </w:rPr>
              <w:t xml:space="preserve">0 </w:t>
            </w:r>
          </w:p>
        </w:tc>
      </w:tr>
      <w:tr w:rsidR="000F563E" w:rsidRPr="000F563E" w14:paraId="2E053977" w14:textId="77777777" w:rsidTr="00EB7516">
        <w:trPr>
          <w:trHeight w:val="303"/>
        </w:trPr>
        <w:tc>
          <w:tcPr>
            <w:tcW w:w="1565" w:type="dxa"/>
            <w:tcBorders>
              <w:top w:val="nil"/>
              <w:left w:val="nil"/>
              <w:bottom w:val="nil"/>
              <w:right w:val="nil"/>
            </w:tcBorders>
            <w:shd w:val="clear" w:color="000000" w:fill="FFFFFF"/>
            <w:vAlign w:val="center"/>
            <w:hideMark/>
          </w:tcPr>
          <w:p w14:paraId="48E572D9" w14:textId="77777777" w:rsidR="000F563E" w:rsidRPr="000F563E" w:rsidRDefault="000F563E" w:rsidP="000F563E">
            <w:pPr>
              <w:tabs>
                <w:tab w:val="clear" w:pos="7100"/>
              </w:tabs>
              <w:spacing w:line="240" w:lineRule="auto"/>
              <w:jc w:val="left"/>
              <w:rPr>
                <w:rFonts w:ascii="Aptos Narrow" w:hAnsi="Aptos Narrow"/>
                <w:sz w:val="16"/>
                <w:szCs w:val="16"/>
                <w:lang w:val="it-IT" w:eastAsia="it-IT"/>
              </w:rPr>
            </w:pPr>
            <w:r w:rsidRPr="000F563E">
              <w:rPr>
                <w:rFonts w:ascii="Aptos Narrow" w:hAnsi="Aptos Narrow"/>
                <w:sz w:val="16"/>
                <w:szCs w:val="16"/>
                <w:lang w:val="it-IT" w:eastAsia="it-IT"/>
              </w:rPr>
              <w:t>Scope 3 Feedstock</w:t>
            </w:r>
          </w:p>
        </w:tc>
        <w:tc>
          <w:tcPr>
            <w:tcW w:w="949" w:type="dxa"/>
            <w:gridSpan w:val="2"/>
            <w:tcBorders>
              <w:top w:val="nil"/>
              <w:left w:val="nil"/>
              <w:bottom w:val="nil"/>
              <w:right w:val="nil"/>
            </w:tcBorders>
            <w:shd w:val="clear" w:color="000000" w:fill="FFFFFF"/>
            <w:noWrap/>
            <w:vAlign w:val="center"/>
            <w:hideMark/>
          </w:tcPr>
          <w:p w14:paraId="2573C72D" w14:textId="77777777" w:rsidR="000F563E" w:rsidRPr="000F563E" w:rsidRDefault="000F563E" w:rsidP="000F563E">
            <w:pPr>
              <w:tabs>
                <w:tab w:val="clear" w:pos="7100"/>
              </w:tabs>
              <w:spacing w:line="240" w:lineRule="auto"/>
              <w:jc w:val="left"/>
              <w:rPr>
                <w:rFonts w:ascii="Aptos Narrow" w:hAnsi="Aptos Narrow"/>
                <w:sz w:val="16"/>
                <w:szCs w:val="16"/>
                <w:lang w:val="it-IT" w:eastAsia="it-IT"/>
              </w:rPr>
            </w:pPr>
            <w:r w:rsidRPr="000F563E">
              <w:rPr>
                <w:rFonts w:ascii="Aptos Narrow" w:hAnsi="Aptos Narrow"/>
                <w:sz w:val="16"/>
                <w:szCs w:val="16"/>
                <w:lang w:val="it-IT" w:eastAsia="it-IT"/>
              </w:rPr>
              <w:t>Ton CO2e</w:t>
            </w:r>
          </w:p>
        </w:tc>
        <w:tc>
          <w:tcPr>
            <w:tcW w:w="891" w:type="dxa"/>
            <w:tcBorders>
              <w:top w:val="nil"/>
              <w:left w:val="nil"/>
              <w:bottom w:val="nil"/>
              <w:right w:val="nil"/>
            </w:tcBorders>
            <w:shd w:val="clear" w:color="000000" w:fill="FFFFFF"/>
            <w:noWrap/>
            <w:vAlign w:val="center"/>
            <w:hideMark/>
          </w:tcPr>
          <w:p w14:paraId="65ACC2BE" w14:textId="77777777" w:rsidR="000F563E" w:rsidRPr="000F563E" w:rsidRDefault="000F563E" w:rsidP="000F563E">
            <w:pPr>
              <w:tabs>
                <w:tab w:val="clear" w:pos="7100"/>
              </w:tabs>
              <w:spacing w:line="240" w:lineRule="auto"/>
              <w:jc w:val="center"/>
              <w:rPr>
                <w:rFonts w:ascii="Aptos Narrow" w:hAnsi="Aptos Narrow"/>
                <w:sz w:val="16"/>
                <w:szCs w:val="16"/>
                <w:lang w:val="it-IT" w:eastAsia="it-IT"/>
              </w:rPr>
            </w:pPr>
            <w:r w:rsidRPr="000F563E">
              <w:rPr>
                <w:rFonts w:ascii="Aptos Narrow" w:hAnsi="Aptos Narrow"/>
                <w:sz w:val="16"/>
                <w:szCs w:val="16"/>
                <w:lang w:val="it-IT" w:eastAsia="it-IT"/>
              </w:rPr>
              <w:t xml:space="preserve">58.050 </w:t>
            </w:r>
          </w:p>
        </w:tc>
        <w:tc>
          <w:tcPr>
            <w:tcW w:w="711" w:type="dxa"/>
            <w:tcBorders>
              <w:top w:val="nil"/>
              <w:left w:val="nil"/>
              <w:bottom w:val="nil"/>
              <w:right w:val="nil"/>
            </w:tcBorders>
            <w:shd w:val="clear" w:color="000000" w:fill="FFFFFF"/>
            <w:noWrap/>
            <w:vAlign w:val="center"/>
            <w:hideMark/>
          </w:tcPr>
          <w:p w14:paraId="2FB7D21C" w14:textId="77777777" w:rsidR="000F563E" w:rsidRPr="000F563E" w:rsidRDefault="000F563E" w:rsidP="000F563E">
            <w:pPr>
              <w:tabs>
                <w:tab w:val="clear" w:pos="7100"/>
              </w:tabs>
              <w:spacing w:line="240" w:lineRule="auto"/>
              <w:jc w:val="center"/>
              <w:rPr>
                <w:rFonts w:ascii="Aptos Narrow" w:hAnsi="Aptos Narrow"/>
                <w:sz w:val="16"/>
                <w:szCs w:val="16"/>
                <w:lang w:val="it-IT" w:eastAsia="it-IT"/>
              </w:rPr>
            </w:pPr>
            <w:r w:rsidRPr="000F563E">
              <w:rPr>
                <w:rFonts w:ascii="Aptos Narrow" w:hAnsi="Aptos Narrow"/>
                <w:sz w:val="16"/>
                <w:szCs w:val="16"/>
                <w:lang w:val="it-IT" w:eastAsia="it-IT"/>
              </w:rPr>
              <w:t xml:space="preserve">0 </w:t>
            </w:r>
          </w:p>
        </w:tc>
        <w:tc>
          <w:tcPr>
            <w:tcW w:w="711" w:type="dxa"/>
            <w:tcBorders>
              <w:top w:val="nil"/>
              <w:left w:val="nil"/>
              <w:bottom w:val="nil"/>
              <w:right w:val="nil"/>
            </w:tcBorders>
            <w:shd w:val="clear" w:color="000000" w:fill="FFFFFF"/>
            <w:noWrap/>
            <w:vAlign w:val="center"/>
            <w:hideMark/>
          </w:tcPr>
          <w:p w14:paraId="3A0442E8" w14:textId="77777777" w:rsidR="000F563E" w:rsidRPr="000F563E" w:rsidRDefault="000F563E" w:rsidP="000F563E">
            <w:pPr>
              <w:tabs>
                <w:tab w:val="clear" w:pos="7100"/>
              </w:tabs>
              <w:spacing w:line="240" w:lineRule="auto"/>
              <w:jc w:val="center"/>
              <w:rPr>
                <w:rFonts w:ascii="Aptos Narrow" w:hAnsi="Aptos Narrow"/>
                <w:sz w:val="16"/>
                <w:szCs w:val="16"/>
                <w:lang w:val="it-IT" w:eastAsia="it-IT"/>
              </w:rPr>
            </w:pPr>
            <w:r w:rsidRPr="000F563E">
              <w:rPr>
                <w:rFonts w:ascii="Aptos Narrow" w:hAnsi="Aptos Narrow"/>
                <w:sz w:val="16"/>
                <w:szCs w:val="16"/>
                <w:lang w:val="it-IT" w:eastAsia="it-IT"/>
              </w:rPr>
              <w:t xml:space="preserve">0 </w:t>
            </w:r>
          </w:p>
        </w:tc>
        <w:tc>
          <w:tcPr>
            <w:tcW w:w="1005" w:type="dxa"/>
            <w:tcBorders>
              <w:top w:val="nil"/>
              <w:left w:val="nil"/>
              <w:bottom w:val="nil"/>
              <w:right w:val="nil"/>
            </w:tcBorders>
            <w:shd w:val="clear" w:color="000000" w:fill="FFFFFF"/>
            <w:noWrap/>
            <w:vAlign w:val="center"/>
            <w:hideMark/>
          </w:tcPr>
          <w:p w14:paraId="508783BD" w14:textId="77777777" w:rsidR="000F563E" w:rsidRPr="000F563E" w:rsidRDefault="000F563E" w:rsidP="000F563E">
            <w:pPr>
              <w:tabs>
                <w:tab w:val="clear" w:pos="7100"/>
              </w:tabs>
              <w:spacing w:line="240" w:lineRule="auto"/>
              <w:jc w:val="center"/>
              <w:rPr>
                <w:rFonts w:ascii="Aptos Narrow" w:hAnsi="Aptos Narrow"/>
                <w:sz w:val="16"/>
                <w:szCs w:val="16"/>
                <w:lang w:val="it-IT" w:eastAsia="it-IT"/>
              </w:rPr>
            </w:pPr>
            <w:r w:rsidRPr="000F563E">
              <w:rPr>
                <w:rFonts w:ascii="Aptos Narrow" w:hAnsi="Aptos Narrow"/>
                <w:sz w:val="16"/>
                <w:szCs w:val="16"/>
                <w:lang w:val="it-IT" w:eastAsia="it-IT"/>
              </w:rPr>
              <w:t xml:space="preserve">0 </w:t>
            </w:r>
          </w:p>
        </w:tc>
        <w:tc>
          <w:tcPr>
            <w:tcW w:w="185" w:type="dxa"/>
            <w:tcBorders>
              <w:top w:val="nil"/>
              <w:left w:val="nil"/>
              <w:bottom w:val="nil"/>
              <w:right w:val="nil"/>
            </w:tcBorders>
            <w:shd w:val="clear" w:color="000000" w:fill="FFFFFF"/>
            <w:noWrap/>
            <w:vAlign w:val="center"/>
            <w:hideMark/>
          </w:tcPr>
          <w:p w14:paraId="79D5D21B" w14:textId="77777777" w:rsidR="000F563E" w:rsidRPr="000F563E" w:rsidRDefault="000F563E" w:rsidP="000F563E">
            <w:pPr>
              <w:tabs>
                <w:tab w:val="clear" w:pos="7100"/>
              </w:tabs>
              <w:spacing w:line="240" w:lineRule="auto"/>
              <w:jc w:val="center"/>
              <w:rPr>
                <w:rFonts w:ascii="Aptos Narrow" w:hAnsi="Aptos Narrow"/>
                <w:sz w:val="16"/>
                <w:szCs w:val="16"/>
                <w:lang w:val="it-IT" w:eastAsia="it-IT"/>
              </w:rPr>
            </w:pPr>
            <w:r w:rsidRPr="000F563E">
              <w:rPr>
                <w:rFonts w:ascii="Aptos Narrow" w:hAnsi="Aptos Narrow"/>
                <w:sz w:val="16"/>
                <w:szCs w:val="16"/>
                <w:lang w:val="it-IT" w:eastAsia="it-IT"/>
              </w:rPr>
              <w:t> </w:t>
            </w:r>
          </w:p>
        </w:tc>
        <w:tc>
          <w:tcPr>
            <w:tcW w:w="891" w:type="dxa"/>
            <w:tcBorders>
              <w:top w:val="nil"/>
              <w:left w:val="nil"/>
              <w:bottom w:val="nil"/>
              <w:right w:val="nil"/>
            </w:tcBorders>
            <w:shd w:val="clear" w:color="000000" w:fill="FFFFFF"/>
            <w:noWrap/>
            <w:vAlign w:val="center"/>
            <w:hideMark/>
          </w:tcPr>
          <w:p w14:paraId="1AEA5DF5" w14:textId="77777777" w:rsidR="000F563E" w:rsidRPr="000F563E" w:rsidRDefault="000F563E" w:rsidP="000F563E">
            <w:pPr>
              <w:tabs>
                <w:tab w:val="clear" w:pos="7100"/>
              </w:tabs>
              <w:spacing w:line="240" w:lineRule="auto"/>
              <w:jc w:val="center"/>
              <w:rPr>
                <w:rFonts w:ascii="Aptos Narrow" w:hAnsi="Aptos Narrow"/>
                <w:sz w:val="16"/>
                <w:szCs w:val="16"/>
                <w:lang w:val="it-IT" w:eastAsia="it-IT"/>
              </w:rPr>
            </w:pPr>
            <w:r w:rsidRPr="000F563E">
              <w:rPr>
                <w:rFonts w:ascii="Aptos Narrow" w:hAnsi="Aptos Narrow"/>
                <w:sz w:val="16"/>
                <w:szCs w:val="16"/>
                <w:lang w:val="it-IT" w:eastAsia="it-IT"/>
              </w:rPr>
              <w:t xml:space="preserve">0 </w:t>
            </w:r>
          </w:p>
        </w:tc>
        <w:tc>
          <w:tcPr>
            <w:tcW w:w="711" w:type="dxa"/>
            <w:tcBorders>
              <w:top w:val="nil"/>
              <w:left w:val="nil"/>
              <w:bottom w:val="nil"/>
              <w:right w:val="nil"/>
            </w:tcBorders>
            <w:shd w:val="clear" w:color="000000" w:fill="FFFFFF"/>
            <w:noWrap/>
            <w:vAlign w:val="center"/>
            <w:hideMark/>
          </w:tcPr>
          <w:p w14:paraId="2C233521" w14:textId="77777777" w:rsidR="000F563E" w:rsidRPr="000F563E" w:rsidRDefault="000F563E" w:rsidP="000F563E">
            <w:pPr>
              <w:tabs>
                <w:tab w:val="clear" w:pos="7100"/>
              </w:tabs>
              <w:spacing w:line="240" w:lineRule="auto"/>
              <w:jc w:val="center"/>
              <w:rPr>
                <w:rFonts w:ascii="Aptos Narrow" w:hAnsi="Aptos Narrow"/>
                <w:sz w:val="16"/>
                <w:szCs w:val="16"/>
                <w:lang w:val="it-IT" w:eastAsia="it-IT"/>
              </w:rPr>
            </w:pPr>
            <w:r w:rsidRPr="000F563E">
              <w:rPr>
                <w:rFonts w:ascii="Aptos Narrow" w:hAnsi="Aptos Narrow"/>
                <w:sz w:val="16"/>
                <w:szCs w:val="16"/>
                <w:lang w:val="it-IT" w:eastAsia="it-IT"/>
              </w:rPr>
              <w:t xml:space="preserve">0 </w:t>
            </w:r>
          </w:p>
        </w:tc>
        <w:tc>
          <w:tcPr>
            <w:tcW w:w="711" w:type="dxa"/>
            <w:tcBorders>
              <w:top w:val="nil"/>
              <w:left w:val="nil"/>
              <w:bottom w:val="nil"/>
              <w:right w:val="nil"/>
            </w:tcBorders>
            <w:shd w:val="clear" w:color="000000" w:fill="FFFFFF"/>
            <w:noWrap/>
            <w:vAlign w:val="center"/>
            <w:hideMark/>
          </w:tcPr>
          <w:p w14:paraId="5DBA0482" w14:textId="77777777" w:rsidR="000F563E" w:rsidRPr="000F563E" w:rsidRDefault="000F563E" w:rsidP="000F563E">
            <w:pPr>
              <w:tabs>
                <w:tab w:val="clear" w:pos="7100"/>
              </w:tabs>
              <w:spacing w:line="240" w:lineRule="auto"/>
              <w:jc w:val="center"/>
              <w:rPr>
                <w:rFonts w:ascii="Aptos Narrow" w:hAnsi="Aptos Narrow"/>
                <w:sz w:val="16"/>
                <w:szCs w:val="16"/>
                <w:lang w:val="it-IT" w:eastAsia="it-IT"/>
              </w:rPr>
            </w:pPr>
            <w:r w:rsidRPr="000F563E">
              <w:rPr>
                <w:rFonts w:ascii="Aptos Narrow" w:hAnsi="Aptos Narrow"/>
                <w:sz w:val="16"/>
                <w:szCs w:val="16"/>
                <w:lang w:val="it-IT" w:eastAsia="it-IT"/>
              </w:rPr>
              <w:t xml:space="preserve">0 </w:t>
            </w:r>
          </w:p>
        </w:tc>
        <w:tc>
          <w:tcPr>
            <w:tcW w:w="1005" w:type="dxa"/>
            <w:tcBorders>
              <w:top w:val="nil"/>
              <w:left w:val="nil"/>
              <w:bottom w:val="nil"/>
              <w:right w:val="nil"/>
            </w:tcBorders>
            <w:shd w:val="clear" w:color="000000" w:fill="FFFFFF"/>
            <w:noWrap/>
            <w:vAlign w:val="center"/>
            <w:hideMark/>
          </w:tcPr>
          <w:p w14:paraId="444BE10B" w14:textId="77777777" w:rsidR="000F563E" w:rsidRPr="000F563E" w:rsidRDefault="000F563E" w:rsidP="000F563E">
            <w:pPr>
              <w:tabs>
                <w:tab w:val="clear" w:pos="7100"/>
              </w:tabs>
              <w:spacing w:line="240" w:lineRule="auto"/>
              <w:jc w:val="center"/>
              <w:rPr>
                <w:rFonts w:ascii="Aptos Narrow" w:hAnsi="Aptos Narrow"/>
                <w:sz w:val="16"/>
                <w:szCs w:val="16"/>
                <w:lang w:val="it-IT" w:eastAsia="it-IT"/>
              </w:rPr>
            </w:pPr>
            <w:r w:rsidRPr="000F563E">
              <w:rPr>
                <w:rFonts w:ascii="Aptos Narrow" w:hAnsi="Aptos Narrow"/>
                <w:sz w:val="16"/>
                <w:szCs w:val="16"/>
                <w:lang w:val="it-IT" w:eastAsia="it-IT"/>
              </w:rPr>
              <w:t xml:space="preserve">0 </w:t>
            </w:r>
          </w:p>
        </w:tc>
      </w:tr>
      <w:tr w:rsidR="00EB7516" w:rsidRPr="000F563E" w14:paraId="273D4C5A" w14:textId="77777777" w:rsidTr="00EB7516">
        <w:trPr>
          <w:trHeight w:val="303"/>
        </w:trPr>
        <w:tc>
          <w:tcPr>
            <w:tcW w:w="1565" w:type="dxa"/>
            <w:tcBorders>
              <w:top w:val="nil"/>
              <w:left w:val="nil"/>
              <w:bottom w:val="single" w:sz="12" w:space="0" w:color="008000"/>
              <w:right w:val="nil"/>
            </w:tcBorders>
            <w:shd w:val="clear" w:color="000000" w:fill="FFFFFF"/>
            <w:vAlign w:val="center"/>
            <w:hideMark/>
          </w:tcPr>
          <w:p w14:paraId="197A553D" w14:textId="77777777" w:rsidR="000F563E" w:rsidRPr="000F563E" w:rsidRDefault="000F563E" w:rsidP="000F563E">
            <w:pPr>
              <w:tabs>
                <w:tab w:val="clear" w:pos="7100"/>
              </w:tabs>
              <w:spacing w:line="240" w:lineRule="auto"/>
              <w:jc w:val="left"/>
              <w:rPr>
                <w:rFonts w:cs="Arial"/>
                <w:color w:val="000000"/>
                <w:sz w:val="16"/>
                <w:szCs w:val="16"/>
                <w:lang w:val="it-IT" w:eastAsia="it-IT"/>
              </w:rPr>
            </w:pPr>
            <w:r w:rsidRPr="000F563E">
              <w:rPr>
                <w:rFonts w:cs="Arial"/>
                <w:color w:val="000000"/>
                <w:sz w:val="16"/>
                <w:szCs w:val="16"/>
                <w:lang w:val="it-IT" w:eastAsia="it-IT"/>
              </w:rPr>
              <w:t>TOTAL CO2e</w:t>
            </w:r>
          </w:p>
        </w:tc>
        <w:tc>
          <w:tcPr>
            <w:tcW w:w="949" w:type="dxa"/>
            <w:gridSpan w:val="2"/>
            <w:tcBorders>
              <w:top w:val="nil"/>
              <w:left w:val="nil"/>
              <w:bottom w:val="single" w:sz="12" w:space="0" w:color="008000"/>
              <w:right w:val="nil"/>
            </w:tcBorders>
            <w:shd w:val="clear" w:color="000000" w:fill="FFFFFF"/>
            <w:noWrap/>
            <w:vAlign w:val="center"/>
            <w:hideMark/>
          </w:tcPr>
          <w:p w14:paraId="0524B1D2" w14:textId="77777777" w:rsidR="000F563E" w:rsidRPr="000F563E" w:rsidRDefault="000F563E" w:rsidP="000F563E">
            <w:pPr>
              <w:tabs>
                <w:tab w:val="clear" w:pos="7100"/>
              </w:tabs>
              <w:spacing w:line="240" w:lineRule="auto"/>
              <w:jc w:val="left"/>
              <w:rPr>
                <w:rFonts w:cs="Arial"/>
                <w:color w:val="000000"/>
                <w:sz w:val="16"/>
                <w:szCs w:val="16"/>
                <w:lang w:val="it-IT" w:eastAsia="it-IT"/>
              </w:rPr>
            </w:pPr>
            <w:r w:rsidRPr="000F563E">
              <w:rPr>
                <w:rFonts w:cs="Arial"/>
                <w:color w:val="000000"/>
                <w:sz w:val="16"/>
                <w:szCs w:val="16"/>
                <w:lang w:val="it-IT" w:eastAsia="it-IT"/>
              </w:rPr>
              <w:t>Ton CO2e</w:t>
            </w:r>
          </w:p>
        </w:tc>
        <w:tc>
          <w:tcPr>
            <w:tcW w:w="891" w:type="dxa"/>
            <w:tcBorders>
              <w:top w:val="nil"/>
              <w:left w:val="nil"/>
              <w:bottom w:val="single" w:sz="12" w:space="0" w:color="008000"/>
              <w:right w:val="nil"/>
            </w:tcBorders>
            <w:shd w:val="clear" w:color="000000" w:fill="FFFFFF"/>
            <w:vAlign w:val="center"/>
            <w:hideMark/>
          </w:tcPr>
          <w:p w14:paraId="6BC682A7" w14:textId="77777777" w:rsidR="000F563E" w:rsidRPr="000F563E" w:rsidRDefault="000F563E" w:rsidP="000F563E">
            <w:pPr>
              <w:tabs>
                <w:tab w:val="clear" w:pos="7100"/>
              </w:tabs>
              <w:spacing w:line="240" w:lineRule="auto"/>
              <w:jc w:val="center"/>
              <w:rPr>
                <w:rFonts w:cs="Arial"/>
                <w:color w:val="000000"/>
                <w:sz w:val="16"/>
                <w:szCs w:val="16"/>
                <w:lang w:val="it-IT" w:eastAsia="it-IT"/>
              </w:rPr>
            </w:pPr>
            <w:r w:rsidRPr="000F563E">
              <w:rPr>
                <w:rFonts w:cs="Arial"/>
                <w:color w:val="000000"/>
                <w:sz w:val="16"/>
                <w:szCs w:val="16"/>
                <w:lang w:val="it-IT" w:eastAsia="it-IT"/>
              </w:rPr>
              <w:t xml:space="preserve">743.490 </w:t>
            </w:r>
          </w:p>
        </w:tc>
        <w:tc>
          <w:tcPr>
            <w:tcW w:w="711" w:type="dxa"/>
            <w:tcBorders>
              <w:top w:val="nil"/>
              <w:left w:val="nil"/>
              <w:bottom w:val="single" w:sz="12" w:space="0" w:color="008000"/>
              <w:right w:val="nil"/>
            </w:tcBorders>
            <w:shd w:val="clear" w:color="000000" w:fill="FFFFFF"/>
            <w:vAlign w:val="center"/>
            <w:hideMark/>
          </w:tcPr>
          <w:p w14:paraId="398F37CE" w14:textId="4807856E" w:rsidR="000F563E" w:rsidRPr="000F563E" w:rsidRDefault="000F563E" w:rsidP="000F563E">
            <w:pPr>
              <w:tabs>
                <w:tab w:val="clear" w:pos="7100"/>
              </w:tabs>
              <w:spacing w:line="240" w:lineRule="auto"/>
              <w:jc w:val="center"/>
              <w:rPr>
                <w:rFonts w:cs="Arial"/>
                <w:color w:val="000000"/>
                <w:sz w:val="16"/>
                <w:szCs w:val="16"/>
                <w:lang w:val="it-IT" w:eastAsia="it-IT"/>
              </w:rPr>
            </w:pPr>
            <w:r w:rsidRPr="000F563E">
              <w:rPr>
                <w:rFonts w:cs="Arial"/>
                <w:color w:val="000000"/>
                <w:sz w:val="16"/>
                <w:szCs w:val="16"/>
                <w:lang w:val="it-IT" w:eastAsia="it-IT"/>
              </w:rPr>
              <w:t>114</w:t>
            </w:r>
            <w:r w:rsidR="001442BB">
              <w:rPr>
                <w:rFonts w:cs="Arial"/>
                <w:color w:val="000000"/>
                <w:sz w:val="16"/>
                <w:szCs w:val="16"/>
                <w:lang w:val="it-IT" w:eastAsia="it-IT"/>
              </w:rPr>
              <w:t>.</w:t>
            </w:r>
            <w:r w:rsidRPr="000F563E">
              <w:rPr>
                <w:rFonts w:cs="Arial"/>
                <w:color w:val="000000"/>
                <w:sz w:val="16"/>
                <w:szCs w:val="16"/>
                <w:lang w:val="it-IT" w:eastAsia="it-IT"/>
              </w:rPr>
              <w:t>24</w:t>
            </w:r>
            <w:r w:rsidR="001442BB">
              <w:rPr>
                <w:rFonts w:cs="Arial"/>
                <w:color w:val="000000"/>
                <w:sz w:val="16"/>
                <w:szCs w:val="16"/>
                <w:lang w:val="it-IT" w:eastAsia="it-IT"/>
              </w:rPr>
              <w:t>0</w:t>
            </w:r>
            <w:r w:rsidRPr="000F563E">
              <w:rPr>
                <w:rFonts w:cs="Arial"/>
                <w:color w:val="000000"/>
                <w:sz w:val="16"/>
                <w:szCs w:val="16"/>
                <w:lang w:val="it-IT" w:eastAsia="it-IT"/>
              </w:rPr>
              <w:t xml:space="preserve"> </w:t>
            </w:r>
          </w:p>
        </w:tc>
        <w:tc>
          <w:tcPr>
            <w:tcW w:w="711" w:type="dxa"/>
            <w:tcBorders>
              <w:top w:val="nil"/>
              <w:left w:val="nil"/>
              <w:bottom w:val="single" w:sz="12" w:space="0" w:color="008000"/>
              <w:right w:val="nil"/>
            </w:tcBorders>
            <w:shd w:val="clear" w:color="000000" w:fill="FFFFFF"/>
            <w:vAlign w:val="center"/>
            <w:hideMark/>
          </w:tcPr>
          <w:p w14:paraId="465CAC7B" w14:textId="77777777" w:rsidR="000F563E" w:rsidRPr="000F563E" w:rsidRDefault="000F563E" w:rsidP="000F563E">
            <w:pPr>
              <w:tabs>
                <w:tab w:val="clear" w:pos="7100"/>
              </w:tabs>
              <w:spacing w:line="240" w:lineRule="auto"/>
              <w:jc w:val="center"/>
              <w:rPr>
                <w:rFonts w:cs="Arial"/>
                <w:color w:val="000000"/>
                <w:sz w:val="16"/>
                <w:szCs w:val="16"/>
                <w:lang w:val="it-IT" w:eastAsia="it-IT"/>
              </w:rPr>
            </w:pPr>
            <w:r w:rsidRPr="000F563E">
              <w:rPr>
                <w:rFonts w:cs="Arial"/>
                <w:color w:val="000000"/>
                <w:sz w:val="16"/>
                <w:szCs w:val="16"/>
                <w:lang w:val="it-IT" w:eastAsia="it-IT"/>
              </w:rPr>
              <w:t xml:space="preserve">17.976 </w:t>
            </w:r>
          </w:p>
        </w:tc>
        <w:tc>
          <w:tcPr>
            <w:tcW w:w="1005" w:type="dxa"/>
            <w:tcBorders>
              <w:top w:val="nil"/>
              <w:left w:val="nil"/>
              <w:bottom w:val="single" w:sz="12" w:space="0" w:color="008000"/>
              <w:right w:val="nil"/>
            </w:tcBorders>
            <w:shd w:val="clear" w:color="000000" w:fill="FFFFFF"/>
            <w:vAlign w:val="center"/>
            <w:hideMark/>
          </w:tcPr>
          <w:p w14:paraId="6C51D1EF" w14:textId="77777777" w:rsidR="000F563E" w:rsidRPr="000F563E" w:rsidRDefault="000F563E" w:rsidP="000F563E">
            <w:pPr>
              <w:tabs>
                <w:tab w:val="clear" w:pos="7100"/>
              </w:tabs>
              <w:spacing w:line="240" w:lineRule="auto"/>
              <w:jc w:val="center"/>
              <w:rPr>
                <w:rFonts w:cs="Arial"/>
                <w:color w:val="000000"/>
                <w:sz w:val="16"/>
                <w:szCs w:val="16"/>
                <w:lang w:val="it-IT" w:eastAsia="it-IT"/>
              </w:rPr>
            </w:pPr>
            <w:r w:rsidRPr="000F563E">
              <w:rPr>
                <w:rFonts w:cs="Arial"/>
                <w:color w:val="000000"/>
                <w:sz w:val="16"/>
                <w:szCs w:val="16"/>
                <w:lang w:val="it-IT" w:eastAsia="it-IT"/>
              </w:rPr>
              <w:t xml:space="preserve">0 </w:t>
            </w:r>
          </w:p>
        </w:tc>
        <w:tc>
          <w:tcPr>
            <w:tcW w:w="185" w:type="dxa"/>
            <w:tcBorders>
              <w:top w:val="nil"/>
              <w:left w:val="nil"/>
              <w:bottom w:val="nil"/>
              <w:right w:val="nil"/>
            </w:tcBorders>
            <w:shd w:val="clear" w:color="000000" w:fill="FFFFFF"/>
            <w:vAlign w:val="center"/>
            <w:hideMark/>
          </w:tcPr>
          <w:p w14:paraId="19EFA334" w14:textId="77777777" w:rsidR="000F563E" w:rsidRPr="000F563E" w:rsidRDefault="000F563E" w:rsidP="000F563E">
            <w:pPr>
              <w:tabs>
                <w:tab w:val="clear" w:pos="7100"/>
              </w:tabs>
              <w:spacing w:line="240" w:lineRule="auto"/>
              <w:jc w:val="center"/>
              <w:rPr>
                <w:rFonts w:cs="Arial"/>
                <w:color w:val="000000"/>
                <w:sz w:val="16"/>
                <w:szCs w:val="16"/>
                <w:lang w:val="it-IT" w:eastAsia="it-IT"/>
              </w:rPr>
            </w:pPr>
            <w:r w:rsidRPr="000F563E">
              <w:rPr>
                <w:rFonts w:cs="Arial"/>
                <w:color w:val="000000"/>
                <w:sz w:val="16"/>
                <w:szCs w:val="16"/>
                <w:lang w:val="it-IT" w:eastAsia="it-IT"/>
              </w:rPr>
              <w:t> </w:t>
            </w:r>
          </w:p>
        </w:tc>
        <w:tc>
          <w:tcPr>
            <w:tcW w:w="891" w:type="dxa"/>
            <w:tcBorders>
              <w:top w:val="nil"/>
              <w:left w:val="nil"/>
              <w:bottom w:val="single" w:sz="12" w:space="0" w:color="008000"/>
              <w:right w:val="nil"/>
            </w:tcBorders>
            <w:shd w:val="clear" w:color="000000" w:fill="FFFFFF"/>
            <w:vAlign w:val="center"/>
            <w:hideMark/>
          </w:tcPr>
          <w:p w14:paraId="1954D297" w14:textId="77777777" w:rsidR="000F563E" w:rsidRPr="000F563E" w:rsidRDefault="000F563E" w:rsidP="000F563E">
            <w:pPr>
              <w:tabs>
                <w:tab w:val="clear" w:pos="7100"/>
              </w:tabs>
              <w:spacing w:line="240" w:lineRule="auto"/>
              <w:jc w:val="center"/>
              <w:rPr>
                <w:rFonts w:cs="Arial"/>
                <w:color w:val="000000"/>
                <w:sz w:val="16"/>
                <w:szCs w:val="16"/>
                <w:lang w:val="it-IT" w:eastAsia="it-IT"/>
              </w:rPr>
            </w:pPr>
            <w:r w:rsidRPr="000F563E">
              <w:rPr>
                <w:rFonts w:cs="Arial"/>
                <w:color w:val="000000"/>
                <w:sz w:val="16"/>
                <w:szCs w:val="16"/>
                <w:lang w:val="it-IT" w:eastAsia="it-IT"/>
              </w:rPr>
              <w:t xml:space="preserve">0 </w:t>
            </w:r>
          </w:p>
        </w:tc>
        <w:tc>
          <w:tcPr>
            <w:tcW w:w="711" w:type="dxa"/>
            <w:tcBorders>
              <w:top w:val="nil"/>
              <w:left w:val="nil"/>
              <w:bottom w:val="single" w:sz="12" w:space="0" w:color="008000"/>
              <w:right w:val="nil"/>
            </w:tcBorders>
            <w:shd w:val="clear" w:color="000000" w:fill="FFFFFF"/>
            <w:vAlign w:val="center"/>
            <w:hideMark/>
          </w:tcPr>
          <w:p w14:paraId="661FB662" w14:textId="77777777" w:rsidR="000F563E" w:rsidRPr="000F563E" w:rsidRDefault="000F563E" w:rsidP="000F563E">
            <w:pPr>
              <w:tabs>
                <w:tab w:val="clear" w:pos="7100"/>
              </w:tabs>
              <w:spacing w:line="240" w:lineRule="auto"/>
              <w:jc w:val="center"/>
              <w:rPr>
                <w:rFonts w:cs="Arial"/>
                <w:color w:val="000000"/>
                <w:sz w:val="16"/>
                <w:szCs w:val="16"/>
                <w:lang w:val="it-IT" w:eastAsia="it-IT"/>
              </w:rPr>
            </w:pPr>
            <w:r w:rsidRPr="000F563E">
              <w:rPr>
                <w:rFonts w:cs="Arial"/>
                <w:color w:val="000000"/>
                <w:sz w:val="16"/>
                <w:szCs w:val="16"/>
                <w:lang w:val="it-IT" w:eastAsia="it-IT"/>
              </w:rPr>
              <w:t xml:space="preserve">0 </w:t>
            </w:r>
          </w:p>
        </w:tc>
        <w:tc>
          <w:tcPr>
            <w:tcW w:w="711" w:type="dxa"/>
            <w:tcBorders>
              <w:top w:val="nil"/>
              <w:left w:val="nil"/>
              <w:bottom w:val="single" w:sz="12" w:space="0" w:color="008000"/>
              <w:right w:val="nil"/>
            </w:tcBorders>
            <w:shd w:val="clear" w:color="000000" w:fill="FFFFFF"/>
            <w:vAlign w:val="center"/>
            <w:hideMark/>
          </w:tcPr>
          <w:p w14:paraId="69A4AB09" w14:textId="77777777" w:rsidR="000F563E" w:rsidRPr="000F563E" w:rsidRDefault="000F563E" w:rsidP="000F563E">
            <w:pPr>
              <w:tabs>
                <w:tab w:val="clear" w:pos="7100"/>
              </w:tabs>
              <w:spacing w:line="240" w:lineRule="auto"/>
              <w:jc w:val="center"/>
              <w:rPr>
                <w:rFonts w:cs="Arial"/>
                <w:color w:val="000000"/>
                <w:sz w:val="16"/>
                <w:szCs w:val="16"/>
                <w:lang w:val="it-IT" w:eastAsia="it-IT"/>
              </w:rPr>
            </w:pPr>
            <w:r w:rsidRPr="000F563E">
              <w:rPr>
                <w:rFonts w:cs="Arial"/>
                <w:color w:val="000000"/>
                <w:sz w:val="16"/>
                <w:szCs w:val="16"/>
                <w:lang w:val="it-IT" w:eastAsia="it-IT"/>
              </w:rPr>
              <w:t xml:space="preserve">0 </w:t>
            </w:r>
          </w:p>
        </w:tc>
        <w:tc>
          <w:tcPr>
            <w:tcW w:w="1005" w:type="dxa"/>
            <w:tcBorders>
              <w:top w:val="nil"/>
              <w:left w:val="nil"/>
              <w:bottom w:val="single" w:sz="12" w:space="0" w:color="008000"/>
              <w:right w:val="nil"/>
            </w:tcBorders>
            <w:shd w:val="clear" w:color="000000" w:fill="FFFFFF"/>
            <w:vAlign w:val="center"/>
            <w:hideMark/>
          </w:tcPr>
          <w:p w14:paraId="6D426583" w14:textId="77777777" w:rsidR="000F563E" w:rsidRPr="000F563E" w:rsidRDefault="000F563E" w:rsidP="000F563E">
            <w:pPr>
              <w:tabs>
                <w:tab w:val="clear" w:pos="7100"/>
              </w:tabs>
              <w:spacing w:line="240" w:lineRule="auto"/>
              <w:jc w:val="center"/>
              <w:rPr>
                <w:rFonts w:cs="Arial"/>
                <w:color w:val="000000"/>
                <w:sz w:val="16"/>
                <w:szCs w:val="16"/>
                <w:lang w:val="it-IT" w:eastAsia="it-IT"/>
              </w:rPr>
            </w:pPr>
            <w:r w:rsidRPr="000F563E">
              <w:rPr>
                <w:rFonts w:cs="Arial"/>
                <w:color w:val="000000"/>
                <w:sz w:val="16"/>
                <w:szCs w:val="16"/>
                <w:lang w:val="it-IT" w:eastAsia="it-IT"/>
              </w:rPr>
              <w:t xml:space="preserve">0 </w:t>
            </w:r>
          </w:p>
        </w:tc>
      </w:tr>
      <w:tr w:rsidR="000F563E" w:rsidRPr="000F563E" w14:paraId="0AF9C3B2" w14:textId="77777777" w:rsidTr="00EB7516">
        <w:trPr>
          <w:trHeight w:val="303"/>
        </w:trPr>
        <w:tc>
          <w:tcPr>
            <w:tcW w:w="1565" w:type="dxa"/>
            <w:tcBorders>
              <w:top w:val="nil"/>
              <w:left w:val="nil"/>
              <w:bottom w:val="single" w:sz="12" w:space="0" w:color="008000"/>
              <w:right w:val="nil"/>
            </w:tcBorders>
            <w:shd w:val="clear" w:color="000000" w:fill="FFFFFF"/>
            <w:vAlign w:val="center"/>
            <w:hideMark/>
          </w:tcPr>
          <w:p w14:paraId="75A6D29D" w14:textId="77777777" w:rsidR="000F563E" w:rsidRPr="000F563E" w:rsidRDefault="000F563E" w:rsidP="000F563E">
            <w:pPr>
              <w:tabs>
                <w:tab w:val="clear" w:pos="7100"/>
              </w:tabs>
              <w:spacing w:line="240" w:lineRule="auto"/>
              <w:jc w:val="left"/>
              <w:rPr>
                <w:rFonts w:cs="Arial"/>
                <w:b/>
                <w:bCs/>
                <w:color w:val="000000"/>
                <w:sz w:val="16"/>
                <w:szCs w:val="16"/>
                <w:lang w:val="it-IT" w:eastAsia="it-IT"/>
              </w:rPr>
            </w:pPr>
            <w:r w:rsidRPr="000F563E">
              <w:rPr>
                <w:rFonts w:cs="Arial"/>
                <w:b/>
                <w:bCs/>
                <w:color w:val="000000"/>
                <w:sz w:val="16"/>
                <w:szCs w:val="16"/>
                <w:lang w:val="it-IT" w:eastAsia="it-IT"/>
              </w:rPr>
              <w:t>TOTAL CO2e</w:t>
            </w:r>
          </w:p>
        </w:tc>
        <w:tc>
          <w:tcPr>
            <w:tcW w:w="949" w:type="dxa"/>
            <w:gridSpan w:val="2"/>
            <w:tcBorders>
              <w:top w:val="nil"/>
              <w:left w:val="nil"/>
              <w:bottom w:val="single" w:sz="12" w:space="0" w:color="008000"/>
              <w:right w:val="nil"/>
            </w:tcBorders>
            <w:shd w:val="clear" w:color="000000" w:fill="FFFFFF"/>
            <w:noWrap/>
            <w:vAlign w:val="center"/>
            <w:hideMark/>
          </w:tcPr>
          <w:p w14:paraId="1BEABA89" w14:textId="77777777" w:rsidR="000F563E" w:rsidRPr="000F563E" w:rsidRDefault="000F563E" w:rsidP="000F563E">
            <w:pPr>
              <w:tabs>
                <w:tab w:val="clear" w:pos="7100"/>
              </w:tabs>
              <w:spacing w:line="240" w:lineRule="auto"/>
              <w:jc w:val="left"/>
              <w:rPr>
                <w:rFonts w:cs="Arial"/>
                <w:b/>
                <w:bCs/>
                <w:color w:val="000000"/>
                <w:sz w:val="16"/>
                <w:szCs w:val="16"/>
                <w:lang w:val="it-IT" w:eastAsia="it-IT"/>
              </w:rPr>
            </w:pPr>
            <w:r w:rsidRPr="000F563E">
              <w:rPr>
                <w:rFonts w:cs="Arial"/>
                <w:b/>
                <w:bCs/>
                <w:color w:val="000000"/>
                <w:sz w:val="16"/>
                <w:szCs w:val="16"/>
                <w:lang w:val="it-IT" w:eastAsia="it-IT"/>
              </w:rPr>
              <w:t>Ton CO2e</w:t>
            </w:r>
          </w:p>
        </w:tc>
        <w:tc>
          <w:tcPr>
            <w:tcW w:w="3319" w:type="dxa"/>
            <w:gridSpan w:val="4"/>
            <w:tcBorders>
              <w:top w:val="single" w:sz="12" w:space="0" w:color="008000"/>
              <w:left w:val="nil"/>
              <w:bottom w:val="single" w:sz="12" w:space="0" w:color="008000"/>
              <w:right w:val="nil"/>
            </w:tcBorders>
            <w:shd w:val="clear" w:color="000000" w:fill="FFFFFF"/>
            <w:vAlign w:val="center"/>
            <w:hideMark/>
          </w:tcPr>
          <w:p w14:paraId="1702EA05" w14:textId="6396B975" w:rsidR="000F563E" w:rsidRPr="000F563E" w:rsidRDefault="001442BB" w:rsidP="000F563E">
            <w:pPr>
              <w:tabs>
                <w:tab w:val="clear" w:pos="7100"/>
              </w:tabs>
              <w:spacing w:line="240" w:lineRule="auto"/>
              <w:jc w:val="center"/>
              <w:rPr>
                <w:rFonts w:cs="Arial"/>
                <w:b/>
                <w:bCs/>
                <w:color w:val="000000"/>
                <w:sz w:val="16"/>
                <w:szCs w:val="16"/>
                <w:lang w:val="it-IT" w:eastAsia="it-IT"/>
              </w:rPr>
            </w:pPr>
            <w:r>
              <w:rPr>
                <w:rFonts w:cs="Arial"/>
                <w:b/>
                <w:bCs/>
                <w:color w:val="000000"/>
                <w:sz w:val="16"/>
                <w:szCs w:val="16"/>
                <w:lang w:val="it-IT" w:eastAsia="it-IT"/>
              </w:rPr>
              <w:t>875.706</w:t>
            </w:r>
          </w:p>
        </w:tc>
        <w:tc>
          <w:tcPr>
            <w:tcW w:w="185" w:type="dxa"/>
            <w:tcBorders>
              <w:top w:val="nil"/>
              <w:left w:val="nil"/>
              <w:bottom w:val="nil"/>
              <w:right w:val="nil"/>
            </w:tcBorders>
            <w:shd w:val="clear" w:color="000000" w:fill="FFFFFF"/>
            <w:vAlign w:val="center"/>
            <w:hideMark/>
          </w:tcPr>
          <w:p w14:paraId="65D889E5" w14:textId="77777777" w:rsidR="000F563E" w:rsidRPr="000F563E" w:rsidRDefault="000F563E" w:rsidP="000F563E">
            <w:pPr>
              <w:tabs>
                <w:tab w:val="clear" w:pos="7100"/>
              </w:tabs>
              <w:spacing w:line="240" w:lineRule="auto"/>
              <w:jc w:val="center"/>
              <w:rPr>
                <w:rFonts w:cs="Arial"/>
                <w:b/>
                <w:bCs/>
                <w:color w:val="000000"/>
                <w:sz w:val="16"/>
                <w:szCs w:val="16"/>
                <w:lang w:val="it-IT" w:eastAsia="it-IT"/>
              </w:rPr>
            </w:pPr>
            <w:r w:rsidRPr="000F563E">
              <w:rPr>
                <w:rFonts w:cs="Arial"/>
                <w:b/>
                <w:bCs/>
                <w:color w:val="000000"/>
                <w:sz w:val="16"/>
                <w:szCs w:val="16"/>
                <w:lang w:val="it-IT" w:eastAsia="it-IT"/>
              </w:rPr>
              <w:t> </w:t>
            </w:r>
          </w:p>
        </w:tc>
        <w:tc>
          <w:tcPr>
            <w:tcW w:w="3319" w:type="dxa"/>
            <w:gridSpan w:val="4"/>
            <w:tcBorders>
              <w:top w:val="single" w:sz="12" w:space="0" w:color="008000"/>
              <w:left w:val="nil"/>
              <w:bottom w:val="single" w:sz="12" w:space="0" w:color="008000"/>
              <w:right w:val="nil"/>
            </w:tcBorders>
            <w:shd w:val="clear" w:color="000000" w:fill="FFFFFF"/>
            <w:vAlign w:val="center"/>
            <w:hideMark/>
          </w:tcPr>
          <w:p w14:paraId="3F2F0C5B" w14:textId="77777777" w:rsidR="000F563E" w:rsidRPr="000F563E" w:rsidRDefault="000F563E" w:rsidP="000F563E">
            <w:pPr>
              <w:tabs>
                <w:tab w:val="clear" w:pos="7100"/>
              </w:tabs>
              <w:spacing w:line="240" w:lineRule="auto"/>
              <w:jc w:val="center"/>
              <w:rPr>
                <w:rFonts w:cs="Arial"/>
                <w:b/>
                <w:bCs/>
                <w:color w:val="000000"/>
                <w:sz w:val="16"/>
                <w:szCs w:val="16"/>
                <w:lang w:val="it-IT" w:eastAsia="it-IT"/>
              </w:rPr>
            </w:pPr>
            <w:r w:rsidRPr="000F563E">
              <w:rPr>
                <w:rFonts w:cs="Arial"/>
                <w:b/>
                <w:bCs/>
                <w:color w:val="000000"/>
                <w:sz w:val="16"/>
                <w:szCs w:val="16"/>
                <w:lang w:val="it-IT" w:eastAsia="it-IT"/>
              </w:rPr>
              <w:t xml:space="preserve">0 </w:t>
            </w:r>
          </w:p>
        </w:tc>
      </w:tr>
    </w:tbl>
    <w:p w14:paraId="696BDB88" w14:textId="7B511705" w:rsidR="000B438B" w:rsidRDefault="000B438B" w:rsidP="00730674">
      <w:pPr>
        <w:pStyle w:val="CETBodytext"/>
      </w:pPr>
    </w:p>
    <w:p w14:paraId="2B13382B" w14:textId="77777777" w:rsidR="00B355CF" w:rsidRDefault="00B355CF" w:rsidP="00730674">
      <w:pPr>
        <w:pStyle w:val="CETBodytext"/>
      </w:pPr>
    </w:p>
    <w:p w14:paraId="177E2561" w14:textId="461ACFD7" w:rsidR="00B355CF" w:rsidRDefault="00B355CF" w:rsidP="00730674">
      <w:pPr>
        <w:pStyle w:val="CETBodytext"/>
      </w:pPr>
      <w:r>
        <w:t xml:space="preserve">In </w:t>
      </w:r>
      <w:r w:rsidR="00B769EC">
        <w:t>addition,</w:t>
      </w:r>
      <w:r>
        <w:t xml:space="preserve"> the following KPIs have been built to define the </w:t>
      </w:r>
      <w:r w:rsidR="002A2805">
        <w:t>comparison amongst the two scenarios</w:t>
      </w:r>
      <w:r w:rsidR="00EB7516">
        <w:t xml:space="preserve"> with comparison of Carbon Intensity</w:t>
      </w:r>
      <w:r w:rsidR="0060287F">
        <w:t xml:space="preserve">, Water </w:t>
      </w:r>
      <w:r w:rsidR="00B769EC">
        <w:t>Circularity and</w:t>
      </w:r>
      <w:r w:rsidR="007512A6">
        <w:t xml:space="preserve"> Renewable</w:t>
      </w:r>
      <w:r w:rsidR="0060287F">
        <w:t xml:space="preserve"> Energy Intensity of two C</w:t>
      </w:r>
      <w:r w:rsidR="00004D2C">
        <w:t>onfigurations</w:t>
      </w:r>
    </w:p>
    <w:p w14:paraId="455A1834" w14:textId="77777777" w:rsidR="000F563E" w:rsidRDefault="000F563E" w:rsidP="000F563E">
      <w:pPr>
        <w:pStyle w:val="CETBodytext"/>
        <w:rPr>
          <w:i/>
          <w:iCs/>
        </w:rPr>
      </w:pPr>
    </w:p>
    <w:p w14:paraId="27C283B3" w14:textId="11D8D399" w:rsidR="000F563E" w:rsidRDefault="000F563E" w:rsidP="000F563E">
      <w:pPr>
        <w:pStyle w:val="CETBodytext"/>
      </w:pPr>
      <w:r>
        <w:rPr>
          <w:i/>
          <w:iCs/>
        </w:rPr>
        <w:lastRenderedPageBreak/>
        <w:t xml:space="preserve">Table 4 </w:t>
      </w:r>
      <w:r w:rsidRPr="00730674">
        <w:rPr>
          <w:i/>
          <w:iCs/>
        </w:rPr>
        <w:t xml:space="preserve">Carbon Environmental and Energy Configurations Comparison- Left Base Case output, right Optimized </w:t>
      </w:r>
      <w:r>
        <w:t xml:space="preserve">Scenario </w:t>
      </w:r>
    </w:p>
    <w:p w14:paraId="51245EAE" w14:textId="77777777" w:rsidR="00CE44C1" w:rsidRDefault="00CE44C1" w:rsidP="00730674">
      <w:pPr>
        <w:pStyle w:val="CETBodytext"/>
      </w:pPr>
    </w:p>
    <w:tbl>
      <w:tblPr>
        <w:tblW w:w="8948" w:type="dxa"/>
        <w:tblCellMar>
          <w:left w:w="70" w:type="dxa"/>
          <w:right w:w="70" w:type="dxa"/>
        </w:tblCellMar>
        <w:tblLook w:val="04A0" w:firstRow="1" w:lastRow="0" w:firstColumn="1" w:lastColumn="0" w:noHBand="0" w:noVBand="1"/>
      </w:tblPr>
      <w:tblGrid>
        <w:gridCol w:w="3966"/>
        <w:gridCol w:w="1748"/>
        <w:gridCol w:w="1617"/>
        <w:gridCol w:w="1617"/>
      </w:tblGrid>
      <w:tr w:rsidR="00CE44C1" w:rsidRPr="00CE44C1" w14:paraId="46C6938F" w14:textId="77777777" w:rsidTr="00A83D21">
        <w:trPr>
          <w:trHeight w:val="349"/>
        </w:trPr>
        <w:tc>
          <w:tcPr>
            <w:tcW w:w="3966" w:type="dxa"/>
            <w:tcBorders>
              <w:top w:val="single" w:sz="12" w:space="0" w:color="008000"/>
              <w:left w:val="nil"/>
              <w:bottom w:val="single" w:sz="8" w:space="0" w:color="008000"/>
              <w:right w:val="nil"/>
            </w:tcBorders>
            <w:shd w:val="clear" w:color="000000" w:fill="FFFFFF"/>
            <w:vAlign w:val="center"/>
            <w:hideMark/>
          </w:tcPr>
          <w:p w14:paraId="2387E333" w14:textId="77777777" w:rsidR="00CE44C1" w:rsidRPr="00CE44C1" w:rsidRDefault="00CE44C1" w:rsidP="00CE44C1">
            <w:pPr>
              <w:tabs>
                <w:tab w:val="clear" w:pos="7100"/>
              </w:tabs>
              <w:spacing w:line="240" w:lineRule="auto"/>
              <w:jc w:val="left"/>
              <w:rPr>
                <w:rFonts w:cs="Arial"/>
                <w:b/>
                <w:bCs/>
                <w:color w:val="000000"/>
                <w:sz w:val="16"/>
                <w:szCs w:val="16"/>
                <w:lang w:val="it-IT" w:eastAsia="it-IT"/>
              </w:rPr>
            </w:pPr>
            <w:r w:rsidRPr="00CE44C1">
              <w:rPr>
                <w:rFonts w:cs="Arial"/>
                <w:b/>
                <w:bCs/>
                <w:color w:val="000000"/>
                <w:sz w:val="16"/>
                <w:szCs w:val="16"/>
                <w:lang w:val="it-IT" w:eastAsia="it-IT"/>
              </w:rPr>
              <w:t>PRODUCTS</w:t>
            </w:r>
          </w:p>
        </w:tc>
        <w:tc>
          <w:tcPr>
            <w:tcW w:w="1748" w:type="dxa"/>
            <w:tcBorders>
              <w:top w:val="single" w:sz="12" w:space="0" w:color="008000"/>
              <w:left w:val="nil"/>
              <w:bottom w:val="single" w:sz="8" w:space="0" w:color="008000"/>
              <w:right w:val="nil"/>
            </w:tcBorders>
            <w:shd w:val="clear" w:color="000000" w:fill="FFFFFF"/>
            <w:vAlign w:val="center"/>
            <w:hideMark/>
          </w:tcPr>
          <w:p w14:paraId="2F23E87B" w14:textId="77777777" w:rsidR="00CE44C1" w:rsidRPr="00CE44C1" w:rsidRDefault="00CE44C1" w:rsidP="00CE44C1">
            <w:pPr>
              <w:tabs>
                <w:tab w:val="clear" w:pos="7100"/>
              </w:tabs>
              <w:spacing w:line="240" w:lineRule="auto"/>
              <w:jc w:val="left"/>
              <w:rPr>
                <w:rFonts w:cs="Arial"/>
                <w:b/>
                <w:bCs/>
                <w:color w:val="000000"/>
                <w:sz w:val="16"/>
                <w:szCs w:val="16"/>
                <w:lang w:val="it-IT" w:eastAsia="it-IT"/>
              </w:rPr>
            </w:pPr>
            <w:r w:rsidRPr="00CE44C1">
              <w:rPr>
                <w:rFonts w:cs="Arial"/>
                <w:b/>
                <w:bCs/>
                <w:color w:val="000000"/>
                <w:sz w:val="16"/>
                <w:szCs w:val="16"/>
                <w:lang w:val="it-IT" w:eastAsia="it-IT"/>
              </w:rPr>
              <w:t> </w:t>
            </w:r>
          </w:p>
        </w:tc>
        <w:tc>
          <w:tcPr>
            <w:tcW w:w="1617" w:type="dxa"/>
            <w:tcBorders>
              <w:top w:val="single" w:sz="12" w:space="0" w:color="008000"/>
              <w:left w:val="nil"/>
              <w:bottom w:val="single" w:sz="8" w:space="0" w:color="008000"/>
              <w:right w:val="nil"/>
            </w:tcBorders>
            <w:shd w:val="clear" w:color="000000" w:fill="FFFFFF"/>
            <w:vAlign w:val="center"/>
            <w:hideMark/>
          </w:tcPr>
          <w:p w14:paraId="0F9A7F11" w14:textId="77777777" w:rsidR="00CE44C1" w:rsidRPr="00CE44C1" w:rsidRDefault="00CE44C1" w:rsidP="00CE44C1">
            <w:pPr>
              <w:tabs>
                <w:tab w:val="clear" w:pos="7100"/>
              </w:tabs>
              <w:spacing w:line="240" w:lineRule="auto"/>
              <w:jc w:val="left"/>
              <w:rPr>
                <w:rFonts w:cs="Arial"/>
                <w:b/>
                <w:bCs/>
                <w:color w:val="000000"/>
                <w:sz w:val="16"/>
                <w:szCs w:val="16"/>
                <w:lang w:val="it-IT" w:eastAsia="it-IT"/>
              </w:rPr>
            </w:pPr>
            <w:r w:rsidRPr="00CE44C1">
              <w:rPr>
                <w:rFonts w:cs="Arial"/>
                <w:b/>
                <w:bCs/>
                <w:color w:val="000000"/>
                <w:sz w:val="16"/>
                <w:szCs w:val="16"/>
                <w:lang w:val="it-IT" w:eastAsia="it-IT"/>
              </w:rPr>
              <w:t>Base Case</w:t>
            </w:r>
          </w:p>
        </w:tc>
        <w:tc>
          <w:tcPr>
            <w:tcW w:w="1617" w:type="dxa"/>
            <w:tcBorders>
              <w:top w:val="single" w:sz="12" w:space="0" w:color="008000"/>
              <w:left w:val="nil"/>
              <w:bottom w:val="single" w:sz="8" w:space="0" w:color="008000"/>
              <w:right w:val="nil"/>
            </w:tcBorders>
            <w:shd w:val="clear" w:color="auto" w:fill="EAF1DD" w:themeFill="accent3" w:themeFillTint="33"/>
            <w:vAlign w:val="center"/>
            <w:hideMark/>
          </w:tcPr>
          <w:p w14:paraId="3509747C" w14:textId="77777777" w:rsidR="00CE44C1" w:rsidRPr="00CE44C1" w:rsidRDefault="00CE44C1" w:rsidP="00A83D21">
            <w:pPr>
              <w:tabs>
                <w:tab w:val="clear" w:pos="7100"/>
              </w:tabs>
              <w:spacing w:line="240" w:lineRule="auto"/>
              <w:jc w:val="center"/>
              <w:rPr>
                <w:rFonts w:cs="Arial"/>
                <w:b/>
                <w:bCs/>
                <w:color w:val="000000"/>
                <w:sz w:val="16"/>
                <w:szCs w:val="16"/>
                <w:lang w:val="it-IT" w:eastAsia="it-IT"/>
              </w:rPr>
            </w:pPr>
            <w:r w:rsidRPr="00CE44C1">
              <w:rPr>
                <w:rFonts w:cs="Arial"/>
                <w:b/>
                <w:bCs/>
                <w:color w:val="000000"/>
                <w:sz w:val="16"/>
                <w:szCs w:val="16"/>
                <w:lang w:val="it-IT" w:eastAsia="it-IT"/>
              </w:rPr>
              <w:t>Optimised Scenario</w:t>
            </w:r>
          </w:p>
        </w:tc>
      </w:tr>
      <w:tr w:rsidR="00CE44C1" w:rsidRPr="00CE44C1" w14:paraId="3BF2FF51" w14:textId="77777777" w:rsidTr="00A83D21">
        <w:trPr>
          <w:trHeight w:val="278"/>
        </w:trPr>
        <w:tc>
          <w:tcPr>
            <w:tcW w:w="3966" w:type="dxa"/>
            <w:tcBorders>
              <w:top w:val="nil"/>
              <w:left w:val="nil"/>
              <w:bottom w:val="nil"/>
              <w:right w:val="nil"/>
            </w:tcBorders>
            <w:shd w:val="clear" w:color="000000" w:fill="FFFFFF"/>
            <w:vAlign w:val="center"/>
            <w:hideMark/>
          </w:tcPr>
          <w:p w14:paraId="4B17BEF9" w14:textId="77777777" w:rsidR="00CE44C1" w:rsidRPr="00CE44C1" w:rsidRDefault="00CE44C1" w:rsidP="00CE44C1">
            <w:pPr>
              <w:tabs>
                <w:tab w:val="clear" w:pos="7100"/>
              </w:tabs>
              <w:spacing w:line="240" w:lineRule="auto"/>
              <w:jc w:val="left"/>
              <w:rPr>
                <w:rFonts w:cs="Arial"/>
                <w:sz w:val="16"/>
                <w:szCs w:val="16"/>
                <w:lang w:val="it-IT" w:eastAsia="it-IT"/>
              </w:rPr>
            </w:pPr>
            <w:r w:rsidRPr="00CE44C1">
              <w:rPr>
                <w:rFonts w:cs="Arial"/>
                <w:sz w:val="16"/>
                <w:szCs w:val="16"/>
                <w:lang w:val="it-IT" w:eastAsia="it-IT"/>
              </w:rPr>
              <w:t>Design Capacity SAFs</w:t>
            </w:r>
          </w:p>
        </w:tc>
        <w:tc>
          <w:tcPr>
            <w:tcW w:w="1748" w:type="dxa"/>
            <w:tcBorders>
              <w:top w:val="nil"/>
              <w:left w:val="nil"/>
              <w:bottom w:val="nil"/>
              <w:right w:val="nil"/>
            </w:tcBorders>
            <w:shd w:val="clear" w:color="000000" w:fill="FFFFFF"/>
            <w:noWrap/>
            <w:vAlign w:val="center"/>
            <w:hideMark/>
          </w:tcPr>
          <w:p w14:paraId="6906311E" w14:textId="77777777" w:rsidR="00CE44C1" w:rsidRPr="00CE44C1" w:rsidRDefault="00CE44C1" w:rsidP="00CE44C1">
            <w:pPr>
              <w:tabs>
                <w:tab w:val="clear" w:pos="7100"/>
              </w:tabs>
              <w:spacing w:line="240" w:lineRule="auto"/>
              <w:jc w:val="center"/>
              <w:rPr>
                <w:rFonts w:cs="Arial"/>
                <w:sz w:val="16"/>
                <w:szCs w:val="16"/>
                <w:lang w:val="it-IT" w:eastAsia="it-IT"/>
              </w:rPr>
            </w:pPr>
            <w:r w:rsidRPr="00CE44C1">
              <w:rPr>
                <w:rFonts w:cs="Arial"/>
                <w:sz w:val="16"/>
                <w:szCs w:val="16"/>
                <w:lang w:val="it-IT" w:eastAsia="it-IT"/>
              </w:rPr>
              <w:t> </w:t>
            </w:r>
          </w:p>
        </w:tc>
        <w:tc>
          <w:tcPr>
            <w:tcW w:w="1617" w:type="dxa"/>
            <w:tcBorders>
              <w:top w:val="nil"/>
              <w:left w:val="nil"/>
              <w:bottom w:val="nil"/>
              <w:right w:val="nil"/>
            </w:tcBorders>
            <w:shd w:val="clear" w:color="000000" w:fill="FFFFFF"/>
            <w:noWrap/>
            <w:vAlign w:val="center"/>
            <w:hideMark/>
          </w:tcPr>
          <w:p w14:paraId="2D9743DC" w14:textId="77777777" w:rsidR="00CE44C1" w:rsidRPr="00CE44C1" w:rsidRDefault="00CE44C1" w:rsidP="00CE44C1">
            <w:pPr>
              <w:tabs>
                <w:tab w:val="clear" w:pos="7100"/>
              </w:tabs>
              <w:spacing w:line="240" w:lineRule="auto"/>
              <w:jc w:val="center"/>
              <w:rPr>
                <w:rFonts w:cs="Arial"/>
                <w:sz w:val="16"/>
                <w:szCs w:val="16"/>
                <w:lang w:val="it-IT" w:eastAsia="it-IT"/>
              </w:rPr>
            </w:pPr>
            <w:r w:rsidRPr="00CE44C1">
              <w:rPr>
                <w:rFonts w:cs="Arial"/>
                <w:sz w:val="16"/>
                <w:szCs w:val="16"/>
                <w:lang w:val="it-IT" w:eastAsia="it-IT"/>
              </w:rPr>
              <w:t> </w:t>
            </w:r>
          </w:p>
        </w:tc>
        <w:tc>
          <w:tcPr>
            <w:tcW w:w="1617" w:type="dxa"/>
            <w:tcBorders>
              <w:top w:val="nil"/>
              <w:left w:val="nil"/>
              <w:bottom w:val="nil"/>
              <w:right w:val="nil"/>
            </w:tcBorders>
            <w:shd w:val="clear" w:color="auto" w:fill="EAF1DD" w:themeFill="accent3" w:themeFillTint="33"/>
            <w:noWrap/>
            <w:vAlign w:val="center"/>
            <w:hideMark/>
          </w:tcPr>
          <w:p w14:paraId="1F132158" w14:textId="77777777" w:rsidR="00CE44C1" w:rsidRPr="00CE44C1" w:rsidRDefault="00CE44C1" w:rsidP="00CE44C1">
            <w:pPr>
              <w:tabs>
                <w:tab w:val="clear" w:pos="7100"/>
              </w:tabs>
              <w:spacing w:line="240" w:lineRule="auto"/>
              <w:jc w:val="left"/>
              <w:rPr>
                <w:rFonts w:cs="Arial"/>
                <w:sz w:val="16"/>
                <w:szCs w:val="16"/>
                <w:lang w:val="it-IT" w:eastAsia="it-IT"/>
              </w:rPr>
            </w:pPr>
            <w:r w:rsidRPr="00CE44C1">
              <w:rPr>
                <w:rFonts w:cs="Arial"/>
                <w:sz w:val="16"/>
                <w:szCs w:val="16"/>
                <w:lang w:val="it-IT" w:eastAsia="it-IT"/>
              </w:rPr>
              <w:t> </w:t>
            </w:r>
          </w:p>
        </w:tc>
      </w:tr>
      <w:tr w:rsidR="00CE44C1" w:rsidRPr="00CE44C1" w14:paraId="2C5F8DE4" w14:textId="77777777" w:rsidTr="00A83D21">
        <w:trPr>
          <w:trHeight w:val="278"/>
        </w:trPr>
        <w:tc>
          <w:tcPr>
            <w:tcW w:w="3966" w:type="dxa"/>
            <w:tcBorders>
              <w:top w:val="nil"/>
              <w:left w:val="nil"/>
              <w:bottom w:val="nil"/>
              <w:right w:val="nil"/>
            </w:tcBorders>
            <w:shd w:val="clear" w:color="000000" w:fill="FFFFFF"/>
            <w:vAlign w:val="center"/>
            <w:hideMark/>
          </w:tcPr>
          <w:p w14:paraId="743991CD" w14:textId="77777777" w:rsidR="00CE44C1" w:rsidRPr="00CE44C1" w:rsidRDefault="00CE44C1" w:rsidP="00CE44C1">
            <w:pPr>
              <w:tabs>
                <w:tab w:val="clear" w:pos="7100"/>
              </w:tabs>
              <w:spacing w:line="240" w:lineRule="auto"/>
              <w:jc w:val="left"/>
              <w:rPr>
                <w:rFonts w:cs="Arial"/>
                <w:sz w:val="16"/>
                <w:szCs w:val="16"/>
                <w:lang w:val="it-IT" w:eastAsia="it-IT"/>
              </w:rPr>
            </w:pPr>
            <w:r w:rsidRPr="00CE44C1">
              <w:rPr>
                <w:rFonts w:cs="Arial"/>
                <w:sz w:val="16"/>
                <w:szCs w:val="16"/>
                <w:lang w:val="it-IT" w:eastAsia="it-IT"/>
              </w:rPr>
              <w:t>SAF 1 KERO</w:t>
            </w:r>
          </w:p>
        </w:tc>
        <w:tc>
          <w:tcPr>
            <w:tcW w:w="1748" w:type="dxa"/>
            <w:tcBorders>
              <w:top w:val="nil"/>
              <w:left w:val="nil"/>
              <w:bottom w:val="nil"/>
              <w:right w:val="nil"/>
            </w:tcBorders>
            <w:shd w:val="clear" w:color="000000" w:fill="FFFFFF"/>
            <w:noWrap/>
            <w:vAlign w:val="center"/>
            <w:hideMark/>
          </w:tcPr>
          <w:p w14:paraId="5F9B5B55" w14:textId="4D8F0C63" w:rsidR="00CE44C1" w:rsidRPr="00CE44C1" w:rsidRDefault="00530563" w:rsidP="00CE44C1">
            <w:pPr>
              <w:tabs>
                <w:tab w:val="clear" w:pos="7100"/>
              </w:tabs>
              <w:spacing w:line="240" w:lineRule="auto"/>
              <w:jc w:val="left"/>
              <w:rPr>
                <w:rFonts w:cs="Arial"/>
                <w:sz w:val="16"/>
                <w:szCs w:val="16"/>
                <w:lang w:val="it-IT" w:eastAsia="it-IT"/>
              </w:rPr>
            </w:pPr>
            <w:r w:rsidRPr="00CE44C1">
              <w:rPr>
                <w:rFonts w:cs="Arial"/>
                <w:sz w:val="16"/>
                <w:szCs w:val="16"/>
                <w:lang w:val="it-IT" w:eastAsia="it-IT"/>
              </w:rPr>
              <w:t>K</w:t>
            </w:r>
            <w:r w:rsidR="00CE44C1" w:rsidRPr="00CE44C1">
              <w:rPr>
                <w:rFonts w:cs="Arial"/>
                <w:sz w:val="16"/>
                <w:szCs w:val="16"/>
                <w:lang w:val="it-IT" w:eastAsia="it-IT"/>
              </w:rPr>
              <w:t>ta</w:t>
            </w:r>
          </w:p>
        </w:tc>
        <w:tc>
          <w:tcPr>
            <w:tcW w:w="1617" w:type="dxa"/>
            <w:tcBorders>
              <w:top w:val="nil"/>
              <w:left w:val="nil"/>
              <w:bottom w:val="nil"/>
              <w:right w:val="nil"/>
            </w:tcBorders>
            <w:shd w:val="clear" w:color="000000" w:fill="FFFFFF"/>
            <w:noWrap/>
            <w:vAlign w:val="center"/>
            <w:hideMark/>
          </w:tcPr>
          <w:p w14:paraId="660BC170" w14:textId="77777777" w:rsidR="00CE44C1" w:rsidRPr="00CE44C1" w:rsidRDefault="00CE44C1" w:rsidP="00CE44C1">
            <w:pPr>
              <w:tabs>
                <w:tab w:val="clear" w:pos="7100"/>
              </w:tabs>
              <w:spacing w:line="240" w:lineRule="auto"/>
              <w:jc w:val="center"/>
              <w:rPr>
                <w:rFonts w:cs="Arial"/>
                <w:sz w:val="16"/>
                <w:szCs w:val="16"/>
                <w:lang w:val="it-IT" w:eastAsia="it-IT"/>
              </w:rPr>
            </w:pPr>
            <w:r w:rsidRPr="00CE44C1">
              <w:rPr>
                <w:rFonts w:cs="Arial"/>
                <w:sz w:val="16"/>
                <w:szCs w:val="16"/>
                <w:lang w:val="it-IT" w:eastAsia="it-IT"/>
              </w:rPr>
              <w:t>70</w:t>
            </w:r>
          </w:p>
        </w:tc>
        <w:tc>
          <w:tcPr>
            <w:tcW w:w="1617" w:type="dxa"/>
            <w:tcBorders>
              <w:top w:val="nil"/>
              <w:left w:val="nil"/>
              <w:bottom w:val="nil"/>
              <w:right w:val="nil"/>
            </w:tcBorders>
            <w:shd w:val="clear" w:color="auto" w:fill="EAF1DD" w:themeFill="accent3" w:themeFillTint="33"/>
            <w:noWrap/>
            <w:vAlign w:val="center"/>
            <w:hideMark/>
          </w:tcPr>
          <w:p w14:paraId="6C08E5AA" w14:textId="77777777" w:rsidR="00CE44C1" w:rsidRPr="00CE44C1" w:rsidRDefault="00CE44C1" w:rsidP="00CE44C1">
            <w:pPr>
              <w:tabs>
                <w:tab w:val="clear" w:pos="7100"/>
              </w:tabs>
              <w:spacing w:line="240" w:lineRule="auto"/>
              <w:jc w:val="center"/>
              <w:rPr>
                <w:rFonts w:cs="Arial"/>
                <w:sz w:val="16"/>
                <w:szCs w:val="16"/>
                <w:lang w:val="it-IT" w:eastAsia="it-IT"/>
              </w:rPr>
            </w:pPr>
            <w:r w:rsidRPr="00CE44C1">
              <w:rPr>
                <w:rFonts w:cs="Arial"/>
                <w:sz w:val="16"/>
                <w:szCs w:val="16"/>
                <w:lang w:val="it-IT" w:eastAsia="it-IT"/>
              </w:rPr>
              <w:t>70</w:t>
            </w:r>
          </w:p>
        </w:tc>
      </w:tr>
      <w:tr w:rsidR="00CE44C1" w:rsidRPr="00CE44C1" w14:paraId="2851526B" w14:textId="77777777" w:rsidTr="00A83D21">
        <w:trPr>
          <w:trHeight w:val="278"/>
        </w:trPr>
        <w:tc>
          <w:tcPr>
            <w:tcW w:w="3966" w:type="dxa"/>
            <w:tcBorders>
              <w:top w:val="nil"/>
              <w:left w:val="nil"/>
              <w:bottom w:val="nil"/>
              <w:right w:val="nil"/>
            </w:tcBorders>
            <w:shd w:val="clear" w:color="000000" w:fill="FFFFFF"/>
            <w:vAlign w:val="center"/>
            <w:hideMark/>
          </w:tcPr>
          <w:p w14:paraId="68D3234A" w14:textId="07102A60" w:rsidR="00CE44C1" w:rsidRPr="00CE44C1" w:rsidRDefault="00CE44C1" w:rsidP="00CE44C1">
            <w:pPr>
              <w:tabs>
                <w:tab w:val="clear" w:pos="7100"/>
              </w:tabs>
              <w:spacing w:line="240" w:lineRule="auto"/>
              <w:jc w:val="left"/>
              <w:rPr>
                <w:rFonts w:cs="Arial"/>
                <w:sz w:val="16"/>
                <w:szCs w:val="16"/>
                <w:lang w:val="it-IT" w:eastAsia="it-IT"/>
              </w:rPr>
            </w:pPr>
            <w:r w:rsidRPr="00CE44C1">
              <w:rPr>
                <w:rFonts w:cs="Arial"/>
                <w:sz w:val="16"/>
                <w:szCs w:val="16"/>
                <w:lang w:val="it-IT" w:eastAsia="it-IT"/>
              </w:rPr>
              <w:t>SAF 2 NAPHT</w:t>
            </w:r>
            <w:r w:rsidR="00A409AB">
              <w:rPr>
                <w:rFonts w:cs="Arial"/>
                <w:sz w:val="16"/>
                <w:szCs w:val="16"/>
                <w:lang w:val="it-IT" w:eastAsia="it-IT"/>
              </w:rPr>
              <w:t>H</w:t>
            </w:r>
            <w:r w:rsidRPr="00CE44C1">
              <w:rPr>
                <w:rFonts w:cs="Arial"/>
                <w:sz w:val="16"/>
                <w:szCs w:val="16"/>
                <w:lang w:val="it-IT" w:eastAsia="it-IT"/>
              </w:rPr>
              <w:t>A</w:t>
            </w:r>
          </w:p>
        </w:tc>
        <w:tc>
          <w:tcPr>
            <w:tcW w:w="1748" w:type="dxa"/>
            <w:tcBorders>
              <w:top w:val="nil"/>
              <w:left w:val="nil"/>
              <w:bottom w:val="nil"/>
              <w:right w:val="nil"/>
            </w:tcBorders>
            <w:shd w:val="clear" w:color="000000" w:fill="FFFFFF"/>
            <w:noWrap/>
            <w:vAlign w:val="center"/>
            <w:hideMark/>
          </w:tcPr>
          <w:p w14:paraId="06FDC852" w14:textId="6FF3459C" w:rsidR="00CE44C1" w:rsidRPr="00CE44C1" w:rsidRDefault="00530563" w:rsidP="00CE44C1">
            <w:pPr>
              <w:tabs>
                <w:tab w:val="clear" w:pos="7100"/>
              </w:tabs>
              <w:spacing w:line="240" w:lineRule="auto"/>
              <w:jc w:val="left"/>
              <w:rPr>
                <w:rFonts w:cs="Arial"/>
                <w:sz w:val="16"/>
                <w:szCs w:val="16"/>
                <w:lang w:val="it-IT" w:eastAsia="it-IT"/>
              </w:rPr>
            </w:pPr>
            <w:r w:rsidRPr="00CE44C1">
              <w:rPr>
                <w:rFonts w:cs="Arial"/>
                <w:sz w:val="16"/>
                <w:szCs w:val="16"/>
                <w:lang w:val="it-IT" w:eastAsia="it-IT"/>
              </w:rPr>
              <w:t>K</w:t>
            </w:r>
            <w:r w:rsidR="00CE44C1" w:rsidRPr="00CE44C1">
              <w:rPr>
                <w:rFonts w:cs="Arial"/>
                <w:sz w:val="16"/>
                <w:szCs w:val="16"/>
                <w:lang w:val="it-IT" w:eastAsia="it-IT"/>
              </w:rPr>
              <w:t>ta</w:t>
            </w:r>
          </w:p>
        </w:tc>
        <w:tc>
          <w:tcPr>
            <w:tcW w:w="1617" w:type="dxa"/>
            <w:tcBorders>
              <w:top w:val="nil"/>
              <w:left w:val="nil"/>
              <w:bottom w:val="nil"/>
              <w:right w:val="nil"/>
            </w:tcBorders>
            <w:shd w:val="clear" w:color="000000" w:fill="FFFFFF"/>
            <w:noWrap/>
            <w:vAlign w:val="center"/>
            <w:hideMark/>
          </w:tcPr>
          <w:p w14:paraId="50FA9D9F" w14:textId="77777777" w:rsidR="00CE44C1" w:rsidRPr="00CE44C1" w:rsidRDefault="00CE44C1" w:rsidP="00CE44C1">
            <w:pPr>
              <w:tabs>
                <w:tab w:val="clear" w:pos="7100"/>
              </w:tabs>
              <w:spacing w:line="240" w:lineRule="auto"/>
              <w:jc w:val="center"/>
              <w:rPr>
                <w:rFonts w:cs="Arial"/>
                <w:sz w:val="16"/>
                <w:szCs w:val="16"/>
                <w:lang w:val="it-IT" w:eastAsia="it-IT"/>
              </w:rPr>
            </w:pPr>
            <w:r w:rsidRPr="00CE44C1">
              <w:rPr>
                <w:rFonts w:cs="Arial"/>
                <w:sz w:val="16"/>
                <w:szCs w:val="16"/>
                <w:lang w:val="it-IT" w:eastAsia="it-IT"/>
              </w:rPr>
              <w:t>13,6</w:t>
            </w:r>
          </w:p>
        </w:tc>
        <w:tc>
          <w:tcPr>
            <w:tcW w:w="1617" w:type="dxa"/>
            <w:tcBorders>
              <w:top w:val="nil"/>
              <w:left w:val="nil"/>
              <w:bottom w:val="nil"/>
              <w:right w:val="nil"/>
            </w:tcBorders>
            <w:shd w:val="clear" w:color="auto" w:fill="EAF1DD" w:themeFill="accent3" w:themeFillTint="33"/>
            <w:noWrap/>
            <w:vAlign w:val="center"/>
            <w:hideMark/>
          </w:tcPr>
          <w:p w14:paraId="397DC091" w14:textId="77777777" w:rsidR="00CE44C1" w:rsidRPr="00CE44C1" w:rsidRDefault="00CE44C1" w:rsidP="00CE44C1">
            <w:pPr>
              <w:tabs>
                <w:tab w:val="clear" w:pos="7100"/>
              </w:tabs>
              <w:spacing w:line="240" w:lineRule="auto"/>
              <w:jc w:val="center"/>
              <w:rPr>
                <w:rFonts w:cs="Arial"/>
                <w:sz w:val="16"/>
                <w:szCs w:val="16"/>
                <w:lang w:val="it-IT" w:eastAsia="it-IT"/>
              </w:rPr>
            </w:pPr>
            <w:r w:rsidRPr="00CE44C1">
              <w:rPr>
                <w:rFonts w:cs="Arial"/>
                <w:sz w:val="16"/>
                <w:szCs w:val="16"/>
                <w:lang w:val="it-IT" w:eastAsia="it-IT"/>
              </w:rPr>
              <w:t>13,6</w:t>
            </w:r>
          </w:p>
        </w:tc>
      </w:tr>
      <w:tr w:rsidR="00CE44C1" w:rsidRPr="00CE44C1" w14:paraId="7540D1D3" w14:textId="77777777" w:rsidTr="00A83D21">
        <w:trPr>
          <w:trHeight w:val="278"/>
        </w:trPr>
        <w:tc>
          <w:tcPr>
            <w:tcW w:w="3966" w:type="dxa"/>
            <w:tcBorders>
              <w:top w:val="nil"/>
              <w:left w:val="nil"/>
              <w:bottom w:val="nil"/>
              <w:right w:val="nil"/>
            </w:tcBorders>
            <w:shd w:val="clear" w:color="000000" w:fill="FFFFFF"/>
            <w:vAlign w:val="center"/>
            <w:hideMark/>
          </w:tcPr>
          <w:p w14:paraId="52D3A13F" w14:textId="77777777" w:rsidR="00CE44C1" w:rsidRPr="00CE44C1" w:rsidRDefault="00CE44C1" w:rsidP="00CE44C1">
            <w:pPr>
              <w:tabs>
                <w:tab w:val="clear" w:pos="7100"/>
              </w:tabs>
              <w:spacing w:line="240" w:lineRule="auto"/>
              <w:jc w:val="left"/>
              <w:rPr>
                <w:rFonts w:cs="Arial"/>
                <w:sz w:val="16"/>
                <w:szCs w:val="16"/>
                <w:lang w:val="it-IT" w:eastAsia="it-IT"/>
              </w:rPr>
            </w:pPr>
            <w:r w:rsidRPr="00CE44C1">
              <w:rPr>
                <w:rFonts w:cs="Arial"/>
                <w:sz w:val="16"/>
                <w:szCs w:val="16"/>
                <w:lang w:val="it-IT" w:eastAsia="it-IT"/>
              </w:rPr>
              <w:t>SAF 3 LPG</w:t>
            </w:r>
          </w:p>
        </w:tc>
        <w:tc>
          <w:tcPr>
            <w:tcW w:w="1748" w:type="dxa"/>
            <w:tcBorders>
              <w:top w:val="nil"/>
              <w:left w:val="nil"/>
              <w:bottom w:val="nil"/>
              <w:right w:val="nil"/>
            </w:tcBorders>
            <w:shd w:val="clear" w:color="000000" w:fill="FFFFFF"/>
            <w:noWrap/>
            <w:vAlign w:val="center"/>
            <w:hideMark/>
          </w:tcPr>
          <w:p w14:paraId="1BDDC794" w14:textId="594F67D8" w:rsidR="00CE44C1" w:rsidRPr="00CE44C1" w:rsidRDefault="00530563" w:rsidP="00CE44C1">
            <w:pPr>
              <w:tabs>
                <w:tab w:val="clear" w:pos="7100"/>
              </w:tabs>
              <w:spacing w:line="240" w:lineRule="auto"/>
              <w:jc w:val="left"/>
              <w:rPr>
                <w:rFonts w:cs="Arial"/>
                <w:sz w:val="16"/>
                <w:szCs w:val="16"/>
                <w:lang w:val="it-IT" w:eastAsia="it-IT"/>
              </w:rPr>
            </w:pPr>
            <w:r w:rsidRPr="00CE44C1">
              <w:rPr>
                <w:rFonts w:cs="Arial"/>
                <w:sz w:val="16"/>
                <w:szCs w:val="16"/>
                <w:lang w:val="it-IT" w:eastAsia="it-IT"/>
              </w:rPr>
              <w:t>K</w:t>
            </w:r>
            <w:r w:rsidR="00CE44C1" w:rsidRPr="00CE44C1">
              <w:rPr>
                <w:rFonts w:cs="Arial"/>
                <w:sz w:val="16"/>
                <w:szCs w:val="16"/>
                <w:lang w:val="it-IT" w:eastAsia="it-IT"/>
              </w:rPr>
              <w:t>ta</w:t>
            </w:r>
          </w:p>
        </w:tc>
        <w:tc>
          <w:tcPr>
            <w:tcW w:w="1617" w:type="dxa"/>
            <w:tcBorders>
              <w:top w:val="nil"/>
              <w:left w:val="nil"/>
              <w:bottom w:val="nil"/>
              <w:right w:val="nil"/>
            </w:tcBorders>
            <w:shd w:val="clear" w:color="000000" w:fill="FFFFFF"/>
            <w:noWrap/>
            <w:vAlign w:val="center"/>
            <w:hideMark/>
          </w:tcPr>
          <w:p w14:paraId="263E3C81" w14:textId="77777777" w:rsidR="00CE44C1" w:rsidRPr="00CE44C1" w:rsidRDefault="00CE44C1" w:rsidP="00CE44C1">
            <w:pPr>
              <w:tabs>
                <w:tab w:val="clear" w:pos="7100"/>
              </w:tabs>
              <w:spacing w:line="240" w:lineRule="auto"/>
              <w:jc w:val="center"/>
              <w:rPr>
                <w:rFonts w:cs="Arial"/>
                <w:sz w:val="16"/>
                <w:szCs w:val="16"/>
                <w:lang w:val="it-IT" w:eastAsia="it-IT"/>
              </w:rPr>
            </w:pPr>
            <w:r w:rsidRPr="00CE44C1">
              <w:rPr>
                <w:rFonts w:cs="Arial"/>
                <w:sz w:val="16"/>
                <w:szCs w:val="16"/>
                <w:lang w:val="it-IT" w:eastAsia="it-IT"/>
              </w:rPr>
              <w:t>1</w:t>
            </w:r>
          </w:p>
        </w:tc>
        <w:tc>
          <w:tcPr>
            <w:tcW w:w="1617" w:type="dxa"/>
            <w:tcBorders>
              <w:top w:val="nil"/>
              <w:left w:val="nil"/>
              <w:bottom w:val="nil"/>
              <w:right w:val="nil"/>
            </w:tcBorders>
            <w:shd w:val="clear" w:color="auto" w:fill="EAF1DD" w:themeFill="accent3" w:themeFillTint="33"/>
            <w:noWrap/>
            <w:vAlign w:val="center"/>
            <w:hideMark/>
          </w:tcPr>
          <w:p w14:paraId="3CA3DC22" w14:textId="77777777" w:rsidR="00CE44C1" w:rsidRPr="00CE44C1" w:rsidRDefault="00CE44C1" w:rsidP="00CE44C1">
            <w:pPr>
              <w:tabs>
                <w:tab w:val="clear" w:pos="7100"/>
              </w:tabs>
              <w:spacing w:line="240" w:lineRule="auto"/>
              <w:jc w:val="center"/>
              <w:rPr>
                <w:rFonts w:cs="Arial"/>
                <w:sz w:val="16"/>
                <w:szCs w:val="16"/>
                <w:lang w:val="it-IT" w:eastAsia="it-IT"/>
              </w:rPr>
            </w:pPr>
            <w:r w:rsidRPr="00CE44C1">
              <w:rPr>
                <w:rFonts w:cs="Arial"/>
                <w:sz w:val="16"/>
                <w:szCs w:val="16"/>
                <w:lang w:val="it-IT" w:eastAsia="it-IT"/>
              </w:rPr>
              <w:t>1</w:t>
            </w:r>
          </w:p>
        </w:tc>
      </w:tr>
      <w:tr w:rsidR="00CE44C1" w:rsidRPr="00CE44C1" w14:paraId="5D46D502" w14:textId="77777777" w:rsidTr="00A83D21">
        <w:trPr>
          <w:trHeight w:val="278"/>
        </w:trPr>
        <w:tc>
          <w:tcPr>
            <w:tcW w:w="3966" w:type="dxa"/>
            <w:tcBorders>
              <w:top w:val="nil"/>
              <w:left w:val="nil"/>
              <w:bottom w:val="nil"/>
              <w:right w:val="nil"/>
            </w:tcBorders>
            <w:shd w:val="clear" w:color="000000" w:fill="FFFFFF"/>
            <w:vAlign w:val="center"/>
            <w:hideMark/>
          </w:tcPr>
          <w:p w14:paraId="52BE84D0" w14:textId="77777777" w:rsidR="00CE44C1" w:rsidRPr="00CE44C1" w:rsidRDefault="00CE44C1" w:rsidP="00CE44C1">
            <w:pPr>
              <w:tabs>
                <w:tab w:val="clear" w:pos="7100"/>
              </w:tabs>
              <w:spacing w:line="240" w:lineRule="auto"/>
              <w:jc w:val="left"/>
              <w:rPr>
                <w:rFonts w:cs="Arial"/>
                <w:sz w:val="16"/>
                <w:szCs w:val="16"/>
                <w:lang w:val="it-IT" w:eastAsia="it-IT"/>
              </w:rPr>
            </w:pPr>
            <w:r w:rsidRPr="00CE44C1">
              <w:rPr>
                <w:rFonts w:cs="Arial"/>
                <w:sz w:val="16"/>
                <w:szCs w:val="16"/>
                <w:lang w:val="it-IT" w:eastAsia="it-IT"/>
              </w:rPr>
              <w:t>O2 ( by-product)</w:t>
            </w:r>
          </w:p>
        </w:tc>
        <w:tc>
          <w:tcPr>
            <w:tcW w:w="1748" w:type="dxa"/>
            <w:tcBorders>
              <w:top w:val="nil"/>
              <w:left w:val="nil"/>
              <w:bottom w:val="nil"/>
              <w:right w:val="nil"/>
            </w:tcBorders>
            <w:shd w:val="clear" w:color="000000" w:fill="FFFFFF"/>
            <w:noWrap/>
            <w:vAlign w:val="center"/>
            <w:hideMark/>
          </w:tcPr>
          <w:p w14:paraId="71F9EE76" w14:textId="2BAF91FD" w:rsidR="00CE44C1" w:rsidRPr="00CE44C1" w:rsidRDefault="00530563" w:rsidP="00CE44C1">
            <w:pPr>
              <w:tabs>
                <w:tab w:val="clear" w:pos="7100"/>
              </w:tabs>
              <w:spacing w:line="240" w:lineRule="auto"/>
              <w:jc w:val="left"/>
              <w:rPr>
                <w:rFonts w:cs="Arial"/>
                <w:sz w:val="16"/>
                <w:szCs w:val="16"/>
                <w:lang w:val="it-IT" w:eastAsia="it-IT"/>
              </w:rPr>
            </w:pPr>
            <w:r w:rsidRPr="00CE44C1">
              <w:rPr>
                <w:rFonts w:cs="Arial"/>
                <w:sz w:val="16"/>
                <w:szCs w:val="16"/>
                <w:lang w:val="it-IT" w:eastAsia="it-IT"/>
              </w:rPr>
              <w:t>K</w:t>
            </w:r>
            <w:r w:rsidR="00CE44C1" w:rsidRPr="00CE44C1">
              <w:rPr>
                <w:rFonts w:cs="Arial"/>
                <w:sz w:val="16"/>
                <w:szCs w:val="16"/>
                <w:lang w:val="it-IT" w:eastAsia="it-IT"/>
              </w:rPr>
              <w:t>ta</w:t>
            </w:r>
          </w:p>
        </w:tc>
        <w:tc>
          <w:tcPr>
            <w:tcW w:w="1617" w:type="dxa"/>
            <w:tcBorders>
              <w:top w:val="nil"/>
              <w:left w:val="nil"/>
              <w:bottom w:val="nil"/>
              <w:right w:val="nil"/>
            </w:tcBorders>
            <w:shd w:val="clear" w:color="000000" w:fill="FFFFFF"/>
            <w:noWrap/>
            <w:vAlign w:val="center"/>
            <w:hideMark/>
          </w:tcPr>
          <w:p w14:paraId="1C3E08F9" w14:textId="77777777" w:rsidR="00CE44C1" w:rsidRPr="00CE44C1" w:rsidRDefault="00CE44C1" w:rsidP="00CE44C1">
            <w:pPr>
              <w:tabs>
                <w:tab w:val="clear" w:pos="7100"/>
              </w:tabs>
              <w:spacing w:line="240" w:lineRule="auto"/>
              <w:jc w:val="center"/>
              <w:rPr>
                <w:rFonts w:cs="Arial"/>
                <w:sz w:val="16"/>
                <w:szCs w:val="16"/>
                <w:lang w:val="it-IT" w:eastAsia="it-IT"/>
              </w:rPr>
            </w:pPr>
            <w:r w:rsidRPr="00CE44C1">
              <w:rPr>
                <w:rFonts w:cs="Arial"/>
                <w:sz w:val="16"/>
                <w:szCs w:val="16"/>
                <w:lang w:val="it-IT" w:eastAsia="it-IT"/>
              </w:rPr>
              <w:t>346</w:t>
            </w:r>
          </w:p>
        </w:tc>
        <w:tc>
          <w:tcPr>
            <w:tcW w:w="1617" w:type="dxa"/>
            <w:tcBorders>
              <w:top w:val="nil"/>
              <w:left w:val="nil"/>
              <w:bottom w:val="nil"/>
              <w:right w:val="nil"/>
            </w:tcBorders>
            <w:shd w:val="clear" w:color="auto" w:fill="EAF1DD" w:themeFill="accent3" w:themeFillTint="33"/>
            <w:noWrap/>
            <w:vAlign w:val="center"/>
            <w:hideMark/>
          </w:tcPr>
          <w:p w14:paraId="12EB05B6" w14:textId="77777777" w:rsidR="00CE44C1" w:rsidRPr="00CE44C1" w:rsidRDefault="00CE44C1" w:rsidP="00CE44C1">
            <w:pPr>
              <w:tabs>
                <w:tab w:val="clear" w:pos="7100"/>
              </w:tabs>
              <w:spacing w:line="240" w:lineRule="auto"/>
              <w:jc w:val="center"/>
              <w:rPr>
                <w:rFonts w:cs="Arial"/>
                <w:sz w:val="16"/>
                <w:szCs w:val="16"/>
                <w:lang w:val="it-IT" w:eastAsia="it-IT"/>
              </w:rPr>
            </w:pPr>
            <w:r w:rsidRPr="00CE44C1">
              <w:rPr>
                <w:rFonts w:cs="Arial"/>
                <w:sz w:val="16"/>
                <w:szCs w:val="16"/>
                <w:lang w:val="it-IT" w:eastAsia="it-IT"/>
              </w:rPr>
              <w:t xml:space="preserve"> - </w:t>
            </w:r>
          </w:p>
        </w:tc>
      </w:tr>
      <w:tr w:rsidR="00CE44C1" w:rsidRPr="00CE44C1" w14:paraId="513B43EE" w14:textId="77777777" w:rsidTr="00A83D21">
        <w:trPr>
          <w:trHeight w:val="278"/>
        </w:trPr>
        <w:tc>
          <w:tcPr>
            <w:tcW w:w="3966" w:type="dxa"/>
            <w:tcBorders>
              <w:top w:val="nil"/>
              <w:left w:val="nil"/>
              <w:bottom w:val="nil"/>
              <w:right w:val="nil"/>
            </w:tcBorders>
            <w:shd w:val="clear" w:color="000000" w:fill="FFFFFF"/>
            <w:vAlign w:val="center"/>
            <w:hideMark/>
          </w:tcPr>
          <w:p w14:paraId="016688EB" w14:textId="77777777" w:rsidR="00CE44C1" w:rsidRPr="00CE44C1" w:rsidRDefault="00CE44C1" w:rsidP="00CE44C1">
            <w:pPr>
              <w:tabs>
                <w:tab w:val="clear" w:pos="7100"/>
              </w:tabs>
              <w:spacing w:line="240" w:lineRule="auto"/>
              <w:jc w:val="left"/>
              <w:rPr>
                <w:rFonts w:cs="Arial"/>
                <w:sz w:val="16"/>
                <w:szCs w:val="16"/>
                <w:lang w:val="it-IT" w:eastAsia="it-IT"/>
              </w:rPr>
            </w:pPr>
            <w:r w:rsidRPr="00CE44C1">
              <w:rPr>
                <w:rFonts w:cs="Arial"/>
                <w:sz w:val="16"/>
                <w:szCs w:val="16"/>
                <w:lang w:val="it-IT" w:eastAsia="it-IT"/>
              </w:rPr>
              <w:t>Fuel Gas  (By- Product)</w:t>
            </w:r>
          </w:p>
        </w:tc>
        <w:tc>
          <w:tcPr>
            <w:tcW w:w="1748" w:type="dxa"/>
            <w:tcBorders>
              <w:top w:val="nil"/>
              <w:left w:val="nil"/>
              <w:bottom w:val="nil"/>
              <w:right w:val="nil"/>
            </w:tcBorders>
            <w:shd w:val="clear" w:color="000000" w:fill="FFFFFF"/>
            <w:noWrap/>
            <w:vAlign w:val="center"/>
            <w:hideMark/>
          </w:tcPr>
          <w:p w14:paraId="559F5505" w14:textId="3A3B3212" w:rsidR="00CE44C1" w:rsidRPr="00CE44C1" w:rsidRDefault="00530563" w:rsidP="00CE44C1">
            <w:pPr>
              <w:tabs>
                <w:tab w:val="clear" w:pos="7100"/>
              </w:tabs>
              <w:spacing w:line="240" w:lineRule="auto"/>
              <w:jc w:val="left"/>
              <w:rPr>
                <w:rFonts w:cs="Arial"/>
                <w:sz w:val="16"/>
                <w:szCs w:val="16"/>
                <w:lang w:val="it-IT" w:eastAsia="it-IT"/>
              </w:rPr>
            </w:pPr>
            <w:r w:rsidRPr="00CE44C1">
              <w:rPr>
                <w:rFonts w:cs="Arial"/>
                <w:sz w:val="16"/>
                <w:szCs w:val="16"/>
                <w:lang w:val="it-IT" w:eastAsia="it-IT"/>
              </w:rPr>
              <w:t>K</w:t>
            </w:r>
            <w:r w:rsidR="00CE44C1" w:rsidRPr="00CE44C1">
              <w:rPr>
                <w:rFonts w:cs="Arial"/>
                <w:sz w:val="16"/>
                <w:szCs w:val="16"/>
                <w:lang w:val="it-IT" w:eastAsia="it-IT"/>
              </w:rPr>
              <w:t>ta</w:t>
            </w:r>
          </w:p>
        </w:tc>
        <w:tc>
          <w:tcPr>
            <w:tcW w:w="1617" w:type="dxa"/>
            <w:tcBorders>
              <w:top w:val="nil"/>
              <w:left w:val="nil"/>
              <w:bottom w:val="nil"/>
              <w:right w:val="nil"/>
            </w:tcBorders>
            <w:shd w:val="clear" w:color="000000" w:fill="FFFFFF"/>
            <w:noWrap/>
            <w:vAlign w:val="center"/>
            <w:hideMark/>
          </w:tcPr>
          <w:p w14:paraId="5C8D7CC1" w14:textId="77777777" w:rsidR="00CE44C1" w:rsidRPr="00CE44C1" w:rsidRDefault="00CE44C1" w:rsidP="00CE44C1">
            <w:pPr>
              <w:tabs>
                <w:tab w:val="clear" w:pos="7100"/>
              </w:tabs>
              <w:spacing w:line="240" w:lineRule="auto"/>
              <w:jc w:val="center"/>
              <w:rPr>
                <w:rFonts w:cs="Arial"/>
                <w:sz w:val="16"/>
                <w:szCs w:val="16"/>
                <w:lang w:val="it-IT" w:eastAsia="it-IT"/>
              </w:rPr>
            </w:pPr>
            <w:r w:rsidRPr="00CE44C1">
              <w:rPr>
                <w:rFonts w:cs="Arial"/>
                <w:sz w:val="16"/>
                <w:szCs w:val="16"/>
                <w:lang w:val="it-IT" w:eastAsia="it-IT"/>
              </w:rPr>
              <w:t>7</w:t>
            </w:r>
          </w:p>
        </w:tc>
        <w:tc>
          <w:tcPr>
            <w:tcW w:w="1617" w:type="dxa"/>
            <w:tcBorders>
              <w:top w:val="nil"/>
              <w:left w:val="nil"/>
              <w:bottom w:val="nil"/>
              <w:right w:val="nil"/>
            </w:tcBorders>
            <w:shd w:val="clear" w:color="auto" w:fill="EAF1DD" w:themeFill="accent3" w:themeFillTint="33"/>
            <w:noWrap/>
            <w:vAlign w:val="center"/>
            <w:hideMark/>
          </w:tcPr>
          <w:p w14:paraId="3AF7D88C" w14:textId="77777777" w:rsidR="00CE44C1" w:rsidRPr="00CE44C1" w:rsidRDefault="00CE44C1" w:rsidP="00CE44C1">
            <w:pPr>
              <w:tabs>
                <w:tab w:val="clear" w:pos="7100"/>
              </w:tabs>
              <w:spacing w:line="240" w:lineRule="auto"/>
              <w:jc w:val="center"/>
              <w:rPr>
                <w:rFonts w:cs="Arial"/>
                <w:sz w:val="16"/>
                <w:szCs w:val="16"/>
                <w:lang w:val="it-IT" w:eastAsia="it-IT"/>
              </w:rPr>
            </w:pPr>
            <w:r w:rsidRPr="00CE44C1">
              <w:rPr>
                <w:rFonts w:cs="Arial"/>
                <w:sz w:val="16"/>
                <w:szCs w:val="16"/>
                <w:lang w:val="it-IT" w:eastAsia="it-IT"/>
              </w:rPr>
              <w:t xml:space="preserve"> - </w:t>
            </w:r>
          </w:p>
        </w:tc>
      </w:tr>
      <w:tr w:rsidR="00CE44C1" w:rsidRPr="00CE44C1" w14:paraId="1B82D6AB" w14:textId="77777777" w:rsidTr="00A83D21">
        <w:trPr>
          <w:trHeight w:val="278"/>
        </w:trPr>
        <w:tc>
          <w:tcPr>
            <w:tcW w:w="3966" w:type="dxa"/>
            <w:tcBorders>
              <w:top w:val="nil"/>
              <w:left w:val="nil"/>
              <w:bottom w:val="nil"/>
              <w:right w:val="nil"/>
            </w:tcBorders>
            <w:shd w:val="clear" w:color="000000" w:fill="FFFFFF"/>
            <w:vAlign w:val="center"/>
            <w:hideMark/>
          </w:tcPr>
          <w:p w14:paraId="69A9EFD4" w14:textId="469FA818" w:rsidR="00CE44C1" w:rsidRPr="00CE44C1" w:rsidRDefault="00CE44C1" w:rsidP="00CE44C1">
            <w:pPr>
              <w:tabs>
                <w:tab w:val="clear" w:pos="7100"/>
              </w:tabs>
              <w:spacing w:line="240" w:lineRule="auto"/>
              <w:jc w:val="left"/>
              <w:rPr>
                <w:rFonts w:cs="Arial"/>
                <w:b/>
                <w:bCs/>
                <w:sz w:val="16"/>
                <w:szCs w:val="16"/>
                <w:lang w:val="it-IT" w:eastAsia="it-IT"/>
              </w:rPr>
            </w:pPr>
            <w:r w:rsidRPr="00CE44C1">
              <w:rPr>
                <w:rFonts w:cs="Arial"/>
                <w:b/>
                <w:bCs/>
                <w:sz w:val="16"/>
                <w:szCs w:val="16"/>
                <w:lang w:val="it-IT" w:eastAsia="it-IT"/>
              </w:rPr>
              <w:t>CO2e In</w:t>
            </w:r>
            <w:r w:rsidR="0093703C">
              <w:rPr>
                <w:rFonts w:cs="Arial"/>
                <w:b/>
                <w:bCs/>
                <w:sz w:val="16"/>
                <w:szCs w:val="16"/>
                <w:lang w:val="it-IT" w:eastAsia="it-IT"/>
              </w:rPr>
              <w:t>t</w:t>
            </w:r>
            <w:r w:rsidRPr="00CE44C1">
              <w:rPr>
                <w:rFonts w:cs="Arial"/>
                <w:b/>
                <w:bCs/>
                <w:sz w:val="16"/>
                <w:szCs w:val="16"/>
                <w:lang w:val="it-IT" w:eastAsia="it-IT"/>
              </w:rPr>
              <w:t>ensity</w:t>
            </w:r>
          </w:p>
        </w:tc>
        <w:tc>
          <w:tcPr>
            <w:tcW w:w="1748" w:type="dxa"/>
            <w:tcBorders>
              <w:top w:val="nil"/>
              <w:left w:val="nil"/>
              <w:bottom w:val="nil"/>
              <w:right w:val="nil"/>
            </w:tcBorders>
            <w:shd w:val="clear" w:color="000000" w:fill="FFFFFF"/>
            <w:noWrap/>
            <w:vAlign w:val="center"/>
            <w:hideMark/>
          </w:tcPr>
          <w:p w14:paraId="37628736" w14:textId="77777777" w:rsidR="00CE44C1" w:rsidRPr="00CE44C1" w:rsidRDefault="00CE44C1" w:rsidP="00CE44C1">
            <w:pPr>
              <w:tabs>
                <w:tab w:val="clear" w:pos="7100"/>
              </w:tabs>
              <w:spacing w:line="240" w:lineRule="auto"/>
              <w:jc w:val="left"/>
              <w:rPr>
                <w:rFonts w:cs="Arial"/>
                <w:b/>
                <w:bCs/>
                <w:sz w:val="16"/>
                <w:szCs w:val="16"/>
                <w:lang w:val="it-IT" w:eastAsia="it-IT"/>
              </w:rPr>
            </w:pPr>
            <w:r w:rsidRPr="00CE44C1">
              <w:rPr>
                <w:rFonts w:cs="Arial"/>
                <w:b/>
                <w:bCs/>
                <w:sz w:val="16"/>
                <w:szCs w:val="16"/>
                <w:lang w:val="it-IT" w:eastAsia="it-IT"/>
              </w:rPr>
              <w:t>t CO2e/ t</w:t>
            </w:r>
          </w:p>
        </w:tc>
        <w:tc>
          <w:tcPr>
            <w:tcW w:w="1617" w:type="dxa"/>
            <w:tcBorders>
              <w:top w:val="nil"/>
              <w:left w:val="nil"/>
              <w:bottom w:val="nil"/>
              <w:right w:val="nil"/>
            </w:tcBorders>
            <w:shd w:val="clear" w:color="000000" w:fill="FFFFFF"/>
            <w:noWrap/>
            <w:vAlign w:val="center"/>
            <w:hideMark/>
          </w:tcPr>
          <w:p w14:paraId="59E9EB5F" w14:textId="76007203" w:rsidR="00CE44C1" w:rsidRPr="00CE44C1" w:rsidRDefault="00A52F92" w:rsidP="00CE44C1">
            <w:pPr>
              <w:tabs>
                <w:tab w:val="clear" w:pos="7100"/>
              </w:tabs>
              <w:spacing w:line="240" w:lineRule="auto"/>
              <w:jc w:val="center"/>
              <w:rPr>
                <w:rFonts w:cs="Arial"/>
                <w:b/>
                <w:bCs/>
                <w:sz w:val="16"/>
                <w:szCs w:val="16"/>
                <w:lang w:val="it-IT" w:eastAsia="it-IT"/>
              </w:rPr>
            </w:pPr>
            <w:r>
              <w:rPr>
                <w:rFonts w:cs="Arial"/>
                <w:b/>
                <w:bCs/>
                <w:sz w:val="16"/>
                <w:szCs w:val="16"/>
                <w:lang w:val="it-IT" w:eastAsia="it-IT"/>
              </w:rPr>
              <w:t>10</w:t>
            </w:r>
            <w:r w:rsidR="00CE44C1" w:rsidRPr="00CE44C1">
              <w:rPr>
                <w:rFonts w:cs="Arial"/>
                <w:b/>
                <w:bCs/>
                <w:sz w:val="16"/>
                <w:szCs w:val="16"/>
                <w:lang w:val="it-IT" w:eastAsia="it-IT"/>
              </w:rPr>
              <w:t>,136</w:t>
            </w:r>
          </w:p>
        </w:tc>
        <w:tc>
          <w:tcPr>
            <w:tcW w:w="1617" w:type="dxa"/>
            <w:tcBorders>
              <w:top w:val="nil"/>
              <w:left w:val="nil"/>
              <w:bottom w:val="nil"/>
              <w:right w:val="nil"/>
            </w:tcBorders>
            <w:shd w:val="clear" w:color="auto" w:fill="EAF1DD" w:themeFill="accent3" w:themeFillTint="33"/>
            <w:noWrap/>
            <w:vAlign w:val="center"/>
            <w:hideMark/>
          </w:tcPr>
          <w:p w14:paraId="7DF783A9" w14:textId="77777777" w:rsidR="00CE44C1" w:rsidRPr="00CE44C1" w:rsidRDefault="00CE44C1" w:rsidP="00CE44C1">
            <w:pPr>
              <w:tabs>
                <w:tab w:val="clear" w:pos="7100"/>
              </w:tabs>
              <w:spacing w:line="240" w:lineRule="auto"/>
              <w:jc w:val="center"/>
              <w:rPr>
                <w:rFonts w:cs="Arial"/>
                <w:b/>
                <w:bCs/>
                <w:sz w:val="16"/>
                <w:szCs w:val="16"/>
                <w:lang w:val="it-IT" w:eastAsia="it-IT"/>
              </w:rPr>
            </w:pPr>
            <w:r w:rsidRPr="00CE44C1">
              <w:rPr>
                <w:rFonts w:cs="Arial"/>
                <w:b/>
                <w:bCs/>
                <w:sz w:val="16"/>
                <w:szCs w:val="16"/>
                <w:lang w:val="it-IT" w:eastAsia="it-IT"/>
              </w:rPr>
              <w:t>0,000</w:t>
            </w:r>
          </w:p>
        </w:tc>
      </w:tr>
      <w:tr w:rsidR="00CE44C1" w:rsidRPr="00CE44C1" w14:paraId="1334D2E8" w14:textId="77777777" w:rsidTr="00A83D21">
        <w:trPr>
          <w:trHeight w:val="278"/>
        </w:trPr>
        <w:tc>
          <w:tcPr>
            <w:tcW w:w="3966" w:type="dxa"/>
            <w:tcBorders>
              <w:top w:val="nil"/>
              <w:left w:val="nil"/>
              <w:bottom w:val="nil"/>
              <w:right w:val="nil"/>
            </w:tcBorders>
            <w:shd w:val="clear" w:color="000000" w:fill="FFFFFF"/>
            <w:vAlign w:val="center"/>
            <w:hideMark/>
          </w:tcPr>
          <w:p w14:paraId="057223BC" w14:textId="77777777" w:rsidR="00CE44C1" w:rsidRPr="00CE44C1" w:rsidRDefault="00CE44C1" w:rsidP="00CE44C1">
            <w:pPr>
              <w:tabs>
                <w:tab w:val="clear" w:pos="7100"/>
              </w:tabs>
              <w:spacing w:line="240" w:lineRule="auto"/>
              <w:jc w:val="left"/>
              <w:rPr>
                <w:rFonts w:cs="Arial"/>
                <w:b/>
                <w:bCs/>
                <w:sz w:val="16"/>
                <w:szCs w:val="16"/>
                <w:lang w:val="it-IT" w:eastAsia="it-IT"/>
              </w:rPr>
            </w:pPr>
            <w:r w:rsidRPr="00CE44C1">
              <w:rPr>
                <w:rFonts w:cs="Arial"/>
                <w:b/>
                <w:bCs/>
                <w:sz w:val="16"/>
                <w:szCs w:val="16"/>
                <w:lang w:val="it-IT" w:eastAsia="it-IT"/>
              </w:rPr>
              <w:t>Water Circularity</w:t>
            </w:r>
          </w:p>
        </w:tc>
        <w:tc>
          <w:tcPr>
            <w:tcW w:w="1748" w:type="dxa"/>
            <w:tcBorders>
              <w:top w:val="nil"/>
              <w:left w:val="nil"/>
              <w:bottom w:val="nil"/>
              <w:right w:val="nil"/>
            </w:tcBorders>
            <w:shd w:val="clear" w:color="000000" w:fill="FFFFFF"/>
            <w:noWrap/>
            <w:vAlign w:val="center"/>
            <w:hideMark/>
          </w:tcPr>
          <w:p w14:paraId="06D18CF6" w14:textId="77777777" w:rsidR="00CE44C1" w:rsidRPr="00CE44C1" w:rsidRDefault="00CE44C1" w:rsidP="00CE44C1">
            <w:pPr>
              <w:tabs>
                <w:tab w:val="clear" w:pos="7100"/>
              </w:tabs>
              <w:spacing w:line="240" w:lineRule="auto"/>
              <w:jc w:val="left"/>
              <w:rPr>
                <w:rFonts w:cs="Arial"/>
                <w:b/>
                <w:bCs/>
                <w:sz w:val="16"/>
                <w:szCs w:val="16"/>
                <w:lang w:val="it-IT" w:eastAsia="it-IT"/>
              </w:rPr>
            </w:pPr>
            <w:r w:rsidRPr="00CE44C1">
              <w:rPr>
                <w:rFonts w:cs="Arial"/>
                <w:b/>
                <w:bCs/>
                <w:sz w:val="16"/>
                <w:szCs w:val="16"/>
                <w:lang w:val="it-IT" w:eastAsia="it-IT"/>
              </w:rPr>
              <w:t>m3 / t</w:t>
            </w:r>
          </w:p>
        </w:tc>
        <w:tc>
          <w:tcPr>
            <w:tcW w:w="1617" w:type="dxa"/>
            <w:tcBorders>
              <w:top w:val="nil"/>
              <w:left w:val="nil"/>
              <w:bottom w:val="nil"/>
              <w:right w:val="nil"/>
            </w:tcBorders>
            <w:shd w:val="clear" w:color="000000" w:fill="FFFFFF"/>
            <w:noWrap/>
            <w:vAlign w:val="center"/>
            <w:hideMark/>
          </w:tcPr>
          <w:p w14:paraId="30196C8B" w14:textId="77777777" w:rsidR="00CE44C1" w:rsidRPr="00CE44C1" w:rsidRDefault="00CE44C1" w:rsidP="00CE44C1">
            <w:pPr>
              <w:tabs>
                <w:tab w:val="clear" w:pos="7100"/>
              </w:tabs>
              <w:spacing w:line="240" w:lineRule="auto"/>
              <w:jc w:val="center"/>
              <w:rPr>
                <w:rFonts w:cs="Arial"/>
                <w:b/>
                <w:bCs/>
                <w:sz w:val="16"/>
                <w:szCs w:val="16"/>
                <w:lang w:val="it-IT" w:eastAsia="it-IT"/>
              </w:rPr>
            </w:pPr>
            <w:r w:rsidRPr="00CE44C1">
              <w:rPr>
                <w:rFonts w:cs="Arial"/>
                <w:b/>
                <w:bCs/>
                <w:sz w:val="16"/>
                <w:szCs w:val="16"/>
                <w:lang w:val="it-IT" w:eastAsia="it-IT"/>
              </w:rPr>
              <w:t>0,005</w:t>
            </w:r>
          </w:p>
        </w:tc>
        <w:tc>
          <w:tcPr>
            <w:tcW w:w="1617" w:type="dxa"/>
            <w:tcBorders>
              <w:top w:val="nil"/>
              <w:left w:val="nil"/>
              <w:bottom w:val="nil"/>
              <w:right w:val="nil"/>
            </w:tcBorders>
            <w:shd w:val="clear" w:color="auto" w:fill="EAF1DD" w:themeFill="accent3" w:themeFillTint="33"/>
            <w:noWrap/>
            <w:vAlign w:val="center"/>
            <w:hideMark/>
          </w:tcPr>
          <w:p w14:paraId="5A65ECA8" w14:textId="77777777" w:rsidR="00CE44C1" w:rsidRPr="00CE44C1" w:rsidRDefault="00CE44C1" w:rsidP="00CE44C1">
            <w:pPr>
              <w:tabs>
                <w:tab w:val="clear" w:pos="7100"/>
              </w:tabs>
              <w:spacing w:line="240" w:lineRule="auto"/>
              <w:jc w:val="center"/>
              <w:rPr>
                <w:rFonts w:cs="Arial"/>
                <w:b/>
                <w:bCs/>
                <w:sz w:val="16"/>
                <w:szCs w:val="16"/>
                <w:lang w:val="it-IT" w:eastAsia="it-IT"/>
              </w:rPr>
            </w:pPr>
            <w:r w:rsidRPr="00CE44C1">
              <w:rPr>
                <w:rFonts w:cs="Arial"/>
                <w:b/>
                <w:bCs/>
                <w:sz w:val="16"/>
                <w:szCs w:val="16"/>
                <w:lang w:val="it-IT" w:eastAsia="it-IT"/>
              </w:rPr>
              <w:t>0,000</w:t>
            </w:r>
          </w:p>
        </w:tc>
      </w:tr>
      <w:tr w:rsidR="00CE44C1" w:rsidRPr="00CE44C1" w14:paraId="6AA47952" w14:textId="77777777" w:rsidTr="00A83D21">
        <w:trPr>
          <w:trHeight w:val="278"/>
        </w:trPr>
        <w:tc>
          <w:tcPr>
            <w:tcW w:w="3966" w:type="dxa"/>
            <w:tcBorders>
              <w:top w:val="nil"/>
              <w:left w:val="nil"/>
              <w:bottom w:val="single" w:sz="12" w:space="0" w:color="008000"/>
              <w:right w:val="nil"/>
            </w:tcBorders>
            <w:shd w:val="clear" w:color="000000" w:fill="FFFFFF"/>
            <w:vAlign w:val="center"/>
            <w:hideMark/>
          </w:tcPr>
          <w:p w14:paraId="6C8BDB01" w14:textId="77777777" w:rsidR="00CE44C1" w:rsidRPr="00CE44C1" w:rsidRDefault="00CE44C1" w:rsidP="00CE44C1">
            <w:pPr>
              <w:tabs>
                <w:tab w:val="clear" w:pos="7100"/>
              </w:tabs>
              <w:spacing w:line="240" w:lineRule="auto"/>
              <w:jc w:val="left"/>
              <w:rPr>
                <w:rFonts w:cs="Arial"/>
                <w:b/>
                <w:bCs/>
                <w:color w:val="000000"/>
                <w:sz w:val="16"/>
                <w:szCs w:val="16"/>
                <w:lang w:val="it-IT" w:eastAsia="it-IT"/>
              </w:rPr>
            </w:pPr>
            <w:r w:rsidRPr="00CE44C1">
              <w:rPr>
                <w:rFonts w:cs="Arial"/>
                <w:b/>
                <w:bCs/>
                <w:color w:val="000000"/>
                <w:sz w:val="16"/>
                <w:szCs w:val="16"/>
                <w:lang w:val="it-IT" w:eastAsia="it-IT"/>
              </w:rPr>
              <w:t>Renewable Use</w:t>
            </w:r>
          </w:p>
        </w:tc>
        <w:tc>
          <w:tcPr>
            <w:tcW w:w="1748" w:type="dxa"/>
            <w:tcBorders>
              <w:top w:val="nil"/>
              <w:left w:val="nil"/>
              <w:bottom w:val="single" w:sz="12" w:space="0" w:color="008000"/>
              <w:right w:val="nil"/>
            </w:tcBorders>
            <w:shd w:val="clear" w:color="000000" w:fill="FFFFFF"/>
            <w:vAlign w:val="center"/>
            <w:hideMark/>
          </w:tcPr>
          <w:p w14:paraId="4C5DB591" w14:textId="77777777" w:rsidR="00CE44C1" w:rsidRPr="00CE44C1" w:rsidRDefault="00CE44C1" w:rsidP="00CE44C1">
            <w:pPr>
              <w:tabs>
                <w:tab w:val="clear" w:pos="7100"/>
              </w:tabs>
              <w:spacing w:line="240" w:lineRule="auto"/>
              <w:jc w:val="left"/>
              <w:rPr>
                <w:rFonts w:cs="Arial"/>
                <w:b/>
                <w:bCs/>
                <w:color w:val="000000"/>
                <w:sz w:val="16"/>
                <w:szCs w:val="16"/>
                <w:lang w:val="it-IT" w:eastAsia="it-IT"/>
              </w:rPr>
            </w:pPr>
            <w:r w:rsidRPr="00CE44C1">
              <w:rPr>
                <w:rFonts w:cs="Arial"/>
                <w:b/>
                <w:bCs/>
                <w:color w:val="000000"/>
                <w:sz w:val="16"/>
                <w:szCs w:val="16"/>
                <w:lang w:val="it-IT" w:eastAsia="it-IT"/>
              </w:rPr>
              <w:t>MWh/ t</w:t>
            </w:r>
          </w:p>
        </w:tc>
        <w:tc>
          <w:tcPr>
            <w:tcW w:w="1617" w:type="dxa"/>
            <w:tcBorders>
              <w:top w:val="nil"/>
              <w:left w:val="nil"/>
              <w:bottom w:val="single" w:sz="12" w:space="0" w:color="008000"/>
              <w:right w:val="nil"/>
            </w:tcBorders>
            <w:shd w:val="clear" w:color="000000" w:fill="FFFFFF"/>
            <w:vAlign w:val="center"/>
            <w:hideMark/>
          </w:tcPr>
          <w:p w14:paraId="420B4D6C" w14:textId="77777777" w:rsidR="00CE44C1" w:rsidRPr="00CE44C1" w:rsidRDefault="00CE44C1" w:rsidP="00CE44C1">
            <w:pPr>
              <w:tabs>
                <w:tab w:val="clear" w:pos="7100"/>
              </w:tabs>
              <w:spacing w:line="240" w:lineRule="auto"/>
              <w:jc w:val="center"/>
              <w:rPr>
                <w:rFonts w:cs="Arial"/>
                <w:b/>
                <w:bCs/>
                <w:color w:val="000000"/>
                <w:sz w:val="16"/>
                <w:szCs w:val="16"/>
                <w:lang w:val="it-IT" w:eastAsia="it-IT"/>
              </w:rPr>
            </w:pPr>
            <w:r w:rsidRPr="00CE44C1">
              <w:rPr>
                <w:rFonts w:cs="Arial"/>
                <w:b/>
                <w:bCs/>
                <w:color w:val="000000"/>
                <w:sz w:val="16"/>
                <w:szCs w:val="16"/>
                <w:lang w:val="it-IT" w:eastAsia="it-IT"/>
              </w:rPr>
              <w:t>0,000</w:t>
            </w:r>
          </w:p>
        </w:tc>
        <w:tc>
          <w:tcPr>
            <w:tcW w:w="1617" w:type="dxa"/>
            <w:tcBorders>
              <w:top w:val="nil"/>
              <w:left w:val="nil"/>
              <w:bottom w:val="single" w:sz="12" w:space="0" w:color="008000"/>
              <w:right w:val="nil"/>
            </w:tcBorders>
            <w:shd w:val="clear" w:color="auto" w:fill="EAF1DD" w:themeFill="accent3" w:themeFillTint="33"/>
            <w:vAlign w:val="center"/>
            <w:hideMark/>
          </w:tcPr>
          <w:p w14:paraId="46A60898" w14:textId="0A22E05E" w:rsidR="00CE44C1" w:rsidRPr="00CE44C1" w:rsidRDefault="00CE44C1" w:rsidP="00CE44C1">
            <w:pPr>
              <w:tabs>
                <w:tab w:val="clear" w:pos="7100"/>
              </w:tabs>
              <w:spacing w:line="240" w:lineRule="auto"/>
              <w:jc w:val="center"/>
              <w:rPr>
                <w:rFonts w:cs="Arial"/>
                <w:b/>
                <w:bCs/>
                <w:color w:val="000000"/>
                <w:sz w:val="16"/>
                <w:szCs w:val="16"/>
                <w:lang w:val="it-IT" w:eastAsia="it-IT"/>
              </w:rPr>
            </w:pPr>
            <w:r w:rsidRPr="00CE44C1">
              <w:rPr>
                <w:rFonts w:cs="Arial"/>
                <w:b/>
                <w:bCs/>
                <w:color w:val="000000"/>
                <w:sz w:val="16"/>
                <w:szCs w:val="16"/>
                <w:lang w:val="it-IT" w:eastAsia="it-IT"/>
              </w:rPr>
              <w:t>0,03</w:t>
            </w:r>
            <w:r w:rsidR="0093703C">
              <w:rPr>
                <w:rFonts w:cs="Arial"/>
                <w:b/>
                <w:bCs/>
                <w:color w:val="000000"/>
                <w:sz w:val="16"/>
                <w:szCs w:val="16"/>
                <w:lang w:val="it-IT" w:eastAsia="it-IT"/>
              </w:rPr>
              <w:t>5</w:t>
            </w:r>
          </w:p>
        </w:tc>
      </w:tr>
    </w:tbl>
    <w:p w14:paraId="03A19419" w14:textId="77777777" w:rsidR="009301F8" w:rsidRDefault="009301F8" w:rsidP="00730674">
      <w:pPr>
        <w:pStyle w:val="CETBodytext"/>
      </w:pPr>
    </w:p>
    <w:p w14:paraId="15018C51" w14:textId="2FDDAA97" w:rsidR="009301F8" w:rsidRDefault="009301F8" w:rsidP="00730674">
      <w:pPr>
        <w:pStyle w:val="CETBodytext"/>
      </w:pPr>
      <w:r>
        <w:t xml:space="preserve">These benefits include low-impact fuel production, reuse of existing products and systems, clean energy usage, reduced environmental impact and waste, The resulting Carbon </w:t>
      </w:r>
      <w:r w:rsidR="00530563">
        <w:t>Emissions and</w:t>
      </w:r>
      <w:r>
        <w:t xml:space="preserve"> </w:t>
      </w:r>
      <w:r w:rsidR="00B769EC">
        <w:t>Environmental</w:t>
      </w:r>
      <w:r>
        <w:t xml:space="preserve"> </w:t>
      </w:r>
      <w:r w:rsidR="00B769EC">
        <w:t>KPI</w:t>
      </w:r>
      <w:r>
        <w:t xml:space="preserve"> </w:t>
      </w:r>
      <w:r w:rsidR="00B769EC">
        <w:t>allows us</w:t>
      </w:r>
      <w:r>
        <w:t xml:space="preserve"> to </w:t>
      </w:r>
      <w:r w:rsidR="001111F0">
        <w:t>confirm design selection for the optimized scenario</w:t>
      </w:r>
      <w:r w:rsidR="00B769EC">
        <w:t>.</w:t>
      </w:r>
    </w:p>
    <w:p w14:paraId="75E818C3" w14:textId="4D23DF98" w:rsidR="00730674" w:rsidRDefault="00730674" w:rsidP="00730674">
      <w:pPr>
        <w:pStyle w:val="CETBodytext"/>
      </w:pPr>
      <w:r>
        <w:t xml:space="preserve">The case study shows that </w:t>
      </w:r>
      <w:r w:rsidR="006E073B">
        <w:t xml:space="preserve">optimized </w:t>
      </w:r>
      <w:r>
        <w:t xml:space="preserve">technology </w:t>
      </w:r>
      <w:r w:rsidR="006E073B">
        <w:t xml:space="preserve">selection </w:t>
      </w:r>
      <w:r>
        <w:t xml:space="preserve">is a significant step towards sustainable energy. Although innovative technologies face initial development challenges, perseverance, </w:t>
      </w:r>
      <w:r w:rsidR="00B769EC">
        <w:t>politics</w:t>
      </w:r>
      <w:r>
        <w:t xml:space="preserve">, and civil will </w:t>
      </w:r>
      <w:r w:rsidR="00B769EC">
        <w:t>find</w:t>
      </w:r>
      <w:r>
        <w:t xml:space="preserve"> their success</w:t>
      </w:r>
      <w:r w:rsidR="005A3481" w:rsidRPr="005A3481">
        <w:t xml:space="preserve"> (Eyberg, et. all, 2024)</w:t>
      </w:r>
      <w:r w:rsidRPr="005A3481">
        <w:t>.</w:t>
      </w:r>
      <w:r>
        <w:t xml:space="preserve"> While hydrogen technology is currently costly, it presents a vital opportunity to address climate issues and achieve sustainable development goals.</w:t>
      </w:r>
    </w:p>
    <w:p w14:paraId="68D26B83" w14:textId="474F22F1" w:rsidR="00600535" w:rsidRPr="00B57B36" w:rsidRDefault="00600535" w:rsidP="00600535">
      <w:pPr>
        <w:pStyle w:val="CETHeading1"/>
        <w:rPr>
          <w:lang w:val="en-GB"/>
        </w:rPr>
      </w:pPr>
      <w:r w:rsidRPr="00B57B36">
        <w:rPr>
          <w:lang w:val="en-GB"/>
        </w:rPr>
        <w:t>Conclusions</w:t>
      </w:r>
    </w:p>
    <w:p w14:paraId="581170B8" w14:textId="54402AA2" w:rsidR="00730674" w:rsidRDefault="00730674" w:rsidP="00730674">
      <w:pPr>
        <w:pStyle w:val="CETBodytext"/>
        <w:rPr>
          <w:lang w:val="en-GB"/>
        </w:rPr>
      </w:pPr>
      <w:r w:rsidRPr="00730674">
        <w:rPr>
          <w:lang w:val="en-GB"/>
        </w:rPr>
        <w:t>The urgency to combat global warming and climate change is intensifying, with many countries committing to net-zero emissions by 2050. This transition necessitates a significant reduction in coal, oil, and gas usage. eFuels, or synthetic fuels, are a critical component of the global energy shift from fossil fuels to renewables (solar, wind, geothermal, hydro). They can be used in existing engines and distribution systems and are especially important in applications where alternatives like electricity and hydrogen are currently not viable, such as aircraft engines.</w:t>
      </w:r>
    </w:p>
    <w:p w14:paraId="4AF89E40" w14:textId="77777777" w:rsidR="00CD06B4" w:rsidRPr="00730674" w:rsidRDefault="00CD06B4" w:rsidP="00730674">
      <w:pPr>
        <w:pStyle w:val="CETBodytext"/>
        <w:rPr>
          <w:lang w:val="en-GB"/>
        </w:rPr>
      </w:pPr>
    </w:p>
    <w:p w14:paraId="116F9285" w14:textId="0ACDD064" w:rsidR="00730674" w:rsidRDefault="00730674" w:rsidP="00730674">
      <w:pPr>
        <w:pStyle w:val="CETBodytext"/>
        <w:rPr>
          <w:lang w:val="en-GB"/>
        </w:rPr>
      </w:pPr>
      <w:r w:rsidRPr="00730674">
        <w:rPr>
          <w:lang w:val="en-GB"/>
        </w:rPr>
        <w:t xml:space="preserve">eFuels have high energy density and can be transported at room temperature and pressure, overcoming issues related to the intermittent production and storage of renewables. The European Commission's plan to allow sales of new internal combustion engine cars running solely on eFuels after 2035 has sparked significant interest in their production. However, there are currently no industrial plants producing eFuels at scale. </w:t>
      </w:r>
    </w:p>
    <w:p w14:paraId="4326EB96" w14:textId="77777777" w:rsidR="00B57065" w:rsidRDefault="00B57065" w:rsidP="00730674">
      <w:pPr>
        <w:pStyle w:val="CETBodytext"/>
        <w:rPr>
          <w:lang w:val="en-GB"/>
        </w:rPr>
      </w:pPr>
    </w:p>
    <w:p w14:paraId="1C019FE6" w14:textId="4A8B8C6B" w:rsidR="00B57065" w:rsidRDefault="00B57065" w:rsidP="00730674">
      <w:pPr>
        <w:pStyle w:val="CETBodytext"/>
        <w:rPr>
          <w:lang w:val="en-GB"/>
        </w:rPr>
      </w:pPr>
      <w:r w:rsidRPr="00B57065">
        <w:rPr>
          <w:lang w:val="en-GB"/>
        </w:rPr>
        <w:t>The proposed optimized scenario aligns with the latest political trends, enabling the production of Sustainable Aviation Fuel (SAF) using green electricity. SAF is utilized in engines, contributing to the decarbonization of the transport sector. Additionally, the optimized scenario recycles waste from the adjacent Industrial District, including wastewater and flue gases. This approach reduces the volume of water effluent requiring disposal, thereby minimizing water losses. Furthermore, the discharge of flue gases into the atmosphere is decreased by incorporating a portion of these gases into SAF production.</w:t>
      </w:r>
    </w:p>
    <w:p w14:paraId="6A84B313" w14:textId="77777777" w:rsidR="00A75EDD" w:rsidRPr="00730674" w:rsidRDefault="00A75EDD" w:rsidP="00730674">
      <w:pPr>
        <w:pStyle w:val="CETBodytext"/>
        <w:rPr>
          <w:lang w:val="en-GB"/>
        </w:rPr>
      </w:pPr>
    </w:p>
    <w:p w14:paraId="36430F5E" w14:textId="31589818" w:rsidR="00730674" w:rsidRDefault="00730674" w:rsidP="00730674">
      <w:pPr>
        <w:pStyle w:val="CETBodytext"/>
        <w:rPr>
          <w:lang w:val="en-GB"/>
        </w:rPr>
      </w:pPr>
      <w:r w:rsidRPr="00730674">
        <w:rPr>
          <w:lang w:val="en-GB"/>
        </w:rPr>
        <w:t xml:space="preserve">For the selected option at the end of the Study </w:t>
      </w:r>
      <w:r w:rsidR="00036DB4">
        <w:rPr>
          <w:lang w:val="en-GB"/>
        </w:rPr>
        <w:t xml:space="preserve">it is </w:t>
      </w:r>
      <w:r w:rsidR="00530563">
        <w:rPr>
          <w:lang w:val="en-GB"/>
        </w:rPr>
        <w:t xml:space="preserve">foreseen </w:t>
      </w:r>
      <w:r w:rsidR="00530563" w:rsidRPr="00730674">
        <w:rPr>
          <w:lang w:val="en-GB"/>
        </w:rPr>
        <w:t>the</w:t>
      </w:r>
      <w:r w:rsidRPr="00730674">
        <w:rPr>
          <w:lang w:val="en-GB"/>
        </w:rPr>
        <w:t xml:space="preserve"> development of </w:t>
      </w:r>
      <w:r w:rsidR="00036DB4">
        <w:rPr>
          <w:lang w:val="en-GB"/>
        </w:rPr>
        <w:t xml:space="preserve">a </w:t>
      </w:r>
      <w:r w:rsidRPr="00730674">
        <w:rPr>
          <w:lang w:val="en-GB"/>
        </w:rPr>
        <w:t>Front-End Engineering and Design (FEED) and a more accurate Cost Estimate (CE) and to align with the country investors and financing institution. Similar studies with the CEE&amp;C model results</w:t>
      </w:r>
      <w:r w:rsidR="00EB7516">
        <w:rPr>
          <w:lang w:val="en-GB"/>
        </w:rPr>
        <w:t xml:space="preserve"> integrated with economic assessment, CAPEX and Annualized OPEX for the entire life duration of the </w:t>
      </w:r>
      <w:r w:rsidR="00530563">
        <w:rPr>
          <w:lang w:val="en-GB"/>
        </w:rPr>
        <w:t xml:space="preserve">facility </w:t>
      </w:r>
      <w:r w:rsidR="00530563" w:rsidRPr="00730674">
        <w:rPr>
          <w:lang w:val="en-GB"/>
        </w:rPr>
        <w:t>can</w:t>
      </w:r>
      <w:r w:rsidRPr="00730674">
        <w:rPr>
          <w:lang w:val="en-GB"/>
        </w:rPr>
        <w:t xml:space="preserve"> support climate ambitions, </w:t>
      </w:r>
      <w:r w:rsidR="00B769EC" w:rsidRPr="00730674">
        <w:rPr>
          <w:lang w:val="en-GB"/>
        </w:rPr>
        <w:t>stakeholders’</w:t>
      </w:r>
      <w:r w:rsidRPr="00730674">
        <w:rPr>
          <w:lang w:val="en-GB"/>
        </w:rPr>
        <w:t xml:space="preserve"> needs and investors expectation in the geographical Decarbonization ambition and </w:t>
      </w:r>
      <w:r w:rsidR="00B769EC" w:rsidRPr="00730674">
        <w:rPr>
          <w:lang w:val="en-GB"/>
        </w:rPr>
        <w:t>strategy.</w:t>
      </w:r>
    </w:p>
    <w:p w14:paraId="70253DBD" w14:textId="77777777" w:rsidR="00165F62" w:rsidRDefault="00165F62" w:rsidP="00730674">
      <w:pPr>
        <w:pStyle w:val="CETBodytext"/>
        <w:rPr>
          <w:lang w:val="en-GB"/>
        </w:rPr>
      </w:pPr>
    </w:p>
    <w:p w14:paraId="594D33B9" w14:textId="77777777" w:rsidR="00E6477F" w:rsidRPr="00BB49CE" w:rsidRDefault="00E6477F" w:rsidP="00E6477F">
      <w:pPr>
        <w:pStyle w:val="CETHeadingxx"/>
        <w:rPr>
          <w:lang w:val="en-GB"/>
        </w:rPr>
        <w:sectPr w:rsidR="00E6477F" w:rsidRPr="00BB49CE" w:rsidSect="00E6477F">
          <w:headerReference w:type="even" r:id="rId13"/>
          <w:footerReference w:type="first" r:id="rId14"/>
          <w:type w:val="continuous"/>
          <w:pgSz w:w="11906" w:h="16838" w:code="9"/>
          <w:pgMar w:top="1701" w:right="1418" w:bottom="1701" w:left="1701" w:header="1247" w:footer="113" w:gutter="0"/>
          <w:cols w:space="708"/>
          <w:formProt w:val="0"/>
          <w:titlePg/>
          <w:docGrid w:linePitch="360"/>
        </w:sectPr>
      </w:pPr>
      <w:r w:rsidRPr="00BB49CE">
        <w:t>Nomenclature</w:t>
      </w:r>
    </w:p>
    <w:p w14:paraId="01C62E95" w14:textId="77777777" w:rsidR="00E6477F" w:rsidRPr="00BB49CE" w:rsidRDefault="00E6477F" w:rsidP="00E6477F">
      <w:pPr>
        <w:pStyle w:val="CETBodytext"/>
        <w:jc w:val="left"/>
        <w:rPr>
          <w:rFonts w:eastAsia="SimSun"/>
        </w:rPr>
      </w:pPr>
      <w:r w:rsidRPr="00BB49CE">
        <w:rPr>
          <w:rFonts w:eastAsia="SimSun"/>
        </w:rPr>
        <w:t>CEE&amp;C – Carbon Energy Environmental &amp; Cost Model</w:t>
      </w:r>
    </w:p>
    <w:p w14:paraId="2AF5C39A" w14:textId="77777777" w:rsidR="00E6477F" w:rsidRPr="00BB49CE" w:rsidRDefault="00E6477F" w:rsidP="00E6477F">
      <w:pPr>
        <w:pStyle w:val="CETBodytext"/>
        <w:jc w:val="left"/>
        <w:rPr>
          <w:rFonts w:eastAsia="SimSun"/>
        </w:rPr>
      </w:pPr>
      <w:r w:rsidRPr="00BB49CE">
        <w:rPr>
          <w:rFonts w:eastAsia="SimSun"/>
        </w:rPr>
        <w:t>CTG – Product Carbon Footprint</w:t>
      </w:r>
    </w:p>
    <w:p w14:paraId="315DAAA3" w14:textId="77777777" w:rsidR="00E6477F" w:rsidRPr="00BB49CE" w:rsidRDefault="00E6477F" w:rsidP="00E6477F">
      <w:pPr>
        <w:pStyle w:val="CETBodytext"/>
        <w:jc w:val="left"/>
        <w:rPr>
          <w:rFonts w:eastAsia="SimSun"/>
        </w:rPr>
      </w:pPr>
      <w:r w:rsidRPr="00BB49CE">
        <w:rPr>
          <w:rFonts w:eastAsia="SimSun"/>
        </w:rPr>
        <w:t>ET – Energy Transition</w:t>
      </w:r>
    </w:p>
    <w:p w14:paraId="716808D4" w14:textId="77777777" w:rsidR="00E6477F" w:rsidRPr="00BB49CE" w:rsidRDefault="00E6477F" w:rsidP="00E6477F">
      <w:pPr>
        <w:pStyle w:val="CETBodytext"/>
        <w:jc w:val="left"/>
        <w:rPr>
          <w:rFonts w:eastAsia="SimSun"/>
        </w:rPr>
      </w:pPr>
      <w:r w:rsidRPr="00BB49CE">
        <w:rPr>
          <w:rFonts w:eastAsia="SimSun"/>
        </w:rPr>
        <w:t>GHG – Greenhouse Gas</w:t>
      </w:r>
    </w:p>
    <w:p w14:paraId="6BD1C144" w14:textId="77777777" w:rsidR="00E6477F" w:rsidRPr="00BB49CE" w:rsidRDefault="00E6477F" w:rsidP="00E6477F">
      <w:pPr>
        <w:pStyle w:val="CETBodytext"/>
        <w:jc w:val="left"/>
        <w:rPr>
          <w:rFonts w:eastAsia="SimSun"/>
        </w:rPr>
      </w:pPr>
      <w:r w:rsidRPr="00BB49CE">
        <w:rPr>
          <w:rFonts w:eastAsia="SimSun"/>
        </w:rPr>
        <w:t>KPI – Key Performance Indicators</w:t>
      </w:r>
    </w:p>
    <w:p w14:paraId="68F04822" w14:textId="77777777" w:rsidR="00E6477F" w:rsidRPr="00BB49CE" w:rsidRDefault="00E6477F" w:rsidP="00E6477F">
      <w:pPr>
        <w:pStyle w:val="CETBodytext"/>
        <w:jc w:val="left"/>
        <w:rPr>
          <w:rFonts w:eastAsia="SimSun"/>
        </w:rPr>
      </w:pPr>
      <w:r w:rsidRPr="00BB49CE">
        <w:rPr>
          <w:rFonts w:eastAsia="SimSun"/>
        </w:rPr>
        <w:lastRenderedPageBreak/>
        <w:t>LCA – Life Cycle Assessment</w:t>
      </w:r>
    </w:p>
    <w:p w14:paraId="20F5E631" w14:textId="5FBE72DF" w:rsidR="00E6477F" w:rsidRPr="00B57B36" w:rsidRDefault="00E6477F" w:rsidP="00E6477F">
      <w:pPr>
        <w:pStyle w:val="CETAcknowledgementstitle"/>
      </w:pPr>
      <w:r w:rsidRPr="00B57B36">
        <w:t>Acknowledgments</w:t>
      </w:r>
    </w:p>
    <w:p w14:paraId="148CB54D" w14:textId="77777777" w:rsidR="00E6477F" w:rsidRPr="00E6477F" w:rsidRDefault="00E6477F" w:rsidP="00E6477F">
      <w:pPr>
        <w:pStyle w:val="CETBodytext"/>
      </w:pPr>
      <w:r w:rsidRPr="00E6477F">
        <w:t>Maurizio Cence: Data curation, Formal analysis, Writing - original draft.</w:t>
      </w:r>
    </w:p>
    <w:p w14:paraId="75141A18" w14:textId="09736307" w:rsidR="00E6477F" w:rsidRPr="00E6477F" w:rsidRDefault="00E6477F" w:rsidP="00E6477F">
      <w:pPr>
        <w:pStyle w:val="CETBodytext"/>
      </w:pPr>
      <w:r w:rsidRPr="00E6477F">
        <w:t xml:space="preserve">Valeria Bernardini: Conceptualization, Methodology, Supervision, Software, </w:t>
      </w:r>
      <w:r w:rsidR="00530563" w:rsidRPr="00E6477F">
        <w:t>Validation, Writing</w:t>
      </w:r>
      <w:r w:rsidRPr="00E6477F">
        <w:t xml:space="preserve"> – review</w:t>
      </w:r>
      <w:r w:rsidR="00B769EC" w:rsidRPr="00E6477F">
        <w:t xml:space="preserve">. </w:t>
      </w:r>
    </w:p>
    <w:p w14:paraId="1F3A03BB" w14:textId="77777777" w:rsidR="00E6477F" w:rsidRPr="00E6477F" w:rsidRDefault="00E6477F" w:rsidP="00E6477F">
      <w:pPr>
        <w:pStyle w:val="CETBodytext"/>
      </w:pPr>
      <w:r w:rsidRPr="00E6477F">
        <w:t>Maria Valeria Ermini: Data curation, Formal analysis, Writing – review.</w:t>
      </w:r>
    </w:p>
    <w:p w14:paraId="0FADDDE6" w14:textId="77777777" w:rsidR="00E6477F" w:rsidRPr="00E6477F" w:rsidRDefault="00E6477F" w:rsidP="00E6477F">
      <w:pPr>
        <w:pStyle w:val="CETBodytext"/>
      </w:pPr>
      <w:r w:rsidRPr="00E6477F">
        <w:t>Fabio Francia: Formal analysis, Writing – review, Resources, Supervision, Project administration</w:t>
      </w:r>
      <w:r w:rsidRPr="00E6477F" w:rsidDel="00FC4C3C">
        <w:t xml:space="preserve"> </w:t>
      </w:r>
    </w:p>
    <w:p w14:paraId="58548134" w14:textId="01C0A609" w:rsidR="00BA3B1A" w:rsidRDefault="00BA3B1A" w:rsidP="00E6477F">
      <w:pPr>
        <w:pStyle w:val="CETBodytext"/>
      </w:pPr>
      <w:r>
        <w:t>Marco Verna:</w:t>
      </w:r>
      <w:r w:rsidRPr="00BA3B1A">
        <w:t xml:space="preserve"> </w:t>
      </w:r>
      <w:r w:rsidRPr="00E6477F">
        <w:t>Formal analysis, Writing – review, Resources, Supervision, Project administration</w:t>
      </w:r>
    </w:p>
    <w:p w14:paraId="1C26868A" w14:textId="2439CC04" w:rsidR="00E6477F" w:rsidRPr="00E6477F" w:rsidRDefault="00E6477F" w:rsidP="00E6477F">
      <w:pPr>
        <w:pStyle w:val="CETBodytext"/>
      </w:pPr>
      <w:r w:rsidRPr="00E6477F">
        <w:t>Luciano d</w:t>
      </w:r>
      <w:r w:rsidR="00716E0D">
        <w:t>e</w:t>
      </w:r>
      <w:r w:rsidRPr="00E6477F">
        <w:t xml:space="preserve"> Gaetano: Resources, Supervision, Project administration.</w:t>
      </w:r>
    </w:p>
    <w:p w14:paraId="0D0428A3" w14:textId="77777777" w:rsidR="00E6477F" w:rsidRDefault="00E6477F" w:rsidP="00E6477F">
      <w:pPr>
        <w:pStyle w:val="CETBodytext"/>
      </w:pPr>
      <w:r w:rsidRPr="00E6477F">
        <w:t>Alessandro Bettoni: Resources, Supervision, Project administration</w:t>
      </w:r>
      <w:r w:rsidRPr="00E6477F" w:rsidDel="00062D24">
        <w:t xml:space="preserve"> </w:t>
      </w:r>
    </w:p>
    <w:p w14:paraId="7888F251" w14:textId="00986047" w:rsidR="00BA3B1A" w:rsidRDefault="00BA3B1A" w:rsidP="00E6477F">
      <w:pPr>
        <w:pStyle w:val="CETBodytext"/>
      </w:pPr>
      <w:r>
        <w:t xml:space="preserve">Luca Giuseppe Campana: </w:t>
      </w:r>
      <w:r w:rsidRPr="00E6477F">
        <w:t>Resources, Supervision, Project administration</w:t>
      </w:r>
    </w:p>
    <w:p w14:paraId="1EB7518F" w14:textId="77777777" w:rsidR="00BA3B1A" w:rsidRPr="00E6477F" w:rsidRDefault="00BA3B1A" w:rsidP="00E6477F">
      <w:pPr>
        <w:pStyle w:val="CETBodytext"/>
      </w:pPr>
    </w:p>
    <w:p w14:paraId="7397BA25" w14:textId="77777777" w:rsidR="00E6477F" w:rsidRPr="00E6477F" w:rsidRDefault="00E6477F" w:rsidP="00E6477F">
      <w:pPr>
        <w:pStyle w:val="CETBodytext"/>
      </w:pPr>
    </w:p>
    <w:p w14:paraId="1ECD21D8" w14:textId="4D61C339" w:rsidR="00E6477F" w:rsidRPr="00E6477F" w:rsidRDefault="00E6477F" w:rsidP="00E6477F">
      <w:pPr>
        <w:pStyle w:val="CETBodytext"/>
      </w:pPr>
      <w:r w:rsidRPr="00E6477F">
        <w:t xml:space="preserve">The authors would like to </w:t>
      </w:r>
      <w:r w:rsidR="00B769EC" w:rsidRPr="00E6477F">
        <w:t>thank Luciano</w:t>
      </w:r>
      <w:r w:rsidRPr="00E6477F">
        <w:t xml:space="preserve"> d</w:t>
      </w:r>
      <w:r w:rsidR="00716E0D">
        <w:t>e</w:t>
      </w:r>
      <w:r w:rsidRPr="00E6477F">
        <w:t xml:space="preserve"> </w:t>
      </w:r>
      <w:r w:rsidR="0063720D" w:rsidRPr="00E6477F">
        <w:t>Gaetano</w:t>
      </w:r>
      <w:r w:rsidR="0063720D">
        <w:t xml:space="preserve">, </w:t>
      </w:r>
      <w:r w:rsidR="0063720D" w:rsidRPr="00E6477F" w:rsidDel="00156055">
        <w:t>Marco</w:t>
      </w:r>
      <w:r w:rsidR="00EB0984">
        <w:t xml:space="preserve"> Verna, Luca Giuseppe Campana </w:t>
      </w:r>
      <w:r w:rsidRPr="00E6477F">
        <w:t xml:space="preserve">and Alessandro Bettoni </w:t>
      </w:r>
      <w:r w:rsidR="00B769EC" w:rsidRPr="00E6477F">
        <w:t>for the</w:t>
      </w:r>
      <w:r w:rsidRPr="00E6477F">
        <w:t xml:space="preserve"> opportunity provided, the constant support and their thorough review of the results. </w:t>
      </w:r>
    </w:p>
    <w:p w14:paraId="3E980D72" w14:textId="7AD93D9F" w:rsidR="00E6477F" w:rsidRDefault="00E6477F" w:rsidP="00E6477F">
      <w:pPr>
        <w:pStyle w:val="CETBodytext"/>
      </w:pPr>
      <w:r w:rsidRPr="00E6477F">
        <w:t xml:space="preserve">The authors would also like to acknowledge the significant work and effort undertaken by all the </w:t>
      </w:r>
      <w:r w:rsidR="00B769EC" w:rsidRPr="00E6477F">
        <w:t>Technip Energies technology experts involved</w:t>
      </w:r>
      <w:r w:rsidRPr="00E6477F">
        <w:t xml:space="preserve">. </w:t>
      </w:r>
    </w:p>
    <w:p w14:paraId="5A2FA4D6" w14:textId="77777777" w:rsidR="00E6477F" w:rsidRPr="00E6477F" w:rsidRDefault="00E6477F" w:rsidP="00E6477F">
      <w:pPr>
        <w:pStyle w:val="CETBodytext"/>
      </w:pPr>
    </w:p>
    <w:p w14:paraId="4F1327F8" w14:textId="77777777" w:rsidR="00600535" w:rsidRPr="00B57B36" w:rsidRDefault="00600535" w:rsidP="00600535">
      <w:pPr>
        <w:pStyle w:val="CETReference"/>
      </w:pPr>
      <w:r w:rsidRPr="00B57B36">
        <w:t>References</w:t>
      </w:r>
    </w:p>
    <w:p w14:paraId="09EB14B3" w14:textId="0E299FCC" w:rsidR="00E6477F" w:rsidRPr="008528BD" w:rsidRDefault="00E6477F" w:rsidP="00E6477F">
      <w:pPr>
        <w:pStyle w:val="CETReferencetext"/>
      </w:pPr>
      <w:r w:rsidRPr="009A1DBE">
        <w:t>A</w:t>
      </w:r>
      <w:r w:rsidR="008528BD">
        <w:t>FDC</w:t>
      </w:r>
      <w:r w:rsidRPr="00316FFB">
        <w:t xml:space="preserve">, </w:t>
      </w:r>
      <w:r w:rsidR="008528BD">
        <w:t xml:space="preserve">2025. US </w:t>
      </w:r>
      <w:r w:rsidRPr="00316FFB">
        <w:t xml:space="preserve">Alternative Fuels Data Center: Sustainable Aviation Fuel </w:t>
      </w:r>
      <w:hyperlink r:id="rId15" w:history="1">
        <w:r w:rsidR="008528BD" w:rsidRPr="008528BD">
          <w:rPr>
            <w:rStyle w:val="Hyperlink"/>
            <w:color w:val="auto"/>
          </w:rPr>
          <w:t>https://afdc.energy.gov/fuels/sustainable-aviation-fuel?utm=syndication</w:t>
        </w:r>
      </w:hyperlink>
    </w:p>
    <w:p w14:paraId="0B576B2F" w14:textId="68706E73" w:rsidR="00E6477F" w:rsidRPr="00316FFB" w:rsidRDefault="00E6477F" w:rsidP="00E6477F">
      <w:pPr>
        <w:pStyle w:val="CETReferencetext"/>
      </w:pPr>
      <w:r w:rsidRPr="009A1DBE">
        <w:t>De Gaetano L</w:t>
      </w:r>
      <w:r w:rsidRPr="00316FFB">
        <w:t xml:space="preserve">., 2023 </w:t>
      </w:r>
      <w:r w:rsidRPr="008528BD">
        <w:rPr>
          <w:i/>
          <w:iCs/>
        </w:rPr>
        <w:t>eFuels and their production, an immediate solution for the Energy Transition</w:t>
      </w:r>
      <w:r w:rsidRPr="00316FFB">
        <w:t xml:space="preserve">. Luciano De Gaetano, Project Director, Technip Energies Italy. </w:t>
      </w:r>
      <w:r w:rsidR="00B769EC" w:rsidRPr="00316FFB">
        <w:t>Journal Impiantisica</w:t>
      </w:r>
      <w:r w:rsidRPr="00316FFB">
        <w:t xml:space="preserve"> Italiana. Industrial Plants ANIMP </w:t>
      </w:r>
    </w:p>
    <w:p w14:paraId="33B79DB3" w14:textId="6B8B12B0" w:rsidR="00E6477F" w:rsidRPr="00316FFB" w:rsidRDefault="00E6477F" w:rsidP="00E6477F">
      <w:pPr>
        <w:pStyle w:val="CETReferencetext"/>
      </w:pPr>
      <w:r w:rsidRPr="009A1DBE">
        <w:t>EIA</w:t>
      </w:r>
      <w:r w:rsidRPr="00316FFB">
        <w:t xml:space="preserve">, </w:t>
      </w:r>
      <w:r w:rsidR="0008566E">
        <w:t xml:space="preserve">2025. </w:t>
      </w:r>
      <w:r w:rsidRPr="00316FFB">
        <w:t>U.S.</w:t>
      </w:r>
      <w:r w:rsidR="0008566E">
        <w:t xml:space="preserve"> Energy Information Administration</w:t>
      </w:r>
      <w:r w:rsidRPr="00316FFB">
        <w:t xml:space="preserve"> production capacity for sustainable aviation fuel to grow - U.S. Energy Information Administration (EIA</w:t>
      </w:r>
      <w:r w:rsidRPr="009A1DBE">
        <w:rPr>
          <w:color w:val="000000" w:themeColor="text1"/>
        </w:rPr>
        <w:t xml:space="preserve">) </w:t>
      </w:r>
      <w:hyperlink r:id="rId16" w:history="1">
        <w:r w:rsidR="006E406C" w:rsidRPr="009A1DBE">
          <w:rPr>
            <w:rStyle w:val="Hyperlink"/>
            <w:color w:val="000000" w:themeColor="text1"/>
          </w:rPr>
          <w:t>https://www.eia.gov/todayinenergy/detail.php?id=62504</w:t>
        </w:r>
      </w:hyperlink>
    </w:p>
    <w:p w14:paraId="2629BBA3" w14:textId="4C070A76" w:rsidR="00E6477F" w:rsidRPr="00316FFB" w:rsidRDefault="00E6477F" w:rsidP="00E6477F">
      <w:pPr>
        <w:pStyle w:val="CETReferencetext"/>
      </w:pPr>
      <w:r w:rsidRPr="009A1DBE">
        <w:t xml:space="preserve">EIB </w:t>
      </w:r>
      <w:r w:rsidRPr="00316FFB">
        <w:t>2023, EIB Project Carbon Footprint Methodologies, Methodologies for the assessment of project greenhouse gas emissions and emission variations.  Version 11.3 January 2023 EIB Project Carbon Footprint Methodologies</w:t>
      </w:r>
    </w:p>
    <w:p w14:paraId="3DC298F9" w14:textId="452927B6" w:rsidR="00183076" w:rsidRPr="009A1DBE" w:rsidRDefault="00183076" w:rsidP="00E6477F">
      <w:pPr>
        <w:pStyle w:val="CETReferencetext"/>
        <w:rPr>
          <w:lang w:val="en-US"/>
        </w:rPr>
      </w:pPr>
      <w:r w:rsidRPr="009A1DBE">
        <w:rPr>
          <w:lang w:val="en-US"/>
        </w:rPr>
        <w:t>Ermini,</w:t>
      </w:r>
      <w:r w:rsidR="009B6187" w:rsidRPr="009A1DBE">
        <w:rPr>
          <w:lang w:val="en-US"/>
        </w:rPr>
        <w:t xml:space="preserve"> M.V, </w:t>
      </w:r>
      <w:r w:rsidRPr="009A1DBE">
        <w:rPr>
          <w:lang w:val="en-US"/>
        </w:rPr>
        <w:t xml:space="preserve"> </w:t>
      </w:r>
      <w:r w:rsidR="009B6187" w:rsidRPr="009A1DBE">
        <w:rPr>
          <w:lang w:val="en-US"/>
        </w:rPr>
        <w:t>Bernardini</w:t>
      </w:r>
      <w:r w:rsidR="00A47A43" w:rsidRPr="009A1DBE">
        <w:rPr>
          <w:lang w:val="en-US"/>
        </w:rPr>
        <w:t xml:space="preserve">, V. </w:t>
      </w:r>
      <w:r w:rsidR="001C7CAE" w:rsidRPr="00316FFB">
        <w:rPr>
          <w:i/>
          <w:iCs/>
        </w:rPr>
        <w:t>Verna M., Campana L.G., Abdullaeva A., Fiorentino L., Florio G., 2023, A Project to Context Decarbonization Analysis (PCDA) to Select the Best Energy Transition Solution Fit for Funding, Chemical Engineering Transactions, 105, 19-24.</w:t>
      </w:r>
      <w:hyperlink r:id="rId17" w:history="1">
        <w:r w:rsidR="00A47A43" w:rsidRPr="009A1DBE">
          <w:rPr>
            <w:rStyle w:val="Hyperlink"/>
            <w:i/>
            <w:iCs/>
            <w:color w:val="000000" w:themeColor="text1"/>
          </w:rPr>
          <w:t>https://doi.org/10.3303/CET23105004</w:t>
        </w:r>
      </w:hyperlink>
    </w:p>
    <w:p w14:paraId="2A102D5D" w14:textId="5F455DDA" w:rsidR="00E6477F" w:rsidRPr="00316FFB" w:rsidRDefault="00E6477F" w:rsidP="00E6477F">
      <w:pPr>
        <w:pStyle w:val="CETReferencetext"/>
      </w:pPr>
      <w:r w:rsidRPr="009A1DBE">
        <w:t xml:space="preserve">Eyberg, et. </w:t>
      </w:r>
      <w:r w:rsidR="0063720D" w:rsidRPr="009A1DBE">
        <w:t>all</w:t>
      </w:r>
      <w:r w:rsidR="0063720D" w:rsidRPr="00316FFB">
        <w:t>,</w:t>
      </w:r>
      <w:r w:rsidRPr="00316FFB">
        <w:t xml:space="preserve"> 2024 Techno-economic assessment and comparison of Fischer–Tropsch and Methanol-to-Jet processes to produce sustainable aviation fuel via Power-to-Liquid, V Energy Conversion and Management, Volume 315, 2024, 118728, ISSN 0196-8904, https://doi.org/10.1016/j.enconman.2024.118728. </w:t>
      </w:r>
      <w:hyperlink r:id="rId18" w:history="1">
        <w:r w:rsidR="006E406C" w:rsidRPr="009A1DBE">
          <w:rPr>
            <w:rStyle w:val="Hyperlink"/>
            <w:color w:val="000000" w:themeColor="text1"/>
          </w:rPr>
          <w:t>https://www.sciencedirect.com/science/article/pii/S0196890424006691</w:t>
        </w:r>
      </w:hyperlink>
    </w:p>
    <w:p w14:paraId="49A917C2" w14:textId="72B9F3EE" w:rsidR="00E6477F" w:rsidRPr="00316FFB" w:rsidRDefault="000C5D93" w:rsidP="00E6477F">
      <w:pPr>
        <w:pStyle w:val="CETReferencetext"/>
      </w:pPr>
      <w:r w:rsidRPr="000C5D93">
        <w:t xml:space="preserve">Collis, J. Duch, </w:t>
      </w:r>
      <w:r>
        <w:t>K</w:t>
      </w:r>
      <w:r w:rsidRPr="000C5D93">
        <w:t xml:space="preserve">., </w:t>
      </w:r>
      <w:proofErr w:type="spellStart"/>
      <w:r w:rsidRPr="000C5D93">
        <w:t>Schomcke</w:t>
      </w:r>
      <w:r>
        <w:t>r</w:t>
      </w:r>
      <w:proofErr w:type="spellEnd"/>
      <w:r w:rsidRPr="000C5D93">
        <w:t>, R.</w:t>
      </w:r>
      <w:r w:rsidR="00E6477F" w:rsidRPr="00316FFB">
        <w:t xml:space="preserve">, 2022. Techno-economic assessment of jet fuel production using the Fischer-Tropsch process from steel mill </w:t>
      </w:r>
      <w:r w:rsidR="0063720D" w:rsidRPr="00316FFB">
        <w:t>gas.</w:t>
      </w:r>
      <w:r w:rsidR="00E6477F" w:rsidRPr="00316FFB">
        <w:t xml:space="preserve"> Front. Energy </w:t>
      </w:r>
      <w:r w:rsidR="0063720D" w:rsidRPr="00316FFB">
        <w:t>Res.,</w:t>
      </w:r>
      <w:r w:rsidR="00E6477F" w:rsidRPr="00316FFB">
        <w:t xml:space="preserve"> Sec. Carbon Capture, Utilization and Storage Volume 10 - 2022 | </w:t>
      </w:r>
      <w:hyperlink r:id="rId19" w:history="1">
        <w:r w:rsidR="006E406C" w:rsidRPr="009A1DBE">
          <w:rPr>
            <w:rStyle w:val="Hyperlink"/>
            <w:color w:val="000000" w:themeColor="text1"/>
          </w:rPr>
          <w:t>https://doi.org/10.3389/fenrg.2022.1049229</w:t>
        </w:r>
      </w:hyperlink>
    </w:p>
    <w:p w14:paraId="7701588C" w14:textId="12F3BFFD" w:rsidR="00E6477F" w:rsidRPr="009A1DBE" w:rsidRDefault="00E6477F" w:rsidP="00E6477F">
      <w:pPr>
        <w:pStyle w:val="CETReferencetext"/>
        <w:rPr>
          <w:color w:val="000000" w:themeColor="text1"/>
        </w:rPr>
      </w:pPr>
      <w:r w:rsidRPr="009A1DBE">
        <w:t xml:space="preserve">Malina </w:t>
      </w:r>
      <w:r w:rsidR="0063720D" w:rsidRPr="009A1DBE">
        <w:t>R.,</w:t>
      </w:r>
      <w:r w:rsidRPr="009A1DBE">
        <w:t xml:space="preserve"> et </w:t>
      </w:r>
      <w:r w:rsidR="0063720D" w:rsidRPr="009A1DBE">
        <w:t>all</w:t>
      </w:r>
      <w:r w:rsidR="00567074">
        <w:t xml:space="preserve"> 2022</w:t>
      </w:r>
      <w:r w:rsidR="0063720D" w:rsidRPr="00316FFB">
        <w:t xml:space="preserve"> The</w:t>
      </w:r>
      <w:r w:rsidRPr="00316FFB">
        <w:t xml:space="preserve"> Role of Sustainable Aviation Fuels in Decarbonizing Air Transport.  World Bank Group. </w:t>
      </w:r>
      <w:hyperlink r:id="rId20" w:history="1">
        <w:r w:rsidR="006E073B" w:rsidRPr="009A1DBE">
          <w:rPr>
            <w:rStyle w:val="Hyperlink"/>
            <w:color w:val="000000" w:themeColor="text1"/>
          </w:rPr>
          <w:t>https://documents1.worldbank.org/curated/en/099845010172249006/pdf/P17486308a996a08b098a10d078d421c6a3.pdf</w:t>
        </w:r>
      </w:hyperlink>
    </w:p>
    <w:p w14:paraId="288D3E05" w14:textId="35CF4465" w:rsidR="001446E3" w:rsidRPr="00316FFB" w:rsidRDefault="001446E3" w:rsidP="001446E3">
      <w:pPr>
        <w:pStyle w:val="CETReferencetext"/>
        <w:rPr>
          <w:i/>
          <w:iCs/>
          <w:u w:val="single"/>
        </w:rPr>
      </w:pPr>
      <w:r w:rsidRPr="00316FFB">
        <w:t>Prussi</w:t>
      </w:r>
      <w:r>
        <w:t>, M.</w:t>
      </w:r>
      <w:r w:rsidRPr="00316FFB">
        <w:t xml:space="preserve"> et. all. 2021 </w:t>
      </w:r>
      <w:r>
        <w:t xml:space="preserve">CORSIA </w:t>
      </w:r>
      <w:r w:rsidRPr="008528BD">
        <w:rPr>
          <w:i/>
          <w:iCs/>
        </w:rPr>
        <w:t xml:space="preserve">The first internationally adopted approach to calculate life cycle GHG emissions for aviation </w:t>
      </w:r>
      <w:proofErr w:type="gramStart"/>
      <w:r w:rsidRPr="008528BD">
        <w:rPr>
          <w:i/>
          <w:iCs/>
        </w:rPr>
        <w:t>fuels.</w:t>
      </w:r>
      <w:r w:rsidRPr="00316FFB">
        <w:t>.</w:t>
      </w:r>
      <w:proofErr w:type="gramEnd"/>
      <w:r w:rsidRPr="00316FFB">
        <w:t xml:space="preserve"> Renewable and Sustainable Energy Reviews, Volume 150, 2021, 111398, ISSN 1364-0321</w:t>
      </w:r>
      <w:r w:rsidRPr="00B42847">
        <w:rPr>
          <w:i/>
          <w:iCs/>
          <w:u w:val="single"/>
        </w:rPr>
        <w:t>,</w:t>
      </w:r>
      <w:r w:rsidRPr="00B42847">
        <w:rPr>
          <w:u w:val="single"/>
        </w:rPr>
        <w:t xml:space="preserve"> </w:t>
      </w:r>
      <w:hyperlink r:id="rId21" w:history="1">
        <w:r w:rsidRPr="00B42847">
          <w:rPr>
            <w:rStyle w:val="Hyperlink"/>
            <w:color w:val="auto"/>
          </w:rPr>
          <w:t>https://doi.org/10.1016/j.rser.2021.111398</w:t>
        </w:r>
      </w:hyperlink>
    </w:p>
    <w:p w14:paraId="3D053073" w14:textId="0F3D0449" w:rsidR="006E406C" w:rsidRPr="00316FFB" w:rsidRDefault="006E073B" w:rsidP="001C7CAE">
      <w:pPr>
        <w:tabs>
          <w:tab w:val="clear" w:pos="7100"/>
        </w:tabs>
        <w:spacing w:after="160" w:line="278" w:lineRule="auto"/>
        <w:jc w:val="left"/>
      </w:pPr>
      <w:r w:rsidRPr="009A1DBE">
        <w:t xml:space="preserve">UK </w:t>
      </w:r>
      <w:r w:rsidR="00B448C1">
        <w:t xml:space="preserve">DEFRA 2024, UK </w:t>
      </w:r>
      <w:r w:rsidRPr="009A1DBE">
        <w:t>Government</w:t>
      </w:r>
      <w:r w:rsidRPr="00316FFB">
        <w:t xml:space="preserve"> GHG Conversion Factors for Company Reporting, 2024. ghg-conversion-factors-2024-full_set__for_advanced_users__v1_1</w:t>
      </w:r>
    </w:p>
    <w:sectPr w:rsidR="006E406C" w:rsidRPr="00316FFB"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CBE42" w14:textId="77777777" w:rsidR="000F07B3" w:rsidRDefault="000F07B3" w:rsidP="004F5E36">
      <w:r>
        <w:separator/>
      </w:r>
    </w:p>
  </w:endnote>
  <w:endnote w:type="continuationSeparator" w:id="0">
    <w:p w14:paraId="1760EAF8" w14:textId="77777777" w:rsidR="000F07B3" w:rsidRDefault="000F07B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8191868"/>
      <w:docPartObj>
        <w:docPartGallery w:val="Page Numbers (Bottom of Page)"/>
        <w:docPartUnique/>
      </w:docPartObj>
    </w:sdtPr>
    <w:sdtEndPr>
      <w:rPr>
        <w:noProof/>
      </w:rPr>
    </w:sdtEndPr>
    <w:sdtContent>
      <w:p w14:paraId="18C8EE13" w14:textId="77777777" w:rsidR="00E6477F" w:rsidRDefault="00E6477F" w:rsidP="00767F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620ED0" w14:textId="77777777" w:rsidR="00E6477F" w:rsidRDefault="00E64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6DFE7" w14:textId="77777777" w:rsidR="000F07B3" w:rsidRDefault="000F07B3" w:rsidP="004F5E36">
      <w:r>
        <w:separator/>
      </w:r>
    </w:p>
  </w:footnote>
  <w:footnote w:type="continuationSeparator" w:id="0">
    <w:p w14:paraId="62AFAB2C" w14:textId="77777777" w:rsidR="000F07B3" w:rsidRDefault="000F07B3"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4BC04" w14:textId="67898B22" w:rsidR="00E6477F" w:rsidRDefault="006E073B">
    <w:pPr>
      <w:pStyle w:val="Header"/>
    </w:pPr>
    <w:r>
      <w:rPr>
        <w:noProof/>
      </w:rPr>
      <mc:AlternateContent>
        <mc:Choice Requires="wps">
          <w:drawing>
            <wp:anchor distT="0" distB="0" distL="0" distR="0" simplePos="0" relativeHeight="251659264" behindDoc="0" locked="0" layoutInCell="1" allowOverlap="1" wp14:anchorId="22AB76D0" wp14:editId="76143165">
              <wp:simplePos x="635" y="635"/>
              <wp:positionH relativeFrom="page">
                <wp:align>left</wp:align>
              </wp:positionH>
              <wp:positionV relativeFrom="page">
                <wp:align>top</wp:align>
              </wp:positionV>
              <wp:extent cx="2950210" cy="361315"/>
              <wp:effectExtent l="0" t="0" r="2540" b="635"/>
              <wp:wrapNone/>
              <wp:docPr id="548537460" name="Text Box 5" descr="TechnipEnergies | General | Anyone - No Protec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950210" cy="361315"/>
                      </a:xfrm>
                      <a:prstGeom prst="rect">
                        <a:avLst/>
                      </a:prstGeom>
                      <a:noFill/>
                      <a:ln>
                        <a:noFill/>
                      </a:ln>
                    </wps:spPr>
                    <wps:txbx>
                      <w:txbxContent>
                        <w:p w14:paraId="58319F25" w14:textId="02B338C5" w:rsidR="006E073B" w:rsidRPr="006E073B" w:rsidRDefault="006E073B" w:rsidP="006E073B">
                          <w:pPr>
                            <w:rPr>
                              <w:rFonts w:ascii="Calibri" w:eastAsia="Calibri" w:hAnsi="Calibri" w:cs="Calibri"/>
                              <w:noProof/>
                              <w:color w:val="000000"/>
                              <w:sz w:val="20"/>
                            </w:rPr>
                          </w:pPr>
                          <w:r w:rsidRPr="006E073B">
                            <w:rPr>
                              <w:rFonts w:ascii="Calibri" w:eastAsia="Calibri" w:hAnsi="Calibri" w:cs="Calibri"/>
                              <w:noProof/>
                              <w:color w:val="000000"/>
                              <w:sz w:val="20"/>
                            </w:rPr>
                            <w:t>TechnipEnergies | General | Anyone - No Protection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2AB76D0" id="_x0000_t202" coordsize="21600,21600" o:spt="202" path="m,l,21600r21600,l21600,xe">
              <v:stroke joinstyle="miter"/>
              <v:path gradientshapeok="t" o:connecttype="rect"/>
            </v:shapetype>
            <v:shape id="Text Box 5" o:spid="_x0000_s1026" type="#_x0000_t202" alt="TechnipEnergies | General | Anyone - No Protection" style="position:absolute;left:0;text-align:left;margin-left:0;margin-top:0;width:232.3pt;height:28.4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" filled="f" stroked="f">
              <v:textbox style="mso-fit-shape-to-text:t" inset="20pt,15pt,0,0">
                <w:txbxContent>
                  <w:p w14:paraId="58319F25" w14:textId="02B338C5" w:rsidR="006E073B" w:rsidRPr="006E073B" w:rsidRDefault="006E073B" w:rsidP="006E073B">
                    <w:pPr>
                      <w:rPr>
                        <w:rFonts w:ascii="Calibri" w:eastAsia="Calibri" w:hAnsi="Calibri" w:cs="Calibri"/>
                        <w:noProof/>
                        <w:color w:val="000000"/>
                        <w:sz w:val="20"/>
                      </w:rPr>
                    </w:pPr>
                    <w:r w:rsidRPr="006E073B">
                      <w:rPr>
                        <w:rFonts w:ascii="Calibri" w:eastAsia="Calibri" w:hAnsi="Calibri" w:cs="Calibri"/>
                        <w:noProof/>
                        <w:color w:val="000000"/>
                        <w:sz w:val="20"/>
                      </w:rPr>
                      <w:t>TechnipEnergies | General | Anyone - No Protection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2C5A4533"/>
    <w:multiLevelType w:val="hybridMultilevel"/>
    <w:tmpl w:val="F8DE0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237E9D"/>
    <w:multiLevelType w:val="hybridMultilevel"/>
    <w:tmpl w:val="5F0480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29C0F8C"/>
    <w:multiLevelType w:val="hybridMultilevel"/>
    <w:tmpl w:val="55227F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D2B3600"/>
    <w:multiLevelType w:val="hybridMultilevel"/>
    <w:tmpl w:val="AAA65572"/>
    <w:lvl w:ilvl="0" w:tplc="04100001">
      <w:start w:val="1"/>
      <w:numFmt w:val="bullet"/>
      <w:lvlText w:val=""/>
      <w:lvlJc w:val="left"/>
      <w:pPr>
        <w:ind w:left="720" w:hanging="360"/>
      </w:pPr>
      <w:rPr>
        <w:rFonts w:ascii="Symbol" w:hAnsi="Symbol" w:hint="default"/>
      </w:rPr>
    </w:lvl>
    <w:lvl w:ilvl="1" w:tplc="8A1609F6">
      <w:numFmt w:val="bullet"/>
      <w:lvlText w:val="•"/>
      <w:lvlJc w:val="left"/>
      <w:pPr>
        <w:ind w:left="5270" w:hanging="419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3"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E4F3C72"/>
    <w:multiLevelType w:val="hybridMultilevel"/>
    <w:tmpl w:val="2A0A1E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1BA2B58"/>
    <w:multiLevelType w:val="hybridMultilevel"/>
    <w:tmpl w:val="4D7A90C2"/>
    <w:lvl w:ilvl="0" w:tplc="0410000F">
      <w:start w:val="1"/>
      <w:numFmt w:val="decimal"/>
      <w:lvlText w:val="%1."/>
      <w:lvlJc w:val="left"/>
      <w:pPr>
        <w:ind w:left="720" w:hanging="360"/>
      </w:pPr>
    </w:lvl>
    <w:lvl w:ilvl="1" w:tplc="E0C22BDC">
      <w:numFmt w:val="bullet"/>
      <w:lvlText w:val="•"/>
      <w:lvlJc w:val="left"/>
      <w:pPr>
        <w:ind w:left="1790" w:hanging="710"/>
      </w:pPr>
      <w:rPr>
        <w:rFonts w:ascii="Arial" w:eastAsia="Times New Roman" w:hAnsi="Arial" w:cs="Arial"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6557C94"/>
    <w:multiLevelType w:val="hybridMultilevel"/>
    <w:tmpl w:val="02A4C7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22"/>
  </w:num>
  <w:num w:numId="13" w16cid:durableId="695733619">
    <w:abstractNumId w:val="14"/>
  </w:num>
  <w:num w:numId="14" w16cid:durableId="145903400">
    <w:abstractNumId w:val="23"/>
  </w:num>
  <w:num w:numId="15" w16cid:durableId="19162326">
    <w:abstractNumId w:val="26"/>
  </w:num>
  <w:num w:numId="16" w16cid:durableId="1977102699">
    <w:abstractNumId w:val="25"/>
  </w:num>
  <w:num w:numId="17" w16cid:durableId="860774865">
    <w:abstractNumId w:val="13"/>
  </w:num>
  <w:num w:numId="18" w16cid:durableId="313221457">
    <w:abstractNumId w:val="14"/>
    <w:lvlOverride w:ilvl="0">
      <w:startOverride w:val="1"/>
    </w:lvlOverride>
  </w:num>
  <w:num w:numId="19" w16cid:durableId="534971577">
    <w:abstractNumId w:val="21"/>
  </w:num>
  <w:num w:numId="20" w16cid:durableId="1150947773">
    <w:abstractNumId w:val="20"/>
  </w:num>
  <w:num w:numId="21" w16cid:durableId="124660497">
    <w:abstractNumId w:val="17"/>
  </w:num>
  <w:num w:numId="22" w16cid:durableId="2099861471">
    <w:abstractNumId w:val="15"/>
  </w:num>
  <w:num w:numId="23" w16cid:durableId="84351335">
    <w:abstractNumId w:val="10"/>
  </w:num>
  <w:num w:numId="24" w16cid:durableId="538782700">
    <w:abstractNumId w:val="16"/>
  </w:num>
  <w:num w:numId="25" w16cid:durableId="1553811282">
    <w:abstractNumId w:val="19"/>
  </w:num>
  <w:num w:numId="26" w16cid:durableId="503478622">
    <w:abstractNumId w:val="24"/>
  </w:num>
  <w:num w:numId="27" w16cid:durableId="1739131089">
    <w:abstractNumId w:val="28"/>
  </w:num>
  <w:num w:numId="28" w16cid:durableId="1359889214">
    <w:abstractNumId w:val="27"/>
  </w:num>
  <w:num w:numId="29" w16cid:durableId="492916522">
    <w:abstractNumId w:val="18"/>
  </w:num>
  <w:num w:numId="30" w16cid:durableId="11809678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2EE3"/>
    <w:rsid w:val="00004D2C"/>
    <w:rsid w:val="000052FB"/>
    <w:rsid w:val="00005A19"/>
    <w:rsid w:val="000117CB"/>
    <w:rsid w:val="00027CAF"/>
    <w:rsid w:val="0003148D"/>
    <w:rsid w:val="00031EEC"/>
    <w:rsid w:val="00036DB4"/>
    <w:rsid w:val="00041FC2"/>
    <w:rsid w:val="00051566"/>
    <w:rsid w:val="000562A9"/>
    <w:rsid w:val="00062A9A"/>
    <w:rsid w:val="00065058"/>
    <w:rsid w:val="0008566E"/>
    <w:rsid w:val="00086C39"/>
    <w:rsid w:val="000A03B2"/>
    <w:rsid w:val="000B4079"/>
    <w:rsid w:val="000B438B"/>
    <w:rsid w:val="000C5D93"/>
    <w:rsid w:val="000D0268"/>
    <w:rsid w:val="000D34BE"/>
    <w:rsid w:val="000E0B3C"/>
    <w:rsid w:val="000E102F"/>
    <w:rsid w:val="000E2B16"/>
    <w:rsid w:val="000E323F"/>
    <w:rsid w:val="000E36F1"/>
    <w:rsid w:val="000E3A73"/>
    <w:rsid w:val="000E414A"/>
    <w:rsid w:val="000E75FD"/>
    <w:rsid w:val="000F07B3"/>
    <w:rsid w:val="000F093C"/>
    <w:rsid w:val="000F563E"/>
    <w:rsid w:val="000F787B"/>
    <w:rsid w:val="00107DC5"/>
    <w:rsid w:val="001111F0"/>
    <w:rsid w:val="00117037"/>
    <w:rsid w:val="0012091F"/>
    <w:rsid w:val="00126BC2"/>
    <w:rsid w:val="001308B6"/>
    <w:rsid w:val="0013121F"/>
    <w:rsid w:val="00131FE6"/>
    <w:rsid w:val="0013263F"/>
    <w:rsid w:val="001331DF"/>
    <w:rsid w:val="00134DE4"/>
    <w:rsid w:val="0014034D"/>
    <w:rsid w:val="00140FE3"/>
    <w:rsid w:val="001442BB"/>
    <w:rsid w:val="001446E3"/>
    <w:rsid w:val="00144D16"/>
    <w:rsid w:val="00150E59"/>
    <w:rsid w:val="00152DE3"/>
    <w:rsid w:val="001545A3"/>
    <w:rsid w:val="00164CF9"/>
    <w:rsid w:val="00165F62"/>
    <w:rsid w:val="001667A6"/>
    <w:rsid w:val="0018171E"/>
    <w:rsid w:val="00183076"/>
    <w:rsid w:val="00184AD6"/>
    <w:rsid w:val="00190A53"/>
    <w:rsid w:val="001A4AF7"/>
    <w:rsid w:val="001B0349"/>
    <w:rsid w:val="001B1E93"/>
    <w:rsid w:val="001B2B4F"/>
    <w:rsid w:val="001B65C1"/>
    <w:rsid w:val="001C260F"/>
    <w:rsid w:val="001C5C3A"/>
    <w:rsid w:val="001C684B"/>
    <w:rsid w:val="001C7CAE"/>
    <w:rsid w:val="001D0CFB"/>
    <w:rsid w:val="001D21AF"/>
    <w:rsid w:val="001D53FC"/>
    <w:rsid w:val="001F42A5"/>
    <w:rsid w:val="001F7B9D"/>
    <w:rsid w:val="00201C93"/>
    <w:rsid w:val="002224B4"/>
    <w:rsid w:val="00234C09"/>
    <w:rsid w:val="002447EF"/>
    <w:rsid w:val="00251550"/>
    <w:rsid w:val="002571F5"/>
    <w:rsid w:val="00263B05"/>
    <w:rsid w:val="0027221A"/>
    <w:rsid w:val="00274E9C"/>
    <w:rsid w:val="00275B61"/>
    <w:rsid w:val="00280FAF"/>
    <w:rsid w:val="00282656"/>
    <w:rsid w:val="00283CFF"/>
    <w:rsid w:val="00296B83"/>
    <w:rsid w:val="002A1D7B"/>
    <w:rsid w:val="002A2805"/>
    <w:rsid w:val="002B4015"/>
    <w:rsid w:val="002B78CE"/>
    <w:rsid w:val="002C2FB6"/>
    <w:rsid w:val="002D1542"/>
    <w:rsid w:val="002D43D4"/>
    <w:rsid w:val="002D5456"/>
    <w:rsid w:val="002E5FA7"/>
    <w:rsid w:val="002F3309"/>
    <w:rsid w:val="003008CE"/>
    <w:rsid w:val="003009B7"/>
    <w:rsid w:val="00300E56"/>
    <w:rsid w:val="0030152C"/>
    <w:rsid w:val="0030469C"/>
    <w:rsid w:val="00316FFB"/>
    <w:rsid w:val="00321CA6"/>
    <w:rsid w:val="00323763"/>
    <w:rsid w:val="00323C5F"/>
    <w:rsid w:val="00330C53"/>
    <w:rsid w:val="00334C09"/>
    <w:rsid w:val="00350D40"/>
    <w:rsid w:val="00355487"/>
    <w:rsid w:val="00357B9D"/>
    <w:rsid w:val="003602D3"/>
    <w:rsid w:val="003723D4"/>
    <w:rsid w:val="00381905"/>
    <w:rsid w:val="00384CC8"/>
    <w:rsid w:val="003871FD"/>
    <w:rsid w:val="003904D3"/>
    <w:rsid w:val="003A1E30"/>
    <w:rsid w:val="003A2829"/>
    <w:rsid w:val="003A7D1C"/>
    <w:rsid w:val="003B304B"/>
    <w:rsid w:val="003B3146"/>
    <w:rsid w:val="003B3801"/>
    <w:rsid w:val="003B49CD"/>
    <w:rsid w:val="003C27DF"/>
    <w:rsid w:val="003D1E02"/>
    <w:rsid w:val="003F015E"/>
    <w:rsid w:val="00400414"/>
    <w:rsid w:val="0041446B"/>
    <w:rsid w:val="0044071E"/>
    <w:rsid w:val="0044329C"/>
    <w:rsid w:val="00453E24"/>
    <w:rsid w:val="00457456"/>
    <w:rsid w:val="004577FE"/>
    <w:rsid w:val="00457B9C"/>
    <w:rsid w:val="0046164A"/>
    <w:rsid w:val="004628D2"/>
    <w:rsid w:val="00462DCD"/>
    <w:rsid w:val="004648AD"/>
    <w:rsid w:val="004703A9"/>
    <w:rsid w:val="004760DE"/>
    <w:rsid w:val="004763D7"/>
    <w:rsid w:val="004A004E"/>
    <w:rsid w:val="004A24CF"/>
    <w:rsid w:val="004C3D1D"/>
    <w:rsid w:val="004C3D84"/>
    <w:rsid w:val="004C7913"/>
    <w:rsid w:val="004E2B84"/>
    <w:rsid w:val="004E4DD6"/>
    <w:rsid w:val="004F5E36"/>
    <w:rsid w:val="00507B47"/>
    <w:rsid w:val="00507BEF"/>
    <w:rsid w:val="00507CC9"/>
    <w:rsid w:val="005119A5"/>
    <w:rsid w:val="00516153"/>
    <w:rsid w:val="005278B7"/>
    <w:rsid w:val="00530563"/>
    <w:rsid w:val="00532016"/>
    <w:rsid w:val="005346C8"/>
    <w:rsid w:val="00543E7D"/>
    <w:rsid w:val="00547A68"/>
    <w:rsid w:val="005531C9"/>
    <w:rsid w:val="00554879"/>
    <w:rsid w:val="00567074"/>
    <w:rsid w:val="00570C43"/>
    <w:rsid w:val="005849C0"/>
    <w:rsid w:val="00592274"/>
    <w:rsid w:val="00597E92"/>
    <w:rsid w:val="005A3481"/>
    <w:rsid w:val="005B2110"/>
    <w:rsid w:val="005B350B"/>
    <w:rsid w:val="005B3511"/>
    <w:rsid w:val="005B61E6"/>
    <w:rsid w:val="005C0130"/>
    <w:rsid w:val="005C77E1"/>
    <w:rsid w:val="005D23AE"/>
    <w:rsid w:val="005D668A"/>
    <w:rsid w:val="005D6A2F"/>
    <w:rsid w:val="005E0592"/>
    <w:rsid w:val="005E1A82"/>
    <w:rsid w:val="005E794C"/>
    <w:rsid w:val="005F0A28"/>
    <w:rsid w:val="005F0E5E"/>
    <w:rsid w:val="005F4E57"/>
    <w:rsid w:val="006000C5"/>
    <w:rsid w:val="00600535"/>
    <w:rsid w:val="0060270D"/>
    <w:rsid w:val="0060287F"/>
    <w:rsid w:val="00610CD6"/>
    <w:rsid w:val="006135F8"/>
    <w:rsid w:val="00614D5C"/>
    <w:rsid w:val="00617BCE"/>
    <w:rsid w:val="00620DEE"/>
    <w:rsid w:val="00621F92"/>
    <w:rsid w:val="0062280A"/>
    <w:rsid w:val="006231E1"/>
    <w:rsid w:val="00625639"/>
    <w:rsid w:val="00631B33"/>
    <w:rsid w:val="006327E2"/>
    <w:rsid w:val="0063720D"/>
    <w:rsid w:val="0064184D"/>
    <w:rsid w:val="006422CC"/>
    <w:rsid w:val="00651D18"/>
    <w:rsid w:val="00660E3E"/>
    <w:rsid w:val="00662E74"/>
    <w:rsid w:val="006760E2"/>
    <w:rsid w:val="00680C23"/>
    <w:rsid w:val="00683E23"/>
    <w:rsid w:val="00693766"/>
    <w:rsid w:val="006940BF"/>
    <w:rsid w:val="006A3281"/>
    <w:rsid w:val="006A6DE5"/>
    <w:rsid w:val="006B4888"/>
    <w:rsid w:val="006C2E45"/>
    <w:rsid w:val="006C359C"/>
    <w:rsid w:val="006C5579"/>
    <w:rsid w:val="006D6E8B"/>
    <w:rsid w:val="006D7209"/>
    <w:rsid w:val="006E073B"/>
    <w:rsid w:val="006E406C"/>
    <w:rsid w:val="006E737D"/>
    <w:rsid w:val="006F6219"/>
    <w:rsid w:val="007053FC"/>
    <w:rsid w:val="00707DD1"/>
    <w:rsid w:val="00713973"/>
    <w:rsid w:val="00716E0D"/>
    <w:rsid w:val="00720A24"/>
    <w:rsid w:val="00724B8B"/>
    <w:rsid w:val="00730674"/>
    <w:rsid w:val="00732386"/>
    <w:rsid w:val="0073514D"/>
    <w:rsid w:val="007371AA"/>
    <w:rsid w:val="007447F3"/>
    <w:rsid w:val="00744D9F"/>
    <w:rsid w:val="007512A6"/>
    <w:rsid w:val="0075499F"/>
    <w:rsid w:val="00756505"/>
    <w:rsid w:val="007661C8"/>
    <w:rsid w:val="0077098D"/>
    <w:rsid w:val="00785BF9"/>
    <w:rsid w:val="007931FA"/>
    <w:rsid w:val="007A2960"/>
    <w:rsid w:val="007A4861"/>
    <w:rsid w:val="007A7BBA"/>
    <w:rsid w:val="007B0C50"/>
    <w:rsid w:val="007B48F9"/>
    <w:rsid w:val="007C1A43"/>
    <w:rsid w:val="007D0951"/>
    <w:rsid w:val="007D610D"/>
    <w:rsid w:val="0080013E"/>
    <w:rsid w:val="00801759"/>
    <w:rsid w:val="00813288"/>
    <w:rsid w:val="008168FC"/>
    <w:rsid w:val="00830996"/>
    <w:rsid w:val="008345F1"/>
    <w:rsid w:val="008528BD"/>
    <w:rsid w:val="00865B07"/>
    <w:rsid w:val="008667EA"/>
    <w:rsid w:val="0087637F"/>
    <w:rsid w:val="00876EA0"/>
    <w:rsid w:val="008832AA"/>
    <w:rsid w:val="00892AD5"/>
    <w:rsid w:val="00896DEE"/>
    <w:rsid w:val="008A1512"/>
    <w:rsid w:val="008D32B9"/>
    <w:rsid w:val="008D433B"/>
    <w:rsid w:val="008D4A16"/>
    <w:rsid w:val="008E5401"/>
    <w:rsid w:val="008E566E"/>
    <w:rsid w:val="008F00D1"/>
    <w:rsid w:val="0090161A"/>
    <w:rsid w:val="00901EB6"/>
    <w:rsid w:val="009041F8"/>
    <w:rsid w:val="00904C62"/>
    <w:rsid w:val="00904DE4"/>
    <w:rsid w:val="00922BA8"/>
    <w:rsid w:val="00924DAC"/>
    <w:rsid w:val="00927058"/>
    <w:rsid w:val="009301F8"/>
    <w:rsid w:val="0093703C"/>
    <w:rsid w:val="00937EE6"/>
    <w:rsid w:val="00942750"/>
    <w:rsid w:val="0094492D"/>
    <w:rsid w:val="009450CE"/>
    <w:rsid w:val="009459BB"/>
    <w:rsid w:val="00947179"/>
    <w:rsid w:val="0095164B"/>
    <w:rsid w:val="00954090"/>
    <w:rsid w:val="00956872"/>
    <w:rsid w:val="009573E7"/>
    <w:rsid w:val="00957A24"/>
    <w:rsid w:val="00963E05"/>
    <w:rsid w:val="00964A45"/>
    <w:rsid w:val="00967843"/>
    <w:rsid w:val="00967D54"/>
    <w:rsid w:val="00971028"/>
    <w:rsid w:val="00973E24"/>
    <w:rsid w:val="009842FC"/>
    <w:rsid w:val="00993B84"/>
    <w:rsid w:val="00994C6A"/>
    <w:rsid w:val="00996483"/>
    <w:rsid w:val="00996F5A"/>
    <w:rsid w:val="009A1DBE"/>
    <w:rsid w:val="009B041A"/>
    <w:rsid w:val="009B6187"/>
    <w:rsid w:val="009C37C3"/>
    <w:rsid w:val="009C7C86"/>
    <w:rsid w:val="009D2FF7"/>
    <w:rsid w:val="009E7884"/>
    <w:rsid w:val="009E788A"/>
    <w:rsid w:val="009F0E08"/>
    <w:rsid w:val="00A079AE"/>
    <w:rsid w:val="00A1763D"/>
    <w:rsid w:val="00A17CEC"/>
    <w:rsid w:val="00A27EF0"/>
    <w:rsid w:val="00A33E39"/>
    <w:rsid w:val="00A409AB"/>
    <w:rsid w:val="00A42361"/>
    <w:rsid w:val="00A47A43"/>
    <w:rsid w:val="00A50B20"/>
    <w:rsid w:val="00A51390"/>
    <w:rsid w:val="00A52F92"/>
    <w:rsid w:val="00A5334A"/>
    <w:rsid w:val="00A60D13"/>
    <w:rsid w:val="00A61AA4"/>
    <w:rsid w:val="00A7223D"/>
    <w:rsid w:val="00A72745"/>
    <w:rsid w:val="00A75EDD"/>
    <w:rsid w:val="00A76EFC"/>
    <w:rsid w:val="00A77429"/>
    <w:rsid w:val="00A83D21"/>
    <w:rsid w:val="00A87D50"/>
    <w:rsid w:val="00A91010"/>
    <w:rsid w:val="00A97F29"/>
    <w:rsid w:val="00AA58EF"/>
    <w:rsid w:val="00AA702E"/>
    <w:rsid w:val="00AA7D26"/>
    <w:rsid w:val="00AB0964"/>
    <w:rsid w:val="00AB5011"/>
    <w:rsid w:val="00AC7368"/>
    <w:rsid w:val="00AD16B9"/>
    <w:rsid w:val="00AE377D"/>
    <w:rsid w:val="00AF0EBA"/>
    <w:rsid w:val="00AF2463"/>
    <w:rsid w:val="00B02C8A"/>
    <w:rsid w:val="00B0352E"/>
    <w:rsid w:val="00B166AB"/>
    <w:rsid w:val="00B17FBD"/>
    <w:rsid w:val="00B26437"/>
    <w:rsid w:val="00B315A6"/>
    <w:rsid w:val="00B31813"/>
    <w:rsid w:val="00B33365"/>
    <w:rsid w:val="00B355CF"/>
    <w:rsid w:val="00B42847"/>
    <w:rsid w:val="00B448C1"/>
    <w:rsid w:val="00B45269"/>
    <w:rsid w:val="00B57065"/>
    <w:rsid w:val="00B57B36"/>
    <w:rsid w:val="00B57E6F"/>
    <w:rsid w:val="00B747AE"/>
    <w:rsid w:val="00B769EC"/>
    <w:rsid w:val="00B8686D"/>
    <w:rsid w:val="00B93F69"/>
    <w:rsid w:val="00BA3B1A"/>
    <w:rsid w:val="00BB1DDC"/>
    <w:rsid w:val="00BC30C9"/>
    <w:rsid w:val="00BC6541"/>
    <w:rsid w:val="00BD077D"/>
    <w:rsid w:val="00BE3E58"/>
    <w:rsid w:val="00BE44E0"/>
    <w:rsid w:val="00BF13CE"/>
    <w:rsid w:val="00BF20FF"/>
    <w:rsid w:val="00BF24B5"/>
    <w:rsid w:val="00C01616"/>
    <w:rsid w:val="00C0162B"/>
    <w:rsid w:val="00C068ED"/>
    <w:rsid w:val="00C22E0C"/>
    <w:rsid w:val="00C32C7D"/>
    <w:rsid w:val="00C345B1"/>
    <w:rsid w:val="00C36AF1"/>
    <w:rsid w:val="00C40142"/>
    <w:rsid w:val="00C52C3C"/>
    <w:rsid w:val="00C57182"/>
    <w:rsid w:val="00C57863"/>
    <w:rsid w:val="00C62C80"/>
    <w:rsid w:val="00C640AF"/>
    <w:rsid w:val="00C655FD"/>
    <w:rsid w:val="00C75407"/>
    <w:rsid w:val="00C81E7D"/>
    <w:rsid w:val="00C836B6"/>
    <w:rsid w:val="00C841C6"/>
    <w:rsid w:val="00C870A8"/>
    <w:rsid w:val="00C94434"/>
    <w:rsid w:val="00CA0D75"/>
    <w:rsid w:val="00CA1C95"/>
    <w:rsid w:val="00CA4765"/>
    <w:rsid w:val="00CA5A9C"/>
    <w:rsid w:val="00CC4C20"/>
    <w:rsid w:val="00CD06B4"/>
    <w:rsid w:val="00CD3517"/>
    <w:rsid w:val="00CD5FE2"/>
    <w:rsid w:val="00CE44C1"/>
    <w:rsid w:val="00CE7C68"/>
    <w:rsid w:val="00CF003E"/>
    <w:rsid w:val="00CF6874"/>
    <w:rsid w:val="00D02B4C"/>
    <w:rsid w:val="00D040C4"/>
    <w:rsid w:val="00D20AD1"/>
    <w:rsid w:val="00D2582C"/>
    <w:rsid w:val="00D31051"/>
    <w:rsid w:val="00D46B7E"/>
    <w:rsid w:val="00D47A0C"/>
    <w:rsid w:val="00D57C84"/>
    <w:rsid w:val="00D6057D"/>
    <w:rsid w:val="00D71640"/>
    <w:rsid w:val="00D73FD9"/>
    <w:rsid w:val="00D836C5"/>
    <w:rsid w:val="00D84576"/>
    <w:rsid w:val="00D86ECA"/>
    <w:rsid w:val="00DA1399"/>
    <w:rsid w:val="00DA1CF8"/>
    <w:rsid w:val="00DA24C6"/>
    <w:rsid w:val="00DA4D7B"/>
    <w:rsid w:val="00DC2817"/>
    <w:rsid w:val="00DC2840"/>
    <w:rsid w:val="00DC73EE"/>
    <w:rsid w:val="00DD271C"/>
    <w:rsid w:val="00DE264A"/>
    <w:rsid w:val="00DE3351"/>
    <w:rsid w:val="00DF1354"/>
    <w:rsid w:val="00DF5072"/>
    <w:rsid w:val="00E02937"/>
    <w:rsid w:val="00E02D18"/>
    <w:rsid w:val="00E041E7"/>
    <w:rsid w:val="00E23CA1"/>
    <w:rsid w:val="00E32314"/>
    <w:rsid w:val="00E409A8"/>
    <w:rsid w:val="00E50C12"/>
    <w:rsid w:val="00E612C7"/>
    <w:rsid w:val="00E6477F"/>
    <w:rsid w:val="00E65B91"/>
    <w:rsid w:val="00E7209D"/>
    <w:rsid w:val="00E72EAD"/>
    <w:rsid w:val="00E77223"/>
    <w:rsid w:val="00E8528B"/>
    <w:rsid w:val="00E85B94"/>
    <w:rsid w:val="00E978D0"/>
    <w:rsid w:val="00EA0855"/>
    <w:rsid w:val="00EA4613"/>
    <w:rsid w:val="00EA7F91"/>
    <w:rsid w:val="00EB0984"/>
    <w:rsid w:val="00EB1523"/>
    <w:rsid w:val="00EB2D1B"/>
    <w:rsid w:val="00EB7516"/>
    <w:rsid w:val="00EC0E49"/>
    <w:rsid w:val="00EC101F"/>
    <w:rsid w:val="00EC1D9F"/>
    <w:rsid w:val="00EE0131"/>
    <w:rsid w:val="00EE17B0"/>
    <w:rsid w:val="00EE2F73"/>
    <w:rsid w:val="00EF06D9"/>
    <w:rsid w:val="00EF6C2F"/>
    <w:rsid w:val="00F07F82"/>
    <w:rsid w:val="00F16389"/>
    <w:rsid w:val="00F3049E"/>
    <w:rsid w:val="00F30C64"/>
    <w:rsid w:val="00F32BA2"/>
    <w:rsid w:val="00F32CDB"/>
    <w:rsid w:val="00F41EE4"/>
    <w:rsid w:val="00F47094"/>
    <w:rsid w:val="00F565FE"/>
    <w:rsid w:val="00F63A70"/>
    <w:rsid w:val="00F63D8C"/>
    <w:rsid w:val="00F7534E"/>
    <w:rsid w:val="00F93EDF"/>
    <w:rsid w:val="00F94DEB"/>
    <w:rsid w:val="00FA1802"/>
    <w:rsid w:val="00FA21D0"/>
    <w:rsid w:val="00FA5F5F"/>
    <w:rsid w:val="00FB6249"/>
    <w:rsid w:val="00FB730C"/>
    <w:rsid w:val="00FC2695"/>
    <w:rsid w:val="00FC3E03"/>
    <w:rsid w:val="00FC3FC1"/>
    <w:rsid w:val="00FF49B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qFormat/>
    <w:rsid w:val="00280FAF"/>
    <w:pPr>
      <w:ind w:left="720"/>
      <w:contextualSpacing/>
    </w:pPr>
  </w:style>
  <w:style w:type="character" w:customStyle="1" w:styleId="gmail-apple-converted-space">
    <w:name w:val="gmail-apple-converted-space"/>
    <w:basedOn w:val="DefaultParagraphFont"/>
    <w:rsid w:val="00005A19"/>
  </w:style>
  <w:style w:type="character" w:styleId="UnresolvedMention">
    <w:name w:val="Unresolved Mention"/>
    <w:basedOn w:val="DefaultParagraphFont"/>
    <w:uiPriority w:val="99"/>
    <w:semiHidden/>
    <w:unhideWhenUsed/>
    <w:rsid w:val="006E073B"/>
    <w:rPr>
      <w:color w:val="605E5C"/>
      <w:shd w:val="clear" w:color="auto" w:fill="E1DFDD"/>
    </w:rPr>
  </w:style>
  <w:style w:type="paragraph" w:styleId="Revision">
    <w:name w:val="Revision"/>
    <w:hidden/>
    <w:uiPriority w:val="99"/>
    <w:semiHidden/>
    <w:rsid w:val="00716E0D"/>
    <w:pPr>
      <w:spacing w:after="0" w:line="240" w:lineRule="auto"/>
    </w:pPr>
    <w:rPr>
      <w:rFonts w:ascii="Arial" w:eastAsia="Times New Roman" w:hAnsi="Arial" w:cs="Times New Roman"/>
      <w:sz w:val="18"/>
      <w:szCs w:val="20"/>
      <w:lang w:val="en-GB"/>
    </w:rPr>
  </w:style>
  <w:style w:type="character" w:styleId="FollowedHyperlink">
    <w:name w:val="FollowedHyperlink"/>
    <w:basedOn w:val="DefaultParagraphFont"/>
    <w:uiPriority w:val="99"/>
    <w:semiHidden/>
    <w:unhideWhenUsed/>
    <w:rsid w:val="00DC28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62011">
      <w:bodyDiv w:val="1"/>
      <w:marLeft w:val="0"/>
      <w:marRight w:val="0"/>
      <w:marTop w:val="0"/>
      <w:marBottom w:val="0"/>
      <w:divBdr>
        <w:top w:val="none" w:sz="0" w:space="0" w:color="auto"/>
        <w:left w:val="none" w:sz="0" w:space="0" w:color="auto"/>
        <w:bottom w:val="none" w:sz="0" w:space="0" w:color="auto"/>
        <w:right w:val="none" w:sz="0" w:space="0" w:color="auto"/>
      </w:divBdr>
    </w:div>
    <w:div w:id="277444558">
      <w:bodyDiv w:val="1"/>
      <w:marLeft w:val="0"/>
      <w:marRight w:val="0"/>
      <w:marTop w:val="0"/>
      <w:marBottom w:val="0"/>
      <w:divBdr>
        <w:top w:val="none" w:sz="0" w:space="0" w:color="auto"/>
        <w:left w:val="none" w:sz="0" w:space="0" w:color="auto"/>
        <w:bottom w:val="none" w:sz="0" w:space="0" w:color="auto"/>
        <w:right w:val="none" w:sz="0" w:space="0" w:color="auto"/>
      </w:divBdr>
    </w:div>
    <w:div w:id="320743020">
      <w:bodyDiv w:val="1"/>
      <w:marLeft w:val="0"/>
      <w:marRight w:val="0"/>
      <w:marTop w:val="0"/>
      <w:marBottom w:val="0"/>
      <w:divBdr>
        <w:top w:val="none" w:sz="0" w:space="0" w:color="auto"/>
        <w:left w:val="none" w:sz="0" w:space="0" w:color="auto"/>
        <w:bottom w:val="none" w:sz="0" w:space="0" w:color="auto"/>
        <w:right w:val="none" w:sz="0" w:space="0" w:color="auto"/>
      </w:divBdr>
    </w:div>
    <w:div w:id="59081480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99553">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31197052">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1410341">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821191227">
      <w:bodyDiv w:val="1"/>
      <w:marLeft w:val="0"/>
      <w:marRight w:val="0"/>
      <w:marTop w:val="0"/>
      <w:marBottom w:val="0"/>
      <w:divBdr>
        <w:top w:val="none" w:sz="0" w:space="0" w:color="auto"/>
        <w:left w:val="none" w:sz="0" w:space="0" w:color="auto"/>
        <w:bottom w:val="none" w:sz="0" w:space="0" w:color="auto"/>
        <w:right w:val="none" w:sz="0" w:space="0" w:color="auto"/>
      </w:divBdr>
    </w:div>
    <w:div w:id="2054844658">
      <w:bodyDiv w:val="1"/>
      <w:marLeft w:val="0"/>
      <w:marRight w:val="0"/>
      <w:marTop w:val="0"/>
      <w:marBottom w:val="0"/>
      <w:divBdr>
        <w:top w:val="none" w:sz="0" w:space="0" w:color="auto"/>
        <w:left w:val="none" w:sz="0" w:space="0" w:color="auto"/>
        <w:bottom w:val="none" w:sz="0" w:space="0" w:color="auto"/>
        <w:right w:val="none" w:sz="0" w:space="0" w:color="auto"/>
      </w:divBdr>
    </w:div>
    <w:div w:id="2101638921">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s://www.sciencedirect.com/science/article/pii/S0196890424006691" TargetMode="External"/><Relationship Id="rId3" Type="http://schemas.openxmlformats.org/officeDocument/2006/relationships/styles" Target="styles.xml"/><Relationship Id="rId21" Type="http://schemas.openxmlformats.org/officeDocument/2006/relationships/hyperlink" Target="https://doi.org/10.1016/j.rser.2021.111398"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oi.org/10.3303/CET23105004" TargetMode="External"/><Relationship Id="rId2" Type="http://schemas.openxmlformats.org/officeDocument/2006/relationships/numbering" Target="numbering.xml"/><Relationship Id="rId16" Type="http://schemas.openxmlformats.org/officeDocument/2006/relationships/hyperlink" Target="https://www.eia.gov/todayinenergy/detail.php?id=62504" TargetMode="External"/><Relationship Id="rId20" Type="http://schemas.openxmlformats.org/officeDocument/2006/relationships/hyperlink" Target="https://documents1.worldbank.org/curated/en/099845010172249006/pdf/P17486308a996a08b098a10d078d421c6a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afdc.energy.gov/fuels/sustainable-aviation-fuel?utm=syndication"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doi.org/10.3389/fenrg.2022.104922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Metadata/LabelInfo.xml><?xml version="1.0" encoding="utf-8"?>
<clbl:labelList xmlns:clbl="http://schemas.microsoft.com/office/2020/mipLabelMetadata">
  <clbl:label id="{b29603fb-7fab-4bf6-8ed3-004985bb9d91}" enabled="1" method="Standard" siteId="{9179d01a-e94c-4488-b5f0-4554bc474f8c}"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2742</Words>
  <Characters>15630</Characters>
  <Application>Microsoft Office Word</Application>
  <DocSecurity>0</DocSecurity>
  <Lines>130</Lines>
  <Paragraphs>36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Valeria Bernardini</cp:lastModifiedBy>
  <cp:revision>2</cp:revision>
  <cp:lastPrinted>2025-07-22T09:42:00Z</cp:lastPrinted>
  <dcterms:created xsi:type="dcterms:W3CDTF">2025-07-22T09:56:00Z</dcterms:created>
  <dcterms:modified xsi:type="dcterms:W3CDTF">2025-07-22T09:56:00Z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lassificationContentMarkingHeaderShapeIds">
    <vt:lpwstr>52c585da,20b20474,7c29a818</vt:lpwstr>
  </property>
  <property fmtid="{D5CDD505-2E9C-101B-9397-08002B2CF9AE}" pid="5" name="ClassificationContentMarkingHeaderFontProps">
    <vt:lpwstr>#000000,10,Calibri</vt:lpwstr>
  </property>
  <property fmtid="{D5CDD505-2E9C-101B-9397-08002B2CF9AE}" pid="6" name="ClassificationContentMarkingHeaderText">
    <vt:lpwstr>TechnipEnergies | General | Anyone - No Protection</vt:lpwstr>
  </property>
</Properties>
</file>