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727F09" w14:paraId="2A131A54" w14:textId="77777777" w:rsidTr="004D5763">
        <w:trPr>
          <w:trHeight w:val="852"/>
          <w:jc w:val="center"/>
        </w:trPr>
        <w:tc>
          <w:tcPr>
            <w:tcW w:w="6940" w:type="dxa"/>
            <w:vMerge w:val="restart"/>
            <w:tcBorders>
              <w:right w:val="single" w:sz="4" w:space="0" w:color="auto"/>
            </w:tcBorders>
          </w:tcPr>
          <w:p w14:paraId="38C3D2BA" w14:textId="77777777" w:rsidR="000A03B2" w:rsidRPr="00727F09" w:rsidRDefault="000A03B2" w:rsidP="00DE264A">
            <w:pPr>
              <w:tabs>
                <w:tab w:val="left" w:pos="-108"/>
              </w:tabs>
              <w:ind w:left="-108"/>
              <w:jc w:val="left"/>
              <w:rPr>
                <w:rFonts w:cs="Arial"/>
                <w:b/>
                <w:bCs/>
                <w:i/>
                <w:iCs/>
                <w:color w:val="000066"/>
                <w:sz w:val="12"/>
                <w:szCs w:val="12"/>
                <w:lang w:eastAsia="it-IT"/>
              </w:rPr>
            </w:pPr>
            <w:bookmarkStart w:id="0" w:name="_Hlk145068772"/>
            <w:r w:rsidRPr="00727F0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27F09">
              <w:rPr>
                <w:rFonts w:ascii="AdvP6960" w:hAnsi="AdvP6960" w:cs="AdvP6960"/>
                <w:color w:val="241F20"/>
                <w:szCs w:val="18"/>
                <w:lang w:eastAsia="it-IT"/>
              </w:rPr>
              <w:t xml:space="preserve"> </w:t>
            </w:r>
            <w:r w:rsidRPr="00727F09">
              <w:rPr>
                <w:rFonts w:cs="Arial"/>
                <w:b/>
                <w:bCs/>
                <w:i/>
                <w:iCs/>
                <w:color w:val="000066"/>
                <w:sz w:val="24"/>
                <w:szCs w:val="24"/>
                <w:lang w:eastAsia="it-IT"/>
              </w:rPr>
              <w:t>CHEMICAL ENGINEERING</w:t>
            </w:r>
            <w:r w:rsidRPr="00727F09">
              <w:rPr>
                <w:rFonts w:cs="Arial"/>
                <w:b/>
                <w:bCs/>
                <w:i/>
                <w:iCs/>
                <w:color w:val="0033FF"/>
                <w:sz w:val="24"/>
                <w:szCs w:val="24"/>
                <w:lang w:eastAsia="it-IT"/>
              </w:rPr>
              <w:t xml:space="preserve"> </w:t>
            </w:r>
            <w:r w:rsidRPr="00727F09">
              <w:rPr>
                <w:rFonts w:cs="Arial"/>
                <w:b/>
                <w:bCs/>
                <w:i/>
                <w:iCs/>
                <w:color w:val="666666"/>
                <w:sz w:val="24"/>
                <w:szCs w:val="24"/>
                <w:lang w:eastAsia="it-IT"/>
              </w:rPr>
              <w:t>TRANSACTIONS</w:t>
            </w:r>
            <w:r w:rsidRPr="00727F09">
              <w:rPr>
                <w:color w:val="333333"/>
                <w:sz w:val="24"/>
                <w:szCs w:val="24"/>
                <w:lang w:eastAsia="it-IT"/>
              </w:rPr>
              <w:t xml:space="preserve"> </w:t>
            </w:r>
            <w:r w:rsidRPr="00727F09">
              <w:rPr>
                <w:rFonts w:cs="Arial"/>
                <w:b/>
                <w:bCs/>
                <w:i/>
                <w:iCs/>
                <w:color w:val="000066"/>
                <w:sz w:val="27"/>
                <w:szCs w:val="27"/>
                <w:lang w:eastAsia="it-IT"/>
              </w:rPr>
              <w:br/>
            </w:r>
          </w:p>
          <w:p w14:paraId="4B780582" w14:textId="47EF826C" w:rsidR="000A03B2" w:rsidRPr="00727F09" w:rsidRDefault="00A76EFC" w:rsidP="001D21AF">
            <w:pPr>
              <w:tabs>
                <w:tab w:val="left" w:pos="-108"/>
              </w:tabs>
              <w:ind w:left="-108"/>
              <w:rPr>
                <w:rFonts w:cs="Arial"/>
                <w:b/>
                <w:bCs/>
                <w:i/>
                <w:iCs/>
                <w:color w:val="000066"/>
                <w:sz w:val="22"/>
                <w:szCs w:val="22"/>
                <w:lang w:eastAsia="it-IT"/>
              </w:rPr>
            </w:pPr>
            <w:r w:rsidRPr="00727F09">
              <w:rPr>
                <w:rFonts w:cs="Arial"/>
                <w:b/>
                <w:bCs/>
                <w:i/>
                <w:iCs/>
                <w:color w:val="000066"/>
                <w:sz w:val="22"/>
                <w:szCs w:val="22"/>
                <w:lang w:eastAsia="it-IT"/>
              </w:rPr>
              <w:t>VOL.</w:t>
            </w:r>
            <w:r w:rsidR="00785BF9" w:rsidRPr="00727F09">
              <w:rPr>
                <w:rFonts w:cs="Arial"/>
                <w:b/>
                <w:bCs/>
                <w:i/>
                <w:iCs/>
                <w:color w:val="000066"/>
                <w:sz w:val="22"/>
                <w:szCs w:val="22"/>
                <w:lang w:eastAsia="it-IT"/>
              </w:rPr>
              <w:t xml:space="preserve"> </w:t>
            </w:r>
            <w:r w:rsidR="00994C6A" w:rsidRPr="00727F09">
              <w:rPr>
                <w:rFonts w:cs="Arial"/>
                <w:b/>
                <w:bCs/>
                <w:i/>
                <w:iCs/>
                <w:color w:val="000066"/>
                <w:sz w:val="22"/>
                <w:szCs w:val="22"/>
                <w:lang w:eastAsia="it-IT"/>
              </w:rPr>
              <w:t>xxx</w:t>
            </w:r>
            <w:r w:rsidR="007B48F9" w:rsidRPr="00727F09">
              <w:rPr>
                <w:rFonts w:cs="Arial"/>
                <w:b/>
                <w:bCs/>
                <w:i/>
                <w:iCs/>
                <w:color w:val="000066"/>
                <w:sz w:val="22"/>
                <w:szCs w:val="22"/>
                <w:lang w:eastAsia="it-IT"/>
              </w:rPr>
              <w:t>,</w:t>
            </w:r>
            <w:r w:rsidR="00FA5F5F" w:rsidRPr="00727F09">
              <w:rPr>
                <w:rFonts w:cs="Arial"/>
                <w:b/>
                <w:bCs/>
                <w:i/>
                <w:iCs/>
                <w:color w:val="000066"/>
                <w:sz w:val="22"/>
                <w:szCs w:val="22"/>
                <w:lang w:eastAsia="it-IT"/>
              </w:rPr>
              <w:t xml:space="preserve"> </w:t>
            </w:r>
            <w:r w:rsidR="0030152C" w:rsidRPr="00727F09">
              <w:rPr>
                <w:rFonts w:cs="Arial"/>
                <w:b/>
                <w:bCs/>
                <w:i/>
                <w:iCs/>
                <w:color w:val="000066"/>
                <w:sz w:val="22"/>
                <w:szCs w:val="22"/>
                <w:lang w:eastAsia="it-IT"/>
              </w:rPr>
              <w:t>202</w:t>
            </w:r>
            <w:r w:rsidR="00994C6A" w:rsidRPr="00727F09">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727F09" w:rsidRDefault="000A03B2" w:rsidP="00CD5FE2">
            <w:pPr>
              <w:spacing w:line="140" w:lineRule="atLeast"/>
              <w:jc w:val="right"/>
              <w:rPr>
                <w:rFonts w:cs="Arial"/>
                <w:sz w:val="14"/>
                <w:szCs w:val="14"/>
              </w:rPr>
            </w:pPr>
            <w:r w:rsidRPr="00727F09">
              <w:rPr>
                <w:rFonts w:cs="Arial"/>
                <w:sz w:val="14"/>
                <w:szCs w:val="14"/>
              </w:rPr>
              <w:t>A publication of</w:t>
            </w:r>
          </w:p>
          <w:p w14:paraId="599E5441" w14:textId="77777777" w:rsidR="000A03B2" w:rsidRPr="00727F09" w:rsidRDefault="000A03B2" w:rsidP="00CD5FE2">
            <w:pPr>
              <w:jc w:val="right"/>
            </w:pPr>
            <w:r w:rsidRPr="00727F0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27F09" w14:paraId="380FA3CD" w14:textId="77777777" w:rsidTr="004D5763">
        <w:trPr>
          <w:trHeight w:val="567"/>
          <w:jc w:val="center"/>
        </w:trPr>
        <w:tc>
          <w:tcPr>
            <w:tcW w:w="6940" w:type="dxa"/>
            <w:vMerge/>
            <w:tcBorders>
              <w:right w:val="single" w:sz="4" w:space="0" w:color="auto"/>
            </w:tcBorders>
          </w:tcPr>
          <w:p w14:paraId="39E5E4C1" w14:textId="77777777" w:rsidR="000A03B2" w:rsidRPr="00727F0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727F09" w:rsidRDefault="000A03B2" w:rsidP="00CD5FE2">
            <w:pPr>
              <w:spacing w:line="140" w:lineRule="atLeast"/>
              <w:jc w:val="right"/>
              <w:rPr>
                <w:rFonts w:cs="Arial"/>
                <w:sz w:val="14"/>
                <w:szCs w:val="14"/>
              </w:rPr>
            </w:pPr>
            <w:r w:rsidRPr="00727F09">
              <w:rPr>
                <w:rFonts w:cs="Arial"/>
                <w:sz w:val="14"/>
                <w:szCs w:val="14"/>
              </w:rPr>
              <w:t>The Italian Association</w:t>
            </w:r>
          </w:p>
          <w:p w14:paraId="7522B1D2" w14:textId="77777777" w:rsidR="000A03B2" w:rsidRPr="00727F09" w:rsidRDefault="000A03B2" w:rsidP="00CD5FE2">
            <w:pPr>
              <w:spacing w:line="140" w:lineRule="atLeast"/>
              <w:jc w:val="right"/>
              <w:rPr>
                <w:rFonts w:cs="Arial"/>
                <w:sz w:val="14"/>
                <w:szCs w:val="14"/>
              </w:rPr>
            </w:pPr>
            <w:r w:rsidRPr="00727F09">
              <w:rPr>
                <w:rFonts w:cs="Arial"/>
                <w:sz w:val="14"/>
                <w:szCs w:val="14"/>
              </w:rPr>
              <w:t>of Chemical Engineering</w:t>
            </w:r>
          </w:p>
          <w:p w14:paraId="4F0CC5DE" w14:textId="47FDB2FC" w:rsidR="000A03B2" w:rsidRPr="00727F09" w:rsidRDefault="000D0268" w:rsidP="00CD5FE2">
            <w:pPr>
              <w:spacing w:line="140" w:lineRule="atLeast"/>
              <w:jc w:val="right"/>
              <w:rPr>
                <w:rFonts w:cs="Arial"/>
                <w:sz w:val="13"/>
                <w:szCs w:val="13"/>
              </w:rPr>
            </w:pPr>
            <w:r w:rsidRPr="00727F09">
              <w:rPr>
                <w:rFonts w:cs="Arial"/>
                <w:sz w:val="13"/>
                <w:szCs w:val="13"/>
              </w:rPr>
              <w:t>Online at www.cetjournal.it</w:t>
            </w:r>
          </w:p>
        </w:tc>
      </w:tr>
      <w:tr w:rsidR="000A03B2" w:rsidRPr="00727F09" w14:paraId="2D1B7169" w14:textId="77777777" w:rsidTr="004D5763">
        <w:trPr>
          <w:trHeight w:val="68"/>
          <w:jc w:val="center"/>
        </w:trPr>
        <w:tc>
          <w:tcPr>
            <w:tcW w:w="8782" w:type="dxa"/>
            <w:gridSpan w:val="2"/>
          </w:tcPr>
          <w:p w14:paraId="72FBFF79" w14:textId="77777777" w:rsidR="0085664C" w:rsidRPr="008832AA" w:rsidRDefault="0085664C" w:rsidP="0085664C">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Pr="008832AA">
              <w:rPr>
                <w:rFonts w:ascii="Aptos" w:eastAsiaTheme="minorHAnsi" w:hAnsi="Aptos" w:cs="Aptos"/>
                <w:sz w:val="22"/>
                <w:szCs w:val="22"/>
                <w:lang w:val="it-IT"/>
              </w:rPr>
              <w:t xml:space="preserve"> </w:t>
            </w:r>
            <w:r w:rsidRPr="008832AA">
              <w:rPr>
                <w:rFonts w:ascii="Tahoma" w:eastAsiaTheme="minorHAnsi" w:hAnsi="Tahoma" w:cs="Tahoma"/>
                <w:sz w:val="14"/>
                <w:szCs w:val="14"/>
                <w:lang w:val="it-IT"/>
                <w14:ligatures w14:val="standardContextual"/>
              </w:rPr>
              <w:t>David Bogle, Flavio Manenti, Piero Salatino</w:t>
            </w:r>
          </w:p>
          <w:p w14:paraId="1B0F1814" w14:textId="4884B9C5" w:rsidR="000A03B2" w:rsidRPr="00727F09" w:rsidRDefault="0085664C" w:rsidP="0085664C">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81206-21</w:t>
            </w:r>
            <w:r w:rsidRPr="003904D3">
              <w:rPr>
                <w:rFonts w:ascii="Tahoma" w:hAnsi="Tahoma" w:cs="Tahoma"/>
                <w:sz w:val="14"/>
                <w:szCs w:val="14"/>
              </w:rPr>
              <w:t>-</w:t>
            </w:r>
            <w:r>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6F196715" w14:textId="7FD56DF3" w:rsidR="00CD7004" w:rsidRPr="00727F09" w:rsidRDefault="00CD7004" w:rsidP="00CD7004">
      <w:pPr>
        <w:pStyle w:val="CETTitle"/>
        <w:jc w:val="both"/>
      </w:pPr>
      <w:r w:rsidRPr="00727F09">
        <w:t xml:space="preserve">Pressure </w:t>
      </w:r>
      <w:r w:rsidR="001754F3">
        <w:t>R</w:t>
      </w:r>
      <w:r w:rsidRPr="00727F09">
        <w:t xml:space="preserve">isk </w:t>
      </w:r>
      <w:r w:rsidR="001754F3">
        <w:t>M</w:t>
      </w:r>
      <w:r w:rsidRPr="00727F09">
        <w:t xml:space="preserve">anagement in </w:t>
      </w:r>
      <w:r w:rsidR="001754F3">
        <w:t>A</w:t>
      </w:r>
      <w:r w:rsidRPr="00727F09">
        <w:t xml:space="preserve">ccumulation and </w:t>
      </w:r>
      <w:r w:rsidR="001754F3">
        <w:t>T</w:t>
      </w:r>
      <w:r w:rsidRPr="00727F09">
        <w:t xml:space="preserve">ransport </w:t>
      </w:r>
      <w:r w:rsidR="001754F3">
        <w:t>P</w:t>
      </w:r>
      <w:r w:rsidRPr="00727F09">
        <w:t xml:space="preserve">hases of </w:t>
      </w:r>
      <w:r w:rsidR="001754F3">
        <w:t>T</w:t>
      </w:r>
      <w:r w:rsidRPr="00727F09">
        <w:t xml:space="preserve">anks </w:t>
      </w:r>
      <w:r w:rsidR="001754F3">
        <w:t>C</w:t>
      </w:r>
      <w:r w:rsidRPr="00727F09">
        <w:t xml:space="preserve">ontaining </w:t>
      </w:r>
      <w:r w:rsidR="001754F3">
        <w:t>H</w:t>
      </w:r>
      <w:r w:rsidR="0005600B" w:rsidRPr="00727F09">
        <w:t>ydrogen</w:t>
      </w:r>
      <w:r w:rsidRPr="00727F09">
        <w:t xml:space="preserve"> </w:t>
      </w:r>
    </w:p>
    <w:p w14:paraId="3C949567" w14:textId="3E8685C5" w:rsidR="00CD7004" w:rsidRPr="00DD3123" w:rsidRDefault="00CD7004" w:rsidP="00CD7004">
      <w:pPr>
        <w:pStyle w:val="CETAuthors"/>
        <w:rPr>
          <w:lang w:val="it-IT"/>
        </w:rPr>
      </w:pPr>
      <w:r w:rsidRPr="00EB1687">
        <w:rPr>
          <w:lang w:val="it-IT"/>
        </w:rPr>
        <w:t>Vincenzo Nastasi</w:t>
      </w:r>
      <w:r w:rsidRPr="00EB1687">
        <w:rPr>
          <w:vertAlign w:val="superscript"/>
          <w:lang w:val="it-IT"/>
        </w:rPr>
        <w:t>a</w:t>
      </w:r>
      <w:r w:rsidRPr="00EB1687">
        <w:rPr>
          <w:lang w:val="it-IT"/>
        </w:rPr>
        <w:t xml:space="preserve">, </w:t>
      </w:r>
      <w:bookmarkStart w:id="1" w:name="_Hlk176710373"/>
      <w:r w:rsidRPr="00EB1687">
        <w:rPr>
          <w:lang w:val="it-IT"/>
        </w:rPr>
        <w:t>Giovanni Grillone</w:t>
      </w:r>
      <w:bookmarkEnd w:id="1"/>
      <w:r w:rsidRPr="00EB1687">
        <w:rPr>
          <w:vertAlign w:val="superscript"/>
          <w:lang w:val="it-IT"/>
        </w:rPr>
        <w:t>a</w:t>
      </w:r>
      <w:r w:rsidRPr="00EB1687">
        <w:rPr>
          <w:lang w:val="it-IT"/>
        </w:rPr>
        <w:t>, Andrea Tonti</w:t>
      </w:r>
      <w:r w:rsidRPr="00EB1687">
        <w:rPr>
          <w:vertAlign w:val="superscript"/>
          <w:lang w:val="it-IT"/>
        </w:rPr>
        <w:t>b</w:t>
      </w:r>
      <w:r w:rsidRPr="00EB1687">
        <w:rPr>
          <w:lang w:val="it-IT"/>
        </w:rPr>
        <w:t>, Antonino Muratore</w:t>
      </w:r>
      <w:r w:rsidRPr="00EB1687">
        <w:rPr>
          <w:vertAlign w:val="superscript"/>
          <w:lang w:val="it-IT"/>
        </w:rPr>
        <w:t>c</w:t>
      </w:r>
      <w:r w:rsidR="00DD3123" w:rsidRPr="009709EE">
        <w:rPr>
          <w:vertAlign w:val="superscript"/>
          <w:lang w:val="it-IT"/>
        </w:rPr>
        <w:t>,</w:t>
      </w:r>
      <w:r w:rsidR="00DD3123" w:rsidRPr="009709EE">
        <w:rPr>
          <w:lang w:val="it-IT"/>
        </w:rPr>
        <w:t>*</w:t>
      </w:r>
    </w:p>
    <w:p w14:paraId="2B34652A" w14:textId="77777777" w:rsidR="00CD7004" w:rsidRPr="00EB1687" w:rsidRDefault="00CD7004" w:rsidP="00CD7004">
      <w:pPr>
        <w:pStyle w:val="CETAddress"/>
        <w:rPr>
          <w:lang w:val="it-IT"/>
        </w:rPr>
      </w:pPr>
      <w:r w:rsidRPr="00EB1687">
        <w:rPr>
          <w:vertAlign w:val="superscript"/>
          <w:lang w:val="it-IT"/>
        </w:rPr>
        <w:t>a</w:t>
      </w:r>
      <w:r w:rsidRPr="00EB1687">
        <w:rPr>
          <w:lang w:val="it-IT"/>
        </w:rPr>
        <w:t>Inail, UOT Palermo, Viale del Fante 58/D - 90146 Palermo, Italy</w:t>
      </w:r>
    </w:p>
    <w:p w14:paraId="1419C072" w14:textId="77777777" w:rsidR="00CD7004" w:rsidRPr="00EB1687" w:rsidRDefault="00CD7004" w:rsidP="00CD7004">
      <w:pPr>
        <w:pStyle w:val="CETAddress"/>
        <w:rPr>
          <w:lang w:val="it-IT"/>
        </w:rPr>
      </w:pPr>
      <w:bookmarkStart w:id="2" w:name="_Hlk186105918"/>
      <w:r w:rsidRPr="00EB1687">
        <w:rPr>
          <w:vertAlign w:val="superscript"/>
          <w:lang w:val="it-IT"/>
        </w:rPr>
        <w:t>b</w:t>
      </w:r>
      <w:r w:rsidRPr="00EB1687">
        <w:rPr>
          <w:lang w:val="it-IT"/>
        </w:rPr>
        <w:t>Inail, DIT, Via Ferruzzi 38/40 - 00143 Roma, Italy</w:t>
      </w:r>
      <w:bookmarkEnd w:id="2"/>
    </w:p>
    <w:p w14:paraId="3AF89421" w14:textId="77777777" w:rsidR="00CD7004" w:rsidRPr="00EB1687" w:rsidRDefault="00CD7004" w:rsidP="00CD7004">
      <w:pPr>
        <w:pStyle w:val="CETAddress"/>
        <w:rPr>
          <w:lang w:val="it-IT"/>
        </w:rPr>
      </w:pPr>
      <w:r w:rsidRPr="00EB1687">
        <w:rPr>
          <w:vertAlign w:val="superscript"/>
          <w:lang w:val="it-IT"/>
        </w:rPr>
        <w:t>c</w:t>
      </w:r>
      <w:r w:rsidRPr="00EB1687">
        <w:rPr>
          <w:lang w:val="it-IT"/>
        </w:rPr>
        <w:t>Inail, UOT Como, Via Petrarca 4 - 22100 Como, Italy</w:t>
      </w:r>
    </w:p>
    <w:p w14:paraId="6D579119" w14:textId="77777777" w:rsidR="00CD7004" w:rsidRPr="00727F09" w:rsidRDefault="00CD7004" w:rsidP="00CD7004">
      <w:pPr>
        <w:pStyle w:val="CETemail"/>
      </w:pPr>
      <w:r w:rsidRPr="00727F09">
        <w:t>a.muratore@inail.it</w:t>
      </w:r>
    </w:p>
    <w:p w14:paraId="3FC48A90" w14:textId="04174688" w:rsidR="00270D49" w:rsidRPr="00727F09" w:rsidRDefault="00CD7004" w:rsidP="00CD7004">
      <w:pPr>
        <w:pStyle w:val="CETBodytext"/>
        <w:rPr>
          <w:u w:val="single"/>
          <w:lang w:val="en-GB"/>
        </w:rPr>
      </w:pPr>
      <w:r w:rsidRPr="00727F09">
        <w:rPr>
          <w:lang w:val="en-GB"/>
        </w:rPr>
        <w:t>One of the main challenges fac</w:t>
      </w:r>
      <w:r w:rsidR="003A4264" w:rsidRPr="00727F09">
        <w:rPr>
          <w:lang w:val="en-GB"/>
        </w:rPr>
        <w:t>ing</w:t>
      </w:r>
      <w:r w:rsidRPr="00727F09">
        <w:rPr>
          <w:lang w:val="en-GB"/>
        </w:rPr>
        <w:t xml:space="preserve"> in the hydrogen sector is </w:t>
      </w:r>
      <w:r w:rsidR="003A4264" w:rsidRPr="00727F09">
        <w:rPr>
          <w:lang w:val="en-GB"/>
        </w:rPr>
        <w:t>related</w:t>
      </w:r>
      <w:r w:rsidRPr="00727F09">
        <w:rPr>
          <w:lang w:val="en-GB"/>
        </w:rPr>
        <w:t xml:space="preserve"> to the safe storage and transport of this product under pressure. </w:t>
      </w:r>
      <w:r w:rsidR="002D6A98" w:rsidRPr="00727F09">
        <w:rPr>
          <w:lang w:val="en-GB"/>
        </w:rPr>
        <w:t>A</w:t>
      </w:r>
      <w:r w:rsidRPr="00727F09">
        <w:rPr>
          <w:lang w:val="en-GB"/>
        </w:rPr>
        <w:t xml:space="preserve">ccidents involving pressure equipment </w:t>
      </w:r>
      <w:r w:rsidR="007929C9" w:rsidRPr="00727F09">
        <w:rPr>
          <w:lang w:val="en-GB"/>
        </w:rPr>
        <w:t xml:space="preserve">that </w:t>
      </w:r>
      <w:r w:rsidRPr="00727F09">
        <w:rPr>
          <w:lang w:val="en-GB"/>
        </w:rPr>
        <w:t xml:space="preserve">containing hydrogen almost always begin with a leak. The aim of the article, in </w:t>
      </w:r>
      <w:r w:rsidR="00832CDF" w:rsidRPr="00727F09">
        <w:rPr>
          <w:lang w:val="en-GB"/>
        </w:rPr>
        <w:t>the light</w:t>
      </w:r>
      <w:r w:rsidRPr="00727F09">
        <w:rPr>
          <w:lang w:val="en-GB"/>
        </w:rPr>
        <w:t xml:space="preserve"> of the authors</w:t>
      </w:r>
      <w:r w:rsidR="00832CDF" w:rsidRPr="00727F09">
        <w:rPr>
          <w:lang w:val="en-GB"/>
        </w:rPr>
        <w:t>’ institutional experience</w:t>
      </w:r>
      <w:r w:rsidRPr="00727F09">
        <w:rPr>
          <w:lang w:val="en-GB"/>
        </w:rPr>
        <w:t xml:space="preserve">, is to manage the risk </w:t>
      </w:r>
      <w:r w:rsidR="00832CDF" w:rsidRPr="00727F09">
        <w:rPr>
          <w:lang w:val="en-GB"/>
        </w:rPr>
        <w:t xml:space="preserve">of pressure </w:t>
      </w:r>
      <w:r w:rsidRPr="00727F09">
        <w:rPr>
          <w:lang w:val="en-GB"/>
        </w:rPr>
        <w:t>in the storage and transport phase</w:t>
      </w:r>
      <w:r w:rsidR="00832CDF" w:rsidRPr="00727F09">
        <w:rPr>
          <w:lang w:val="en-GB"/>
        </w:rPr>
        <w:t xml:space="preserve"> of hydrogen</w:t>
      </w:r>
      <w:r w:rsidRPr="00727F09">
        <w:rPr>
          <w:lang w:val="en-GB"/>
        </w:rPr>
        <w:t xml:space="preserve"> in </w:t>
      </w:r>
      <w:r w:rsidR="006F2BF0" w:rsidRPr="00727F09">
        <w:rPr>
          <w:lang w:val="en-GB"/>
        </w:rPr>
        <w:t>accordance with</w:t>
      </w:r>
      <w:r w:rsidRPr="00727F09">
        <w:rPr>
          <w:lang w:val="en-GB"/>
        </w:rPr>
        <w:t xml:space="preserve"> European legislation. This </w:t>
      </w:r>
      <w:r w:rsidR="00832CDF" w:rsidRPr="00727F09">
        <w:rPr>
          <w:lang w:val="en-GB"/>
        </w:rPr>
        <w:t>legislation</w:t>
      </w:r>
      <w:r w:rsidRPr="00727F09">
        <w:rPr>
          <w:lang w:val="en-GB"/>
        </w:rPr>
        <w:t xml:space="preserve"> concerns: a) PED directive, 2014/68/EU (Pressure Equipment Directive), for fixed installations; b) TPED Directive, 2010/35/EU (Transportable Pressure Equipment Directive) through compliance with the requirements </w:t>
      </w:r>
      <w:r w:rsidR="00832CDF" w:rsidRPr="00727F09">
        <w:rPr>
          <w:lang w:val="en-GB"/>
        </w:rPr>
        <w:t>set out</w:t>
      </w:r>
      <w:r w:rsidRPr="00727F09">
        <w:rPr>
          <w:lang w:val="en-GB"/>
        </w:rPr>
        <w:t xml:space="preserve"> in Directive 2008/68/EC and subsequent updates which incorporates the international agreements relating to the international transport of dangerous goods by road (ADR), the Regulation </w:t>
      </w:r>
      <w:r w:rsidR="00832CDF" w:rsidRPr="00727F09">
        <w:rPr>
          <w:lang w:val="en-GB"/>
        </w:rPr>
        <w:t>concerning</w:t>
      </w:r>
      <w:r w:rsidRPr="00727F09">
        <w:rPr>
          <w:lang w:val="en-GB"/>
        </w:rPr>
        <w:t xml:space="preserve"> the International Carriage of Dangerous Goods by Rail (RID) and the European Agreement </w:t>
      </w:r>
      <w:r w:rsidR="00832CDF" w:rsidRPr="00727F09">
        <w:rPr>
          <w:lang w:val="en-GB"/>
        </w:rPr>
        <w:t>concerning</w:t>
      </w:r>
      <w:r w:rsidRPr="00727F09">
        <w:rPr>
          <w:lang w:val="en-GB"/>
        </w:rPr>
        <w:t xml:space="preserve"> the International Carriage of Dangerous Goods by Inland Waterways (ADN). In Italy, in addition to the European </w:t>
      </w:r>
      <w:r w:rsidR="00832CDF" w:rsidRPr="00727F09">
        <w:rPr>
          <w:lang w:val="en-GB"/>
        </w:rPr>
        <w:t>legislation</w:t>
      </w:r>
      <w:r w:rsidRPr="00727F09">
        <w:rPr>
          <w:lang w:val="en-GB"/>
        </w:rPr>
        <w:t>, Legislative Decree 81/08, Ministerial Decree 329/2004 and Ministerial Decree 11/04/2011</w:t>
      </w:r>
      <w:r w:rsidR="00832CDF" w:rsidRPr="00727F09">
        <w:rPr>
          <w:lang w:val="en-GB"/>
        </w:rPr>
        <w:t xml:space="preserve"> must also be taken into consideration during the exercise </w:t>
      </w:r>
      <w:r w:rsidR="006701FD" w:rsidRPr="00727F09">
        <w:rPr>
          <w:lang w:val="en-GB"/>
        </w:rPr>
        <w:t>phase. Another aspect to be taken into consideration concerns hydrogen storage that falls under the European Directive 2012/18/EU (Seveso) on the control of major accidents involving hazardous substances.</w:t>
      </w:r>
    </w:p>
    <w:p w14:paraId="3EBBA07A" w14:textId="141D9AEC" w:rsidR="00CD7004" w:rsidRPr="00727F09" w:rsidRDefault="00727F09" w:rsidP="005D6EC6">
      <w:pPr>
        <w:pStyle w:val="CETHeading1"/>
        <w:numPr>
          <w:ilvl w:val="0"/>
          <w:numId w:val="37"/>
        </w:numPr>
        <w:tabs>
          <w:tab w:val="num" w:pos="360"/>
        </w:tabs>
        <w:ind w:left="0" w:firstLine="0"/>
        <w:rPr>
          <w:b w:val="0"/>
          <w:bCs/>
          <w:lang w:val="en-GB"/>
        </w:rPr>
      </w:pPr>
      <w:r w:rsidRPr="00727F09">
        <w:rPr>
          <w:lang w:val="en-GB"/>
        </w:rPr>
        <w:t>Physicochemi</w:t>
      </w:r>
      <w:r w:rsidRPr="00727F09">
        <w:rPr>
          <w:bCs/>
          <w:lang w:val="en-GB"/>
        </w:rPr>
        <w:t>cal</w:t>
      </w:r>
      <w:r w:rsidR="00CD7004" w:rsidRPr="00727F09">
        <w:rPr>
          <w:bCs/>
          <w:lang w:val="en-GB"/>
        </w:rPr>
        <w:t xml:space="preserve"> properties of hydrogen for safety and health purposes</w:t>
      </w:r>
    </w:p>
    <w:p w14:paraId="0D871FFA" w14:textId="23684D84" w:rsidR="00CD7004" w:rsidRPr="00727F09" w:rsidRDefault="00CD7004" w:rsidP="003E7014">
      <w:pPr>
        <w:pStyle w:val="CETBodytext"/>
        <w:rPr>
          <w:lang w:val="en-GB"/>
        </w:rPr>
      </w:pPr>
      <w:r w:rsidRPr="00727F09">
        <w:rPr>
          <w:lang w:val="en-GB"/>
        </w:rPr>
        <w:t xml:space="preserve">From a safety </w:t>
      </w:r>
      <w:r w:rsidR="00912194" w:rsidRPr="00727F09">
        <w:rPr>
          <w:lang w:val="en-GB"/>
        </w:rPr>
        <w:t>point of view</w:t>
      </w:r>
      <w:r w:rsidRPr="00727F09">
        <w:rPr>
          <w:lang w:val="en-GB"/>
        </w:rPr>
        <w:t>, hydrogen is no more or less dangerous than other gases, but it is different. This difference</w:t>
      </w:r>
      <w:r w:rsidR="007929C9" w:rsidRPr="00727F09">
        <w:rPr>
          <w:lang w:val="en-GB"/>
        </w:rPr>
        <w:t xml:space="preserve"> lies</w:t>
      </w:r>
      <w:r w:rsidRPr="00727F09">
        <w:rPr>
          <w:lang w:val="en-GB"/>
        </w:rPr>
        <w:t xml:space="preserve"> in its specific physic</w:t>
      </w:r>
      <w:r w:rsidR="00912194" w:rsidRPr="00727F09">
        <w:rPr>
          <w:lang w:val="en-GB"/>
        </w:rPr>
        <w:t>o</w:t>
      </w:r>
      <w:r w:rsidRPr="00727F09">
        <w:rPr>
          <w:lang w:val="en-GB"/>
        </w:rPr>
        <w:t xml:space="preserve">chemical properties. For </w:t>
      </w:r>
      <w:r w:rsidR="00912194" w:rsidRPr="00727F09">
        <w:rPr>
          <w:lang w:val="en-GB"/>
        </w:rPr>
        <w:t>a</w:t>
      </w:r>
      <w:r w:rsidRPr="00727F09">
        <w:rPr>
          <w:lang w:val="en-GB"/>
        </w:rPr>
        <w:t xml:space="preserve"> safe design, </w:t>
      </w:r>
      <w:r w:rsidR="00AD4316" w:rsidRPr="00727F09">
        <w:rPr>
          <w:lang w:val="en-GB"/>
        </w:rPr>
        <w:t>construction,</w:t>
      </w:r>
      <w:r w:rsidRPr="00727F09">
        <w:rPr>
          <w:lang w:val="en-GB"/>
        </w:rPr>
        <w:t xml:space="preserve"> and use of hydrogen storage tanks (fixed or transportable) that </w:t>
      </w:r>
      <w:proofErr w:type="gramStart"/>
      <w:r w:rsidRPr="00727F09">
        <w:rPr>
          <w:lang w:val="en-GB"/>
        </w:rPr>
        <w:t>takes into account</w:t>
      </w:r>
      <w:proofErr w:type="gramEnd"/>
      <w:r w:rsidR="00912194" w:rsidRPr="00727F09">
        <w:rPr>
          <w:lang w:val="en-GB"/>
        </w:rPr>
        <w:t xml:space="preserve"> the risk of pressure</w:t>
      </w:r>
      <w:r w:rsidRPr="00727F09">
        <w:rPr>
          <w:lang w:val="en-GB"/>
        </w:rPr>
        <w:t>, the main</w:t>
      </w:r>
      <w:r w:rsidR="00492FE2" w:rsidRPr="00727F09">
        <w:rPr>
          <w:lang w:val="en-GB"/>
        </w:rPr>
        <w:t xml:space="preserve"> physicochemical</w:t>
      </w:r>
      <w:r w:rsidRPr="00727F09">
        <w:rPr>
          <w:lang w:val="en-GB"/>
        </w:rPr>
        <w:t xml:space="preserve"> characteristics must be taken into consideration:</w:t>
      </w:r>
    </w:p>
    <w:p w14:paraId="17E70C9B" w14:textId="0F135C83" w:rsidR="00CD7004" w:rsidRPr="00727F09" w:rsidRDefault="00134D97" w:rsidP="00134D97">
      <w:pPr>
        <w:pStyle w:val="CETBodytext"/>
        <w:numPr>
          <w:ilvl w:val="0"/>
          <w:numId w:val="40"/>
        </w:numPr>
        <w:ind w:left="709"/>
        <w:rPr>
          <w:lang w:val="en-GB"/>
        </w:rPr>
      </w:pPr>
      <w:r w:rsidRPr="00727F09">
        <w:rPr>
          <w:lang w:val="en-GB"/>
        </w:rPr>
        <w:t>I</w:t>
      </w:r>
      <w:r w:rsidR="00CD7004" w:rsidRPr="00727F09">
        <w:rPr>
          <w:lang w:val="en-GB"/>
        </w:rPr>
        <w:t xml:space="preserve">t is a colorless and odorless gas, not perceptible to the human senses, classified as "extremely flammable" by the legislation on dangerous substances. It </w:t>
      </w:r>
      <w:proofErr w:type="gramStart"/>
      <w:r w:rsidR="00CD7004" w:rsidRPr="00727F09">
        <w:rPr>
          <w:lang w:val="en-GB"/>
        </w:rPr>
        <w:t>is capable of forming</w:t>
      </w:r>
      <w:proofErr w:type="gramEnd"/>
      <w:r w:rsidR="00CD7004" w:rsidRPr="00727F09">
        <w:rPr>
          <w:lang w:val="en-GB"/>
        </w:rPr>
        <w:t xml:space="preserve"> potentially explosive mixtures with air. Unfortunately, compounds such as mercaptans (normally used as odorants to detect natural gas leaks) cannot be added to hydrogen systems as they would contaminate fuel cells. Hydrogen is neither toxic nor harmful, it has no physiological effect, but if inhaled in high concentrations it can cause asphyxia </w:t>
      </w:r>
      <w:r w:rsidR="00912194" w:rsidRPr="00727F09">
        <w:rPr>
          <w:lang w:val="en-GB"/>
        </w:rPr>
        <w:t>by</w:t>
      </w:r>
      <w:r w:rsidR="00CD7004" w:rsidRPr="00727F09">
        <w:rPr>
          <w:lang w:val="en-GB"/>
        </w:rPr>
        <w:t xml:space="preserve"> replac</w:t>
      </w:r>
      <w:r w:rsidR="00912194" w:rsidRPr="00727F09">
        <w:rPr>
          <w:lang w:val="en-GB"/>
        </w:rPr>
        <w:t>ing</w:t>
      </w:r>
      <w:r w:rsidR="00CD7004" w:rsidRPr="00727F09">
        <w:rPr>
          <w:lang w:val="en-GB"/>
        </w:rPr>
        <w:t xml:space="preserve"> </w:t>
      </w:r>
      <w:r w:rsidR="00912194" w:rsidRPr="00727F09">
        <w:rPr>
          <w:lang w:val="en-GB"/>
        </w:rPr>
        <w:t>the</w:t>
      </w:r>
      <w:r w:rsidR="00CD7004" w:rsidRPr="00727F09">
        <w:rPr>
          <w:lang w:val="en-GB"/>
        </w:rPr>
        <w:t xml:space="preserve"> oxygen in the </w:t>
      </w:r>
      <w:r w:rsidR="00990B74" w:rsidRPr="00727F09">
        <w:rPr>
          <w:lang w:val="en-GB"/>
        </w:rPr>
        <w:t>air.</w:t>
      </w:r>
      <w:r w:rsidR="00CD7004" w:rsidRPr="00727F09">
        <w:rPr>
          <w:lang w:val="en-GB"/>
        </w:rPr>
        <w:t xml:space="preserve"> </w:t>
      </w:r>
    </w:p>
    <w:p w14:paraId="430A1D9E" w14:textId="509877B8" w:rsidR="00DD41A9" w:rsidRPr="00727F09" w:rsidRDefault="00134D97" w:rsidP="00134D97">
      <w:pPr>
        <w:pStyle w:val="CETBodytext"/>
        <w:numPr>
          <w:ilvl w:val="0"/>
          <w:numId w:val="40"/>
        </w:numPr>
        <w:ind w:left="709"/>
        <w:rPr>
          <w:lang w:val="en-GB"/>
        </w:rPr>
      </w:pPr>
      <w:r w:rsidRPr="00727F09">
        <w:rPr>
          <w:lang w:val="en-GB"/>
        </w:rPr>
        <w:t>I</w:t>
      </w:r>
      <w:r w:rsidR="00CD7004" w:rsidRPr="00727F09">
        <w:rPr>
          <w:lang w:val="en-GB"/>
        </w:rPr>
        <w:t>t is the gas with the smallest and lightest molecule (density: 84 g/m</w:t>
      </w:r>
      <w:r w:rsidR="00CD7004" w:rsidRPr="00727F09">
        <w:rPr>
          <w:vertAlign w:val="superscript"/>
          <w:lang w:val="en-GB"/>
        </w:rPr>
        <w:t>3</w:t>
      </w:r>
      <w:r w:rsidR="00CD7004" w:rsidRPr="00727F09">
        <w:rPr>
          <w:lang w:val="en-GB"/>
        </w:rPr>
        <w:t xml:space="preserve"> at 15°C and 1 bar), it moves very quickly </w:t>
      </w:r>
      <w:r w:rsidR="0068723F" w:rsidRPr="00727F09">
        <w:rPr>
          <w:lang w:val="en-GB"/>
        </w:rPr>
        <w:t xml:space="preserve">upwards </w:t>
      </w:r>
      <w:r w:rsidR="00CD7004" w:rsidRPr="00727F09">
        <w:rPr>
          <w:lang w:val="en-GB"/>
        </w:rPr>
        <w:t xml:space="preserve">and </w:t>
      </w:r>
      <w:r w:rsidR="00AD4316" w:rsidRPr="00727F09">
        <w:rPr>
          <w:lang w:val="en-GB"/>
        </w:rPr>
        <w:t>can</w:t>
      </w:r>
      <w:r w:rsidR="00CD7004" w:rsidRPr="00727F09">
        <w:rPr>
          <w:lang w:val="en-GB"/>
        </w:rPr>
        <w:t xml:space="preserve"> penetrate materials normally impermeable to gases. Hydrogen is</w:t>
      </w:r>
      <w:r w:rsidR="0068723F" w:rsidRPr="00727F09">
        <w:rPr>
          <w:lang w:val="en-GB"/>
        </w:rPr>
        <w:t xml:space="preserve"> also</w:t>
      </w:r>
      <w:r w:rsidR="00CD7004" w:rsidRPr="00727F09">
        <w:rPr>
          <w:lang w:val="en-GB"/>
        </w:rPr>
        <w:t xml:space="preserve"> very light in the liquid state (density: 70 g/l at -253°C and 1 bar); It evaporates quickly and forms </w:t>
      </w:r>
      <w:r w:rsidR="0068723F" w:rsidRPr="00727F09">
        <w:rPr>
          <w:lang w:val="en-GB"/>
        </w:rPr>
        <w:t>about</w:t>
      </w:r>
      <w:r w:rsidR="00CD7004" w:rsidRPr="00727F09">
        <w:rPr>
          <w:lang w:val="en-GB"/>
        </w:rPr>
        <w:t xml:space="preserve"> 845 liters of gas for every liter of</w:t>
      </w:r>
      <w:r w:rsidR="0068723F" w:rsidRPr="00727F09">
        <w:rPr>
          <w:lang w:val="en-GB"/>
        </w:rPr>
        <w:t xml:space="preserve"> </w:t>
      </w:r>
      <w:r w:rsidR="00CD7004" w:rsidRPr="00727F09">
        <w:rPr>
          <w:lang w:val="en-GB"/>
        </w:rPr>
        <w:t>liquid.</w:t>
      </w:r>
      <w:r w:rsidR="0068723F" w:rsidRPr="00727F09">
        <w:rPr>
          <w:lang w:val="en-GB"/>
        </w:rPr>
        <w:t xml:space="preserve"> The gas that has just evaporated, cold, </w:t>
      </w:r>
      <w:r w:rsidR="00DD3123">
        <w:rPr>
          <w:lang w:val="en-GB"/>
        </w:rPr>
        <w:t>h</w:t>
      </w:r>
      <w:r w:rsidR="0068723F" w:rsidRPr="00727F09">
        <w:rPr>
          <w:lang w:val="en-GB"/>
        </w:rPr>
        <w:t xml:space="preserve">as a density </w:t>
      </w:r>
      <w:r w:rsidRPr="00727F09">
        <w:rPr>
          <w:lang w:val="en-GB"/>
        </w:rPr>
        <w:t>like</w:t>
      </w:r>
      <w:r w:rsidR="0068723F" w:rsidRPr="00727F09">
        <w:rPr>
          <w:lang w:val="en-GB"/>
        </w:rPr>
        <w:t xml:space="preserve"> that of air and spread horizontally, </w:t>
      </w:r>
      <w:r w:rsidR="00DD41A9" w:rsidRPr="00727F09">
        <w:rPr>
          <w:lang w:val="en-GB"/>
        </w:rPr>
        <w:t>but as the temperature increases its density decreases and moves upwards</w:t>
      </w:r>
      <w:r w:rsidRPr="00727F09">
        <w:rPr>
          <w:lang w:val="en-GB"/>
        </w:rPr>
        <w:t>.</w:t>
      </w:r>
    </w:p>
    <w:p w14:paraId="1EBD278A" w14:textId="09355A1B" w:rsidR="00DD41A9" w:rsidRPr="00727F09" w:rsidRDefault="00134D97" w:rsidP="00AF76B4">
      <w:pPr>
        <w:pStyle w:val="CETBodytext"/>
        <w:numPr>
          <w:ilvl w:val="0"/>
          <w:numId w:val="40"/>
        </w:numPr>
        <w:ind w:left="709"/>
        <w:rPr>
          <w:lang w:val="en-GB"/>
        </w:rPr>
      </w:pPr>
      <w:r w:rsidRPr="00727F09">
        <w:rPr>
          <w:lang w:val="en-GB"/>
        </w:rPr>
        <w:t>F</w:t>
      </w:r>
      <w:r w:rsidR="00DD41A9" w:rsidRPr="00727F09">
        <w:rPr>
          <w:lang w:val="en-GB"/>
        </w:rPr>
        <w:t xml:space="preserve">lammability is the most important chemical property of hydrogen. Hydrogen reacts with all oxidizing agents, such as oxygen, chlorine, nitrous oxide etc., and in all cases the reactions are accompanied by a high heat development. In the presence of </w:t>
      </w:r>
      <w:r w:rsidR="005000F7" w:rsidRPr="00727F09">
        <w:rPr>
          <w:lang w:val="en-GB"/>
        </w:rPr>
        <w:t>a source of</w:t>
      </w:r>
      <w:r w:rsidR="00DD41A9" w:rsidRPr="00727F09">
        <w:rPr>
          <w:lang w:val="en-GB"/>
        </w:rPr>
        <w:t xml:space="preserve"> ignition, reactions can become explosive, especially </w:t>
      </w:r>
      <w:r w:rsidR="00DD3123">
        <w:rPr>
          <w:lang w:val="en-GB"/>
        </w:rPr>
        <w:t>i</w:t>
      </w:r>
      <w:r w:rsidR="00DD3123" w:rsidRPr="00DD3123">
        <w:rPr>
          <w:lang w:val="en-GB"/>
        </w:rPr>
        <w:t>f they occur indoor where there is confinement</w:t>
      </w:r>
      <w:r w:rsidR="00DD41A9" w:rsidRPr="00727F09">
        <w:rPr>
          <w:lang w:val="en-GB"/>
        </w:rPr>
        <w:t>. The energy required to ignite hydrogen in the air is very low</w:t>
      </w:r>
      <w:r w:rsidR="00DD3123">
        <w:rPr>
          <w:lang w:val="en-GB"/>
        </w:rPr>
        <w:t xml:space="preserve"> (</w:t>
      </w:r>
      <w:r w:rsidR="00DD3123" w:rsidRPr="00DD3123">
        <w:rPr>
          <w:lang w:val="en-GB"/>
        </w:rPr>
        <w:t xml:space="preserve">MIE = 0,019 </w:t>
      </w:r>
      <w:proofErr w:type="spellStart"/>
      <w:r w:rsidR="00DD3123" w:rsidRPr="00DD3123">
        <w:rPr>
          <w:lang w:val="en-GB"/>
        </w:rPr>
        <w:t>mJ</w:t>
      </w:r>
      <w:proofErr w:type="spellEnd"/>
      <w:r w:rsidR="00DD3123">
        <w:rPr>
          <w:lang w:val="en-GB"/>
        </w:rPr>
        <w:t>)</w:t>
      </w:r>
      <w:r w:rsidR="00DD41A9" w:rsidRPr="00727F09">
        <w:rPr>
          <w:lang w:val="en-GB"/>
        </w:rPr>
        <w:t xml:space="preserve">: about 1/10 of </w:t>
      </w:r>
      <w:r w:rsidR="005000F7" w:rsidRPr="00727F09">
        <w:rPr>
          <w:lang w:val="en-GB"/>
        </w:rPr>
        <w:t>the amount</w:t>
      </w:r>
      <w:r w:rsidR="00DD41A9" w:rsidRPr="00727F09">
        <w:rPr>
          <w:lang w:val="en-GB"/>
        </w:rPr>
        <w:t xml:space="preserve"> needed for LPG (Liquefied Petroleum Gas), equal for example to that of a spark generated by the impact against an object of </w:t>
      </w:r>
      <w:r w:rsidR="005000F7" w:rsidRPr="00727F09">
        <w:rPr>
          <w:lang w:val="en-GB"/>
        </w:rPr>
        <w:t xml:space="preserve">a particle of </w:t>
      </w:r>
      <w:r w:rsidR="00606B50" w:rsidRPr="00727F09">
        <w:rPr>
          <w:lang w:val="en-GB"/>
        </w:rPr>
        <w:lastRenderedPageBreak/>
        <w:t xml:space="preserve">dust </w:t>
      </w:r>
      <w:r w:rsidR="00DD41A9" w:rsidRPr="00727F09">
        <w:rPr>
          <w:lang w:val="en-GB"/>
        </w:rPr>
        <w:t>carried by hydrogen itself. The hydrogen flame is very hot and pale, in daylight it may not be visible. Therefore, the heat is not physically felt until direct contact with the flame occurs.</w:t>
      </w:r>
      <w:r w:rsidR="00CB09F1" w:rsidRPr="00727F09">
        <w:rPr>
          <w:lang w:val="en-GB"/>
        </w:rPr>
        <w:t xml:space="preserve"> </w:t>
      </w:r>
      <w:r w:rsidR="00DD41A9" w:rsidRPr="00727F09">
        <w:rPr>
          <w:lang w:val="en-GB"/>
        </w:rPr>
        <w:t xml:space="preserve">A hydrogen fire can </w:t>
      </w:r>
      <w:r w:rsidR="000870B8" w:rsidRPr="00727F09">
        <w:rPr>
          <w:lang w:val="en-GB"/>
        </w:rPr>
        <w:t xml:space="preserve">go </w:t>
      </w:r>
      <w:r w:rsidR="00DD41A9" w:rsidRPr="00727F09">
        <w:rPr>
          <w:lang w:val="en-GB"/>
        </w:rPr>
        <w:t xml:space="preserve">undetected and will spread despite there being direct monitoring by people in areas where hydrogen can </w:t>
      </w:r>
      <w:r w:rsidR="000870B8" w:rsidRPr="00727F09">
        <w:rPr>
          <w:lang w:val="en-GB"/>
        </w:rPr>
        <w:t>leak</w:t>
      </w:r>
      <w:r w:rsidR="00DD41A9" w:rsidRPr="00727F09">
        <w:rPr>
          <w:lang w:val="en-GB"/>
        </w:rPr>
        <w:t>. The flammability limits in air are: 4.0%÷75.6% vol. %. Within the flammability range, hydrogen has a wider</w:t>
      </w:r>
      <w:r w:rsidR="000870B8" w:rsidRPr="00727F09">
        <w:rPr>
          <w:lang w:val="en-GB"/>
        </w:rPr>
        <w:t xml:space="preserve"> range of</w:t>
      </w:r>
      <w:r w:rsidR="00DD41A9" w:rsidRPr="00727F09">
        <w:rPr>
          <w:lang w:val="en-GB"/>
        </w:rPr>
        <w:t xml:space="preserve"> detonation in air than other fuels: between 18 and 59 vol. %. The</w:t>
      </w:r>
      <w:r w:rsidR="000870B8" w:rsidRPr="00727F09">
        <w:rPr>
          <w:lang w:val="en-GB"/>
        </w:rPr>
        <w:t xml:space="preserve"> hydrogen</w:t>
      </w:r>
      <w:r w:rsidR="00DD41A9" w:rsidRPr="00727F09">
        <w:rPr>
          <w:lang w:val="en-GB"/>
        </w:rPr>
        <w:t xml:space="preserve"> </w:t>
      </w:r>
      <w:r w:rsidR="000870B8" w:rsidRPr="00727F09">
        <w:rPr>
          <w:lang w:val="en-GB"/>
        </w:rPr>
        <w:t>auto</w:t>
      </w:r>
      <w:r w:rsidR="00DD41A9" w:rsidRPr="00727F09">
        <w:rPr>
          <w:lang w:val="en-GB"/>
        </w:rPr>
        <w:t>-ignition temperature is above 510°C.</w:t>
      </w:r>
    </w:p>
    <w:p w14:paraId="4E5DE212" w14:textId="1724D110" w:rsidR="00DD41A9" w:rsidRPr="00727F09" w:rsidRDefault="00CB09F1" w:rsidP="00CB09F1">
      <w:pPr>
        <w:pStyle w:val="CETBodytext"/>
        <w:numPr>
          <w:ilvl w:val="0"/>
          <w:numId w:val="40"/>
        </w:numPr>
        <w:ind w:left="709"/>
        <w:rPr>
          <w:lang w:val="en-GB"/>
        </w:rPr>
      </w:pPr>
      <w:r w:rsidRPr="00727F09">
        <w:rPr>
          <w:lang w:val="en-GB"/>
        </w:rPr>
        <w:t>H</w:t>
      </w:r>
      <w:r w:rsidR="00DD41A9" w:rsidRPr="00727F09">
        <w:rPr>
          <w:lang w:val="en-GB"/>
        </w:rPr>
        <w:t xml:space="preserve">ydrogen is generally a non-corrosive gas. However, some metallic materials, when they </w:t>
      </w:r>
      <w:proofErr w:type="gramStart"/>
      <w:r w:rsidR="00DD41A9" w:rsidRPr="00727F09">
        <w:rPr>
          <w:lang w:val="en-GB"/>
        </w:rPr>
        <w:t>come into contact with</w:t>
      </w:r>
      <w:proofErr w:type="gramEnd"/>
      <w:r w:rsidR="00DD41A9" w:rsidRPr="00727F09">
        <w:rPr>
          <w:lang w:val="en-GB"/>
        </w:rPr>
        <w:t xml:space="preserve"> hydrogen under certain conditions, can be subject to embrittlement and/or stress corrosion. The effect in both cases is the reduction of the ductility and tensile strength of the material. </w:t>
      </w:r>
      <w:r w:rsidR="00DD41A9" w:rsidRPr="00727F09">
        <w:rPr>
          <w:lang w:val="en-GB"/>
        </w:rPr>
        <w:br/>
        <w:t xml:space="preserve">The factors to </w:t>
      </w:r>
      <w:r w:rsidR="00AD4316" w:rsidRPr="00727F09">
        <w:rPr>
          <w:lang w:val="en-GB"/>
        </w:rPr>
        <w:t>consider</w:t>
      </w:r>
      <w:r w:rsidR="00DD41A9" w:rsidRPr="00727F09">
        <w:rPr>
          <w:lang w:val="en-GB"/>
        </w:rPr>
        <w:t xml:space="preserve"> are the following: - temperature, </w:t>
      </w:r>
      <w:r w:rsidR="00AD4316" w:rsidRPr="00727F09">
        <w:rPr>
          <w:lang w:val="en-GB"/>
        </w:rPr>
        <w:t>pressure,</w:t>
      </w:r>
      <w:r w:rsidR="00DD41A9" w:rsidRPr="00727F09">
        <w:rPr>
          <w:lang w:val="en-GB"/>
        </w:rPr>
        <w:t xml:space="preserve"> and contaminants</w:t>
      </w:r>
      <w:r w:rsidR="000870B8" w:rsidRPr="00727F09">
        <w:rPr>
          <w:lang w:val="en-GB"/>
        </w:rPr>
        <w:t xml:space="preserve"> of hydrogen</w:t>
      </w:r>
      <w:r w:rsidR="00DD41A9" w:rsidRPr="00727F09">
        <w:rPr>
          <w:lang w:val="en-GB"/>
        </w:rPr>
        <w:t>; - type of metallic material and its structure (discontinuity, porosity, etc.)</w:t>
      </w:r>
      <w:r w:rsidRPr="00727F09">
        <w:rPr>
          <w:lang w:val="en-GB"/>
        </w:rPr>
        <w:t>;</w:t>
      </w:r>
      <w:r w:rsidR="00DD41A9" w:rsidRPr="00727F09">
        <w:rPr>
          <w:lang w:val="en-GB"/>
        </w:rPr>
        <w:t xml:space="preserve"> - distribution of stresses on the material. For this reason, </w:t>
      </w:r>
      <w:r w:rsidR="000870B8" w:rsidRPr="00727F09">
        <w:rPr>
          <w:lang w:val="en-GB"/>
        </w:rPr>
        <w:t xml:space="preserve">compressed </w:t>
      </w:r>
      <w:r w:rsidR="00DD41A9" w:rsidRPr="00727F09">
        <w:rPr>
          <w:lang w:val="en-GB"/>
        </w:rPr>
        <w:t>hydrogen</w:t>
      </w:r>
      <w:r w:rsidR="000870B8" w:rsidRPr="00727F09">
        <w:rPr>
          <w:lang w:val="en-GB"/>
        </w:rPr>
        <w:t xml:space="preserve"> steel</w:t>
      </w:r>
      <w:r w:rsidR="00DD41A9" w:rsidRPr="00727F09">
        <w:rPr>
          <w:lang w:val="en-GB"/>
        </w:rPr>
        <w:t xml:space="preserve"> </w:t>
      </w:r>
      <w:r w:rsidR="0005600B" w:rsidRPr="00727F09">
        <w:rPr>
          <w:lang w:val="en-GB"/>
        </w:rPr>
        <w:t>is</w:t>
      </w:r>
      <w:r w:rsidR="00DD41A9" w:rsidRPr="00727F09">
        <w:rPr>
          <w:lang w:val="en-GB"/>
        </w:rPr>
        <w:t xml:space="preserve"> </w:t>
      </w:r>
      <w:r w:rsidR="000870B8" w:rsidRPr="00727F09">
        <w:rPr>
          <w:lang w:val="en-GB"/>
        </w:rPr>
        <w:t xml:space="preserve">made of a </w:t>
      </w:r>
      <w:r w:rsidR="000870B8" w:rsidRPr="00727F09">
        <w:rPr>
          <w:szCs w:val="18"/>
          <w:lang w:val="en-GB"/>
        </w:rPr>
        <w:t>special</w:t>
      </w:r>
      <w:r w:rsidR="00DD41A9" w:rsidRPr="00727F09">
        <w:rPr>
          <w:szCs w:val="18"/>
          <w:lang w:val="en-GB"/>
        </w:rPr>
        <w:t xml:space="preserve"> alloy</w:t>
      </w:r>
      <w:r w:rsidR="006701FD" w:rsidRPr="00727F09">
        <w:rPr>
          <w:szCs w:val="18"/>
          <w:lang w:val="en-GB"/>
        </w:rPr>
        <w:t xml:space="preserve"> (HY Responders, 2023)</w:t>
      </w:r>
      <w:r w:rsidR="00DD41A9" w:rsidRPr="00727F09">
        <w:rPr>
          <w:szCs w:val="18"/>
          <w:lang w:val="en-GB"/>
        </w:rPr>
        <w:t>.</w:t>
      </w:r>
    </w:p>
    <w:p w14:paraId="7880BD20" w14:textId="36CE6724" w:rsidR="00DD41A9" w:rsidRPr="00727F09" w:rsidRDefault="00E47281" w:rsidP="005D6EC6">
      <w:pPr>
        <w:pStyle w:val="CETHeading1"/>
        <w:numPr>
          <w:ilvl w:val="0"/>
          <w:numId w:val="37"/>
        </w:numPr>
        <w:tabs>
          <w:tab w:val="num" w:pos="360"/>
        </w:tabs>
        <w:ind w:left="0" w:firstLine="0"/>
        <w:rPr>
          <w:b w:val="0"/>
          <w:bCs/>
          <w:lang w:val="en-GB"/>
        </w:rPr>
      </w:pPr>
      <w:r w:rsidRPr="00727F09">
        <w:rPr>
          <w:bCs/>
          <w:lang w:val="en-GB"/>
        </w:rPr>
        <w:t>Hydrogen storage and transport</w:t>
      </w:r>
    </w:p>
    <w:p w14:paraId="1E406FEB" w14:textId="6AA30E8D" w:rsidR="00DD41A9" w:rsidRPr="00727F09" w:rsidRDefault="00DD41A9" w:rsidP="00DD41A9">
      <w:pPr>
        <w:pStyle w:val="CETBodytext"/>
        <w:rPr>
          <w:lang w:val="en-GB"/>
        </w:rPr>
      </w:pPr>
      <w:r w:rsidRPr="00727F09">
        <w:rPr>
          <w:lang w:val="en-GB"/>
        </w:rPr>
        <w:t xml:space="preserve">Hydrogen can be used in many </w:t>
      </w:r>
      <w:r w:rsidR="000870B8" w:rsidRPr="00727F09">
        <w:rPr>
          <w:lang w:val="en-GB"/>
        </w:rPr>
        <w:t>industries</w:t>
      </w:r>
      <w:r w:rsidRPr="00727F09">
        <w:rPr>
          <w:lang w:val="en-GB"/>
        </w:rPr>
        <w:t xml:space="preserve"> </w:t>
      </w:r>
      <w:r w:rsidR="00CC09BF" w:rsidRPr="00727F09">
        <w:rPr>
          <w:lang w:val="en-GB"/>
        </w:rPr>
        <w:t xml:space="preserve">such </w:t>
      </w:r>
      <w:r w:rsidRPr="00727F09">
        <w:rPr>
          <w:lang w:val="en-GB"/>
        </w:rPr>
        <w:t xml:space="preserve">as: a) </w:t>
      </w:r>
      <w:r w:rsidR="000870B8" w:rsidRPr="00727F09">
        <w:rPr>
          <w:lang w:val="en-GB"/>
        </w:rPr>
        <w:t>feedstock</w:t>
      </w:r>
      <w:r w:rsidRPr="00727F09">
        <w:rPr>
          <w:lang w:val="en-GB"/>
        </w:rPr>
        <w:t xml:space="preserve"> to produce chemicals and materials; b) fuel to generate energy and heat; c) fuel in the</w:t>
      </w:r>
      <w:r w:rsidR="000870B8" w:rsidRPr="00727F09">
        <w:rPr>
          <w:lang w:val="en-GB"/>
        </w:rPr>
        <w:t xml:space="preserve"> </w:t>
      </w:r>
      <w:r w:rsidR="00DD3123" w:rsidRPr="00727F09">
        <w:rPr>
          <w:lang w:val="en-GB"/>
        </w:rPr>
        <w:t>field</w:t>
      </w:r>
      <w:r w:rsidR="000870B8" w:rsidRPr="00727F09">
        <w:rPr>
          <w:lang w:val="en-GB"/>
        </w:rPr>
        <w:t xml:space="preserve"> of</w:t>
      </w:r>
      <w:r w:rsidRPr="00727F09">
        <w:rPr>
          <w:lang w:val="en-GB"/>
        </w:rPr>
        <w:t xml:space="preserve"> transport. One of the </w:t>
      </w:r>
      <w:r w:rsidR="000870B8" w:rsidRPr="00727F09">
        <w:rPr>
          <w:lang w:val="en-GB"/>
        </w:rPr>
        <w:t>key</w:t>
      </w:r>
      <w:r w:rsidRPr="00727F09">
        <w:rPr>
          <w:lang w:val="en-GB"/>
        </w:rPr>
        <w:t xml:space="preserve"> challenges in the hydrogen sector </w:t>
      </w:r>
      <w:r w:rsidR="00200010" w:rsidRPr="00727F09">
        <w:rPr>
          <w:lang w:val="en-GB"/>
        </w:rPr>
        <w:t>is to</w:t>
      </w:r>
      <w:r w:rsidRPr="00727F09">
        <w:rPr>
          <w:lang w:val="en-GB"/>
        </w:rPr>
        <w:t xml:space="preserve"> stor</w:t>
      </w:r>
      <w:r w:rsidR="00200010" w:rsidRPr="00727F09">
        <w:rPr>
          <w:lang w:val="en-GB"/>
        </w:rPr>
        <w:t>e</w:t>
      </w:r>
      <w:r w:rsidRPr="00727F09">
        <w:rPr>
          <w:lang w:val="en-GB"/>
        </w:rPr>
        <w:t xml:space="preserve"> and transport</w:t>
      </w:r>
      <w:r w:rsidR="00200010" w:rsidRPr="00727F09">
        <w:rPr>
          <w:lang w:val="en-GB"/>
        </w:rPr>
        <w:t xml:space="preserve"> it safely</w:t>
      </w:r>
      <w:r w:rsidR="000329F8" w:rsidRPr="00727F09">
        <w:rPr>
          <w:lang w:val="en-GB"/>
        </w:rPr>
        <w:t xml:space="preserve"> (Schiaroli et al., </w:t>
      </w:r>
      <w:r w:rsidR="000F0E6C" w:rsidRPr="00727F09">
        <w:rPr>
          <w:lang w:val="en-GB"/>
        </w:rPr>
        <w:t>2023)</w:t>
      </w:r>
      <w:r w:rsidRPr="00727F09">
        <w:rPr>
          <w:lang w:val="en-GB"/>
        </w:rPr>
        <w:t xml:space="preserve">, </w:t>
      </w:r>
      <w:r w:rsidR="00200010" w:rsidRPr="00727F09">
        <w:rPr>
          <w:lang w:val="en-GB"/>
        </w:rPr>
        <w:t>which is key to ensure it</w:t>
      </w:r>
      <w:r w:rsidR="00CC09BF" w:rsidRPr="00727F09">
        <w:rPr>
          <w:lang w:val="en-GB"/>
        </w:rPr>
        <w:t>s</w:t>
      </w:r>
      <w:r w:rsidR="00200010" w:rsidRPr="00727F09">
        <w:rPr>
          <w:lang w:val="en-GB"/>
        </w:rPr>
        <w:t xml:space="preserve"> availability</w:t>
      </w:r>
      <w:r w:rsidRPr="00727F09">
        <w:rPr>
          <w:lang w:val="en-GB"/>
        </w:rPr>
        <w:t xml:space="preserve"> as an energy resource. </w:t>
      </w:r>
      <w:proofErr w:type="gramStart"/>
      <w:r w:rsidRPr="00727F09">
        <w:rPr>
          <w:lang w:val="en-GB"/>
        </w:rPr>
        <w:t>First of all</w:t>
      </w:r>
      <w:proofErr w:type="gramEnd"/>
      <w:r w:rsidRPr="00727F09">
        <w:rPr>
          <w:lang w:val="en-GB"/>
        </w:rPr>
        <w:t xml:space="preserve">, hydrogen can be stored and transported as: 1) pressurized gas; 2) low temperature liquid (below its normal boiling point which occurs at – 252.8°C); 3) in the solid state, such as in metal hydrides. In this article </w:t>
      </w:r>
      <w:r w:rsidR="004E2EA9">
        <w:rPr>
          <w:lang w:val="en-GB"/>
        </w:rPr>
        <w:t>aut</w:t>
      </w:r>
      <w:r w:rsidR="00A31212">
        <w:rPr>
          <w:lang w:val="en-GB"/>
        </w:rPr>
        <w:t>hors</w:t>
      </w:r>
      <w:r w:rsidRPr="00727F09">
        <w:rPr>
          <w:lang w:val="en-GB"/>
        </w:rPr>
        <w:t xml:space="preserve"> will focus on storage and transport as highlighted in points 1) and 2). Below in Fig. 1, a simplified diagram of hydrogen production from renewable sources show</w:t>
      </w:r>
      <w:r w:rsidR="00200010" w:rsidRPr="00727F09">
        <w:rPr>
          <w:lang w:val="en-GB"/>
        </w:rPr>
        <w:t>s</w:t>
      </w:r>
      <w:r w:rsidRPr="00727F09">
        <w:rPr>
          <w:lang w:val="en-GB"/>
        </w:rPr>
        <w:t xml:space="preserve"> the hydrogen storage tanks (fixed and transportable):</w:t>
      </w:r>
    </w:p>
    <w:p w14:paraId="6BF5B885" w14:textId="124FC2BE" w:rsidR="00DD41A9" w:rsidRPr="00727F09" w:rsidRDefault="00DD41A9" w:rsidP="00DD41A9">
      <w:pPr>
        <w:pStyle w:val="CETBodytext"/>
        <w:rPr>
          <w:lang w:val="en-GB"/>
        </w:rPr>
      </w:pPr>
    </w:p>
    <w:p w14:paraId="2512C76D" w14:textId="2B163D5B" w:rsidR="00DD41A9" w:rsidRPr="00727F09" w:rsidRDefault="00DD41A9" w:rsidP="00D55D5B">
      <w:pPr>
        <w:pStyle w:val="CETBodytext"/>
        <w:jc w:val="left"/>
        <w:rPr>
          <w:lang w:val="en-GB"/>
        </w:rPr>
      </w:pPr>
      <w:r w:rsidRPr="00727F09">
        <w:rPr>
          <w:noProof/>
          <w:sz w:val="20"/>
          <w:lang w:val="en-GB"/>
        </w:rPr>
        <w:drawing>
          <wp:inline distT="0" distB="0" distL="0" distR="0" wp14:anchorId="0305D1C7" wp14:editId="79F69488">
            <wp:extent cx="4340860" cy="800100"/>
            <wp:effectExtent l="0" t="0" r="2540" b="0"/>
            <wp:docPr id="1395237439" name="Immagine 2" descr="Immagine che contien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37439" name="Immagine 2" descr="Immagine che contiene schermata&#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9941" cy="803617"/>
                    </a:xfrm>
                    <a:prstGeom prst="rect">
                      <a:avLst/>
                    </a:prstGeom>
                    <a:noFill/>
                    <a:ln>
                      <a:noFill/>
                    </a:ln>
                  </pic:spPr>
                </pic:pic>
              </a:graphicData>
            </a:graphic>
          </wp:inline>
        </w:drawing>
      </w:r>
    </w:p>
    <w:p w14:paraId="765212BD" w14:textId="3234DE27" w:rsidR="00D55D5B" w:rsidRPr="00727F09" w:rsidRDefault="00D55D5B" w:rsidP="00D55D5B">
      <w:pPr>
        <w:pStyle w:val="CETBodytext"/>
        <w:rPr>
          <w:rStyle w:val="CETCaptionCarattere"/>
        </w:rPr>
      </w:pPr>
      <w:r w:rsidRPr="00727F09">
        <w:rPr>
          <w:rStyle w:val="CETCaptionCarattere"/>
        </w:rPr>
        <w:t>Figure 1: Diagram of hydrogen</w:t>
      </w:r>
    </w:p>
    <w:p w14:paraId="23E7E62F" w14:textId="77777777" w:rsidR="00803EFE" w:rsidRPr="00727F09" w:rsidRDefault="00803EFE" w:rsidP="00DD41A9">
      <w:pPr>
        <w:pStyle w:val="CETBodytext"/>
        <w:rPr>
          <w:lang w:val="en-GB"/>
        </w:rPr>
      </w:pPr>
    </w:p>
    <w:p w14:paraId="18CB65BF" w14:textId="42715DB2" w:rsidR="00DD41A9" w:rsidRPr="00727F09" w:rsidRDefault="00DD41A9" w:rsidP="00DD41A9">
      <w:pPr>
        <w:pStyle w:val="CETBodytext"/>
        <w:rPr>
          <w:lang w:val="en-GB"/>
        </w:rPr>
      </w:pPr>
      <w:r w:rsidRPr="00727F09">
        <w:rPr>
          <w:lang w:val="en-GB"/>
        </w:rPr>
        <w:t>Four types of containers have been developed and used for the transport and storage of hydrogen:</w:t>
      </w:r>
    </w:p>
    <w:p w14:paraId="0B929CAB" w14:textId="648D1A02" w:rsidR="00DD41A9" w:rsidRPr="00727F09" w:rsidRDefault="00DD41A9" w:rsidP="00D55D5B">
      <w:pPr>
        <w:tabs>
          <w:tab w:val="clear" w:pos="7100"/>
        </w:tabs>
        <w:ind w:left="360" w:hanging="360"/>
      </w:pPr>
      <w:r w:rsidRPr="00727F09">
        <w:t>• Type I: metal container without and with metal welding</w:t>
      </w:r>
    </w:p>
    <w:p w14:paraId="2C70A815" w14:textId="142B9E6A" w:rsidR="00DD41A9" w:rsidRPr="00727F09" w:rsidRDefault="00DD41A9" w:rsidP="00D55D5B">
      <w:pPr>
        <w:tabs>
          <w:tab w:val="clear" w:pos="7100"/>
        </w:tabs>
        <w:ind w:left="360" w:hanging="360"/>
      </w:pPr>
      <w:r w:rsidRPr="00727F09">
        <w:t>• Type II: seamless metal container wrapped in a composite resin fiber frame</w:t>
      </w:r>
    </w:p>
    <w:p w14:paraId="31DAC00A" w14:textId="6868FA42" w:rsidR="00DD41A9" w:rsidRPr="00727F09" w:rsidRDefault="00DD41A9" w:rsidP="00D55D5B">
      <w:pPr>
        <w:tabs>
          <w:tab w:val="clear" w:pos="7100"/>
        </w:tabs>
        <w:ind w:left="360" w:hanging="360"/>
      </w:pPr>
      <w:r w:rsidRPr="00727F09">
        <w:t>• Type III: metal cladding completely wrapped with resin fiber composite</w:t>
      </w:r>
    </w:p>
    <w:p w14:paraId="6364ADC2" w14:textId="320DA082" w:rsidR="00DD41A9" w:rsidRPr="00727F09" w:rsidRDefault="00DD41A9" w:rsidP="00D55D5B">
      <w:pPr>
        <w:tabs>
          <w:tab w:val="clear" w:pos="7100"/>
        </w:tabs>
        <w:ind w:left="360" w:hanging="360"/>
      </w:pPr>
      <w:r w:rsidRPr="00727F09">
        <w:t xml:space="preserve">• Type IV: </w:t>
      </w:r>
      <w:r w:rsidR="00200010" w:rsidRPr="00727F09">
        <w:t>p</w:t>
      </w:r>
      <w:r w:rsidRPr="00727F09">
        <w:t>olymer</w:t>
      </w:r>
      <w:r w:rsidR="00200010" w:rsidRPr="00727F09">
        <w:t xml:space="preserve"> coating fully wrapped</w:t>
      </w:r>
      <w:r w:rsidRPr="00727F09">
        <w:t xml:space="preserve"> with resin fiber composite.</w:t>
      </w:r>
    </w:p>
    <w:p w14:paraId="31281CF6" w14:textId="6E3B0F28" w:rsidR="00604177" w:rsidRPr="00727F09" w:rsidRDefault="00604177" w:rsidP="00604177">
      <w:pPr>
        <w:tabs>
          <w:tab w:val="clear" w:pos="7100"/>
        </w:tabs>
        <w:ind w:left="360" w:hanging="360"/>
      </w:pPr>
      <w:r w:rsidRPr="00727F09">
        <w:t>In comparison with other economic sectors, like industry and agriculture, transportation is proved to be the major</w:t>
      </w:r>
    </w:p>
    <w:p w14:paraId="1CDBA33D" w14:textId="6AC15C01" w:rsidR="00604177" w:rsidRPr="00727F09" w:rsidRDefault="00604177" w:rsidP="00604177">
      <w:pPr>
        <w:tabs>
          <w:tab w:val="clear" w:pos="7100"/>
        </w:tabs>
        <w:ind w:left="360" w:hanging="360"/>
      </w:pPr>
      <w:r w:rsidRPr="00727F09">
        <w:t>contributor to greenhouse gas (GHG) emissions (Kazancoglu et al.,2021).</w:t>
      </w:r>
    </w:p>
    <w:p w14:paraId="6402EC0A" w14:textId="65EF5B6B" w:rsidR="00DD41A9" w:rsidRPr="00727F09" w:rsidRDefault="00E47281" w:rsidP="00A47F21">
      <w:pPr>
        <w:pStyle w:val="CETheadingx"/>
        <w:numPr>
          <w:ilvl w:val="1"/>
          <w:numId w:val="42"/>
        </w:numPr>
        <w:ind w:left="426"/>
        <w:rPr>
          <w:bCs/>
          <w:lang w:val="en-GB"/>
        </w:rPr>
      </w:pPr>
      <w:r w:rsidRPr="00727F09">
        <w:rPr>
          <w:lang w:val="en-GB"/>
        </w:rPr>
        <w:t>Hydrogen gas storage</w:t>
      </w:r>
      <w:r w:rsidR="00DD41A9" w:rsidRPr="00727F09">
        <w:rPr>
          <w:lang w:val="en-GB"/>
        </w:rPr>
        <w:t>,</w:t>
      </w:r>
      <w:r w:rsidR="00DD41A9" w:rsidRPr="00727F09">
        <w:rPr>
          <w:bCs/>
          <w:lang w:val="en-GB"/>
        </w:rPr>
        <w:t xml:space="preserve"> GH</w:t>
      </w:r>
      <w:r w:rsidR="00DD41A9" w:rsidRPr="00727F09">
        <w:rPr>
          <w:bCs/>
          <w:vertAlign w:val="subscript"/>
          <w:lang w:val="en-GB"/>
        </w:rPr>
        <w:t>2</w:t>
      </w:r>
    </w:p>
    <w:p w14:paraId="02DABFB7" w14:textId="005D5C8F" w:rsidR="00281083" w:rsidRPr="00727F09" w:rsidRDefault="00DD41A9" w:rsidP="00281083">
      <w:pPr>
        <w:pStyle w:val="CETBodytext"/>
        <w:rPr>
          <w:lang w:val="en-GB"/>
        </w:rPr>
      </w:pPr>
      <w:r w:rsidRPr="00727F09">
        <w:rPr>
          <w:lang w:val="en-GB"/>
        </w:rPr>
        <w:t>Currently, the most common way of storing hydrogen is as compressed gas (GH</w:t>
      </w:r>
      <w:r w:rsidRPr="00727F09">
        <w:rPr>
          <w:vertAlign w:val="subscript"/>
          <w:lang w:val="en-GB"/>
        </w:rPr>
        <w:t>2</w:t>
      </w:r>
      <w:r w:rsidRPr="00727F09">
        <w:rPr>
          <w:lang w:val="en-GB"/>
        </w:rPr>
        <w:t>) in meta</w:t>
      </w:r>
      <w:r w:rsidR="00200010" w:rsidRPr="00727F09">
        <w:rPr>
          <w:lang w:val="en-GB"/>
        </w:rPr>
        <w:t>l</w:t>
      </w:r>
      <w:r w:rsidRPr="00727F09">
        <w:rPr>
          <w:lang w:val="en-GB"/>
        </w:rPr>
        <w:t xml:space="preserve"> and composite cylinders at different pressures.</w:t>
      </w:r>
      <w:r w:rsidR="00281083" w:rsidRPr="00727F09">
        <w:rPr>
          <w:lang w:val="en-GB"/>
        </w:rPr>
        <w:t xml:space="preserve"> The hydrogen</w:t>
      </w:r>
      <w:r w:rsidR="00200010" w:rsidRPr="00727F09">
        <w:rPr>
          <w:lang w:val="en-GB"/>
        </w:rPr>
        <w:t xml:space="preserve"> compress</w:t>
      </w:r>
      <w:r w:rsidR="00480173" w:rsidRPr="00727F09">
        <w:rPr>
          <w:lang w:val="en-GB"/>
        </w:rPr>
        <w:t>ion</w:t>
      </w:r>
      <w:r w:rsidR="00200010" w:rsidRPr="00727F09">
        <w:rPr>
          <w:lang w:val="en-GB"/>
        </w:rPr>
        <w:t xml:space="preserve"> process</w:t>
      </w:r>
      <w:r w:rsidR="00281083" w:rsidRPr="00727F09">
        <w:rPr>
          <w:lang w:val="en-GB"/>
        </w:rPr>
        <w:t xml:space="preserve"> increases its volumetric density. Hydrogen for industrial or laboratory use is </w:t>
      </w:r>
      <w:r w:rsidR="0005600B" w:rsidRPr="00727F09">
        <w:rPr>
          <w:lang w:val="en-GB"/>
        </w:rPr>
        <w:t>typically</w:t>
      </w:r>
      <w:r w:rsidR="00281083" w:rsidRPr="00727F09">
        <w:rPr>
          <w:lang w:val="en-GB"/>
        </w:rPr>
        <w:t xml:space="preserve"> compressed </w:t>
      </w:r>
      <w:r w:rsidR="00480173" w:rsidRPr="00727F09">
        <w:rPr>
          <w:lang w:val="en-GB"/>
        </w:rPr>
        <w:t>at</w:t>
      </w:r>
      <w:r w:rsidR="00281083" w:rsidRPr="00727F09">
        <w:rPr>
          <w:lang w:val="en-GB"/>
        </w:rPr>
        <w:t xml:space="preserve"> pressures of 15-20 MPa (150-200 bar).</w:t>
      </w:r>
    </w:p>
    <w:p w14:paraId="05C23126" w14:textId="581D6B14" w:rsidR="00281083" w:rsidRPr="00727F09" w:rsidRDefault="00281083" w:rsidP="00281083">
      <w:pPr>
        <w:pStyle w:val="CETBodytext"/>
        <w:rPr>
          <w:lang w:val="en-GB"/>
        </w:rPr>
      </w:pPr>
      <w:r w:rsidRPr="00727F09">
        <w:rPr>
          <w:lang w:val="en-GB"/>
        </w:rPr>
        <w:t xml:space="preserve">In vehicles, hydrogen pressurized to 35-70 MPa is stored in on-board storage tanks. At </w:t>
      </w:r>
      <w:r w:rsidR="0005600B" w:rsidRPr="00727F09">
        <w:rPr>
          <w:lang w:val="en-GB"/>
        </w:rPr>
        <w:t>refueling</w:t>
      </w:r>
      <w:r w:rsidRPr="00727F09">
        <w:rPr>
          <w:lang w:val="en-GB"/>
        </w:rPr>
        <w:t xml:space="preserve"> stations, hydrogen gas is pressurized (up to 100 MPa) in stages and stored in container. For example</w:t>
      </w:r>
      <w:r w:rsidR="00480173" w:rsidRPr="00727F09">
        <w:rPr>
          <w:lang w:val="en-GB"/>
        </w:rPr>
        <w:t>,</w:t>
      </w:r>
      <w:r w:rsidRPr="00727F09">
        <w:rPr>
          <w:lang w:val="en-GB"/>
        </w:rPr>
        <w:t xml:space="preserve"> three different pressure levels</w:t>
      </w:r>
      <w:r w:rsidR="00480173" w:rsidRPr="00727F09">
        <w:rPr>
          <w:lang w:val="en-GB"/>
        </w:rPr>
        <w:t xml:space="preserve"> can be used</w:t>
      </w:r>
      <w:r w:rsidRPr="00727F09">
        <w:rPr>
          <w:lang w:val="en-GB"/>
        </w:rPr>
        <w:t xml:space="preserve"> in </w:t>
      </w:r>
      <w:r w:rsidR="00480173" w:rsidRPr="00727F09">
        <w:rPr>
          <w:lang w:val="en-GB"/>
        </w:rPr>
        <w:t>a filling</w:t>
      </w:r>
      <w:r w:rsidRPr="00727F09">
        <w:rPr>
          <w:lang w:val="en-GB"/>
        </w:rPr>
        <w:t xml:space="preserve"> station with gaseous storage: low pressure storage (in "cigar" tanks, P=4.5 MPa); medium pressure storage (in a group of cylinder</w:t>
      </w:r>
      <w:r w:rsidR="00480173" w:rsidRPr="00727F09">
        <w:rPr>
          <w:lang w:val="en-GB"/>
        </w:rPr>
        <w:t xml:space="preserve"> assembly</w:t>
      </w:r>
      <w:r w:rsidRPr="00727F09">
        <w:rPr>
          <w:lang w:val="en-GB"/>
        </w:rPr>
        <w:t xml:space="preserve">/cylinder, P=20-50 MPa) and </w:t>
      </w:r>
      <w:r w:rsidR="0005600B" w:rsidRPr="00727F09">
        <w:rPr>
          <w:lang w:val="en-GB"/>
        </w:rPr>
        <w:t>high-pressure</w:t>
      </w:r>
      <w:r w:rsidRPr="00727F09">
        <w:rPr>
          <w:lang w:val="en-GB"/>
        </w:rPr>
        <w:t xml:space="preserve"> storage (in composite tanks/cylinders, P=70-100 MPa). The main concerns related to GH</w:t>
      </w:r>
      <w:r w:rsidRPr="00727F09">
        <w:rPr>
          <w:vertAlign w:val="subscript"/>
          <w:lang w:val="en-GB"/>
        </w:rPr>
        <w:t>2</w:t>
      </w:r>
      <w:r w:rsidRPr="00727F09">
        <w:rPr>
          <w:lang w:val="en-GB"/>
        </w:rPr>
        <w:t xml:space="preserve"> are: • the large amount of energy required for compression; • </w:t>
      </w:r>
      <w:r w:rsidR="00480173" w:rsidRPr="00727F09">
        <w:rPr>
          <w:lang w:val="en-GB"/>
        </w:rPr>
        <w:t xml:space="preserve">the </w:t>
      </w:r>
      <w:r w:rsidRPr="00727F09">
        <w:rPr>
          <w:lang w:val="en-GB"/>
        </w:rPr>
        <w:t xml:space="preserve">stress on container materials caused by repeated cycles from low to high pressures; • the inherent safety </w:t>
      </w:r>
      <w:r w:rsidR="00480173" w:rsidRPr="00727F09">
        <w:rPr>
          <w:lang w:val="en-GB"/>
        </w:rPr>
        <w:t>concerns for the use of</w:t>
      </w:r>
      <w:r w:rsidRPr="00727F09">
        <w:rPr>
          <w:lang w:val="en-GB"/>
        </w:rPr>
        <w:t xml:space="preserve"> such high pressures in tanks.</w:t>
      </w:r>
    </w:p>
    <w:p w14:paraId="7658F7E7" w14:textId="4EB5343A" w:rsidR="00281083" w:rsidRPr="00727F09" w:rsidRDefault="00281083" w:rsidP="00281083">
      <w:pPr>
        <w:pStyle w:val="CETBodytext"/>
        <w:rPr>
          <w:lang w:val="en-GB"/>
        </w:rPr>
      </w:pPr>
      <w:r w:rsidRPr="00727F09">
        <w:rPr>
          <w:lang w:val="en-GB"/>
        </w:rPr>
        <w:t>In this article, type I tanks will be consider</w:t>
      </w:r>
      <w:r w:rsidR="00353F00" w:rsidRPr="00727F09">
        <w:rPr>
          <w:lang w:val="en-GB"/>
        </w:rPr>
        <w:t>ed</w:t>
      </w:r>
      <w:r w:rsidRPr="00727F09">
        <w:rPr>
          <w:lang w:val="en-GB"/>
        </w:rPr>
        <w:t xml:space="preserve">, giving indications on their construction and safe use. </w:t>
      </w:r>
      <w:r w:rsidR="00480173" w:rsidRPr="00727F09">
        <w:rPr>
          <w:lang w:val="en-GB"/>
        </w:rPr>
        <w:t>Usually</w:t>
      </w:r>
      <w:r w:rsidRPr="00727F09">
        <w:rPr>
          <w:lang w:val="en-GB"/>
        </w:rPr>
        <w:t>, hydrogen storage processes involve placing a compressor before the storage tank. With tanks (with weld</w:t>
      </w:r>
      <w:r w:rsidR="00480173" w:rsidRPr="00727F09">
        <w:rPr>
          <w:lang w:val="en-GB"/>
        </w:rPr>
        <w:t>s</w:t>
      </w:r>
      <w:r w:rsidRPr="00727F09">
        <w:rPr>
          <w:lang w:val="en-GB"/>
        </w:rPr>
        <w:t xml:space="preserve">) capable of storing hydrogen at 35 bar pressure (Fig. 2 A), for example, the user does not need to compress hydrogen before storing </w:t>
      </w:r>
      <w:r w:rsidR="00990B74" w:rsidRPr="00727F09">
        <w:rPr>
          <w:lang w:val="en-GB"/>
        </w:rPr>
        <w:t>it; 35</w:t>
      </w:r>
      <w:r w:rsidRPr="00727F09">
        <w:rPr>
          <w:lang w:val="en-GB"/>
        </w:rPr>
        <w:t xml:space="preserve"> bar, in fact, usually corresponds to the value of the</w:t>
      </w:r>
      <w:r w:rsidR="004527E5" w:rsidRPr="00727F09">
        <w:rPr>
          <w:lang w:val="en-GB"/>
        </w:rPr>
        <w:t xml:space="preserve"> pressure of the</w:t>
      </w:r>
      <w:r w:rsidRPr="00727F09">
        <w:rPr>
          <w:lang w:val="en-GB"/>
        </w:rPr>
        <w:t xml:space="preserve"> hydrogen </w:t>
      </w:r>
      <w:r w:rsidR="004527E5" w:rsidRPr="00727F09">
        <w:rPr>
          <w:lang w:val="en-GB"/>
        </w:rPr>
        <w:t>leaving</w:t>
      </w:r>
      <w:r w:rsidRPr="00727F09">
        <w:rPr>
          <w:lang w:val="en-GB"/>
        </w:rPr>
        <w:t xml:space="preserve"> an </w:t>
      </w:r>
      <w:r w:rsidR="004527E5" w:rsidRPr="00727F09">
        <w:rPr>
          <w:lang w:val="en-GB"/>
        </w:rPr>
        <w:t>electrolyzer</w:t>
      </w:r>
      <w:r w:rsidRPr="00727F09">
        <w:rPr>
          <w:lang w:val="en-GB"/>
        </w:rPr>
        <w:t>. As a result, some hydrogen storage tanks can be placed directly between the electrolyzer, or any other hydrogen production system, and the machine that consumes or transp</w:t>
      </w:r>
      <w:r w:rsidR="004527E5" w:rsidRPr="00727F09">
        <w:rPr>
          <w:lang w:val="en-GB"/>
        </w:rPr>
        <w:t>o</w:t>
      </w:r>
      <w:r w:rsidR="00FA56F7" w:rsidRPr="00727F09">
        <w:rPr>
          <w:lang w:val="en-GB"/>
        </w:rPr>
        <w:t>rt</w:t>
      </w:r>
      <w:r w:rsidRPr="00727F09">
        <w:rPr>
          <w:lang w:val="en-GB"/>
        </w:rPr>
        <w:t xml:space="preserve"> it. In this way, they allow the compressor to be eliminated from the system. Fig. 2 shows some examples of hydrogen </w:t>
      </w:r>
      <w:r w:rsidRPr="00727F09">
        <w:rPr>
          <w:lang w:val="en-GB"/>
        </w:rPr>
        <w:lastRenderedPageBreak/>
        <w:t xml:space="preserve">storage tanks in </w:t>
      </w:r>
      <w:r w:rsidR="004527E5" w:rsidRPr="00727F09">
        <w:rPr>
          <w:lang w:val="en-GB"/>
        </w:rPr>
        <w:t>stationary</w:t>
      </w:r>
      <w:r w:rsidRPr="00727F09">
        <w:rPr>
          <w:lang w:val="en-GB"/>
        </w:rPr>
        <w:t xml:space="preserve"> applications. Providing</w:t>
      </w:r>
      <w:r w:rsidR="00606B50" w:rsidRPr="00727F09">
        <w:rPr>
          <w:lang w:val="en-GB"/>
        </w:rPr>
        <w:t xml:space="preserve"> </w:t>
      </w:r>
      <w:r w:rsidRPr="00727F09">
        <w:rPr>
          <w:lang w:val="en-GB"/>
        </w:rPr>
        <w:t>Type</w:t>
      </w:r>
      <w:r w:rsidR="004527E5" w:rsidRPr="00727F09">
        <w:rPr>
          <w:lang w:val="en-GB"/>
        </w:rPr>
        <w:t xml:space="preserve"> I</w:t>
      </w:r>
      <w:r w:rsidRPr="00727F09">
        <w:rPr>
          <w:lang w:val="en-GB"/>
        </w:rPr>
        <w:t xml:space="preserve"> tanks, welded in a system </w:t>
      </w:r>
      <w:r w:rsidR="00606B50" w:rsidRPr="00727F09">
        <w:rPr>
          <w:lang w:val="en-GB"/>
        </w:rPr>
        <w:t>over</w:t>
      </w:r>
      <w:r w:rsidRPr="00727F09">
        <w:rPr>
          <w:lang w:val="en-GB"/>
        </w:rPr>
        <w:t xml:space="preserve"> 100 bar, </w:t>
      </w:r>
      <w:r w:rsidR="00606B50" w:rsidRPr="00727F09">
        <w:rPr>
          <w:lang w:val="en-GB"/>
        </w:rPr>
        <w:t>can</w:t>
      </w:r>
      <w:r w:rsidRPr="00727F09">
        <w:rPr>
          <w:lang w:val="en-GB"/>
        </w:rPr>
        <w:t xml:space="preserve"> be </w:t>
      </w:r>
      <w:r w:rsidR="00606B50" w:rsidRPr="00727F09">
        <w:rPr>
          <w:lang w:val="en-GB"/>
        </w:rPr>
        <w:t>improper</w:t>
      </w:r>
      <w:r w:rsidRPr="00727F09">
        <w:rPr>
          <w:lang w:val="en-GB"/>
        </w:rPr>
        <w:t xml:space="preserve">: the </w:t>
      </w:r>
      <w:r w:rsidR="004527E5" w:rsidRPr="00727F09">
        <w:rPr>
          <w:lang w:val="en-GB"/>
        </w:rPr>
        <w:t>more</w:t>
      </w:r>
      <w:r w:rsidRPr="00727F09">
        <w:rPr>
          <w:lang w:val="en-GB"/>
        </w:rPr>
        <w:t xml:space="preserve"> pressure</w:t>
      </w:r>
      <w:r w:rsidR="004527E5" w:rsidRPr="00727F09">
        <w:rPr>
          <w:lang w:val="en-GB"/>
        </w:rPr>
        <w:t xml:space="preserve"> rises</w:t>
      </w:r>
      <w:r w:rsidRPr="00727F09">
        <w:rPr>
          <w:lang w:val="en-GB"/>
        </w:rPr>
        <w:t xml:space="preserve">, the </w:t>
      </w:r>
      <w:r w:rsidR="004527E5" w:rsidRPr="00727F09">
        <w:rPr>
          <w:lang w:val="en-GB"/>
        </w:rPr>
        <w:t>thicker the wall</w:t>
      </w:r>
      <w:r w:rsidRPr="00727F09">
        <w:rPr>
          <w:lang w:val="en-GB"/>
        </w:rPr>
        <w:t xml:space="preserve"> of the tank must be, which brings with it more steel which becomes very long to </w:t>
      </w:r>
      <w:r w:rsidR="00990B74" w:rsidRPr="00727F09">
        <w:rPr>
          <w:lang w:val="en-GB"/>
        </w:rPr>
        <w:t>weld,</w:t>
      </w:r>
      <w:r w:rsidRPr="00727F09">
        <w:rPr>
          <w:lang w:val="en-GB"/>
        </w:rPr>
        <w:t xml:space="preserve"> heavy and above all expensive. </w:t>
      </w:r>
      <w:r w:rsidR="007E164E" w:rsidRPr="007E164E">
        <w:rPr>
          <w:lang w:val="en-GB"/>
        </w:rPr>
        <w:t xml:space="preserve">Keeping </w:t>
      </w:r>
      <w:r w:rsidR="004527E5" w:rsidRPr="00727F09">
        <w:rPr>
          <w:lang w:val="en-GB"/>
        </w:rPr>
        <w:t>this in mind</w:t>
      </w:r>
      <w:r w:rsidRPr="00727F09">
        <w:rPr>
          <w:lang w:val="en-GB"/>
        </w:rPr>
        <w:t xml:space="preserve">, for pressure </w:t>
      </w:r>
      <w:r w:rsidR="00353F00" w:rsidRPr="00727F09">
        <w:rPr>
          <w:lang w:val="en-GB"/>
        </w:rPr>
        <w:t>over</w:t>
      </w:r>
      <w:r w:rsidRPr="00727F09">
        <w:rPr>
          <w:lang w:val="en-GB"/>
        </w:rPr>
        <w:t xml:space="preserve"> 70 bar </w:t>
      </w:r>
      <w:r w:rsidR="00A31212">
        <w:rPr>
          <w:lang w:val="en-GB"/>
        </w:rPr>
        <w:t>authors</w:t>
      </w:r>
      <w:r w:rsidRPr="00727F09">
        <w:rPr>
          <w:lang w:val="en-GB"/>
        </w:rPr>
        <w:t xml:space="preserve"> opt for one-piece tanks (without welding) as </w:t>
      </w:r>
      <w:r w:rsidR="004527E5" w:rsidRPr="00727F09">
        <w:rPr>
          <w:lang w:val="en-GB"/>
        </w:rPr>
        <w:t>shown</w:t>
      </w:r>
      <w:r w:rsidRPr="00727F09">
        <w:rPr>
          <w:lang w:val="en-GB"/>
        </w:rPr>
        <w:t xml:space="preserve"> in Fig. 2 B) and Fig. 2C).</w:t>
      </w:r>
    </w:p>
    <w:p w14:paraId="1D48E4CC" w14:textId="4E2B5287" w:rsidR="00281083" w:rsidRPr="00727F09" w:rsidRDefault="00281083" w:rsidP="00281083">
      <w:pPr>
        <w:pStyle w:val="CETBodytext"/>
        <w:rPr>
          <w:lang w:val="en-GB"/>
        </w:rPr>
      </w:pPr>
    </w:p>
    <w:tbl>
      <w:tblPr>
        <w:tblStyle w:val="Grigliatabella"/>
        <w:tblW w:w="0" w:type="auto"/>
        <w:tblLook w:val="04A0" w:firstRow="1" w:lastRow="0" w:firstColumn="1" w:lastColumn="0" w:noHBand="0" w:noVBand="1"/>
      </w:tblPr>
      <w:tblGrid>
        <w:gridCol w:w="3114"/>
        <w:gridCol w:w="2771"/>
        <w:gridCol w:w="2892"/>
      </w:tblGrid>
      <w:tr w:rsidR="00281083" w:rsidRPr="00727F09" w14:paraId="5D3B562C" w14:textId="77777777" w:rsidTr="00140C20">
        <w:tc>
          <w:tcPr>
            <w:tcW w:w="3114" w:type="dxa"/>
          </w:tcPr>
          <w:p w14:paraId="3A9106E8" w14:textId="77777777" w:rsidR="00281083" w:rsidRPr="00727F09" w:rsidRDefault="00281083" w:rsidP="00140C20">
            <w:pPr>
              <w:pStyle w:val="CETBodytext"/>
              <w:rPr>
                <w:noProof/>
                <w:sz w:val="20"/>
                <w:lang w:val="en-GB"/>
              </w:rPr>
            </w:pPr>
          </w:p>
          <w:p w14:paraId="68C2D137" w14:textId="77777777" w:rsidR="00281083" w:rsidRPr="00727F09" w:rsidRDefault="00281083" w:rsidP="00140C20">
            <w:pPr>
              <w:pStyle w:val="CETBodytext"/>
              <w:rPr>
                <w:sz w:val="20"/>
                <w:lang w:val="en-GB"/>
              </w:rPr>
            </w:pPr>
            <w:r w:rsidRPr="00727F09">
              <w:rPr>
                <w:rFonts w:ascii="Aptos" w:hAnsi="Aptos"/>
                <w:noProof/>
                <w:kern w:val="2"/>
                <w:sz w:val="20"/>
                <w:szCs w:val="24"/>
                <w:lang w:val="en-GB" w:eastAsia="it-IT"/>
                <w14:ligatures w14:val="standardContextual"/>
              </w:rPr>
              <w:drawing>
                <wp:inline distT="0" distB="0" distL="0" distR="0" wp14:anchorId="4865B824" wp14:editId="5278061C">
                  <wp:extent cx="1775460" cy="960120"/>
                  <wp:effectExtent l="0" t="0" r="0" b="0"/>
                  <wp:docPr id="673748720" name="Immagine 3" descr="Immagine che contiene cilindro, design, controllore, telecom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48720" name="Immagine 3" descr="Immagine che contiene cilindro, design, controllore, telecomand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848" cy="966278"/>
                          </a:xfrm>
                          <a:prstGeom prst="rect">
                            <a:avLst/>
                          </a:prstGeom>
                          <a:noFill/>
                          <a:ln>
                            <a:noFill/>
                          </a:ln>
                        </pic:spPr>
                      </pic:pic>
                    </a:graphicData>
                  </a:graphic>
                </wp:inline>
              </w:drawing>
            </w:r>
          </w:p>
          <w:p w14:paraId="14E10A24" w14:textId="47141167" w:rsidR="00281083" w:rsidRPr="00727F09" w:rsidRDefault="00990B74" w:rsidP="00140C20">
            <w:pPr>
              <w:pStyle w:val="CETBodytext"/>
              <w:rPr>
                <w:sz w:val="16"/>
                <w:szCs w:val="16"/>
                <w:lang w:val="en-GB"/>
              </w:rPr>
            </w:pPr>
            <w:r w:rsidRPr="00727F09">
              <w:rPr>
                <w:sz w:val="16"/>
                <w:szCs w:val="16"/>
                <w:lang w:val="en-GB"/>
              </w:rPr>
              <w:t xml:space="preserve">A) Welded tanks with </w:t>
            </w:r>
            <w:r w:rsidR="009D4BAD" w:rsidRPr="00727F09">
              <w:rPr>
                <w:sz w:val="16"/>
                <w:szCs w:val="16"/>
                <w:lang w:val="en-GB"/>
              </w:rPr>
              <w:t xml:space="preserve">designed </w:t>
            </w:r>
            <w:r w:rsidR="00E47281" w:rsidRPr="00727F09">
              <w:rPr>
                <w:sz w:val="16"/>
                <w:szCs w:val="16"/>
                <w:lang w:val="en-GB"/>
              </w:rPr>
              <w:t>pressure</w:t>
            </w:r>
            <w:r w:rsidR="009D4BAD" w:rsidRPr="00727F09">
              <w:rPr>
                <w:sz w:val="16"/>
                <w:szCs w:val="16"/>
                <w:lang w:val="en-GB"/>
              </w:rPr>
              <w:t xml:space="preserve"> 35/70 bar</w:t>
            </w:r>
          </w:p>
        </w:tc>
        <w:tc>
          <w:tcPr>
            <w:tcW w:w="2771" w:type="dxa"/>
          </w:tcPr>
          <w:p w14:paraId="184ED4C8" w14:textId="77777777" w:rsidR="00281083" w:rsidRPr="00727F09" w:rsidRDefault="00281083" w:rsidP="00140C20">
            <w:pPr>
              <w:pStyle w:val="CETBodytext"/>
              <w:rPr>
                <w:sz w:val="20"/>
                <w:lang w:val="en-GB"/>
              </w:rPr>
            </w:pPr>
          </w:p>
          <w:p w14:paraId="2345BDFF" w14:textId="77777777" w:rsidR="00281083" w:rsidRPr="00727F09" w:rsidRDefault="00281083" w:rsidP="00140C20">
            <w:pPr>
              <w:pStyle w:val="CETBodytext"/>
              <w:rPr>
                <w:lang w:val="en-GB"/>
              </w:rPr>
            </w:pPr>
            <w:r w:rsidRPr="00727F09">
              <w:rPr>
                <w:lang w:val="en-GB"/>
              </w:rPr>
              <w:object w:dxaOrig="3936" w:dyaOrig="1824" w14:anchorId="391D4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15pt;height:78.2pt" o:ole="">
                  <v:imagedata r:id="rId12" o:title=""/>
                </v:shape>
                <o:OLEObject Type="Embed" ProgID="PBrush" ShapeID="_x0000_i1025" DrawAspect="Content" ObjectID="_1806563838" r:id="rId13"/>
              </w:object>
            </w:r>
          </w:p>
          <w:p w14:paraId="4596A219" w14:textId="2C463ED7" w:rsidR="00281083" w:rsidRPr="00727F09" w:rsidRDefault="00990B74" w:rsidP="00140C20">
            <w:pPr>
              <w:pStyle w:val="CETBodytext"/>
              <w:rPr>
                <w:sz w:val="16"/>
                <w:szCs w:val="16"/>
                <w:lang w:val="en-GB"/>
              </w:rPr>
            </w:pPr>
            <w:r w:rsidRPr="00727F09">
              <w:rPr>
                <w:sz w:val="16"/>
                <w:szCs w:val="16"/>
                <w:lang w:val="en-GB"/>
              </w:rPr>
              <w:t>B) Seamless cylinders with design pressure 150/200 bar</w:t>
            </w:r>
          </w:p>
        </w:tc>
        <w:tc>
          <w:tcPr>
            <w:tcW w:w="2892" w:type="dxa"/>
          </w:tcPr>
          <w:p w14:paraId="3ED57758" w14:textId="77777777" w:rsidR="00281083" w:rsidRPr="00727F09" w:rsidRDefault="00281083" w:rsidP="00140C20">
            <w:pPr>
              <w:pStyle w:val="CETBodytext"/>
              <w:rPr>
                <w:sz w:val="20"/>
                <w:lang w:val="en-GB"/>
              </w:rPr>
            </w:pPr>
          </w:p>
          <w:p w14:paraId="1E5031C7" w14:textId="77777777" w:rsidR="00281083" w:rsidRPr="00727F09" w:rsidRDefault="00281083" w:rsidP="00140C20">
            <w:pPr>
              <w:pStyle w:val="CETBodytext"/>
              <w:rPr>
                <w:lang w:val="en-GB"/>
              </w:rPr>
            </w:pPr>
            <w:r w:rsidRPr="00727F09">
              <w:rPr>
                <w:lang w:val="en-GB"/>
              </w:rPr>
              <w:object w:dxaOrig="2484" w:dyaOrig="2244" w14:anchorId="33576380">
                <v:shape id="_x0000_i1026" type="#_x0000_t75" style="width:125.9pt;height:77.75pt" o:ole="">
                  <v:imagedata r:id="rId14" o:title=""/>
                </v:shape>
                <o:OLEObject Type="Embed" ProgID="PBrush" ShapeID="_x0000_i1026" DrawAspect="Content" ObjectID="_1806563839" r:id="rId15"/>
              </w:object>
            </w:r>
          </w:p>
          <w:p w14:paraId="05926BB9" w14:textId="053E554D" w:rsidR="00281083" w:rsidRPr="00727F09" w:rsidRDefault="00990B74" w:rsidP="00140C20">
            <w:pPr>
              <w:pStyle w:val="CETBodytext"/>
              <w:rPr>
                <w:sz w:val="16"/>
                <w:szCs w:val="16"/>
                <w:lang w:val="en-GB"/>
              </w:rPr>
            </w:pPr>
            <w:r w:rsidRPr="00727F09">
              <w:rPr>
                <w:sz w:val="16"/>
                <w:szCs w:val="16"/>
                <w:lang w:val="en-GB"/>
              </w:rPr>
              <w:t>C) Seamless cylinders with design pressure 200/500 bar</w:t>
            </w:r>
          </w:p>
        </w:tc>
      </w:tr>
    </w:tbl>
    <w:p w14:paraId="3C90772C" w14:textId="58C624F1" w:rsidR="00281083" w:rsidRPr="00727F09" w:rsidRDefault="00281083" w:rsidP="00FA56F7">
      <w:pPr>
        <w:pStyle w:val="CETBodytext"/>
        <w:rPr>
          <w:rStyle w:val="CETCaptionCarattere"/>
        </w:rPr>
      </w:pPr>
      <w:r w:rsidRPr="00727F09">
        <w:rPr>
          <w:rStyle w:val="CETCaptionCarattere"/>
        </w:rPr>
        <w:t>Fig. 2</w:t>
      </w:r>
      <w:r w:rsidR="00FA56F7" w:rsidRPr="00727F09">
        <w:rPr>
          <w:rStyle w:val="CETCaptionCarattere"/>
        </w:rPr>
        <w:t>: Examples of hydrogen storage tanks</w:t>
      </w:r>
    </w:p>
    <w:p w14:paraId="0BFC437E" w14:textId="77777777" w:rsidR="00281083" w:rsidRPr="00727F09" w:rsidRDefault="00281083" w:rsidP="00281083">
      <w:pPr>
        <w:pStyle w:val="CETBodytext"/>
        <w:jc w:val="center"/>
        <w:rPr>
          <w:b/>
          <w:bCs/>
          <w:sz w:val="20"/>
          <w:lang w:val="en-GB"/>
        </w:rPr>
      </w:pPr>
    </w:p>
    <w:p w14:paraId="24BE10AE" w14:textId="2EB7D950" w:rsidR="00281083" w:rsidRPr="00727F09" w:rsidRDefault="00281083" w:rsidP="00A47F21">
      <w:pPr>
        <w:pStyle w:val="CETheadingx"/>
        <w:numPr>
          <w:ilvl w:val="1"/>
          <w:numId w:val="42"/>
        </w:numPr>
        <w:ind w:left="426"/>
        <w:rPr>
          <w:lang w:val="en-GB"/>
        </w:rPr>
      </w:pPr>
      <w:r w:rsidRPr="00727F09">
        <w:rPr>
          <w:lang w:val="en-GB"/>
        </w:rPr>
        <w:t>Storage and transport of liquefied hydrogen, LH</w:t>
      </w:r>
      <w:r w:rsidRPr="00727F09">
        <w:rPr>
          <w:vertAlign w:val="subscript"/>
          <w:lang w:val="en-GB"/>
        </w:rPr>
        <w:t>2</w:t>
      </w:r>
    </w:p>
    <w:p w14:paraId="798EB34A" w14:textId="5AF1DBEC" w:rsidR="00A227FB" w:rsidRPr="00727F09" w:rsidRDefault="00A227FB" w:rsidP="0014126F">
      <w:pPr>
        <w:pStyle w:val="CETBodytext"/>
        <w:rPr>
          <w:lang w:val="en-GB"/>
        </w:rPr>
      </w:pPr>
      <w:r w:rsidRPr="00727F09">
        <w:rPr>
          <w:lang w:val="en-GB"/>
        </w:rPr>
        <w:t>Storage tanks for LH</w:t>
      </w:r>
      <w:r w:rsidRPr="00727F09">
        <w:rPr>
          <w:vertAlign w:val="subscript"/>
          <w:lang w:val="en-GB"/>
        </w:rPr>
        <w:t>2</w:t>
      </w:r>
      <w:r w:rsidRPr="00727F09">
        <w:rPr>
          <w:lang w:val="en-GB"/>
        </w:rPr>
        <w:t xml:space="preserve"> can hold more hydrogen than those for GH</w:t>
      </w:r>
      <w:r w:rsidRPr="00727F09">
        <w:rPr>
          <w:vertAlign w:val="subscript"/>
          <w:lang w:val="en-GB"/>
        </w:rPr>
        <w:t>2</w:t>
      </w:r>
      <w:r w:rsidRPr="00727F09">
        <w:rPr>
          <w:lang w:val="en-GB"/>
        </w:rPr>
        <w:t>: the volumetric capacity of LH</w:t>
      </w:r>
      <w:r w:rsidRPr="00727F09">
        <w:rPr>
          <w:vertAlign w:val="subscript"/>
          <w:lang w:val="en-GB"/>
        </w:rPr>
        <w:t>2</w:t>
      </w:r>
      <w:r w:rsidRPr="00727F09">
        <w:rPr>
          <w:lang w:val="en-GB"/>
        </w:rPr>
        <w:t xml:space="preserve"> is 0.070 kg/L versus 0.030 kg/L for GH</w:t>
      </w:r>
      <w:r w:rsidRPr="00727F09">
        <w:rPr>
          <w:vertAlign w:val="subscript"/>
          <w:lang w:val="en-GB"/>
        </w:rPr>
        <w:t>2</w:t>
      </w:r>
      <w:r w:rsidRPr="00727F09">
        <w:rPr>
          <w:lang w:val="en-GB"/>
        </w:rPr>
        <w:t xml:space="preserve"> tanks at 70 MPa. </w:t>
      </w:r>
      <w:r w:rsidR="0014126F" w:rsidRPr="00727F09">
        <w:rPr>
          <w:lang w:val="en-GB"/>
        </w:rPr>
        <w:t>One of the worst-case scenarios might be the catastrophic rupture of the LH</w:t>
      </w:r>
      <w:r w:rsidR="0014126F" w:rsidRPr="00727F09">
        <w:rPr>
          <w:vertAlign w:val="subscript"/>
          <w:lang w:val="en-GB"/>
        </w:rPr>
        <w:t>2</w:t>
      </w:r>
      <w:r w:rsidR="0014126F" w:rsidRPr="00727F09">
        <w:rPr>
          <w:lang w:val="en-GB"/>
        </w:rPr>
        <w:t xml:space="preserve"> vessel (Ustolin et al., 2022). </w:t>
      </w:r>
      <w:r w:rsidRPr="00727F09">
        <w:rPr>
          <w:lang w:val="en-GB"/>
        </w:rPr>
        <w:t xml:space="preserve">However, a </w:t>
      </w:r>
      <w:r w:rsidR="004527E5" w:rsidRPr="00727F09">
        <w:rPr>
          <w:lang w:val="en-GB"/>
        </w:rPr>
        <w:t>considerable</w:t>
      </w:r>
      <w:r w:rsidRPr="00727F09">
        <w:rPr>
          <w:lang w:val="en-GB"/>
        </w:rPr>
        <w:t xml:space="preserve"> amount of energy is required for liquefaction (about 30% of the energy contained in hydrogen). Hydrogen can be liquefied for simplified transport or storage. All major industrial gas suppliers have cryogenic tankers. Fig. 3 A) shows an LH</w:t>
      </w:r>
      <w:r w:rsidRPr="00727F09">
        <w:rPr>
          <w:vertAlign w:val="subscript"/>
          <w:lang w:val="en-GB"/>
        </w:rPr>
        <w:t>2</w:t>
      </w:r>
      <w:r w:rsidRPr="00727F09">
        <w:rPr>
          <w:lang w:val="en-GB"/>
        </w:rPr>
        <w:t xml:space="preserve"> storage diagram</w:t>
      </w:r>
      <w:r w:rsidR="00F8048F" w:rsidRPr="00727F09">
        <w:rPr>
          <w:lang w:val="en-GB"/>
        </w:rPr>
        <w:t xml:space="preserve"> showing</w:t>
      </w:r>
      <w:r w:rsidRPr="00727F09">
        <w:rPr>
          <w:lang w:val="en-GB"/>
        </w:rPr>
        <w:t xml:space="preserve"> the main components. Fig. 3 B) shows a photo of an LH</w:t>
      </w:r>
      <w:r w:rsidRPr="00727F09">
        <w:rPr>
          <w:vertAlign w:val="subscript"/>
          <w:lang w:val="en-GB"/>
        </w:rPr>
        <w:t>2</w:t>
      </w:r>
      <w:r w:rsidRPr="00727F09">
        <w:rPr>
          <w:lang w:val="en-GB"/>
        </w:rPr>
        <w:t xml:space="preserve"> tank with a special air vaporizer </w:t>
      </w:r>
      <w:proofErr w:type="gramStart"/>
      <w:r w:rsidRPr="00727F09">
        <w:rPr>
          <w:lang w:val="en-GB"/>
        </w:rPr>
        <w:t>in order to</w:t>
      </w:r>
      <w:proofErr w:type="gramEnd"/>
      <w:r w:rsidRPr="00727F09">
        <w:rPr>
          <w:lang w:val="en-GB"/>
        </w:rPr>
        <w:t xml:space="preserve"> deliver hydrogen gas.</w:t>
      </w:r>
    </w:p>
    <w:p w14:paraId="3B5A8642" w14:textId="728124D3" w:rsidR="00A227FB" w:rsidRPr="00727F09" w:rsidRDefault="00A227FB" w:rsidP="00A227FB">
      <w:pPr>
        <w:pStyle w:val="CETBodytext"/>
        <w:rPr>
          <w:lang w:val="en-GB"/>
        </w:rPr>
      </w:pPr>
    </w:p>
    <w:tbl>
      <w:tblPr>
        <w:tblStyle w:val="Grigliatabella"/>
        <w:tblW w:w="0" w:type="auto"/>
        <w:tblLook w:val="04A0" w:firstRow="1" w:lastRow="0" w:firstColumn="1" w:lastColumn="0" w:noHBand="0" w:noVBand="1"/>
      </w:tblPr>
      <w:tblGrid>
        <w:gridCol w:w="3438"/>
        <w:gridCol w:w="2581"/>
        <w:gridCol w:w="2758"/>
      </w:tblGrid>
      <w:tr w:rsidR="00A227FB" w:rsidRPr="00727F09" w14:paraId="2E2C041C" w14:textId="77777777" w:rsidTr="00140C20">
        <w:tc>
          <w:tcPr>
            <w:tcW w:w="3420" w:type="dxa"/>
          </w:tcPr>
          <w:p w14:paraId="74E3C334" w14:textId="77777777" w:rsidR="00A227FB" w:rsidRPr="00727F09" w:rsidRDefault="00A227FB" w:rsidP="00140C20">
            <w:pPr>
              <w:pStyle w:val="CETBodytext"/>
              <w:rPr>
                <w:sz w:val="20"/>
                <w:lang w:val="en-GB"/>
              </w:rPr>
            </w:pPr>
          </w:p>
          <w:p w14:paraId="60C49102" w14:textId="77777777" w:rsidR="00A227FB" w:rsidRPr="00727F09" w:rsidRDefault="00A227FB" w:rsidP="00140C20">
            <w:pPr>
              <w:pStyle w:val="CETBodytext"/>
              <w:rPr>
                <w:sz w:val="20"/>
                <w:lang w:val="en-GB"/>
              </w:rPr>
            </w:pPr>
            <w:r w:rsidRPr="00727F09">
              <w:rPr>
                <w:noProof/>
                <w:sz w:val="20"/>
                <w:lang w:val="en-GB"/>
              </w:rPr>
              <w:drawing>
                <wp:inline distT="0" distB="0" distL="0" distR="0" wp14:anchorId="31144116" wp14:editId="7111B02C">
                  <wp:extent cx="2071370" cy="1119554"/>
                  <wp:effectExtent l="0" t="0" r="5080" b="4445"/>
                  <wp:docPr id="6820480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596" cy="1136972"/>
                          </a:xfrm>
                          <a:prstGeom prst="rect">
                            <a:avLst/>
                          </a:prstGeom>
                          <a:noFill/>
                          <a:ln>
                            <a:noFill/>
                          </a:ln>
                        </pic:spPr>
                      </pic:pic>
                    </a:graphicData>
                  </a:graphic>
                </wp:inline>
              </w:drawing>
            </w:r>
          </w:p>
          <w:p w14:paraId="2BC82119" w14:textId="77777777" w:rsidR="00990B74" w:rsidRPr="00727F09" w:rsidRDefault="00990B74" w:rsidP="00990B74">
            <w:pPr>
              <w:rPr>
                <w:szCs w:val="18"/>
              </w:rPr>
            </w:pPr>
            <w:r w:rsidRPr="00727F09">
              <w:rPr>
                <w:szCs w:val="18"/>
              </w:rPr>
              <w:t>A) LH</w:t>
            </w:r>
            <w:r w:rsidRPr="00727F09">
              <w:rPr>
                <w:szCs w:val="18"/>
                <w:vertAlign w:val="subscript"/>
              </w:rPr>
              <w:t>2</w:t>
            </w:r>
            <w:r w:rsidRPr="00727F09">
              <w:rPr>
                <w:szCs w:val="18"/>
              </w:rPr>
              <w:t xml:space="preserve"> storage scheme in which  </w:t>
            </w:r>
          </w:p>
          <w:p w14:paraId="2D181A85" w14:textId="2C86D1D3" w:rsidR="00A227FB" w:rsidRPr="00727F09" w:rsidRDefault="00990B74" w:rsidP="00140C20">
            <w:pPr>
              <w:rPr>
                <w:szCs w:val="18"/>
              </w:rPr>
            </w:pPr>
            <w:r w:rsidRPr="00727F09">
              <w:rPr>
                <w:szCs w:val="18"/>
              </w:rPr>
              <w:t>The main components are highlighted</w:t>
            </w:r>
          </w:p>
        </w:tc>
        <w:tc>
          <w:tcPr>
            <w:tcW w:w="2614" w:type="dxa"/>
          </w:tcPr>
          <w:p w14:paraId="10BE21E2" w14:textId="77777777" w:rsidR="00A227FB" w:rsidRPr="00727F09" w:rsidRDefault="00A227FB" w:rsidP="00140C20">
            <w:pPr>
              <w:pStyle w:val="CETBodytext"/>
              <w:rPr>
                <w:sz w:val="20"/>
                <w:lang w:val="en-GB"/>
              </w:rPr>
            </w:pPr>
          </w:p>
          <w:p w14:paraId="69268C1A" w14:textId="77777777" w:rsidR="00A227FB" w:rsidRPr="00727F09" w:rsidRDefault="00A227FB" w:rsidP="00140C20">
            <w:pPr>
              <w:pStyle w:val="CETBodytext"/>
              <w:rPr>
                <w:lang w:val="en-GB"/>
              </w:rPr>
            </w:pPr>
            <w:r w:rsidRPr="00727F09">
              <w:rPr>
                <w:lang w:val="en-GB"/>
              </w:rPr>
              <w:object w:dxaOrig="2448" w:dyaOrig="2844" w14:anchorId="78EE9C01">
                <v:shape id="_x0000_i1027" type="#_x0000_t75" style="width:120.15pt;height:90.1pt" o:ole="">
                  <v:imagedata r:id="rId17" o:title=""/>
                </v:shape>
                <o:OLEObject Type="Embed" ProgID="PBrush" ShapeID="_x0000_i1027" DrawAspect="Content" ObjectID="_1806563840" r:id="rId18"/>
              </w:object>
            </w:r>
          </w:p>
          <w:p w14:paraId="06D9B9B6" w14:textId="1B4CE2E1" w:rsidR="00A227FB" w:rsidRPr="00727F09" w:rsidRDefault="00990B74" w:rsidP="00140C20">
            <w:pPr>
              <w:pStyle w:val="CETBodytext"/>
              <w:rPr>
                <w:szCs w:val="18"/>
                <w:lang w:val="en-GB"/>
              </w:rPr>
            </w:pPr>
            <w:r w:rsidRPr="00727F09">
              <w:rPr>
                <w:szCs w:val="18"/>
                <w:lang w:val="en-GB"/>
              </w:rPr>
              <w:t xml:space="preserve">B) </w:t>
            </w:r>
            <w:r w:rsidR="00E157B7" w:rsidRPr="00727F09">
              <w:rPr>
                <w:szCs w:val="18"/>
                <w:lang w:val="en-GB"/>
              </w:rPr>
              <w:t>F</w:t>
            </w:r>
            <w:r w:rsidRPr="00727F09">
              <w:rPr>
                <w:szCs w:val="18"/>
                <w:lang w:val="en-GB"/>
              </w:rPr>
              <w:t>ixed LH</w:t>
            </w:r>
            <w:r w:rsidRPr="00727F09">
              <w:rPr>
                <w:szCs w:val="18"/>
                <w:vertAlign w:val="subscript"/>
                <w:lang w:val="en-GB"/>
              </w:rPr>
              <w:t>2</w:t>
            </w:r>
            <w:r w:rsidRPr="00727F09">
              <w:rPr>
                <w:szCs w:val="18"/>
                <w:lang w:val="en-GB"/>
              </w:rPr>
              <w:t xml:space="preserve"> tank with a special vaporizer</w:t>
            </w:r>
          </w:p>
        </w:tc>
        <w:tc>
          <w:tcPr>
            <w:tcW w:w="2743" w:type="dxa"/>
          </w:tcPr>
          <w:p w14:paraId="69B61CAF" w14:textId="77777777" w:rsidR="00A227FB" w:rsidRPr="00727F09" w:rsidRDefault="00A227FB" w:rsidP="00140C20">
            <w:pPr>
              <w:pStyle w:val="CETBodytext"/>
              <w:rPr>
                <w:rFonts w:ascii="Aptos" w:hAnsi="Aptos"/>
                <w:noProof/>
                <w:kern w:val="2"/>
                <w:sz w:val="20"/>
                <w:szCs w:val="24"/>
                <w:lang w:val="en-GB" w:eastAsia="it-IT"/>
                <w14:ligatures w14:val="standardContextual"/>
              </w:rPr>
            </w:pPr>
          </w:p>
          <w:p w14:paraId="0A774DCE" w14:textId="77777777" w:rsidR="00A227FB" w:rsidRPr="00727F09" w:rsidRDefault="00A227FB" w:rsidP="00140C20">
            <w:pPr>
              <w:pStyle w:val="CETBodytext"/>
              <w:rPr>
                <w:sz w:val="20"/>
                <w:lang w:val="en-GB"/>
              </w:rPr>
            </w:pPr>
            <w:r w:rsidRPr="00727F09">
              <w:rPr>
                <w:noProof/>
                <w:sz w:val="20"/>
                <w:lang w:val="en-GB"/>
              </w:rPr>
              <w:drawing>
                <wp:inline distT="0" distB="0" distL="0" distR="0" wp14:anchorId="4EA07741" wp14:editId="4AC12B02">
                  <wp:extent cx="1633700" cy="1113692"/>
                  <wp:effectExtent l="0" t="0" r="5080" b="0"/>
                  <wp:docPr id="113293293" name="Immagine 4" descr="Immagine che contiene ruota, trasporto, veicolo, Trasporto di mer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3293" name="Immagine 4" descr="Immagine che contiene ruota, trasporto, veicolo, Trasporto di merci&#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760" cy="1117823"/>
                          </a:xfrm>
                          <a:prstGeom prst="rect">
                            <a:avLst/>
                          </a:prstGeom>
                          <a:noFill/>
                        </pic:spPr>
                      </pic:pic>
                    </a:graphicData>
                  </a:graphic>
                </wp:inline>
              </w:drawing>
            </w:r>
          </w:p>
          <w:p w14:paraId="1DF07E5A" w14:textId="1CF1E26D" w:rsidR="00A227FB" w:rsidRPr="00727F09" w:rsidRDefault="00990B74" w:rsidP="00140C20">
            <w:pPr>
              <w:pStyle w:val="CETBodytext"/>
              <w:rPr>
                <w:szCs w:val="18"/>
                <w:lang w:val="en-GB"/>
              </w:rPr>
            </w:pPr>
            <w:r w:rsidRPr="00727F09">
              <w:rPr>
                <w:szCs w:val="18"/>
                <w:lang w:val="en-GB"/>
              </w:rPr>
              <w:t>C) Example of</w:t>
            </w:r>
            <w:r w:rsidR="00F8048F" w:rsidRPr="00727F09">
              <w:rPr>
                <w:szCs w:val="18"/>
                <w:lang w:val="en-GB"/>
              </w:rPr>
              <w:t xml:space="preserve"> a</w:t>
            </w:r>
            <w:r w:rsidRPr="00727F09">
              <w:rPr>
                <w:szCs w:val="18"/>
                <w:lang w:val="en-GB"/>
              </w:rPr>
              <w:t xml:space="preserve"> trailer for transporting LH</w:t>
            </w:r>
            <w:r w:rsidRPr="00727F09">
              <w:rPr>
                <w:szCs w:val="18"/>
                <w:vertAlign w:val="subscript"/>
                <w:lang w:val="en-GB"/>
              </w:rPr>
              <w:t>2</w:t>
            </w:r>
            <w:r w:rsidRPr="00727F09">
              <w:rPr>
                <w:szCs w:val="18"/>
                <w:lang w:val="en-GB"/>
              </w:rPr>
              <w:t xml:space="preserve"> </w:t>
            </w:r>
            <w:r w:rsidR="00F8048F" w:rsidRPr="00727F09">
              <w:rPr>
                <w:szCs w:val="18"/>
                <w:lang w:val="en-GB"/>
              </w:rPr>
              <w:t>by</w:t>
            </w:r>
            <w:r w:rsidRPr="00727F09">
              <w:rPr>
                <w:szCs w:val="18"/>
                <w:lang w:val="en-GB"/>
              </w:rPr>
              <w:t xml:space="preserve"> road</w:t>
            </w:r>
          </w:p>
        </w:tc>
      </w:tr>
    </w:tbl>
    <w:p w14:paraId="3B46CBB6" w14:textId="77619501" w:rsidR="00E157B7" w:rsidRPr="00727F09" w:rsidRDefault="00E157B7" w:rsidP="00E157B7">
      <w:pPr>
        <w:pStyle w:val="CETBodytext"/>
        <w:rPr>
          <w:rStyle w:val="CETCaptionCarattere"/>
        </w:rPr>
      </w:pPr>
      <w:r w:rsidRPr="00727F09">
        <w:rPr>
          <w:rStyle w:val="CETCaptionCarattere"/>
        </w:rPr>
        <w:t>Fig. 3: Examples of hydrogen tanks</w:t>
      </w:r>
    </w:p>
    <w:p w14:paraId="26BE988A" w14:textId="31296FA6" w:rsidR="00A227FB" w:rsidRPr="00727F09" w:rsidRDefault="00A227FB" w:rsidP="005D6EC6">
      <w:pPr>
        <w:pStyle w:val="CETHeading1"/>
        <w:numPr>
          <w:ilvl w:val="0"/>
          <w:numId w:val="37"/>
        </w:numPr>
        <w:tabs>
          <w:tab w:val="num" w:pos="360"/>
        </w:tabs>
        <w:ind w:left="0" w:firstLine="0"/>
        <w:rPr>
          <w:b w:val="0"/>
          <w:bCs/>
          <w:lang w:val="en-GB"/>
        </w:rPr>
      </w:pPr>
      <w:r w:rsidRPr="00727F09">
        <w:rPr>
          <w:bCs/>
          <w:lang w:val="en-GB"/>
        </w:rPr>
        <w:t>Pressure equipment and assemblies in fixed installations</w:t>
      </w:r>
    </w:p>
    <w:p w14:paraId="6D74A8AD" w14:textId="5FDB241F" w:rsidR="00A227FB" w:rsidRPr="00727F09" w:rsidRDefault="00A227FB" w:rsidP="00B71DA1">
      <w:pPr>
        <w:pStyle w:val="CETBodytext"/>
        <w:rPr>
          <w:lang w:val="en-GB"/>
        </w:rPr>
      </w:pPr>
      <w:r w:rsidRPr="00727F09">
        <w:rPr>
          <w:lang w:val="en-GB"/>
        </w:rPr>
        <w:t>It should be noted that</w:t>
      </w:r>
      <w:r w:rsidR="00F8048F" w:rsidRPr="00727F09">
        <w:rPr>
          <w:lang w:val="en-GB"/>
        </w:rPr>
        <w:t xml:space="preserve"> almost always</w:t>
      </w:r>
      <w:r w:rsidRPr="00727F09">
        <w:rPr>
          <w:lang w:val="en-GB"/>
        </w:rPr>
        <w:t xml:space="preserve"> </w:t>
      </w:r>
      <w:r w:rsidR="00F8048F" w:rsidRPr="00727F09">
        <w:rPr>
          <w:lang w:val="en-GB"/>
        </w:rPr>
        <w:t>accidental events</w:t>
      </w:r>
      <w:r w:rsidRPr="00727F09">
        <w:rPr>
          <w:lang w:val="en-GB"/>
        </w:rPr>
        <w:t xml:space="preserve"> involving equipment or</w:t>
      </w:r>
      <w:r w:rsidR="00F8048F" w:rsidRPr="00727F09">
        <w:rPr>
          <w:lang w:val="en-GB"/>
        </w:rPr>
        <w:t xml:space="preserve"> pressure</w:t>
      </w:r>
      <w:r w:rsidRPr="00727F09">
        <w:rPr>
          <w:lang w:val="en-GB"/>
        </w:rPr>
        <w:t xml:space="preserve"> assemblies </w:t>
      </w:r>
      <w:r w:rsidR="00F8048F" w:rsidRPr="00727F09">
        <w:rPr>
          <w:lang w:val="en-GB"/>
        </w:rPr>
        <w:t xml:space="preserve">that </w:t>
      </w:r>
      <w:r w:rsidRPr="00727F09">
        <w:rPr>
          <w:lang w:val="en-GB"/>
        </w:rPr>
        <w:t xml:space="preserve">contain hydrogen begin with a </w:t>
      </w:r>
      <w:r w:rsidR="007E164E">
        <w:rPr>
          <w:lang w:val="en-GB"/>
        </w:rPr>
        <w:t>l</w:t>
      </w:r>
      <w:r w:rsidR="007E164E" w:rsidRPr="007E164E">
        <w:rPr>
          <w:lang w:val="en-GB"/>
        </w:rPr>
        <w:t>oss of containment / release</w:t>
      </w:r>
      <w:r w:rsidR="007E164E">
        <w:rPr>
          <w:lang w:val="en-GB"/>
        </w:rPr>
        <w:t xml:space="preserve"> </w:t>
      </w:r>
      <w:r w:rsidRPr="00727F09">
        <w:rPr>
          <w:lang w:val="en-GB"/>
        </w:rPr>
        <w:t>of H</w:t>
      </w:r>
      <w:r w:rsidRPr="00727F09">
        <w:rPr>
          <w:vertAlign w:val="subscript"/>
          <w:lang w:val="en-GB"/>
        </w:rPr>
        <w:t>2</w:t>
      </w:r>
      <w:r w:rsidRPr="00727F09">
        <w:rPr>
          <w:lang w:val="en-GB"/>
        </w:rPr>
        <w:t>. Depending on the way in which the loss or release occurs, the equipment involved and the surrounding circumstances, the event evolves through three main phenomen</w:t>
      </w:r>
      <w:r w:rsidR="00F8048F" w:rsidRPr="00727F09">
        <w:rPr>
          <w:lang w:val="en-GB"/>
        </w:rPr>
        <w:t>a</w:t>
      </w:r>
      <w:r w:rsidRPr="00727F09">
        <w:rPr>
          <w:lang w:val="en-GB"/>
        </w:rPr>
        <w:t>: fire, explosion and release of H</w:t>
      </w:r>
      <w:r w:rsidRPr="00727F09">
        <w:rPr>
          <w:vertAlign w:val="subscript"/>
          <w:lang w:val="en-GB"/>
        </w:rPr>
        <w:t>2</w:t>
      </w:r>
      <w:r w:rsidRPr="00727F09">
        <w:rPr>
          <w:lang w:val="en-GB"/>
        </w:rPr>
        <w:t xml:space="preserve"> (flammable substance).</w:t>
      </w:r>
      <w:r w:rsidR="00F8048F" w:rsidRPr="00727F09">
        <w:rPr>
          <w:lang w:val="en-GB"/>
        </w:rPr>
        <w:t xml:space="preserve"> So</w:t>
      </w:r>
      <w:r w:rsidR="00990B74" w:rsidRPr="00727F09">
        <w:rPr>
          <w:lang w:val="en-GB"/>
        </w:rPr>
        <w:t>,</w:t>
      </w:r>
      <w:r w:rsidR="00BE0DED" w:rsidRPr="00727F09">
        <w:rPr>
          <w:lang w:val="en-GB"/>
        </w:rPr>
        <w:t xml:space="preserve"> </w:t>
      </w:r>
      <w:r w:rsidRPr="00727F09">
        <w:rPr>
          <w:lang w:val="en-GB"/>
        </w:rPr>
        <w:t>the first form of prevention is to avoid leaks from</w:t>
      </w:r>
      <w:r w:rsidR="00BE0DED" w:rsidRPr="00727F09">
        <w:rPr>
          <w:lang w:val="en-GB"/>
        </w:rPr>
        <w:t xml:space="preserve"> hydrogen</w:t>
      </w:r>
      <w:r w:rsidR="00B71DA1" w:rsidRPr="00727F09">
        <w:rPr>
          <w:lang w:val="en-GB"/>
        </w:rPr>
        <w:t xml:space="preserve"> </w:t>
      </w:r>
      <w:r w:rsidR="00BE0DED" w:rsidRPr="00727F09">
        <w:rPr>
          <w:lang w:val="en-GB"/>
        </w:rPr>
        <w:t>containing equipment/assemblies.</w:t>
      </w:r>
      <w:r w:rsidR="001B7CFD" w:rsidRPr="00727F09">
        <w:rPr>
          <w:lang w:val="en-GB"/>
        </w:rPr>
        <w:t xml:space="preserve"> </w:t>
      </w:r>
      <w:hyperlink r:id="rId20" w:tgtFrame="_blank" w:tooltip="therefore" w:history="1">
        <w:r w:rsidR="001B7884" w:rsidRPr="00727F09">
          <w:rPr>
            <w:lang w:val="en-GB"/>
          </w:rPr>
          <w:t>Therefore</w:t>
        </w:r>
      </w:hyperlink>
      <w:r w:rsidR="001B7884" w:rsidRPr="00727F09">
        <w:rPr>
          <w:lang w:val="en-GB"/>
        </w:rPr>
        <w:t>,</w:t>
      </w:r>
      <w:r w:rsidR="001B7CFD" w:rsidRPr="00727F09">
        <w:rPr>
          <w:lang w:val="en-GB"/>
        </w:rPr>
        <w:t xml:space="preserve"> </w:t>
      </w:r>
      <w:hyperlink r:id="rId21" w:tgtFrame="_blank" w:tooltip="it" w:history="1">
        <w:r w:rsidR="001B7884" w:rsidRPr="00727F09">
          <w:rPr>
            <w:lang w:val="en-GB"/>
          </w:rPr>
          <w:t>it</w:t>
        </w:r>
      </w:hyperlink>
      <w:r w:rsidR="001B7CFD" w:rsidRPr="00727F09">
        <w:rPr>
          <w:lang w:val="en-GB"/>
        </w:rPr>
        <w:t xml:space="preserve"> </w:t>
      </w:r>
      <w:hyperlink r:id="rId22" w:tgtFrame="_blank" w:tooltip="is" w:history="1">
        <w:r w:rsidR="001B7884" w:rsidRPr="00727F09">
          <w:rPr>
            <w:lang w:val="en-GB"/>
          </w:rPr>
          <w:t>is</w:t>
        </w:r>
      </w:hyperlink>
      <w:r w:rsidR="001B7CFD" w:rsidRPr="00727F09">
        <w:rPr>
          <w:lang w:val="en-GB"/>
        </w:rPr>
        <w:t xml:space="preserve"> </w:t>
      </w:r>
      <w:hyperlink r:id="rId23" w:tgtFrame="_blank" w:tooltip="essential" w:history="1">
        <w:r w:rsidR="001B7884" w:rsidRPr="00727F09">
          <w:rPr>
            <w:lang w:val="en-GB"/>
          </w:rPr>
          <w:t>essential</w:t>
        </w:r>
      </w:hyperlink>
      <w:r w:rsidR="001B7CFD" w:rsidRPr="00727F09">
        <w:rPr>
          <w:lang w:val="en-GB"/>
        </w:rPr>
        <w:t xml:space="preserve"> </w:t>
      </w:r>
      <w:hyperlink r:id="rId24" w:tgtFrame="_blank" w:tooltip="that" w:history="1">
        <w:r w:rsidR="001B7884" w:rsidRPr="00727F09">
          <w:rPr>
            <w:lang w:val="en-GB"/>
          </w:rPr>
          <w:t>that</w:t>
        </w:r>
      </w:hyperlink>
      <w:r w:rsidR="001B7CFD" w:rsidRPr="00727F09">
        <w:rPr>
          <w:lang w:val="en-GB"/>
        </w:rPr>
        <w:t xml:space="preserve"> </w:t>
      </w:r>
      <w:hyperlink r:id="rId25" w:tgtFrame="_blank" w:tooltip="the" w:history="1">
        <w:r w:rsidR="001B7884" w:rsidRPr="00727F09">
          <w:rPr>
            <w:lang w:val="en-GB"/>
          </w:rPr>
          <w:t>the</w:t>
        </w:r>
      </w:hyperlink>
      <w:r w:rsidR="001B7CFD" w:rsidRPr="00727F09">
        <w:rPr>
          <w:lang w:val="en-GB"/>
        </w:rPr>
        <w:t xml:space="preserve"> </w:t>
      </w:r>
      <w:hyperlink r:id="rId26" w:tgtFrame="_blank" w:tooltip="integrity" w:history="1">
        <w:r w:rsidR="001B7884" w:rsidRPr="00727F09">
          <w:rPr>
            <w:lang w:val="en-GB"/>
          </w:rPr>
          <w:t>integrity</w:t>
        </w:r>
      </w:hyperlink>
      <w:r w:rsidR="001B7CFD" w:rsidRPr="00727F09">
        <w:rPr>
          <w:lang w:val="en-GB"/>
        </w:rPr>
        <w:t xml:space="preserve"> </w:t>
      </w:r>
      <w:hyperlink r:id="rId27" w:tgtFrame="_blank" w:tooltip="of" w:history="1">
        <w:r w:rsidR="001B7884" w:rsidRPr="00727F09">
          <w:rPr>
            <w:lang w:val="en-GB"/>
          </w:rPr>
          <w:t>of</w:t>
        </w:r>
      </w:hyperlink>
      <w:r w:rsidR="001B7CFD" w:rsidRPr="00727F09">
        <w:rPr>
          <w:lang w:val="en-GB"/>
        </w:rPr>
        <w:t xml:space="preserve"> </w:t>
      </w:r>
      <w:hyperlink r:id="rId28" w:tgtFrame="_blank" w:tooltip="the" w:history="1">
        <w:r w:rsidR="001B7884" w:rsidRPr="00727F09">
          <w:rPr>
            <w:lang w:val="en-GB"/>
          </w:rPr>
          <w:t>the</w:t>
        </w:r>
      </w:hyperlink>
      <w:r w:rsidR="001B7CFD" w:rsidRPr="00727F09">
        <w:rPr>
          <w:lang w:val="en-GB"/>
        </w:rPr>
        <w:t xml:space="preserve"> </w:t>
      </w:r>
      <w:hyperlink r:id="rId29" w:tgtFrame="_blank" w:tooltip="same" w:history="1">
        <w:r w:rsidR="001B7884" w:rsidRPr="00727F09">
          <w:rPr>
            <w:lang w:val="en-GB"/>
          </w:rPr>
          <w:t>same</w:t>
        </w:r>
      </w:hyperlink>
      <w:r w:rsidR="001B7CFD" w:rsidRPr="00727F09">
        <w:rPr>
          <w:lang w:val="en-GB"/>
        </w:rPr>
        <w:t xml:space="preserve"> </w:t>
      </w:r>
      <w:hyperlink r:id="rId30" w:tgtFrame="_blank" w:tooltip="is" w:history="1">
        <w:r w:rsidR="001B7884" w:rsidRPr="00727F09">
          <w:rPr>
            <w:lang w:val="en-GB"/>
          </w:rPr>
          <w:t>is</w:t>
        </w:r>
      </w:hyperlink>
      <w:r w:rsidR="001B7CFD" w:rsidRPr="00727F09">
        <w:rPr>
          <w:lang w:val="en-GB"/>
        </w:rPr>
        <w:t xml:space="preserve"> </w:t>
      </w:r>
      <w:r w:rsidR="001B7884" w:rsidRPr="00727F09">
        <w:rPr>
          <w:lang w:val="en-GB"/>
        </w:rPr>
        <w:t>guaranteed,</w:t>
      </w:r>
      <w:r w:rsidR="001B7CFD" w:rsidRPr="00727F09">
        <w:rPr>
          <w:lang w:val="en-GB"/>
        </w:rPr>
        <w:t xml:space="preserve"> </w:t>
      </w:r>
      <w:hyperlink r:id="rId31" w:tgtFrame="_blank" w:tooltip="as" w:history="1">
        <w:r w:rsidR="001B7884" w:rsidRPr="00727F09">
          <w:rPr>
            <w:lang w:val="en-GB"/>
          </w:rPr>
          <w:t>as</w:t>
        </w:r>
      </w:hyperlink>
      <w:r w:rsidR="001B7CFD" w:rsidRPr="00727F09">
        <w:rPr>
          <w:lang w:val="en-GB"/>
        </w:rPr>
        <w:t xml:space="preserve"> </w:t>
      </w:r>
      <w:hyperlink r:id="rId32" w:tgtFrame="_blank" w:tooltip="well" w:history="1">
        <w:r w:rsidR="001B7884" w:rsidRPr="00727F09">
          <w:rPr>
            <w:lang w:val="en-GB"/>
          </w:rPr>
          <w:t>well</w:t>
        </w:r>
      </w:hyperlink>
      <w:r w:rsidR="001B7CFD" w:rsidRPr="00727F09">
        <w:rPr>
          <w:lang w:val="en-GB"/>
        </w:rPr>
        <w:t xml:space="preserve"> </w:t>
      </w:r>
      <w:hyperlink r:id="rId33" w:tgtFrame="_blank" w:tooltip="as" w:history="1">
        <w:r w:rsidR="001B7884" w:rsidRPr="00727F09">
          <w:rPr>
            <w:lang w:val="en-GB"/>
          </w:rPr>
          <w:t>as</w:t>
        </w:r>
      </w:hyperlink>
      <w:r w:rsidR="001B7CFD" w:rsidRPr="00727F09">
        <w:rPr>
          <w:lang w:val="en-GB"/>
        </w:rPr>
        <w:t xml:space="preserve"> </w:t>
      </w:r>
      <w:hyperlink r:id="rId34" w:tgtFrame="_blank" w:tooltip="that" w:history="1">
        <w:r w:rsidR="001B7884" w:rsidRPr="00727F09">
          <w:rPr>
            <w:lang w:val="en-GB"/>
          </w:rPr>
          <w:t>that</w:t>
        </w:r>
      </w:hyperlink>
      <w:r w:rsidR="001B7CFD" w:rsidRPr="00727F09">
        <w:rPr>
          <w:lang w:val="en-GB"/>
        </w:rPr>
        <w:t xml:space="preserve"> </w:t>
      </w:r>
      <w:hyperlink r:id="rId35" w:tgtFrame="_blank" w:tooltip="the" w:history="1">
        <w:r w:rsidR="001B7884" w:rsidRPr="00727F09">
          <w:rPr>
            <w:lang w:val="en-GB"/>
          </w:rPr>
          <w:t>the</w:t>
        </w:r>
      </w:hyperlink>
      <w:r w:rsidR="001B7CFD" w:rsidRPr="00727F09">
        <w:rPr>
          <w:lang w:val="en-GB"/>
        </w:rPr>
        <w:t xml:space="preserve"> </w:t>
      </w:r>
      <w:hyperlink r:id="rId36" w:tgtFrame="_blank" w:tooltip="safety" w:history="1">
        <w:r w:rsidR="001B7884" w:rsidRPr="00727F09">
          <w:rPr>
            <w:lang w:val="en-GB"/>
          </w:rPr>
          <w:t>safety</w:t>
        </w:r>
      </w:hyperlink>
      <w:r w:rsidR="001B7CFD" w:rsidRPr="00727F09">
        <w:rPr>
          <w:lang w:val="en-GB"/>
        </w:rPr>
        <w:t xml:space="preserve"> </w:t>
      </w:r>
      <w:hyperlink r:id="rId37" w:tgtFrame="_blank" w:tooltip="and" w:history="1">
        <w:r w:rsidR="001B7884" w:rsidRPr="00727F09">
          <w:rPr>
            <w:lang w:val="en-GB"/>
          </w:rPr>
          <w:t>and</w:t>
        </w:r>
      </w:hyperlink>
      <w:r w:rsidR="001B7CFD" w:rsidRPr="00727F09">
        <w:rPr>
          <w:lang w:val="en-GB"/>
        </w:rPr>
        <w:t xml:space="preserve"> </w:t>
      </w:r>
      <w:hyperlink r:id="rId38" w:tgtFrame="_blank" w:tooltip="control" w:history="1">
        <w:r w:rsidR="001B7884" w:rsidRPr="00727F09">
          <w:rPr>
            <w:lang w:val="en-GB"/>
          </w:rPr>
          <w:t>control</w:t>
        </w:r>
      </w:hyperlink>
      <w:r w:rsidR="001B7CFD" w:rsidRPr="00727F09">
        <w:rPr>
          <w:lang w:val="en-GB"/>
        </w:rPr>
        <w:t xml:space="preserve"> </w:t>
      </w:r>
      <w:r w:rsidR="001B7884" w:rsidRPr="00727F09">
        <w:rPr>
          <w:lang w:val="en-GB"/>
        </w:rPr>
        <w:t>dev</w:t>
      </w:r>
      <w:r w:rsidR="00BE0DED" w:rsidRPr="00727F09">
        <w:rPr>
          <w:lang w:val="en-GB"/>
        </w:rPr>
        <w:t>i</w:t>
      </w:r>
      <w:r w:rsidR="001B7884" w:rsidRPr="00727F09">
        <w:rPr>
          <w:lang w:val="en-GB"/>
        </w:rPr>
        <w:t>ces</w:t>
      </w:r>
      <w:r w:rsidR="001B7CFD" w:rsidRPr="00727F09">
        <w:rPr>
          <w:lang w:val="en-GB"/>
        </w:rPr>
        <w:t xml:space="preserve"> </w:t>
      </w:r>
      <w:hyperlink r:id="rId39" w:tgtFrame="_blank" w:tooltip="are" w:history="1">
        <w:r w:rsidR="001B7884" w:rsidRPr="00727F09">
          <w:rPr>
            <w:lang w:val="en-GB"/>
          </w:rPr>
          <w:t>are</w:t>
        </w:r>
      </w:hyperlink>
      <w:r w:rsidR="001B7CFD" w:rsidRPr="00727F09">
        <w:rPr>
          <w:lang w:val="en-GB"/>
        </w:rPr>
        <w:t xml:space="preserve"> </w:t>
      </w:r>
      <w:hyperlink r:id="rId40" w:tgtFrame="_blank" w:tooltip="efficient" w:history="1">
        <w:r w:rsidR="001B7884" w:rsidRPr="00727F09">
          <w:rPr>
            <w:lang w:val="en-GB"/>
          </w:rPr>
          <w:t>efficient</w:t>
        </w:r>
      </w:hyperlink>
      <w:r w:rsidR="001B7CFD" w:rsidRPr="00727F09">
        <w:rPr>
          <w:lang w:val="en-GB"/>
        </w:rPr>
        <w:t xml:space="preserve"> </w:t>
      </w:r>
      <w:hyperlink r:id="rId41" w:tgtFrame="_blank" w:tooltip="and" w:history="1">
        <w:r w:rsidR="001B7884" w:rsidRPr="00727F09">
          <w:rPr>
            <w:lang w:val="en-GB"/>
          </w:rPr>
          <w:t>and</w:t>
        </w:r>
      </w:hyperlink>
      <w:r w:rsidR="001B7CFD" w:rsidRPr="00727F09">
        <w:rPr>
          <w:lang w:val="en-GB"/>
        </w:rPr>
        <w:t xml:space="preserve"> </w:t>
      </w:r>
      <w:hyperlink r:id="rId42" w:tgtFrame="_blank" w:tooltip="sufficient" w:history="1">
        <w:r w:rsidR="001B7884" w:rsidRPr="00727F09">
          <w:rPr>
            <w:lang w:val="en-GB"/>
          </w:rPr>
          <w:t>sufficient</w:t>
        </w:r>
      </w:hyperlink>
      <w:r w:rsidR="001B7CFD" w:rsidRPr="00727F09">
        <w:rPr>
          <w:lang w:val="en-GB"/>
        </w:rPr>
        <w:t xml:space="preserve"> </w:t>
      </w:r>
      <w:hyperlink r:id="rId43" w:tgtFrame="_blank" w:tooltip="to" w:history="1">
        <w:r w:rsidR="001B7884" w:rsidRPr="00727F09">
          <w:rPr>
            <w:lang w:val="en-GB"/>
          </w:rPr>
          <w:t>to</w:t>
        </w:r>
      </w:hyperlink>
      <w:r w:rsidR="001B7CFD" w:rsidRPr="00727F09">
        <w:rPr>
          <w:lang w:val="en-GB"/>
        </w:rPr>
        <w:t xml:space="preserve"> </w:t>
      </w:r>
      <w:hyperlink r:id="rId44" w:tgtFrame="_blank" w:tooltip="perform" w:history="1">
        <w:r w:rsidR="001B7CFD" w:rsidRPr="00727F09">
          <w:rPr>
            <w:lang w:val="en-GB"/>
          </w:rPr>
          <w:t>p</w:t>
        </w:r>
        <w:r w:rsidR="001B7884" w:rsidRPr="00727F09">
          <w:rPr>
            <w:lang w:val="en-GB"/>
          </w:rPr>
          <w:t>erform</w:t>
        </w:r>
      </w:hyperlink>
      <w:r w:rsidR="001B7CFD" w:rsidRPr="00727F09">
        <w:rPr>
          <w:lang w:val="en-GB"/>
        </w:rPr>
        <w:t xml:space="preserve"> </w:t>
      </w:r>
      <w:hyperlink r:id="rId45" w:tgtFrame="_blank" w:tooltip="their" w:history="1">
        <w:r w:rsidR="001B7884" w:rsidRPr="00727F09">
          <w:rPr>
            <w:lang w:val="en-GB"/>
          </w:rPr>
          <w:t>their</w:t>
        </w:r>
      </w:hyperlink>
      <w:r w:rsidR="001B7CFD" w:rsidRPr="00727F09">
        <w:rPr>
          <w:lang w:val="en-GB"/>
        </w:rPr>
        <w:t xml:space="preserve"> </w:t>
      </w:r>
      <w:hyperlink r:id="rId46" w:tgtFrame="_blank" w:tooltip="role" w:history="1">
        <w:r w:rsidR="001B7884" w:rsidRPr="00727F09">
          <w:rPr>
            <w:lang w:val="en-GB"/>
          </w:rPr>
          <w:t>role</w:t>
        </w:r>
      </w:hyperlink>
      <w:r w:rsidR="00BE0DED" w:rsidRPr="00727F09">
        <w:rPr>
          <w:lang w:val="en-GB"/>
        </w:rPr>
        <w:t xml:space="preserve">. </w:t>
      </w:r>
      <w:r w:rsidR="001B7884" w:rsidRPr="00727F09">
        <w:rPr>
          <w:lang w:val="en-GB"/>
        </w:rPr>
        <w:t>In addition</w:t>
      </w:r>
      <w:r w:rsidRPr="00727F09">
        <w:rPr>
          <w:lang w:val="en-GB"/>
        </w:rPr>
        <w:t xml:space="preserve">, if hydrogen escapes through openings (e.g. safety valves, rupture discs, etc.) despite all precautions, the flow must be </w:t>
      </w:r>
      <w:r w:rsidR="00BE0DED" w:rsidRPr="00727F09">
        <w:rPr>
          <w:lang w:val="en-GB"/>
        </w:rPr>
        <w:t>appropriately conveyed</w:t>
      </w:r>
      <w:r w:rsidRPr="00727F09">
        <w:rPr>
          <w:lang w:val="en-GB"/>
        </w:rPr>
        <w:t xml:space="preserve"> </w:t>
      </w:r>
      <w:proofErr w:type="gramStart"/>
      <w:r w:rsidRPr="00727F09">
        <w:rPr>
          <w:lang w:val="en-GB"/>
        </w:rPr>
        <w:t>in order to</w:t>
      </w:r>
      <w:proofErr w:type="gramEnd"/>
      <w:r w:rsidRPr="00727F09">
        <w:rPr>
          <w:lang w:val="en-GB"/>
        </w:rPr>
        <w:t xml:space="preserve"> avoid damage to people, structures and the environment. In Europe, those who manufacture pressure equipment/assemblies in fixed locations must follow the product directive 2014/68/EU (PED), which since 2016 replaces the old PED directive: 97/23/EC. This </w:t>
      </w:r>
      <w:r w:rsidR="00FA69C3" w:rsidRPr="00727F09">
        <w:rPr>
          <w:lang w:val="en-GB"/>
        </w:rPr>
        <w:t>standard</w:t>
      </w:r>
      <w:r w:rsidRPr="00727F09">
        <w:rPr>
          <w:lang w:val="en-GB"/>
        </w:rPr>
        <w:t xml:space="preserve"> indicates wh</w:t>
      </w:r>
      <w:r w:rsidR="00FA69C3" w:rsidRPr="00727F09">
        <w:rPr>
          <w:lang w:val="en-GB"/>
        </w:rPr>
        <w:t xml:space="preserve">at </w:t>
      </w:r>
      <w:r w:rsidRPr="00727F09">
        <w:rPr>
          <w:lang w:val="en-GB"/>
        </w:rPr>
        <w:t xml:space="preserve">characteristics equipment or </w:t>
      </w:r>
      <w:r w:rsidR="0005600B" w:rsidRPr="00727F09">
        <w:rPr>
          <w:lang w:val="en-GB"/>
        </w:rPr>
        <w:t>pressure assemblies</w:t>
      </w:r>
      <w:r w:rsidRPr="00727F09">
        <w:rPr>
          <w:lang w:val="en-GB"/>
        </w:rPr>
        <w:t xml:space="preserve"> operating at a pressure </w:t>
      </w:r>
      <w:r w:rsidR="00FA69C3" w:rsidRPr="00727F09">
        <w:rPr>
          <w:lang w:val="en-GB"/>
        </w:rPr>
        <w:t>of more</w:t>
      </w:r>
      <w:r w:rsidRPr="00727F09">
        <w:rPr>
          <w:lang w:val="en-GB"/>
        </w:rPr>
        <w:t xml:space="preserve"> than 0.5 bar must possess </w:t>
      </w:r>
      <w:proofErr w:type="gramStart"/>
      <w:r w:rsidRPr="00727F09">
        <w:rPr>
          <w:lang w:val="en-GB"/>
        </w:rPr>
        <w:t>in order to</w:t>
      </w:r>
      <w:proofErr w:type="gramEnd"/>
      <w:r w:rsidRPr="00727F09">
        <w:rPr>
          <w:lang w:val="en-GB"/>
        </w:rPr>
        <w:t xml:space="preserve"> be able to </w:t>
      </w:r>
      <w:r w:rsidR="00FA69C3" w:rsidRPr="00727F09">
        <w:rPr>
          <w:lang w:val="en-GB"/>
        </w:rPr>
        <w:t>mark</w:t>
      </w:r>
      <w:r w:rsidRPr="00727F09">
        <w:rPr>
          <w:lang w:val="en-GB"/>
        </w:rPr>
        <w:t xml:space="preserve"> the</w:t>
      </w:r>
      <w:r w:rsidR="00FA69C3" w:rsidRPr="00727F09">
        <w:rPr>
          <w:lang w:val="en-GB"/>
        </w:rPr>
        <w:t>m</w:t>
      </w:r>
      <w:r w:rsidRPr="00727F09">
        <w:rPr>
          <w:lang w:val="en-GB"/>
        </w:rPr>
        <w:t xml:space="preserve"> "CE"</w:t>
      </w:r>
      <w:r w:rsidR="00FA69C3" w:rsidRPr="00727F09">
        <w:rPr>
          <w:lang w:val="en-GB"/>
        </w:rPr>
        <w:t xml:space="preserve"> </w:t>
      </w:r>
      <w:r w:rsidRPr="00727F09">
        <w:rPr>
          <w:lang w:val="en-GB"/>
        </w:rPr>
        <w:t>and introduce them into the European market.</w:t>
      </w:r>
    </w:p>
    <w:p w14:paraId="3A371087" w14:textId="2E52D4FD" w:rsidR="001F1700" w:rsidRPr="00727F09" w:rsidRDefault="00A227FB" w:rsidP="001F1700">
      <w:pPr>
        <w:pStyle w:val="CETBodytext"/>
        <w:rPr>
          <w:lang w:val="en-GB"/>
        </w:rPr>
      </w:pPr>
      <w:r w:rsidRPr="00727F09">
        <w:rPr>
          <w:lang w:val="en-GB"/>
        </w:rPr>
        <w:t xml:space="preserve">The manufacturer is the main interlocutor of this directive, the one who has the task of </w:t>
      </w:r>
      <w:r w:rsidR="00FA69C3" w:rsidRPr="00727F09">
        <w:rPr>
          <w:lang w:val="en-GB"/>
        </w:rPr>
        <w:t>making</w:t>
      </w:r>
      <w:r w:rsidRPr="00727F09">
        <w:rPr>
          <w:lang w:val="en-GB"/>
        </w:rPr>
        <w:t xml:space="preserve"> safe pressure equipment/assemblies. </w:t>
      </w:r>
      <w:r w:rsidR="00A3426B" w:rsidRPr="00727F09">
        <w:rPr>
          <w:lang w:val="en-GB"/>
        </w:rPr>
        <w:t>In addition</w:t>
      </w:r>
      <w:r w:rsidRPr="00727F09">
        <w:rPr>
          <w:lang w:val="en-GB"/>
        </w:rPr>
        <w:t xml:space="preserve">, </w:t>
      </w:r>
      <w:r w:rsidR="00A3426B" w:rsidRPr="00727F09">
        <w:rPr>
          <w:lang w:val="en-GB"/>
        </w:rPr>
        <w:t>he</w:t>
      </w:r>
      <w:r w:rsidRPr="00727F09">
        <w:rPr>
          <w:lang w:val="en-GB"/>
        </w:rPr>
        <w:t xml:space="preserve"> has the burden of CE marking of the products manufactured and complete responsibility </w:t>
      </w:r>
      <w:r w:rsidR="00A3426B" w:rsidRPr="00727F09">
        <w:rPr>
          <w:lang w:val="en-GB"/>
        </w:rPr>
        <w:t>for</w:t>
      </w:r>
      <w:r w:rsidRPr="00727F09">
        <w:rPr>
          <w:lang w:val="en-GB"/>
        </w:rPr>
        <w:t xml:space="preserve"> design, construction and marketing. </w:t>
      </w:r>
      <w:r w:rsidR="00A3426B" w:rsidRPr="00727F09">
        <w:rPr>
          <w:lang w:val="en-GB"/>
        </w:rPr>
        <w:t>He</w:t>
      </w:r>
      <w:r w:rsidRPr="00727F09">
        <w:rPr>
          <w:lang w:val="en-GB"/>
        </w:rPr>
        <w:t xml:space="preserve"> must </w:t>
      </w:r>
      <w:r w:rsidR="00A3426B" w:rsidRPr="00727F09">
        <w:rPr>
          <w:lang w:val="en-GB"/>
        </w:rPr>
        <w:t xml:space="preserve">therefore </w:t>
      </w:r>
      <w:r w:rsidR="007E164E" w:rsidRPr="00727F09">
        <w:rPr>
          <w:lang w:val="en-GB"/>
        </w:rPr>
        <w:t>ensure</w:t>
      </w:r>
      <w:r w:rsidR="00FA69C3" w:rsidRPr="00727F09">
        <w:rPr>
          <w:lang w:val="en-GB"/>
        </w:rPr>
        <w:t xml:space="preserve"> compliance with</w:t>
      </w:r>
      <w:r w:rsidRPr="00727F09">
        <w:rPr>
          <w:lang w:val="en-GB"/>
        </w:rPr>
        <w:t xml:space="preserve"> all the Essential Health and Safety Requirements that are </w:t>
      </w:r>
      <w:r w:rsidR="00FA69C3" w:rsidRPr="00727F09">
        <w:rPr>
          <w:lang w:val="en-GB"/>
        </w:rPr>
        <w:t>imposed</w:t>
      </w:r>
      <w:r w:rsidRPr="00727F09">
        <w:rPr>
          <w:lang w:val="en-GB"/>
        </w:rPr>
        <w:t xml:space="preserve"> in the PED directive (Annex I). First of all, it is necessary to introduce the distinction between pressure equipment and </w:t>
      </w:r>
      <w:r w:rsidR="004F2DBE" w:rsidRPr="00727F09">
        <w:rPr>
          <w:lang w:val="en-GB"/>
        </w:rPr>
        <w:t>assemblies</w:t>
      </w:r>
      <w:r w:rsidRPr="00727F09">
        <w:rPr>
          <w:lang w:val="en-GB"/>
        </w:rPr>
        <w:t xml:space="preserve">: a) pressure equipment </w:t>
      </w:r>
      <w:r w:rsidR="00FA69C3" w:rsidRPr="00727F09">
        <w:rPr>
          <w:lang w:val="en-GB"/>
        </w:rPr>
        <w:t>are</w:t>
      </w:r>
      <w:r w:rsidRPr="00727F09">
        <w:rPr>
          <w:lang w:val="en-GB"/>
        </w:rPr>
        <w:t xml:space="preserve">: </w:t>
      </w:r>
      <w:r w:rsidR="00FA69C3" w:rsidRPr="00727F09">
        <w:rPr>
          <w:lang w:val="en-GB"/>
        </w:rPr>
        <w:lastRenderedPageBreak/>
        <w:t>vessels</w:t>
      </w:r>
      <w:r w:rsidRPr="00727F09">
        <w:rPr>
          <w:lang w:val="en-GB"/>
        </w:rPr>
        <w:t>, pipes, safety accessories and pressure accessories, including, where app</w:t>
      </w:r>
      <w:r w:rsidR="00FA69C3" w:rsidRPr="00727F09">
        <w:rPr>
          <w:lang w:val="en-GB"/>
        </w:rPr>
        <w:t>licable</w:t>
      </w:r>
      <w:r w:rsidRPr="00727F09">
        <w:rPr>
          <w:lang w:val="en-GB"/>
        </w:rPr>
        <w:t xml:space="preserve"> elements attached to pressurized parts, such as flanges, fittings, sleeves, supports, movable fins; b) assemblies are: various elements of pressure equipment assembled by a manufacturer to </w:t>
      </w:r>
      <w:r w:rsidR="004D1D5F" w:rsidRPr="00727F09">
        <w:rPr>
          <w:lang w:val="en-GB"/>
        </w:rPr>
        <w:t>form</w:t>
      </w:r>
      <w:r w:rsidRPr="00727F09">
        <w:rPr>
          <w:lang w:val="en-GB"/>
        </w:rPr>
        <w:t xml:space="preserve"> an integrated and functional whole. </w:t>
      </w:r>
      <w:r w:rsidR="0005600B" w:rsidRPr="00727F09">
        <w:rPr>
          <w:lang w:val="en-GB"/>
        </w:rPr>
        <w:t>Generally,</w:t>
      </w:r>
      <w:r w:rsidRPr="00727F09">
        <w:rPr>
          <w:lang w:val="en-GB"/>
        </w:rPr>
        <w:t xml:space="preserve"> equipment and assemblies </w:t>
      </w:r>
      <w:r w:rsidR="004D1D5F" w:rsidRPr="00727F09">
        <w:rPr>
          <w:lang w:val="en-GB"/>
        </w:rPr>
        <w:t>subjected to a maximum permissible related pressure</w:t>
      </w:r>
      <w:r w:rsidRPr="00727F09">
        <w:rPr>
          <w:lang w:val="en-GB"/>
        </w:rPr>
        <w:t xml:space="preserve"> PS greater than 0.5 bar fall within the scope of the PED. Equipment with a pressure equal to or l</w:t>
      </w:r>
      <w:r w:rsidR="004D1D5F" w:rsidRPr="00727F09">
        <w:rPr>
          <w:lang w:val="en-GB"/>
        </w:rPr>
        <w:t>ess</w:t>
      </w:r>
      <w:r w:rsidRPr="00727F09">
        <w:rPr>
          <w:lang w:val="en-GB"/>
        </w:rPr>
        <w:t xml:space="preserve"> than 0.5 bar is excluded from the application of the regulation. After </w:t>
      </w:r>
      <w:r w:rsidR="001B7884" w:rsidRPr="00727F09">
        <w:rPr>
          <w:lang w:val="en-GB"/>
        </w:rPr>
        <w:t>defining</w:t>
      </w:r>
      <w:r w:rsidRPr="00727F09">
        <w:rPr>
          <w:lang w:val="en-GB"/>
        </w:rPr>
        <w:t xml:space="preserve"> whether the equipment </w:t>
      </w:r>
      <w:r w:rsidR="004D1D5F" w:rsidRPr="00727F09">
        <w:rPr>
          <w:lang w:val="en-GB"/>
        </w:rPr>
        <w:t>fall within the scope of</w:t>
      </w:r>
      <w:r w:rsidRPr="00727F09">
        <w:rPr>
          <w:lang w:val="en-GB"/>
        </w:rPr>
        <w:t xml:space="preserve"> Directive 2014/68/EU, the next step is </w:t>
      </w:r>
      <w:r w:rsidR="00A578B3" w:rsidRPr="00727F09">
        <w:rPr>
          <w:lang w:val="en-GB"/>
        </w:rPr>
        <w:t>the definition of</w:t>
      </w:r>
      <w:r w:rsidRPr="00727F09">
        <w:rPr>
          <w:lang w:val="en-GB"/>
        </w:rPr>
        <w:t xml:space="preserve"> the PED risk category to which it belongs</w:t>
      </w:r>
      <w:r w:rsidR="00A578B3" w:rsidRPr="00727F09">
        <w:rPr>
          <w:lang w:val="en-GB"/>
        </w:rPr>
        <w:t xml:space="preserve"> w</w:t>
      </w:r>
      <w:r w:rsidRPr="00727F09">
        <w:rPr>
          <w:lang w:val="en-GB"/>
        </w:rPr>
        <w:t xml:space="preserve">ith the tables in Annex II of the PED, taking into account: a) dimensions of the equipment (volume V for </w:t>
      </w:r>
      <w:r w:rsidR="004D1D5F" w:rsidRPr="00727F09">
        <w:rPr>
          <w:lang w:val="en-GB"/>
        </w:rPr>
        <w:t>vessels</w:t>
      </w:r>
      <w:r w:rsidRPr="00727F09">
        <w:rPr>
          <w:lang w:val="en-GB"/>
        </w:rPr>
        <w:t xml:space="preserve">, </w:t>
      </w:r>
      <w:r w:rsidR="004D1D5F" w:rsidRPr="00727F09">
        <w:rPr>
          <w:lang w:val="en-GB"/>
        </w:rPr>
        <w:t xml:space="preserve">DN </w:t>
      </w:r>
      <w:r w:rsidRPr="00727F09">
        <w:rPr>
          <w:lang w:val="en-GB"/>
        </w:rPr>
        <w:t xml:space="preserve">diameter for pipes); b) Maximum </w:t>
      </w:r>
      <w:r w:rsidR="004D1D5F" w:rsidRPr="00727F09">
        <w:rPr>
          <w:lang w:val="en-GB"/>
        </w:rPr>
        <w:t>permissible</w:t>
      </w:r>
      <w:r w:rsidRPr="00727F09">
        <w:rPr>
          <w:lang w:val="en-GB"/>
        </w:rPr>
        <w:t xml:space="preserve"> pressure (PS); c) Type of fluid (group I, </w:t>
      </w:r>
      <w:r w:rsidR="004D1D5F" w:rsidRPr="00727F09">
        <w:rPr>
          <w:lang w:val="en-GB"/>
        </w:rPr>
        <w:t>hazardous</w:t>
      </w:r>
      <w:r w:rsidRPr="00727F09">
        <w:rPr>
          <w:lang w:val="en-GB"/>
        </w:rPr>
        <w:t>; hydrogen</w:t>
      </w:r>
      <w:r w:rsidR="004D1D5F" w:rsidRPr="00727F09">
        <w:rPr>
          <w:lang w:val="en-GB"/>
        </w:rPr>
        <w:t xml:space="preserve"> falls</w:t>
      </w:r>
      <w:r w:rsidRPr="00727F09">
        <w:rPr>
          <w:lang w:val="en-GB"/>
        </w:rPr>
        <w:t xml:space="preserve"> in</w:t>
      </w:r>
      <w:r w:rsidR="004D1D5F" w:rsidRPr="00727F09">
        <w:rPr>
          <w:lang w:val="en-GB"/>
        </w:rPr>
        <w:t>to</w:t>
      </w:r>
      <w:r w:rsidRPr="00727F09">
        <w:rPr>
          <w:lang w:val="en-GB"/>
        </w:rPr>
        <w:t xml:space="preserve"> this group as it is flammable) or group II (non-</w:t>
      </w:r>
      <w:r w:rsidR="004D1D5F" w:rsidRPr="00727F09">
        <w:rPr>
          <w:lang w:val="en-GB"/>
        </w:rPr>
        <w:t>hazardous</w:t>
      </w:r>
      <w:r w:rsidRPr="00727F09">
        <w:rPr>
          <w:lang w:val="en-GB"/>
        </w:rPr>
        <w:t xml:space="preserve">)). </w:t>
      </w:r>
      <w:r w:rsidR="00A31212" w:rsidRPr="00A31212">
        <w:rPr>
          <w:lang w:val="en-GB"/>
        </w:rPr>
        <w:t>In general, can be found</w:t>
      </w:r>
      <w:r w:rsidR="00A31212">
        <w:rPr>
          <w:lang w:val="en-GB"/>
        </w:rPr>
        <w:t xml:space="preserve">, </w:t>
      </w:r>
      <w:r w:rsidR="00A31212" w:rsidRPr="00A31212">
        <w:rPr>
          <w:lang w:val="en-GB"/>
        </w:rPr>
        <w:t>pressure equipment with PED</w:t>
      </w:r>
      <w:r w:rsidR="00A31212">
        <w:rPr>
          <w:lang w:val="en-GB"/>
        </w:rPr>
        <w:t xml:space="preserve"> risk</w:t>
      </w:r>
      <w:r w:rsidR="00A31212" w:rsidRPr="00A31212">
        <w:rPr>
          <w:lang w:val="en-GB"/>
        </w:rPr>
        <w:t xml:space="preserve"> </w:t>
      </w:r>
      <w:r w:rsidR="00A31212">
        <w:rPr>
          <w:lang w:val="en-GB"/>
        </w:rPr>
        <w:t>category</w:t>
      </w:r>
      <w:r w:rsidRPr="00727F09">
        <w:rPr>
          <w:lang w:val="en-GB"/>
        </w:rPr>
        <w:t xml:space="preserve">: I, II, III and IV; </w:t>
      </w:r>
      <w:r w:rsidR="004D1D5F" w:rsidRPr="00727F09">
        <w:rPr>
          <w:lang w:val="en-GB"/>
        </w:rPr>
        <w:t>passing</w:t>
      </w:r>
      <w:r w:rsidRPr="00727F09">
        <w:rPr>
          <w:lang w:val="en-GB"/>
        </w:rPr>
        <w:t xml:space="preserve"> from I to IV the risk increases.</w:t>
      </w:r>
      <w:r w:rsidR="002A622D" w:rsidRPr="00727F09">
        <w:rPr>
          <w:lang w:val="en-GB"/>
        </w:rPr>
        <w:t xml:space="preserve"> </w:t>
      </w:r>
      <w:r w:rsidR="00AD4316" w:rsidRPr="00727F09">
        <w:rPr>
          <w:lang w:val="en-GB"/>
        </w:rPr>
        <w:t>Considering</w:t>
      </w:r>
      <w:r w:rsidRPr="00727F09">
        <w:rPr>
          <w:lang w:val="en-GB"/>
        </w:rPr>
        <w:t xml:space="preserve"> the storage pressure, tanks or assemblies containing hydrogen are normally in PED risk category IV. </w:t>
      </w:r>
      <w:r w:rsidR="001F1700" w:rsidRPr="00727F09">
        <w:rPr>
          <w:lang w:val="en-GB"/>
        </w:rPr>
        <w:t>The Risk Analysis that the manufacturer must carry out is based on the PED risk category to which it belongs</w:t>
      </w:r>
      <w:r w:rsidR="002A622D" w:rsidRPr="00727F09">
        <w:rPr>
          <w:lang w:val="en-GB"/>
        </w:rPr>
        <w:t>.</w:t>
      </w:r>
      <w:r w:rsidR="001F1700" w:rsidRPr="00727F09">
        <w:rPr>
          <w:lang w:val="en-GB"/>
        </w:rPr>
        <w:t xml:space="preserve"> It is used to verify and trac</w:t>
      </w:r>
      <w:r w:rsidR="00616F73" w:rsidRPr="00727F09">
        <w:rPr>
          <w:lang w:val="en-GB"/>
        </w:rPr>
        <w:t>k</w:t>
      </w:r>
      <w:r w:rsidR="001F1700" w:rsidRPr="00727F09">
        <w:rPr>
          <w:lang w:val="en-GB"/>
        </w:rPr>
        <w:t xml:space="preserve"> </w:t>
      </w:r>
      <w:r w:rsidR="00616F73" w:rsidRPr="00727F09">
        <w:rPr>
          <w:lang w:val="en-GB"/>
        </w:rPr>
        <w:t>compliance with</w:t>
      </w:r>
      <w:r w:rsidR="001F1700" w:rsidRPr="00727F09">
        <w:rPr>
          <w:lang w:val="en-GB"/>
        </w:rPr>
        <w:t xml:space="preserve"> the Essential Safety Requirements </w:t>
      </w:r>
      <w:r w:rsidR="00616F73" w:rsidRPr="00727F09">
        <w:rPr>
          <w:lang w:val="en-GB"/>
        </w:rPr>
        <w:t>set out</w:t>
      </w:r>
      <w:r w:rsidR="001F1700" w:rsidRPr="00727F09">
        <w:rPr>
          <w:lang w:val="en-GB"/>
        </w:rPr>
        <w:t xml:space="preserve"> in Annex I of the PED.</w:t>
      </w:r>
      <w:r w:rsidR="002A622D" w:rsidRPr="00727F09">
        <w:rPr>
          <w:lang w:val="en-GB"/>
        </w:rPr>
        <w:t xml:space="preserve"> </w:t>
      </w:r>
      <w:r w:rsidR="001F1700" w:rsidRPr="00727F09">
        <w:rPr>
          <w:lang w:val="en-GB"/>
        </w:rPr>
        <w:t xml:space="preserve">The last step, before </w:t>
      </w:r>
      <w:r w:rsidR="00616F73" w:rsidRPr="00727F09">
        <w:rPr>
          <w:lang w:val="en-GB"/>
        </w:rPr>
        <w:t>landing</w:t>
      </w:r>
      <w:r w:rsidR="001F1700" w:rsidRPr="00727F09">
        <w:rPr>
          <w:lang w:val="en-GB"/>
        </w:rPr>
        <w:t xml:space="preserve"> on the</w:t>
      </w:r>
      <w:r w:rsidR="00616F73" w:rsidRPr="00727F09">
        <w:rPr>
          <w:lang w:val="en-GB"/>
        </w:rPr>
        <w:t xml:space="preserve"> EU</w:t>
      </w:r>
      <w:r w:rsidR="001F1700" w:rsidRPr="00727F09">
        <w:rPr>
          <w:lang w:val="en-GB"/>
        </w:rPr>
        <w:t xml:space="preserve"> market, concerns the CE marking of the equipment and the possibility of </w:t>
      </w:r>
      <w:r w:rsidR="00616F73" w:rsidRPr="00727F09">
        <w:rPr>
          <w:lang w:val="en-GB"/>
        </w:rPr>
        <w:t>resorting to</w:t>
      </w:r>
      <w:r w:rsidR="001F1700" w:rsidRPr="00727F09">
        <w:rPr>
          <w:lang w:val="en-GB"/>
        </w:rPr>
        <w:t xml:space="preserve"> the Notified Body (for PED risk classes from II to IV). The notification number processed by the Body </w:t>
      </w:r>
      <w:r w:rsidR="00A578B3" w:rsidRPr="00727F09">
        <w:rPr>
          <w:lang w:val="en-GB"/>
        </w:rPr>
        <w:t xml:space="preserve">shall be </w:t>
      </w:r>
      <w:r w:rsidR="00616F73" w:rsidRPr="00727F09">
        <w:rPr>
          <w:lang w:val="en-GB"/>
        </w:rPr>
        <w:t>indicated</w:t>
      </w:r>
      <w:r w:rsidR="001F1700" w:rsidRPr="00727F09">
        <w:rPr>
          <w:lang w:val="en-GB"/>
        </w:rPr>
        <w:t xml:space="preserve"> on the certificate and on the plate affixed to the pressure equipment/assembly. Ultimately, in order </w:t>
      </w:r>
      <w:r w:rsidR="00616F73" w:rsidRPr="00727F09">
        <w:rPr>
          <w:lang w:val="en-GB"/>
        </w:rPr>
        <w:t>to be able to</w:t>
      </w:r>
      <w:r w:rsidR="001F1700" w:rsidRPr="00727F09">
        <w:rPr>
          <w:lang w:val="en-GB"/>
        </w:rPr>
        <w:t xml:space="preserve"> place</w:t>
      </w:r>
      <w:r w:rsidR="00616F73" w:rsidRPr="00727F09">
        <w:rPr>
          <w:lang w:val="en-GB"/>
        </w:rPr>
        <w:t xml:space="preserve"> a</w:t>
      </w:r>
      <w:r w:rsidR="001F1700" w:rsidRPr="00727F09">
        <w:rPr>
          <w:lang w:val="en-GB"/>
        </w:rPr>
        <w:t xml:space="preserve"> pressure equipment/assembly on the European market, </w:t>
      </w:r>
      <w:r w:rsidR="00616F73" w:rsidRPr="00727F09">
        <w:rPr>
          <w:lang w:val="en-GB"/>
        </w:rPr>
        <w:t xml:space="preserve">a manufacturer  </w:t>
      </w:r>
      <w:r w:rsidR="001F1700" w:rsidRPr="00727F09">
        <w:rPr>
          <w:lang w:val="en-GB"/>
        </w:rPr>
        <w:t xml:space="preserve">must: 1) </w:t>
      </w:r>
      <w:r w:rsidR="00BC5984" w:rsidRPr="00727F09">
        <w:rPr>
          <w:lang w:val="en-GB"/>
        </w:rPr>
        <w:t xml:space="preserve">CE </w:t>
      </w:r>
      <w:r w:rsidR="001F1700" w:rsidRPr="00727F09">
        <w:rPr>
          <w:lang w:val="en-GB"/>
        </w:rPr>
        <w:t>mark</w:t>
      </w:r>
      <w:r w:rsidR="00873346" w:rsidRPr="00727F09">
        <w:rPr>
          <w:lang w:val="en-GB"/>
        </w:rPr>
        <w:t>ing</w:t>
      </w:r>
      <w:r w:rsidR="007301F3" w:rsidRPr="00727F09">
        <w:rPr>
          <w:lang w:val="en-GB"/>
        </w:rPr>
        <w:t xml:space="preserve"> </w:t>
      </w:r>
      <w:r w:rsidR="00873346" w:rsidRPr="00727F09">
        <w:rPr>
          <w:lang w:val="en-GB"/>
        </w:rPr>
        <w:t>pressure</w:t>
      </w:r>
      <w:r w:rsidR="001F1700" w:rsidRPr="00727F09">
        <w:rPr>
          <w:lang w:val="en-GB"/>
        </w:rPr>
        <w:t xml:space="preserve"> equipment</w:t>
      </w:r>
      <w:r w:rsidR="00873346" w:rsidRPr="00727F09">
        <w:rPr>
          <w:lang w:val="en-GB"/>
        </w:rPr>
        <w:t xml:space="preserve"> </w:t>
      </w:r>
      <w:r w:rsidR="001F1700" w:rsidRPr="00727F09">
        <w:rPr>
          <w:lang w:val="en-GB"/>
        </w:rPr>
        <w:t>/</w:t>
      </w:r>
      <w:r w:rsidR="00BC5984" w:rsidRPr="00727F09">
        <w:rPr>
          <w:lang w:val="en-GB"/>
        </w:rPr>
        <w:t xml:space="preserve"> </w:t>
      </w:r>
      <w:r w:rsidR="001F1700" w:rsidRPr="00727F09">
        <w:rPr>
          <w:lang w:val="en-GB"/>
        </w:rPr>
        <w:t xml:space="preserve">assembly with a </w:t>
      </w:r>
      <w:r w:rsidR="00BC5984" w:rsidRPr="00727F09">
        <w:rPr>
          <w:lang w:val="en-GB"/>
        </w:rPr>
        <w:t>special</w:t>
      </w:r>
      <w:r w:rsidR="001F1700" w:rsidRPr="00727F09">
        <w:rPr>
          <w:lang w:val="en-GB"/>
        </w:rPr>
        <w:t xml:space="preserve"> plate; 2) dra</w:t>
      </w:r>
      <w:r w:rsidR="00BC5984" w:rsidRPr="00727F09">
        <w:rPr>
          <w:lang w:val="en-GB"/>
        </w:rPr>
        <w:t>w up</w:t>
      </w:r>
      <w:r w:rsidR="001F1700" w:rsidRPr="00727F09">
        <w:rPr>
          <w:lang w:val="en-GB"/>
        </w:rPr>
        <w:t xml:space="preserve"> the EU</w:t>
      </w:r>
      <w:r w:rsidR="00A578B3" w:rsidRPr="00727F09">
        <w:rPr>
          <w:lang w:val="en-GB"/>
        </w:rPr>
        <w:t xml:space="preserve"> </w:t>
      </w:r>
      <w:r w:rsidR="001F1700" w:rsidRPr="00727F09">
        <w:rPr>
          <w:lang w:val="en-GB"/>
        </w:rPr>
        <w:t>declaration</w:t>
      </w:r>
      <w:r w:rsidR="00BC5984" w:rsidRPr="00727F09">
        <w:rPr>
          <w:lang w:val="en-GB"/>
        </w:rPr>
        <w:t xml:space="preserve"> </w:t>
      </w:r>
      <w:r w:rsidR="001F1700" w:rsidRPr="00727F09">
        <w:rPr>
          <w:lang w:val="en-GB"/>
        </w:rPr>
        <w:t xml:space="preserve">according to Directive 2014/68/EU (PED); 3) </w:t>
      </w:r>
      <w:r w:rsidR="00A578B3" w:rsidRPr="00727F09">
        <w:rPr>
          <w:lang w:val="en-GB"/>
        </w:rPr>
        <w:t>dra</w:t>
      </w:r>
      <w:r w:rsidR="00BC5984" w:rsidRPr="00727F09">
        <w:rPr>
          <w:lang w:val="en-GB"/>
        </w:rPr>
        <w:t>w up</w:t>
      </w:r>
      <w:r w:rsidR="001F1700" w:rsidRPr="00727F09">
        <w:rPr>
          <w:lang w:val="en-GB"/>
        </w:rPr>
        <w:t xml:space="preserve"> the "Operating Instructions" useful for safety purposes</w:t>
      </w:r>
      <w:r w:rsidR="00BC5984" w:rsidRPr="00727F09">
        <w:rPr>
          <w:lang w:val="en-GB"/>
        </w:rPr>
        <w:t xml:space="preserve"> with</w:t>
      </w:r>
      <w:r w:rsidR="001F1700" w:rsidRPr="00727F09">
        <w:rPr>
          <w:lang w:val="en-GB"/>
        </w:rPr>
        <w:t xml:space="preserve"> </w:t>
      </w:r>
      <w:r w:rsidR="007A69D9" w:rsidRPr="00727F09">
        <w:rPr>
          <w:lang w:val="en-GB"/>
        </w:rPr>
        <w:t>regard</w:t>
      </w:r>
      <w:r w:rsidR="001F1700" w:rsidRPr="00727F09">
        <w:rPr>
          <w:lang w:val="en-GB"/>
        </w:rPr>
        <w:t xml:space="preserve">; a) </w:t>
      </w:r>
      <w:r w:rsidR="00BC5984" w:rsidRPr="00727F09">
        <w:rPr>
          <w:lang w:val="en-GB"/>
        </w:rPr>
        <w:t xml:space="preserve">the </w:t>
      </w:r>
      <w:r w:rsidR="001F1700" w:rsidRPr="00727F09">
        <w:rPr>
          <w:lang w:val="en-GB"/>
        </w:rPr>
        <w:t xml:space="preserve">assembly, including the assembly of the various pressure equipment; b) commissioning; c) use, d) maintenance and inspections by the user. It should be noted that the Technical File </w:t>
      </w:r>
      <w:r w:rsidR="00A578B3" w:rsidRPr="00727F09">
        <w:rPr>
          <w:lang w:val="en-GB"/>
        </w:rPr>
        <w:t>that is</w:t>
      </w:r>
      <w:r w:rsidR="001F1700" w:rsidRPr="00727F09">
        <w:rPr>
          <w:lang w:val="en-GB"/>
        </w:rPr>
        <w:t xml:space="preserve"> the basis of the three </w:t>
      </w:r>
      <w:proofErr w:type="gramStart"/>
      <w:r w:rsidR="001F1700" w:rsidRPr="00727F09">
        <w:rPr>
          <w:lang w:val="en-GB"/>
        </w:rPr>
        <w:t>aforementioned elements</w:t>
      </w:r>
      <w:proofErr w:type="gramEnd"/>
      <w:r w:rsidR="001F1700" w:rsidRPr="00727F09">
        <w:rPr>
          <w:lang w:val="en-GB"/>
        </w:rPr>
        <w:t xml:space="preserve"> must be kept by the manufacturer.</w:t>
      </w:r>
    </w:p>
    <w:p w14:paraId="1C62E880" w14:textId="081B0DD2" w:rsidR="001F1700" w:rsidRPr="00727F09" w:rsidRDefault="00BC5984" w:rsidP="001F1700">
      <w:pPr>
        <w:pStyle w:val="CETBodytext"/>
        <w:rPr>
          <w:lang w:val="en-GB"/>
        </w:rPr>
      </w:pPr>
      <w:r w:rsidRPr="00727F09">
        <w:rPr>
          <w:lang w:val="en-GB"/>
        </w:rPr>
        <w:t>As regarding</w:t>
      </w:r>
      <w:r w:rsidR="00A578B3" w:rsidRPr="00727F09">
        <w:rPr>
          <w:lang w:val="en-GB"/>
        </w:rPr>
        <w:t xml:space="preserve"> </w:t>
      </w:r>
      <w:r w:rsidR="001F1700" w:rsidRPr="00727F09">
        <w:rPr>
          <w:lang w:val="en-GB"/>
        </w:rPr>
        <w:t>the commissioning of hydrogen tanks as well as the related internal controls and legal checks, in Italy everything is regulated by Legislative Decree 81/08, Ministerial Decree 329/2004 and Ministerial Decree 11/04/2011. For both liquid and gaseous hydrogen storage, in addition to maintenance and checks</w:t>
      </w:r>
      <w:r w:rsidR="00E47281" w:rsidRPr="00727F09">
        <w:rPr>
          <w:lang w:val="en-GB"/>
        </w:rPr>
        <w:t xml:space="preserve"> </w:t>
      </w:r>
      <w:r w:rsidR="001F1700" w:rsidRPr="00727F09">
        <w:rPr>
          <w:lang w:val="en-GB"/>
        </w:rPr>
        <w:t>by employers, legal checks must also be carried out. As a first step pursuant to art. 6 of Ministerial Decree 329/04 for pressure equipment/assemblies,</w:t>
      </w:r>
      <w:r w:rsidR="00E47281" w:rsidRPr="00727F09">
        <w:rPr>
          <w:lang w:val="en-GB"/>
        </w:rPr>
        <w:t xml:space="preserve"> </w:t>
      </w:r>
      <w:r w:rsidR="001F1700" w:rsidRPr="00727F09">
        <w:rPr>
          <w:lang w:val="en-GB"/>
        </w:rPr>
        <w:t xml:space="preserve">the employer/user must </w:t>
      </w:r>
      <w:r w:rsidR="00A578B3" w:rsidRPr="00727F09">
        <w:rPr>
          <w:lang w:val="en-GB"/>
        </w:rPr>
        <w:t>report the</w:t>
      </w:r>
      <w:r w:rsidR="001F1700" w:rsidRPr="00727F09">
        <w:rPr>
          <w:lang w:val="en-GB"/>
        </w:rPr>
        <w:t xml:space="preserve"> commissioning to INAIL. </w:t>
      </w:r>
      <w:r w:rsidR="00070AD5" w:rsidRPr="00727F09">
        <w:rPr>
          <w:lang w:val="en-GB"/>
        </w:rPr>
        <w:t>T</w:t>
      </w:r>
      <w:r w:rsidR="001F1700" w:rsidRPr="00727F09">
        <w:rPr>
          <w:lang w:val="en-GB"/>
        </w:rPr>
        <w:t>he INAIL</w:t>
      </w:r>
      <w:r w:rsidR="00070AD5" w:rsidRPr="00727F09">
        <w:rPr>
          <w:lang w:val="en-GB"/>
        </w:rPr>
        <w:t xml:space="preserve"> competent</w:t>
      </w:r>
      <w:r w:rsidR="001F1700" w:rsidRPr="00727F09">
        <w:rPr>
          <w:lang w:val="en-GB"/>
        </w:rPr>
        <w:t xml:space="preserve"> for the </w:t>
      </w:r>
      <w:r w:rsidR="00070AD5" w:rsidRPr="00727F09">
        <w:rPr>
          <w:lang w:val="en-GB"/>
        </w:rPr>
        <w:t>territory will</w:t>
      </w:r>
      <w:r w:rsidR="001F1700" w:rsidRPr="00727F09">
        <w:rPr>
          <w:lang w:val="en-GB"/>
        </w:rPr>
        <w:t xml:space="preserve"> issue a speci</w:t>
      </w:r>
      <w:r w:rsidR="00070AD5" w:rsidRPr="00727F09">
        <w:rPr>
          <w:lang w:val="en-GB"/>
        </w:rPr>
        <w:t>al</w:t>
      </w:r>
      <w:r w:rsidR="001F1700" w:rsidRPr="00727F09">
        <w:rPr>
          <w:lang w:val="en-GB"/>
        </w:rPr>
        <w:t xml:space="preserve"> serial number for the equipment/assembl</w:t>
      </w:r>
      <w:r w:rsidR="00E47281" w:rsidRPr="00727F09">
        <w:rPr>
          <w:lang w:val="en-GB"/>
        </w:rPr>
        <w:t>ies</w:t>
      </w:r>
      <w:r w:rsidR="001F1700" w:rsidRPr="00727F09">
        <w:rPr>
          <w:lang w:val="en-GB"/>
        </w:rPr>
        <w:t xml:space="preserve">. </w:t>
      </w:r>
      <w:r w:rsidR="0005600B" w:rsidRPr="00727F09">
        <w:rPr>
          <w:lang w:val="en-GB"/>
        </w:rPr>
        <w:t>Finally</w:t>
      </w:r>
      <w:r w:rsidR="001F1700" w:rsidRPr="00727F09">
        <w:rPr>
          <w:lang w:val="en-GB"/>
        </w:rPr>
        <w:t xml:space="preserve">, since these are equipment or </w:t>
      </w:r>
      <w:r w:rsidR="00E47281" w:rsidRPr="00727F09">
        <w:rPr>
          <w:lang w:val="en-GB"/>
        </w:rPr>
        <w:t xml:space="preserve">pressure </w:t>
      </w:r>
      <w:r w:rsidR="001F1700" w:rsidRPr="00727F09">
        <w:rPr>
          <w:lang w:val="en-GB"/>
        </w:rPr>
        <w:t xml:space="preserve">assemblies falling into PED risk category IV, containing a dangerous fluid (flammable such as hydrogen), they must be carried out </w:t>
      </w:r>
      <w:r w:rsidR="00E47281" w:rsidRPr="00727F09">
        <w:rPr>
          <w:lang w:val="en-GB"/>
        </w:rPr>
        <w:t>at the</w:t>
      </w:r>
      <w:r w:rsidR="001F1700" w:rsidRPr="00727F09">
        <w:rPr>
          <w:lang w:val="en-GB"/>
        </w:rPr>
        <w:t xml:space="preserve"> request of the employer: an operation check every 2 </w:t>
      </w:r>
      <w:proofErr w:type="gramStart"/>
      <w:r w:rsidR="0005600B" w:rsidRPr="00727F09">
        <w:rPr>
          <w:lang w:val="en-GB"/>
        </w:rPr>
        <w:t>years</w:t>
      </w:r>
      <w:proofErr w:type="gramEnd"/>
      <w:r w:rsidR="001F1700" w:rsidRPr="00727F09">
        <w:rPr>
          <w:lang w:val="en-GB"/>
        </w:rPr>
        <w:t xml:space="preserve"> and </w:t>
      </w:r>
      <w:r w:rsidR="00070AD5" w:rsidRPr="00727F09">
        <w:rPr>
          <w:lang w:val="en-GB"/>
        </w:rPr>
        <w:t xml:space="preserve">an </w:t>
      </w:r>
      <w:r w:rsidR="001F1700" w:rsidRPr="00727F09">
        <w:rPr>
          <w:lang w:val="en-GB"/>
        </w:rPr>
        <w:t xml:space="preserve">integrity </w:t>
      </w:r>
      <w:r w:rsidR="00E47281" w:rsidRPr="00727F09">
        <w:rPr>
          <w:lang w:val="en-GB"/>
        </w:rPr>
        <w:t>check</w:t>
      </w:r>
      <w:r w:rsidR="00070AD5" w:rsidRPr="00727F09">
        <w:rPr>
          <w:lang w:val="en-GB"/>
        </w:rPr>
        <w:t xml:space="preserve"> every 10 years</w:t>
      </w:r>
      <w:r w:rsidR="001F1700" w:rsidRPr="00727F09">
        <w:rPr>
          <w:lang w:val="en-GB"/>
        </w:rPr>
        <w:t>.</w:t>
      </w:r>
    </w:p>
    <w:p w14:paraId="0E8348BD" w14:textId="2B78E55C" w:rsidR="001F1700" w:rsidRPr="00727F09" w:rsidRDefault="00B20F07" w:rsidP="00C66F37">
      <w:pPr>
        <w:pStyle w:val="CETHeading1"/>
        <w:numPr>
          <w:ilvl w:val="0"/>
          <w:numId w:val="37"/>
        </w:numPr>
        <w:tabs>
          <w:tab w:val="num" w:pos="360"/>
        </w:tabs>
        <w:ind w:left="0" w:firstLine="0"/>
        <w:rPr>
          <w:b w:val="0"/>
          <w:bCs/>
          <w:lang w:val="en-GB"/>
        </w:rPr>
      </w:pPr>
      <w:r w:rsidRPr="00727F09">
        <w:rPr>
          <w:bCs/>
          <w:lang w:val="en-GB"/>
        </w:rPr>
        <w:t xml:space="preserve"> </w:t>
      </w:r>
      <w:r w:rsidR="001F1700" w:rsidRPr="00727F09">
        <w:rPr>
          <w:bCs/>
          <w:lang w:val="en-GB"/>
        </w:rPr>
        <w:t>Transportable pressure equipment</w:t>
      </w:r>
    </w:p>
    <w:p w14:paraId="2613FB6E" w14:textId="7CC99C1D" w:rsidR="00C46A56" w:rsidRPr="00727F09" w:rsidRDefault="001F1700" w:rsidP="0042331B">
      <w:pPr>
        <w:pStyle w:val="CETBodytext"/>
        <w:rPr>
          <w:lang w:val="en-GB"/>
        </w:rPr>
      </w:pPr>
      <w:r w:rsidRPr="00727F09">
        <w:rPr>
          <w:lang w:val="en-GB"/>
        </w:rPr>
        <w:t xml:space="preserve">Directive 2010/35/EU, TPED (which replaced the previous directive 1999/36/EC) establishes the rules and procedures to be followed for the certification of transportable pressure equipment. The application of the Directive </w:t>
      </w:r>
      <w:r w:rsidR="00070AD5" w:rsidRPr="00727F09">
        <w:rPr>
          <w:lang w:val="en-GB"/>
        </w:rPr>
        <w:t>is implemented</w:t>
      </w:r>
      <w:r w:rsidRPr="00727F09">
        <w:rPr>
          <w:lang w:val="en-GB"/>
        </w:rPr>
        <w:t xml:space="preserve"> through compliance with the requirements established in Directive 2008/68/EC and subsequent updates which </w:t>
      </w:r>
      <w:r w:rsidR="00070AD5" w:rsidRPr="00727F09">
        <w:rPr>
          <w:lang w:val="en-GB"/>
        </w:rPr>
        <w:t>makes its own</w:t>
      </w:r>
      <w:r w:rsidRPr="00727F09">
        <w:rPr>
          <w:lang w:val="en-GB"/>
        </w:rPr>
        <w:t xml:space="preserve">: a) international agreements relating to the international transport of dangerous goods by </w:t>
      </w:r>
      <w:r w:rsidRPr="004E2EA9">
        <w:rPr>
          <w:szCs w:val="18"/>
          <w:lang w:val="en-GB"/>
        </w:rPr>
        <w:t>road (</w:t>
      </w:r>
      <w:r w:rsidR="00BD4FAE" w:rsidRPr="001754F3">
        <w:rPr>
          <w:szCs w:val="18"/>
          <w:lang w:val="en-GB"/>
        </w:rPr>
        <w:t>United Nation, 2024, ADR</w:t>
      </w:r>
      <w:r w:rsidRPr="004E2EA9">
        <w:rPr>
          <w:szCs w:val="18"/>
          <w:lang w:val="en-GB"/>
        </w:rPr>
        <w:t>), b) the</w:t>
      </w:r>
      <w:r w:rsidRPr="00727F09">
        <w:rPr>
          <w:lang w:val="en-GB"/>
        </w:rPr>
        <w:t xml:space="preserve"> regulation</w:t>
      </w:r>
      <w:r w:rsidR="00995714" w:rsidRPr="00727F09">
        <w:rPr>
          <w:lang w:val="en-GB"/>
        </w:rPr>
        <w:t xml:space="preserve"> concerning</w:t>
      </w:r>
      <w:r w:rsidRPr="00727F09">
        <w:rPr>
          <w:lang w:val="en-GB"/>
        </w:rPr>
        <w:t xml:space="preserve"> the international </w:t>
      </w:r>
      <w:r w:rsidR="00995714" w:rsidRPr="00727F09">
        <w:rPr>
          <w:lang w:val="en-GB"/>
        </w:rPr>
        <w:t>carriage</w:t>
      </w:r>
      <w:r w:rsidRPr="00727F09">
        <w:rPr>
          <w:lang w:val="en-GB"/>
        </w:rPr>
        <w:t xml:space="preserve"> of dangerous goods by rail (RID); c) the European Agreement concerning the international </w:t>
      </w:r>
      <w:r w:rsidR="00995714" w:rsidRPr="00727F09">
        <w:rPr>
          <w:lang w:val="en-GB"/>
        </w:rPr>
        <w:t>carriage</w:t>
      </w:r>
      <w:r w:rsidRPr="00727F09">
        <w:rPr>
          <w:lang w:val="en-GB"/>
        </w:rPr>
        <w:t xml:space="preserve"> of dangerous goods by inland waterways (ADN). The European Directive 2010/35/EU </w:t>
      </w:r>
      <w:r w:rsidR="007C0F10" w:rsidRPr="00727F09">
        <w:rPr>
          <w:lang w:val="en-GB"/>
        </w:rPr>
        <w:t>(</w:t>
      </w:r>
      <w:r w:rsidRPr="00727F09">
        <w:rPr>
          <w:lang w:val="en-GB"/>
        </w:rPr>
        <w:t>TPED) was implemented in Italy with the Legislative Decree. 78/2012. The fluids considered are compressed, liquefied or dissolved gases with characteristics: asphyxiating, oxidizing, flammable, toxic or corrosive, referred to in class 2 of the ADR. These include hydrogen which is a flammable product.</w:t>
      </w:r>
      <w:r w:rsidR="0042331B" w:rsidRPr="00727F09">
        <w:rPr>
          <w:lang w:val="en-GB"/>
        </w:rPr>
        <w:t xml:space="preserve"> When placing their transportable pressure equipment on the market, manufacturers shall ensure that it has been designed, manufactured and documented in accordance with the requirements set out in the Annexes to Directive 2008/68/EC and Directive 2010/35/EU. The manufacturer must therefore draw up for each piece of equipment or batch of equipment that falls within the scope of the TPED directive a technical file </w:t>
      </w:r>
      <w:r w:rsidR="00E53C81" w:rsidRPr="00727F09">
        <w:rPr>
          <w:lang w:val="en-GB"/>
        </w:rPr>
        <w:t>that</w:t>
      </w:r>
      <w:r w:rsidR="0042331B" w:rsidRPr="00727F09">
        <w:rPr>
          <w:lang w:val="en-GB"/>
        </w:rPr>
        <w:t xml:space="preserve"> must contain the documentation necessary to </w:t>
      </w:r>
      <w:r w:rsidR="00E53C81" w:rsidRPr="00727F09">
        <w:rPr>
          <w:lang w:val="en-GB"/>
        </w:rPr>
        <w:t xml:space="preserve">testify to </w:t>
      </w:r>
      <w:r w:rsidR="0042331B" w:rsidRPr="00727F09">
        <w:rPr>
          <w:lang w:val="en-GB"/>
        </w:rPr>
        <w:t xml:space="preserve">the correct criteria </w:t>
      </w:r>
      <w:r w:rsidR="00E53C81" w:rsidRPr="00727F09">
        <w:rPr>
          <w:lang w:val="en-GB"/>
        </w:rPr>
        <w:t>of</w:t>
      </w:r>
      <w:r w:rsidR="0042331B" w:rsidRPr="00727F09">
        <w:rPr>
          <w:lang w:val="en-GB"/>
        </w:rPr>
        <w:t xml:space="preserve"> design, manufactu</w:t>
      </w:r>
      <w:r w:rsidR="00E53C81" w:rsidRPr="00727F09">
        <w:rPr>
          <w:lang w:val="en-GB"/>
        </w:rPr>
        <w:t>re</w:t>
      </w:r>
      <w:r w:rsidR="0042331B" w:rsidRPr="00727F09">
        <w:rPr>
          <w:lang w:val="en-GB"/>
        </w:rPr>
        <w:t xml:space="preserve">, qualifications of personnel, material, compliance of the essential safety requirements, etc. Where the conformity of transportable pressure equipment with the applicable requirements has been demonstrated by the conformity assessment procedure </w:t>
      </w:r>
      <w:r w:rsidR="00E53C81" w:rsidRPr="00727F09">
        <w:rPr>
          <w:lang w:val="en-GB"/>
        </w:rPr>
        <w:t>set out</w:t>
      </w:r>
      <w:r w:rsidR="0042331B" w:rsidRPr="00727F09">
        <w:rPr>
          <w:lang w:val="en-GB"/>
        </w:rPr>
        <w:t xml:space="preserve"> by the annexes of Directive 2008/68/EC and the TPED Directive, manufacturers shall affix the "π" mark. </w:t>
      </w:r>
      <w:r w:rsidR="00E53C81" w:rsidRPr="00727F09">
        <w:rPr>
          <w:lang w:val="en-GB"/>
        </w:rPr>
        <w:t>The</w:t>
      </w:r>
      <w:r w:rsidR="0042331B" w:rsidRPr="00727F09">
        <w:rPr>
          <w:lang w:val="en-GB"/>
        </w:rPr>
        <w:t xml:space="preserve"> different ADR procedures are shown</w:t>
      </w:r>
      <w:r w:rsidR="00E53C81" w:rsidRPr="00727F09">
        <w:rPr>
          <w:lang w:val="en-GB"/>
        </w:rPr>
        <w:t xml:space="preserve"> below in </w:t>
      </w:r>
      <w:r w:rsidR="00C46A56" w:rsidRPr="00727F09">
        <w:rPr>
          <w:lang w:val="en-GB"/>
        </w:rPr>
        <w:t>table 1</w:t>
      </w:r>
      <w:r w:rsidR="0042331B" w:rsidRPr="00727F09">
        <w:rPr>
          <w:lang w:val="en-GB"/>
        </w:rPr>
        <w:t>.</w:t>
      </w:r>
    </w:p>
    <w:p w14:paraId="2E1D5839" w14:textId="12D2DE91" w:rsidR="00C46A56" w:rsidRPr="00727F09" w:rsidRDefault="00C46A56" w:rsidP="00C46A56">
      <w:pPr>
        <w:pStyle w:val="CETTabletitle"/>
      </w:pPr>
      <w:r w:rsidRPr="00727F09">
        <w:t>Table 1. Different ADR procedures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25"/>
        <w:gridCol w:w="2820"/>
        <w:gridCol w:w="284"/>
        <w:gridCol w:w="2218"/>
      </w:tblGrid>
      <w:tr w:rsidR="009A6E30" w:rsidRPr="00727F09" w14:paraId="56C564C1" w14:textId="77777777" w:rsidTr="00D7285D">
        <w:tc>
          <w:tcPr>
            <w:tcW w:w="2425" w:type="dxa"/>
            <w:tcBorders>
              <w:top w:val="single" w:sz="12" w:space="0" w:color="008000"/>
              <w:bottom w:val="single" w:sz="8" w:space="0" w:color="008000"/>
            </w:tcBorders>
            <w:shd w:val="clear" w:color="auto" w:fill="FFFFFF"/>
          </w:tcPr>
          <w:p w14:paraId="36CE4552" w14:textId="1BB41E41" w:rsidR="009A6E30" w:rsidRPr="00727F09" w:rsidRDefault="009A6E30" w:rsidP="007B41F2">
            <w:pPr>
              <w:pStyle w:val="CETBodytext"/>
              <w:jc w:val="center"/>
              <w:rPr>
                <w:highlight w:val="red"/>
                <w:lang w:val="en-GB"/>
              </w:rPr>
            </w:pPr>
          </w:p>
        </w:tc>
        <w:tc>
          <w:tcPr>
            <w:tcW w:w="3104" w:type="dxa"/>
            <w:gridSpan w:val="2"/>
            <w:tcBorders>
              <w:top w:val="single" w:sz="12" w:space="0" w:color="008000"/>
              <w:bottom w:val="single" w:sz="8" w:space="0" w:color="008000"/>
            </w:tcBorders>
            <w:shd w:val="clear" w:color="auto" w:fill="FFFFFF"/>
          </w:tcPr>
          <w:p w14:paraId="224620A0" w14:textId="78D9A63C" w:rsidR="009A6E30" w:rsidRPr="00727F09" w:rsidRDefault="009A6E30" w:rsidP="007B41F2">
            <w:pPr>
              <w:pStyle w:val="CETBodytext"/>
              <w:jc w:val="center"/>
              <w:rPr>
                <w:highlight w:val="red"/>
                <w:lang w:val="en-GB"/>
              </w:rPr>
            </w:pPr>
            <w:r w:rsidRPr="00727F09">
              <w:rPr>
                <w:lang w:val="en-GB"/>
              </w:rPr>
              <w:t>Procedures</w:t>
            </w:r>
          </w:p>
        </w:tc>
        <w:tc>
          <w:tcPr>
            <w:tcW w:w="2218" w:type="dxa"/>
            <w:tcBorders>
              <w:top w:val="single" w:sz="12" w:space="0" w:color="008000"/>
              <w:bottom w:val="single" w:sz="8" w:space="0" w:color="008000"/>
            </w:tcBorders>
            <w:shd w:val="clear" w:color="auto" w:fill="FFFFFF"/>
          </w:tcPr>
          <w:p w14:paraId="775E58B0" w14:textId="4EC519A7" w:rsidR="009A6E30" w:rsidRPr="00727F09" w:rsidRDefault="009A6E30" w:rsidP="007B41F2">
            <w:pPr>
              <w:pStyle w:val="CETBodytext"/>
              <w:jc w:val="center"/>
              <w:rPr>
                <w:highlight w:val="red"/>
                <w:lang w:val="en-GB"/>
              </w:rPr>
            </w:pPr>
          </w:p>
        </w:tc>
      </w:tr>
      <w:tr w:rsidR="009A6E30" w:rsidRPr="00727F09" w14:paraId="4B14FD70" w14:textId="77777777" w:rsidTr="00D7285D">
        <w:tc>
          <w:tcPr>
            <w:tcW w:w="2425" w:type="dxa"/>
            <w:tcBorders>
              <w:top w:val="single" w:sz="8" w:space="0" w:color="008000"/>
              <w:bottom w:val="nil"/>
            </w:tcBorders>
            <w:shd w:val="clear" w:color="auto" w:fill="FFFFFF"/>
          </w:tcPr>
          <w:p w14:paraId="5078ABC6" w14:textId="3D8BA90F" w:rsidR="009A6E30" w:rsidRPr="00727F09" w:rsidRDefault="009A6E30" w:rsidP="006F3F78">
            <w:pPr>
              <w:pStyle w:val="CETBodytext"/>
              <w:jc w:val="center"/>
              <w:rPr>
                <w:sz w:val="16"/>
                <w:szCs w:val="16"/>
                <w:highlight w:val="red"/>
                <w:lang w:val="en-GB"/>
              </w:rPr>
            </w:pPr>
            <w:r w:rsidRPr="00727F09">
              <w:rPr>
                <w:sz w:val="16"/>
                <w:szCs w:val="16"/>
                <w:lang w:val="en-GB"/>
              </w:rPr>
              <w:t>Pressure receptacles 6.2 ADR</w:t>
            </w:r>
          </w:p>
        </w:tc>
        <w:tc>
          <w:tcPr>
            <w:tcW w:w="3104" w:type="dxa"/>
            <w:gridSpan w:val="2"/>
            <w:tcBorders>
              <w:top w:val="single" w:sz="8" w:space="0" w:color="008000"/>
              <w:bottom w:val="nil"/>
            </w:tcBorders>
            <w:shd w:val="clear" w:color="auto" w:fill="FFFFFF"/>
          </w:tcPr>
          <w:p w14:paraId="406299AE" w14:textId="77777777" w:rsidR="009A6E30" w:rsidRPr="00727F09" w:rsidRDefault="009A6E30" w:rsidP="006F3F78">
            <w:pPr>
              <w:pStyle w:val="CETBodytext"/>
              <w:jc w:val="center"/>
              <w:rPr>
                <w:sz w:val="16"/>
                <w:szCs w:val="16"/>
                <w:highlight w:val="red"/>
                <w:lang w:val="en-GB"/>
              </w:rPr>
            </w:pPr>
          </w:p>
        </w:tc>
        <w:tc>
          <w:tcPr>
            <w:tcW w:w="2218" w:type="dxa"/>
            <w:tcBorders>
              <w:top w:val="single" w:sz="8" w:space="0" w:color="008000"/>
              <w:bottom w:val="nil"/>
            </w:tcBorders>
            <w:shd w:val="clear" w:color="auto" w:fill="FFFFFF"/>
          </w:tcPr>
          <w:p w14:paraId="21AE7E61" w14:textId="1FB29E24" w:rsidR="009A6E30" w:rsidRPr="00727F09" w:rsidRDefault="009A6E30" w:rsidP="006F3F78">
            <w:pPr>
              <w:pStyle w:val="CETBodytext"/>
              <w:jc w:val="center"/>
              <w:rPr>
                <w:sz w:val="16"/>
                <w:szCs w:val="16"/>
                <w:highlight w:val="red"/>
                <w:lang w:val="en-GB"/>
              </w:rPr>
            </w:pPr>
            <w:r w:rsidRPr="00727F09">
              <w:rPr>
                <w:sz w:val="16"/>
                <w:szCs w:val="16"/>
                <w:lang w:val="en-GB"/>
              </w:rPr>
              <w:t>Tank-vehicles 6.8 ADR</w:t>
            </w:r>
          </w:p>
        </w:tc>
      </w:tr>
      <w:tr w:rsidR="009A6E30" w:rsidRPr="00727F09" w14:paraId="34048188" w14:textId="77777777" w:rsidTr="00D7285D">
        <w:tc>
          <w:tcPr>
            <w:tcW w:w="2425" w:type="dxa"/>
            <w:tcBorders>
              <w:top w:val="nil"/>
              <w:bottom w:val="nil"/>
            </w:tcBorders>
            <w:shd w:val="clear" w:color="auto" w:fill="auto"/>
          </w:tcPr>
          <w:p w14:paraId="116F9606" w14:textId="77777777" w:rsidR="009A6E30" w:rsidRPr="00727F09" w:rsidRDefault="009A6E30" w:rsidP="006F3F78">
            <w:pPr>
              <w:pStyle w:val="CETBodytext"/>
              <w:jc w:val="center"/>
              <w:rPr>
                <w:sz w:val="16"/>
                <w:szCs w:val="16"/>
                <w:lang w:val="en-GB"/>
              </w:rPr>
            </w:pPr>
          </w:p>
        </w:tc>
        <w:tc>
          <w:tcPr>
            <w:tcW w:w="3104" w:type="dxa"/>
            <w:gridSpan w:val="2"/>
            <w:tcBorders>
              <w:top w:val="nil"/>
              <w:bottom w:val="nil"/>
            </w:tcBorders>
            <w:shd w:val="clear" w:color="auto" w:fill="auto"/>
          </w:tcPr>
          <w:p w14:paraId="00DB2AEB" w14:textId="539880A0" w:rsidR="009A6E30" w:rsidRPr="00727F09" w:rsidRDefault="009A6E30" w:rsidP="006F3F78">
            <w:pPr>
              <w:pStyle w:val="CETBodytext"/>
              <w:jc w:val="center"/>
              <w:rPr>
                <w:sz w:val="16"/>
                <w:szCs w:val="16"/>
                <w:lang w:val="en-GB"/>
              </w:rPr>
            </w:pPr>
            <w:r w:rsidRPr="00727F09">
              <w:rPr>
                <w:sz w:val="16"/>
                <w:szCs w:val="16"/>
                <w:lang w:val="en-GB"/>
              </w:rPr>
              <w:t xml:space="preserve">Type examination and type approval certificate issue ADR 1.8.7.2 </w:t>
            </w:r>
          </w:p>
        </w:tc>
        <w:tc>
          <w:tcPr>
            <w:tcW w:w="2218" w:type="dxa"/>
            <w:tcBorders>
              <w:top w:val="nil"/>
              <w:bottom w:val="nil"/>
            </w:tcBorders>
            <w:shd w:val="clear" w:color="auto" w:fill="auto"/>
          </w:tcPr>
          <w:p w14:paraId="730A1877" w14:textId="77777777" w:rsidR="009A6E30" w:rsidRPr="00727F09" w:rsidRDefault="009A6E30" w:rsidP="006F3F78">
            <w:pPr>
              <w:pStyle w:val="CETBodytext"/>
              <w:jc w:val="center"/>
              <w:rPr>
                <w:sz w:val="16"/>
                <w:szCs w:val="16"/>
                <w:lang w:val="en-GB"/>
              </w:rPr>
            </w:pPr>
          </w:p>
        </w:tc>
      </w:tr>
      <w:tr w:rsidR="009A6E30" w:rsidRPr="00727F09" w14:paraId="3A47FBBE" w14:textId="77777777" w:rsidTr="00D7285D">
        <w:tc>
          <w:tcPr>
            <w:tcW w:w="2425" w:type="dxa"/>
            <w:tcBorders>
              <w:top w:val="nil"/>
              <w:bottom w:val="nil"/>
            </w:tcBorders>
            <w:shd w:val="clear" w:color="auto" w:fill="auto"/>
          </w:tcPr>
          <w:p w14:paraId="0F50ED9E" w14:textId="77777777" w:rsidR="009A6E30" w:rsidRPr="00727F09" w:rsidRDefault="009A6E30" w:rsidP="00485B5D">
            <w:pPr>
              <w:pStyle w:val="CETBodytext"/>
              <w:jc w:val="center"/>
              <w:rPr>
                <w:sz w:val="16"/>
                <w:szCs w:val="16"/>
                <w:lang w:val="en-GB"/>
              </w:rPr>
            </w:pPr>
          </w:p>
        </w:tc>
        <w:tc>
          <w:tcPr>
            <w:tcW w:w="3104" w:type="dxa"/>
            <w:gridSpan w:val="2"/>
            <w:tcBorders>
              <w:top w:val="nil"/>
              <w:bottom w:val="nil"/>
            </w:tcBorders>
            <w:shd w:val="clear" w:color="auto" w:fill="auto"/>
          </w:tcPr>
          <w:p w14:paraId="2EB87382" w14:textId="2F8B0F00" w:rsidR="009A6E30" w:rsidRPr="00727F09" w:rsidRDefault="009A6E30" w:rsidP="00485B5D">
            <w:pPr>
              <w:pStyle w:val="CETBodytext"/>
              <w:jc w:val="center"/>
              <w:rPr>
                <w:sz w:val="16"/>
                <w:szCs w:val="16"/>
                <w:lang w:val="en-GB"/>
              </w:rPr>
            </w:pPr>
            <w:r w:rsidRPr="00727F09">
              <w:rPr>
                <w:sz w:val="16"/>
                <w:szCs w:val="16"/>
                <w:lang w:val="en-GB"/>
              </w:rPr>
              <w:t>Supervision of manufacture ADR 1.8.7.3</w:t>
            </w:r>
          </w:p>
        </w:tc>
        <w:tc>
          <w:tcPr>
            <w:tcW w:w="2218" w:type="dxa"/>
            <w:tcBorders>
              <w:top w:val="nil"/>
              <w:bottom w:val="nil"/>
            </w:tcBorders>
            <w:shd w:val="clear" w:color="auto" w:fill="auto"/>
          </w:tcPr>
          <w:p w14:paraId="75340309" w14:textId="77777777" w:rsidR="009A6E30" w:rsidRPr="00727F09" w:rsidRDefault="009A6E30" w:rsidP="00485B5D">
            <w:pPr>
              <w:pStyle w:val="CETBodytext"/>
              <w:jc w:val="center"/>
              <w:rPr>
                <w:sz w:val="16"/>
                <w:szCs w:val="16"/>
                <w:lang w:val="en-GB"/>
              </w:rPr>
            </w:pPr>
          </w:p>
        </w:tc>
      </w:tr>
      <w:tr w:rsidR="00AB4C37" w:rsidRPr="00727F09" w14:paraId="44916F94" w14:textId="77777777" w:rsidTr="00D7285D">
        <w:tc>
          <w:tcPr>
            <w:tcW w:w="2425" w:type="dxa"/>
            <w:tcBorders>
              <w:top w:val="nil"/>
              <w:bottom w:val="nil"/>
            </w:tcBorders>
            <w:shd w:val="clear" w:color="auto" w:fill="auto"/>
          </w:tcPr>
          <w:p w14:paraId="03AF0864" w14:textId="77777777" w:rsidR="00AB4C37" w:rsidRPr="00727F09" w:rsidRDefault="00AB4C37" w:rsidP="00AB4C37">
            <w:pPr>
              <w:pStyle w:val="CETBodytext"/>
              <w:jc w:val="center"/>
              <w:rPr>
                <w:sz w:val="16"/>
                <w:szCs w:val="16"/>
                <w:lang w:val="en-GB"/>
              </w:rPr>
            </w:pPr>
          </w:p>
        </w:tc>
        <w:tc>
          <w:tcPr>
            <w:tcW w:w="3104" w:type="dxa"/>
            <w:gridSpan w:val="2"/>
            <w:tcBorders>
              <w:top w:val="nil"/>
              <w:bottom w:val="nil"/>
            </w:tcBorders>
            <w:shd w:val="clear" w:color="auto" w:fill="auto"/>
          </w:tcPr>
          <w:p w14:paraId="6CE18CDD" w14:textId="50A0CA3B" w:rsidR="00AB4C37" w:rsidRPr="00727F09" w:rsidRDefault="00AB4C37" w:rsidP="00AB4C37">
            <w:pPr>
              <w:pStyle w:val="CETBodytext"/>
              <w:jc w:val="center"/>
              <w:rPr>
                <w:sz w:val="16"/>
                <w:szCs w:val="16"/>
                <w:lang w:val="en-GB"/>
              </w:rPr>
            </w:pPr>
            <w:r w:rsidRPr="00727F09">
              <w:rPr>
                <w:sz w:val="16"/>
                <w:szCs w:val="16"/>
                <w:lang w:val="en-GB"/>
              </w:rPr>
              <w:t>Initial inspection and test ADR 1.8.7.4</w:t>
            </w:r>
          </w:p>
        </w:tc>
        <w:tc>
          <w:tcPr>
            <w:tcW w:w="2218" w:type="dxa"/>
            <w:tcBorders>
              <w:top w:val="nil"/>
              <w:bottom w:val="nil"/>
            </w:tcBorders>
            <w:shd w:val="clear" w:color="auto" w:fill="auto"/>
          </w:tcPr>
          <w:p w14:paraId="23E5DE64" w14:textId="77777777" w:rsidR="00AB4C37" w:rsidRPr="00727F09" w:rsidRDefault="00AB4C37" w:rsidP="00AB4C37">
            <w:pPr>
              <w:pStyle w:val="CETBodytext"/>
              <w:jc w:val="center"/>
              <w:rPr>
                <w:sz w:val="16"/>
                <w:szCs w:val="16"/>
                <w:lang w:val="en-GB"/>
              </w:rPr>
            </w:pPr>
          </w:p>
        </w:tc>
      </w:tr>
      <w:tr w:rsidR="00AB4C37" w:rsidRPr="00727F09" w14:paraId="547A7BE4" w14:textId="77777777" w:rsidTr="00D7285D">
        <w:tc>
          <w:tcPr>
            <w:tcW w:w="2425" w:type="dxa"/>
            <w:tcBorders>
              <w:top w:val="nil"/>
              <w:bottom w:val="nil"/>
            </w:tcBorders>
            <w:shd w:val="clear" w:color="auto" w:fill="auto"/>
          </w:tcPr>
          <w:p w14:paraId="678EF9D2" w14:textId="77777777" w:rsidR="00AB4C37" w:rsidRPr="00727F09" w:rsidRDefault="00AB4C37" w:rsidP="00AB4C37">
            <w:pPr>
              <w:pStyle w:val="CETBodytext"/>
              <w:jc w:val="center"/>
              <w:rPr>
                <w:sz w:val="16"/>
                <w:szCs w:val="16"/>
                <w:lang w:val="en-GB"/>
              </w:rPr>
            </w:pPr>
          </w:p>
        </w:tc>
        <w:tc>
          <w:tcPr>
            <w:tcW w:w="3104" w:type="dxa"/>
            <w:gridSpan w:val="2"/>
            <w:tcBorders>
              <w:top w:val="nil"/>
              <w:bottom w:val="nil"/>
            </w:tcBorders>
            <w:shd w:val="clear" w:color="auto" w:fill="auto"/>
          </w:tcPr>
          <w:p w14:paraId="7312EC5D" w14:textId="34FA62EC" w:rsidR="00AB4C37" w:rsidRPr="00727F09" w:rsidRDefault="00AB4C37" w:rsidP="00AB4C37">
            <w:pPr>
              <w:pStyle w:val="CETBodytext"/>
              <w:jc w:val="center"/>
              <w:rPr>
                <w:sz w:val="16"/>
                <w:szCs w:val="16"/>
                <w:lang w:val="en-GB"/>
              </w:rPr>
            </w:pPr>
            <w:r w:rsidRPr="00727F09">
              <w:rPr>
                <w:sz w:val="16"/>
                <w:szCs w:val="16"/>
                <w:lang w:val="en-GB"/>
              </w:rPr>
              <w:t>Entry into service verification ADR 1.8.7.5</w:t>
            </w:r>
          </w:p>
        </w:tc>
        <w:tc>
          <w:tcPr>
            <w:tcW w:w="2218" w:type="dxa"/>
            <w:tcBorders>
              <w:top w:val="nil"/>
              <w:bottom w:val="nil"/>
            </w:tcBorders>
            <w:shd w:val="clear" w:color="auto" w:fill="auto"/>
          </w:tcPr>
          <w:p w14:paraId="3802AE63" w14:textId="77777777" w:rsidR="00AB4C37" w:rsidRPr="00727F09" w:rsidRDefault="00AB4C37" w:rsidP="00AB4C37">
            <w:pPr>
              <w:pStyle w:val="CETBodytext"/>
              <w:jc w:val="center"/>
              <w:rPr>
                <w:sz w:val="16"/>
                <w:szCs w:val="16"/>
                <w:lang w:val="en-GB"/>
              </w:rPr>
            </w:pPr>
          </w:p>
        </w:tc>
      </w:tr>
      <w:tr w:rsidR="00AB4C37" w:rsidRPr="00727F09" w14:paraId="6BAD2082" w14:textId="77777777" w:rsidTr="00D7285D">
        <w:tc>
          <w:tcPr>
            <w:tcW w:w="2425" w:type="dxa"/>
            <w:tcBorders>
              <w:top w:val="nil"/>
              <w:bottom w:val="nil"/>
            </w:tcBorders>
            <w:shd w:val="clear" w:color="auto" w:fill="auto"/>
          </w:tcPr>
          <w:p w14:paraId="45A9946E" w14:textId="77777777" w:rsidR="00AB4C37" w:rsidRPr="00727F09" w:rsidRDefault="00AB4C37" w:rsidP="00AB4C37">
            <w:pPr>
              <w:pStyle w:val="CETBodytext"/>
              <w:jc w:val="center"/>
              <w:rPr>
                <w:sz w:val="16"/>
                <w:szCs w:val="16"/>
                <w:lang w:val="en-GB"/>
              </w:rPr>
            </w:pPr>
          </w:p>
        </w:tc>
        <w:tc>
          <w:tcPr>
            <w:tcW w:w="3104" w:type="dxa"/>
            <w:gridSpan w:val="2"/>
            <w:tcBorders>
              <w:top w:val="nil"/>
              <w:bottom w:val="nil"/>
            </w:tcBorders>
            <w:shd w:val="clear" w:color="auto" w:fill="auto"/>
          </w:tcPr>
          <w:p w14:paraId="15B00C77" w14:textId="27E029C0" w:rsidR="00AB4C37" w:rsidRPr="00727F09" w:rsidRDefault="00AB4C37" w:rsidP="00AB4C37">
            <w:pPr>
              <w:pStyle w:val="CETBodytext"/>
              <w:jc w:val="center"/>
              <w:rPr>
                <w:sz w:val="16"/>
                <w:szCs w:val="16"/>
                <w:lang w:val="en-GB"/>
              </w:rPr>
            </w:pPr>
            <w:r w:rsidRPr="00727F09">
              <w:rPr>
                <w:sz w:val="16"/>
                <w:szCs w:val="16"/>
                <w:lang w:val="en-GB"/>
              </w:rPr>
              <w:t>Periodic inspection 1.8.7.6</w:t>
            </w:r>
          </w:p>
        </w:tc>
        <w:tc>
          <w:tcPr>
            <w:tcW w:w="2218" w:type="dxa"/>
            <w:tcBorders>
              <w:top w:val="nil"/>
              <w:bottom w:val="nil"/>
            </w:tcBorders>
            <w:shd w:val="clear" w:color="auto" w:fill="auto"/>
          </w:tcPr>
          <w:p w14:paraId="1DDAF62B" w14:textId="77777777" w:rsidR="00AB4C37" w:rsidRPr="00727F09" w:rsidRDefault="00AB4C37" w:rsidP="00AB4C37">
            <w:pPr>
              <w:pStyle w:val="CETBodytext"/>
              <w:jc w:val="center"/>
              <w:rPr>
                <w:sz w:val="16"/>
                <w:szCs w:val="16"/>
                <w:lang w:val="en-GB"/>
              </w:rPr>
            </w:pPr>
          </w:p>
        </w:tc>
      </w:tr>
      <w:tr w:rsidR="00AB4C37" w:rsidRPr="00727F09" w14:paraId="2E893729" w14:textId="77777777" w:rsidTr="00D7285D">
        <w:tc>
          <w:tcPr>
            <w:tcW w:w="2425" w:type="dxa"/>
            <w:tcBorders>
              <w:top w:val="nil"/>
              <w:bottom w:val="nil"/>
            </w:tcBorders>
            <w:shd w:val="clear" w:color="auto" w:fill="auto"/>
          </w:tcPr>
          <w:p w14:paraId="4276239E" w14:textId="7FC280AD" w:rsidR="00AB4C37" w:rsidRPr="00727F09" w:rsidRDefault="00AB4C37" w:rsidP="00AB4C37">
            <w:pPr>
              <w:pStyle w:val="CETBodytext"/>
              <w:jc w:val="center"/>
              <w:rPr>
                <w:sz w:val="16"/>
                <w:szCs w:val="16"/>
                <w:lang w:val="en-GB"/>
              </w:rPr>
            </w:pPr>
            <w:r w:rsidRPr="00727F09">
              <w:rPr>
                <w:sz w:val="16"/>
                <w:szCs w:val="16"/>
                <w:lang w:val="en-GB"/>
              </w:rPr>
              <w:t>Description</w:t>
            </w:r>
          </w:p>
        </w:tc>
        <w:tc>
          <w:tcPr>
            <w:tcW w:w="3104" w:type="dxa"/>
            <w:gridSpan w:val="2"/>
            <w:tcBorders>
              <w:top w:val="nil"/>
              <w:bottom w:val="nil"/>
            </w:tcBorders>
            <w:shd w:val="clear" w:color="auto" w:fill="auto"/>
          </w:tcPr>
          <w:p w14:paraId="494142CF" w14:textId="5C733C88" w:rsidR="00AB4C37" w:rsidRPr="00727F09" w:rsidRDefault="00AB4C37" w:rsidP="00AB4C37">
            <w:pPr>
              <w:pStyle w:val="CETBodytext"/>
              <w:jc w:val="center"/>
              <w:rPr>
                <w:sz w:val="16"/>
                <w:szCs w:val="16"/>
                <w:lang w:val="en-GB"/>
              </w:rPr>
            </w:pPr>
            <w:r w:rsidRPr="00727F09">
              <w:rPr>
                <w:sz w:val="16"/>
                <w:szCs w:val="16"/>
                <w:lang w:val="en-GB"/>
              </w:rPr>
              <w:t>Maximum water capacity</w:t>
            </w:r>
          </w:p>
        </w:tc>
        <w:tc>
          <w:tcPr>
            <w:tcW w:w="2218" w:type="dxa"/>
            <w:tcBorders>
              <w:top w:val="nil"/>
              <w:bottom w:val="nil"/>
            </w:tcBorders>
            <w:shd w:val="clear" w:color="auto" w:fill="auto"/>
          </w:tcPr>
          <w:p w14:paraId="67ACD3F1" w14:textId="3DA9CA7A" w:rsidR="00AB4C37" w:rsidRPr="00727F09" w:rsidRDefault="00AB4C37" w:rsidP="00AB4C37">
            <w:pPr>
              <w:pStyle w:val="CETBodytext"/>
              <w:jc w:val="center"/>
              <w:rPr>
                <w:sz w:val="16"/>
                <w:szCs w:val="16"/>
                <w:lang w:val="en-GB"/>
              </w:rPr>
            </w:pPr>
            <w:r w:rsidRPr="00727F09">
              <w:rPr>
                <w:sz w:val="16"/>
                <w:szCs w:val="16"/>
                <w:lang w:val="en-GB"/>
              </w:rPr>
              <w:t>Gas Type</w:t>
            </w:r>
          </w:p>
        </w:tc>
      </w:tr>
      <w:tr w:rsidR="00AB4C37" w:rsidRPr="00727F09" w14:paraId="09150CD9" w14:textId="77777777" w:rsidTr="00D7285D">
        <w:tc>
          <w:tcPr>
            <w:tcW w:w="2425" w:type="dxa"/>
            <w:tcBorders>
              <w:top w:val="nil"/>
              <w:bottom w:val="nil"/>
            </w:tcBorders>
            <w:shd w:val="clear" w:color="auto" w:fill="auto"/>
          </w:tcPr>
          <w:p w14:paraId="6A27D802" w14:textId="104005FF" w:rsidR="00AB4C37" w:rsidRPr="00727F09" w:rsidRDefault="00AB4C37" w:rsidP="00AB4C37">
            <w:pPr>
              <w:pStyle w:val="CETBodytext"/>
              <w:jc w:val="center"/>
              <w:rPr>
                <w:sz w:val="16"/>
                <w:szCs w:val="16"/>
                <w:lang w:val="en-GB"/>
              </w:rPr>
            </w:pPr>
            <w:r w:rsidRPr="00727F09">
              <w:rPr>
                <w:sz w:val="16"/>
                <w:szCs w:val="16"/>
                <w:lang w:val="en-GB"/>
              </w:rPr>
              <w:t>Cylinders</w:t>
            </w:r>
          </w:p>
        </w:tc>
        <w:tc>
          <w:tcPr>
            <w:tcW w:w="2820" w:type="dxa"/>
            <w:tcBorders>
              <w:top w:val="nil"/>
              <w:bottom w:val="nil"/>
            </w:tcBorders>
            <w:shd w:val="clear" w:color="auto" w:fill="auto"/>
          </w:tcPr>
          <w:p w14:paraId="1596B678" w14:textId="5A0058CD" w:rsidR="00AB4C37" w:rsidRPr="00727F09" w:rsidRDefault="00AB4C37" w:rsidP="00AB4C37">
            <w:pPr>
              <w:pStyle w:val="CETBodytext"/>
              <w:jc w:val="center"/>
              <w:rPr>
                <w:sz w:val="16"/>
                <w:szCs w:val="16"/>
                <w:lang w:val="en-GB"/>
              </w:rPr>
            </w:pPr>
            <w:r w:rsidRPr="00727F09">
              <w:rPr>
                <w:sz w:val="16"/>
                <w:szCs w:val="16"/>
                <w:lang w:val="en-GB"/>
              </w:rPr>
              <w:t>&lt; 150 l</w:t>
            </w:r>
          </w:p>
        </w:tc>
        <w:tc>
          <w:tcPr>
            <w:tcW w:w="2502" w:type="dxa"/>
            <w:gridSpan w:val="2"/>
            <w:tcBorders>
              <w:top w:val="nil"/>
              <w:bottom w:val="nil"/>
            </w:tcBorders>
            <w:shd w:val="clear" w:color="auto" w:fill="auto"/>
          </w:tcPr>
          <w:p w14:paraId="51E2E918" w14:textId="79B90F8A" w:rsidR="00AB4C37" w:rsidRPr="00727F09" w:rsidRDefault="00AB4C37" w:rsidP="00AB4C37">
            <w:pPr>
              <w:pStyle w:val="CETBodytext"/>
              <w:jc w:val="center"/>
              <w:rPr>
                <w:sz w:val="16"/>
                <w:szCs w:val="16"/>
                <w:lang w:val="en-GB"/>
              </w:rPr>
            </w:pPr>
            <w:r w:rsidRPr="00727F09">
              <w:rPr>
                <w:sz w:val="16"/>
                <w:szCs w:val="16"/>
                <w:lang w:val="en-GB"/>
              </w:rPr>
              <w:t>Compressed, Liquefied, Dissolved</w:t>
            </w:r>
          </w:p>
        </w:tc>
      </w:tr>
      <w:tr w:rsidR="00AB4C37" w:rsidRPr="00727F09" w14:paraId="74B19A1B" w14:textId="77777777" w:rsidTr="00D7285D">
        <w:tc>
          <w:tcPr>
            <w:tcW w:w="2425" w:type="dxa"/>
            <w:tcBorders>
              <w:top w:val="nil"/>
              <w:bottom w:val="nil"/>
            </w:tcBorders>
            <w:shd w:val="clear" w:color="auto" w:fill="auto"/>
          </w:tcPr>
          <w:p w14:paraId="4CB42FD2" w14:textId="0332C5E8" w:rsidR="00AB4C37" w:rsidRPr="00727F09" w:rsidRDefault="00AB4C37" w:rsidP="00AB4C37">
            <w:pPr>
              <w:pStyle w:val="CETBodytext"/>
              <w:jc w:val="center"/>
              <w:rPr>
                <w:sz w:val="16"/>
                <w:szCs w:val="16"/>
                <w:lang w:val="en-GB"/>
              </w:rPr>
            </w:pPr>
            <w:r w:rsidRPr="00727F09">
              <w:rPr>
                <w:sz w:val="16"/>
                <w:szCs w:val="16"/>
                <w:lang w:val="en-GB"/>
              </w:rPr>
              <w:t>Tubes</w:t>
            </w:r>
          </w:p>
        </w:tc>
        <w:tc>
          <w:tcPr>
            <w:tcW w:w="2820" w:type="dxa"/>
            <w:tcBorders>
              <w:top w:val="nil"/>
              <w:bottom w:val="nil"/>
            </w:tcBorders>
            <w:shd w:val="clear" w:color="auto" w:fill="auto"/>
          </w:tcPr>
          <w:p w14:paraId="379B601C" w14:textId="6559E44B" w:rsidR="00AB4C37" w:rsidRPr="00727F09" w:rsidRDefault="00AB4C37" w:rsidP="00AB4C37">
            <w:pPr>
              <w:pStyle w:val="CETBodytext"/>
              <w:jc w:val="center"/>
              <w:rPr>
                <w:sz w:val="16"/>
                <w:szCs w:val="16"/>
                <w:lang w:val="en-GB"/>
              </w:rPr>
            </w:pPr>
            <w:r w:rsidRPr="00727F09">
              <w:rPr>
                <w:sz w:val="16"/>
                <w:szCs w:val="16"/>
                <w:lang w:val="en-GB"/>
              </w:rPr>
              <w:t xml:space="preserve">150 </w:t>
            </w:r>
            <w:r w:rsidRPr="00727F09">
              <w:rPr>
                <w:rFonts w:cs="Arial"/>
                <w:sz w:val="16"/>
                <w:szCs w:val="16"/>
                <w:lang w:val="en-GB"/>
              </w:rPr>
              <w:t>÷</w:t>
            </w:r>
            <w:r w:rsidRPr="00727F09">
              <w:rPr>
                <w:sz w:val="16"/>
                <w:szCs w:val="16"/>
                <w:lang w:val="en-GB"/>
              </w:rPr>
              <w:t xml:space="preserve"> 3000 l</w:t>
            </w:r>
          </w:p>
        </w:tc>
        <w:tc>
          <w:tcPr>
            <w:tcW w:w="2502" w:type="dxa"/>
            <w:gridSpan w:val="2"/>
            <w:tcBorders>
              <w:top w:val="nil"/>
              <w:bottom w:val="nil"/>
            </w:tcBorders>
            <w:shd w:val="clear" w:color="auto" w:fill="auto"/>
          </w:tcPr>
          <w:p w14:paraId="5EC2DD53" w14:textId="57EF194B" w:rsidR="00AB4C37" w:rsidRPr="00727F09" w:rsidRDefault="00AB4C37" w:rsidP="00AB4C37">
            <w:pPr>
              <w:pStyle w:val="CETBodytext"/>
              <w:jc w:val="center"/>
              <w:rPr>
                <w:sz w:val="16"/>
                <w:szCs w:val="16"/>
                <w:lang w:val="en-GB"/>
              </w:rPr>
            </w:pPr>
            <w:r w:rsidRPr="00727F09">
              <w:rPr>
                <w:sz w:val="16"/>
                <w:szCs w:val="16"/>
                <w:lang w:val="en-GB"/>
              </w:rPr>
              <w:t>Compressed, Liquefied, Dissolved</w:t>
            </w:r>
          </w:p>
        </w:tc>
      </w:tr>
      <w:tr w:rsidR="00AB4C37" w:rsidRPr="00727F09" w14:paraId="7703B8B5" w14:textId="77777777" w:rsidTr="00D7285D">
        <w:tc>
          <w:tcPr>
            <w:tcW w:w="2425" w:type="dxa"/>
            <w:tcBorders>
              <w:top w:val="nil"/>
              <w:bottom w:val="nil"/>
            </w:tcBorders>
            <w:shd w:val="clear" w:color="auto" w:fill="auto"/>
          </w:tcPr>
          <w:p w14:paraId="66E673AB" w14:textId="4DDF0695" w:rsidR="00AB4C37" w:rsidRPr="00727F09" w:rsidRDefault="00AB4C37" w:rsidP="00AB4C37">
            <w:pPr>
              <w:pStyle w:val="CETBodytext"/>
              <w:jc w:val="center"/>
              <w:rPr>
                <w:sz w:val="16"/>
                <w:szCs w:val="16"/>
                <w:lang w:val="en-GB"/>
              </w:rPr>
            </w:pPr>
            <w:r w:rsidRPr="00727F09">
              <w:rPr>
                <w:sz w:val="16"/>
                <w:szCs w:val="16"/>
                <w:lang w:val="en-GB"/>
              </w:rPr>
              <w:t>Barrels</w:t>
            </w:r>
          </w:p>
        </w:tc>
        <w:tc>
          <w:tcPr>
            <w:tcW w:w="2820" w:type="dxa"/>
            <w:tcBorders>
              <w:top w:val="nil"/>
              <w:bottom w:val="nil"/>
            </w:tcBorders>
            <w:shd w:val="clear" w:color="auto" w:fill="auto"/>
          </w:tcPr>
          <w:p w14:paraId="31F062C1" w14:textId="0ADE9264" w:rsidR="00AB4C37" w:rsidRPr="00727F09" w:rsidRDefault="00AB4C37" w:rsidP="00AB4C37">
            <w:pPr>
              <w:pStyle w:val="CETBodytext"/>
              <w:jc w:val="center"/>
              <w:rPr>
                <w:sz w:val="16"/>
                <w:szCs w:val="16"/>
                <w:lang w:val="en-GB"/>
              </w:rPr>
            </w:pPr>
            <w:r w:rsidRPr="00727F09">
              <w:rPr>
                <w:sz w:val="16"/>
                <w:szCs w:val="16"/>
                <w:lang w:val="en-GB"/>
              </w:rPr>
              <w:t xml:space="preserve">150 </w:t>
            </w:r>
            <w:r w:rsidRPr="00727F09">
              <w:rPr>
                <w:rFonts w:cs="Arial"/>
                <w:sz w:val="16"/>
                <w:szCs w:val="16"/>
                <w:lang w:val="en-GB"/>
              </w:rPr>
              <w:t>÷</w:t>
            </w:r>
            <w:r w:rsidRPr="00727F09">
              <w:rPr>
                <w:sz w:val="16"/>
                <w:szCs w:val="16"/>
                <w:lang w:val="en-GB"/>
              </w:rPr>
              <w:t xml:space="preserve"> 3000 l</w:t>
            </w:r>
          </w:p>
        </w:tc>
        <w:tc>
          <w:tcPr>
            <w:tcW w:w="2502" w:type="dxa"/>
            <w:gridSpan w:val="2"/>
            <w:tcBorders>
              <w:top w:val="nil"/>
              <w:bottom w:val="nil"/>
            </w:tcBorders>
            <w:shd w:val="clear" w:color="auto" w:fill="auto"/>
          </w:tcPr>
          <w:p w14:paraId="6E0954B6" w14:textId="0AAA4677" w:rsidR="00AB4C37" w:rsidRPr="00727F09" w:rsidRDefault="00AB4C37" w:rsidP="00AB4C37">
            <w:pPr>
              <w:pStyle w:val="CETBodytext"/>
              <w:jc w:val="center"/>
              <w:rPr>
                <w:sz w:val="16"/>
                <w:szCs w:val="16"/>
                <w:lang w:val="en-GB"/>
              </w:rPr>
            </w:pPr>
            <w:r w:rsidRPr="00727F09">
              <w:rPr>
                <w:sz w:val="16"/>
                <w:szCs w:val="16"/>
                <w:lang w:val="en-GB"/>
              </w:rPr>
              <w:t>Compressed, Liquefied, Dissolved</w:t>
            </w:r>
          </w:p>
        </w:tc>
      </w:tr>
      <w:tr w:rsidR="00AB4C37" w:rsidRPr="00727F09" w14:paraId="35D5AA53" w14:textId="77777777" w:rsidTr="00D7285D">
        <w:tc>
          <w:tcPr>
            <w:tcW w:w="2425" w:type="dxa"/>
            <w:tcBorders>
              <w:top w:val="nil"/>
              <w:bottom w:val="nil"/>
            </w:tcBorders>
            <w:shd w:val="clear" w:color="auto" w:fill="auto"/>
          </w:tcPr>
          <w:p w14:paraId="10DAB7E0" w14:textId="0AD10881" w:rsidR="00AB4C37" w:rsidRPr="00727F09" w:rsidRDefault="00AB4C37" w:rsidP="00AB4C37">
            <w:pPr>
              <w:pStyle w:val="CETBodytext"/>
              <w:jc w:val="center"/>
              <w:rPr>
                <w:sz w:val="16"/>
                <w:szCs w:val="16"/>
                <w:lang w:val="en-GB"/>
              </w:rPr>
            </w:pPr>
            <w:r w:rsidRPr="00727F09">
              <w:rPr>
                <w:sz w:val="16"/>
                <w:szCs w:val="16"/>
                <w:lang w:val="en-GB"/>
              </w:rPr>
              <w:t>Bundles of cylinders</w:t>
            </w:r>
          </w:p>
        </w:tc>
        <w:tc>
          <w:tcPr>
            <w:tcW w:w="2820" w:type="dxa"/>
            <w:tcBorders>
              <w:top w:val="nil"/>
              <w:bottom w:val="nil"/>
            </w:tcBorders>
            <w:shd w:val="clear" w:color="auto" w:fill="auto"/>
          </w:tcPr>
          <w:p w14:paraId="6A578763" w14:textId="77777777" w:rsidR="00AB4C37" w:rsidRPr="00727F09" w:rsidRDefault="00AB4C37" w:rsidP="00AB4C37">
            <w:pPr>
              <w:pStyle w:val="CETBodytext"/>
              <w:jc w:val="center"/>
              <w:rPr>
                <w:sz w:val="16"/>
                <w:szCs w:val="16"/>
                <w:lang w:val="en-GB"/>
              </w:rPr>
            </w:pPr>
            <w:r w:rsidRPr="00727F09">
              <w:rPr>
                <w:sz w:val="16"/>
                <w:szCs w:val="16"/>
                <w:lang w:val="en-GB"/>
              </w:rPr>
              <w:t>&lt; 3000 l</w:t>
            </w:r>
          </w:p>
          <w:p w14:paraId="31CCC732" w14:textId="55BE527B" w:rsidR="00AB4C37" w:rsidRPr="00727F09" w:rsidRDefault="00AB4C37" w:rsidP="00AB4C37">
            <w:pPr>
              <w:pStyle w:val="CETBodytext"/>
              <w:jc w:val="center"/>
              <w:rPr>
                <w:sz w:val="16"/>
                <w:szCs w:val="16"/>
                <w:lang w:val="en-GB"/>
              </w:rPr>
            </w:pPr>
            <w:r w:rsidRPr="00727F09">
              <w:rPr>
                <w:sz w:val="16"/>
                <w:szCs w:val="16"/>
                <w:lang w:val="en-GB"/>
              </w:rPr>
              <w:t>&lt; 1500 l for toxic</w:t>
            </w:r>
          </w:p>
        </w:tc>
        <w:tc>
          <w:tcPr>
            <w:tcW w:w="2502" w:type="dxa"/>
            <w:gridSpan w:val="2"/>
            <w:tcBorders>
              <w:top w:val="nil"/>
              <w:bottom w:val="nil"/>
            </w:tcBorders>
            <w:shd w:val="clear" w:color="auto" w:fill="auto"/>
          </w:tcPr>
          <w:p w14:paraId="18029332" w14:textId="415DEC24" w:rsidR="00AB4C37" w:rsidRPr="00727F09" w:rsidRDefault="00AB4C37" w:rsidP="00AB4C37">
            <w:pPr>
              <w:pStyle w:val="CETBodytext"/>
              <w:jc w:val="center"/>
              <w:rPr>
                <w:sz w:val="16"/>
                <w:szCs w:val="16"/>
                <w:lang w:val="en-GB"/>
              </w:rPr>
            </w:pPr>
            <w:r w:rsidRPr="00727F09">
              <w:rPr>
                <w:sz w:val="16"/>
                <w:szCs w:val="16"/>
                <w:lang w:val="en-GB"/>
              </w:rPr>
              <w:t>Compressed, Liquefied, Dissolved</w:t>
            </w:r>
          </w:p>
        </w:tc>
      </w:tr>
      <w:tr w:rsidR="00AB4C37" w:rsidRPr="00727F09" w14:paraId="7E13E123" w14:textId="77777777" w:rsidTr="00D7285D">
        <w:tc>
          <w:tcPr>
            <w:tcW w:w="2425" w:type="dxa"/>
            <w:tcBorders>
              <w:top w:val="nil"/>
              <w:bottom w:val="single" w:sz="12" w:space="0" w:color="008000"/>
            </w:tcBorders>
            <w:shd w:val="clear" w:color="auto" w:fill="auto"/>
          </w:tcPr>
          <w:p w14:paraId="13619812" w14:textId="2595B628" w:rsidR="00AB4C37" w:rsidRPr="00727F09" w:rsidRDefault="00AB4C37" w:rsidP="00AB4C37">
            <w:pPr>
              <w:pStyle w:val="CETBodytext"/>
              <w:jc w:val="center"/>
              <w:rPr>
                <w:sz w:val="16"/>
                <w:szCs w:val="16"/>
                <w:lang w:val="en-GB"/>
              </w:rPr>
            </w:pPr>
            <w:r w:rsidRPr="00727F09">
              <w:rPr>
                <w:sz w:val="16"/>
                <w:szCs w:val="16"/>
                <w:lang w:val="en-GB"/>
              </w:rPr>
              <w:t>Cryogenic receptacles</w:t>
            </w:r>
          </w:p>
        </w:tc>
        <w:tc>
          <w:tcPr>
            <w:tcW w:w="2820" w:type="dxa"/>
            <w:tcBorders>
              <w:top w:val="nil"/>
              <w:bottom w:val="single" w:sz="12" w:space="0" w:color="008000"/>
            </w:tcBorders>
            <w:shd w:val="clear" w:color="auto" w:fill="auto"/>
          </w:tcPr>
          <w:p w14:paraId="22139E9E" w14:textId="35704BA5" w:rsidR="00AB4C37" w:rsidRPr="00727F09" w:rsidRDefault="00AB4C37" w:rsidP="00AB4C37">
            <w:pPr>
              <w:pStyle w:val="CETBodytext"/>
              <w:jc w:val="center"/>
              <w:rPr>
                <w:sz w:val="16"/>
                <w:szCs w:val="16"/>
                <w:lang w:val="en-GB"/>
              </w:rPr>
            </w:pPr>
            <w:r w:rsidRPr="00727F09">
              <w:rPr>
                <w:sz w:val="16"/>
                <w:szCs w:val="16"/>
                <w:lang w:val="en-GB"/>
              </w:rPr>
              <w:t>&lt; 1000 l</w:t>
            </w:r>
          </w:p>
        </w:tc>
        <w:tc>
          <w:tcPr>
            <w:tcW w:w="2502" w:type="dxa"/>
            <w:gridSpan w:val="2"/>
            <w:tcBorders>
              <w:top w:val="nil"/>
              <w:bottom w:val="single" w:sz="12" w:space="0" w:color="008000"/>
            </w:tcBorders>
            <w:shd w:val="clear" w:color="auto" w:fill="auto"/>
          </w:tcPr>
          <w:p w14:paraId="65B8D017" w14:textId="248B4436" w:rsidR="00AB4C37" w:rsidRPr="00727F09" w:rsidRDefault="00AB4C37" w:rsidP="00AB4C37">
            <w:pPr>
              <w:pStyle w:val="CETBodytext"/>
              <w:jc w:val="center"/>
              <w:rPr>
                <w:sz w:val="16"/>
                <w:szCs w:val="16"/>
                <w:lang w:val="en-GB"/>
              </w:rPr>
            </w:pPr>
            <w:r w:rsidRPr="00727F09">
              <w:rPr>
                <w:sz w:val="16"/>
                <w:szCs w:val="16"/>
                <w:lang w:val="en-GB"/>
              </w:rPr>
              <w:t>Refrigerated</w:t>
            </w:r>
          </w:p>
        </w:tc>
      </w:tr>
    </w:tbl>
    <w:p w14:paraId="04753E28" w14:textId="77777777" w:rsidR="00C46A56" w:rsidRPr="00727F09" w:rsidRDefault="00C46A56" w:rsidP="00C46A56">
      <w:pPr>
        <w:pStyle w:val="CETBodytext"/>
        <w:rPr>
          <w:lang w:val="en-GB"/>
        </w:rPr>
      </w:pPr>
    </w:p>
    <w:p w14:paraId="2452C3D8" w14:textId="05B741B0" w:rsidR="0042331B" w:rsidRPr="00727F09" w:rsidRDefault="0042331B" w:rsidP="0042331B">
      <w:pPr>
        <w:pStyle w:val="CETBodytext"/>
        <w:rPr>
          <w:lang w:val="en-GB"/>
        </w:rPr>
      </w:pPr>
      <w:r w:rsidRPr="00727F09">
        <w:rPr>
          <w:lang w:val="en-GB"/>
        </w:rPr>
        <w:t xml:space="preserve">What is represented in </w:t>
      </w:r>
      <w:r w:rsidR="004E2EA9">
        <w:rPr>
          <w:lang w:val="en-GB"/>
        </w:rPr>
        <w:t>Table 1</w:t>
      </w:r>
      <w:r w:rsidRPr="00727F09">
        <w:rPr>
          <w:lang w:val="en-GB"/>
        </w:rPr>
        <w:t xml:space="preserve"> refers to ADR but is similarly applicable to the corresponding chapters of the RID and the ADN. For compressed hydrogen (classification code 1F) the periodicity of the tests is 10 years for both cylinders, pipes, drums and packs of cylinders. This periodicity does not apply to pressure vessels made of composite material which normally has a maximum periodicity of 5 years (ADR part 4).</w:t>
      </w:r>
    </w:p>
    <w:p w14:paraId="7FFF0C45" w14:textId="329B9778" w:rsidR="0042331B" w:rsidRPr="00727F09" w:rsidRDefault="00E53C81" w:rsidP="0042331B">
      <w:pPr>
        <w:pStyle w:val="CETBodytext"/>
        <w:rPr>
          <w:lang w:val="en-GB"/>
        </w:rPr>
      </w:pPr>
      <w:r w:rsidRPr="00727F09">
        <w:rPr>
          <w:lang w:val="en-GB"/>
        </w:rPr>
        <w:t>According to</w:t>
      </w:r>
      <w:r w:rsidR="0042331B" w:rsidRPr="00727F09">
        <w:rPr>
          <w:lang w:val="en-GB"/>
        </w:rPr>
        <w:t xml:space="preserve"> point 6.2.1.6 ADR, refillable pressure </w:t>
      </w:r>
      <w:r w:rsidR="00310CE0" w:rsidRPr="00727F09">
        <w:rPr>
          <w:lang w:val="en-GB"/>
        </w:rPr>
        <w:t>receptacles</w:t>
      </w:r>
      <w:r w:rsidR="0042331B" w:rsidRPr="00727F09">
        <w:rPr>
          <w:lang w:val="en-GB"/>
        </w:rPr>
        <w:t xml:space="preserve">, </w:t>
      </w:r>
      <w:r w:rsidR="00310CE0" w:rsidRPr="00727F09">
        <w:rPr>
          <w:lang w:val="en-GB"/>
        </w:rPr>
        <w:t>other than</w:t>
      </w:r>
      <w:r w:rsidR="0042331B" w:rsidRPr="00727F09">
        <w:rPr>
          <w:lang w:val="en-GB"/>
        </w:rPr>
        <w:t xml:space="preserve"> cryogenic </w:t>
      </w:r>
      <w:r w:rsidR="00310CE0" w:rsidRPr="00727F09">
        <w:rPr>
          <w:lang w:val="en-GB"/>
        </w:rPr>
        <w:t>receptacles</w:t>
      </w:r>
      <w:r w:rsidR="0042331B" w:rsidRPr="00727F09">
        <w:rPr>
          <w:lang w:val="en-GB"/>
        </w:rPr>
        <w:t xml:space="preserve">, </w:t>
      </w:r>
      <w:r w:rsidR="00310CE0" w:rsidRPr="00727F09">
        <w:rPr>
          <w:lang w:val="en-GB"/>
        </w:rPr>
        <w:t xml:space="preserve">shall be subjected to periodic inspections and test </w:t>
      </w:r>
      <w:r w:rsidR="0042331B" w:rsidRPr="00727F09">
        <w:rPr>
          <w:lang w:val="en-GB"/>
        </w:rPr>
        <w:t xml:space="preserve">by a body authorized by the competent authority, in accordance with the following: a) </w:t>
      </w:r>
      <w:r w:rsidR="00310CE0" w:rsidRPr="00727F09">
        <w:rPr>
          <w:lang w:val="en-GB"/>
        </w:rPr>
        <w:t xml:space="preserve">Check </w:t>
      </w:r>
      <w:r w:rsidR="0042331B" w:rsidRPr="00727F09">
        <w:rPr>
          <w:lang w:val="en-GB"/>
        </w:rPr>
        <w:t>of the external condition of the pressure</w:t>
      </w:r>
      <w:r w:rsidR="00310CE0" w:rsidRPr="00727F09">
        <w:rPr>
          <w:lang w:val="en-GB"/>
        </w:rPr>
        <w:t xml:space="preserve"> receptacles</w:t>
      </w:r>
      <w:r w:rsidR="0042331B" w:rsidRPr="00727F09">
        <w:rPr>
          <w:lang w:val="en-GB"/>
        </w:rPr>
        <w:t xml:space="preserve"> and verification of </w:t>
      </w:r>
      <w:r w:rsidR="0041123C" w:rsidRPr="00727F09">
        <w:rPr>
          <w:lang w:val="en-GB"/>
        </w:rPr>
        <w:t xml:space="preserve">the </w:t>
      </w:r>
      <w:r w:rsidR="0042331B" w:rsidRPr="00727F09">
        <w:rPr>
          <w:lang w:val="en-GB"/>
        </w:rPr>
        <w:t>equipment and</w:t>
      </w:r>
      <w:r w:rsidR="00310CE0" w:rsidRPr="00727F09">
        <w:rPr>
          <w:lang w:val="en-GB"/>
        </w:rPr>
        <w:t xml:space="preserve"> the</w:t>
      </w:r>
      <w:r w:rsidR="0042331B" w:rsidRPr="00727F09">
        <w:rPr>
          <w:lang w:val="en-GB"/>
        </w:rPr>
        <w:t xml:space="preserve"> </w:t>
      </w:r>
      <w:r w:rsidR="0041123C" w:rsidRPr="00727F09">
        <w:rPr>
          <w:lang w:val="en-GB"/>
        </w:rPr>
        <w:t xml:space="preserve">external </w:t>
      </w:r>
      <w:r w:rsidR="00310CE0" w:rsidRPr="00727F09">
        <w:rPr>
          <w:lang w:val="en-GB"/>
        </w:rPr>
        <w:t>marks</w:t>
      </w:r>
      <w:r w:rsidR="0042331B" w:rsidRPr="00727F09">
        <w:rPr>
          <w:lang w:val="en-GB"/>
        </w:rPr>
        <w:t>; b) Check</w:t>
      </w:r>
      <w:r w:rsidR="00310CE0" w:rsidRPr="00727F09">
        <w:rPr>
          <w:lang w:val="en-GB"/>
        </w:rPr>
        <w:t xml:space="preserve"> of</w:t>
      </w:r>
      <w:r w:rsidR="0042331B" w:rsidRPr="00727F09">
        <w:rPr>
          <w:lang w:val="en-GB"/>
        </w:rPr>
        <w:t xml:space="preserve"> the internal </w:t>
      </w:r>
      <w:r w:rsidR="0041123C" w:rsidRPr="00727F09">
        <w:rPr>
          <w:lang w:val="en-GB"/>
        </w:rPr>
        <w:t>condition</w:t>
      </w:r>
      <w:r w:rsidR="0042331B" w:rsidRPr="00727F09">
        <w:rPr>
          <w:lang w:val="en-GB"/>
        </w:rPr>
        <w:t xml:space="preserve"> of the pressure </w:t>
      </w:r>
      <w:r w:rsidR="00310CE0" w:rsidRPr="00727F09">
        <w:rPr>
          <w:lang w:val="en-GB"/>
        </w:rPr>
        <w:t>receptacles</w:t>
      </w:r>
      <w:r w:rsidR="0042331B" w:rsidRPr="00727F09">
        <w:rPr>
          <w:lang w:val="en-GB"/>
        </w:rPr>
        <w:t xml:space="preserve"> (</w:t>
      </w:r>
      <w:r w:rsidR="00310CE0" w:rsidRPr="00727F09">
        <w:rPr>
          <w:lang w:val="en-GB"/>
        </w:rPr>
        <w:t xml:space="preserve">e.g. internal inspection, verification </w:t>
      </w:r>
      <w:r w:rsidR="0041123C" w:rsidRPr="00727F09">
        <w:rPr>
          <w:lang w:val="en-GB"/>
        </w:rPr>
        <w:t>of</w:t>
      </w:r>
      <w:r w:rsidR="0042331B" w:rsidRPr="00727F09">
        <w:rPr>
          <w:lang w:val="en-GB"/>
        </w:rPr>
        <w:t xml:space="preserve"> minimum wall</w:t>
      </w:r>
      <w:r w:rsidR="00310CE0" w:rsidRPr="00727F09">
        <w:rPr>
          <w:lang w:val="en-GB"/>
        </w:rPr>
        <w:t xml:space="preserve"> thickness</w:t>
      </w:r>
      <w:r w:rsidR="0042331B" w:rsidRPr="00727F09">
        <w:rPr>
          <w:lang w:val="en-GB"/>
        </w:rPr>
        <w:t>); c) Check</w:t>
      </w:r>
      <w:r w:rsidR="00310CE0" w:rsidRPr="00727F09">
        <w:rPr>
          <w:lang w:val="en-GB"/>
        </w:rPr>
        <w:t>ing of</w:t>
      </w:r>
      <w:r w:rsidR="0042331B" w:rsidRPr="00727F09">
        <w:rPr>
          <w:lang w:val="en-GB"/>
        </w:rPr>
        <w:t xml:space="preserve"> the thread </w:t>
      </w:r>
      <w:r w:rsidR="00B621DB" w:rsidRPr="00727F09">
        <w:rPr>
          <w:lang w:val="en-GB"/>
        </w:rPr>
        <w:t xml:space="preserve">either: </w:t>
      </w:r>
      <w:r w:rsidR="0042331B" w:rsidRPr="00727F09">
        <w:rPr>
          <w:lang w:val="en-GB"/>
        </w:rPr>
        <w:t xml:space="preserve">if there </w:t>
      </w:r>
      <w:r w:rsidR="00B621DB" w:rsidRPr="00727F09">
        <w:rPr>
          <w:lang w:val="en-GB"/>
        </w:rPr>
        <w:t>is evidence of</w:t>
      </w:r>
      <w:r w:rsidR="0042331B" w:rsidRPr="00727F09">
        <w:rPr>
          <w:lang w:val="en-GB"/>
        </w:rPr>
        <w:t xml:space="preserve"> corrosion or if the </w:t>
      </w:r>
      <w:r w:rsidR="00B621DB" w:rsidRPr="00727F09">
        <w:rPr>
          <w:lang w:val="en-GB"/>
        </w:rPr>
        <w:t>closures or other service equipment are removed;</w:t>
      </w:r>
      <w:r w:rsidR="0042331B" w:rsidRPr="00727F09">
        <w:rPr>
          <w:lang w:val="en-GB"/>
        </w:rPr>
        <w:t xml:space="preserve"> d) </w:t>
      </w:r>
      <w:r w:rsidR="00B621DB" w:rsidRPr="00727F09">
        <w:rPr>
          <w:lang w:val="en-GB"/>
        </w:rPr>
        <w:t>A h</w:t>
      </w:r>
      <w:r w:rsidR="0042331B" w:rsidRPr="00727F09">
        <w:rPr>
          <w:lang w:val="en-GB"/>
        </w:rPr>
        <w:t>ydraulic pressure test</w:t>
      </w:r>
      <w:r w:rsidR="00B621DB" w:rsidRPr="00727F09">
        <w:rPr>
          <w:lang w:val="en-GB"/>
        </w:rPr>
        <w:t xml:space="preserve"> of the pressure receptacle shell,</w:t>
      </w:r>
      <w:r w:rsidR="0042331B" w:rsidRPr="00727F09">
        <w:rPr>
          <w:lang w:val="en-GB"/>
        </w:rPr>
        <w:t xml:space="preserve"> and, if necessary, </w:t>
      </w:r>
      <w:r w:rsidR="00B621DB" w:rsidRPr="00727F09">
        <w:rPr>
          <w:lang w:val="en-GB"/>
        </w:rPr>
        <w:t xml:space="preserve">verification of the </w:t>
      </w:r>
      <w:r w:rsidR="0042331B" w:rsidRPr="00727F09">
        <w:rPr>
          <w:lang w:val="en-GB"/>
        </w:rPr>
        <w:t xml:space="preserve">characteristics </w:t>
      </w:r>
      <w:r w:rsidR="00B621DB" w:rsidRPr="00727F09">
        <w:rPr>
          <w:lang w:val="en-GB"/>
        </w:rPr>
        <w:t>of the material by suitable test</w:t>
      </w:r>
      <w:r w:rsidR="0042331B" w:rsidRPr="00727F09">
        <w:rPr>
          <w:lang w:val="en-GB"/>
        </w:rPr>
        <w:t>.</w:t>
      </w:r>
    </w:p>
    <w:p w14:paraId="3052EAB5" w14:textId="7D7A216F" w:rsidR="0042331B" w:rsidRPr="00727F09" w:rsidRDefault="0042331B" w:rsidP="0042331B">
      <w:pPr>
        <w:pStyle w:val="CETBodytext"/>
        <w:rPr>
          <w:lang w:val="en-GB"/>
        </w:rPr>
      </w:pPr>
      <w:r w:rsidRPr="00727F09">
        <w:rPr>
          <w:lang w:val="en-GB"/>
        </w:rPr>
        <w:t xml:space="preserve">Pursuant to 6.2.3.5.2. </w:t>
      </w:r>
      <w:r w:rsidR="0005600B" w:rsidRPr="00727F09">
        <w:rPr>
          <w:lang w:val="en-GB"/>
        </w:rPr>
        <w:t>ADR</w:t>
      </w:r>
      <w:r w:rsidRPr="00727F09">
        <w:rPr>
          <w:lang w:val="en-GB"/>
        </w:rPr>
        <w:t xml:space="preserve"> closed cryogenic </w:t>
      </w:r>
      <w:r w:rsidR="00505822" w:rsidRPr="00727F09">
        <w:rPr>
          <w:lang w:val="en-GB"/>
        </w:rPr>
        <w:t xml:space="preserve">receptacles </w:t>
      </w:r>
      <w:r w:rsidR="0041123C" w:rsidRPr="00727F09">
        <w:rPr>
          <w:lang w:val="en-GB"/>
        </w:rPr>
        <w:t>shall</w:t>
      </w:r>
      <w:r w:rsidRPr="00727F09">
        <w:rPr>
          <w:lang w:val="en-GB"/>
        </w:rPr>
        <w:t xml:space="preserve"> be subjected to periodic </w:t>
      </w:r>
      <w:r w:rsidR="00505822" w:rsidRPr="00727F09">
        <w:rPr>
          <w:lang w:val="en-GB"/>
        </w:rPr>
        <w:t>inspection</w:t>
      </w:r>
      <w:r w:rsidRPr="00727F09">
        <w:rPr>
          <w:lang w:val="en-GB"/>
        </w:rPr>
        <w:t xml:space="preserve">s and tests </w:t>
      </w:r>
      <w:r w:rsidR="00505822" w:rsidRPr="00727F09">
        <w:rPr>
          <w:lang w:val="en-GB"/>
        </w:rPr>
        <w:t xml:space="preserve">in </w:t>
      </w:r>
      <w:r w:rsidRPr="00727F09">
        <w:rPr>
          <w:lang w:val="en-GB"/>
        </w:rPr>
        <w:t>accord</w:t>
      </w:r>
      <w:r w:rsidR="00505822" w:rsidRPr="00727F09">
        <w:rPr>
          <w:lang w:val="en-GB"/>
        </w:rPr>
        <w:t>ance with</w:t>
      </w:r>
      <w:r w:rsidRPr="00727F09">
        <w:rPr>
          <w:lang w:val="en-GB"/>
        </w:rPr>
        <w:t xml:space="preserve"> the periodicity (at least every 10 years) defined in packing instruction P203 of 4.1.4.1 ADR, in accordance with the following: a) C</w:t>
      </w:r>
      <w:r w:rsidR="0041123C" w:rsidRPr="00727F09">
        <w:rPr>
          <w:lang w:val="en-GB"/>
        </w:rPr>
        <w:t>heck</w:t>
      </w:r>
      <w:r w:rsidR="00505822" w:rsidRPr="00727F09">
        <w:rPr>
          <w:lang w:val="en-GB"/>
        </w:rPr>
        <w:t xml:space="preserve"> of</w:t>
      </w:r>
      <w:r w:rsidRPr="00727F09">
        <w:rPr>
          <w:lang w:val="en-GB"/>
        </w:rPr>
        <w:t xml:space="preserve"> the external condition of the </w:t>
      </w:r>
      <w:r w:rsidR="00505822" w:rsidRPr="00727F09">
        <w:rPr>
          <w:lang w:val="en-GB"/>
        </w:rPr>
        <w:t>pressure receptacle</w:t>
      </w:r>
      <w:r w:rsidRPr="00727F09">
        <w:rPr>
          <w:lang w:val="en-GB"/>
        </w:rPr>
        <w:t xml:space="preserve"> and verif</w:t>
      </w:r>
      <w:r w:rsidR="00505822" w:rsidRPr="00727F09">
        <w:rPr>
          <w:lang w:val="en-GB"/>
        </w:rPr>
        <w:t>ication of</w:t>
      </w:r>
      <w:r w:rsidRPr="00727F09">
        <w:rPr>
          <w:lang w:val="en-GB"/>
        </w:rPr>
        <w:t xml:space="preserve"> </w:t>
      </w:r>
      <w:r w:rsidR="0041123C" w:rsidRPr="00727F09">
        <w:rPr>
          <w:lang w:val="en-GB"/>
        </w:rPr>
        <w:t xml:space="preserve">the </w:t>
      </w:r>
      <w:r w:rsidR="00505822" w:rsidRPr="00727F09">
        <w:rPr>
          <w:lang w:val="en-GB"/>
        </w:rPr>
        <w:t xml:space="preserve">service </w:t>
      </w:r>
      <w:r w:rsidRPr="00727F09">
        <w:rPr>
          <w:lang w:val="en-GB"/>
        </w:rPr>
        <w:t xml:space="preserve">equipment and </w:t>
      </w:r>
      <w:r w:rsidR="0041123C" w:rsidRPr="00727F09">
        <w:rPr>
          <w:lang w:val="en-GB"/>
        </w:rPr>
        <w:t xml:space="preserve">external </w:t>
      </w:r>
      <w:r w:rsidR="00505822" w:rsidRPr="00727F09">
        <w:rPr>
          <w:lang w:val="en-GB"/>
        </w:rPr>
        <w:t>marks</w:t>
      </w:r>
      <w:r w:rsidRPr="00727F09">
        <w:rPr>
          <w:lang w:val="en-GB"/>
        </w:rPr>
        <w:t xml:space="preserve">; b) </w:t>
      </w:r>
      <w:r w:rsidR="00505822" w:rsidRPr="00727F09">
        <w:rPr>
          <w:lang w:val="en-GB"/>
        </w:rPr>
        <w:t>The l</w:t>
      </w:r>
      <w:r w:rsidRPr="00727F09">
        <w:rPr>
          <w:lang w:val="en-GB"/>
        </w:rPr>
        <w:t>eak</w:t>
      </w:r>
      <w:r w:rsidR="00505822" w:rsidRPr="00727F09">
        <w:rPr>
          <w:lang w:val="en-GB"/>
        </w:rPr>
        <w:t>proofness</w:t>
      </w:r>
      <w:r w:rsidRPr="00727F09">
        <w:rPr>
          <w:lang w:val="en-GB"/>
        </w:rPr>
        <w:t xml:space="preserve"> test. Closed cryogenic vessels must be equipped with at least one decompression device which must be tested at least every 5 years.</w:t>
      </w:r>
    </w:p>
    <w:p w14:paraId="3B4E55AC" w14:textId="64FF1D2E" w:rsidR="0042331B" w:rsidRPr="00727F09" w:rsidRDefault="0042331B" w:rsidP="0042331B">
      <w:pPr>
        <w:pStyle w:val="CETBodytext"/>
        <w:rPr>
          <w:lang w:val="en-GB"/>
        </w:rPr>
      </w:pPr>
      <w:r w:rsidRPr="00727F09">
        <w:rPr>
          <w:lang w:val="en-GB"/>
        </w:rPr>
        <w:t xml:space="preserve">For </w:t>
      </w:r>
      <w:r w:rsidR="0041123C" w:rsidRPr="00727F09">
        <w:rPr>
          <w:lang w:val="en-GB"/>
        </w:rPr>
        <w:t>stationary</w:t>
      </w:r>
      <w:r w:rsidRPr="00727F09">
        <w:rPr>
          <w:lang w:val="en-GB"/>
        </w:rPr>
        <w:t xml:space="preserve"> tanks (tank vehicles), de</w:t>
      </w:r>
      <w:r w:rsidR="0041123C" w:rsidRPr="00727F09">
        <w:rPr>
          <w:lang w:val="en-GB"/>
        </w:rPr>
        <w:t>tachable</w:t>
      </w:r>
      <w:r w:rsidRPr="00727F09">
        <w:rPr>
          <w:lang w:val="en-GB"/>
        </w:rPr>
        <w:t xml:space="preserve"> tanks and battery vehicles, they must </w:t>
      </w:r>
      <w:r w:rsidR="0041123C" w:rsidRPr="00727F09">
        <w:rPr>
          <w:lang w:val="en-GB"/>
        </w:rPr>
        <w:t xml:space="preserve">be subject to </w:t>
      </w:r>
      <w:r w:rsidRPr="00727F09">
        <w:rPr>
          <w:lang w:val="en-GB"/>
        </w:rPr>
        <w:t xml:space="preserve">periodic inspections at least every 6 years. While for tank containers, tank swap bodies and CGEM (multiple element gas containers) must be </w:t>
      </w:r>
      <w:r w:rsidR="0041123C" w:rsidRPr="00727F09">
        <w:rPr>
          <w:lang w:val="en-GB"/>
        </w:rPr>
        <w:t>inspected</w:t>
      </w:r>
      <w:r w:rsidRPr="00727F09">
        <w:rPr>
          <w:lang w:val="en-GB"/>
        </w:rPr>
        <w:t xml:space="preserve"> at least every 5 years. These periodic inspections must include: - an examination of the internal and external condition; - a leak test of the tank with the equipment in accordance with </w:t>
      </w:r>
      <w:r w:rsidR="00ED4C0F" w:rsidRPr="00727F09">
        <w:rPr>
          <w:lang w:val="en-GB"/>
        </w:rPr>
        <w:t>point</w:t>
      </w:r>
      <w:r w:rsidRPr="00727F09">
        <w:rPr>
          <w:lang w:val="en-GB"/>
        </w:rPr>
        <w:t xml:space="preserve"> 6.8.2.4.3 ADR, as well as a </w:t>
      </w:r>
      <w:r w:rsidR="00ED4C0F" w:rsidRPr="00727F09">
        <w:rPr>
          <w:lang w:val="en-GB"/>
        </w:rPr>
        <w:t>verification</w:t>
      </w:r>
      <w:r w:rsidRPr="00727F09">
        <w:rPr>
          <w:lang w:val="en-GB"/>
        </w:rPr>
        <w:t xml:space="preserve"> of the </w:t>
      </w:r>
      <w:r w:rsidR="00ED4C0F" w:rsidRPr="00727F09">
        <w:rPr>
          <w:lang w:val="en-GB"/>
        </w:rPr>
        <w:t>proper</w:t>
      </w:r>
      <w:r w:rsidRPr="00727F09">
        <w:rPr>
          <w:lang w:val="en-GB"/>
        </w:rPr>
        <w:t xml:space="preserve"> functioning of each equipment; - a hydraulic pressure test. </w:t>
      </w:r>
      <w:r w:rsidR="00ED4C0F" w:rsidRPr="00727F09">
        <w:rPr>
          <w:lang w:val="en-GB"/>
        </w:rPr>
        <w:t>In addition</w:t>
      </w:r>
      <w:r w:rsidRPr="00727F09">
        <w:rPr>
          <w:lang w:val="en-GB"/>
        </w:rPr>
        <w:t xml:space="preserve">, tanks and their equipment must </w:t>
      </w:r>
      <w:r w:rsidR="00ED4C0F" w:rsidRPr="00727F09">
        <w:rPr>
          <w:lang w:val="en-GB"/>
        </w:rPr>
        <w:t>undergo</w:t>
      </w:r>
      <w:r w:rsidRPr="00727F09">
        <w:rPr>
          <w:lang w:val="en-GB"/>
        </w:rPr>
        <w:t xml:space="preserve"> intermediate inspections at least every 3 </w:t>
      </w:r>
      <w:bookmarkStart w:id="3" w:name="_Hlk191205382"/>
      <w:r w:rsidRPr="00727F09">
        <w:rPr>
          <w:lang w:val="en-GB"/>
        </w:rPr>
        <w:t>years (or two and a half years for tank containers, tank swap bodies and MEGCs). These inter</w:t>
      </w:r>
      <w:r w:rsidR="00ED4C0F" w:rsidRPr="00727F09">
        <w:rPr>
          <w:lang w:val="en-GB"/>
        </w:rPr>
        <w:t>im</w:t>
      </w:r>
      <w:r w:rsidRPr="00727F09">
        <w:rPr>
          <w:lang w:val="en-GB"/>
        </w:rPr>
        <w:t xml:space="preserve"> inspections must include a leak test of the tank with its equipment and a check </w:t>
      </w:r>
      <w:r w:rsidR="00ED4C0F" w:rsidRPr="00727F09">
        <w:rPr>
          <w:lang w:val="en-GB"/>
        </w:rPr>
        <w:t>that</w:t>
      </w:r>
      <w:r w:rsidRPr="00727F09">
        <w:rPr>
          <w:lang w:val="en-GB"/>
        </w:rPr>
        <w:t xml:space="preserve"> all the equipment</w:t>
      </w:r>
      <w:r w:rsidR="00ED4C0F" w:rsidRPr="00727F09">
        <w:rPr>
          <w:lang w:val="en-GB"/>
        </w:rPr>
        <w:t xml:space="preserve"> is functioning properly</w:t>
      </w:r>
      <w:r w:rsidRPr="00727F09">
        <w:rPr>
          <w:lang w:val="en-GB"/>
        </w:rPr>
        <w:t xml:space="preserve">. The tank must therefore be subjected </w:t>
      </w:r>
      <w:bookmarkEnd w:id="3"/>
      <w:r w:rsidRPr="00727F09">
        <w:rPr>
          <w:lang w:val="en-GB"/>
        </w:rPr>
        <w:t>to an effective internal pressure equal to the maximum service pressure.</w:t>
      </w:r>
    </w:p>
    <w:p w14:paraId="7436B141" w14:textId="1B5A6750" w:rsidR="00080269" w:rsidRPr="00727F09" w:rsidRDefault="00080269" w:rsidP="00080269">
      <w:pPr>
        <w:pStyle w:val="CETHeading1"/>
        <w:numPr>
          <w:ilvl w:val="0"/>
          <w:numId w:val="37"/>
        </w:numPr>
        <w:tabs>
          <w:tab w:val="num" w:pos="360"/>
        </w:tabs>
        <w:ind w:left="0" w:firstLine="0"/>
        <w:rPr>
          <w:b w:val="0"/>
          <w:bCs/>
          <w:lang w:val="en-GB"/>
        </w:rPr>
      </w:pPr>
      <w:r w:rsidRPr="00727F09">
        <w:rPr>
          <w:bCs/>
          <w:lang w:val="en-GB"/>
        </w:rPr>
        <w:t>Hydrogen storage facilities covered by the Seveso Directive</w:t>
      </w:r>
    </w:p>
    <w:p w14:paraId="0B419DAA" w14:textId="0BAD93AB" w:rsidR="00080269" w:rsidRPr="00727F09" w:rsidRDefault="00080269" w:rsidP="00080269">
      <w:pPr>
        <w:pStyle w:val="CETBodytext"/>
        <w:rPr>
          <w:lang w:val="en-GB"/>
        </w:rPr>
      </w:pPr>
      <w:r w:rsidRPr="00727F09">
        <w:rPr>
          <w:lang w:val="en-GB"/>
        </w:rPr>
        <w:t>When quantities of H</w:t>
      </w:r>
      <w:r w:rsidRPr="00727F09">
        <w:rPr>
          <w:vertAlign w:val="subscript"/>
          <w:lang w:val="en-GB"/>
        </w:rPr>
        <w:t>2</w:t>
      </w:r>
      <w:r w:rsidRPr="00727F09">
        <w:rPr>
          <w:lang w:val="en-GB"/>
        </w:rPr>
        <w:t xml:space="preserve"> in storage exceed certain thresholds, the European Directive 2012/18/EU (Seveso) on the control of major accidents involving dangerous substances should be </w:t>
      </w:r>
      <w:proofErr w:type="gramStart"/>
      <w:r w:rsidRPr="00727F09">
        <w:rPr>
          <w:lang w:val="en-GB"/>
        </w:rPr>
        <w:t>taken into account</w:t>
      </w:r>
      <w:proofErr w:type="gramEnd"/>
      <w:r w:rsidRPr="00727F09">
        <w:rPr>
          <w:lang w:val="en-GB"/>
        </w:rPr>
        <w:t>. A "major accident" is an event involving the release of hazardous substances that can cause serious damage to people, the environment or material property. Major accidents can include explosions, fires or uncontrolled releases of hazardous chemicals into the environment. In the case of quantities of H</w:t>
      </w:r>
      <w:r w:rsidRPr="00727F09">
        <w:rPr>
          <w:vertAlign w:val="subscript"/>
          <w:lang w:val="en-GB"/>
        </w:rPr>
        <w:t>2</w:t>
      </w:r>
      <w:r w:rsidRPr="00727F09">
        <w:rPr>
          <w:lang w:val="en-GB"/>
        </w:rPr>
        <w:t xml:space="preserve"> exceeding 5 tons, reference must be made to the requirements of the Seveso directive for lower threshold deposits. While when the quantity of H</w:t>
      </w:r>
      <w:r w:rsidRPr="00727F09">
        <w:rPr>
          <w:vertAlign w:val="subscript"/>
          <w:lang w:val="en-GB"/>
        </w:rPr>
        <w:t>2</w:t>
      </w:r>
      <w:r w:rsidRPr="00727F09">
        <w:rPr>
          <w:lang w:val="en-GB"/>
        </w:rPr>
        <w:t xml:space="preserve"> is greater than 50 tons, the obligations of the Seveso Directive are among those required for higher threshold deposits. In these cases, </w:t>
      </w:r>
      <w:r w:rsidR="005B47FC" w:rsidRPr="00727F09">
        <w:rPr>
          <w:lang w:val="en-GB"/>
        </w:rPr>
        <w:t>manufactures</w:t>
      </w:r>
      <w:r w:rsidRPr="00727F09">
        <w:rPr>
          <w:lang w:val="en-GB"/>
        </w:rPr>
        <w:t xml:space="preserve"> must identify, describe, analyse and characterise the accident sequences that can lead to a major incident. Each of the accident scenarios identified must be correlated with a summary of the events that may play a role in their triggering, with causes internal or external to the plant: a) operational causes; b) external causes, such as those connected with domino effects; c) natural causes, such as earthquakes (Giannelli et al., 2020) or floods (Muratore et al., 2022), (Muratore et al., 2024). All this is preceded by the carrying out of a preliminary analysis for the identification of the critical units of the H</w:t>
      </w:r>
      <w:r w:rsidRPr="00727F09">
        <w:rPr>
          <w:vertAlign w:val="subscript"/>
          <w:lang w:val="en-GB"/>
        </w:rPr>
        <w:t>2</w:t>
      </w:r>
      <w:r w:rsidRPr="00727F09">
        <w:rPr>
          <w:lang w:val="en-GB"/>
        </w:rPr>
        <w:t xml:space="preserve"> storage plant that may be the initiators of major accidents. This legislation also has implications for the population living in the vicinity of these establishments. Plants subject to the Seveso Directive must: a) Send a Notification with detailed information on the plant and the hazardous substances stored therein; b) Draw up a "Safety Report" (for upper threshold establishments) documenting the safety assessments and measures taken to prevent and mitigate the risks of major accidents. c) Develop Internal Emergency Plans or procedures to respond quickly to any incidents. d) Collaborate with local authorities for the drafting of "External Emergency Plans" describing the actions to be taken in the event of an accident with impact outside the plant.</w:t>
      </w:r>
    </w:p>
    <w:p w14:paraId="64F9FD32" w14:textId="125827B1" w:rsidR="00080269" w:rsidRPr="00727F09" w:rsidRDefault="00080269" w:rsidP="004E2EA9">
      <w:pPr>
        <w:pStyle w:val="CETBodytext"/>
        <w:rPr>
          <w:lang w:val="en-GB"/>
        </w:rPr>
      </w:pPr>
      <w:r w:rsidRPr="00727F09">
        <w:rPr>
          <w:lang w:val="en-GB"/>
        </w:rPr>
        <w:lastRenderedPageBreak/>
        <w:t xml:space="preserve">In addition, the </w:t>
      </w:r>
      <w:r w:rsidR="004E2EA9">
        <w:rPr>
          <w:lang w:val="en-GB"/>
        </w:rPr>
        <w:t>operator</w:t>
      </w:r>
      <w:r w:rsidRPr="00727F09">
        <w:rPr>
          <w:lang w:val="en-GB"/>
        </w:rPr>
        <w:t xml:space="preserve"> of these </w:t>
      </w:r>
      <w:r w:rsidR="004E2EA9" w:rsidRPr="009709EE">
        <w:t>establishment</w:t>
      </w:r>
      <w:r w:rsidRPr="00727F09">
        <w:rPr>
          <w:lang w:val="en-GB"/>
        </w:rPr>
        <w:t xml:space="preserve"> prepares and implements the policy of major accidents through suitable means and structures, as well as through a "Safety Management System" proportionate to the dangers of major accidents.</w:t>
      </w:r>
    </w:p>
    <w:p w14:paraId="7A1A2DBE" w14:textId="16719485" w:rsidR="0042331B" w:rsidRPr="00727F09" w:rsidRDefault="0042331B" w:rsidP="00C66F37">
      <w:pPr>
        <w:pStyle w:val="CETHeading1"/>
        <w:numPr>
          <w:ilvl w:val="0"/>
          <w:numId w:val="37"/>
        </w:numPr>
        <w:tabs>
          <w:tab w:val="num" w:pos="360"/>
        </w:tabs>
        <w:ind w:left="0" w:firstLine="0"/>
        <w:rPr>
          <w:b w:val="0"/>
          <w:bCs/>
          <w:lang w:val="en-GB"/>
        </w:rPr>
      </w:pPr>
      <w:r w:rsidRPr="00727F09">
        <w:rPr>
          <w:bCs/>
          <w:lang w:val="en-GB"/>
        </w:rPr>
        <w:t>Conclusion</w:t>
      </w:r>
      <w:r w:rsidR="00270D49" w:rsidRPr="00727F09">
        <w:rPr>
          <w:bCs/>
          <w:lang w:val="en-GB"/>
        </w:rPr>
        <w:t>s</w:t>
      </w:r>
    </w:p>
    <w:p w14:paraId="262DA680" w14:textId="5CE56C87" w:rsidR="0042331B" w:rsidRPr="009709EE" w:rsidRDefault="00A32274" w:rsidP="00A32274">
      <w:pPr>
        <w:pStyle w:val="CETBodytext"/>
      </w:pPr>
      <w:r w:rsidRPr="00727F09">
        <w:rPr>
          <w:lang w:val="en-GB"/>
        </w:rPr>
        <w:t xml:space="preserve">One of the key challenges in the hydrogen sector is its safe storage and transport. The article, starting from the main physical-chemical characteristics of hydrogen, aims to give the essential indications for a design, construction, commissioning and safe use of hydrogen storage tanks (fixed or transportable) that </w:t>
      </w:r>
      <w:proofErr w:type="gramStart"/>
      <w:r w:rsidRPr="00727F09">
        <w:rPr>
          <w:lang w:val="en-GB"/>
        </w:rPr>
        <w:t>takes into account</w:t>
      </w:r>
      <w:proofErr w:type="gramEnd"/>
      <w:r w:rsidRPr="00727F09">
        <w:rPr>
          <w:lang w:val="en-GB"/>
        </w:rPr>
        <w:t xml:space="preserve"> the pressure risk in compliance with European directives and also with reference to Italian legislation. Only with organic management of the risk of pressure can hydrogen leaks and releases be avoided, which are sources of fires and explosions with serious impacts on workers and people who by chance could be near these storages, as well as serious economic damage to the plants. The work addresses the storage and transport of hydrogen as a pressurized gas (GH</w:t>
      </w:r>
      <w:r w:rsidRPr="00727F09">
        <w:rPr>
          <w:vertAlign w:val="subscript"/>
          <w:lang w:val="en-GB"/>
        </w:rPr>
        <w:t>2</w:t>
      </w:r>
      <w:r w:rsidRPr="00727F09">
        <w:rPr>
          <w:lang w:val="en-GB"/>
        </w:rPr>
        <w:t>) and as a low-temperature liquid (LH</w:t>
      </w:r>
      <w:r w:rsidRPr="00727F09">
        <w:rPr>
          <w:vertAlign w:val="subscript"/>
          <w:lang w:val="en-GB"/>
        </w:rPr>
        <w:t>2</w:t>
      </w:r>
      <w:r w:rsidRPr="00727F09">
        <w:rPr>
          <w:lang w:val="en-GB"/>
        </w:rPr>
        <w:t xml:space="preserve">). Finally, the article takes into consideration the </w:t>
      </w:r>
      <w:r w:rsidR="00DD533D" w:rsidRPr="00727F09">
        <w:rPr>
          <w:lang w:val="en-GB"/>
        </w:rPr>
        <w:t>h</w:t>
      </w:r>
      <w:r w:rsidRPr="00727F09">
        <w:rPr>
          <w:lang w:val="en-GB"/>
        </w:rPr>
        <w:t>ydrogen storage that falls under the European Directive 2012/18/EU (Seveso) on the control of major accidents involving dangerous substances when the quantity of H</w:t>
      </w:r>
      <w:r w:rsidRPr="00727F09">
        <w:rPr>
          <w:vertAlign w:val="subscript"/>
          <w:lang w:val="en-GB"/>
        </w:rPr>
        <w:t>2</w:t>
      </w:r>
      <w:r w:rsidRPr="00727F09">
        <w:rPr>
          <w:lang w:val="en-GB"/>
        </w:rPr>
        <w:t xml:space="preserve"> is greater than certain quantities</w:t>
      </w:r>
      <w:r w:rsidR="0042331B" w:rsidRPr="00727F09">
        <w:rPr>
          <w:lang w:val="en-GB"/>
        </w:rPr>
        <w:t>.</w:t>
      </w:r>
      <w:r w:rsidR="00334AB0" w:rsidRPr="00727F09">
        <w:rPr>
          <w:lang w:val="en-GB"/>
        </w:rPr>
        <w:t xml:space="preserve"> It should be noted that this work derives from the institutional experience of the authors in the safety of fixed and transportable pressure equipment, with reference to the European Union standards that manufacturers and users must apply to place on the market and use the same equipment.</w:t>
      </w:r>
      <w:r w:rsidR="00EB1687">
        <w:rPr>
          <w:lang w:val="en-GB"/>
        </w:rPr>
        <w:t xml:space="preserve"> </w:t>
      </w:r>
      <w:r w:rsidR="000F6F0A" w:rsidRPr="009709EE">
        <w:t xml:space="preserve">Manufacturers, </w:t>
      </w:r>
      <w:proofErr w:type="gramStart"/>
      <w:r w:rsidR="000F6F0A" w:rsidRPr="009709EE">
        <w:t>in order to</w:t>
      </w:r>
      <w:proofErr w:type="gramEnd"/>
      <w:r w:rsidR="000F6F0A" w:rsidRPr="009709EE">
        <w:t xml:space="preserve"> place pressure vessels containing hydrogen on the market in the European Union, must comply with PED or TPED directives.</w:t>
      </w:r>
      <w:r w:rsidR="00EB1687" w:rsidRPr="009709EE">
        <w:t xml:space="preserve"> </w:t>
      </w:r>
    </w:p>
    <w:p w14:paraId="48625B6C" w14:textId="77777777" w:rsidR="0042331B" w:rsidRPr="00727F09" w:rsidRDefault="0042331B" w:rsidP="0042331B">
      <w:pPr>
        <w:pStyle w:val="CETReference"/>
      </w:pPr>
      <w:r w:rsidRPr="00727F09">
        <w:t>References</w:t>
      </w:r>
    </w:p>
    <w:p w14:paraId="37AE4634" w14:textId="413E06AE" w:rsidR="00AB5D78" w:rsidRPr="00727F09" w:rsidRDefault="00AB5D78" w:rsidP="00AB5D78">
      <w:pPr>
        <w:pStyle w:val="CETReferencetext"/>
        <w:rPr>
          <w:szCs w:val="18"/>
        </w:rPr>
      </w:pPr>
      <w:r w:rsidRPr="00727F09">
        <w:rPr>
          <w:szCs w:val="18"/>
        </w:rPr>
        <w:t>European Union, 2008, Directive 2008/68/EC of the European Parliament and of the Council of 24 September 2008 on the inland transport of dangerous goods, Official Journal of the European Union, N 260, 30.9.2008, p. 13–59.</w:t>
      </w:r>
    </w:p>
    <w:p w14:paraId="33C7FBE1" w14:textId="77777777" w:rsidR="00AB5D78" w:rsidRPr="00727F09" w:rsidRDefault="00AB5D78" w:rsidP="00AB5D78">
      <w:pPr>
        <w:pStyle w:val="CETReferencetext"/>
        <w:rPr>
          <w:szCs w:val="18"/>
        </w:rPr>
      </w:pPr>
      <w:r w:rsidRPr="00727F09">
        <w:rPr>
          <w:szCs w:val="18"/>
        </w:rPr>
        <w:t>European Union, 2010, Directive 2010/35/EU of the European Parliament and of the Council of 16 June 2010 on transportable pressure equipment and repealing Council Directives 76/767/EEC, 84/525/EEC, 84/526/EEC, 84/527/EEC and 1999/36/EC, Official Journal of the European Union, N 165 del 30.6.2010, p. 1–18.</w:t>
      </w:r>
    </w:p>
    <w:p w14:paraId="1A16A90D" w14:textId="77777777" w:rsidR="00AB5D78" w:rsidRPr="00727F09" w:rsidRDefault="00AB5D78" w:rsidP="00AB5D78">
      <w:pPr>
        <w:pStyle w:val="CETReferencetext"/>
        <w:rPr>
          <w:szCs w:val="18"/>
        </w:rPr>
      </w:pPr>
      <w:r w:rsidRPr="00727F09">
        <w:rPr>
          <w:szCs w:val="18"/>
        </w:rPr>
        <w:t>European Union, 2012, Directive 2012/18/EU of the European Parliament and of the Council of 4 July 2012 on the control of major-accident hazards involving dangerous substances, amending and subsequently repealing Council Directive 96/82/EC (SEVESO III), Official Journal of the European Union, L197, p.1-37.</w:t>
      </w:r>
    </w:p>
    <w:p w14:paraId="7260280B" w14:textId="77777777" w:rsidR="00AB5D78" w:rsidRPr="00727F09" w:rsidRDefault="00AB5D78" w:rsidP="00AB5D78">
      <w:pPr>
        <w:pStyle w:val="CETReferencetext"/>
        <w:rPr>
          <w:szCs w:val="18"/>
        </w:rPr>
      </w:pPr>
      <w:r w:rsidRPr="00727F09">
        <w:rPr>
          <w:szCs w:val="18"/>
        </w:rPr>
        <w:t>European Union, 2014, Directive 2014/68/EU of the European Parliament and of the Council of 15 May 2014 on the harmonization of the laws of the Member States relating to the making available on the market of pressure equipment (recast), Official Journal of the European Union, N. 189, 27.6.2014, p. 164–259.</w:t>
      </w:r>
    </w:p>
    <w:p w14:paraId="2FB44B00" w14:textId="6D553ACE" w:rsidR="00CA291A" w:rsidRPr="00727F09" w:rsidRDefault="00CA291A" w:rsidP="00AB5D78">
      <w:pPr>
        <w:pStyle w:val="CETReferencetext"/>
        <w:rPr>
          <w:szCs w:val="18"/>
        </w:rPr>
      </w:pPr>
      <w:r w:rsidRPr="0085664C">
        <w:rPr>
          <w:szCs w:val="18"/>
          <w:lang w:val="en-US"/>
        </w:rPr>
        <w:t>Giannelli, G., Grillone, G., Muratore, A., Nastasi, V., Sferruzza, G.</w:t>
      </w:r>
      <w:r w:rsidR="0085664C" w:rsidRPr="0085664C">
        <w:rPr>
          <w:szCs w:val="18"/>
          <w:lang w:val="en-US"/>
        </w:rPr>
        <w:t>,</w:t>
      </w:r>
      <w:r w:rsidRPr="0085664C">
        <w:rPr>
          <w:szCs w:val="18"/>
          <w:lang w:val="en-US"/>
        </w:rPr>
        <w:t xml:space="preserve"> </w:t>
      </w:r>
      <w:r w:rsidRPr="00727F09">
        <w:rPr>
          <w:szCs w:val="18"/>
        </w:rPr>
        <w:t xml:space="preserve">Earthquake Natech Risk: Index Method for critical Plants covered by Seveso III Directive. Proceedings of the 30th European Safety and Reliability Conference and 15th Probabilistic Safety Assessment and Management Conference, Venezia, Italy, 2-5 November 2020, ESREL2020-PSAM15 Organizers, pp. 3134-3140. Published by Research Publishing, Singapore. ISBN: 978-981-14-8593-0, </w:t>
      </w:r>
      <w:r w:rsidR="0085664C">
        <w:rPr>
          <w:szCs w:val="18"/>
        </w:rPr>
        <w:t>DOI</w:t>
      </w:r>
      <w:r w:rsidRPr="00727F09">
        <w:rPr>
          <w:szCs w:val="18"/>
        </w:rPr>
        <w:t>: 10.3850/978-981-14-8593-0_3785-cd.</w:t>
      </w:r>
    </w:p>
    <w:p w14:paraId="19C56F86" w14:textId="77777777" w:rsidR="004D139A" w:rsidRPr="00727F09" w:rsidRDefault="004D139A" w:rsidP="004D139A">
      <w:pPr>
        <w:pStyle w:val="CETReferencetext"/>
        <w:rPr>
          <w:szCs w:val="18"/>
        </w:rPr>
      </w:pPr>
      <w:r w:rsidRPr="00727F09">
        <w:rPr>
          <w:szCs w:val="18"/>
        </w:rPr>
        <w:t>HY Responders, 2023, European Train the Trainer Programme for Responders, Safety of liquid hydrogen, Level IV.</w:t>
      </w:r>
    </w:p>
    <w:p w14:paraId="14319111" w14:textId="2A3E6153" w:rsidR="00604177" w:rsidRPr="00727F09" w:rsidRDefault="00604177" w:rsidP="004D139A">
      <w:pPr>
        <w:pStyle w:val="CETReferencetext"/>
        <w:rPr>
          <w:szCs w:val="18"/>
        </w:rPr>
      </w:pPr>
      <w:r w:rsidRPr="00727F09">
        <w:rPr>
          <w:szCs w:val="18"/>
        </w:rPr>
        <w:t xml:space="preserve">Kazancoglu Y, </w:t>
      </w:r>
      <w:proofErr w:type="spellStart"/>
      <w:r w:rsidRPr="00727F09">
        <w:rPr>
          <w:szCs w:val="18"/>
        </w:rPr>
        <w:t>Ozbiltekin</w:t>
      </w:r>
      <w:proofErr w:type="spellEnd"/>
      <w:r w:rsidRPr="00727F09">
        <w:rPr>
          <w:szCs w:val="18"/>
        </w:rPr>
        <w:t>-Pala M., Ozkan-Ozen Y.D., 2021, Prediction and evaluation of greenhouse gas emissions for sustainable road transport within Europe, Sustainable Cities and Society, Vol 70, 102924.</w:t>
      </w:r>
    </w:p>
    <w:p w14:paraId="243506D5" w14:textId="77777777" w:rsidR="0091542A" w:rsidRPr="00727F09" w:rsidRDefault="0091542A" w:rsidP="0091542A">
      <w:pPr>
        <w:pStyle w:val="CETReferencetext"/>
        <w:rPr>
          <w:szCs w:val="18"/>
        </w:rPr>
      </w:pPr>
      <w:r w:rsidRPr="00727F09">
        <w:rPr>
          <w:szCs w:val="18"/>
        </w:rPr>
        <w:t>Muratore A., Giannelli G., Nastasi V., Sferruzza G., Grillone G., Delle Site C., 2022, Flood risk identification and analysis for pressure equipment. Proceedings of 32nd European Safety and Reliability Conference, Dublin, Ireland, 28 August - 1 September 2022, ESREL2022 Organizers, pp. 885-890. Published by Research Publishing, Singapore. ISBN: 978-981-18-5183-4. DOI: 10.3850/978-981-18-5183-4_R17-03-059-cd.</w:t>
      </w:r>
    </w:p>
    <w:p w14:paraId="16998417" w14:textId="27D12C4C" w:rsidR="00AB5D78" w:rsidRPr="00727F09" w:rsidRDefault="0091542A" w:rsidP="0091542A">
      <w:pPr>
        <w:pStyle w:val="CETReferencetext"/>
        <w:rPr>
          <w:szCs w:val="18"/>
        </w:rPr>
      </w:pPr>
      <w:r w:rsidRPr="00727F09">
        <w:rPr>
          <w:szCs w:val="18"/>
        </w:rPr>
        <w:t>Muratore A., Grillone G., Delle Site C., Giannelli G., Nastasi V., 2024, Natech Risk from Floods. Vulnerability of Critical Technical Systems Containing Hazardous Substances, Chemical Engineering Transactions, 111, 559-564 DOI:10.3303/CET24111094.</w:t>
      </w:r>
    </w:p>
    <w:p w14:paraId="4EE5674A" w14:textId="7351F9D6" w:rsidR="000329F8" w:rsidRPr="00727F09" w:rsidRDefault="000329F8" w:rsidP="000329F8">
      <w:pPr>
        <w:pStyle w:val="CETReferencetext"/>
        <w:rPr>
          <w:szCs w:val="18"/>
        </w:rPr>
      </w:pPr>
      <w:r w:rsidRPr="00727F09">
        <w:rPr>
          <w:szCs w:val="18"/>
        </w:rPr>
        <w:t xml:space="preserve">Schiaroli A., Scarponi G.E., </w:t>
      </w:r>
      <w:proofErr w:type="spellStart"/>
      <w:r w:rsidRPr="00727F09">
        <w:rPr>
          <w:szCs w:val="18"/>
        </w:rPr>
        <w:t>Cozzani</w:t>
      </w:r>
      <w:proofErr w:type="spellEnd"/>
      <w:r w:rsidRPr="00727F09">
        <w:rPr>
          <w:szCs w:val="18"/>
        </w:rPr>
        <w:t xml:space="preserve"> V., 2023, A Comparative Safety Assessment of Hydrogen Storage Tanks for Hydrogen-powered Buses, Chemical Engineering Transactions, 99, 151-156 DOI:10.3303/CET2399026.</w:t>
      </w:r>
    </w:p>
    <w:p w14:paraId="4CBBB9F4" w14:textId="29282C41" w:rsidR="00BD4FAE" w:rsidRPr="00727F09" w:rsidRDefault="00BD4FAE" w:rsidP="0091542A">
      <w:pPr>
        <w:pStyle w:val="CETReferencetext"/>
        <w:rPr>
          <w:szCs w:val="18"/>
        </w:rPr>
      </w:pPr>
      <w:r w:rsidRPr="00727F09">
        <w:rPr>
          <w:szCs w:val="18"/>
        </w:rPr>
        <w:t>United Nation, 2024, ADR – Agreement Concerning the International Carriage of Dangerous Goods by Road, Geneva.</w:t>
      </w:r>
    </w:p>
    <w:p w14:paraId="6A1FBDDC" w14:textId="646E3EA7" w:rsidR="0014126F" w:rsidRPr="00727F09" w:rsidRDefault="0014126F" w:rsidP="0014126F">
      <w:pPr>
        <w:pStyle w:val="CETReferencetext"/>
        <w:rPr>
          <w:szCs w:val="18"/>
        </w:rPr>
      </w:pPr>
      <w:r w:rsidRPr="00727F09">
        <w:rPr>
          <w:szCs w:val="18"/>
        </w:rPr>
        <w:t>Ustolin F., Giannini L., Pio G., Salzano E., Paltrinieri N., 2022, On the Mechanical Energy Involved in the Catastrophic Rupture of Liquid Hydrogen Tanks, Chemical Engineering Transactions, 91, 421-426 DOI:10.3303/CET2291071.</w:t>
      </w:r>
    </w:p>
    <w:sectPr w:rsidR="0014126F" w:rsidRPr="00727F0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5D0A" w14:textId="77777777" w:rsidR="00A812C9" w:rsidRDefault="00A812C9" w:rsidP="004F5E36">
      <w:r>
        <w:separator/>
      </w:r>
    </w:p>
  </w:endnote>
  <w:endnote w:type="continuationSeparator" w:id="0">
    <w:p w14:paraId="2461ADD9" w14:textId="77777777" w:rsidR="00A812C9" w:rsidRDefault="00A812C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92681" w14:textId="77777777" w:rsidR="00A812C9" w:rsidRDefault="00A812C9" w:rsidP="004F5E36">
      <w:r>
        <w:separator/>
      </w:r>
    </w:p>
  </w:footnote>
  <w:footnote w:type="continuationSeparator" w:id="0">
    <w:p w14:paraId="2EE2A2D1" w14:textId="77777777" w:rsidR="00A812C9" w:rsidRDefault="00A812C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124C4F"/>
    <w:multiLevelType w:val="hybridMultilevel"/>
    <w:tmpl w:val="66AE7FBE"/>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91624A3"/>
    <w:multiLevelType w:val="hybridMultilevel"/>
    <w:tmpl w:val="036A6FCA"/>
    <w:lvl w:ilvl="0" w:tplc="5E94AB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CA3267"/>
    <w:multiLevelType w:val="hybridMultilevel"/>
    <w:tmpl w:val="C99AA340"/>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482B0C"/>
    <w:multiLevelType w:val="hybridMultilevel"/>
    <w:tmpl w:val="33362A86"/>
    <w:lvl w:ilvl="0" w:tplc="5FA262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24644BCF"/>
    <w:multiLevelType w:val="hybridMultilevel"/>
    <w:tmpl w:val="12B8A38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797756E"/>
    <w:multiLevelType w:val="hybridMultilevel"/>
    <w:tmpl w:val="5708681C"/>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A412A85"/>
    <w:multiLevelType w:val="hybridMultilevel"/>
    <w:tmpl w:val="A45028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5C4C03"/>
    <w:multiLevelType w:val="hybridMultilevel"/>
    <w:tmpl w:val="88300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E10655"/>
    <w:multiLevelType w:val="hybridMultilevel"/>
    <w:tmpl w:val="07A48610"/>
    <w:lvl w:ilvl="0" w:tplc="EE248B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96EE7"/>
    <w:multiLevelType w:val="hybridMultilevel"/>
    <w:tmpl w:val="42983C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9221A0"/>
    <w:multiLevelType w:val="hybridMultilevel"/>
    <w:tmpl w:val="D9DC8FD2"/>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BF15D2B"/>
    <w:multiLevelType w:val="hybridMultilevel"/>
    <w:tmpl w:val="841A41E2"/>
    <w:lvl w:ilvl="0" w:tplc="9C18DA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3F915CF8"/>
    <w:multiLevelType w:val="multilevel"/>
    <w:tmpl w:val="B4AEFB08"/>
    <w:lvl w:ilvl="0">
      <w:start w:val="1"/>
      <w:numFmt w:val="decimal"/>
      <w:lvlText w:val="%1."/>
      <w:lvlJc w:val="left"/>
      <w:pPr>
        <w:ind w:left="720" w:hanging="360"/>
      </w:pPr>
      <w:rPr>
        <w:rFonts w:hint="default"/>
        <w:b/>
        <w:bCs w:val="0"/>
      </w:rPr>
    </w:lvl>
    <w:lvl w:ilvl="1">
      <w:start w:val="2"/>
      <w:numFmt w:val="decimal"/>
      <w:pStyle w:val="CETheadingx"/>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5F55D97"/>
    <w:multiLevelType w:val="hybridMultilevel"/>
    <w:tmpl w:val="5CC0AE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3" w15:restartNumberingAfterBreak="0">
    <w:nsid w:val="591B211F"/>
    <w:multiLevelType w:val="hybridMultilevel"/>
    <w:tmpl w:val="AD4CE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6756ECE"/>
    <w:multiLevelType w:val="hybridMultilevel"/>
    <w:tmpl w:val="5EAE8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554CD4"/>
    <w:multiLevelType w:val="hybridMultilevel"/>
    <w:tmpl w:val="D4DC92E4"/>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1C2860"/>
    <w:multiLevelType w:val="hybridMultilevel"/>
    <w:tmpl w:val="937A46B6"/>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8E25107"/>
    <w:multiLevelType w:val="hybridMultilevel"/>
    <w:tmpl w:val="2F1A679E"/>
    <w:lvl w:ilvl="0" w:tplc="D2F6BAB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BD5DBF"/>
    <w:multiLevelType w:val="hybridMultilevel"/>
    <w:tmpl w:val="89C8670A"/>
    <w:lvl w:ilvl="0" w:tplc="9C18DA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5"/>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32"/>
  </w:num>
  <w:num w:numId="13" w16cid:durableId="695733619">
    <w:abstractNumId w:val="20"/>
  </w:num>
  <w:num w:numId="14" w16cid:durableId="145903400">
    <w:abstractNumId w:val="34"/>
  </w:num>
  <w:num w:numId="15" w16cid:durableId="19162326">
    <w:abstractNumId w:val="37"/>
  </w:num>
  <w:num w:numId="16" w16cid:durableId="1977102699">
    <w:abstractNumId w:val="35"/>
  </w:num>
  <w:num w:numId="17" w16cid:durableId="860774865">
    <w:abstractNumId w:val="19"/>
  </w:num>
  <w:num w:numId="18" w16cid:durableId="313221457">
    <w:abstractNumId w:val="20"/>
    <w:lvlOverride w:ilvl="0">
      <w:startOverride w:val="1"/>
    </w:lvlOverride>
  </w:num>
  <w:num w:numId="19" w16cid:durableId="534971577">
    <w:abstractNumId w:val="30"/>
  </w:num>
  <w:num w:numId="20" w16cid:durableId="1150947773">
    <w:abstractNumId w:val="29"/>
  </w:num>
  <w:num w:numId="21" w16cid:durableId="124660497">
    <w:abstractNumId w:val="27"/>
  </w:num>
  <w:num w:numId="22" w16cid:durableId="2099861471">
    <w:abstractNumId w:val="23"/>
  </w:num>
  <w:num w:numId="23" w16cid:durableId="84351335">
    <w:abstractNumId w:val="10"/>
  </w:num>
  <w:num w:numId="24" w16cid:durableId="1558390907">
    <w:abstractNumId w:val="21"/>
  </w:num>
  <w:num w:numId="25" w16cid:durableId="716396342">
    <w:abstractNumId w:val="40"/>
  </w:num>
  <w:num w:numId="26" w16cid:durableId="1283993703">
    <w:abstractNumId w:val="17"/>
  </w:num>
  <w:num w:numId="27" w16cid:durableId="525290783">
    <w:abstractNumId w:val="36"/>
  </w:num>
  <w:num w:numId="28" w16cid:durableId="1899659096">
    <w:abstractNumId w:val="14"/>
  </w:num>
  <w:num w:numId="29" w16cid:durableId="615599778">
    <w:abstractNumId w:val="25"/>
  </w:num>
  <w:num w:numId="30" w16cid:durableId="2091391435">
    <w:abstractNumId w:val="31"/>
  </w:num>
  <w:num w:numId="31" w16cid:durableId="1479422180">
    <w:abstractNumId w:val="33"/>
  </w:num>
  <w:num w:numId="32" w16cid:durableId="955870221">
    <w:abstractNumId w:val="22"/>
  </w:num>
  <w:num w:numId="33" w16cid:durableId="1015116098">
    <w:abstractNumId w:val="11"/>
  </w:num>
  <w:num w:numId="34" w16cid:durableId="2109079826">
    <w:abstractNumId w:val="41"/>
  </w:num>
  <w:num w:numId="35" w16cid:durableId="1648893411">
    <w:abstractNumId w:val="26"/>
  </w:num>
  <w:num w:numId="36" w16cid:durableId="1221089641">
    <w:abstractNumId w:val="13"/>
  </w:num>
  <w:num w:numId="37" w16cid:durableId="1813983870">
    <w:abstractNumId w:val="28"/>
  </w:num>
  <w:num w:numId="38" w16cid:durableId="787891021">
    <w:abstractNumId w:val="18"/>
  </w:num>
  <w:num w:numId="39" w16cid:durableId="51466026">
    <w:abstractNumId w:val="39"/>
  </w:num>
  <w:num w:numId="40" w16cid:durableId="553320718">
    <w:abstractNumId w:val="16"/>
  </w:num>
  <w:num w:numId="41" w16cid:durableId="475991147">
    <w:abstractNumId w:val="24"/>
  </w:num>
  <w:num w:numId="42" w16cid:durableId="184204626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7680466">
    <w:abstractNumId w:val="28"/>
  </w:num>
  <w:num w:numId="44" w16cid:durableId="925917016">
    <w:abstractNumId w:val="28"/>
  </w:num>
  <w:num w:numId="45" w16cid:durableId="442189492">
    <w:abstractNumId w:val="12"/>
  </w:num>
  <w:num w:numId="46" w16cid:durableId="15998310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5D92"/>
    <w:rsid w:val="000117CB"/>
    <w:rsid w:val="000126F3"/>
    <w:rsid w:val="000301EA"/>
    <w:rsid w:val="0003148D"/>
    <w:rsid w:val="00031EEC"/>
    <w:rsid w:val="000329F8"/>
    <w:rsid w:val="00035AEB"/>
    <w:rsid w:val="000450C8"/>
    <w:rsid w:val="00051566"/>
    <w:rsid w:val="00053E2C"/>
    <w:rsid w:val="0005600B"/>
    <w:rsid w:val="000562A9"/>
    <w:rsid w:val="00062A9A"/>
    <w:rsid w:val="00062E51"/>
    <w:rsid w:val="00065058"/>
    <w:rsid w:val="00070AD5"/>
    <w:rsid w:val="00080269"/>
    <w:rsid w:val="00082AA0"/>
    <w:rsid w:val="00086C39"/>
    <w:rsid w:val="000870B8"/>
    <w:rsid w:val="00096CFC"/>
    <w:rsid w:val="00097ED5"/>
    <w:rsid w:val="000A03B2"/>
    <w:rsid w:val="000B029C"/>
    <w:rsid w:val="000B02E8"/>
    <w:rsid w:val="000B398F"/>
    <w:rsid w:val="000B7543"/>
    <w:rsid w:val="000C1820"/>
    <w:rsid w:val="000C2DE4"/>
    <w:rsid w:val="000D0268"/>
    <w:rsid w:val="000D34BE"/>
    <w:rsid w:val="000E0B3C"/>
    <w:rsid w:val="000E102F"/>
    <w:rsid w:val="000E36F1"/>
    <w:rsid w:val="000E3A73"/>
    <w:rsid w:val="000E414A"/>
    <w:rsid w:val="000E6CE1"/>
    <w:rsid w:val="000E75FD"/>
    <w:rsid w:val="000F093C"/>
    <w:rsid w:val="000F0E6C"/>
    <w:rsid w:val="000F6F0A"/>
    <w:rsid w:val="000F748A"/>
    <w:rsid w:val="000F787B"/>
    <w:rsid w:val="00103668"/>
    <w:rsid w:val="001053B0"/>
    <w:rsid w:val="001161C6"/>
    <w:rsid w:val="0012091F"/>
    <w:rsid w:val="001214C3"/>
    <w:rsid w:val="00126BC2"/>
    <w:rsid w:val="00126D89"/>
    <w:rsid w:val="001308B6"/>
    <w:rsid w:val="0013121F"/>
    <w:rsid w:val="00131FE6"/>
    <w:rsid w:val="0013263F"/>
    <w:rsid w:val="001331AD"/>
    <w:rsid w:val="001331DF"/>
    <w:rsid w:val="00133E54"/>
    <w:rsid w:val="00134D97"/>
    <w:rsid w:val="00134DE4"/>
    <w:rsid w:val="00136811"/>
    <w:rsid w:val="0014034D"/>
    <w:rsid w:val="00140FE3"/>
    <w:rsid w:val="0014126F"/>
    <w:rsid w:val="00144D16"/>
    <w:rsid w:val="00150E59"/>
    <w:rsid w:val="00152DE3"/>
    <w:rsid w:val="00163FDB"/>
    <w:rsid w:val="00164CF9"/>
    <w:rsid w:val="001667A6"/>
    <w:rsid w:val="00170CA9"/>
    <w:rsid w:val="001754F3"/>
    <w:rsid w:val="0017569A"/>
    <w:rsid w:val="0018171E"/>
    <w:rsid w:val="00184AD6"/>
    <w:rsid w:val="00192525"/>
    <w:rsid w:val="001A4AF7"/>
    <w:rsid w:val="001B0349"/>
    <w:rsid w:val="001B1E93"/>
    <w:rsid w:val="001B65C1"/>
    <w:rsid w:val="001B7884"/>
    <w:rsid w:val="001B7CFD"/>
    <w:rsid w:val="001C0E88"/>
    <w:rsid w:val="001C20BD"/>
    <w:rsid w:val="001C260F"/>
    <w:rsid w:val="001C561B"/>
    <w:rsid w:val="001C5C3A"/>
    <w:rsid w:val="001C684B"/>
    <w:rsid w:val="001D0CFB"/>
    <w:rsid w:val="001D21AF"/>
    <w:rsid w:val="001D53FC"/>
    <w:rsid w:val="001F1700"/>
    <w:rsid w:val="001F1C1C"/>
    <w:rsid w:val="001F2E37"/>
    <w:rsid w:val="001F42A5"/>
    <w:rsid w:val="001F7B9D"/>
    <w:rsid w:val="00200010"/>
    <w:rsid w:val="00201C93"/>
    <w:rsid w:val="002224B4"/>
    <w:rsid w:val="00235816"/>
    <w:rsid w:val="00237972"/>
    <w:rsid w:val="002447EF"/>
    <w:rsid w:val="002457C1"/>
    <w:rsid w:val="002470C5"/>
    <w:rsid w:val="00251550"/>
    <w:rsid w:val="002532C2"/>
    <w:rsid w:val="00257537"/>
    <w:rsid w:val="00257978"/>
    <w:rsid w:val="00263B05"/>
    <w:rsid w:val="00270D49"/>
    <w:rsid w:val="0027221A"/>
    <w:rsid w:val="00273FCB"/>
    <w:rsid w:val="00275B61"/>
    <w:rsid w:val="00280FAF"/>
    <w:rsid w:val="00281083"/>
    <w:rsid w:val="00282656"/>
    <w:rsid w:val="002919CF"/>
    <w:rsid w:val="00296B83"/>
    <w:rsid w:val="002A1096"/>
    <w:rsid w:val="002A1675"/>
    <w:rsid w:val="002A622D"/>
    <w:rsid w:val="002B2979"/>
    <w:rsid w:val="002B4015"/>
    <w:rsid w:val="002B78CE"/>
    <w:rsid w:val="002C2FB6"/>
    <w:rsid w:val="002D6A98"/>
    <w:rsid w:val="002E5FA7"/>
    <w:rsid w:val="002F0BFE"/>
    <w:rsid w:val="002F3309"/>
    <w:rsid w:val="003008CE"/>
    <w:rsid w:val="003009B7"/>
    <w:rsid w:val="00300E56"/>
    <w:rsid w:val="0030152C"/>
    <w:rsid w:val="0030469C"/>
    <w:rsid w:val="0030588E"/>
    <w:rsid w:val="00310CE0"/>
    <w:rsid w:val="0032156A"/>
    <w:rsid w:val="00321CA6"/>
    <w:rsid w:val="003231E7"/>
    <w:rsid w:val="003232F0"/>
    <w:rsid w:val="00323763"/>
    <w:rsid w:val="00323C5F"/>
    <w:rsid w:val="0032701F"/>
    <w:rsid w:val="00334AB0"/>
    <w:rsid w:val="00334C09"/>
    <w:rsid w:val="003523D8"/>
    <w:rsid w:val="00353F00"/>
    <w:rsid w:val="003723D4"/>
    <w:rsid w:val="00381905"/>
    <w:rsid w:val="00384CC8"/>
    <w:rsid w:val="003871FD"/>
    <w:rsid w:val="003A1E30"/>
    <w:rsid w:val="003A22AD"/>
    <w:rsid w:val="003A2829"/>
    <w:rsid w:val="003A4264"/>
    <w:rsid w:val="003A7D1C"/>
    <w:rsid w:val="003B0363"/>
    <w:rsid w:val="003B304B"/>
    <w:rsid w:val="003B3146"/>
    <w:rsid w:val="003B49CD"/>
    <w:rsid w:val="003C2FCE"/>
    <w:rsid w:val="003D0245"/>
    <w:rsid w:val="003D1E02"/>
    <w:rsid w:val="003D364A"/>
    <w:rsid w:val="003D7F40"/>
    <w:rsid w:val="003E432E"/>
    <w:rsid w:val="003E7014"/>
    <w:rsid w:val="003F015E"/>
    <w:rsid w:val="00400414"/>
    <w:rsid w:val="0041123C"/>
    <w:rsid w:val="00412597"/>
    <w:rsid w:val="0041446B"/>
    <w:rsid w:val="0042331B"/>
    <w:rsid w:val="0044071E"/>
    <w:rsid w:val="0044329C"/>
    <w:rsid w:val="00450EB4"/>
    <w:rsid w:val="004527E5"/>
    <w:rsid w:val="00453E24"/>
    <w:rsid w:val="00457456"/>
    <w:rsid w:val="004577FE"/>
    <w:rsid w:val="00457B9C"/>
    <w:rsid w:val="0046164A"/>
    <w:rsid w:val="004628D2"/>
    <w:rsid w:val="00462DCD"/>
    <w:rsid w:val="004648AD"/>
    <w:rsid w:val="004703A9"/>
    <w:rsid w:val="0047426E"/>
    <w:rsid w:val="004760DE"/>
    <w:rsid w:val="004763D7"/>
    <w:rsid w:val="00480173"/>
    <w:rsid w:val="00485B5D"/>
    <w:rsid w:val="00487319"/>
    <w:rsid w:val="00492FE2"/>
    <w:rsid w:val="004A004E"/>
    <w:rsid w:val="004A24CF"/>
    <w:rsid w:val="004C3D1D"/>
    <w:rsid w:val="004C3D84"/>
    <w:rsid w:val="004C6AB5"/>
    <w:rsid w:val="004C7913"/>
    <w:rsid w:val="004D139A"/>
    <w:rsid w:val="004D1D5F"/>
    <w:rsid w:val="004D5763"/>
    <w:rsid w:val="004E2EA9"/>
    <w:rsid w:val="004E4DD6"/>
    <w:rsid w:val="004F2DBE"/>
    <w:rsid w:val="004F5E36"/>
    <w:rsid w:val="005000F7"/>
    <w:rsid w:val="00505822"/>
    <w:rsid w:val="00507B47"/>
    <w:rsid w:val="00507BEF"/>
    <w:rsid w:val="00507CC9"/>
    <w:rsid w:val="005119A5"/>
    <w:rsid w:val="00512843"/>
    <w:rsid w:val="00515E9E"/>
    <w:rsid w:val="005177DF"/>
    <w:rsid w:val="00524A87"/>
    <w:rsid w:val="0052611C"/>
    <w:rsid w:val="005278B7"/>
    <w:rsid w:val="00530332"/>
    <w:rsid w:val="0053054D"/>
    <w:rsid w:val="00532016"/>
    <w:rsid w:val="005346C8"/>
    <w:rsid w:val="005359C0"/>
    <w:rsid w:val="005414D2"/>
    <w:rsid w:val="005424FC"/>
    <w:rsid w:val="00543E7D"/>
    <w:rsid w:val="00547A68"/>
    <w:rsid w:val="005531C9"/>
    <w:rsid w:val="00554879"/>
    <w:rsid w:val="00557B83"/>
    <w:rsid w:val="00563B0F"/>
    <w:rsid w:val="005675CA"/>
    <w:rsid w:val="005677BA"/>
    <w:rsid w:val="00570C43"/>
    <w:rsid w:val="005758FB"/>
    <w:rsid w:val="00580CBA"/>
    <w:rsid w:val="00592274"/>
    <w:rsid w:val="005A0BCC"/>
    <w:rsid w:val="005A6336"/>
    <w:rsid w:val="005B2110"/>
    <w:rsid w:val="005B350B"/>
    <w:rsid w:val="005B47FC"/>
    <w:rsid w:val="005B4C0A"/>
    <w:rsid w:val="005B59E8"/>
    <w:rsid w:val="005B61E6"/>
    <w:rsid w:val="005B6526"/>
    <w:rsid w:val="005C77E1"/>
    <w:rsid w:val="005D668A"/>
    <w:rsid w:val="005D6A2F"/>
    <w:rsid w:val="005D6EC6"/>
    <w:rsid w:val="005E0592"/>
    <w:rsid w:val="005E1A82"/>
    <w:rsid w:val="005E5341"/>
    <w:rsid w:val="005E794C"/>
    <w:rsid w:val="005F0A28"/>
    <w:rsid w:val="005F0E5E"/>
    <w:rsid w:val="005F4A43"/>
    <w:rsid w:val="005F7701"/>
    <w:rsid w:val="00600535"/>
    <w:rsid w:val="00604177"/>
    <w:rsid w:val="00606B50"/>
    <w:rsid w:val="00610CD6"/>
    <w:rsid w:val="00616F73"/>
    <w:rsid w:val="00620DEE"/>
    <w:rsid w:val="00621F92"/>
    <w:rsid w:val="0062280A"/>
    <w:rsid w:val="006231E1"/>
    <w:rsid w:val="00623FA9"/>
    <w:rsid w:val="00625639"/>
    <w:rsid w:val="00631B33"/>
    <w:rsid w:val="00637DC2"/>
    <w:rsid w:val="0064184D"/>
    <w:rsid w:val="006422CC"/>
    <w:rsid w:val="00651D18"/>
    <w:rsid w:val="00660469"/>
    <w:rsid w:val="00660E3E"/>
    <w:rsid w:val="00662E74"/>
    <w:rsid w:val="006701FD"/>
    <w:rsid w:val="00677E50"/>
    <w:rsid w:val="00680C23"/>
    <w:rsid w:val="00683E23"/>
    <w:rsid w:val="0068723F"/>
    <w:rsid w:val="00693766"/>
    <w:rsid w:val="006A3281"/>
    <w:rsid w:val="006A6DE5"/>
    <w:rsid w:val="006A74EB"/>
    <w:rsid w:val="006B4888"/>
    <w:rsid w:val="006C2E45"/>
    <w:rsid w:val="006C359C"/>
    <w:rsid w:val="006C5579"/>
    <w:rsid w:val="006D6E8B"/>
    <w:rsid w:val="006D7209"/>
    <w:rsid w:val="006E737D"/>
    <w:rsid w:val="006F2BF0"/>
    <w:rsid w:val="006F3F78"/>
    <w:rsid w:val="00706A65"/>
    <w:rsid w:val="00707DD1"/>
    <w:rsid w:val="00713973"/>
    <w:rsid w:val="00720A24"/>
    <w:rsid w:val="00720A4B"/>
    <w:rsid w:val="00727F09"/>
    <w:rsid w:val="007301F3"/>
    <w:rsid w:val="007307CF"/>
    <w:rsid w:val="00732386"/>
    <w:rsid w:val="00734F26"/>
    <w:rsid w:val="0073514D"/>
    <w:rsid w:val="00742CF1"/>
    <w:rsid w:val="0074321A"/>
    <w:rsid w:val="007447F3"/>
    <w:rsid w:val="00744C57"/>
    <w:rsid w:val="0075499F"/>
    <w:rsid w:val="007661C8"/>
    <w:rsid w:val="0077098D"/>
    <w:rsid w:val="00776326"/>
    <w:rsid w:val="00776954"/>
    <w:rsid w:val="00785BF9"/>
    <w:rsid w:val="00787476"/>
    <w:rsid w:val="007929C9"/>
    <w:rsid w:val="007931FA"/>
    <w:rsid w:val="007A068D"/>
    <w:rsid w:val="007A4861"/>
    <w:rsid w:val="007A69D9"/>
    <w:rsid w:val="007A7BBA"/>
    <w:rsid w:val="007B0C50"/>
    <w:rsid w:val="007B48F9"/>
    <w:rsid w:val="007C0F10"/>
    <w:rsid w:val="007C1A43"/>
    <w:rsid w:val="007D0951"/>
    <w:rsid w:val="007D610D"/>
    <w:rsid w:val="007E164E"/>
    <w:rsid w:val="007F74A8"/>
    <w:rsid w:val="0080013E"/>
    <w:rsid w:val="00801759"/>
    <w:rsid w:val="00803EFE"/>
    <w:rsid w:val="008047CD"/>
    <w:rsid w:val="008106AA"/>
    <w:rsid w:val="00812ABF"/>
    <w:rsid w:val="00813288"/>
    <w:rsid w:val="00814DDE"/>
    <w:rsid w:val="00815C3C"/>
    <w:rsid w:val="00816637"/>
    <w:rsid w:val="008168FC"/>
    <w:rsid w:val="00830996"/>
    <w:rsid w:val="00832CDF"/>
    <w:rsid w:val="008345F1"/>
    <w:rsid w:val="00842E76"/>
    <w:rsid w:val="00844864"/>
    <w:rsid w:val="0085664C"/>
    <w:rsid w:val="00865B07"/>
    <w:rsid w:val="008667EA"/>
    <w:rsid w:val="008706E2"/>
    <w:rsid w:val="00873346"/>
    <w:rsid w:val="0087637F"/>
    <w:rsid w:val="008832CA"/>
    <w:rsid w:val="00890E3E"/>
    <w:rsid w:val="00892AD5"/>
    <w:rsid w:val="00893F50"/>
    <w:rsid w:val="00895360"/>
    <w:rsid w:val="008A1512"/>
    <w:rsid w:val="008A74E2"/>
    <w:rsid w:val="008B4D8C"/>
    <w:rsid w:val="008D32B9"/>
    <w:rsid w:val="008D433B"/>
    <w:rsid w:val="008D46E3"/>
    <w:rsid w:val="008D4A16"/>
    <w:rsid w:val="008D77A2"/>
    <w:rsid w:val="008E18C0"/>
    <w:rsid w:val="008E3F39"/>
    <w:rsid w:val="008E5401"/>
    <w:rsid w:val="008E566E"/>
    <w:rsid w:val="008E7BA3"/>
    <w:rsid w:val="0090161A"/>
    <w:rsid w:val="00901EB6"/>
    <w:rsid w:val="009041F8"/>
    <w:rsid w:val="00904C62"/>
    <w:rsid w:val="009053ED"/>
    <w:rsid w:val="00912194"/>
    <w:rsid w:val="00913C74"/>
    <w:rsid w:val="0091542A"/>
    <w:rsid w:val="00916B03"/>
    <w:rsid w:val="00922BA8"/>
    <w:rsid w:val="00924DAC"/>
    <w:rsid w:val="00927058"/>
    <w:rsid w:val="009309E5"/>
    <w:rsid w:val="009417D1"/>
    <w:rsid w:val="00942750"/>
    <w:rsid w:val="009450CE"/>
    <w:rsid w:val="009459BB"/>
    <w:rsid w:val="00947179"/>
    <w:rsid w:val="0095164B"/>
    <w:rsid w:val="00954090"/>
    <w:rsid w:val="009573E7"/>
    <w:rsid w:val="00963E05"/>
    <w:rsid w:val="00964A45"/>
    <w:rsid w:val="00967843"/>
    <w:rsid w:val="00967D54"/>
    <w:rsid w:val="009709EE"/>
    <w:rsid w:val="00971028"/>
    <w:rsid w:val="00983472"/>
    <w:rsid w:val="00987D01"/>
    <w:rsid w:val="00990B74"/>
    <w:rsid w:val="00993B84"/>
    <w:rsid w:val="00994C6A"/>
    <w:rsid w:val="00995714"/>
    <w:rsid w:val="00996483"/>
    <w:rsid w:val="00996F5A"/>
    <w:rsid w:val="009A6E30"/>
    <w:rsid w:val="009B041A"/>
    <w:rsid w:val="009B30B3"/>
    <w:rsid w:val="009C0812"/>
    <w:rsid w:val="009C37C3"/>
    <w:rsid w:val="009C49D1"/>
    <w:rsid w:val="009C56ED"/>
    <w:rsid w:val="009C7C86"/>
    <w:rsid w:val="009D04AD"/>
    <w:rsid w:val="009D1220"/>
    <w:rsid w:val="009D2FF7"/>
    <w:rsid w:val="009D4BAD"/>
    <w:rsid w:val="009E08AD"/>
    <w:rsid w:val="009E1227"/>
    <w:rsid w:val="009E5382"/>
    <w:rsid w:val="009E7884"/>
    <w:rsid w:val="009E788A"/>
    <w:rsid w:val="009F0E08"/>
    <w:rsid w:val="009F2D2C"/>
    <w:rsid w:val="009F72A5"/>
    <w:rsid w:val="00A079AE"/>
    <w:rsid w:val="00A1763D"/>
    <w:rsid w:val="00A17CEC"/>
    <w:rsid w:val="00A227FB"/>
    <w:rsid w:val="00A27EF0"/>
    <w:rsid w:val="00A31212"/>
    <w:rsid w:val="00A32274"/>
    <w:rsid w:val="00A3426B"/>
    <w:rsid w:val="00A42361"/>
    <w:rsid w:val="00A47F21"/>
    <w:rsid w:val="00A50B20"/>
    <w:rsid w:val="00A51390"/>
    <w:rsid w:val="00A5468A"/>
    <w:rsid w:val="00A54B29"/>
    <w:rsid w:val="00A578B3"/>
    <w:rsid w:val="00A60D13"/>
    <w:rsid w:val="00A7223D"/>
    <w:rsid w:val="00A72745"/>
    <w:rsid w:val="00A76EFC"/>
    <w:rsid w:val="00A812C9"/>
    <w:rsid w:val="00A87D50"/>
    <w:rsid w:val="00A91010"/>
    <w:rsid w:val="00A92383"/>
    <w:rsid w:val="00A97094"/>
    <w:rsid w:val="00A97F29"/>
    <w:rsid w:val="00AA702E"/>
    <w:rsid w:val="00AA7D26"/>
    <w:rsid w:val="00AB0964"/>
    <w:rsid w:val="00AB3F7E"/>
    <w:rsid w:val="00AB4C37"/>
    <w:rsid w:val="00AB5011"/>
    <w:rsid w:val="00AB5D78"/>
    <w:rsid w:val="00AC7368"/>
    <w:rsid w:val="00AD16B9"/>
    <w:rsid w:val="00AD4316"/>
    <w:rsid w:val="00AE377D"/>
    <w:rsid w:val="00AF0EBA"/>
    <w:rsid w:val="00AF2463"/>
    <w:rsid w:val="00AF5FD3"/>
    <w:rsid w:val="00B02C8A"/>
    <w:rsid w:val="00B13FBA"/>
    <w:rsid w:val="00B17DE6"/>
    <w:rsid w:val="00B17FBD"/>
    <w:rsid w:val="00B20F07"/>
    <w:rsid w:val="00B249D4"/>
    <w:rsid w:val="00B315A6"/>
    <w:rsid w:val="00B31813"/>
    <w:rsid w:val="00B33365"/>
    <w:rsid w:val="00B43045"/>
    <w:rsid w:val="00B50E58"/>
    <w:rsid w:val="00B57B36"/>
    <w:rsid w:val="00B57E6F"/>
    <w:rsid w:val="00B621DB"/>
    <w:rsid w:val="00B71DA1"/>
    <w:rsid w:val="00B75C2B"/>
    <w:rsid w:val="00B777DA"/>
    <w:rsid w:val="00B85F71"/>
    <w:rsid w:val="00B8686D"/>
    <w:rsid w:val="00B93F69"/>
    <w:rsid w:val="00B95582"/>
    <w:rsid w:val="00BA22BA"/>
    <w:rsid w:val="00BB1DDC"/>
    <w:rsid w:val="00BC23D5"/>
    <w:rsid w:val="00BC30C9"/>
    <w:rsid w:val="00BC5984"/>
    <w:rsid w:val="00BC5F5F"/>
    <w:rsid w:val="00BD077D"/>
    <w:rsid w:val="00BD133F"/>
    <w:rsid w:val="00BD4FAE"/>
    <w:rsid w:val="00BE0DED"/>
    <w:rsid w:val="00BE2802"/>
    <w:rsid w:val="00BE3E58"/>
    <w:rsid w:val="00BF13CE"/>
    <w:rsid w:val="00BF1B16"/>
    <w:rsid w:val="00BF4384"/>
    <w:rsid w:val="00C01616"/>
    <w:rsid w:val="00C0162B"/>
    <w:rsid w:val="00C068ED"/>
    <w:rsid w:val="00C1223D"/>
    <w:rsid w:val="00C123B5"/>
    <w:rsid w:val="00C14C6E"/>
    <w:rsid w:val="00C22E0C"/>
    <w:rsid w:val="00C27117"/>
    <w:rsid w:val="00C345B1"/>
    <w:rsid w:val="00C40142"/>
    <w:rsid w:val="00C42EF0"/>
    <w:rsid w:val="00C46A56"/>
    <w:rsid w:val="00C51FF0"/>
    <w:rsid w:val="00C528E7"/>
    <w:rsid w:val="00C52C3C"/>
    <w:rsid w:val="00C57182"/>
    <w:rsid w:val="00C57863"/>
    <w:rsid w:val="00C578B8"/>
    <w:rsid w:val="00C63676"/>
    <w:rsid w:val="00C640AF"/>
    <w:rsid w:val="00C64B63"/>
    <w:rsid w:val="00C655FD"/>
    <w:rsid w:val="00C66F37"/>
    <w:rsid w:val="00C708DC"/>
    <w:rsid w:val="00C75407"/>
    <w:rsid w:val="00C841C6"/>
    <w:rsid w:val="00C85FCB"/>
    <w:rsid w:val="00C870A8"/>
    <w:rsid w:val="00C94434"/>
    <w:rsid w:val="00CA0D75"/>
    <w:rsid w:val="00CA1C95"/>
    <w:rsid w:val="00CA291A"/>
    <w:rsid w:val="00CA5A9C"/>
    <w:rsid w:val="00CB09F1"/>
    <w:rsid w:val="00CB6A76"/>
    <w:rsid w:val="00CC09BF"/>
    <w:rsid w:val="00CC4C20"/>
    <w:rsid w:val="00CD3517"/>
    <w:rsid w:val="00CD4315"/>
    <w:rsid w:val="00CD5FE2"/>
    <w:rsid w:val="00CD7004"/>
    <w:rsid w:val="00CE6261"/>
    <w:rsid w:val="00CE7C68"/>
    <w:rsid w:val="00D01808"/>
    <w:rsid w:val="00D02B4C"/>
    <w:rsid w:val="00D0381D"/>
    <w:rsid w:val="00D040C4"/>
    <w:rsid w:val="00D16151"/>
    <w:rsid w:val="00D20AD1"/>
    <w:rsid w:val="00D2582C"/>
    <w:rsid w:val="00D27130"/>
    <w:rsid w:val="00D31511"/>
    <w:rsid w:val="00D32EDE"/>
    <w:rsid w:val="00D46B7E"/>
    <w:rsid w:val="00D53E30"/>
    <w:rsid w:val="00D55D5B"/>
    <w:rsid w:val="00D57C84"/>
    <w:rsid w:val="00D6057D"/>
    <w:rsid w:val="00D71640"/>
    <w:rsid w:val="00D7285D"/>
    <w:rsid w:val="00D75F5E"/>
    <w:rsid w:val="00D768B8"/>
    <w:rsid w:val="00D81BE8"/>
    <w:rsid w:val="00D836C5"/>
    <w:rsid w:val="00D84576"/>
    <w:rsid w:val="00D92A19"/>
    <w:rsid w:val="00DA1399"/>
    <w:rsid w:val="00DA24C6"/>
    <w:rsid w:val="00DA4D7B"/>
    <w:rsid w:val="00DA7118"/>
    <w:rsid w:val="00DB1722"/>
    <w:rsid w:val="00DC2840"/>
    <w:rsid w:val="00DC2D2F"/>
    <w:rsid w:val="00DC73EE"/>
    <w:rsid w:val="00DD271C"/>
    <w:rsid w:val="00DD3123"/>
    <w:rsid w:val="00DD41A9"/>
    <w:rsid w:val="00DD533D"/>
    <w:rsid w:val="00DE264A"/>
    <w:rsid w:val="00DE5F77"/>
    <w:rsid w:val="00DF2368"/>
    <w:rsid w:val="00DF5072"/>
    <w:rsid w:val="00E0034B"/>
    <w:rsid w:val="00E02D18"/>
    <w:rsid w:val="00E041E7"/>
    <w:rsid w:val="00E157B7"/>
    <w:rsid w:val="00E21B69"/>
    <w:rsid w:val="00E22EA8"/>
    <w:rsid w:val="00E23CA1"/>
    <w:rsid w:val="00E31861"/>
    <w:rsid w:val="00E34CCB"/>
    <w:rsid w:val="00E409A8"/>
    <w:rsid w:val="00E4714A"/>
    <w:rsid w:val="00E47281"/>
    <w:rsid w:val="00E50C12"/>
    <w:rsid w:val="00E52EAA"/>
    <w:rsid w:val="00E53C81"/>
    <w:rsid w:val="00E6337B"/>
    <w:rsid w:val="00E6538A"/>
    <w:rsid w:val="00E65B91"/>
    <w:rsid w:val="00E7209D"/>
    <w:rsid w:val="00E72EAD"/>
    <w:rsid w:val="00E77223"/>
    <w:rsid w:val="00E83A63"/>
    <w:rsid w:val="00E8528B"/>
    <w:rsid w:val="00E85B94"/>
    <w:rsid w:val="00E95CF9"/>
    <w:rsid w:val="00E978D0"/>
    <w:rsid w:val="00EA4613"/>
    <w:rsid w:val="00EA7F91"/>
    <w:rsid w:val="00EB1523"/>
    <w:rsid w:val="00EB1687"/>
    <w:rsid w:val="00EB1E3F"/>
    <w:rsid w:val="00EC0E49"/>
    <w:rsid w:val="00EC101F"/>
    <w:rsid w:val="00EC1D9F"/>
    <w:rsid w:val="00EC66A3"/>
    <w:rsid w:val="00EC72B6"/>
    <w:rsid w:val="00ED4C07"/>
    <w:rsid w:val="00ED4C0F"/>
    <w:rsid w:val="00EE0131"/>
    <w:rsid w:val="00EE17B0"/>
    <w:rsid w:val="00EE4DEB"/>
    <w:rsid w:val="00EF06D9"/>
    <w:rsid w:val="00F05698"/>
    <w:rsid w:val="00F2574A"/>
    <w:rsid w:val="00F27EE4"/>
    <w:rsid w:val="00F3049E"/>
    <w:rsid w:val="00F30C64"/>
    <w:rsid w:val="00F32BA2"/>
    <w:rsid w:val="00F32CDB"/>
    <w:rsid w:val="00F41EE4"/>
    <w:rsid w:val="00F465BC"/>
    <w:rsid w:val="00F565FE"/>
    <w:rsid w:val="00F63A70"/>
    <w:rsid w:val="00F63D8C"/>
    <w:rsid w:val="00F7534E"/>
    <w:rsid w:val="00F80278"/>
    <w:rsid w:val="00F8048F"/>
    <w:rsid w:val="00F93EDF"/>
    <w:rsid w:val="00FA1802"/>
    <w:rsid w:val="00FA21D0"/>
    <w:rsid w:val="00FA56F7"/>
    <w:rsid w:val="00FA5F5F"/>
    <w:rsid w:val="00FA69C3"/>
    <w:rsid w:val="00FB730C"/>
    <w:rsid w:val="00FC2695"/>
    <w:rsid w:val="00FC3E03"/>
    <w:rsid w:val="00FC3FC1"/>
    <w:rsid w:val="00FF2A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47F21"/>
    <w:pPr>
      <w:keepNext/>
      <w:numPr>
        <w:ilvl w:val="1"/>
        <w:numId w:val="37"/>
      </w:numPr>
      <w:tabs>
        <w:tab w:val="left" w:pos="426"/>
      </w:tabs>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47F21"/>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606B50"/>
    <w:rPr>
      <w:color w:val="605E5C"/>
      <w:shd w:val="clear" w:color="auto" w:fill="E1DFDD"/>
    </w:rPr>
  </w:style>
  <w:style w:type="paragraph" w:styleId="Revisione">
    <w:name w:val="Revision"/>
    <w:hidden/>
    <w:uiPriority w:val="99"/>
    <w:semiHidden/>
    <w:rsid w:val="00734F2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577">
      <w:bodyDiv w:val="1"/>
      <w:marLeft w:val="0"/>
      <w:marRight w:val="0"/>
      <w:marTop w:val="0"/>
      <w:marBottom w:val="0"/>
      <w:divBdr>
        <w:top w:val="none" w:sz="0" w:space="0" w:color="auto"/>
        <w:left w:val="none" w:sz="0" w:space="0" w:color="auto"/>
        <w:bottom w:val="none" w:sz="0" w:space="0" w:color="auto"/>
        <w:right w:val="none" w:sz="0" w:space="0" w:color="auto"/>
      </w:divBdr>
    </w:div>
    <w:div w:id="46534851">
      <w:bodyDiv w:val="1"/>
      <w:marLeft w:val="0"/>
      <w:marRight w:val="0"/>
      <w:marTop w:val="0"/>
      <w:marBottom w:val="0"/>
      <w:divBdr>
        <w:top w:val="none" w:sz="0" w:space="0" w:color="auto"/>
        <w:left w:val="none" w:sz="0" w:space="0" w:color="auto"/>
        <w:bottom w:val="none" w:sz="0" w:space="0" w:color="auto"/>
        <w:right w:val="none" w:sz="0" w:space="0" w:color="auto"/>
      </w:divBdr>
    </w:div>
    <w:div w:id="77990967">
      <w:bodyDiv w:val="1"/>
      <w:marLeft w:val="0"/>
      <w:marRight w:val="0"/>
      <w:marTop w:val="0"/>
      <w:marBottom w:val="0"/>
      <w:divBdr>
        <w:top w:val="none" w:sz="0" w:space="0" w:color="auto"/>
        <w:left w:val="none" w:sz="0" w:space="0" w:color="auto"/>
        <w:bottom w:val="none" w:sz="0" w:space="0" w:color="auto"/>
        <w:right w:val="none" w:sz="0" w:space="0" w:color="auto"/>
      </w:divBdr>
    </w:div>
    <w:div w:id="80487215">
      <w:bodyDiv w:val="1"/>
      <w:marLeft w:val="0"/>
      <w:marRight w:val="0"/>
      <w:marTop w:val="0"/>
      <w:marBottom w:val="0"/>
      <w:divBdr>
        <w:top w:val="none" w:sz="0" w:space="0" w:color="auto"/>
        <w:left w:val="none" w:sz="0" w:space="0" w:color="auto"/>
        <w:bottom w:val="none" w:sz="0" w:space="0" w:color="auto"/>
        <w:right w:val="none" w:sz="0" w:space="0" w:color="auto"/>
      </w:divBdr>
    </w:div>
    <w:div w:id="87889264">
      <w:bodyDiv w:val="1"/>
      <w:marLeft w:val="0"/>
      <w:marRight w:val="0"/>
      <w:marTop w:val="0"/>
      <w:marBottom w:val="0"/>
      <w:divBdr>
        <w:top w:val="none" w:sz="0" w:space="0" w:color="auto"/>
        <w:left w:val="none" w:sz="0" w:space="0" w:color="auto"/>
        <w:bottom w:val="none" w:sz="0" w:space="0" w:color="auto"/>
        <w:right w:val="none" w:sz="0" w:space="0" w:color="auto"/>
      </w:divBdr>
    </w:div>
    <w:div w:id="92437225">
      <w:bodyDiv w:val="1"/>
      <w:marLeft w:val="0"/>
      <w:marRight w:val="0"/>
      <w:marTop w:val="0"/>
      <w:marBottom w:val="0"/>
      <w:divBdr>
        <w:top w:val="none" w:sz="0" w:space="0" w:color="auto"/>
        <w:left w:val="none" w:sz="0" w:space="0" w:color="auto"/>
        <w:bottom w:val="none" w:sz="0" w:space="0" w:color="auto"/>
        <w:right w:val="none" w:sz="0" w:space="0" w:color="auto"/>
      </w:divBdr>
    </w:div>
    <w:div w:id="94207371">
      <w:bodyDiv w:val="1"/>
      <w:marLeft w:val="0"/>
      <w:marRight w:val="0"/>
      <w:marTop w:val="0"/>
      <w:marBottom w:val="0"/>
      <w:divBdr>
        <w:top w:val="none" w:sz="0" w:space="0" w:color="auto"/>
        <w:left w:val="none" w:sz="0" w:space="0" w:color="auto"/>
        <w:bottom w:val="none" w:sz="0" w:space="0" w:color="auto"/>
        <w:right w:val="none" w:sz="0" w:space="0" w:color="auto"/>
      </w:divBdr>
    </w:div>
    <w:div w:id="95101827">
      <w:bodyDiv w:val="1"/>
      <w:marLeft w:val="0"/>
      <w:marRight w:val="0"/>
      <w:marTop w:val="0"/>
      <w:marBottom w:val="0"/>
      <w:divBdr>
        <w:top w:val="none" w:sz="0" w:space="0" w:color="auto"/>
        <w:left w:val="none" w:sz="0" w:space="0" w:color="auto"/>
        <w:bottom w:val="none" w:sz="0" w:space="0" w:color="auto"/>
        <w:right w:val="none" w:sz="0" w:space="0" w:color="auto"/>
      </w:divBdr>
    </w:div>
    <w:div w:id="99377777">
      <w:bodyDiv w:val="1"/>
      <w:marLeft w:val="0"/>
      <w:marRight w:val="0"/>
      <w:marTop w:val="0"/>
      <w:marBottom w:val="0"/>
      <w:divBdr>
        <w:top w:val="none" w:sz="0" w:space="0" w:color="auto"/>
        <w:left w:val="none" w:sz="0" w:space="0" w:color="auto"/>
        <w:bottom w:val="none" w:sz="0" w:space="0" w:color="auto"/>
        <w:right w:val="none" w:sz="0" w:space="0" w:color="auto"/>
      </w:divBdr>
    </w:div>
    <w:div w:id="99379919">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11367052">
      <w:bodyDiv w:val="1"/>
      <w:marLeft w:val="0"/>
      <w:marRight w:val="0"/>
      <w:marTop w:val="0"/>
      <w:marBottom w:val="0"/>
      <w:divBdr>
        <w:top w:val="none" w:sz="0" w:space="0" w:color="auto"/>
        <w:left w:val="none" w:sz="0" w:space="0" w:color="auto"/>
        <w:bottom w:val="none" w:sz="0" w:space="0" w:color="auto"/>
        <w:right w:val="none" w:sz="0" w:space="0" w:color="auto"/>
      </w:divBdr>
    </w:div>
    <w:div w:id="123041251">
      <w:bodyDiv w:val="1"/>
      <w:marLeft w:val="0"/>
      <w:marRight w:val="0"/>
      <w:marTop w:val="0"/>
      <w:marBottom w:val="0"/>
      <w:divBdr>
        <w:top w:val="none" w:sz="0" w:space="0" w:color="auto"/>
        <w:left w:val="none" w:sz="0" w:space="0" w:color="auto"/>
        <w:bottom w:val="none" w:sz="0" w:space="0" w:color="auto"/>
        <w:right w:val="none" w:sz="0" w:space="0" w:color="auto"/>
      </w:divBdr>
    </w:div>
    <w:div w:id="128061246">
      <w:bodyDiv w:val="1"/>
      <w:marLeft w:val="0"/>
      <w:marRight w:val="0"/>
      <w:marTop w:val="0"/>
      <w:marBottom w:val="0"/>
      <w:divBdr>
        <w:top w:val="none" w:sz="0" w:space="0" w:color="auto"/>
        <w:left w:val="none" w:sz="0" w:space="0" w:color="auto"/>
        <w:bottom w:val="none" w:sz="0" w:space="0" w:color="auto"/>
        <w:right w:val="none" w:sz="0" w:space="0" w:color="auto"/>
      </w:divBdr>
    </w:div>
    <w:div w:id="132064956">
      <w:bodyDiv w:val="1"/>
      <w:marLeft w:val="0"/>
      <w:marRight w:val="0"/>
      <w:marTop w:val="0"/>
      <w:marBottom w:val="0"/>
      <w:divBdr>
        <w:top w:val="none" w:sz="0" w:space="0" w:color="auto"/>
        <w:left w:val="none" w:sz="0" w:space="0" w:color="auto"/>
        <w:bottom w:val="none" w:sz="0" w:space="0" w:color="auto"/>
        <w:right w:val="none" w:sz="0" w:space="0" w:color="auto"/>
      </w:divBdr>
    </w:div>
    <w:div w:id="154537577">
      <w:bodyDiv w:val="1"/>
      <w:marLeft w:val="0"/>
      <w:marRight w:val="0"/>
      <w:marTop w:val="0"/>
      <w:marBottom w:val="0"/>
      <w:divBdr>
        <w:top w:val="none" w:sz="0" w:space="0" w:color="auto"/>
        <w:left w:val="none" w:sz="0" w:space="0" w:color="auto"/>
        <w:bottom w:val="none" w:sz="0" w:space="0" w:color="auto"/>
        <w:right w:val="none" w:sz="0" w:space="0" w:color="auto"/>
      </w:divBdr>
    </w:div>
    <w:div w:id="155001082">
      <w:bodyDiv w:val="1"/>
      <w:marLeft w:val="0"/>
      <w:marRight w:val="0"/>
      <w:marTop w:val="0"/>
      <w:marBottom w:val="0"/>
      <w:divBdr>
        <w:top w:val="none" w:sz="0" w:space="0" w:color="auto"/>
        <w:left w:val="none" w:sz="0" w:space="0" w:color="auto"/>
        <w:bottom w:val="none" w:sz="0" w:space="0" w:color="auto"/>
        <w:right w:val="none" w:sz="0" w:space="0" w:color="auto"/>
      </w:divBdr>
    </w:div>
    <w:div w:id="171458864">
      <w:bodyDiv w:val="1"/>
      <w:marLeft w:val="0"/>
      <w:marRight w:val="0"/>
      <w:marTop w:val="0"/>
      <w:marBottom w:val="0"/>
      <w:divBdr>
        <w:top w:val="none" w:sz="0" w:space="0" w:color="auto"/>
        <w:left w:val="none" w:sz="0" w:space="0" w:color="auto"/>
        <w:bottom w:val="none" w:sz="0" w:space="0" w:color="auto"/>
        <w:right w:val="none" w:sz="0" w:space="0" w:color="auto"/>
      </w:divBdr>
    </w:div>
    <w:div w:id="187641906">
      <w:bodyDiv w:val="1"/>
      <w:marLeft w:val="0"/>
      <w:marRight w:val="0"/>
      <w:marTop w:val="0"/>
      <w:marBottom w:val="0"/>
      <w:divBdr>
        <w:top w:val="none" w:sz="0" w:space="0" w:color="auto"/>
        <w:left w:val="none" w:sz="0" w:space="0" w:color="auto"/>
        <w:bottom w:val="none" w:sz="0" w:space="0" w:color="auto"/>
        <w:right w:val="none" w:sz="0" w:space="0" w:color="auto"/>
      </w:divBdr>
    </w:div>
    <w:div w:id="190535380">
      <w:bodyDiv w:val="1"/>
      <w:marLeft w:val="0"/>
      <w:marRight w:val="0"/>
      <w:marTop w:val="0"/>
      <w:marBottom w:val="0"/>
      <w:divBdr>
        <w:top w:val="none" w:sz="0" w:space="0" w:color="auto"/>
        <w:left w:val="none" w:sz="0" w:space="0" w:color="auto"/>
        <w:bottom w:val="none" w:sz="0" w:space="0" w:color="auto"/>
        <w:right w:val="none" w:sz="0" w:space="0" w:color="auto"/>
      </w:divBdr>
    </w:div>
    <w:div w:id="192499988">
      <w:bodyDiv w:val="1"/>
      <w:marLeft w:val="0"/>
      <w:marRight w:val="0"/>
      <w:marTop w:val="0"/>
      <w:marBottom w:val="0"/>
      <w:divBdr>
        <w:top w:val="none" w:sz="0" w:space="0" w:color="auto"/>
        <w:left w:val="none" w:sz="0" w:space="0" w:color="auto"/>
        <w:bottom w:val="none" w:sz="0" w:space="0" w:color="auto"/>
        <w:right w:val="none" w:sz="0" w:space="0" w:color="auto"/>
      </w:divBdr>
    </w:div>
    <w:div w:id="202984811">
      <w:bodyDiv w:val="1"/>
      <w:marLeft w:val="0"/>
      <w:marRight w:val="0"/>
      <w:marTop w:val="0"/>
      <w:marBottom w:val="0"/>
      <w:divBdr>
        <w:top w:val="none" w:sz="0" w:space="0" w:color="auto"/>
        <w:left w:val="none" w:sz="0" w:space="0" w:color="auto"/>
        <w:bottom w:val="none" w:sz="0" w:space="0" w:color="auto"/>
        <w:right w:val="none" w:sz="0" w:space="0" w:color="auto"/>
      </w:divBdr>
    </w:div>
    <w:div w:id="211159911">
      <w:bodyDiv w:val="1"/>
      <w:marLeft w:val="0"/>
      <w:marRight w:val="0"/>
      <w:marTop w:val="0"/>
      <w:marBottom w:val="0"/>
      <w:divBdr>
        <w:top w:val="none" w:sz="0" w:space="0" w:color="auto"/>
        <w:left w:val="none" w:sz="0" w:space="0" w:color="auto"/>
        <w:bottom w:val="none" w:sz="0" w:space="0" w:color="auto"/>
        <w:right w:val="none" w:sz="0" w:space="0" w:color="auto"/>
      </w:divBdr>
    </w:div>
    <w:div w:id="215548457">
      <w:bodyDiv w:val="1"/>
      <w:marLeft w:val="0"/>
      <w:marRight w:val="0"/>
      <w:marTop w:val="0"/>
      <w:marBottom w:val="0"/>
      <w:divBdr>
        <w:top w:val="none" w:sz="0" w:space="0" w:color="auto"/>
        <w:left w:val="none" w:sz="0" w:space="0" w:color="auto"/>
        <w:bottom w:val="none" w:sz="0" w:space="0" w:color="auto"/>
        <w:right w:val="none" w:sz="0" w:space="0" w:color="auto"/>
      </w:divBdr>
    </w:div>
    <w:div w:id="226384275">
      <w:bodyDiv w:val="1"/>
      <w:marLeft w:val="0"/>
      <w:marRight w:val="0"/>
      <w:marTop w:val="0"/>
      <w:marBottom w:val="0"/>
      <w:divBdr>
        <w:top w:val="none" w:sz="0" w:space="0" w:color="auto"/>
        <w:left w:val="none" w:sz="0" w:space="0" w:color="auto"/>
        <w:bottom w:val="none" w:sz="0" w:space="0" w:color="auto"/>
        <w:right w:val="none" w:sz="0" w:space="0" w:color="auto"/>
      </w:divBdr>
    </w:div>
    <w:div w:id="228687305">
      <w:bodyDiv w:val="1"/>
      <w:marLeft w:val="0"/>
      <w:marRight w:val="0"/>
      <w:marTop w:val="0"/>
      <w:marBottom w:val="0"/>
      <w:divBdr>
        <w:top w:val="none" w:sz="0" w:space="0" w:color="auto"/>
        <w:left w:val="none" w:sz="0" w:space="0" w:color="auto"/>
        <w:bottom w:val="none" w:sz="0" w:space="0" w:color="auto"/>
        <w:right w:val="none" w:sz="0" w:space="0" w:color="auto"/>
      </w:divBdr>
    </w:div>
    <w:div w:id="240649786">
      <w:bodyDiv w:val="1"/>
      <w:marLeft w:val="0"/>
      <w:marRight w:val="0"/>
      <w:marTop w:val="0"/>
      <w:marBottom w:val="0"/>
      <w:divBdr>
        <w:top w:val="none" w:sz="0" w:space="0" w:color="auto"/>
        <w:left w:val="none" w:sz="0" w:space="0" w:color="auto"/>
        <w:bottom w:val="none" w:sz="0" w:space="0" w:color="auto"/>
        <w:right w:val="none" w:sz="0" w:space="0" w:color="auto"/>
      </w:divBdr>
    </w:div>
    <w:div w:id="241305311">
      <w:bodyDiv w:val="1"/>
      <w:marLeft w:val="0"/>
      <w:marRight w:val="0"/>
      <w:marTop w:val="0"/>
      <w:marBottom w:val="0"/>
      <w:divBdr>
        <w:top w:val="none" w:sz="0" w:space="0" w:color="auto"/>
        <w:left w:val="none" w:sz="0" w:space="0" w:color="auto"/>
        <w:bottom w:val="none" w:sz="0" w:space="0" w:color="auto"/>
        <w:right w:val="none" w:sz="0" w:space="0" w:color="auto"/>
      </w:divBdr>
    </w:div>
    <w:div w:id="241765673">
      <w:bodyDiv w:val="1"/>
      <w:marLeft w:val="0"/>
      <w:marRight w:val="0"/>
      <w:marTop w:val="0"/>
      <w:marBottom w:val="0"/>
      <w:divBdr>
        <w:top w:val="none" w:sz="0" w:space="0" w:color="auto"/>
        <w:left w:val="none" w:sz="0" w:space="0" w:color="auto"/>
        <w:bottom w:val="none" w:sz="0" w:space="0" w:color="auto"/>
        <w:right w:val="none" w:sz="0" w:space="0" w:color="auto"/>
      </w:divBdr>
    </w:div>
    <w:div w:id="243152932">
      <w:bodyDiv w:val="1"/>
      <w:marLeft w:val="0"/>
      <w:marRight w:val="0"/>
      <w:marTop w:val="0"/>
      <w:marBottom w:val="0"/>
      <w:divBdr>
        <w:top w:val="none" w:sz="0" w:space="0" w:color="auto"/>
        <w:left w:val="none" w:sz="0" w:space="0" w:color="auto"/>
        <w:bottom w:val="none" w:sz="0" w:space="0" w:color="auto"/>
        <w:right w:val="none" w:sz="0" w:space="0" w:color="auto"/>
      </w:divBdr>
    </w:div>
    <w:div w:id="277033834">
      <w:bodyDiv w:val="1"/>
      <w:marLeft w:val="0"/>
      <w:marRight w:val="0"/>
      <w:marTop w:val="0"/>
      <w:marBottom w:val="0"/>
      <w:divBdr>
        <w:top w:val="none" w:sz="0" w:space="0" w:color="auto"/>
        <w:left w:val="none" w:sz="0" w:space="0" w:color="auto"/>
        <w:bottom w:val="none" w:sz="0" w:space="0" w:color="auto"/>
        <w:right w:val="none" w:sz="0" w:space="0" w:color="auto"/>
      </w:divBdr>
    </w:div>
    <w:div w:id="278613418">
      <w:bodyDiv w:val="1"/>
      <w:marLeft w:val="0"/>
      <w:marRight w:val="0"/>
      <w:marTop w:val="0"/>
      <w:marBottom w:val="0"/>
      <w:divBdr>
        <w:top w:val="none" w:sz="0" w:space="0" w:color="auto"/>
        <w:left w:val="none" w:sz="0" w:space="0" w:color="auto"/>
        <w:bottom w:val="none" w:sz="0" w:space="0" w:color="auto"/>
        <w:right w:val="none" w:sz="0" w:space="0" w:color="auto"/>
      </w:divBdr>
    </w:div>
    <w:div w:id="289940481">
      <w:bodyDiv w:val="1"/>
      <w:marLeft w:val="0"/>
      <w:marRight w:val="0"/>
      <w:marTop w:val="0"/>
      <w:marBottom w:val="0"/>
      <w:divBdr>
        <w:top w:val="none" w:sz="0" w:space="0" w:color="auto"/>
        <w:left w:val="none" w:sz="0" w:space="0" w:color="auto"/>
        <w:bottom w:val="none" w:sz="0" w:space="0" w:color="auto"/>
        <w:right w:val="none" w:sz="0" w:space="0" w:color="auto"/>
      </w:divBdr>
    </w:div>
    <w:div w:id="291597561">
      <w:bodyDiv w:val="1"/>
      <w:marLeft w:val="0"/>
      <w:marRight w:val="0"/>
      <w:marTop w:val="0"/>
      <w:marBottom w:val="0"/>
      <w:divBdr>
        <w:top w:val="none" w:sz="0" w:space="0" w:color="auto"/>
        <w:left w:val="none" w:sz="0" w:space="0" w:color="auto"/>
        <w:bottom w:val="none" w:sz="0" w:space="0" w:color="auto"/>
        <w:right w:val="none" w:sz="0" w:space="0" w:color="auto"/>
      </w:divBdr>
    </w:div>
    <w:div w:id="317541094">
      <w:bodyDiv w:val="1"/>
      <w:marLeft w:val="0"/>
      <w:marRight w:val="0"/>
      <w:marTop w:val="0"/>
      <w:marBottom w:val="0"/>
      <w:divBdr>
        <w:top w:val="none" w:sz="0" w:space="0" w:color="auto"/>
        <w:left w:val="none" w:sz="0" w:space="0" w:color="auto"/>
        <w:bottom w:val="none" w:sz="0" w:space="0" w:color="auto"/>
        <w:right w:val="none" w:sz="0" w:space="0" w:color="auto"/>
      </w:divBdr>
    </w:div>
    <w:div w:id="349071836">
      <w:bodyDiv w:val="1"/>
      <w:marLeft w:val="0"/>
      <w:marRight w:val="0"/>
      <w:marTop w:val="0"/>
      <w:marBottom w:val="0"/>
      <w:divBdr>
        <w:top w:val="none" w:sz="0" w:space="0" w:color="auto"/>
        <w:left w:val="none" w:sz="0" w:space="0" w:color="auto"/>
        <w:bottom w:val="none" w:sz="0" w:space="0" w:color="auto"/>
        <w:right w:val="none" w:sz="0" w:space="0" w:color="auto"/>
      </w:divBdr>
    </w:div>
    <w:div w:id="355693963">
      <w:bodyDiv w:val="1"/>
      <w:marLeft w:val="0"/>
      <w:marRight w:val="0"/>
      <w:marTop w:val="0"/>
      <w:marBottom w:val="0"/>
      <w:divBdr>
        <w:top w:val="none" w:sz="0" w:space="0" w:color="auto"/>
        <w:left w:val="none" w:sz="0" w:space="0" w:color="auto"/>
        <w:bottom w:val="none" w:sz="0" w:space="0" w:color="auto"/>
        <w:right w:val="none" w:sz="0" w:space="0" w:color="auto"/>
      </w:divBdr>
    </w:div>
    <w:div w:id="361639769">
      <w:bodyDiv w:val="1"/>
      <w:marLeft w:val="0"/>
      <w:marRight w:val="0"/>
      <w:marTop w:val="0"/>
      <w:marBottom w:val="0"/>
      <w:divBdr>
        <w:top w:val="none" w:sz="0" w:space="0" w:color="auto"/>
        <w:left w:val="none" w:sz="0" w:space="0" w:color="auto"/>
        <w:bottom w:val="none" w:sz="0" w:space="0" w:color="auto"/>
        <w:right w:val="none" w:sz="0" w:space="0" w:color="auto"/>
      </w:divBdr>
    </w:div>
    <w:div w:id="388503347">
      <w:bodyDiv w:val="1"/>
      <w:marLeft w:val="0"/>
      <w:marRight w:val="0"/>
      <w:marTop w:val="0"/>
      <w:marBottom w:val="0"/>
      <w:divBdr>
        <w:top w:val="none" w:sz="0" w:space="0" w:color="auto"/>
        <w:left w:val="none" w:sz="0" w:space="0" w:color="auto"/>
        <w:bottom w:val="none" w:sz="0" w:space="0" w:color="auto"/>
        <w:right w:val="none" w:sz="0" w:space="0" w:color="auto"/>
      </w:divBdr>
    </w:div>
    <w:div w:id="388844834">
      <w:bodyDiv w:val="1"/>
      <w:marLeft w:val="0"/>
      <w:marRight w:val="0"/>
      <w:marTop w:val="0"/>
      <w:marBottom w:val="0"/>
      <w:divBdr>
        <w:top w:val="none" w:sz="0" w:space="0" w:color="auto"/>
        <w:left w:val="none" w:sz="0" w:space="0" w:color="auto"/>
        <w:bottom w:val="none" w:sz="0" w:space="0" w:color="auto"/>
        <w:right w:val="none" w:sz="0" w:space="0" w:color="auto"/>
      </w:divBdr>
    </w:div>
    <w:div w:id="402878738">
      <w:bodyDiv w:val="1"/>
      <w:marLeft w:val="0"/>
      <w:marRight w:val="0"/>
      <w:marTop w:val="0"/>
      <w:marBottom w:val="0"/>
      <w:divBdr>
        <w:top w:val="none" w:sz="0" w:space="0" w:color="auto"/>
        <w:left w:val="none" w:sz="0" w:space="0" w:color="auto"/>
        <w:bottom w:val="none" w:sz="0" w:space="0" w:color="auto"/>
        <w:right w:val="none" w:sz="0" w:space="0" w:color="auto"/>
      </w:divBdr>
    </w:div>
    <w:div w:id="406731194">
      <w:bodyDiv w:val="1"/>
      <w:marLeft w:val="0"/>
      <w:marRight w:val="0"/>
      <w:marTop w:val="0"/>
      <w:marBottom w:val="0"/>
      <w:divBdr>
        <w:top w:val="none" w:sz="0" w:space="0" w:color="auto"/>
        <w:left w:val="none" w:sz="0" w:space="0" w:color="auto"/>
        <w:bottom w:val="none" w:sz="0" w:space="0" w:color="auto"/>
        <w:right w:val="none" w:sz="0" w:space="0" w:color="auto"/>
      </w:divBdr>
    </w:div>
    <w:div w:id="412170851">
      <w:bodyDiv w:val="1"/>
      <w:marLeft w:val="0"/>
      <w:marRight w:val="0"/>
      <w:marTop w:val="0"/>
      <w:marBottom w:val="0"/>
      <w:divBdr>
        <w:top w:val="none" w:sz="0" w:space="0" w:color="auto"/>
        <w:left w:val="none" w:sz="0" w:space="0" w:color="auto"/>
        <w:bottom w:val="none" w:sz="0" w:space="0" w:color="auto"/>
        <w:right w:val="none" w:sz="0" w:space="0" w:color="auto"/>
      </w:divBdr>
    </w:div>
    <w:div w:id="428157524">
      <w:bodyDiv w:val="1"/>
      <w:marLeft w:val="0"/>
      <w:marRight w:val="0"/>
      <w:marTop w:val="0"/>
      <w:marBottom w:val="0"/>
      <w:divBdr>
        <w:top w:val="none" w:sz="0" w:space="0" w:color="auto"/>
        <w:left w:val="none" w:sz="0" w:space="0" w:color="auto"/>
        <w:bottom w:val="none" w:sz="0" w:space="0" w:color="auto"/>
        <w:right w:val="none" w:sz="0" w:space="0" w:color="auto"/>
      </w:divBdr>
    </w:div>
    <w:div w:id="457993504">
      <w:bodyDiv w:val="1"/>
      <w:marLeft w:val="0"/>
      <w:marRight w:val="0"/>
      <w:marTop w:val="0"/>
      <w:marBottom w:val="0"/>
      <w:divBdr>
        <w:top w:val="none" w:sz="0" w:space="0" w:color="auto"/>
        <w:left w:val="none" w:sz="0" w:space="0" w:color="auto"/>
        <w:bottom w:val="none" w:sz="0" w:space="0" w:color="auto"/>
        <w:right w:val="none" w:sz="0" w:space="0" w:color="auto"/>
      </w:divBdr>
    </w:div>
    <w:div w:id="505246831">
      <w:bodyDiv w:val="1"/>
      <w:marLeft w:val="0"/>
      <w:marRight w:val="0"/>
      <w:marTop w:val="0"/>
      <w:marBottom w:val="0"/>
      <w:divBdr>
        <w:top w:val="none" w:sz="0" w:space="0" w:color="auto"/>
        <w:left w:val="none" w:sz="0" w:space="0" w:color="auto"/>
        <w:bottom w:val="none" w:sz="0" w:space="0" w:color="auto"/>
        <w:right w:val="none" w:sz="0" w:space="0" w:color="auto"/>
      </w:divBdr>
    </w:div>
    <w:div w:id="507259630">
      <w:bodyDiv w:val="1"/>
      <w:marLeft w:val="0"/>
      <w:marRight w:val="0"/>
      <w:marTop w:val="0"/>
      <w:marBottom w:val="0"/>
      <w:divBdr>
        <w:top w:val="none" w:sz="0" w:space="0" w:color="auto"/>
        <w:left w:val="none" w:sz="0" w:space="0" w:color="auto"/>
        <w:bottom w:val="none" w:sz="0" w:space="0" w:color="auto"/>
        <w:right w:val="none" w:sz="0" w:space="0" w:color="auto"/>
      </w:divBdr>
    </w:div>
    <w:div w:id="526647706">
      <w:bodyDiv w:val="1"/>
      <w:marLeft w:val="0"/>
      <w:marRight w:val="0"/>
      <w:marTop w:val="0"/>
      <w:marBottom w:val="0"/>
      <w:divBdr>
        <w:top w:val="none" w:sz="0" w:space="0" w:color="auto"/>
        <w:left w:val="none" w:sz="0" w:space="0" w:color="auto"/>
        <w:bottom w:val="none" w:sz="0" w:space="0" w:color="auto"/>
        <w:right w:val="none" w:sz="0" w:space="0" w:color="auto"/>
      </w:divBdr>
    </w:div>
    <w:div w:id="535191434">
      <w:bodyDiv w:val="1"/>
      <w:marLeft w:val="0"/>
      <w:marRight w:val="0"/>
      <w:marTop w:val="0"/>
      <w:marBottom w:val="0"/>
      <w:divBdr>
        <w:top w:val="none" w:sz="0" w:space="0" w:color="auto"/>
        <w:left w:val="none" w:sz="0" w:space="0" w:color="auto"/>
        <w:bottom w:val="none" w:sz="0" w:space="0" w:color="auto"/>
        <w:right w:val="none" w:sz="0" w:space="0" w:color="auto"/>
      </w:divBdr>
    </w:div>
    <w:div w:id="552544337">
      <w:bodyDiv w:val="1"/>
      <w:marLeft w:val="0"/>
      <w:marRight w:val="0"/>
      <w:marTop w:val="0"/>
      <w:marBottom w:val="0"/>
      <w:divBdr>
        <w:top w:val="none" w:sz="0" w:space="0" w:color="auto"/>
        <w:left w:val="none" w:sz="0" w:space="0" w:color="auto"/>
        <w:bottom w:val="none" w:sz="0" w:space="0" w:color="auto"/>
        <w:right w:val="none" w:sz="0" w:space="0" w:color="auto"/>
      </w:divBdr>
    </w:div>
    <w:div w:id="581988851">
      <w:bodyDiv w:val="1"/>
      <w:marLeft w:val="0"/>
      <w:marRight w:val="0"/>
      <w:marTop w:val="0"/>
      <w:marBottom w:val="0"/>
      <w:divBdr>
        <w:top w:val="none" w:sz="0" w:space="0" w:color="auto"/>
        <w:left w:val="none" w:sz="0" w:space="0" w:color="auto"/>
        <w:bottom w:val="none" w:sz="0" w:space="0" w:color="auto"/>
        <w:right w:val="none" w:sz="0" w:space="0" w:color="auto"/>
      </w:divBdr>
    </w:div>
    <w:div w:id="596988339">
      <w:bodyDiv w:val="1"/>
      <w:marLeft w:val="0"/>
      <w:marRight w:val="0"/>
      <w:marTop w:val="0"/>
      <w:marBottom w:val="0"/>
      <w:divBdr>
        <w:top w:val="none" w:sz="0" w:space="0" w:color="auto"/>
        <w:left w:val="none" w:sz="0" w:space="0" w:color="auto"/>
        <w:bottom w:val="none" w:sz="0" w:space="0" w:color="auto"/>
        <w:right w:val="none" w:sz="0" w:space="0" w:color="auto"/>
      </w:divBdr>
    </w:div>
    <w:div w:id="603996991">
      <w:bodyDiv w:val="1"/>
      <w:marLeft w:val="0"/>
      <w:marRight w:val="0"/>
      <w:marTop w:val="0"/>
      <w:marBottom w:val="0"/>
      <w:divBdr>
        <w:top w:val="none" w:sz="0" w:space="0" w:color="auto"/>
        <w:left w:val="none" w:sz="0" w:space="0" w:color="auto"/>
        <w:bottom w:val="none" w:sz="0" w:space="0" w:color="auto"/>
        <w:right w:val="none" w:sz="0" w:space="0" w:color="auto"/>
      </w:divBdr>
    </w:div>
    <w:div w:id="614021544">
      <w:bodyDiv w:val="1"/>
      <w:marLeft w:val="0"/>
      <w:marRight w:val="0"/>
      <w:marTop w:val="0"/>
      <w:marBottom w:val="0"/>
      <w:divBdr>
        <w:top w:val="none" w:sz="0" w:space="0" w:color="auto"/>
        <w:left w:val="none" w:sz="0" w:space="0" w:color="auto"/>
        <w:bottom w:val="none" w:sz="0" w:space="0" w:color="auto"/>
        <w:right w:val="none" w:sz="0" w:space="0" w:color="auto"/>
      </w:divBdr>
    </w:div>
    <w:div w:id="629701833">
      <w:bodyDiv w:val="1"/>
      <w:marLeft w:val="0"/>
      <w:marRight w:val="0"/>
      <w:marTop w:val="0"/>
      <w:marBottom w:val="0"/>
      <w:divBdr>
        <w:top w:val="none" w:sz="0" w:space="0" w:color="auto"/>
        <w:left w:val="none" w:sz="0" w:space="0" w:color="auto"/>
        <w:bottom w:val="none" w:sz="0" w:space="0" w:color="auto"/>
        <w:right w:val="none" w:sz="0" w:space="0" w:color="auto"/>
      </w:divBdr>
    </w:div>
    <w:div w:id="630790577">
      <w:bodyDiv w:val="1"/>
      <w:marLeft w:val="0"/>
      <w:marRight w:val="0"/>
      <w:marTop w:val="0"/>
      <w:marBottom w:val="0"/>
      <w:divBdr>
        <w:top w:val="none" w:sz="0" w:space="0" w:color="auto"/>
        <w:left w:val="none" w:sz="0" w:space="0" w:color="auto"/>
        <w:bottom w:val="none" w:sz="0" w:space="0" w:color="auto"/>
        <w:right w:val="none" w:sz="0" w:space="0" w:color="auto"/>
      </w:divBdr>
    </w:div>
    <w:div w:id="640691903">
      <w:bodyDiv w:val="1"/>
      <w:marLeft w:val="0"/>
      <w:marRight w:val="0"/>
      <w:marTop w:val="0"/>
      <w:marBottom w:val="0"/>
      <w:divBdr>
        <w:top w:val="none" w:sz="0" w:space="0" w:color="auto"/>
        <w:left w:val="none" w:sz="0" w:space="0" w:color="auto"/>
        <w:bottom w:val="none" w:sz="0" w:space="0" w:color="auto"/>
        <w:right w:val="none" w:sz="0" w:space="0" w:color="auto"/>
      </w:divBdr>
    </w:div>
    <w:div w:id="647050314">
      <w:bodyDiv w:val="1"/>
      <w:marLeft w:val="0"/>
      <w:marRight w:val="0"/>
      <w:marTop w:val="0"/>
      <w:marBottom w:val="0"/>
      <w:divBdr>
        <w:top w:val="none" w:sz="0" w:space="0" w:color="auto"/>
        <w:left w:val="none" w:sz="0" w:space="0" w:color="auto"/>
        <w:bottom w:val="none" w:sz="0" w:space="0" w:color="auto"/>
        <w:right w:val="none" w:sz="0" w:space="0" w:color="auto"/>
      </w:divBdr>
    </w:div>
    <w:div w:id="652023542">
      <w:bodyDiv w:val="1"/>
      <w:marLeft w:val="0"/>
      <w:marRight w:val="0"/>
      <w:marTop w:val="0"/>
      <w:marBottom w:val="0"/>
      <w:divBdr>
        <w:top w:val="none" w:sz="0" w:space="0" w:color="auto"/>
        <w:left w:val="none" w:sz="0" w:space="0" w:color="auto"/>
        <w:bottom w:val="none" w:sz="0" w:space="0" w:color="auto"/>
        <w:right w:val="none" w:sz="0" w:space="0" w:color="auto"/>
      </w:divBdr>
    </w:div>
    <w:div w:id="669913709">
      <w:bodyDiv w:val="1"/>
      <w:marLeft w:val="0"/>
      <w:marRight w:val="0"/>
      <w:marTop w:val="0"/>
      <w:marBottom w:val="0"/>
      <w:divBdr>
        <w:top w:val="none" w:sz="0" w:space="0" w:color="auto"/>
        <w:left w:val="none" w:sz="0" w:space="0" w:color="auto"/>
        <w:bottom w:val="none" w:sz="0" w:space="0" w:color="auto"/>
        <w:right w:val="none" w:sz="0" w:space="0" w:color="auto"/>
      </w:divBdr>
    </w:div>
    <w:div w:id="680814728">
      <w:bodyDiv w:val="1"/>
      <w:marLeft w:val="0"/>
      <w:marRight w:val="0"/>
      <w:marTop w:val="0"/>
      <w:marBottom w:val="0"/>
      <w:divBdr>
        <w:top w:val="none" w:sz="0" w:space="0" w:color="auto"/>
        <w:left w:val="none" w:sz="0" w:space="0" w:color="auto"/>
        <w:bottom w:val="none" w:sz="0" w:space="0" w:color="auto"/>
        <w:right w:val="none" w:sz="0" w:space="0" w:color="auto"/>
      </w:divBdr>
    </w:div>
    <w:div w:id="684019350">
      <w:bodyDiv w:val="1"/>
      <w:marLeft w:val="0"/>
      <w:marRight w:val="0"/>
      <w:marTop w:val="0"/>
      <w:marBottom w:val="0"/>
      <w:divBdr>
        <w:top w:val="none" w:sz="0" w:space="0" w:color="auto"/>
        <w:left w:val="none" w:sz="0" w:space="0" w:color="auto"/>
        <w:bottom w:val="none" w:sz="0" w:space="0" w:color="auto"/>
        <w:right w:val="none" w:sz="0" w:space="0" w:color="auto"/>
      </w:divBdr>
    </w:div>
    <w:div w:id="700714063">
      <w:bodyDiv w:val="1"/>
      <w:marLeft w:val="0"/>
      <w:marRight w:val="0"/>
      <w:marTop w:val="0"/>
      <w:marBottom w:val="0"/>
      <w:divBdr>
        <w:top w:val="none" w:sz="0" w:space="0" w:color="auto"/>
        <w:left w:val="none" w:sz="0" w:space="0" w:color="auto"/>
        <w:bottom w:val="none" w:sz="0" w:space="0" w:color="auto"/>
        <w:right w:val="none" w:sz="0" w:space="0" w:color="auto"/>
      </w:divBdr>
    </w:div>
    <w:div w:id="704403080">
      <w:bodyDiv w:val="1"/>
      <w:marLeft w:val="0"/>
      <w:marRight w:val="0"/>
      <w:marTop w:val="0"/>
      <w:marBottom w:val="0"/>
      <w:divBdr>
        <w:top w:val="none" w:sz="0" w:space="0" w:color="auto"/>
        <w:left w:val="none" w:sz="0" w:space="0" w:color="auto"/>
        <w:bottom w:val="none" w:sz="0" w:space="0" w:color="auto"/>
        <w:right w:val="none" w:sz="0" w:space="0" w:color="auto"/>
      </w:divBdr>
    </w:div>
    <w:div w:id="710347134">
      <w:bodyDiv w:val="1"/>
      <w:marLeft w:val="0"/>
      <w:marRight w:val="0"/>
      <w:marTop w:val="0"/>
      <w:marBottom w:val="0"/>
      <w:divBdr>
        <w:top w:val="none" w:sz="0" w:space="0" w:color="auto"/>
        <w:left w:val="none" w:sz="0" w:space="0" w:color="auto"/>
        <w:bottom w:val="none" w:sz="0" w:space="0" w:color="auto"/>
        <w:right w:val="none" w:sz="0" w:space="0" w:color="auto"/>
      </w:divBdr>
    </w:div>
    <w:div w:id="753673979">
      <w:bodyDiv w:val="1"/>
      <w:marLeft w:val="0"/>
      <w:marRight w:val="0"/>
      <w:marTop w:val="0"/>
      <w:marBottom w:val="0"/>
      <w:divBdr>
        <w:top w:val="none" w:sz="0" w:space="0" w:color="auto"/>
        <w:left w:val="none" w:sz="0" w:space="0" w:color="auto"/>
        <w:bottom w:val="none" w:sz="0" w:space="0" w:color="auto"/>
        <w:right w:val="none" w:sz="0" w:space="0" w:color="auto"/>
      </w:divBdr>
    </w:div>
    <w:div w:id="75374169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82462">
      <w:bodyDiv w:val="1"/>
      <w:marLeft w:val="0"/>
      <w:marRight w:val="0"/>
      <w:marTop w:val="0"/>
      <w:marBottom w:val="0"/>
      <w:divBdr>
        <w:top w:val="none" w:sz="0" w:space="0" w:color="auto"/>
        <w:left w:val="none" w:sz="0" w:space="0" w:color="auto"/>
        <w:bottom w:val="none" w:sz="0" w:space="0" w:color="auto"/>
        <w:right w:val="none" w:sz="0" w:space="0" w:color="auto"/>
      </w:divBdr>
    </w:div>
    <w:div w:id="823089512">
      <w:bodyDiv w:val="1"/>
      <w:marLeft w:val="0"/>
      <w:marRight w:val="0"/>
      <w:marTop w:val="0"/>
      <w:marBottom w:val="0"/>
      <w:divBdr>
        <w:top w:val="none" w:sz="0" w:space="0" w:color="auto"/>
        <w:left w:val="none" w:sz="0" w:space="0" w:color="auto"/>
        <w:bottom w:val="none" w:sz="0" w:space="0" w:color="auto"/>
        <w:right w:val="none" w:sz="0" w:space="0" w:color="auto"/>
      </w:divBdr>
    </w:div>
    <w:div w:id="826092535">
      <w:bodyDiv w:val="1"/>
      <w:marLeft w:val="0"/>
      <w:marRight w:val="0"/>
      <w:marTop w:val="0"/>
      <w:marBottom w:val="0"/>
      <w:divBdr>
        <w:top w:val="none" w:sz="0" w:space="0" w:color="auto"/>
        <w:left w:val="none" w:sz="0" w:space="0" w:color="auto"/>
        <w:bottom w:val="none" w:sz="0" w:space="0" w:color="auto"/>
        <w:right w:val="none" w:sz="0" w:space="0" w:color="auto"/>
      </w:divBdr>
    </w:div>
    <w:div w:id="840658135">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522612">
      <w:bodyDiv w:val="1"/>
      <w:marLeft w:val="0"/>
      <w:marRight w:val="0"/>
      <w:marTop w:val="0"/>
      <w:marBottom w:val="0"/>
      <w:divBdr>
        <w:top w:val="none" w:sz="0" w:space="0" w:color="auto"/>
        <w:left w:val="none" w:sz="0" w:space="0" w:color="auto"/>
        <w:bottom w:val="none" w:sz="0" w:space="0" w:color="auto"/>
        <w:right w:val="none" w:sz="0" w:space="0" w:color="auto"/>
      </w:divBdr>
    </w:div>
    <w:div w:id="926304636">
      <w:bodyDiv w:val="1"/>
      <w:marLeft w:val="0"/>
      <w:marRight w:val="0"/>
      <w:marTop w:val="0"/>
      <w:marBottom w:val="0"/>
      <w:divBdr>
        <w:top w:val="none" w:sz="0" w:space="0" w:color="auto"/>
        <w:left w:val="none" w:sz="0" w:space="0" w:color="auto"/>
        <w:bottom w:val="none" w:sz="0" w:space="0" w:color="auto"/>
        <w:right w:val="none" w:sz="0" w:space="0" w:color="auto"/>
      </w:divBdr>
    </w:div>
    <w:div w:id="92761731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3416">
      <w:bodyDiv w:val="1"/>
      <w:marLeft w:val="0"/>
      <w:marRight w:val="0"/>
      <w:marTop w:val="0"/>
      <w:marBottom w:val="0"/>
      <w:divBdr>
        <w:top w:val="none" w:sz="0" w:space="0" w:color="auto"/>
        <w:left w:val="none" w:sz="0" w:space="0" w:color="auto"/>
        <w:bottom w:val="none" w:sz="0" w:space="0" w:color="auto"/>
        <w:right w:val="none" w:sz="0" w:space="0" w:color="auto"/>
      </w:divBdr>
    </w:div>
    <w:div w:id="955218141">
      <w:bodyDiv w:val="1"/>
      <w:marLeft w:val="0"/>
      <w:marRight w:val="0"/>
      <w:marTop w:val="0"/>
      <w:marBottom w:val="0"/>
      <w:divBdr>
        <w:top w:val="none" w:sz="0" w:space="0" w:color="auto"/>
        <w:left w:val="none" w:sz="0" w:space="0" w:color="auto"/>
        <w:bottom w:val="none" w:sz="0" w:space="0" w:color="auto"/>
        <w:right w:val="none" w:sz="0" w:space="0" w:color="auto"/>
      </w:divBdr>
    </w:div>
    <w:div w:id="967928335">
      <w:bodyDiv w:val="1"/>
      <w:marLeft w:val="0"/>
      <w:marRight w:val="0"/>
      <w:marTop w:val="0"/>
      <w:marBottom w:val="0"/>
      <w:divBdr>
        <w:top w:val="none" w:sz="0" w:space="0" w:color="auto"/>
        <w:left w:val="none" w:sz="0" w:space="0" w:color="auto"/>
        <w:bottom w:val="none" w:sz="0" w:space="0" w:color="auto"/>
        <w:right w:val="none" w:sz="0" w:space="0" w:color="auto"/>
      </w:divBdr>
    </w:div>
    <w:div w:id="1008749015">
      <w:bodyDiv w:val="1"/>
      <w:marLeft w:val="0"/>
      <w:marRight w:val="0"/>
      <w:marTop w:val="0"/>
      <w:marBottom w:val="0"/>
      <w:divBdr>
        <w:top w:val="none" w:sz="0" w:space="0" w:color="auto"/>
        <w:left w:val="none" w:sz="0" w:space="0" w:color="auto"/>
        <w:bottom w:val="none" w:sz="0" w:space="0" w:color="auto"/>
        <w:right w:val="none" w:sz="0" w:space="0" w:color="auto"/>
      </w:divBdr>
    </w:div>
    <w:div w:id="1009406758">
      <w:bodyDiv w:val="1"/>
      <w:marLeft w:val="0"/>
      <w:marRight w:val="0"/>
      <w:marTop w:val="0"/>
      <w:marBottom w:val="0"/>
      <w:divBdr>
        <w:top w:val="none" w:sz="0" w:space="0" w:color="auto"/>
        <w:left w:val="none" w:sz="0" w:space="0" w:color="auto"/>
        <w:bottom w:val="none" w:sz="0" w:space="0" w:color="auto"/>
        <w:right w:val="none" w:sz="0" w:space="0" w:color="auto"/>
      </w:divBdr>
    </w:div>
    <w:div w:id="1016812390">
      <w:bodyDiv w:val="1"/>
      <w:marLeft w:val="0"/>
      <w:marRight w:val="0"/>
      <w:marTop w:val="0"/>
      <w:marBottom w:val="0"/>
      <w:divBdr>
        <w:top w:val="none" w:sz="0" w:space="0" w:color="auto"/>
        <w:left w:val="none" w:sz="0" w:space="0" w:color="auto"/>
        <w:bottom w:val="none" w:sz="0" w:space="0" w:color="auto"/>
        <w:right w:val="none" w:sz="0" w:space="0" w:color="auto"/>
      </w:divBdr>
    </w:div>
    <w:div w:id="1020934737">
      <w:bodyDiv w:val="1"/>
      <w:marLeft w:val="0"/>
      <w:marRight w:val="0"/>
      <w:marTop w:val="0"/>
      <w:marBottom w:val="0"/>
      <w:divBdr>
        <w:top w:val="none" w:sz="0" w:space="0" w:color="auto"/>
        <w:left w:val="none" w:sz="0" w:space="0" w:color="auto"/>
        <w:bottom w:val="none" w:sz="0" w:space="0" w:color="auto"/>
        <w:right w:val="none" w:sz="0" w:space="0" w:color="auto"/>
      </w:divBdr>
    </w:div>
    <w:div w:id="1029794015">
      <w:bodyDiv w:val="1"/>
      <w:marLeft w:val="0"/>
      <w:marRight w:val="0"/>
      <w:marTop w:val="0"/>
      <w:marBottom w:val="0"/>
      <w:divBdr>
        <w:top w:val="none" w:sz="0" w:space="0" w:color="auto"/>
        <w:left w:val="none" w:sz="0" w:space="0" w:color="auto"/>
        <w:bottom w:val="none" w:sz="0" w:space="0" w:color="auto"/>
        <w:right w:val="none" w:sz="0" w:space="0" w:color="auto"/>
      </w:divBdr>
    </w:div>
    <w:div w:id="1039933259">
      <w:bodyDiv w:val="1"/>
      <w:marLeft w:val="0"/>
      <w:marRight w:val="0"/>
      <w:marTop w:val="0"/>
      <w:marBottom w:val="0"/>
      <w:divBdr>
        <w:top w:val="none" w:sz="0" w:space="0" w:color="auto"/>
        <w:left w:val="none" w:sz="0" w:space="0" w:color="auto"/>
        <w:bottom w:val="none" w:sz="0" w:space="0" w:color="auto"/>
        <w:right w:val="none" w:sz="0" w:space="0" w:color="auto"/>
      </w:divBdr>
    </w:div>
    <w:div w:id="1042704479">
      <w:bodyDiv w:val="1"/>
      <w:marLeft w:val="0"/>
      <w:marRight w:val="0"/>
      <w:marTop w:val="0"/>
      <w:marBottom w:val="0"/>
      <w:divBdr>
        <w:top w:val="none" w:sz="0" w:space="0" w:color="auto"/>
        <w:left w:val="none" w:sz="0" w:space="0" w:color="auto"/>
        <w:bottom w:val="none" w:sz="0" w:space="0" w:color="auto"/>
        <w:right w:val="none" w:sz="0" w:space="0" w:color="auto"/>
      </w:divBdr>
    </w:div>
    <w:div w:id="1049185566">
      <w:bodyDiv w:val="1"/>
      <w:marLeft w:val="0"/>
      <w:marRight w:val="0"/>
      <w:marTop w:val="0"/>
      <w:marBottom w:val="0"/>
      <w:divBdr>
        <w:top w:val="none" w:sz="0" w:space="0" w:color="auto"/>
        <w:left w:val="none" w:sz="0" w:space="0" w:color="auto"/>
        <w:bottom w:val="none" w:sz="0" w:space="0" w:color="auto"/>
        <w:right w:val="none" w:sz="0" w:space="0" w:color="auto"/>
      </w:divBdr>
    </w:div>
    <w:div w:id="1094593671">
      <w:bodyDiv w:val="1"/>
      <w:marLeft w:val="0"/>
      <w:marRight w:val="0"/>
      <w:marTop w:val="0"/>
      <w:marBottom w:val="0"/>
      <w:divBdr>
        <w:top w:val="none" w:sz="0" w:space="0" w:color="auto"/>
        <w:left w:val="none" w:sz="0" w:space="0" w:color="auto"/>
        <w:bottom w:val="none" w:sz="0" w:space="0" w:color="auto"/>
        <w:right w:val="none" w:sz="0" w:space="0" w:color="auto"/>
      </w:divBdr>
    </w:div>
    <w:div w:id="1101802018">
      <w:bodyDiv w:val="1"/>
      <w:marLeft w:val="0"/>
      <w:marRight w:val="0"/>
      <w:marTop w:val="0"/>
      <w:marBottom w:val="0"/>
      <w:divBdr>
        <w:top w:val="none" w:sz="0" w:space="0" w:color="auto"/>
        <w:left w:val="none" w:sz="0" w:space="0" w:color="auto"/>
        <w:bottom w:val="none" w:sz="0" w:space="0" w:color="auto"/>
        <w:right w:val="none" w:sz="0" w:space="0" w:color="auto"/>
      </w:divBdr>
    </w:div>
    <w:div w:id="1115252906">
      <w:bodyDiv w:val="1"/>
      <w:marLeft w:val="0"/>
      <w:marRight w:val="0"/>
      <w:marTop w:val="0"/>
      <w:marBottom w:val="0"/>
      <w:divBdr>
        <w:top w:val="none" w:sz="0" w:space="0" w:color="auto"/>
        <w:left w:val="none" w:sz="0" w:space="0" w:color="auto"/>
        <w:bottom w:val="none" w:sz="0" w:space="0" w:color="auto"/>
        <w:right w:val="none" w:sz="0" w:space="0" w:color="auto"/>
      </w:divBdr>
    </w:div>
    <w:div w:id="1125657681">
      <w:bodyDiv w:val="1"/>
      <w:marLeft w:val="0"/>
      <w:marRight w:val="0"/>
      <w:marTop w:val="0"/>
      <w:marBottom w:val="0"/>
      <w:divBdr>
        <w:top w:val="none" w:sz="0" w:space="0" w:color="auto"/>
        <w:left w:val="none" w:sz="0" w:space="0" w:color="auto"/>
        <w:bottom w:val="none" w:sz="0" w:space="0" w:color="auto"/>
        <w:right w:val="none" w:sz="0" w:space="0" w:color="auto"/>
      </w:divBdr>
    </w:div>
    <w:div w:id="1161382876">
      <w:bodyDiv w:val="1"/>
      <w:marLeft w:val="0"/>
      <w:marRight w:val="0"/>
      <w:marTop w:val="0"/>
      <w:marBottom w:val="0"/>
      <w:divBdr>
        <w:top w:val="none" w:sz="0" w:space="0" w:color="auto"/>
        <w:left w:val="none" w:sz="0" w:space="0" w:color="auto"/>
        <w:bottom w:val="none" w:sz="0" w:space="0" w:color="auto"/>
        <w:right w:val="none" w:sz="0" w:space="0" w:color="auto"/>
      </w:divBdr>
    </w:div>
    <w:div w:id="1166090589">
      <w:bodyDiv w:val="1"/>
      <w:marLeft w:val="0"/>
      <w:marRight w:val="0"/>
      <w:marTop w:val="0"/>
      <w:marBottom w:val="0"/>
      <w:divBdr>
        <w:top w:val="none" w:sz="0" w:space="0" w:color="auto"/>
        <w:left w:val="none" w:sz="0" w:space="0" w:color="auto"/>
        <w:bottom w:val="none" w:sz="0" w:space="0" w:color="auto"/>
        <w:right w:val="none" w:sz="0" w:space="0" w:color="auto"/>
      </w:divBdr>
    </w:div>
    <w:div w:id="1208183328">
      <w:bodyDiv w:val="1"/>
      <w:marLeft w:val="0"/>
      <w:marRight w:val="0"/>
      <w:marTop w:val="0"/>
      <w:marBottom w:val="0"/>
      <w:divBdr>
        <w:top w:val="none" w:sz="0" w:space="0" w:color="auto"/>
        <w:left w:val="none" w:sz="0" w:space="0" w:color="auto"/>
        <w:bottom w:val="none" w:sz="0" w:space="0" w:color="auto"/>
        <w:right w:val="none" w:sz="0" w:space="0" w:color="auto"/>
      </w:divBdr>
    </w:div>
    <w:div w:id="1210532411">
      <w:bodyDiv w:val="1"/>
      <w:marLeft w:val="0"/>
      <w:marRight w:val="0"/>
      <w:marTop w:val="0"/>
      <w:marBottom w:val="0"/>
      <w:divBdr>
        <w:top w:val="none" w:sz="0" w:space="0" w:color="auto"/>
        <w:left w:val="none" w:sz="0" w:space="0" w:color="auto"/>
        <w:bottom w:val="none" w:sz="0" w:space="0" w:color="auto"/>
        <w:right w:val="none" w:sz="0" w:space="0" w:color="auto"/>
      </w:divBdr>
    </w:div>
    <w:div w:id="1211839103">
      <w:bodyDiv w:val="1"/>
      <w:marLeft w:val="0"/>
      <w:marRight w:val="0"/>
      <w:marTop w:val="0"/>
      <w:marBottom w:val="0"/>
      <w:divBdr>
        <w:top w:val="none" w:sz="0" w:space="0" w:color="auto"/>
        <w:left w:val="none" w:sz="0" w:space="0" w:color="auto"/>
        <w:bottom w:val="none" w:sz="0" w:space="0" w:color="auto"/>
        <w:right w:val="none" w:sz="0" w:space="0" w:color="auto"/>
      </w:divBdr>
    </w:div>
    <w:div w:id="1217276108">
      <w:bodyDiv w:val="1"/>
      <w:marLeft w:val="0"/>
      <w:marRight w:val="0"/>
      <w:marTop w:val="0"/>
      <w:marBottom w:val="0"/>
      <w:divBdr>
        <w:top w:val="none" w:sz="0" w:space="0" w:color="auto"/>
        <w:left w:val="none" w:sz="0" w:space="0" w:color="auto"/>
        <w:bottom w:val="none" w:sz="0" w:space="0" w:color="auto"/>
        <w:right w:val="none" w:sz="0" w:space="0" w:color="auto"/>
      </w:divBdr>
    </w:div>
    <w:div w:id="1221333035">
      <w:bodyDiv w:val="1"/>
      <w:marLeft w:val="0"/>
      <w:marRight w:val="0"/>
      <w:marTop w:val="0"/>
      <w:marBottom w:val="0"/>
      <w:divBdr>
        <w:top w:val="none" w:sz="0" w:space="0" w:color="auto"/>
        <w:left w:val="none" w:sz="0" w:space="0" w:color="auto"/>
        <w:bottom w:val="none" w:sz="0" w:space="0" w:color="auto"/>
        <w:right w:val="none" w:sz="0" w:space="0" w:color="auto"/>
      </w:divBdr>
    </w:div>
    <w:div w:id="1231037281">
      <w:bodyDiv w:val="1"/>
      <w:marLeft w:val="0"/>
      <w:marRight w:val="0"/>
      <w:marTop w:val="0"/>
      <w:marBottom w:val="0"/>
      <w:divBdr>
        <w:top w:val="none" w:sz="0" w:space="0" w:color="auto"/>
        <w:left w:val="none" w:sz="0" w:space="0" w:color="auto"/>
        <w:bottom w:val="none" w:sz="0" w:space="0" w:color="auto"/>
        <w:right w:val="none" w:sz="0" w:space="0" w:color="auto"/>
      </w:divBdr>
    </w:div>
    <w:div w:id="1232813811">
      <w:bodyDiv w:val="1"/>
      <w:marLeft w:val="0"/>
      <w:marRight w:val="0"/>
      <w:marTop w:val="0"/>
      <w:marBottom w:val="0"/>
      <w:divBdr>
        <w:top w:val="none" w:sz="0" w:space="0" w:color="auto"/>
        <w:left w:val="none" w:sz="0" w:space="0" w:color="auto"/>
        <w:bottom w:val="none" w:sz="0" w:space="0" w:color="auto"/>
        <w:right w:val="none" w:sz="0" w:space="0" w:color="auto"/>
      </w:divBdr>
    </w:div>
    <w:div w:id="1233276846">
      <w:bodyDiv w:val="1"/>
      <w:marLeft w:val="0"/>
      <w:marRight w:val="0"/>
      <w:marTop w:val="0"/>
      <w:marBottom w:val="0"/>
      <w:divBdr>
        <w:top w:val="none" w:sz="0" w:space="0" w:color="auto"/>
        <w:left w:val="none" w:sz="0" w:space="0" w:color="auto"/>
        <w:bottom w:val="none" w:sz="0" w:space="0" w:color="auto"/>
        <w:right w:val="none" w:sz="0" w:space="0" w:color="auto"/>
      </w:divBdr>
    </w:div>
    <w:div w:id="1238175321">
      <w:bodyDiv w:val="1"/>
      <w:marLeft w:val="0"/>
      <w:marRight w:val="0"/>
      <w:marTop w:val="0"/>
      <w:marBottom w:val="0"/>
      <w:divBdr>
        <w:top w:val="none" w:sz="0" w:space="0" w:color="auto"/>
        <w:left w:val="none" w:sz="0" w:space="0" w:color="auto"/>
        <w:bottom w:val="none" w:sz="0" w:space="0" w:color="auto"/>
        <w:right w:val="none" w:sz="0" w:space="0" w:color="auto"/>
      </w:divBdr>
    </w:div>
    <w:div w:id="1243028486">
      <w:bodyDiv w:val="1"/>
      <w:marLeft w:val="0"/>
      <w:marRight w:val="0"/>
      <w:marTop w:val="0"/>
      <w:marBottom w:val="0"/>
      <w:divBdr>
        <w:top w:val="none" w:sz="0" w:space="0" w:color="auto"/>
        <w:left w:val="none" w:sz="0" w:space="0" w:color="auto"/>
        <w:bottom w:val="none" w:sz="0" w:space="0" w:color="auto"/>
        <w:right w:val="none" w:sz="0" w:space="0" w:color="auto"/>
      </w:divBdr>
    </w:div>
    <w:div w:id="1248149041">
      <w:bodyDiv w:val="1"/>
      <w:marLeft w:val="0"/>
      <w:marRight w:val="0"/>
      <w:marTop w:val="0"/>
      <w:marBottom w:val="0"/>
      <w:divBdr>
        <w:top w:val="none" w:sz="0" w:space="0" w:color="auto"/>
        <w:left w:val="none" w:sz="0" w:space="0" w:color="auto"/>
        <w:bottom w:val="none" w:sz="0" w:space="0" w:color="auto"/>
        <w:right w:val="none" w:sz="0" w:space="0" w:color="auto"/>
      </w:divBdr>
    </w:div>
    <w:div w:id="1253275791">
      <w:bodyDiv w:val="1"/>
      <w:marLeft w:val="0"/>
      <w:marRight w:val="0"/>
      <w:marTop w:val="0"/>
      <w:marBottom w:val="0"/>
      <w:divBdr>
        <w:top w:val="none" w:sz="0" w:space="0" w:color="auto"/>
        <w:left w:val="none" w:sz="0" w:space="0" w:color="auto"/>
        <w:bottom w:val="none" w:sz="0" w:space="0" w:color="auto"/>
        <w:right w:val="none" w:sz="0" w:space="0" w:color="auto"/>
      </w:divBdr>
    </w:div>
    <w:div w:id="1258367613">
      <w:bodyDiv w:val="1"/>
      <w:marLeft w:val="0"/>
      <w:marRight w:val="0"/>
      <w:marTop w:val="0"/>
      <w:marBottom w:val="0"/>
      <w:divBdr>
        <w:top w:val="none" w:sz="0" w:space="0" w:color="auto"/>
        <w:left w:val="none" w:sz="0" w:space="0" w:color="auto"/>
        <w:bottom w:val="none" w:sz="0" w:space="0" w:color="auto"/>
        <w:right w:val="none" w:sz="0" w:space="0" w:color="auto"/>
      </w:divBdr>
    </w:div>
    <w:div w:id="1274553696">
      <w:bodyDiv w:val="1"/>
      <w:marLeft w:val="0"/>
      <w:marRight w:val="0"/>
      <w:marTop w:val="0"/>
      <w:marBottom w:val="0"/>
      <w:divBdr>
        <w:top w:val="none" w:sz="0" w:space="0" w:color="auto"/>
        <w:left w:val="none" w:sz="0" w:space="0" w:color="auto"/>
        <w:bottom w:val="none" w:sz="0" w:space="0" w:color="auto"/>
        <w:right w:val="none" w:sz="0" w:space="0" w:color="auto"/>
      </w:divBdr>
    </w:div>
    <w:div w:id="1286544540">
      <w:bodyDiv w:val="1"/>
      <w:marLeft w:val="0"/>
      <w:marRight w:val="0"/>
      <w:marTop w:val="0"/>
      <w:marBottom w:val="0"/>
      <w:divBdr>
        <w:top w:val="none" w:sz="0" w:space="0" w:color="auto"/>
        <w:left w:val="none" w:sz="0" w:space="0" w:color="auto"/>
        <w:bottom w:val="none" w:sz="0" w:space="0" w:color="auto"/>
        <w:right w:val="none" w:sz="0" w:space="0" w:color="auto"/>
      </w:divBdr>
    </w:div>
    <w:div w:id="1299917420">
      <w:bodyDiv w:val="1"/>
      <w:marLeft w:val="0"/>
      <w:marRight w:val="0"/>
      <w:marTop w:val="0"/>
      <w:marBottom w:val="0"/>
      <w:divBdr>
        <w:top w:val="none" w:sz="0" w:space="0" w:color="auto"/>
        <w:left w:val="none" w:sz="0" w:space="0" w:color="auto"/>
        <w:bottom w:val="none" w:sz="0" w:space="0" w:color="auto"/>
        <w:right w:val="none" w:sz="0" w:space="0" w:color="auto"/>
      </w:divBdr>
    </w:div>
    <w:div w:id="1301573164">
      <w:bodyDiv w:val="1"/>
      <w:marLeft w:val="0"/>
      <w:marRight w:val="0"/>
      <w:marTop w:val="0"/>
      <w:marBottom w:val="0"/>
      <w:divBdr>
        <w:top w:val="none" w:sz="0" w:space="0" w:color="auto"/>
        <w:left w:val="none" w:sz="0" w:space="0" w:color="auto"/>
        <w:bottom w:val="none" w:sz="0" w:space="0" w:color="auto"/>
        <w:right w:val="none" w:sz="0" w:space="0" w:color="auto"/>
      </w:divBdr>
    </w:div>
    <w:div w:id="1311665907">
      <w:bodyDiv w:val="1"/>
      <w:marLeft w:val="0"/>
      <w:marRight w:val="0"/>
      <w:marTop w:val="0"/>
      <w:marBottom w:val="0"/>
      <w:divBdr>
        <w:top w:val="none" w:sz="0" w:space="0" w:color="auto"/>
        <w:left w:val="none" w:sz="0" w:space="0" w:color="auto"/>
        <w:bottom w:val="none" w:sz="0" w:space="0" w:color="auto"/>
        <w:right w:val="none" w:sz="0" w:space="0" w:color="auto"/>
      </w:divBdr>
    </w:div>
    <w:div w:id="134401741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5274686">
      <w:bodyDiv w:val="1"/>
      <w:marLeft w:val="0"/>
      <w:marRight w:val="0"/>
      <w:marTop w:val="0"/>
      <w:marBottom w:val="0"/>
      <w:divBdr>
        <w:top w:val="none" w:sz="0" w:space="0" w:color="auto"/>
        <w:left w:val="none" w:sz="0" w:space="0" w:color="auto"/>
        <w:bottom w:val="none" w:sz="0" w:space="0" w:color="auto"/>
        <w:right w:val="none" w:sz="0" w:space="0" w:color="auto"/>
      </w:divBdr>
    </w:div>
    <w:div w:id="1405447793">
      <w:bodyDiv w:val="1"/>
      <w:marLeft w:val="0"/>
      <w:marRight w:val="0"/>
      <w:marTop w:val="0"/>
      <w:marBottom w:val="0"/>
      <w:divBdr>
        <w:top w:val="none" w:sz="0" w:space="0" w:color="auto"/>
        <w:left w:val="none" w:sz="0" w:space="0" w:color="auto"/>
        <w:bottom w:val="none" w:sz="0" w:space="0" w:color="auto"/>
        <w:right w:val="none" w:sz="0" w:space="0" w:color="auto"/>
      </w:divBdr>
    </w:div>
    <w:div w:id="1406538005">
      <w:bodyDiv w:val="1"/>
      <w:marLeft w:val="0"/>
      <w:marRight w:val="0"/>
      <w:marTop w:val="0"/>
      <w:marBottom w:val="0"/>
      <w:divBdr>
        <w:top w:val="none" w:sz="0" w:space="0" w:color="auto"/>
        <w:left w:val="none" w:sz="0" w:space="0" w:color="auto"/>
        <w:bottom w:val="none" w:sz="0" w:space="0" w:color="auto"/>
        <w:right w:val="none" w:sz="0" w:space="0" w:color="auto"/>
      </w:divBdr>
    </w:div>
    <w:div w:id="1407994781">
      <w:bodyDiv w:val="1"/>
      <w:marLeft w:val="0"/>
      <w:marRight w:val="0"/>
      <w:marTop w:val="0"/>
      <w:marBottom w:val="0"/>
      <w:divBdr>
        <w:top w:val="none" w:sz="0" w:space="0" w:color="auto"/>
        <w:left w:val="none" w:sz="0" w:space="0" w:color="auto"/>
        <w:bottom w:val="none" w:sz="0" w:space="0" w:color="auto"/>
        <w:right w:val="none" w:sz="0" w:space="0" w:color="auto"/>
      </w:divBdr>
    </w:div>
    <w:div w:id="1410231351">
      <w:bodyDiv w:val="1"/>
      <w:marLeft w:val="0"/>
      <w:marRight w:val="0"/>
      <w:marTop w:val="0"/>
      <w:marBottom w:val="0"/>
      <w:divBdr>
        <w:top w:val="none" w:sz="0" w:space="0" w:color="auto"/>
        <w:left w:val="none" w:sz="0" w:space="0" w:color="auto"/>
        <w:bottom w:val="none" w:sz="0" w:space="0" w:color="auto"/>
        <w:right w:val="none" w:sz="0" w:space="0" w:color="auto"/>
      </w:divBdr>
    </w:div>
    <w:div w:id="1412190298">
      <w:bodyDiv w:val="1"/>
      <w:marLeft w:val="0"/>
      <w:marRight w:val="0"/>
      <w:marTop w:val="0"/>
      <w:marBottom w:val="0"/>
      <w:divBdr>
        <w:top w:val="none" w:sz="0" w:space="0" w:color="auto"/>
        <w:left w:val="none" w:sz="0" w:space="0" w:color="auto"/>
        <w:bottom w:val="none" w:sz="0" w:space="0" w:color="auto"/>
        <w:right w:val="none" w:sz="0" w:space="0" w:color="auto"/>
      </w:divBdr>
    </w:div>
    <w:div w:id="141369517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6097906">
      <w:bodyDiv w:val="1"/>
      <w:marLeft w:val="0"/>
      <w:marRight w:val="0"/>
      <w:marTop w:val="0"/>
      <w:marBottom w:val="0"/>
      <w:divBdr>
        <w:top w:val="none" w:sz="0" w:space="0" w:color="auto"/>
        <w:left w:val="none" w:sz="0" w:space="0" w:color="auto"/>
        <w:bottom w:val="none" w:sz="0" w:space="0" w:color="auto"/>
        <w:right w:val="none" w:sz="0" w:space="0" w:color="auto"/>
      </w:divBdr>
    </w:div>
    <w:div w:id="1441949055">
      <w:bodyDiv w:val="1"/>
      <w:marLeft w:val="0"/>
      <w:marRight w:val="0"/>
      <w:marTop w:val="0"/>
      <w:marBottom w:val="0"/>
      <w:divBdr>
        <w:top w:val="none" w:sz="0" w:space="0" w:color="auto"/>
        <w:left w:val="none" w:sz="0" w:space="0" w:color="auto"/>
        <w:bottom w:val="none" w:sz="0" w:space="0" w:color="auto"/>
        <w:right w:val="none" w:sz="0" w:space="0" w:color="auto"/>
      </w:divBdr>
    </w:div>
    <w:div w:id="1443190938">
      <w:bodyDiv w:val="1"/>
      <w:marLeft w:val="0"/>
      <w:marRight w:val="0"/>
      <w:marTop w:val="0"/>
      <w:marBottom w:val="0"/>
      <w:divBdr>
        <w:top w:val="none" w:sz="0" w:space="0" w:color="auto"/>
        <w:left w:val="none" w:sz="0" w:space="0" w:color="auto"/>
        <w:bottom w:val="none" w:sz="0" w:space="0" w:color="auto"/>
        <w:right w:val="none" w:sz="0" w:space="0" w:color="auto"/>
      </w:divBdr>
    </w:div>
    <w:div w:id="1474564560">
      <w:bodyDiv w:val="1"/>
      <w:marLeft w:val="0"/>
      <w:marRight w:val="0"/>
      <w:marTop w:val="0"/>
      <w:marBottom w:val="0"/>
      <w:divBdr>
        <w:top w:val="none" w:sz="0" w:space="0" w:color="auto"/>
        <w:left w:val="none" w:sz="0" w:space="0" w:color="auto"/>
        <w:bottom w:val="none" w:sz="0" w:space="0" w:color="auto"/>
        <w:right w:val="none" w:sz="0" w:space="0" w:color="auto"/>
      </w:divBdr>
    </w:div>
    <w:div w:id="1476289578">
      <w:bodyDiv w:val="1"/>
      <w:marLeft w:val="0"/>
      <w:marRight w:val="0"/>
      <w:marTop w:val="0"/>
      <w:marBottom w:val="0"/>
      <w:divBdr>
        <w:top w:val="none" w:sz="0" w:space="0" w:color="auto"/>
        <w:left w:val="none" w:sz="0" w:space="0" w:color="auto"/>
        <w:bottom w:val="none" w:sz="0" w:space="0" w:color="auto"/>
        <w:right w:val="none" w:sz="0" w:space="0" w:color="auto"/>
      </w:divBdr>
    </w:div>
    <w:div w:id="1487935346">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1360378">
      <w:bodyDiv w:val="1"/>
      <w:marLeft w:val="0"/>
      <w:marRight w:val="0"/>
      <w:marTop w:val="0"/>
      <w:marBottom w:val="0"/>
      <w:divBdr>
        <w:top w:val="none" w:sz="0" w:space="0" w:color="auto"/>
        <w:left w:val="none" w:sz="0" w:space="0" w:color="auto"/>
        <w:bottom w:val="none" w:sz="0" w:space="0" w:color="auto"/>
        <w:right w:val="none" w:sz="0" w:space="0" w:color="auto"/>
      </w:divBdr>
    </w:div>
    <w:div w:id="1554611070">
      <w:bodyDiv w:val="1"/>
      <w:marLeft w:val="0"/>
      <w:marRight w:val="0"/>
      <w:marTop w:val="0"/>
      <w:marBottom w:val="0"/>
      <w:divBdr>
        <w:top w:val="none" w:sz="0" w:space="0" w:color="auto"/>
        <w:left w:val="none" w:sz="0" w:space="0" w:color="auto"/>
        <w:bottom w:val="none" w:sz="0" w:space="0" w:color="auto"/>
        <w:right w:val="none" w:sz="0" w:space="0" w:color="auto"/>
      </w:divBdr>
    </w:div>
    <w:div w:id="1554847158">
      <w:bodyDiv w:val="1"/>
      <w:marLeft w:val="0"/>
      <w:marRight w:val="0"/>
      <w:marTop w:val="0"/>
      <w:marBottom w:val="0"/>
      <w:divBdr>
        <w:top w:val="none" w:sz="0" w:space="0" w:color="auto"/>
        <w:left w:val="none" w:sz="0" w:space="0" w:color="auto"/>
        <w:bottom w:val="none" w:sz="0" w:space="0" w:color="auto"/>
        <w:right w:val="none" w:sz="0" w:space="0" w:color="auto"/>
      </w:divBdr>
    </w:div>
    <w:div w:id="1555043303">
      <w:bodyDiv w:val="1"/>
      <w:marLeft w:val="0"/>
      <w:marRight w:val="0"/>
      <w:marTop w:val="0"/>
      <w:marBottom w:val="0"/>
      <w:divBdr>
        <w:top w:val="none" w:sz="0" w:space="0" w:color="auto"/>
        <w:left w:val="none" w:sz="0" w:space="0" w:color="auto"/>
        <w:bottom w:val="none" w:sz="0" w:space="0" w:color="auto"/>
        <w:right w:val="none" w:sz="0" w:space="0" w:color="auto"/>
      </w:divBdr>
    </w:div>
    <w:div w:id="1594513130">
      <w:bodyDiv w:val="1"/>
      <w:marLeft w:val="0"/>
      <w:marRight w:val="0"/>
      <w:marTop w:val="0"/>
      <w:marBottom w:val="0"/>
      <w:divBdr>
        <w:top w:val="none" w:sz="0" w:space="0" w:color="auto"/>
        <w:left w:val="none" w:sz="0" w:space="0" w:color="auto"/>
        <w:bottom w:val="none" w:sz="0" w:space="0" w:color="auto"/>
        <w:right w:val="none" w:sz="0" w:space="0" w:color="auto"/>
      </w:divBdr>
    </w:div>
    <w:div w:id="1603880870">
      <w:bodyDiv w:val="1"/>
      <w:marLeft w:val="0"/>
      <w:marRight w:val="0"/>
      <w:marTop w:val="0"/>
      <w:marBottom w:val="0"/>
      <w:divBdr>
        <w:top w:val="none" w:sz="0" w:space="0" w:color="auto"/>
        <w:left w:val="none" w:sz="0" w:space="0" w:color="auto"/>
        <w:bottom w:val="none" w:sz="0" w:space="0" w:color="auto"/>
        <w:right w:val="none" w:sz="0" w:space="0" w:color="auto"/>
      </w:divBdr>
    </w:div>
    <w:div w:id="1616785879">
      <w:bodyDiv w:val="1"/>
      <w:marLeft w:val="0"/>
      <w:marRight w:val="0"/>
      <w:marTop w:val="0"/>
      <w:marBottom w:val="0"/>
      <w:divBdr>
        <w:top w:val="none" w:sz="0" w:space="0" w:color="auto"/>
        <w:left w:val="none" w:sz="0" w:space="0" w:color="auto"/>
        <w:bottom w:val="none" w:sz="0" w:space="0" w:color="auto"/>
        <w:right w:val="none" w:sz="0" w:space="0" w:color="auto"/>
      </w:divBdr>
    </w:div>
    <w:div w:id="1647929672">
      <w:bodyDiv w:val="1"/>
      <w:marLeft w:val="0"/>
      <w:marRight w:val="0"/>
      <w:marTop w:val="0"/>
      <w:marBottom w:val="0"/>
      <w:divBdr>
        <w:top w:val="none" w:sz="0" w:space="0" w:color="auto"/>
        <w:left w:val="none" w:sz="0" w:space="0" w:color="auto"/>
        <w:bottom w:val="none" w:sz="0" w:space="0" w:color="auto"/>
        <w:right w:val="none" w:sz="0" w:space="0" w:color="auto"/>
      </w:divBdr>
    </w:div>
    <w:div w:id="1656957701">
      <w:bodyDiv w:val="1"/>
      <w:marLeft w:val="0"/>
      <w:marRight w:val="0"/>
      <w:marTop w:val="0"/>
      <w:marBottom w:val="0"/>
      <w:divBdr>
        <w:top w:val="none" w:sz="0" w:space="0" w:color="auto"/>
        <w:left w:val="none" w:sz="0" w:space="0" w:color="auto"/>
        <w:bottom w:val="none" w:sz="0" w:space="0" w:color="auto"/>
        <w:right w:val="none" w:sz="0" w:space="0" w:color="auto"/>
      </w:divBdr>
    </w:div>
    <w:div w:id="166909130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687">
      <w:bodyDiv w:val="1"/>
      <w:marLeft w:val="0"/>
      <w:marRight w:val="0"/>
      <w:marTop w:val="0"/>
      <w:marBottom w:val="0"/>
      <w:divBdr>
        <w:top w:val="none" w:sz="0" w:space="0" w:color="auto"/>
        <w:left w:val="none" w:sz="0" w:space="0" w:color="auto"/>
        <w:bottom w:val="none" w:sz="0" w:space="0" w:color="auto"/>
        <w:right w:val="none" w:sz="0" w:space="0" w:color="auto"/>
      </w:divBdr>
    </w:div>
    <w:div w:id="1700475046">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8820191">
      <w:bodyDiv w:val="1"/>
      <w:marLeft w:val="0"/>
      <w:marRight w:val="0"/>
      <w:marTop w:val="0"/>
      <w:marBottom w:val="0"/>
      <w:divBdr>
        <w:top w:val="none" w:sz="0" w:space="0" w:color="auto"/>
        <w:left w:val="none" w:sz="0" w:space="0" w:color="auto"/>
        <w:bottom w:val="none" w:sz="0" w:space="0" w:color="auto"/>
        <w:right w:val="none" w:sz="0" w:space="0" w:color="auto"/>
      </w:divBdr>
    </w:div>
    <w:div w:id="1746800065">
      <w:bodyDiv w:val="1"/>
      <w:marLeft w:val="0"/>
      <w:marRight w:val="0"/>
      <w:marTop w:val="0"/>
      <w:marBottom w:val="0"/>
      <w:divBdr>
        <w:top w:val="none" w:sz="0" w:space="0" w:color="auto"/>
        <w:left w:val="none" w:sz="0" w:space="0" w:color="auto"/>
        <w:bottom w:val="none" w:sz="0" w:space="0" w:color="auto"/>
        <w:right w:val="none" w:sz="0" w:space="0" w:color="auto"/>
      </w:divBdr>
    </w:div>
    <w:div w:id="1755321154">
      <w:bodyDiv w:val="1"/>
      <w:marLeft w:val="0"/>
      <w:marRight w:val="0"/>
      <w:marTop w:val="0"/>
      <w:marBottom w:val="0"/>
      <w:divBdr>
        <w:top w:val="none" w:sz="0" w:space="0" w:color="auto"/>
        <w:left w:val="none" w:sz="0" w:space="0" w:color="auto"/>
        <w:bottom w:val="none" w:sz="0" w:space="0" w:color="auto"/>
        <w:right w:val="none" w:sz="0" w:space="0" w:color="auto"/>
      </w:divBdr>
      <w:divsChild>
        <w:div w:id="1492452773">
          <w:marLeft w:val="0"/>
          <w:marRight w:val="0"/>
          <w:marTop w:val="0"/>
          <w:marBottom w:val="0"/>
          <w:divBdr>
            <w:top w:val="none" w:sz="0" w:space="0" w:color="auto"/>
            <w:left w:val="none" w:sz="0" w:space="0" w:color="auto"/>
            <w:bottom w:val="none" w:sz="0" w:space="0" w:color="auto"/>
            <w:right w:val="none" w:sz="0" w:space="0" w:color="auto"/>
          </w:divBdr>
          <w:divsChild>
            <w:div w:id="769931540">
              <w:marLeft w:val="0"/>
              <w:marRight w:val="0"/>
              <w:marTop w:val="0"/>
              <w:marBottom w:val="0"/>
              <w:divBdr>
                <w:top w:val="none" w:sz="0" w:space="5" w:color="auto"/>
                <w:left w:val="none" w:sz="0" w:space="15" w:color="auto"/>
                <w:bottom w:val="none" w:sz="0" w:space="5" w:color="auto"/>
                <w:right w:val="none" w:sz="0" w:space="15" w:color="auto"/>
              </w:divBdr>
            </w:div>
          </w:divsChild>
        </w:div>
        <w:div w:id="1645961933">
          <w:marLeft w:val="0"/>
          <w:marRight w:val="0"/>
          <w:marTop w:val="0"/>
          <w:marBottom w:val="0"/>
          <w:divBdr>
            <w:top w:val="single" w:sz="6" w:space="11" w:color="DDDDDD"/>
            <w:left w:val="single" w:sz="6" w:space="15" w:color="DDDDDD"/>
            <w:bottom w:val="single" w:sz="6" w:space="11" w:color="DDDDDD"/>
            <w:right w:val="single" w:sz="6" w:space="15" w:color="DDDDDD"/>
          </w:divBdr>
          <w:divsChild>
            <w:div w:id="589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0559">
      <w:bodyDiv w:val="1"/>
      <w:marLeft w:val="0"/>
      <w:marRight w:val="0"/>
      <w:marTop w:val="0"/>
      <w:marBottom w:val="0"/>
      <w:divBdr>
        <w:top w:val="none" w:sz="0" w:space="0" w:color="auto"/>
        <w:left w:val="none" w:sz="0" w:space="0" w:color="auto"/>
        <w:bottom w:val="none" w:sz="0" w:space="0" w:color="auto"/>
        <w:right w:val="none" w:sz="0" w:space="0" w:color="auto"/>
      </w:divBdr>
      <w:divsChild>
        <w:div w:id="176308657">
          <w:marLeft w:val="0"/>
          <w:marRight w:val="0"/>
          <w:marTop w:val="0"/>
          <w:marBottom w:val="0"/>
          <w:divBdr>
            <w:top w:val="none" w:sz="0" w:space="0" w:color="auto"/>
            <w:left w:val="none" w:sz="0" w:space="0" w:color="auto"/>
            <w:bottom w:val="none" w:sz="0" w:space="0" w:color="auto"/>
            <w:right w:val="none" w:sz="0" w:space="0" w:color="auto"/>
          </w:divBdr>
          <w:divsChild>
            <w:div w:id="995567138">
              <w:marLeft w:val="0"/>
              <w:marRight w:val="0"/>
              <w:marTop w:val="0"/>
              <w:marBottom w:val="0"/>
              <w:divBdr>
                <w:top w:val="none" w:sz="0" w:space="5" w:color="auto"/>
                <w:left w:val="none" w:sz="0" w:space="15" w:color="auto"/>
                <w:bottom w:val="none" w:sz="0" w:space="5" w:color="auto"/>
                <w:right w:val="none" w:sz="0" w:space="15" w:color="auto"/>
              </w:divBdr>
            </w:div>
          </w:divsChild>
        </w:div>
        <w:div w:id="701126628">
          <w:marLeft w:val="0"/>
          <w:marRight w:val="0"/>
          <w:marTop w:val="0"/>
          <w:marBottom w:val="0"/>
          <w:divBdr>
            <w:top w:val="single" w:sz="6" w:space="11" w:color="DDDDDD"/>
            <w:left w:val="single" w:sz="6" w:space="15" w:color="DDDDDD"/>
            <w:bottom w:val="single" w:sz="6" w:space="11" w:color="DDDDDD"/>
            <w:right w:val="single" w:sz="6" w:space="15" w:color="DDDDDD"/>
          </w:divBdr>
          <w:divsChild>
            <w:div w:id="7367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5277">
      <w:bodyDiv w:val="1"/>
      <w:marLeft w:val="0"/>
      <w:marRight w:val="0"/>
      <w:marTop w:val="0"/>
      <w:marBottom w:val="0"/>
      <w:divBdr>
        <w:top w:val="none" w:sz="0" w:space="0" w:color="auto"/>
        <w:left w:val="none" w:sz="0" w:space="0" w:color="auto"/>
        <w:bottom w:val="none" w:sz="0" w:space="0" w:color="auto"/>
        <w:right w:val="none" w:sz="0" w:space="0" w:color="auto"/>
      </w:divBdr>
    </w:div>
    <w:div w:id="1783500024">
      <w:bodyDiv w:val="1"/>
      <w:marLeft w:val="0"/>
      <w:marRight w:val="0"/>
      <w:marTop w:val="0"/>
      <w:marBottom w:val="0"/>
      <w:divBdr>
        <w:top w:val="none" w:sz="0" w:space="0" w:color="auto"/>
        <w:left w:val="none" w:sz="0" w:space="0" w:color="auto"/>
        <w:bottom w:val="none" w:sz="0" w:space="0" w:color="auto"/>
        <w:right w:val="none" w:sz="0" w:space="0" w:color="auto"/>
      </w:divBdr>
    </w:div>
    <w:div w:id="1790006890">
      <w:bodyDiv w:val="1"/>
      <w:marLeft w:val="0"/>
      <w:marRight w:val="0"/>
      <w:marTop w:val="0"/>
      <w:marBottom w:val="0"/>
      <w:divBdr>
        <w:top w:val="none" w:sz="0" w:space="0" w:color="auto"/>
        <w:left w:val="none" w:sz="0" w:space="0" w:color="auto"/>
        <w:bottom w:val="none" w:sz="0" w:space="0" w:color="auto"/>
        <w:right w:val="none" w:sz="0" w:space="0" w:color="auto"/>
      </w:divBdr>
    </w:div>
    <w:div w:id="1812668443">
      <w:bodyDiv w:val="1"/>
      <w:marLeft w:val="0"/>
      <w:marRight w:val="0"/>
      <w:marTop w:val="0"/>
      <w:marBottom w:val="0"/>
      <w:divBdr>
        <w:top w:val="none" w:sz="0" w:space="0" w:color="auto"/>
        <w:left w:val="none" w:sz="0" w:space="0" w:color="auto"/>
        <w:bottom w:val="none" w:sz="0" w:space="0" w:color="auto"/>
        <w:right w:val="none" w:sz="0" w:space="0" w:color="auto"/>
      </w:divBdr>
    </w:div>
    <w:div w:id="1829590745">
      <w:bodyDiv w:val="1"/>
      <w:marLeft w:val="0"/>
      <w:marRight w:val="0"/>
      <w:marTop w:val="0"/>
      <w:marBottom w:val="0"/>
      <w:divBdr>
        <w:top w:val="none" w:sz="0" w:space="0" w:color="auto"/>
        <w:left w:val="none" w:sz="0" w:space="0" w:color="auto"/>
        <w:bottom w:val="none" w:sz="0" w:space="0" w:color="auto"/>
        <w:right w:val="none" w:sz="0" w:space="0" w:color="auto"/>
      </w:divBdr>
    </w:div>
    <w:div w:id="1834759373">
      <w:bodyDiv w:val="1"/>
      <w:marLeft w:val="0"/>
      <w:marRight w:val="0"/>
      <w:marTop w:val="0"/>
      <w:marBottom w:val="0"/>
      <w:divBdr>
        <w:top w:val="none" w:sz="0" w:space="0" w:color="auto"/>
        <w:left w:val="none" w:sz="0" w:space="0" w:color="auto"/>
        <w:bottom w:val="none" w:sz="0" w:space="0" w:color="auto"/>
        <w:right w:val="none" w:sz="0" w:space="0" w:color="auto"/>
      </w:divBdr>
    </w:div>
    <w:div w:id="1847941214">
      <w:bodyDiv w:val="1"/>
      <w:marLeft w:val="0"/>
      <w:marRight w:val="0"/>
      <w:marTop w:val="0"/>
      <w:marBottom w:val="0"/>
      <w:divBdr>
        <w:top w:val="none" w:sz="0" w:space="0" w:color="auto"/>
        <w:left w:val="none" w:sz="0" w:space="0" w:color="auto"/>
        <w:bottom w:val="none" w:sz="0" w:space="0" w:color="auto"/>
        <w:right w:val="none" w:sz="0" w:space="0" w:color="auto"/>
      </w:divBdr>
    </w:div>
    <w:div w:id="1849102947">
      <w:bodyDiv w:val="1"/>
      <w:marLeft w:val="0"/>
      <w:marRight w:val="0"/>
      <w:marTop w:val="0"/>
      <w:marBottom w:val="0"/>
      <w:divBdr>
        <w:top w:val="none" w:sz="0" w:space="0" w:color="auto"/>
        <w:left w:val="none" w:sz="0" w:space="0" w:color="auto"/>
        <w:bottom w:val="none" w:sz="0" w:space="0" w:color="auto"/>
        <w:right w:val="none" w:sz="0" w:space="0" w:color="auto"/>
      </w:divBdr>
    </w:div>
    <w:div w:id="1853494097">
      <w:bodyDiv w:val="1"/>
      <w:marLeft w:val="0"/>
      <w:marRight w:val="0"/>
      <w:marTop w:val="0"/>
      <w:marBottom w:val="0"/>
      <w:divBdr>
        <w:top w:val="none" w:sz="0" w:space="0" w:color="auto"/>
        <w:left w:val="none" w:sz="0" w:space="0" w:color="auto"/>
        <w:bottom w:val="none" w:sz="0" w:space="0" w:color="auto"/>
        <w:right w:val="none" w:sz="0" w:space="0" w:color="auto"/>
      </w:divBdr>
    </w:div>
    <w:div w:id="1858230236">
      <w:bodyDiv w:val="1"/>
      <w:marLeft w:val="0"/>
      <w:marRight w:val="0"/>
      <w:marTop w:val="0"/>
      <w:marBottom w:val="0"/>
      <w:divBdr>
        <w:top w:val="none" w:sz="0" w:space="0" w:color="auto"/>
        <w:left w:val="none" w:sz="0" w:space="0" w:color="auto"/>
        <w:bottom w:val="none" w:sz="0" w:space="0" w:color="auto"/>
        <w:right w:val="none" w:sz="0" w:space="0" w:color="auto"/>
      </w:divBdr>
    </w:div>
    <w:div w:id="1867594509">
      <w:bodyDiv w:val="1"/>
      <w:marLeft w:val="0"/>
      <w:marRight w:val="0"/>
      <w:marTop w:val="0"/>
      <w:marBottom w:val="0"/>
      <w:divBdr>
        <w:top w:val="none" w:sz="0" w:space="0" w:color="auto"/>
        <w:left w:val="none" w:sz="0" w:space="0" w:color="auto"/>
        <w:bottom w:val="none" w:sz="0" w:space="0" w:color="auto"/>
        <w:right w:val="none" w:sz="0" w:space="0" w:color="auto"/>
      </w:divBdr>
    </w:div>
    <w:div w:id="1875194737">
      <w:bodyDiv w:val="1"/>
      <w:marLeft w:val="0"/>
      <w:marRight w:val="0"/>
      <w:marTop w:val="0"/>
      <w:marBottom w:val="0"/>
      <w:divBdr>
        <w:top w:val="none" w:sz="0" w:space="0" w:color="auto"/>
        <w:left w:val="none" w:sz="0" w:space="0" w:color="auto"/>
        <w:bottom w:val="none" w:sz="0" w:space="0" w:color="auto"/>
        <w:right w:val="none" w:sz="0" w:space="0" w:color="auto"/>
      </w:divBdr>
    </w:div>
    <w:div w:id="1889686979">
      <w:bodyDiv w:val="1"/>
      <w:marLeft w:val="0"/>
      <w:marRight w:val="0"/>
      <w:marTop w:val="0"/>
      <w:marBottom w:val="0"/>
      <w:divBdr>
        <w:top w:val="none" w:sz="0" w:space="0" w:color="auto"/>
        <w:left w:val="none" w:sz="0" w:space="0" w:color="auto"/>
        <w:bottom w:val="none" w:sz="0" w:space="0" w:color="auto"/>
        <w:right w:val="none" w:sz="0" w:space="0" w:color="auto"/>
      </w:divBdr>
    </w:div>
    <w:div w:id="1929192581">
      <w:bodyDiv w:val="1"/>
      <w:marLeft w:val="0"/>
      <w:marRight w:val="0"/>
      <w:marTop w:val="0"/>
      <w:marBottom w:val="0"/>
      <w:divBdr>
        <w:top w:val="none" w:sz="0" w:space="0" w:color="auto"/>
        <w:left w:val="none" w:sz="0" w:space="0" w:color="auto"/>
        <w:bottom w:val="none" w:sz="0" w:space="0" w:color="auto"/>
        <w:right w:val="none" w:sz="0" w:space="0" w:color="auto"/>
      </w:divBdr>
    </w:div>
    <w:div w:id="1963681803">
      <w:bodyDiv w:val="1"/>
      <w:marLeft w:val="0"/>
      <w:marRight w:val="0"/>
      <w:marTop w:val="0"/>
      <w:marBottom w:val="0"/>
      <w:divBdr>
        <w:top w:val="none" w:sz="0" w:space="0" w:color="auto"/>
        <w:left w:val="none" w:sz="0" w:space="0" w:color="auto"/>
        <w:bottom w:val="none" w:sz="0" w:space="0" w:color="auto"/>
        <w:right w:val="none" w:sz="0" w:space="0" w:color="auto"/>
      </w:divBdr>
    </w:div>
    <w:div w:id="1967345313">
      <w:bodyDiv w:val="1"/>
      <w:marLeft w:val="0"/>
      <w:marRight w:val="0"/>
      <w:marTop w:val="0"/>
      <w:marBottom w:val="0"/>
      <w:divBdr>
        <w:top w:val="none" w:sz="0" w:space="0" w:color="auto"/>
        <w:left w:val="none" w:sz="0" w:space="0" w:color="auto"/>
        <w:bottom w:val="none" w:sz="0" w:space="0" w:color="auto"/>
        <w:right w:val="none" w:sz="0" w:space="0" w:color="auto"/>
      </w:divBdr>
    </w:div>
    <w:div w:id="1998873774">
      <w:bodyDiv w:val="1"/>
      <w:marLeft w:val="0"/>
      <w:marRight w:val="0"/>
      <w:marTop w:val="0"/>
      <w:marBottom w:val="0"/>
      <w:divBdr>
        <w:top w:val="none" w:sz="0" w:space="0" w:color="auto"/>
        <w:left w:val="none" w:sz="0" w:space="0" w:color="auto"/>
        <w:bottom w:val="none" w:sz="0" w:space="0" w:color="auto"/>
        <w:right w:val="none" w:sz="0" w:space="0" w:color="auto"/>
      </w:divBdr>
    </w:div>
    <w:div w:id="2001232229">
      <w:bodyDiv w:val="1"/>
      <w:marLeft w:val="0"/>
      <w:marRight w:val="0"/>
      <w:marTop w:val="0"/>
      <w:marBottom w:val="0"/>
      <w:divBdr>
        <w:top w:val="none" w:sz="0" w:space="0" w:color="auto"/>
        <w:left w:val="none" w:sz="0" w:space="0" w:color="auto"/>
        <w:bottom w:val="none" w:sz="0" w:space="0" w:color="auto"/>
        <w:right w:val="none" w:sz="0" w:space="0" w:color="auto"/>
      </w:divBdr>
    </w:div>
    <w:div w:id="2003241910">
      <w:bodyDiv w:val="1"/>
      <w:marLeft w:val="0"/>
      <w:marRight w:val="0"/>
      <w:marTop w:val="0"/>
      <w:marBottom w:val="0"/>
      <w:divBdr>
        <w:top w:val="none" w:sz="0" w:space="0" w:color="auto"/>
        <w:left w:val="none" w:sz="0" w:space="0" w:color="auto"/>
        <w:bottom w:val="none" w:sz="0" w:space="0" w:color="auto"/>
        <w:right w:val="none" w:sz="0" w:space="0" w:color="auto"/>
      </w:divBdr>
    </w:div>
    <w:div w:id="2074423162">
      <w:bodyDiv w:val="1"/>
      <w:marLeft w:val="0"/>
      <w:marRight w:val="0"/>
      <w:marTop w:val="0"/>
      <w:marBottom w:val="0"/>
      <w:divBdr>
        <w:top w:val="none" w:sz="0" w:space="0" w:color="auto"/>
        <w:left w:val="none" w:sz="0" w:space="0" w:color="auto"/>
        <w:bottom w:val="none" w:sz="0" w:space="0" w:color="auto"/>
        <w:right w:val="none" w:sz="0" w:space="0" w:color="auto"/>
      </w:divBdr>
    </w:div>
    <w:div w:id="2092847957">
      <w:bodyDiv w:val="1"/>
      <w:marLeft w:val="0"/>
      <w:marRight w:val="0"/>
      <w:marTop w:val="0"/>
      <w:marBottom w:val="0"/>
      <w:divBdr>
        <w:top w:val="none" w:sz="0" w:space="0" w:color="auto"/>
        <w:left w:val="none" w:sz="0" w:space="0" w:color="auto"/>
        <w:bottom w:val="none" w:sz="0" w:space="0" w:color="auto"/>
        <w:right w:val="none" w:sz="0" w:space="0" w:color="auto"/>
      </w:divBdr>
    </w:div>
    <w:div w:id="2095196855">
      <w:bodyDiv w:val="1"/>
      <w:marLeft w:val="0"/>
      <w:marRight w:val="0"/>
      <w:marTop w:val="0"/>
      <w:marBottom w:val="0"/>
      <w:divBdr>
        <w:top w:val="none" w:sz="0" w:space="0" w:color="auto"/>
        <w:left w:val="none" w:sz="0" w:space="0" w:color="auto"/>
        <w:bottom w:val="none" w:sz="0" w:space="0" w:color="auto"/>
        <w:right w:val="none" w:sz="0" w:space="0" w:color="auto"/>
      </w:divBdr>
    </w:div>
    <w:div w:id="2104262272">
      <w:bodyDiv w:val="1"/>
      <w:marLeft w:val="0"/>
      <w:marRight w:val="0"/>
      <w:marTop w:val="0"/>
      <w:marBottom w:val="0"/>
      <w:divBdr>
        <w:top w:val="none" w:sz="0" w:space="0" w:color="auto"/>
        <w:left w:val="none" w:sz="0" w:space="0" w:color="auto"/>
        <w:bottom w:val="none" w:sz="0" w:space="0" w:color="auto"/>
        <w:right w:val="none" w:sz="0" w:space="0" w:color="auto"/>
      </w:divBdr>
    </w:div>
    <w:div w:id="2105569822">
      <w:bodyDiv w:val="1"/>
      <w:marLeft w:val="0"/>
      <w:marRight w:val="0"/>
      <w:marTop w:val="0"/>
      <w:marBottom w:val="0"/>
      <w:divBdr>
        <w:top w:val="none" w:sz="0" w:space="0" w:color="auto"/>
        <w:left w:val="none" w:sz="0" w:space="0" w:color="auto"/>
        <w:bottom w:val="none" w:sz="0" w:space="0" w:color="auto"/>
        <w:right w:val="none" w:sz="0" w:space="0" w:color="auto"/>
      </w:divBdr>
    </w:div>
    <w:div w:id="2109999711">
      <w:bodyDiv w:val="1"/>
      <w:marLeft w:val="0"/>
      <w:marRight w:val="0"/>
      <w:marTop w:val="0"/>
      <w:marBottom w:val="0"/>
      <w:divBdr>
        <w:top w:val="none" w:sz="0" w:space="0" w:color="auto"/>
        <w:left w:val="none" w:sz="0" w:space="0" w:color="auto"/>
        <w:bottom w:val="none" w:sz="0" w:space="0" w:color="auto"/>
        <w:right w:val="none" w:sz="0" w:space="0" w:color="auto"/>
      </w:divBdr>
    </w:div>
    <w:div w:id="211343265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yperlink" Target="https://dictionary.cambridge.org/it/dizionario/inglese-italiano/integrity" TargetMode="External"/><Relationship Id="rId39" Type="http://schemas.openxmlformats.org/officeDocument/2006/relationships/hyperlink" Target="https://dictionary.cambridge.org/it/dizionario/inglese-italiano/are" TargetMode="External"/><Relationship Id="rId21" Type="http://schemas.openxmlformats.org/officeDocument/2006/relationships/hyperlink" Target="https://dictionary.cambridge.org/it/dizionario/inglese-italiano/it" TargetMode="External"/><Relationship Id="rId34" Type="http://schemas.openxmlformats.org/officeDocument/2006/relationships/hyperlink" Target="https://dictionary.cambridge.org/it/dizionario/inglese-italiano/that" TargetMode="External"/><Relationship Id="rId42" Type="http://schemas.openxmlformats.org/officeDocument/2006/relationships/hyperlink" Target="https://dictionary.cambridge.org/it/dizionario/inglese-italiano/sufficien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ictionary.cambridge.org/it/dizionario/inglese-italiano/sa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ctionary.cambridge.org/it/dizionario/inglese-italiano/that" TargetMode="External"/><Relationship Id="rId32" Type="http://schemas.openxmlformats.org/officeDocument/2006/relationships/hyperlink" Target="https://dictionary.cambridge.org/it/dizionario/inglese-italiano/well" TargetMode="External"/><Relationship Id="rId37" Type="http://schemas.openxmlformats.org/officeDocument/2006/relationships/hyperlink" Target="https://dictionary.cambridge.org/it/dizionario/inglese-italiano/and" TargetMode="External"/><Relationship Id="rId40" Type="http://schemas.openxmlformats.org/officeDocument/2006/relationships/hyperlink" Target="https://dictionary.cambridge.org/it/dizionario/inglese-italiano/efficient" TargetMode="External"/><Relationship Id="rId45" Type="http://schemas.openxmlformats.org/officeDocument/2006/relationships/hyperlink" Target="https://dictionary.cambridge.org/it/dizionario/inglese-italiano/their"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dictionary.cambridge.org/it/dizionario/inglese-italiano/essential" TargetMode="External"/><Relationship Id="rId28" Type="http://schemas.openxmlformats.org/officeDocument/2006/relationships/hyperlink" Target="https://dictionary.cambridge.org/it/dizionario/inglese-italiano/the" TargetMode="External"/><Relationship Id="rId36" Type="http://schemas.openxmlformats.org/officeDocument/2006/relationships/hyperlink" Target="https://dictionary.cambridge.org/it/dizionario/inglese-italiano/safety"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dictionary.cambridge.org/it/dizionario/inglese-italiano/as" TargetMode="External"/><Relationship Id="rId44" Type="http://schemas.openxmlformats.org/officeDocument/2006/relationships/hyperlink" Target="https://dictionary.cambridge.org/it/dizionario/inglese-italiano/per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dictionary.cambridge.org/it/dizionario/inglese-italiano/is" TargetMode="External"/><Relationship Id="rId27" Type="http://schemas.openxmlformats.org/officeDocument/2006/relationships/hyperlink" Target="https://dictionary.cambridge.org/it/dizionario/inglese-italiano/of" TargetMode="External"/><Relationship Id="rId30" Type="http://schemas.openxmlformats.org/officeDocument/2006/relationships/hyperlink" Target="https://dictionary.cambridge.org/it/dizionario/inglese-italiano/is" TargetMode="External"/><Relationship Id="rId35" Type="http://schemas.openxmlformats.org/officeDocument/2006/relationships/hyperlink" Target="https://dictionary.cambridge.org/it/dizionario/inglese-italiano/the" TargetMode="External"/><Relationship Id="rId43" Type="http://schemas.openxmlformats.org/officeDocument/2006/relationships/hyperlink" Target="https://dictionary.cambridge.org/it/dizionario/inglese-italiano/to"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dictionary.cambridge.org/it/dizionario/inglese-italiano/the" TargetMode="External"/><Relationship Id="rId33" Type="http://schemas.openxmlformats.org/officeDocument/2006/relationships/hyperlink" Target="https://dictionary.cambridge.org/it/dizionario/inglese-italiano/as" TargetMode="External"/><Relationship Id="rId38" Type="http://schemas.openxmlformats.org/officeDocument/2006/relationships/hyperlink" Target="https://dictionary.cambridge.org/it/dizionario/inglese-italiano/control" TargetMode="External"/><Relationship Id="rId46" Type="http://schemas.openxmlformats.org/officeDocument/2006/relationships/hyperlink" Target="https://dictionary.cambridge.org/it/dizionario/inglese-italiano/role" TargetMode="External"/><Relationship Id="rId20" Type="http://schemas.openxmlformats.org/officeDocument/2006/relationships/hyperlink" Target="https://dictionary.cambridge.org/it/dizionario/inglese-italiano/therefore" TargetMode="External"/><Relationship Id="rId41" Type="http://schemas.openxmlformats.org/officeDocument/2006/relationships/hyperlink" Target="https://dictionary.cambridge.org/it/dizionario/inglese-italiano/an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Pages>
  <Words>4615</Words>
  <Characters>26312</Characters>
  <Application>Microsoft Office Word</Application>
  <DocSecurity>0</DocSecurity>
  <Lines>219</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Muratore Antonino</cp:lastModifiedBy>
  <cp:revision>47</cp:revision>
  <cp:lastPrinted>2015-05-12T18:31:00Z</cp:lastPrinted>
  <dcterms:created xsi:type="dcterms:W3CDTF">2025-02-21T10:41:00Z</dcterms:created>
  <dcterms:modified xsi:type="dcterms:W3CDTF">2025-04-19T08:31:00Z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