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852295">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530285E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30152C">
              <w:rPr>
                <w:rFonts w:cs="Arial"/>
                <w:b/>
                <w:bCs/>
                <w:i/>
                <w:iCs/>
                <w:color w:val="000066"/>
                <w:sz w:val="22"/>
                <w:szCs w:val="22"/>
                <w:lang w:eastAsia="it-IT"/>
              </w:rPr>
              <w:t xml:space="preserve"> </w:t>
            </w:r>
            <w:proofErr w:type="gramStart"/>
            <w:r w:rsidR="0030152C">
              <w:rPr>
                <w:rFonts w:cs="Arial"/>
                <w:b/>
                <w:bCs/>
                <w:i/>
                <w:iCs/>
                <w:color w:val="000066"/>
                <w:sz w:val="22"/>
                <w:szCs w:val="22"/>
                <w:lang w:eastAsia="it-IT"/>
              </w:rPr>
              <w:t xml:space="preserve">  </w:t>
            </w:r>
            <w:r w:rsidR="007B48F9">
              <w:rPr>
                <w:rFonts w:cs="Arial"/>
                <w:b/>
                <w:bCs/>
                <w:i/>
                <w:iCs/>
                <w:color w:val="000066"/>
                <w:sz w:val="22"/>
                <w:szCs w:val="22"/>
                <w:lang w:eastAsia="it-IT"/>
              </w:rPr>
              <w:t>,</w:t>
            </w:r>
            <w:proofErr w:type="gramEnd"/>
            <w:r w:rsidR="00FA5F5F">
              <w:rPr>
                <w:rFonts w:cs="Arial"/>
                <w:b/>
                <w:bCs/>
                <w:i/>
                <w:iCs/>
                <w:color w:val="000066"/>
                <w:sz w:val="22"/>
                <w:szCs w:val="22"/>
                <w:lang w:eastAsia="it-IT"/>
              </w:rPr>
              <w:t xml:space="preserve"> </w:t>
            </w:r>
            <w:r w:rsidR="0030152C">
              <w:rPr>
                <w:rFonts w:cs="Arial"/>
                <w:b/>
                <w:bCs/>
                <w:i/>
                <w:iCs/>
                <w:color w:val="000066"/>
                <w:sz w:val="22"/>
                <w:szCs w:val="22"/>
                <w:lang w:eastAsia="it-IT"/>
              </w:rPr>
              <w:t>2023</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852295">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852295">
        <w:trPr>
          <w:trHeight w:val="68"/>
          <w:jc w:val="center"/>
        </w:trPr>
        <w:tc>
          <w:tcPr>
            <w:tcW w:w="8782" w:type="dxa"/>
            <w:gridSpan w:val="2"/>
          </w:tcPr>
          <w:p w14:paraId="1D8DD3C9" w14:textId="10669D10" w:rsidR="00AA7D26" w:rsidRPr="005E7C48" w:rsidRDefault="00AA7D26" w:rsidP="00AA7D26">
            <w:pPr>
              <w:ind w:left="-107"/>
              <w:outlineLvl w:val="2"/>
              <w:rPr>
                <w:rFonts w:ascii="Tahoma" w:hAnsi="Tahoma" w:cs="Tahoma"/>
                <w:bCs/>
                <w:color w:val="000000"/>
                <w:sz w:val="14"/>
                <w:szCs w:val="14"/>
                <w:lang w:val="it-IT" w:eastAsia="it-IT"/>
              </w:rPr>
            </w:pPr>
            <w:r w:rsidRPr="003A6FC6">
              <w:rPr>
                <w:rFonts w:ascii="Tahoma" w:hAnsi="Tahoma" w:cs="Tahoma"/>
                <w:iCs/>
                <w:color w:val="333333"/>
                <w:sz w:val="14"/>
                <w:szCs w:val="14"/>
                <w:lang w:val="it-IT" w:eastAsia="it-IT"/>
              </w:rPr>
              <w:t>Guest Editors:</w:t>
            </w:r>
            <w:r w:rsidRPr="003A6FC6">
              <w:rPr>
                <w:rFonts w:ascii="Tahoma" w:hAnsi="Tahoma" w:cs="Tahoma"/>
                <w:color w:val="000000"/>
                <w:sz w:val="14"/>
                <w:szCs w:val="14"/>
                <w:shd w:val="clear" w:color="auto" w:fill="FFFFFF"/>
                <w:lang w:val="it-IT"/>
              </w:rPr>
              <w:t xml:space="preserve"> </w:t>
            </w:r>
            <w:r w:rsidR="005E7C48" w:rsidRPr="005E7C48">
              <w:rPr>
                <w:sz w:val="14"/>
                <w:szCs w:val="14"/>
                <w:lang w:val="it-IT"/>
              </w:rPr>
              <w:t>David Bogle, Flavio Manenti, Piero Salatino</w:t>
            </w:r>
          </w:p>
          <w:p w14:paraId="1B0F1814" w14:textId="6981DC84"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2023</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8B7C03" w:rsidRPr="000562A9">
              <w:rPr>
                <w:rFonts w:ascii="Tahoma" w:hAnsi="Tahoma" w:cs="Tahoma"/>
                <w:sz w:val="14"/>
                <w:szCs w:val="14"/>
              </w:rPr>
              <w:t>97</w:t>
            </w:r>
            <w:r w:rsidR="008B7C03">
              <w:rPr>
                <w:rFonts w:ascii="Tahoma" w:hAnsi="Tahoma" w:cs="Tahoma"/>
                <w:sz w:val="14"/>
                <w:szCs w:val="14"/>
              </w:rPr>
              <w:t>9</w:t>
            </w:r>
            <w:r w:rsidR="008B7C03" w:rsidRPr="000562A9">
              <w:rPr>
                <w:rFonts w:ascii="Tahoma" w:hAnsi="Tahoma" w:cs="Tahoma"/>
                <w:sz w:val="14"/>
                <w:szCs w:val="14"/>
              </w:rPr>
              <w:t>-</w:t>
            </w:r>
            <w:r w:rsidR="008B7C03">
              <w:rPr>
                <w:rFonts w:ascii="Tahoma" w:hAnsi="Tahoma" w:cs="Tahoma"/>
                <w:sz w:val="14"/>
                <w:szCs w:val="14"/>
              </w:rPr>
              <w:t>12</w:t>
            </w:r>
            <w:r w:rsidR="008B7C03" w:rsidRPr="000562A9">
              <w:rPr>
                <w:rFonts w:ascii="Tahoma" w:hAnsi="Tahoma" w:cs="Tahoma"/>
                <w:sz w:val="14"/>
                <w:szCs w:val="14"/>
              </w:rPr>
              <w:t>-</w:t>
            </w:r>
            <w:r w:rsidR="008B7C03">
              <w:rPr>
                <w:rFonts w:ascii="Tahoma" w:hAnsi="Tahoma" w:cs="Tahoma"/>
                <w:sz w:val="14"/>
                <w:szCs w:val="14"/>
              </w:rPr>
              <w:t>81206</w:t>
            </w:r>
            <w:r>
              <w:rPr>
                <w:rFonts w:ascii="Tahoma" w:hAnsi="Tahoma" w:cs="Tahoma"/>
                <w:sz w:val="14"/>
                <w:szCs w:val="14"/>
              </w:rPr>
              <w:t>-</w:t>
            </w:r>
            <w:r w:rsidR="00E33DD7">
              <w:rPr>
                <w:rFonts w:ascii="Tahoma" w:hAnsi="Tahoma" w:cs="Tahoma"/>
                <w:sz w:val="14"/>
                <w:szCs w:val="14"/>
              </w:rPr>
              <w:t>0</w:t>
            </w:r>
            <w:r w:rsidR="005E7C48">
              <w:rPr>
                <w:rFonts w:ascii="Tahoma" w:hAnsi="Tahoma" w:cs="Tahoma"/>
                <w:sz w:val="14"/>
                <w:szCs w:val="14"/>
              </w:rPr>
              <w:t>4</w:t>
            </w:r>
            <w:r>
              <w:rPr>
                <w:rFonts w:ascii="Tahoma" w:hAnsi="Tahoma" w:cs="Tahoma"/>
                <w:sz w:val="14"/>
                <w:szCs w:val="14"/>
              </w:rPr>
              <w:t>-</w:t>
            </w:r>
            <w:r w:rsidR="005E7C48">
              <w:rPr>
                <w:rFonts w:ascii="Tahoma" w:hAnsi="Tahoma" w:cs="Tahoma"/>
                <w:sz w:val="14"/>
                <w:szCs w:val="14"/>
              </w:rPr>
              <w:t>5</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74F3D890" w:rsidR="00E978D0" w:rsidRPr="00B57B36" w:rsidRDefault="00852295" w:rsidP="00E978D0">
      <w:pPr>
        <w:pStyle w:val="CETTitle"/>
      </w:pPr>
      <w:r w:rsidRPr="00852295">
        <w:t xml:space="preserve">In Situ Bioremediation </w:t>
      </w:r>
      <w:r>
        <w:t>i</w:t>
      </w:r>
      <w:r w:rsidRPr="00852295">
        <w:t>n Mixed-Culture Inoculated Biological Permeable Reactive Barrier Systems</w:t>
      </w:r>
    </w:p>
    <w:p w14:paraId="0488FED2" w14:textId="05F2086D" w:rsidR="00B57E6F" w:rsidRPr="00B57B36" w:rsidRDefault="00852295" w:rsidP="00B57E6F">
      <w:pPr>
        <w:pStyle w:val="CETAuthors"/>
      </w:pPr>
      <w:r w:rsidRPr="00852295">
        <w:t>Evans M. N. Chirwa</w:t>
      </w:r>
      <w:r>
        <w:rPr>
          <w:vertAlign w:val="superscript"/>
        </w:rPr>
        <w:t>a</w:t>
      </w:r>
      <w:r w:rsidR="00532FD6">
        <w:rPr>
          <w:vertAlign w:val="superscript"/>
        </w:rPr>
        <w:t>,*</w:t>
      </w:r>
      <w:r w:rsidRPr="00852295">
        <w:t>, Karisa Naidu</w:t>
      </w:r>
      <w:r>
        <w:rPr>
          <w:vertAlign w:val="superscript"/>
        </w:rPr>
        <w:t>a</w:t>
      </w:r>
      <w:r w:rsidRPr="00852295">
        <w:t>,</w:t>
      </w:r>
      <w:r w:rsidR="00A07090">
        <w:t xml:space="preserve"> </w:t>
      </w:r>
      <w:r w:rsidRPr="00852295">
        <w:t>Buyisile Kholisa</w:t>
      </w:r>
      <w:r>
        <w:rPr>
          <w:vertAlign w:val="superscript"/>
        </w:rPr>
        <w:t>a</w:t>
      </w:r>
      <w:r w:rsidRPr="00852295">
        <w:t xml:space="preserve">, </w:t>
      </w:r>
      <w:r w:rsidR="00532FD6">
        <w:t>Mpumelello T. Matsena</w:t>
      </w:r>
      <w:r w:rsidR="00532FD6" w:rsidRPr="00532FD6">
        <w:rPr>
          <w:vertAlign w:val="superscript"/>
        </w:rPr>
        <w:t>a</w:t>
      </w:r>
      <w:r w:rsidR="00532FD6">
        <w:t>,</w:t>
      </w:r>
      <w:r w:rsidRPr="00852295">
        <w:t>Boitumelo F. Mashangoane</w:t>
      </w:r>
      <w:r>
        <w:rPr>
          <w:vertAlign w:val="superscript"/>
        </w:rPr>
        <w:t>a</w:t>
      </w:r>
      <w:r w:rsidRPr="00852295">
        <w:t>, Pulane E. Molokwane</w:t>
      </w:r>
      <w:r>
        <w:rPr>
          <w:vertAlign w:val="superscript"/>
        </w:rPr>
        <w:t>b</w:t>
      </w:r>
    </w:p>
    <w:p w14:paraId="6B2D21B3" w14:textId="5E84B100" w:rsidR="00B57E6F" w:rsidRPr="00B57B36" w:rsidRDefault="00B57E6F" w:rsidP="00B57E6F">
      <w:pPr>
        <w:pStyle w:val="CETAddress"/>
      </w:pPr>
      <w:r w:rsidRPr="00B57B36">
        <w:rPr>
          <w:vertAlign w:val="superscript"/>
        </w:rPr>
        <w:t>a</w:t>
      </w:r>
      <w:r w:rsidR="00852295">
        <w:t>Water Utilisation and Environmental Engineering Division, Department of Chemical Engineering, University of Pretoria, Pretoria 0002, South Africa</w:t>
      </w:r>
      <w:r w:rsidRPr="00B57B36">
        <w:t xml:space="preserve"> </w:t>
      </w:r>
    </w:p>
    <w:p w14:paraId="3D72B0B0" w14:textId="3767675F" w:rsidR="00B57E6F" w:rsidRPr="00B57B36" w:rsidRDefault="00B57E6F" w:rsidP="00B57E6F">
      <w:pPr>
        <w:pStyle w:val="CETAddress"/>
      </w:pPr>
      <w:r w:rsidRPr="00B57B36">
        <w:rPr>
          <w:vertAlign w:val="superscript"/>
        </w:rPr>
        <w:t>b</w:t>
      </w:r>
      <w:r w:rsidR="00852295">
        <w:t>Oroenviron (Pty) Ltd, 2561 Chamomile Close, Blue Valley View Estate, Midrand, South Africa.</w:t>
      </w:r>
    </w:p>
    <w:p w14:paraId="73F1267A" w14:textId="4EDE7AB7" w:rsidR="00B57E6F" w:rsidRDefault="00B57E6F" w:rsidP="00B57E6F">
      <w:pPr>
        <w:pStyle w:val="CETemail"/>
      </w:pPr>
      <w:r>
        <w:t xml:space="preserve"> </w:t>
      </w:r>
      <w:r w:rsidR="00A514DC">
        <w:t>e</w:t>
      </w:r>
      <w:r w:rsidR="00852295">
        <w:t>vans.</w:t>
      </w:r>
      <w:r w:rsidR="00A514DC">
        <w:t>c</w:t>
      </w:r>
      <w:r w:rsidR="00852295">
        <w:t>hirwa@up.ac.za</w:t>
      </w:r>
    </w:p>
    <w:p w14:paraId="4816A7E8" w14:textId="158DACB8" w:rsidR="00A514DC" w:rsidRPr="00A514DC" w:rsidRDefault="00A514DC" w:rsidP="00A514DC">
      <w:pPr>
        <w:pStyle w:val="CETBodytext"/>
        <w:rPr>
          <w:lang w:val="en-GB"/>
        </w:rPr>
      </w:pPr>
      <w:proofErr w:type="gramStart"/>
      <w:r w:rsidRPr="00A514DC">
        <w:rPr>
          <w:lang w:val="en-GB"/>
        </w:rPr>
        <w:t>Cr(</w:t>
      </w:r>
      <w:proofErr w:type="gramEnd"/>
      <w:r w:rsidRPr="00A514DC">
        <w:rPr>
          <w:lang w:val="en-GB"/>
        </w:rPr>
        <w:t>VI) reducing bacteria</w:t>
      </w:r>
      <w:r w:rsidR="0085103D">
        <w:rPr>
          <w:lang w:val="en-GB"/>
        </w:rPr>
        <w:t xml:space="preserve"> was </w:t>
      </w:r>
      <w:r w:rsidRPr="00A514DC">
        <w:rPr>
          <w:lang w:val="en-GB"/>
        </w:rPr>
        <w:t xml:space="preserve">isolated from dried sludge collected from sand drying beds at a local wastewater treatment plant in Brits (South Africa). The plant received high periodic loadings of </w:t>
      </w:r>
      <w:proofErr w:type="gramStart"/>
      <w:r w:rsidRPr="00A514DC">
        <w:rPr>
          <w:lang w:val="en-GB"/>
        </w:rPr>
        <w:t>Cr(</w:t>
      </w:r>
      <w:proofErr w:type="gramEnd"/>
      <w:r w:rsidRPr="00A514DC">
        <w:rPr>
          <w:lang w:val="en-GB"/>
        </w:rPr>
        <w:t xml:space="preserve">VI) contaminated effluent from an abandoned chrome processing foundry within the chrome mining town of Brits. </w:t>
      </w:r>
      <w:r w:rsidR="0085103D" w:rsidRPr="004D4CB6">
        <w:rPr>
          <w:lang w:val="en-ZA"/>
        </w:rPr>
        <w:t xml:space="preserve">The isolated bacteria were tolerant to high </w:t>
      </w:r>
      <w:proofErr w:type="gramStart"/>
      <w:r w:rsidR="0085103D" w:rsidRPr="004D4CB6">
        <w:rPr>
          <w:lang w:val="en-ZA"/>
        </w:rPr>
        <w:t>Cr(</w:t>
      </w:r>
      <w:proofErr w:type="gramEnd"/>
      <w:r w:rsidR="0085103D" w:rsidRPr="004D4CB6">
        <w:rPr>
          <w:lang w:val="en-ZA"/>
        </w:rPr>
        <w:t>VI) loadings with significant chromium removal activity at loadings up to 80 mg</w:t>
      </w:r>
      <w:r w:rsidR="0085103D" w:rsidRPr="004D4CB6">
        <w:rPr>
          <w:lang w:val="en-ZA"/>
        </w:rPr>
        <w:sym w:font="Symbol" w:char="F0D7"/>
      </w:r>
      <w:r w:rsidR="0085103D">
        <w:rPr>
          <w:lang w:val="en-ZA"/>
        </w:rPr>
        <w:t>L</w:t>
      </w:r>
      <w:r w:rsidR="0085103D">
        <w:rPr>
          <w:vertAlign w:val="superscript"/>
          <w:lang w:val="en-ZA"/>
        </w:rPr>
        <w:t>-1</w:t>
      </w:r>
      <w:r w:rsidR="0085103D" w:rsidRPr="004D4CB6">
        <w:rPr>
          <w:lang w:val="en-ZA"/>
        </w:rPr>
        <w:t xml:space="preserve"> under continuous flow conditions. </w:t>
      </w:r>
      <w:r w:rsidR="0085103D">
        <w:rPr>
          <w:lang w:val="en-GB"/>
        </w:rPr>
        <w:t xml:space="preserve">The </w:t>
      </w:r>
      <w:bookmarkStart w:id="0" w:name="_GoBack"/>
      <w:bookmarkEnd w:id="0"/>
      <w:r w:rsidR="0085103D">
        <w:rPr>
          <w:lang w:val="en-GB"/>
        </w:rPr>
        <w:t>active species in the sludge culture were determined to be predominated by</w:t>
      </w:r>
      <w:r w:rsidRPr="00A514DC">
        <w:rPr>
          <w:lang w:val="en-GB"/>
        </w:rPr>
        <w:t xml:space="preserve"> </w:t>
      </w:r>
      <w:r w:rsidR="0085103D">
        <w:rPr>
          <w:i/>
          <w:lang w:val="en-GB"/>
        </w:rPr>
        <w:t xml:space="preserve">Bacillus </w:t>
      </w:r>
      <w:proofErr w:type="spellStart"/>
      <w:r w:rsidR="0085103D">
        <w:rPr>
          <w:i/>
          <w:lang w:val="en-GB"/>
        </w:rPr>
        <w:t>thirungiensis</w:t>
      </w:r>
      <w:proofErr w:type="spellEnd"/>
      <w:r w:rsidR="0085103D" w:rsidRPr="0085103D">
        <w:rPr>
          <w:lang w:val="en-GB"/>
        </w:rPr>
        <w:t xml:space="preserve">, </w:t>
      </w:r>
      <w:r w:rsidR="0085103D" w:rsidRPr="0085103D">
        <w:rPr>
          <w:i/>
          <w:lang w:val="en-GB"/>
        </w:rPr>
        <w:t>Bacillus cereus</w:t>
      </w:r>
      <w:r w:rsidR="0085103D" w:rsidRPr="0085103D">
        <w:rPr>
          <w:lang w:val="en-GB"/>
        </w:rPr>
        <w:t>,</w:t>
      </w:r>
      <w:r w:rsidRPr="00A514DC">
        <w:rPr>
          <w:lang w:val="en-GB"/>
        </w:rPr>
        <w:t xml:space="preserve"> </w:t>
      </w:r>
      <w:proofErr w:type="spellStart"/>
      <w:r w:rsidRPr="00A514DC">
        <w:rPr>
          <w:i/>
          <w:lang w:val="en-GB"/>
        </w:rPr>
        <w:t>Lycinobacillus</w:t>
      </w:r>
      <w:proofErr w:type="spellEnd"/>
      <w:r w:rsidRPr="00A514DC">
        <w:rPr>
          <w:i/>
          <w:lang w:val="en-GB"/>
        </w:rPr>
        <w:t xml:space="preserve"> </w:t>
      </w:r>
      <w:bookmarkStart w:id="1" w:name="_Hlk133853041"/>
      <w:proofErr w:type="spellStart"/>
      <w:r w:rsidRPr="00A514DC">
        <w:rPr>
          <w:i/>
          <w:lang w:val="en-GB"/>
        </w:rPr>
        <w:t>sphaerococcus</w:t>
      </w:r>
      <w:bookmarkEnd w:id="1"/>
      <w:proofErr w:type="spellEnd"/>
      <w:r w:rsidRPr="00A514DC">
        <w:rPr>
          <w:lang w:val="en-GB"/>
        </w:rPr>
        <w:t xml:space="preserve">. </w:t>
      </w:r>
      <w:r w:rsidR="004D4CB6" w:rsidRPr="004D4CB6">
        <w:rPr>
          <w:lang w:val="en-ZA"/>
        </w:rPr>
        <w:t xml:space="preserve">The isolated consortium culture </w:t>
      </w:r>
      <w:r w:rsidR="0085103D">
        <w:rPr>
          <w:lang w:val="en-ZA"/>
        </w:rPr>
        <w:t>was introduced as</w:t>
      </w:r>
      <w:r w:rsidR="004D4CB6" w:rsidRPr="004D4CB6">
        <w:rPr>
          <w:lang w:val="en-ZA"/>
        </w:rPr>
        <w:t xml:space="preserve"> a </w:t>
      </w:r>
      <w:r w:rsidR="0085103D">
        <w:rPr>
          <w:lang w:val="en-ZA"/>
        </w:rPr>
        <w:t>bio</w:t>
      </w:r>
      <w:r w:rsidR="004D4CB6" w:rsidRPr="004D4CB6">
        <w:rPr>
          <w:lang w:val="en-ZA"/>
        </w:rPr>
        <w:t xml:space="preserve">catalyst </w:t>
      </w:r>
      <w:r w:rsidR="0085103D">
        <w:rPr>
          <w:lang w:val="en-ZA"/>
        </w:rPr>
        <w:t>in a microbial</w:t>
      </w:r>
      <w:r w:rsidR="004D4CB6" w:rsidRPr="004D4CB6">
        <w:rPr>
          <w:lang w:val="en-ZA"/>
        </w:rPr>
        <w:t xml:space="preserve"> permeable </w:t>
      </w:r>
      <w:proofErr w:type="spellStart"/>
      <w:r w:rsidR="004D4CB6" w:rsidRPr="004D4CB6">
        <w:rPr>
          <w:lang w:val="en-ZA"/>
        </w:rPr>
        <w:t>bioreactive</w:t>
      </w:r>
      <w:proofErr w:type="spellEnd"/>
      <w:r w:rsidR="004D4CB6" w:rsidRPr="004D4CB6">
        <w:rPr>
          <w:lang w:val="en-ZA"/>
        </w:rPr>
        <w:t xml:space="preserve"> barrier</w:t>
      </w:r>
      <w:r w:rsidR="0085103D">
        <w:rPr>
          <w:lang w:val="en-ZA"/>
        </w:rPr>
        <w:t xml:space="preserve"> for treatment of </w:t>
      </w:r>
      <w:proofErr w:type="gramStart"/>
      <w:r w:rsidR="0085103D">
        <w:rPr>
          <w:lang w:val="en-ZA"/>
        </w:rPr>
        <w:t>Cr(</w:t>
      </w:r>
      <w:proofErr w:type="gramEnd"/>
      <w:r w:rsidR="0085103D">
        <w:rPr>
          <w:lang w:val="en-ZA"/>
        </w:rPr>
        <w:t>VI) contaminated water through soil medium</w:t>
      </w:r>
      <w:r w:rsidR="004D4CB6" w:rsidRPr="004D4CB6">
        <w:rPr>
          <w:lang w:val="en-ZA"/>
        </w:rPr>
        <w:t>. When tested in continuous flow bench-scale systems, the steady-state condition was attained after the reactor's operation for 25 days. Time course concentration profiles in batch tests fitted well with first- and second-order exponential rate equations yielding first-order rate constants in the range of 0.615 h</w:t>
      </w:r>
      <w:r w:rsidR="004D4CB6" w:rsidRPr="004D4CB6">
        <w:rPr>
          <w:vertAlign w:val="superscript"/>
          <w:lang w:val="en-ZA"/>
        </w:rPr>
        <w:t>-1</w:t>
      </w:r>
      <w:r w:rsidR="004D4CB6" w:rsidRPr="004D4CB6">
        <w:rPr>
          <w:lang w:val="en-ZA"/>
        </w:rPr>
        <w:t xml:space="preserve"> and 0.0532 L</w:t>
      </w:r>
      <w:r w:rsidR="004D4CB6" w:rsidRPr="004D4CB6">
        <w:rPr>
          <w:lang w:val="en-ZA"/>
        </w:rPr>
        <w:sym w:font="Symbol" w:char="F0D7"/>
      </w:r>
      <w:r w:rsidR="004D4CB6" w:rsidRPr="004D4CB6">
        <w:rPr>
          <w:lang w:val="en-ZA"/>
        </w:rPr>
        <w:t>mg</w:t>
      </w:r>
      <w:r w:rsidR="004D4CB6" w:rsidRPr="004D4CB6">
        <w:rPr>
          <w:vertAlign w:val="superscript"/>
          <w:lang w:val="en-ZA"/>
        </w:rPr>
        <w:t>-1</w:t>
      </w:r>
      <w:r w:rsidR="004D4CB6" w:rsidRPr="004D4CB6">
        <w:rPr>
          <w:lang w:val="en-ZA"/>
        </w:rPr>
        <w:sym w:font="Symbol" w:char="F0D7"/>
      </w:r>
      <w:r w:rsidR="004D4CB6" w:rsidRPr="004D4CB6">
        <w:rPr>
          <w:lang w:val="en-ZA"/>
        </w:rPr>
        <w:t>h</w:t>
      </w:r>
      <w:r w:rsidR="004D4CB6" w:rsidRPr="004D4CB6">
        <w:rPr>
          <w:vertAlign w:val="superscript"/>
          <w:lang w:val="en-ZA"/>
        </w:rPr>
        <w:t>-1</w:t>
      </w:r>
      <w:r w:rsidR="004D4CB6" w:rsidRPr="004D4CB6">
        <w:rPr>
          <w:lang w:val="en-ZA"/>
        </w:rPr>
        <w:t xml:space="preserve"> for </w:t>
      </w:r>
      <w:proofErr w:type="gramStart"/>
      <w:r w:rsidR="004D4CB6" w:rsidRPr="004D4CB6">
        <w:rPr>
          <w:lang w:val="en-ZA"/>
        </w:rPr>
        <w:t>Cr(</w:t>
      </w:r>
      <w:proofErr w:type="gramEnd"/>
      <w:r w:rsidR="004D4CB6" w:rsidRPr="004D4CB6">
        <w:rPr>
          <w:lang w:val="en-ZA"/>
        </w:rPr>
        <w:t xml:space="preserve">VI) loadings ranging from 50 to 400 mg/L. The laboratory scale studies showed that the biological permeable reactive barrier technology using indigenous microbes has potential application for hexavalent chromium remediation in contaminated environments. Finally, the technology using bacteria in-situ shows that </w:t>
      </w:r>
      <w:proofErr w:type="gramStart"/>
      <w:r w:rsidR="004D4CB6" w:rsidRPr="004D4CB6">
        <w:rPr>
          <w:lang w:val="en-ZA"/>
        </w:rPr>
        <w:t>Cr(</w:t>
      </w:r>
      <w:proofErr w:type="gramEnd"/>
      <w:r w:rsidR="004D4CB6" w:rsidRPr="004D4CB6">
        <w:rPr>
          <w:lang w:val="en-ZA"/>
        </w:rPr>
        <w:t>VI) can be remediated in the environment using a passive system at a low cost with minimum intervention</w:t>
      </w:r>
      <w:r w:rsidRPr="00A514DC">
        <w:rPr>
          <w:lang w:val="en-GB"/>
        </w:rPr>
        <w:t>.</w:t>
      </w:r>
    </w:p>
    <w:p w14:paraId="476B2F2E" w14:textId="77777777" w:rsidR="00600535" w:rsidRPr="00B57B36" w:rsidRDefault="00600535" w:rsidP="00600535">
      <w:pPr>
        <w:pStyle w:val="CETHeading1"/>
        <w:rPr>
          <w:lang w:val="en-GB"/>
        </w:rPr>
      </w:pPr>
      <w:r w:rsidRPr="00B57B36">
        <w:rPr>
          <w:lang w:val="en-GB"/>
        </w:rPr>
        <w:t>Introduction</w:t>
      </w:r>
    </w:p>
    <w:p w14:paraId="7534FB25" w14:textId="474278F5" w:rsidR="000A2E77" w:rsidRPr="00532FD6" w:rsidRDefault="00A514DC" w:rsidP="000A2E77">
      <w:pPr>
        <w:pStyle w:val="CETBodytext"/>
      </w:pPr>
      <w:r w:rsidRPr="00A514DC">
        <w:t xml:space="preserve">In the aquatic environment, chromium mainly exists as trivalent chromium, </w:t>
      </w:r>
      <w:proofErr w:type="gramStart"/>
      <w:r w:rsidRPr="00A514DC">
        <w:t>Cr(</w:t>
      </w:r>
      <w:proofErr w:type="gramEnd"/>
      <w:r w:rsidRPr="00A514DC">
        <w:t xml:space="preserve">III), and hexavalent chromium, Cr(VI). </w:t>
      </w:r>
      <w:proofErr w:type="gramStart"/>
      <w:r w:rsidRPr="00532FD6">
        <w:t>Cr(</w:t>
      </w:r>
      <w:proofErr w:type="gramEnd"/>
      <w:r w:rsidRPr="00532FD6">
        <w:t xml:space="preserve">VI) is highly soluble in water and can easily cross the membranes of cells </w:t>
      </w:r>
      <w:r w:rsidR="00C602F5" w:rsidRPr="00532FD6">
        <w:t>(Yang et al., 2021)</w:t>
      </w:r>
      <w:r w:rsidRPr="00532FD6">
        <w:t xml:space="preserve">. </w:t>
      </w:r>
      <w:proofErr w:type="gramStart"/>
      <w:r w:rsidR="00C602F5" w:rsidRPr="00532FD6">
        <w:t>Cr(</w:t>
      </w:r>
      <w:proofErr w:type="gramEnd"/>
      <w:r w:rsidR="00C602F5" w:rsidRPr="00532FD6">
        <w:t>VI)</w:t>
      </w:r>
      <w:r w:rsidRPr="00532FD6">
        <w:t xml:space="preserve"> is considered to be about a </w:t>
      </w:r>
      <w:r w:rsidR="00A62925">
        <w:t>thousand</w:t>
      </w:r>
      <w:r w:rsidRPr="00532FD6">
        <w:t xml:space="preserve"> times more toxic than Cr(III)</w:t>
      </w:r>
      <w:r w:rsidR="00A62925">
        <w:t xml:space="preserve"> </w:t>
      </w:r>
      <w:bookmarkStart w:id="2" w:name="_Hlk137564475"/>
      <w:r w:rsidR="00A62925">
        <w:t>(</w:t>
      </w:r>
      <w:proofErr w:type="spellStart"/>
      <w:r w:rsidR="00C02A95" w:rsidRPr="00C02A95">
        <w:t>Bedemo</w:t>
      </w:r>
      <w:proofErr w:type="spellEnd"/>
      <w:r w:rsidR="00C02A95" w:rsidRPr="00C02A95">
        <w:t xml:space="preserve"> </w:t>
      </w:r>
      <w:r w:rsidR="00C02A95">
        <w:t>et al., 2016</w:t>
      </w:r>
      <w:r w:rsidR="00A62925">
        <w:t>)</w:t>
      </w:r>
      <w:bookmarkEnd w:id="2"/>
      <w:r w:rsidRPr="00532FD6">
        <w:t xml:space="preserve">. </w:t>
      </w:r>
      <w:r w:rsidR="00C602F5" w:rsidRPr="00532FD6">
        <w:t xml:space="preserve">it is carcinogenic and mutagenic </w:t>
      </w:r>
      <w:r w:rsidR="000A2E77" w:rsidRPr="00532FD6">
        <w:t>(Chen and Gu, 2005</w:t>
      </w:r>
      <w:r w:rsidR="00C602F5" w:rsidRPr="00532FD6">
        <w:t xml:space="preserve">. The maximum contaminant level for </w:t>
      </w:r>
      <w:proofErr w:type="gramStart"/>
      <w:r w:rsidR="00C602F5" w:rsidRPr="00532FD6">
        <w:t>Cr(</w:t>
      </w:r>
      <w:proofErr w:type="gramEnd"/>
      <w:r w:rsidR="00C602F5" w:rsidRPr="00532FD6">
        <w:t>VI) in domestic water supplies was set to be 0.0</w:t>
      </w:r>
      <w:r w:rsidR="00F44A1A">
        <w:t>1</w:t>
      </w:r>
      <w:r w:rsidR="00C602F5" w:rsidRPr="00532FD6">
        <w:t xml:space="preserve"> mg</w:t>
      </w:r>
      <w:r w:rsidR="000A2E77" w:rsidRPr="00532FD6">
        <w:t>/L</w:t>
      </w:r>
      <w:r w:rsidR="00C602F5" w:rsidRPr="00532FD6">
        <w:t xml:space="preserve"> </w:t>
      </w:r>
      <w:bookmarkStart w:id="3" w:name="_Hlk137564670"/>
      <w:r w:rsidR="000A2E77" w:rsidRPr="00532FD6">
        <w:t xml:space="preserve">(EPA, </w:t>
      </w:r>
      <w:r w:rsidR="00C748F5">
        <w:t>2023</w:t>
      </w:r>
      <w:r w:rsidR="000A2E77" w:rsidRPr="00532FD6">
        <w:t>)</w:t>
      </w:r>
      <w:bookmarkEnd w:id="3"/>
      <w:r w:rsidR="00C602F5" w:rsidRPr="00532FD6">
        <w:t>.</w:t>
      </w:r>
    </w:p>
    <w:p w14:paraId="68D022EE" w14:textId="77777777" w:rsidR="000A2E77" w:rsidRPr="00532FD6" w:rsidRDefault="00C602F5" w:rsidP="000A2E77">
      <w:pPr>
        <w:pStyle w:val="CETBodytext"/>
      </w:pPr>
      <w:r w:rsidRPr="00532FD6">
        <w:t>On the other</w:t>
      </w:r>
      <w:r w:rsidR="000A2E77" w:rsidRPr="00532FD6">
        <w:t xml:space="preserve"> </w:t>
      </w:r>
      <w:r w:rsidRPr="00532FD6">
        <w:t xml:space="preserve">hand, the reduced form of chromium, </w:t>
      </w:r>
      <w:proofErr w:type="gramStart"/>
      <w:r w:rsidR="00A514DC" w:rsidRPr="00532FD6">
        <w:t>Cr(</w:t>
      </w:r>
      <w:proofErr w:type="gramEnd"/>
      <w:r w:rsidRPr="00532FD6">
        <w:t>III</w:t>
      </w:r>
      <w:r w:rsidR="00A514DC" w:rsidRPr="00532FD6">
        <w:t xml:space="preserve">) is </w:t>
      </w:r>
      <w:r w:rsidRPr="00532FD6">
        <w:t>1000 times less toxic than Cr(VI) and known to be an essential</w:t>
      </w:r>
      <w:r w:rsidR="00A514DC" w:rsidRPr="00532FD6">
        <w:t xml:space="preserve"> </w:t>
      </w:r>
      <w:r w:rsidRPr="00532FD6">
        <w:t>micro</w:t>
      </w:r>
      <w:r w:rsidR="00A514DC" w:rsidRPr="00532FD6">
        <w:t xml:space="preserve">nutrient </w:t>
      </w:r>
      <w:r w:rsidRPr="00532FD6">
        <w:t xml:space="preserve">required </w:t>
      </w:r>
      <w:r w:rsidR="000A2E77" w:rsidRPr="00532FD6">
        <w:t>for- metabolism</w:t>
      </w:r>
      <w:r w:rsidRPr="00532FD6">
        <w:t xml:space="preserve"> of carbohydrates</w:t>
      </w:r>
      <w:r w:rsidR="000A2E77" w:rsidRPr="00532FD6">
        <w:t xml:space="preserve"> in mammals</w:t>
      </w:r>
      <w:r w:rsidRPr="00532FD6">
        <w:t>.</w:t>
      </w:r>
      <w:r w:rsidR="00A514DC" w:rsidRPr="00532FD6">
        <w:t xml:space="preserve"> </w:t>
      </w:r>
      <w:proofErr w:type="gramStart"/>
      <w:r w:rsidR="00A514DC" w:rsidRPr="00532FD6">
        <w:t>Cr(</w:t>
      </w:r>
      <w:proofErr w:type="gramEnd"/>
      <w:r w:rsidR="00A514DC" w:rsidRPr="00532FD6">
        <w:t xml:space="preserve">VI) is highly toxic due to its high oxidation potential, mobility, and permeability, while Cr(III) has a lower toxicity due to its low solubility and mobility in neutral and alkaline conditions </w:t>
      </w:r>
      <w:r w:rsidR="000A2E77" w:rsidRPr="00532FD6">
        <w:t>(Ma et al., 2022)</w:t>
      </w:r>
      <w:r w:rsidR="00A514DC" w:rsidRPr="00532FD6">
        <w:t xml:space="preserve">. A low concentration of </w:t>
      </w:r>
      <w:proofErr w:type="gramStart"/>
      <w:r w:rsidR="00A514DC" w:rsidRPr="00532FD6">
        <w:t>Cr(</w:t>
      </w:r>
      <w:proofErr w:type="gramEnd"/>
      <w:r w:rsidR="00A514DC" w:rsidRPr="00532FD6">
        <w:t xml:space="preserve">III) is an essential nutrient for human beings to better uptake protein, fat, and sugar </w:t>
      </w:r>
      <w:r w:rsidR="000A2E77" w:rsidRPr="00532FD6">
        <w:t>(Ma et al., 2022)</w:t>
      </w:r>
      <w:r w:rsidR="00A514DC" w:rsidRPr="00532FD6">
        <w:t>.</w:t>
      </w:r>
    </w:p>
    <w:p w14:paraId="23F86FEF" w14:textId="7F23F61B" w:rsidR="00A514DC" w:rsidRDefault="00A514DC" w:rsidP="000A2E77">
      <w:pPr>
        <w:pStyle w:val="CETBodytext"/>
        <w:rPr>
          <w:lang w:val="en-GB"/>
        </w:rPr>
      </w:pPr>
      <w:r w:rsidRPr="00532FD6">
        <w:rPr>
          <w:lang w:val="en-GB"/>
        </w:rPr>
        <w:t xml:space="preserve">Numerous techniques have been investigated for the removal of </w:t>
      </w:r>
      <w:proofErr w:type="gramStart"/>
      <w:r w:rsidRPr="00532FD6">
        <w:rPr>
          <w:lang w:val="en-GB"/>
        </w:rPr>
        <w:t>Cr(</w:t>
      </w:r>
      <w:proofErr w:type="gramEnd"/>
      <w:r w:rsidRPr="00532FD6">
        <w:rPr>
          <w:lang w:val="en-GB"/>
        </w:rPr>
        <w:t xml:space="preserve">VI) from wastewater that include chemical precipitation </w:t>
      </w:r>
      <w:r w:rsidR="000A2E77" w:rsidRPr="00532FD6">
        <w:rPr>
          <w:lang w:val="en-GB"/>
        </w:rPr>
        <w:t>(Lee et al., 2006)</w:t>
      </w:r>
      <w:r w:rsidRPr="00532FD6">
        <w:rPr>
          <w:lang w:val="en-GB"/>
        </w:rPr>
        <w:t xml:space="preserve">, reverse osmosis </w:t>
      </w:r>
      <w:r w:rsidR="000A2E77" w:rsidRPr="00532FD6">
        <w:rPr>
          <w:lang w:val="en-GB"/>
        </w:rPr>
        <w:t>(Yang et al., 2020)</w:t>
      </w:r>
      <w:r w:rsidRPr="00532FD6">
        <w:rPr>
          <w:lang w:val="en-GB"/>
        </w:rPr>
        <w:t xml:space="preserve">, ion exchange </w:t>
      </w:r>
      <w:r w:rsidR="000A2E77" w:rsidRPr="00532FD6">
        <w:rPr>
          <w:lang w:val="en-GB"/>
        </w:rPr>
        <w:t>(Chen and Gu, 2005)</w:t>
      </w:r>
      <w:r w:rsidRPr="00532FD6">
        <w:rPr>
          <w:lang w:val="en-GB"/>
        </w:rPr>
        <w:t xml:space="preserve"> and lime coagulation </w:t>
      </w:r>
      <w:r w:rsidR="000A2E77" w:rsidRPr="00532FD6">
        <w:rPr>
          <w:lang w:val="en-GB"/>
        </w:rPr>
        <w:t>(Yang et al., 20</w:t>
      </w:r>
      <w:r w:rsidR="00D6156D" w:rsidRPr="00532FD6">
        <w:rPr>
          <w:lang w:val="en-GB"/>
        </w:rPr>
        <w:t>20</w:t>
      </w:r>
      <w:r w:rsidR="000A2E77" w:rsidRPr="00532FD6">
        <w:rPr>
          <w:lang w:val="en-GB"/>
        </w:rPr>
        <w:t>)</w:t>
      </w:r>
      <w:r w:rsidRPr="00532FD6">
        <w:rPr>
          <w:lang w:val="en-GB"/>
        </w:rPr>
        <w:t xml:space="preserve">. These methods have been reported to be costly, require high energy inputs or large quantities of reagents, and can create other forms of waste </w:t>
      </w:r>
      <w:r w:rsidR="00D6156D" w:rsidRPr="00532FD6">
        <w:rPr>
          <w:lang w:val="en-GB"/>
        </w:rPr>
        <w:t>(Lee et al., 2022)</w:t>
      </w:r>
      <w:r w:rsidRPr="00532FD6">
        <w:rPr>
          <w:lang w:val="en-GB"/>
        </w:rPr>
        <w:t xml:space="preserve">. Furthermore, they do not achieve complete heavy metal removal due to secondary pollution </w:t>
      </w:r>
      <w:r w:rsidR="00D6156D" w:rsidRPr="00532FD6">
        <w:rPr>
          <w:lang w:val="en-GB"/>
        </w:rPr>
        <w:t>(Yang et al., 2020)</w:t>
      </w:r>
      <w:r w:rsidRPr="00532FD6">
        <w:rPr>
          <w:lang w:val="en-GB"/>
        </w:rPr>
        <w:t xml:space="preserve">. The </w:t>
      </w:r>
      <w:proofErr w:type="spellStart"/>
      <w:r w:rsidRPr="00532FD6">
        <w:rPr>
          <w:lang w:val="en-GB"/>
        </w:rPr>
        <w:t>bioreduction</w:t>
      </w:r>
      <w:proofErr w:type="spellEnd"/>
      <w:r w:rsidRPr="00532FD6">
        <w:rPr>
          <w:lang w:val="en-GB"/>
        </w:rPr>
        <w:t xml:space="preserve"> of toxic </w:t>
      </w:r>
      <w:proofErr w:type="gramStart"/>
      <w:r w:rsidRPr="00532FD6">
        <w:rPr>
          <w:lang w:val="en-GB"/>
        </w:rPr>
        <w:t>Cr(</w:t>
      </w:r>
      <w:proofErr w:type="gramEnd"/>
      <w:r w:rsidRPr="00532FD6">
        <w:rPr>
          <w:lang w:val="en-GB"/>
        </w:rPr>
        <w:t xml:space="preserve">VI) to less toxic Cr(III) using microbial organisms is an attractive alternative as it is a promising and cost-effective approach for Cr(VI) remediation </w:t>
      </w:r>
      <w:r w:rsidR="00D6156D" w:rsidRPr="00532FD6">
        <w:rPr>
          <w:lang w:val="en-GB"/>
        </w:rPr>
        <w:t>(</w:t>
      </w:r>
      <w:proofErr w:type="spellStart"/>
      <w:r w:rsidR="00D6156D" w:rsidRPr="00532FD6">
        <w:rPr>
          <w:lang w:val="en-GB"/>
        </w:rPr>
        <w:t>Kholisa</w:t>
      </w:r>
      <w:proofErr w:type="spellEnd"/>
      <w:r w:rsidR="00D6156D" w:rsidRPr="00532FD6">
        <w:rPr>
          <w:lang w:val="en-GB"/>
        </w:rPr>
        <w:t xml:space="preserve"> </w:t>
      </w:r>
      <w:r w:rsidR="00A07090">
        <w:rPr>
          <w:lang w:val="en-GB"/>
        </w:rPr>
        <w:t>and Chirwa</w:t>
      </w:r>
      <w:r w:rsidR="00D6156D" w:rsidRPr="00532FD6">
        <w:rPr>
          <w:lang w:val="en-GB"/>
        </w:rPr>
        <w:t>, 2021</w:t>
      </w:r>
      <w:r w:rsidR="00D6156D">
        <w:rPr>
          <w:lang w:val="en-GB"/>
        </w:rPr>
        <w:t>)</w:t>
      </w:r>
      <w:r w:rsidRPr="00A514DC">
        <w:rPr>
          <w:lang w:val="en-GB"/>
        </w:rPr>
        <w:t>.</w:t>
      </w:r>
    </w:p>
    <w:p w14:paraId="7982FF50" w14:textId="5041170D" w:rsidR="0051253D" w:rsidRPr="00532FD6" w:rsidRDefault="0051253D" w:rsidP="00532FD6">
      <w:pPr>
        <w:pStyle w:val="CETBodytext"/>
      </w:pPr>
      <w:r>
        <w:lastRenderedPageBreak/>
        <w:t>Permeable reactive barriers were previously studies using</w:t>
      </w:r>
      <w:r w:rsidRPr="0051253D">
        <w:t xml:space="preserve"> chemical reagents such as iron or specially isolated </w:t>
      </w:r>
      <w:r w:rsidRPr="00532FD6">
        <w:t>microbial communities with the capability of converting toxic compounds to environmentally compatible forms (</w:t>
      </w:r>
      <w:proofErr w:type="spellStart"/>
      <w:r w:rsidRPr="00532FD6">
        <w:t>Puls</w:t>
      </w:r>
      <w:proofErr w:type="spellEnd"/>
      <w:r w:rsidRPr="00532FD6">
        <w:t xml:space="preserve"> and Powell, 1997). Biological permeable reactive subsurface barriers (BPRBs) can be also be created by introducing competent organisms in the subsurface designed to intercept a contaminant </w:t>
      </w:r>
      <w:r w:rsidR="00573A96" w:rsidRPr="00532FD6">
        <w:t>plume</w:t>
      </w:r>
      <w:r w:rsidRPr="00532FD6">
        <w:t xml:space="preserve"> (Molokwane et al., 2013).</w:t>
      </w:r>
    </w:p>
    <w:p w14:paraId="2E0947C0" w14:textId="094BE90F" w:rsidR="0051253D" w:rsidRPr="0051253D" w:rsidRDefault="0051253D" w:rsidP="0051253D">
      <w:pPr>
        <w:pStyle w:val="CETBodytext"/>
      </w:pPr>
      <w:r w:rsidRPr="00532FD6">
        <w:t xml:space="preserve">In this study, </w:t>
      </w:r>
      <w:proofErr w:type="gramStart"/>
      <w:r w:rsidR="00DF54B0" w:rsidRPr="00DF54B0">
        <w:t>Cr(</w:t>
      </w:r>
      <w:proofErr w:type="gramEnd"/>
      <w:r w:rsidR="00DF54B0" w:rsidRPr="00DF54B0">
        <w:t>VI) reducing microbial consortium collected from a local wastewater treatment plant from Brits (North West Province, South Africa)</w:t>
      </w:r>
      <w:r w:rsidR="00DF54B0">
        <w:t xml:space="preserve"> was used </w:t>
      </w:r>
      <w:proofErr w:type="spellStart"/>
      <w:r w:rsidR="00DF54B0">
        <w:t>a</w:t>
      </w:r>
      <w:proofErr w:type="spellEnd"/>
      <w:r w:rsidR="00DF54B0">
        <w:t xml:space="preserve"> the reactive barrier material in laboratory-scale PBRBs. </w:t>
      </w:r>
      <w:bookmarkStart w:id="4" w:name="_Hlk137565244"/>
      <w:r w:rsidR="00DF54B0">
        <w:t>A</w:t>
      </w:r>
      <w:r w:rsidRPr="00532FD6">
        <w:t xml:space="preserve"> </w:t>
      </w:r>
      <w:r w:rsidR="00F44A1A">
        <w:t xml:space="preserve">novel </w:t>
      </w:r>
      <w:r w:rsidR="00DF54B0">
        <w:t xml:space="preserve">Mechanistic </w:t>
      </w:r>
      <w:r w:rsidR="00F44A1A">
        <w:t xml:space="preserve">Diffusion-Reaction model representing fundamentals of dispersion and mass conservation </w:t>
      </w:r>
      <w:r w:rsidRPr="00532FD6">
        <w:t xml:space="preserve">was </w:t>
      </w:r>
      <w:r w:rsidR="00573A96" w:rsidRPr="00532FD6">
        <w:t>created to predict the performance of a BP</w:t>
      </w:r>
      <w:r w:rsidR="00DF54B0">
        <w:t>RBs</w:t>
      </w:r>
      <w:r w:rsidR="00573A96" w:rsidRPr="00532FD6">
        <w:t xml:space="preserve"> simulated in the laboratory using a controlled laboratory pilot reactor</w:t>
      </w:r>
      <w:r w:rsidR="00DF54B0">
        <w:t>.</w:t>
      </w:r>
      <w:bookmarkEnd w:id="4"/>
      <w:r w:rsidR="00DF54B0">
        <w:t xml:space="preserve"> </w:t>
      </w:r>
    </w:p>
    <w:p w14:paraId="5741900F" w14:textId="15CF490D" w:rsidR="00453E24" w:rsidRDefault="00A514DC" w:rsidP="00453E24">
      <w:pPr>
        <w:pStyle w:val="CETHeading1"/>
      </w:pPr>
      <w:r>
        <w:t>Materials and Methods</w:t>
      </w:r>
    </w:p>
    <w:p w14:paraId="0636B784" w14:textId="6B9B4664" w:rsidR="00453E24" w:rsidRDefault="007964E2" w:rsidP="00F60F52">
      <w:pPr>
        <w:pStyle w:val="CETheadingx"/>
      </w:pPr>
      <w:r>
        <w:t>Culture and Medium</w:t>
      </w:r>
    </w:p>
    <w:p w14:paraId="7C2B0064" w14:textId="09AB2689" w:rsidR="00453E24" w:rsidRDefault="007964E2" w:rsidP="00453E24">
      <w:pPr>
        <w:pStyle w:val="CETBodytext"/>
      </w:pPr>
      <w:r w:rsidRPr="007964E2">
        <w:t xml:space="preserve">Luria Bertani (LB) Broth (Sigma-Aldrich) was used as a growth medium to grow fresh bacteria from the sludge. This medium was freshly prepared before every experiment to avoid contamination that would occur if a large batch was made and </w:t>
      </w:r>
      <w:r w:rsidRPr="00532FD6">
        <w:t xml:space="preserve">stored in the cool room. To prepare this medium, 25 g of LB Broth powder was added to 1000 mL of distilled water </w:t>
      </w:r>
      <w:r w:rsidR="00485A18" w:rsidRPr="00532FD6">
        <w:t>(</w:t>
      </w:r>
      <w:proofErr w:type="spellStart"/>
      <w:r w:rsidR="00485A18" w:rsidRPr="00532FD6">
        <w:t>Kholisa</w:t>
      </w:r>
      <w:proofErr w:type="spellEnd"/>
      <w:r w:rsidR="00485A18" w:rsidRPr="00532FD6">
        <w:t xml:space="preserve"> and Chirwa, 2021)</w:t>
      </w:r>
      <w:r w:rsidRPr="00532FD6">
        <w:t xml:space="preserve">. LB Agar (Invitrogen) was used for colony development of the bacteria from the sludge. This was used to prepare agar plates with bacteria to be sent to the Microbiology Department at the University of Pretoria for analysis. To prepare this medium, 40 g of LB Agar powder was added to 1000 mL of distilled water </w:t>
      </w:r>
      <w:r w:rsidR="00485A18" w:rsidRPr="00532FD6">
        <w:t>(</w:t>
      </w:r>
      <w:proofErr w:type="spellStart"/>
      <w:r w:rsidR="00485A18" w:rsidRPr="00532FD6">
        <w:t>Kholisa</w:t>
      </w:r>
      <w:proofErr w:type="spellEnd"/>
      <w:r w:rsidR="00485A18" w:rsidRPr="00532FD6">
        <w:t xml:space="preserve"> and Chirwa, 2021)</w:t>
      </w:r>
      <w:r w:rsidRPr="00532FD6">
        <w:t>.</w:t>
      </w:r>
      <w:r w:rsidR="00F60F52" w:rsidRPr="00532FD6">
        <w:t xml:space="preserve"> </w:t>
      </w:r>
      <w:r w:rsidRPr="00532FD6">
        <w:t xml:space="preserve">The mineral salt medium (MSM) was meant to be used for the experiments after the bacteria had been freshly grown using LB Broth. This was freshly prepared before every experiment to avoid contamination. The purpose of the MSM was to provide enough minerals to keep the bacteria alive, but only enough to maintain their current state. In other words, MSM does not promote the growth of bacteria. According to </w:t>
      </w:r>
      <w:proofErr w:type="spellStart"/>
      <w:r w:rsidRPr="00532FD6">
        <w:t>Kholisa</w:t>
      </w:r>
      <w:proofErr w:type="spellEnd"/>
      <w:r w:rsidRPr="00532FD6">
        <w:t xml:space="preserve"> and Chirwa</w:t>
      </w:r>
      <w:r w:rsidR="00485A18" w:rsidRPr="00532FD6">
        <w:t xml:space="preserve"> </w:t>
      </w:r>
      <w:r w:rsidR="00A07090">
        <w:t>(</w:t>
      </w:r>
      <w:r w:rsidR="00485A18" w:rsidRPr="00532FD6">
        <w:t>2021)</w:t>
      </w:r>
      <w:r w:rsidRPr="00532FD6">
        <w:t>, 2.12 g of K</w:t>
      </w:r>
      <w:r w:rsidRPr="00532FD6">
        <w:rPr>
          <w:vertAlign w:val="subscript"/>
        </w:rPr>
        <w:t>2</w:t>
      </w:r>
      <w:r w:rsidRPr="00532FD6">
        <w:t>HPO</w:t>
      </w:r>
      <w:r w:rsidRPr="00532FD6">
        <w:rPr>
          <w:vertAlign w:val="subscript"/>
        </w:rPr>
        <w:t>4</w:t>
      </w:r>
      <w:r w:rsidRPr="00532FD6">
        <w:t xml:space="preserve"> (</w:t>
      </w:r>
      <w:proofErr w:type="spellStart"/>
      <w:r w:rsidRPr="00532FD6">
        <w:t>Glass</w:t>
      </w:r>
      <w:r w:rsidR="00F60F52" w:rsidRPr="00532FD6">
        <w:t>W</w:t>
      </w:r>
      <w:r w:rsidRPr="00532FD6">
        <w:t>orld</w:t>
      </w:r>
      <w:proofErr w:type="spellEnd"/>
      <w:r w:rsidR="00A34738" w:rsidRPr="00532FD6">
        <w:t>, Johannesburg, South Africa</w:t>
      </w:r>
      <w:r w:rsidRPr="00532FD6">
        <w:t>), 2.12 g of KH2PO4 (</w:t>
      </w:r>
      <w:proofErr w:type="spellStart"/>
      <w:r w:rsidRPr="00532FD6">
        <w:t>Glass</w:t>
      </w:r>
      <w:r w:rsidR="00F60F52" w:rsidRPr="00532FD6">
        <w:t>W</w:t>
      </w:r>
      <w:r w:rsidRPr="00532FD6">
        <w:t>orld</w:t>
      </w:r>
      <w:proofErr w:type="spellEnd"/>
      <w:r w:rsidRPr="00532FD6">
        <w:t xml:space="preserve">), 2 </w:t>
      </w:r>
      <w:r w:rsidRPr="007964E2">
        <w:t>g of NaCl (</w:t>
      </w:r>
      <w:proofErr w:type="spellStart"/>
      <w:r w:rsidRPr="007964E2">
        <w:t>Glass</w:t>
      </w:r>
      <w:r w:rsidR="00F60F52">
        <w:t>W</w:t>
      </w:r>
      <w:r w:rsidRPr="007964E2">
        <w:t>orld</w:t>
      </w:r>
      <w:proofErr w:type="spellEnd"/>
      <w:r w:rsidRPr="007964E2">
        <w:t>), 1 g of MgSO4.7H2O, 0.1 g of CaCl2 (</w:t>
      </w:r>
      <w:proofErr w:type="spellStart"/>
      <w:r w:rsidRPr="007964E2">
        <w:t>Fluka</w:t>
      </w:r>
      <w:proofErr w:type="spellEnd"/>
      <w:r w:rsidRPr="007964E2">
        <w:t>), 4 g of</w:t>
      </w:r>
      <w:r>
        <w:t xml:space="preserve"> </w:t>
      </w:r>
      <w:r w:rsidRPr="007964E2">
        <w:t>KNO</w:t>
      </w:r>
      <w:r w:rsidRPr="007964E2">
        <w:rPr>
          <w:vertAlign w:val="subscript"/>
        </w:rPr>
        <w:t>3</w:t>
      </w:r>
      <w:r w:rsidRPr="007964E2">
        <w:t xml:space="preserve"> (</w:t>
      </w:r>
      <w:proofErr w:type="spellStart"/>
      <w:r w:rsidRPr="007964E2">
        <w:t>Glass</w:t>
      </w:r>
      <w:r w:rsidR="00F60F52">
        <w:t>W</w:t>
      </w:r>
      <w:r w:rsidRPr="007964E2">
        <w:t>orld</w:t>
      </w:r>
      <w:proofErr w:type="spellEnd"/>
      <w:r w:rsidRPr="007964E2">
        <w:t>) and 5 g of glucose (</w:t>
      </w:r>
      <w:proofErr w:type="spellStart"/>
      <w:r w:rsidRPr="007964E2">
        <w:t>Glass</w:t>
      </w:r>
      <w:r w:rsidR="00F60F52">
        <w:t>W</w:t>
      </w:r>
      <w:r w:rsidRPr="007964E2">
        <w:t>orld</w:t>
      </w:r>
      <w:proofErr w:type="spellEnd"/>
      <w:r w:rsidRPr="007964E2">
        <w:t>) as a carbon source needed to be added to 1000 mL of distilled water</w:t>
      </w:r>
      <w:r>
        <w:t xml:space="preserve"> </w:t>
      </w:r>
      <w:r w:rsidRPr="007964E2">
        <w:t>to prepare this medium.</w:t>
      </w:r>
    </w:p>
    <w:p w14:paraId="766D8830" w14:textId="630E9824" w:rsidR="00F60F52" w:rsidRDefault="00F60F52" w:rsidP="00453E24">
      <w:pPr>
        <w:pStyle w:val="CETBodytext"/>
      </w:pPr>
    </w:p>
    <w:p w14:paraId="18BAFA6F" w14:textId="33B2DDF0" w:rsidR="00453E24" w:rsidRPr="00B57B36" w:rsidRDefault="00F60F52" w:rsidP="00F60F52">
      <w:pPr>
        <w:pStyle w:val="CETheadingx"/>
      </w:pPr>
      <w:r>
        <w:t>Reactor Configuration</w:t>
      </w:r>
      <w:r w:rsidR="00742E76">
        <w:t xml:space="preserve"> and Operation</w:t>
      </w:r>
    </w:p>
    <w:p w14:paraId="582642C6" w14:textId="75101469" w:rsidR="00453E24" w:rsidRDefault="00742E76" w:rsidP="00453E24">
      <w:pPr>
        <w:pStyle w:val="CETBodytext"/>
        <w:rPr>
          <w:lang w:val="en-GB"/>
        </w:rPr>
      </w:pPr>
      <w:r w:rsidRPr="00742E76">
        <w:rPr>
          <w:lang w:val="en-ZA"/>
        </w:rPr>
        <w:t xml:space="preserve">The </w:t>
      </w:r>
      <w:proofErr w:type="gramStart"/>
      <w:r w:rsidRPr="00742E76">
        <w:rPr>
          <w:lang w:val="en-ZA"/>
        </w:rPr>
        <w:t>Cr(</w:t>
      </w:r>
      <w:proofErr w:type="gramEnd"/>
      <w:r w:rsidRPr="00742E76">
        <w:rPr>
          <w:lang w:val="en-ZA"/>
        </w:rPr>
        <w:t xml:space="preserve">VI) remediation experiments were conducted </w:t>
      </w:r>
      <w:r w:rsidRPr="00742E76">
        <w:rPr>
          <w:lang w:val="en-GB"/>
        </w:rPr>
        <w:t>in two horizontal flow tanks with the dimensions 820 x 170 x 200 mm (L x B x H) were constructed using 5 mm thick transparent Perspex sheets (Evonik Rohm GmbH, Essen, Germany) as shown</w:t>
      </w:r>
      <w:r>
        <w:rPr>
          <w:lang w:val="en-GB"/>
        </w:rPr>
        <w:t xml:space="preserve"> in Figure 1</w:t>
      </w:r>
      <w:bookmarkStart w:id="5" w:name="_Hlk137465010"/>
      <w:r w:rsidR="004A1304">
        <w:rPr>
          <w:lang w:val="en-GB"/>
        </w:rPr>
        <w:t>, with duplicate samples collected from each sample port for analysis.</w:t>
      </w:r>
      <w:bookmarkEnd w:id="5"/>
    </w:p>
    <w:p w14:paraId="4C246729" w14:textId="77777777" w:rsidR="00742E76" w:rsidRDefault="00742E76" w:rsidP="00453E24">
      <w:pPr>
        <w:pStyle w:val="CETBodytext"/>
        <w:rPr>
          <w:lang w:val="en-GB"/>
        </w:rPr>
      </w:pPr>
    </w:p>
    <w:p w14:paraId="5436D977" w14:textId="59C0D90A" w:rsidR="00453E24" w:rsidRDefault="00742E76" w:rsidP="00453E24">
      <w:pPr>
        <w:pStyle w:val="CETBodytext"/>
      </w:pPr>
      <w:r>
        <w:rPr>
          <w:noProof/>
        </w:rPr>
        <w:drawing>
          <wp:inline distT="0" distB="0" distL="0" distR="0" wp14:anchorId="56534D44" wp14:editId="13899DD4">
            <wp:extent cx="4096512" cy="1744553"/>
            <wp:effectExtent l="0" t="0" r="0" b="825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94976" cy="1786485"/>
                    </a:xfrm>
                    <a:prstGeom prst="rect">
                      <a:avLst/>
                    </a:prstGeom>
                    <a:noFill/>
                  </pic:spPr>
                </pic:pic>
              </a:graphicData>
            </a:graphic>
          </wp:inline>
        </w:drawing>
      </w:r>
    </w:p>
    <w:p w14:paraId="7DAF942B" w14:textId="65433376" w:rsidR="00F60F52" w:rsidRPr="00A60ADF" w:rsidRDefault="00A60ADF" w:rsidP="00F60F52">
      <w:pPr>
        <w:pStyle w:val="CETBodytext"/>
        <w:rPr>
          <w:i/>
        </w:rPr>
      </w:pPr>
      <w:r w:rsidRPr="00A60ADF">
        <w:rPr>
          <w:i/>
        </w:rPr>
        <w:t>Figure 1: Horizontal flow reactor system configuration for testing the microbial barrier performance.</w:t>
      </w:r>
    </w:p>
    <w:p w14:paraId="5E1A1373" w14:textId="77777777" w:rsidR="00A60ADF" w:rsidRDefault="00A60ADF" w:rsidP="00F60F52">
      <w:pPr>
        <w:pStyle w:val="CETBodytext"/>
      </w:pPr>
    </w:p>
    <w:p w14:paraId="37E6A17C" w14:textId="1EEAAE47" w:rsidR="00742E76" w:rsidRDefault="00742E76" w:rsidP="00F60F52">
      <w:pPr>
        <w:pStyle w:val="CETBodytext"/>
      </w:pPr>
      <w:r w:rsidRPr="00742E76">
        <w:rPr>
          <w:lang w:val="en-GB"/>
        </w:rPr>
        <w:t>Each reactor consisted of five compartments</w:t>
      </w:r>
      <w:r w:rsidR="00A34738">
        <w:rPr>
          <w:lang w:val="en-GB"/>
        </w:rPr>
        <w:t>, i.e</w:t>
      </w:r>
      <w:r w:rsidR="00057089">
        <w:rPr>
          <w:lang w:val="en-GB"/>
        </w:rPr>
        <w:t>.</w:t>
      </w:r>
      <w:r w:rsidR="00A34738">
        <w:rPr>
          <w:lang w:val="en-GB"/>
        </w:rPr>
        <w:t>,</w:t>
      </w:r>
      <w:r w:rsidRPr="00742E76">
        <w:rPr>
          <w:lang w:val="en-GB"/>
        </w:rPr>
        <w:t xml:space="preserve"> influent and effluent reservoirs </w:t>
      </w:r>
      <w:r w:rsidR="00A34738">
        <w:rPr>
          <w:lang w:val="en-GB"/>
        </w:rPr>
        <w:t xml:space="preserve">I and V </w:t>
      </w:r>
      <w:r w:rsidRPr="00742E76">
        <w:rPr>
          <w:lang w:val="en-GB"/>
        </w:rPr>
        <w:t>(100 mm × 170 mm × 200 mm)</w:t>
      </w:r>
      <w:r w:rsidR="00A34738">
        <w:rPr>
          <w:lang w:val="en-GB"/>
        </w:rPr>
        <w:t xml:space="preserve"> each</w:t>
      </w:r>
      <w:r w:rsidRPr="00742E76">
        <w:rPr>
          <w:lang w:val="en-GB"/>
        </w:rPr>
        <w:t xml:space="preserve">, </w:t>
      </w:r>
      <w:r w:rsidR="00A34738">
        <w:rPr>
          <w:lang w:val="en-GB"/>
        </w:rPr>
        <w:t>non-reactive soil zones II and IV</w:t>
      </w:r>
      <w:r w:rsidRPr="00742E76">
        <w:rPr>
          <w:lang w:val="en-GB"/>
        </w:rPr>
        <w:t xml:space="preserve"> (230 mm × 170 mm × 200 mm)</w:t>
      </w:r>
      <w:r w:rsidR="00A34738">
        <w:rPr>
          <w:lang w:val="en-GB"/>
        </w:rPr>
        <w:t xml:space="preserve"> each</w:t>
      </w:r>
      <w:r w:rsidRPr="00742E76">
        <w:rPr>
          <w:lang w:val="en-GB"/>
        </w:rPr>
        <w:t xml:space="preserve">, and the </w:t>
      </w:r>
      <w:r w:rsidR="00A34738">
        <w:rPr>
          <w:lang w:val="en-GB"/>
        </w:rPr>
        <w:t xml:space="preserve">microbial inoculated </w:t>
      </w:r>
      <w:r w:rsidRPr="00742E76">
        <w:rPr>
          <w:lang w:val="en-GB"/>
        </w:rPr>
        <w:t xml:space="preserve">barrier </w:t>
      </w:r>
      <w:r w:rsidR="00A34738">
        <w:rPr>
          <w:lang w:val="en-GB"/>
        </w:rPr>
        <w:t xml:space="preserve">zone III </w:t>
      </w:r>
      <w:r w:rsidRPr="00742E76">
        <w:rPr>
          <w:lang w:val="en-GB"/>
        </w:rPr>
        <w:t xml:space="preserve">(150 mm × 170 mm × 200 mm). </w:t>
      </w:r>
      <w:r w:rsidR="00A34738">
        <w:rPr>
          <w:lang w:val="en-GB"/>
        </w:rPr>
        <w:t>The non-reactive</w:t>
      </w:r>
      <w:r w:rsidRPr="00742E76">
        <w:rPr>
          <w:lang w:val="en-GB"/>
        </w:rPr>
        <w:t xml:space="preserve"> compartments were filled with </w:t>
      </w:r>
      <w:r w:rsidR="00A34738">
        <w:rPr>
          <w:lang w:val="en-GB"/>
        </w:rPr>
        <w:t>acid treated soil to serve as controls</w:t>
      </w:r>
      <w:r w:rsidRPr="00742E76">
        <w:rPr>
          <w:lang w:val="en-GB"/>
        </w:rPr>
        <w:t xml:space="preserve">. </w:t>
      </w:r>
      <w:r w:rsidR="00A34738">
        <w:rPr>
          <w:lang w:val="en-GB"/>
        </w:rPr>
        <w:t>The</w:t>
      </w:r>
      <w:r w:rsidRPr="00742E76">
        <w:rPr>
          <w:lang w:val="en-GB"/>
        </w:rPr>
        <w:t xml:space="preserve"> middle compartment was filled with a mixture of dried sludge and </w:t>
      </w:r>
      <w:r w:rsidR="00A34738">
        <w:rPr>
          <w:lang w:val="en-GB"/>
        </w:rPr>
        <w:t>treated soil</w:t>
      </w:r>
      <w:r w:rsidRPr="00742E76">
        <w:rPr>
          <w:lang w:val="en-GB"/>
        </w:rPr>
        <w:t xml:space="preserve"> with a mass ratio of 70% to 30%. The reactors were operated as plug-flow systems with four sampling ports along the length. The first sampling point was placed 115 mm from the influent reservoir, the second and third were 10 mm before and after the </w:t>
      </w:r>
      <w:r w:rsidR="00057089">
        <w:rPr>
          <w:lang w:val="en-GB"/>
        </w:rPr>
        <w:t xml:space="preserve">microbial </w:t>
      </w:r>
      <w:r w:rsidRPr="00742E76">
        <w:rPr>
          <w:lang w:val="en-GB"/>
        </w:rPr>
        <w:t>barrier and the fourth was placed 495 mm from the influent reservoir.  The flow was delivered using a Watson-Marlow 120U peristaltic pump.</w:t>
      </w:r>
    </w:p>
    <w:p w14:paraId="6704BEF7" w14:textId="77777777" w:rsidR="00742E76" w:rsidRDefault="00742E76" w:rsidP="00F60F52">
      <w:pPr>
        <w:pStyle w:val="CETBodytext"/>
      </w:pPr>
    </w:p>
    <w:p w14:paraId="53D42F4E" w14:textId="20F78D7A" w:rsidR="00F60F52" w:rsidRPr="00B57B36" w:rsidRDefault="00F60F52" w:rsidP="00F60F52">
      <w:pPr>
        <w:pStyle w:val="CETheadingx"/>
      </w:pPr>
      <w:proofErr w:type="gramStart"/>
      <w:r>
        <w:lastRenderedPageBreak/>
        <w:t>Cr(</w:t>
      </w:r>
      <w:proofErr w:type="gramEnd"/>
      <w:r>
        <w:t>VI)/Cr(III) Concentration Measurement</w:t>
      </w:r>
    </w:p>
    <w:p w14:paraId="73A96D23" w14:textId="6F8985CC" w:rsidR="00BC3C4F" w:rsidRPr="00BC3C4F" w:rsidRDefault="00BC3C4F" w:rsidP="00BC3C4F">
      <w:pPr>
        <w:pStyle w:val="CETBodytext"/>
        <w:rPr>
          <w:lang w:val="en-ZA"/>
        </w:rPr>
      </w:pPr>
      <w:r w:rsidRPr="00BC3C4F">
        <w:t>1 mL samples were collected overtime and centrifuged using 2 mL Eppendorf centrifuge tubes at 600</w:t>
      </w:r>
      <w:r w:rsidRPr="00BC3C4F">
        <w:rPr>
          <w:iCs/>
        </w:rPr>
        <w:t xml:space="preserve">0 rpm </w:t>
      </w:r>
      <w:r w:rsidRPr="00BC3C4F">
        <w:t xml:space="preserve">for 15 min in a </w:t>
      </w:r>
      <w:proofErr w:type="spellStart"/>
      <w:r w:rsidRPr="00BC3C4F">
        <w:t>Minispin</w:t>
      </w:r>
      <w:proofErr w:type="spellEnd"/>
      <w:r w:rsidRPr="00BC3C4F">
        <w:rPr>
          <w:rFonts w:hint="eastAsia"/>
        </w:rPr>
        <w:t>®</w:t>
      </w:r>
      <w:r w:rsidRPr="00BC3C4F">
        <w:t xml:space="preserve"> Microcentrifuge (Eppendorf, Hamburg, Germany) to separate the suspended cells from the solution. The cell-free supernatant was then extracted using a pipette without re-suspending the cells and was used for </w:t>
      </w:r>
      <w:proofErr w:type="gramStart"/>
      <w:r w:rsidRPr="00BC3C4F">
        <w:t>Cr(</w:t>
      </w:r>
      <w:proofErr w:type="gramEnd"/>
      <w:r w:rsidRPr="00BC3C4F">
        <w:t>VI) analysis.</w:t>
      </w:r>
      <w:r>
        <w:t xml:space="preserve"> </w:t>
      </w:r>
      <w:r w:rsidRPr="00BC3C4F">
        <w:t>Then 0.2 mL of the extracted supernatant was added to a 10 mL volumetric flask followed by the addition of 1 mL (1N) H</w:t>
      </w:r>
      <w:r w:rsidRPr="00BC3C4F">
        <w:rPr>
          <w:vertAlign w:val="subscript"/>
        </w:rPr>
        <w:t>2</w:t>
      </w:r>
      <w:r w:rsidRPr="00BC3C4F">
        <w:t>SO</w:t>
      </w:r>
      <w:r w:rsidRPr="00BC3C4F">
        <w:rPr>
          <w:vertAlign w:val="subscript"/>
        </w:rPr>
        <w:t>4</w:t>
      </w:r>
      <w:r w:rsidRPr="00BC3C4F">
        <w:t xml:space="preserve"> solution for digestion of the sample. The flask was filled with distilled water to the 10 mL mark. 0.2 mL of 1,5-DPC solution was then added to yield a purple </w:t>
      </w:r>
      <w:proofErr w:type="spellStart"/>
      <w:r w:rsidRPr="00BC3C4F">
        <w:t>colour</w:t>
      </w:r>
      <w:proofErr w:type="spellEnd"/>
      <w:r w:rsidRPr="00BC3C4F">
        <w:t xml:space="preserve">. UV/Vis Spectrophotometer (WPA Lightwave II) from </w:t>
      </w:r>
      <w:proofErr w:type="spellStart"/>
      <w:r w:rsidRPr="00BC3C4F">
        <w:t>Labotech</w:t>
      </w:r>
      <w:proofErr w:type="spellEnd"/>
      <w:r w:rsidRPr="00BC3C4F">
        <w:t xml:space="preserve">, South Africa was used for measuring the absorbance of the mixture at 540 nm wavelength, across a 10 mm light path. The intensity of the purple </w:t>
      </w:r>
      <w:proofErr w:type="spellStart"/>
      <w:r w:rsidRPr="00BC3C4F">
        <w:t>colour</w:t>
      </w:r>
      <w:proofErr w:type="spellEnd"/>
      <w:r w:rsidRPr="00BC3C4F">
        <w:t xml:space="preserve"> was proportional to the </w:t>
      </w:r>
      <w:proofErr w:type="gramStart"/>
      <w:r w:rsidRPr="00BC3C4F">
        <w:t>Cr(</w:t>
      </w:r>
      <w:proofErr w:type="gramEnd"/>
      <w:r w:rsidRPr="00BC3C4F">
        <w:t>VI) concentration in the sample (APHA</w:t>
      </w:r>
      <w:r w:rsidR="00742E76">
        <w:t>/AWWA/WEF</w:t>
      </w:r>
      <w:r w:rsidRPr="00BC3C4F">
        <w:t>, 20</w:t>
      </w:r>
      <w:r w:rsidR="00742E76">
        <w:t>23</w:t>
      </w:r>
      <w:r w:rsidRPr="00BC3C4F">
        <w:t xml:space="preserve">). </w:t>
      </w:r>
      <w:r>
        <w:rPr>
          <w:lang w:val="en-ZA"/>
        </w:rPr>
        <w:t>V</w:t>
      </w:r>
      <w:r w:rsidRPr="00BC3C4F">
        <w:rPr>
          <w:lang w:val="en-ZA"/>
        </w:rPr>
        <w:t xml:space="preserve">arian AA - 1275 Series Atomic Adsorption Spectrophotometer (AAS) (Varian, Palo Alto, CA (USA)) equipped with a </w:t>
      </w:r>
      <w:proofErr w:type="gramStart"/>
      <w:r w:rsidRPr="00BC3C4F">
        <w:rPr>
          <w:lang w:val="en-ZA"/>
        </w:rPr>
        <w:t>3 mA</w:t>
      </w:r>
      <w:proofErr w:type="gramEnd"/>
      <w:r w:rsidRPr="00BC3C4F">
        <w:rPr>
          <w:lang w:val="en-ZA"/>
        </w:rPr>
        <w:t xml:space="preserve"> chromium hollow cathode lamp was used to measure the total Cr at a wavelength of 359.9 nm. The AAS was calibrated before total Cr analysis using 1-5 mg</w:t>
      </w:r>
      <w:r w:rsidR="00E73DEF">
        <w:rPr>
          <w:lang w:val="en-ZA"/>
        </w:rPr>
        <w:sym w:font="Symbol" w:char="F0D7"/>
      </w:r>
      <w:r w:rsidRPr="00BC3C4F">
        <w:rPr>
          <w:lang w:val="en-ZA"/>
        </w:rPr>
        <w:t>L</w:t>
      </w:r>
      <w:r w:rsidR="00E73DEF">
        <w:rPr>
          <w:vertAlign w:val="superscript"/>
          <w:lang w:val="en-ZA"/>
        </w:rPr>
        <w:t>-1</w:t>
      </w:r>
      <w:r w:rsidRPr="00BC3C4F">
        <w:rPr>
          <w:lang w:val="en-ZA"/>
        </w:rPr>
        <w:t xml:space="preserve"> </w:t>
      </w:r>
      <w:proofErr w:type="gramStart"/>
      <w:r w:rsidRPr="00BC3C4F">
        <w:rPr>
          <w:lang w:val="en-ZA"/>
        </w:rPr>
        <w:t>Cr(</w:t>
      </w:r>
      <w:proofErr w:type="gramEnd"/>
      <w:r w:rsidRPr="00BC3C4F">
        <w:rPr>
          <w:lang w:val="en-ZA"/>
        </w:rPr>
        <w:t>VI) concentration prepared from the Cr(VI) stock solution.</w:t>
      </w:r>
      <w:r>
        <w:rPr>
          <w:lang w:val="en-ZA"/>
        </w:rPr>
        <w:t xml:space="preserve"> </w:t>
      </w:r>
      <w:proofErr w:type="gramStart"/>
      <w:r w:rsidRPr="00BC3C4F">
        <w:rPr>
          <w:lang w:val="en-ZA"/>
        </w:rPr>
        <w:t>Cr(</w:t>
      </w:r>
      <w:proofErr w:type="gramEnd"/>
      <w:r w:rsidRPr="00BC3C4F">
        <w:rPr>
          <w:lang w:val="en-ZA"/>
        </w:rPr>
        <w:t>III) was determined as the difference between total Cr and Cr(VI) concentration.</w:t>
      </w:r>
    </w:p>
    <w:p w14:paraId="677EBFF0" w14:textId="32A5B99F" w:rsidR="00600535" w:rsidRPr="00B57B36" w:rsidRDefault="00F60F52" w:rsidP="00600535">
      <w:pPr>
        <w:pStyle w:val="CETHeading1"/>
        <w:tabs>
          <w:tab w:val="clear" w:pos="360"/>
          <w:tab w:val="right" w:pos="7100"/>
        </w:tabs>
        <w:jc w:val="both"/>
        <w:rPr>
          <w:lang w:val="en-GB"/>
        </w:rPr>
      </w:pPr>
      <w:r>
        <w:rPr>
          <w:lang w:val="en-GB"/>
        </w:rPr>
        <w:t>Results and Discussion</w:t>
      </w:r>
    </w:p>
    <w:p w14:paraId="04963A06" w14:textId="74C1118E" w:rsidR="00600535" w:rsidRPr="00B57B36" w:rsidRDefault="00573A96" w:rsidP="00F60F52">
      <w:pPr>
        <w:pStyle w:val="CETheadingx"/>
      </w:pPr>
      <w:r>
        <w:t xml:space="preserve">Microbial Culture </w:t>
      </w:r>
      <w:proofErr w:type="spellStart"/>
      <w:r>
        <w:t>Characterisation</w:t>
      </w:r>
      <w:proofErr w:type="spellEnd"/>
    </w:p>
    <w:p w14:paraId="123CB7DF" w14:textId="3439FAF6" w:rsidR="00600535" w:rsidRDefault="00104EA5" w:rsidP="00600535">
      <w:pPr>
        <w:pStyle w:val="CETBodytext"/>
        <w:rPr>
          <w:lang w:val="en-GB"/>
        </w:rPr>
      </w:pPr>
      <w:r w:rsidRPr="00104EA5">
        <w:rPr>
          <w:lang w:val="en-GB"/>
        </w:rPr>
        <w:t xml:space="preserve">The sludge C bacteria consortium was chosen for characterization due to its high performance. </w:t>
      </w:r>
      <w:r w:rsidRPr="00104EA5">
        <w:rPr>
          <w:lang w:val="en-ZA"/>
        </w:rPr>
        <w:t xml:space="preserve">The bacterial isolates were identified based on 16S rDNA gene sequencing analyses and </w:t>
      </w:r>
      <w:r w:rsidRPr="00104EA5">
        <w:rPr>
          <w:lang w:val="en-GB"/>
        </w:rPr>
        <w:t xml:space="preserve">were carried out by the Microbiology Department, at the University of Pretoria to identify bacterial communities present after the sludge had been exposed to 100 mg/L </w:t>
      </w:r>
      <w:proofErr w:type="gramStart"/>
      <w:r w:rsidRPr="00104EA5">
        <w:rPr>
          <w:lang w:val="en-GB"/>
        </w:rPr>
        <w:t>Cr(</w:t>
      </w:r>
      <w:proofErr w:type="gramEnd"/>
      <w:r w:rsidRPr="00104EA5">
        <w:rPr>
          <w:lang w:val="en-GB"/>
        </w:rPr>
        <w:t xml:space="preserve">VI). </w:t>
      </w:r>
      <w:bookmarkStart w:id="6" w:name="_Hlk81580456"/>
      <w:r w:rsidRPr="00104EA5">
        <w:rPr>
          <w:lang w:val="en-ZA"/>
        </w:rPr>
        <w:t xml:space="preserve">BLASTN analysis of the bacterial isolates X1, X2, X3, X4, X5, X6 and X7 are </w:t>
      </w:r>
      <w:bookmarkEnd w:id="6"/>
      <w:r w:rsidRPr="00104EA5">
        <w:rPr>
          <w:lang w:val="en-GB"/>
        </w:rPr>
        <w:t xml:space="preserve">presented in </w:t>
      </w:r>
      <w:r w:rsidR="00A60ADF">
        <w:rPr>
          <w:lang w:val="en-GB"/>
        </w:rPr>
        <w:t xml:space="preserve">Table 1 </w:t>
      </w:r>
      <w:r w:rsidRPr="00104EA5">
        <w:rPr>
          <w:lang w:val="en-GB"/>
        </w:rPr>
        <w:t xml:space="preserve">and shows four predominant species under aerobic conditions. </w:t>
      </w:r>
      <w:r w:rsidRPr="00104EA5">
        <w:rPr>
          <w:lang w:val="en-ZA"/>
        </w:rPr>
        <w:t xml:space="preserve">The sequence for X1 was 99% similar to that of </w:t>
      </w:r>
      <w:r w:rsidRPr="00104EA5">
        <w:rPr>
          <w:i/>
          <w:lang w:val="en-GB"/>
        </w:rPr>
        <w:t>Bacillus cereus</w:t>
      </w:r>
      <w:r w:rsidRPr="00104EA5">
        <w:rPr>
          <w:lang w:val="en-GB"/>
        </w:rPr>
        <w:t xml:space="preserve"> 213 16S and</w:t>
      </w:r>
      <w:r w:rsidRPr="00104EA5">
        <w:rPr>
          <w:lang w:val="en-ZA"/>
        </w:rPr>
        <w:t xml:space="preserve"> </w:t>
      </w:r>
      <w:r w:rsidRPr="00104EA5">
        <w:rPr>
          <w:i/>
          <w:lang w:val="en-GB"/>
        </w:rPr>
        <w:t xml:space="preserve">Bacillus thuringiensis </w:t>
      </w:r>
      <w:r w:rsidRPr="00104EA5">
        <w:rPr>
          <w:lang w:val="en-GB"/>
        </w:rPr>
        <w:t xml:space="preserve">strains. X2 and X3 isolates produced similar results and showed close association with </w:t>
      </w:r>
      <w:r w:rsidRPr="00104EA5">
        <w:rPr>
          <w:i/>
          <w:lang w:val="en-GB"/>
        </w:rPr>
        <w:t>B. cereus</w:t>
      </w:r>
      <w:r w:rsidRPr="00104EA5">
        <w:rPr>
          <w:lang w:val="en-GB"/>
        </w:rPr>
        <w:t xml:space="preserve"> ATCC 10987, </w:t>
      </w:r>
      <w:r w:rsidRPr="00104EA5">
        <w:rPr>
          <w:i/>
          <w:lang w:val="en-GB"/>
        </w:rPr>
        <w:t>Bacillus sp</w:t>
      </w:r>
      <w:r w:rsidRPr="00104EA5">
        <w:rPr>
          <w:lang w:val="en-GB"/>
        </w:rPr>
        <w:t xml:space="preserve">. ZZ2 16s, </w:t>
      </w:r>
      <w:r w:rsidRPr="00104EA5">
        <w:rPr>
          <w:i/>
          <w:lang w:val="en-GB"/>
        </w:rPr>
        <w:t>B. thuringiensis</w:t>
      </w:r>
      <w:r w:rsidRPr="00104EA5">
        <w:rPr>
          <w:lang w:val="en-GB"/>
        </w:rPr>
        <w:t xml:space="preserve"> str.</w:t>
      </w:r>
      <w:r w:rsidRPr="00104EA5">
        <w:rPr>
          <w:i/>
          <w:lang w:val="en-GB"/>
        </w:rPr>
        <w:t xml:space="preserve"> Al Hakam</w:t>
      </w:r>
      <w:r w:rsidRPr="00104EA5">
        <w:rPr>
          <w:lang w:val="en-GB"/>
        </w:rPr>
        <w:t xml:space="preserve"> having a 99% identity. While X4, X5 and X6 were in close association with </w:t>
      </w:r>
      <w:r w:rsidRPr="00104EA5">
        <w:rPr>
          <w:i/>
          <w:lang w:val="en-GB"/>
        </w:rPr>
        <w:t>B. mycoides</w:t>
      </w:r>
      <w:r w:rsidRPr="00104EA5">
        <w:rPr>
          <w:lang w:val="en-GB"/>
        </w:rPr>
        <w:t xml:space="preserve"> strain BGSC 6A13 16S, </w:t>
      </w:r>
      <w:r w:rsidRPr="00104EA5">
        <w:rPr>
          <w:i/>
          <w:lang w:val="en-GB"/>
        </w:rPr>
        <w:t xml:space="preserve">B. thuringiensis serovar </w:t>
      </w:r>
      <w:proofErr w:type="spellStart"/>
      <w:r w:rsidRPr="00104EA5">
        <w:rPr>
          <w:i/>
          <w:lang w:val="en-GB"/>
        </w:rPr>
        <w:t>finitimus</w:t>
      </w:r>
      <w:proofErr w:type="spellEnd"/>
      <w:r w:rsidRPr="00104EA5">
        <w:rPr>
          <w:lang w:val="en-GB"/>
        </w:rPr>
        <w:t xml:space="preserve"> strain BGSC 4B2 16S strains. The sequence for X7 was 99% similar to that of </w:t>
      </w:r>
      <w:proofErr w:type="spellStart"/>
      <w:r w:rsidRPr="00104EA5">
        <w:rPr>
          <w:i/>
          <w:lang w:val="en-GB"/>
        </w:rPr>
        <w:t>Microbacterium</w:t>
      </w:r>
      <w:proofErr w:type="spellEnd"/>
      <w:r w:rsidRPr="00104EA5">
        <w:rPr>
          <w:i/>
          <w:lang w:val="en-GB"/>
        </w:rPr>
        <w:t xml:space="preserve"> sp.</w:t>
      </w:r>
      <w:r w:rsidRPr="00104EA5">
        <w:rPr>
          <w:lang w:val="en-GB"/>
        </w:rPr>
        <w:t xml:space="preserve"> S15-M4 and </w:t>
      </w:r>
      <w:proofErr w:type="spellStart"/>
      <w:r w:rsidRPr="00104EA5">
        <w:rPr>
          <w:i/>
          <w:lang w:val="en-GB"/>
        </w:rPr>
        <w:t>Microbacterium</w:t>
      </w:r>
      <w:proofErr w:type="spellEnd"/>
      <w:r w:rsidRPr="00104EA5">
        <w:rPr>
          <w:i/>
          <w:lang w:val="en-GB"/>
        </w:rPr>
        <w:t xml:space="preserve"> </w:t>
      </w:r>
      <w:proofErr w:type="spellStart"/>
      <w:r w:rsidRPr="00104EA5">
        <w:rPr>
          <w:i/>
          <w:lang w:val="en-GB"/>
        </w:rPr>
        <w:t>foliorum</w:t>
      </w:r>
      <w:proofErr w:type="spellEnd"/>
      <w:r w:rsidRPr="00104EA5">
        <w:rPr>
          <w:lang w:val="en-GB"/>
        </w:rPr>
        <w:t>. A phylogenetic tree was constructed for the species from purified cultures grown under aerobic conditions based on a basic BLAST search of rRNA sequences in the NCBI database</w:t>
      </w:r>
      <w:r w:rsidR="00A60ADF">
        <w:rPr>
          <w:lang w:val="en-GB"/>
        </w:rPr>
        <w:t xml:space="preserve"> (Figure 2).</w:t>
      </w:r>
    </w:p>
    <w:p w14:paraId="1EF2EAD7" w14:textId="6974E59E" w:rsidR="00E6314E" w:rsidRPr="00E6314E" w:rsidRDefault="00E6314E" w:rsidP="00E6314E">
      <w:pPr>
        <w:pStyle w:val="CETTabletitle"/>
        <w:rPr>
          <w:bCs/>
          <w:lang w:val="en-ZA"/>
        </w:rPr>
      </w:pPr>
      <w:bookmarkStart w:id="7" w:name="_Ref67085384"/>
      <w:bookmarkStart w:id="8" w:name="_Hlk80272289"/>
      <w:bookmarkStart w:id="9" w:name="_Toc114658258"/>
      <w:bookmarkStart w:id="10" w:name="_Toc88131454"/>
      <w:r w:rsidRPr="00E6314E">
        <w:rPr>
          <w:bCs/>
          <w:lang w:val="en-ZA"/>
        </w:rPr>
        <w:t>Table</w:t>
      </w:r>
      <w:bookmarkEnd w:id="7"/>
      <w:r>
        <w:rPr>
          <w:bCs/>
          <w:lang w:val="en-ZA"/>
        </w:rPr>
        <w:t xml:space="preserve"> 1</w:t>
      </w:r>
      <w:r w:rsidRPr="00E6314E">
        <w:rPr>
          <w:bCs/>
          <w:lang w:val="en-ZA"/>
        </w:rPr>
        <w:t xml:space="preserve">: Sludge </w:t>
      </w:r>
      <w:proofErr w:type="gramStart"/>
      <w:r w:rsidRPr="00E6314E">
        <w:rPr>
          <w:bCs/>
          <w:lang w:val="en-ZA"/>
        </w:rPr>
        <w:t>Cr(</w:t>
      </w:r>
      <w:proofErr w:type="gramEnd"/>
      <w:r w:rsidRPr="00E6314E">
        <w:rPr>
          <w:bCs/>
          <w:lang w:val="en-ZA"/>
        </w:rPr>
        <w:t>VI)-Reducing Bacteria strain characterisation using 16S rRNA</w:t>
      </w:r>
      <w:bookmarkEnd w:id="8"/>
      <w:bookmarkEnd w:id="9"/>
      <w:r w:rsidRPr="00E6314E">
        <w:rPr>
          <w:bCs/>
          <w:lang w:val="en-ZA"/>
        </w:rPr>
        <w:t xml:space="preserve"> </w:t>
      </w:r>
      <w:bookmarkEnd w:id="10"/>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4950"/>
        <w:gridCol w:w="360"/>
        <w:gridCol w:w="360"/>
        <w:gridCol w:w="360"/>
        <w:gridCol w:w="360"/>
        <w:gridCol w:w="360"/>
        <w:gridCol w:w="360"/>
        <w:gridCol w:w="360"/>
        <w:gridCol w:w="936"/>
      </w:tblGrid>
      <w:tr w:rsidR="00104EA5" w:rsidRPr="00B57B36" w14:paraId="5E98D0B4" w14:textId="5F6C9359" w:rsidTr="00490EB8">
        <w:tc>
          <w:tcPr>
            <w:tcW w:w="4950" w:type="dxa"/>
            <w:tcBorders>
              <w:top w:val="single" w:sz="12" w:space="0" w:color="008000"/>
              <w:bottom w:val="nil"/>
            </w:tcBorders>
            <w:shd w:val="clear" w:color="auto" w:fill="FFFFFF"/>
          </w:tcPr>
          <w:p w14:paraId="2A8AECC6" w14:textId="7A9E4B0D" w:rsidR="00104EA5" w:rsidRPr="00B57B36" w:rsidRDefault="00104EA5" w:rsidP="00490EB8">
            <w:pPr>
              <w:pStyle w:val="CETBodytext"/>
              <w:rPr>
                <w:lang w:val="en-GB"/>
              </w:rPr>
            </w:pPr>
            <w:r>
              <w:rPr>
                <w:lang w:val="en-GB"/>
              </w:rPr>
              <w:t>Blast Results</w:t>
            </w:r>
          </w:p>
        </w:tc>
        <w:tc>
          <w:tcPr>
            <w:tcW w:w="2520" w:type="dxa"/>
            <w:gridSpan w:val="7"/>
            <w:tcBorders>
              <w:top w:val="single" w:sz="12" w:space="0" w:color="008000"/>
              <w:bottom w:val="single" w:sz="6" w:space="0" w:color="008000"/>
            </w:tcBorders>
            <w:shd w:val="clear" w:color="auto" w:fill="FFFFFF"/>
          </w:tcPr>
          <w:p w14:paraId="5EE45179" w14:textId="413D76BE" w:rsidR="00104EA5" w:rsidRPr="00B57B36" w:rsidRDefault="00104EA5" w:rsidP="00490EB8">
            <w:pPr>
              <w:pStyle w:val="CETBodytext"/>
              <w:ind w:right="-1"/>
              <w:rPr>
                <w:rFonts w:cs="Arial"/>
                <w:szCs w:val="18"/>
                <w:lang w:val="en-GB"/>
              </w:rPr>
            </w:pPr>
            <w:r>
              <w:rPr>
                <w:rFonts w:cs="Arial"/>
                <w:szCs w:val="18"/>
                <w:lang w:val="en-GB"/>
              </w:rPr>
              <w:t>Pure Isolates</w:t>
            </w:r>
          </w:p>
        </w:tc>
        <w:tc>
          <w:tcPr>
            <w:tcW w:w="936" w:type="dxa"/>
            <w:tcBorders>
              <w:top w:val="single" w:sz="12" w:space="0" w:color="008000"/>
              <w:bottom w:val="nil"/>
            </w:tcBorders>
            <w:shd w:val="clear" w:color="auto" w:fill="FFFFFF"/>
          </w:tcPr>
          <w:p w14:paraId="635DB7D7" w14:textId="3EB98016" w:rsidR="00104EA5" w:rsidRPr="00B57B36" w:rsidRDefault="00104EA5" w:rsidP="00490EB8">
            <w:pPr>
              <w:pStyle w:val="CETBodytext"/>
              <w:ind w:right="-1"/>
              <w:rPr>
                <w:rFonts w:cs="Arial"/>
                <w:szCs w:val="18"/>
                <w:lang w:val="en-GB"/>
              </w:rPr>
            </w:pPr>
            <w:r>
              <w:rPr>
                <w:rFonts w:cs="Arial"/>
                <w:szCs w:val="18"/>
                <w:lang w:val="en-GB"/>
              </w:rPr>
              <w:t>ID Index</w:t>
            </w:r>
          </w:p>
        </w:tc>
      </w:tr>
      <w:tr w:rsidR="00E6314E" w:rsidRPr="00B57B36" w14:paraId="74B76CA2" w14:textId="77777777" w:rsidTr="00104EA5">
        <w:tc>
          <w:tcPr>
            <w:tcW w:w="4950" w:type="dxa"/>
            <w:tcBorders>
              <w:top w:val="nil"/>
              <w:bottom w:val="single" w:sz="6" w:space="0" w:color="008000"/>
            </w:tcBorders>
            <w:shd w:val="clear" w:color="auto" w:fill="FFFFFF"/>
          </w:tcPr>
          <w:p w14:paraId="36402674" w14:textId="77777777" w:rsidR="00E6314E" w:rsidRPr="00B57B36" w:rsidRDefault="00E6314E" w:rsidP="00490EB8">
            <w:pPr>
              <w:pStyle w:val="CETBodytext"/>
              <w:rPr>
                <w:lang w:val="en-GB"/>
              </w:rPr>
            </w:pPr>
          </w:p>
        </w:tc>
        <w:tc>
          <w:tcPr>
            <w:tcW w:w="360" w:type="dxa"/>
            <w:tcBorders>
              <w:top w:val="single" w:sz="6" w:space="0" w:color="008000"/>
              <w:bottom w:val="single" w:sz="6" w:space="0" w:color="008000"/>
            </w:tcBorders>
            <w:shd w:val="clear" w:color="auto" w:fill="FFFFFF"/>
          </w:tcPr>
          <w:p w14:paraId="56100AE1" w14:textId="6FA93630" w:rsidR="00E6314E" w:rsidRPr="00B57B36" w:rsidRDefault="00104EA5" w:rsidP="00490EB8">
            <w:pPr>
              <w:pStyle w:val="CETBodytext"/>
              <w:rPr>
                <w:lang w:val="en-GB"/>
              </w:rPr>
            </w:pPr>
            <w:r>
              <w:rPr>
                <w:lang w:val="en-GB"/>
              </w:rPr>
              <w:t>X1</w:t>
            </w:r>
          </w:p>
        </w:tc>
        <w:tc>
          <w:tcPr>
            <w:tcW w:w="360" w:type="dxa"/>
            <w:tcBorders>
              <w:top w:val="single" w:sz="6" w:space="0" w:color="008000"/>
              <w:bottom w:val="single" w:sz="6" w:space="0" w:color="008000"/>
            </w:tcBorders>
            <w:shd w:val="clear" w:color="auto" w:fill="FFFFFF"/>
          </w:tcPr>
          <w:p w14:paraId="407E324E" w14:textId="4F7B465D" w:rsidR="00E6314E" w:rsidRPr="00B57B36" w:rsidRDefault="00104EA5" w:rsidP="00490EB8">
            <w:pPr>
              <w:pStyle w:val="CETBodytext"/>
              <w:rPr>
                <w:lang w:val="en-GB"/>
              </w:rPr>
            </w:pPr>
            <w:r>
              <w:rPr>
                <w:lang w:val="en-GB"/>
              </w:rPr>
              <w:t>X2</w:t>
            </w:r>
          </w:p>
        </w:tc>
        <w:tc>
          <w:tcPr>
            <w:tcW w:w="360" w:type="dxa"/>
            <w:tcBorders>
              <w:top w:val="single" w:sz="6" w:space="0" w:color="008000"/>
              <w:bottom w:val="single" w:sz="6" w:space="0" w:color="008000"/>
            </w:tcBorders>
            <w:shd w:val="clear" w:color="auto" w:fill="FFFFFF"/>
          </w:tcPr>
          <w:p w14:paraId="445CA8A3" w14:textId="148C4B83" w:rsidR="00E6314E" w:rsidRPr="00B57B36" w:rsidRDefault="00104EA5" w:rsidP="00490EB8">
            <w:pPr>
              <w:pStyle w:val="CETBodytext"/>
              <w:ind w:right="-1"/>
              <w:rPr>
                <w:rFonts w:cs="Arial"/>
                <w:szCs w:val="18"/>
                <w:lang w:val="en-GB"/>
              </w:rPr>
            </w:pPr>
            <w:r>
              <w:rPr>
                <w:rFonts w:cs="Arial"/>
                <w:szCs w:val="18"/>
                <w:lang w:val="en-GB"/>
              </w:rPr>
              <w:t>X3</w:t>
            </w:r>
          </w:p>
        </w:tc>
        <w:tc>
          <w:tcPr>
            <w:tcW w:w="360" w:type="dxa"/>
            <w:tcBorders>
              <w:top w:val="single" w:sz="6" w:space="0" w:color="008000"/>
              <w:bottom w:val="single" w:sz="6" w:space="0" w:color="008000"/>
            </w:tcBorders>
            <w:shd w:val="clear" w:color="auto" w:fill="FFFFFF"/>
          </w:tcPr>
          <w:p w14:paraId="31BE47F0" w14:textId="6ECC6C82" w:rsidR="00E6314E" w:rsidRPr="00B57B36" w:rsidRDefault="00104EA5" w:rsidP="00490EB8">
            <w:pPr>
              <w:pStyle w:val="CETBodytext"/>
              <w:ind w:right="-1"/>
              <w:rPr>
                <w:rFonts w:cs="Arial"/>
                <w:szCs w:val="18"/>
                <w:lang w:val="en-GB"/>
              </w:rPr>
            </w:pPr>
            <w:r>
              <w:rPr>
                <w:rFonts w:cs="Arial"/>
                <w:szCs w:val="18"/>
                <w:lang w:val="en-GB"/>
              </w:rPr>
              <w:t>X4</w:t>
            </w:r>
          </w:p>
        </w:tc>
        <w:tc>
          <w:tcPr>
            <w:tcW w:w="360" w:type="dxa"/>
            <w:tcBorders>
              <w:top w:val="single" w:sz="6" w:space="0" w:color="008000"/>
              <w:bottom w:val="single" w:sz="6" w:space="0" w:color="008000"/>
            </w:tcBorders>
            <w:shd w:val="clear" w:color="auto" w:fill="FFFFFF"/>
          </w:tcPr>
          <w:p w14:paraId="6BDA8A0B" w14:textId="422D198A" w:rsidR="00E6314E" w:rsidRPr="00B57B36" w:rsidRDefault="00104EA5" w:rsidP="00490EB8">
            <w:pPr>
              <w:pStyle w:val="CETBodytext"/>
              <w:ind w:right="-1"/>
              <w:rPr>
                <w:rFonts w:cs="Arial"/>
                <w:szCs w:val="18"/>
                <w:lang w:val="en-GB"/>
              </w:rPr>
            </w:pPr>
            <w:r>
              <w:rPr>
                <w:rFonts w:cs="Arial"/>
                <w:szCs w:val="18"/>
                <w:lang w:val="en-GB"/>
              </w:rPr>
              <w:t>X5</w:t>
            </w:r>
          </w:p>
        </w:tc>
        <w:tc>
          <w:tcPr>
            <w:tcW w:w="360" w:type="dxa"/>
            <w:tcBorders>
              <w:top w:val="single" w:sz="6" w:space="0" w:color="008000"/>
              <w:bottom w:val="single" w:sz="6" w:space="0" w:color="008000"/>
            </w:tcBorders>
            <w:shd w:val="clear" w:color="auto" w:fill="FFFFFF"/>
          </w:tcPr>
          <w:p w14:paraId="39EEA941" w14:textId="576A7816" w:rsidR="00E6314E" w:rsidRPr="00B57B36" w:rsidRDefault="00104EA5" w:rsidP="00490EB8">
            <w:pPr>
              <w:pStyle w:val="CETBodytext"/>
              <w:ind w:right="-1"/>
              <w:rPr>
                <w:rFonts w:cs="Arial"/>
                <w:szCs w:val="18"/>
                <w:lang w:val="en-GB"/>
              </w:rPr>
            </w:pPr>
            <w:r>
              <w:rPr>
                <w:rFonts w:cs="Arial"/>
                <w:szCs w:val="18"/>
                <w:lang w:val="en-GB"/>
              </w:rPr>
              <w:t>X6</w:t>
            </w:r>
          </w:p>
        </w:tc>
        <w:tc>
          <w:tcPr>
            <w:tcW w:w="360" w:type="dxa"/>
            <w:tcBorders>
              <w:top w:val="single" w:sz="6" w:space="0" w:color="008000"/>
              <w:bottom w:val="single" w:sz="6" w:space="0" w:color="008000"/>
            </w:tcBorders>
            <w:shd w:val="clear" w:color="auto" w:fill="FFFFFF"/>
          </w:tcPr>
          <w:p w14:paraId="13DFF3C3" w14:textId="1C36B4DA" w:rsidR="00E6314E" w:rsidRPr="00B57B36" w:rsidRDefault="00104EA5" w:rsidP="00490EB8">
            <w:pPr>
              <w:pStyle w:val="CETBodytext"/>
              <w:ind w:right="-1"/>
              <w:rPr>
                <w:rFonts w:cs="Arial"/>
                <w:szCs w:val="18"/>
                <w:lang w:val="en-GB"/>
              </w:rPr>
            </w:pPr>
            <w:r>
              <w:rPr>
                <w:rFonts w:cs="Arial"/>
                <w:szCs w:val="18"/>
                <w:lang w:val="en-GB"/>
              </w:rPr>
              <w:t>X7</w:t>
            </w:r>
          </w:p>
        </w:tc>
        <w:tc>
          <w:tcPr>
            <w:tcW w:w="936" w:type="dxa"/>
            <w:tcBorders>
              <w:top w:val="nil"/>
              <w:bottom w:val="single" w:sz="6" w:space="0" w:color="008000"/>
            </w:tcBorders>
            <w:shd w:val="clear" w:color="auto" w:fill="FFFFFF"/>
          </w:tcPr>
          <w:p w14:paraId="11974ED1" w14:textId="77777777" w:rsidR="00E6314E" w:rsidRPr="00B57B36" w:rsidRDefault="00E6314E" w:rsidP="00490EB8">
            <w:pPr>
              <w:pStyle w:val="CETBodytext"/>
              <w:ind w:right="-1"/>
              <w:rPr>
                <w:rFonts w:cs="Arial"/>
                <w:szCs w:val="18"/>
                <w:lang w:val="en-GB"/>
              </w:rPr>
            </w:pPr>
          </w:p>
        </w:tc>
      </w:tr>
      <w:tr w:rsidR="00E6314E" w:rsidRPr="00104EA5" w14:paraId="7844814F" w14:textId="1D628C46" w:rsidTr="00104EA5">
        <w:tc>
          <w:tcPr>
            <w:tcW w:w="4950" w:type="dxa"/>
            <w:shd w:val="clear" w:color="auto" w:fill="FFFFFF"/>
          </w:tcPr>
          <w:p w14:paraId="278B621C" w14:textId="13C2E981" w:rsidR="00E6314E" w:rsidRPr="00104EA5" w:rsidRDefault="00E6314E" w:rsidP="00490EB8">
            <w:pPr>
              <w:pStyle w:val="CETBodytext"/>
              <w:rPr>
                <w:sz w:val="6"/>
                <w:szCs w:val="6"/>
                <w:lang w:val="en-GB"/>
              </w:rPr>
            </w:pPr>
          </w:p>
        </w:tc>
        <w:tc>
          <w:tcPr>
            <w:tcW w:w="360" w:type="dxa"/>
            <w:shd w:val="clear" w:color="auto" w:fill="FFFFFF"/>
          </w:tcPr>
          <w:p w14:paraId="293F990D" w14:textId="77777777" w:rsidR="00E6314E" w:rsidRPr="00104EA5" w:rsidRDefault="00E6314E" w:rsidP="00490EB8">
            <w:pPr>
              <w:pStyle w:val="CETBodytext"/>
              <w:rPr>
                <w:sz w:val="6"/>
                <w:szCs w:val="6"/>
                <w:lang w:val="en-GB"/>
              </w:rPr>
            </w:pPr>
          </w:p>
        </w:tc>
        <w:tc>
          <w:tcPr>
            <w:tcW w:w="360" w:type="dxa"/>
            <w:shd w:val="clear" w:color="auto" w:fill="FFFFFF"/>
          </w:tcPr>
          <w:p w14:paraId="07DF4924" w14:textId="77777777" w:rsidR="00E6314E" w:rsidRPr="00104EA5" w:rsidRDefault="00E6314E" w:rsidP="00490EB8">
            <w:pPr>
              <w:pStyle w:val="CETBodytext"/>
              <w:rPr>
                <w:sz w:val="6"/>
                <w:szCs w:val="6"/>
                <w:lang w:val="en-GB"/>
              </w:rPr>
            </w:pPr>
          </w:p>
        </w:tc>
        <w:tc>
          <w:tcPr>
            <w:tcW w:w="360" w:type="dxa"/>
            <w:shd w:val="clear" w:color="auto" w:fill="FFFFFF"/>
          </w:tcPr>
          <w:p w14:paraId="1C058D26" w14:textId="77777777" w:rsidR="00E6314E" w:rsidRPr="00104EA5" w:rsidRDefault="00E6314E" w:rsidP="00490EB8">
            <w:pPr>
              <w:pStyle w:val="CETBodytext"/>
              <w:ind w:right="-1"/>
              <w:rPr>
                <w:rFonts w:cs="Arial"/>
                <w:sz w:val="6"/>
                <w:szCs w:val="6"/>
                <w:lang w:val="en-GB"/>
              </w:rPr>
            </w:pPr>
          </w:p>
        </w:tc>
        <w:tc>
          <w:tcPr>
            <w:tcW w:w="360" w:type="dxa"/>
            <w:shd w:val="clear" w:color="auto" w:fill="FFFFFF"/>
          </w:tcPr>
          <w:p w14:paraId="1C049E95" w14:textId="77777777" w:rsidR="00E6314E" w:rsidRPr="00104EA5" w:rsidRDefault="00E6314E" w:rsidP="00490EB8">
            <w:pPr>
              <w:pStyle w:val="CETBodytext"/>
              <w:ind w:right="-1"/>
              <w:rPr>
                <w:rFonts w:cs="Arial"/>
                <w:sz w:val="6"/>
                <w:szCs w:val="6"/>
                <w:lang w:val="en-GB"/>
              </w:rPr>
            </w:pPr>
          </w:p>
        </w:tc>
        <w:tc>
          <w:tcPr>
            <w:tcW w:w="360" w:type="dxa"/>
            <w:shd w:val="clear" w:color="auto" w:fill="FFFFFF"/>
          </w:tcPr>
          <w:p w14:paraId="5A70407D" w14:textId="77777777" w:rsidR="00E6314E" w:rsidRPr="00104EA5" w:rsidRDefault="00E6314E" w:rsidP="00490EB8">
            <w:pPr>
              <w:pStyle w:val="CETBodytext"/>
              <w:ind w:right="-1"/>
              <w:rPr>
                <w:rFonts w:cs="Arial"/>
                <w:sz w:val="6"/>
                <w:szCs w:val="6"/>
                <w:lang w:val="en-GB"/>
              </w:rPr>
            </w:pPr>
          </w:p>
        </w:tc>
        <w:tc>
          <w:tcPr>
            <w:tcW w:w="360" w:type="dxa"/>
            <w:shd w:val="clear" w:color="auto" w:fill="FFFFFF"/>
          </w:tcPr>
          <w:p w14:paraId="4D2CBB9A" w14:textId="77777777" w:rsidR="00E6314E" w:rsidRPr="00104EA5" w:rsidRDefault="00E6314E" w:rsidP="00490EB8">
            <w:pPr>
              <w:pStyle w:val="CETBodytext"/>
              <w:ind w:right="-1"/>
              <w:rPr>
                <w:rFonts w:cs="Arial"/>
                <w:sz w:val="6"/>
                <w:szCs w:val="6"/>
                <w:lang w:val="en-GB"/>
              </w:rPr>
            </w:pPr>
          </w:p>
        </w:tc>
        <w:tc>
          <w:tcPr>
            <w:tcW w:w="360" w:type="dxa"/>
            <w:shd w:val="clear" w:color="auto" w:fill="FFFFFF"/>
          </w:tcPr>
          <w:p w14:paraId="12822076" w14:textId="77777777" w:rsidR="00E6314E" w:rsidRPr="00104EA5" w:rsidRDefault="00E6314E" w:rsidP="00490EB8">
            <w:pPr>
              <w:pStyle w:val="CETBodytext"/>
              <w:ind w:right="-1"/>
              <w:rPr>
                <w:rFonts w:cs="Arial"/>
                <w:sz w:val="6"/>
                <w:szCs w:val="6"/>
                <w:lang w:val="en-GB"/>
              </w:rPr>
            </w:pPr>
          </w:p>
        </w:tc>
        <w:tc>
          <w:tcPr>
            <w:tcW w:w="936" w:type="dxa"/>
            <w:shd w:val="clear" w:color="auto" w:fill="FFFFFF"/>
          </w:tcPr>
          <w:p w14:paraId="68AC12BF" w14:textId="77777777" w:rsidR="00E6314E" w:rsidRPr="00104EA5" w:rsidRDefault="00E6314E" w:rsidP="00490EB8">
            <w:pPr>
              <w:pStyle w:val="CETBodytext"/>
              <w:ind w:right="-1"/>
              <w:rPr>
                <w:rFonts w:cs="Arial"/>
                <w:sz w:val="6"/>
                <w:szCs w:val="6"/>
                <w:lang w:val="en-GB"/>
              </w:rPr>
            </w:pPr>
          </w:p>
        </w:tc>
      </w:tr>
      <w:tr w:rsidR="00104EA5" w:rsidRPr="00B57B36" w14:paraId="3661ADEC" w14:textId="77777777" w:rsidTr="00490EB8">
        <w:tc>
          <w:tcPr>
            <w:tcW w:w="4950" w:type="dxa"/>
            <w:shd w:val="clear" w:color="auto" w:fill="FFFFFF"/>
            <w:vAlign w:val="center"/>
          </w:tcPr>
          <w:p w14:paraId="033207D3" w14:textId="2A613D53" w:rsidR="00104EA5" w:rsidRPr="00B57B36" w:rsidRDefault="00104EA5" w:rsidP="00104EA5">
            <w:pPr>
              <w:pStyle w:val="CETBodytext"/>
              <w:rPr>
                <w:lang w:val="en-GB"/>
              </w:rPr>
            </w:pPr>
            <w:r w:rsidRPr="00250503">
              <w:rPr>
                <w:rFonts w:eastAsia="SimSun"/>
                <w:i/>
                <w:noProof/>
                <w:color w:val="000000"/>
                <w:szCs w:val="24"/>
                <w:lang w:eastAsia="zh-CN"/>
              </w:rPr>
              <w:t>B. cereus ATCC 10987</w:t>
            </w:r>
          </w:p>
        </w:tc>
        <w:tc>
          <w:tcPr>
            <w:tcW w:w="360" w:type="dxa"/>
            <w:shd w:val="clear" w:color="auto" w:fill="FFFFFF"/>
            <w:vAlign w:val="center"/>
          </w:tcPr>
          <w:p w14:paraId="3162D1F7" w14:textId="4D41782C" w:rsidR="00104EA5" w:rsidRPr="00B57B36" w:rsidRDefault="00104EA5" w:rsidP="00104EA5">
            <w:pPr>
              <w:pStyle w:val="CETBodytext"/>
              <w:rPr>
                <w:lang w:val="en-GB"/>
              </w:rPr>
            </w:pPr>
          </w:p>
        </w:tc>
        <w:tc>
          <w:tcPr>
            <w:tcW w:w="360" w:type="dxa"/>
            <w:shd w:val="clear" w:color="auto" w:fill="FFFFFF"/>
            <w:vAlign w:val="center"/>
          </w:tcPr>
          <w:p w14:paraId="371DBFEF" w14:textId="442E9113" w:rsidR="00104EA5" w:rsidRPr="00B57B36" w:rsidRDefault="00104EA5" w:rsidP="00104EA5">
            <w:pPr>
              <w:pStyle w:val="CETBodytext"/>
              <w:rPr>
                <w:lang w:val="en-GB"/>
              </w:rPr>
            </w:pPr>
            <w:r w:rsidRPr="007B6734">
              <w:rPr>
                <w:snapToGrid w:val="0"/>
                <w:color w:val="000000"/>
                <w:szCs w:val="24"/>
                <w:lang w:eastAsia="de-DE" w:bidi="en-US"/>
              </w:rPr>
              <w:t>√</w:t>
            </w:r>
          </w:p>
        </w:tc>
        <w:tc>
          <w:tcPr>
            <w:tcW w:w="360" w:type="dxa"/>
            <w:shd w:val="clear" w:color="auto" w:fill="FFFFFF"/>
            <w:vAlign w:val="center"/>
          </w:tcPr>
          <w:p w14:paraId="0B58FE15" w14:textId="49804BCF" w:rsidR="00104EA5" w:rsidRPr="00B57B36" w:rsidRDefault="00104EA5" w:rsidP="00104EA5">
            <w:pPr>
              <w:pStyle w:val="CETBodytext"/>
              <w:ind w:right="-1"/>
              <w:rPr>
                <w:rFonts w:cs="Arial"/>
                <w:szCs w:val="18"/>
                <w:lang w:val="en-GB"/>
              </w:rPr>
            </w:pPr>
            <w:r w:rsidRPr="007B6734">
              <w:rPr>
                <w:snapToGrid w:val="0"/>
                <w:color w:val="000000"/>
                <w:szCs w:val="24"/>
                <w:lang w:eastAsia="de-DE" w:bidi="en-US"/>
              </w:rPr>
              <w:t>√</w:t>
            </w:r>
          </w:p>
        </w:tc>
        <w:tc>
          <w:tcPr>
            <w:tcW w:w="360" w:type="dxa"/>
            <w:shd w:val="clear" w:color="auto" w:fill="FFFFFF"/>
            <w:vAlign w:val="center"/>
          </w:tcPr>
          <w:p w14:paraId="70181F54" w14:textId="77777777" w:rsidR="00104EA5" w:rsidRPr="00B57B36" w:rsidRDefault="00104EA5" w:rsidP="00104EA5">
            <w:pPr>
              <w:pStyle w:val="CETBodytext"/>
              <w:ind w:right="-1"/>
              <w:rPr>
                <w:rFonts w:cs="Arial"/>
                <w:szCs w:val="18"/>
                <w:lang w:val="en-GB"/>
              </w:rPr>
            </w:pPr>
          </w:p>
        </w:tc>
        <w:tc>
          <w:tcPr>
            <w:tcW w:w="360" w:type="dxa"/>
            <w:shd w:val="clear" w:color="auto" w:fill="FFFFFF"/>
            <w:vAlign w:val="center"/>
          </w:tcPr>
          <w:p w14:paraId="6876C017" w14:textId="77777777" w:rsidR="00104EA5" w:rsidRPr="00B57B36" w:rsidRDefault="00104EA5" w:rsidP="00104EA5">
            <w:pPr>
              <w:pStyle w:val="CETBodytext"/>
              <w:ind w:right="-1"/>
              <w:rPr>
                <w:rFonts w:cs="Arial"/>
                <w:szCs w:val="18"/>
                <w:lang w:val="en-GB"/>
              </w:rPr>
            </w:pPr>
          </w:p>
        </w:tc>
        <w:tc>
          <w:tcPr>
            <w:tcW w:w="360" w:type="dxa"/>
            <w:shd w:val="clear" w:color="auto" w:fill="FFFFFF"/>
            <w:vAlign w:val="center"/>
          </w:tcPr>
          <w:p w14:paraId="2EB425D2" w14:textId="77777777" w:rsidR="00104EA5" w:rsidRPr="00B57B36" w:rsidRDefault="00104EA5" w:rsidP="00104EA5">
            <w:pPr>
              <w:pStyle w:val="CETBodytext"/>
              <w:ind w:right="-1"/>
              <w:rPr>
                <w:rFonts w:cs="Arial"/>
                <w:szCs w:val="18"/>
                <w:lang w:val="en-GB"/>
              </w:rPr>
            </w:pPr>
          </w:p>
        </w:tc>
        <w:tc>
          <w:tcPr>
            <w:tcW w:w="360" w:type="dxa"/>
            <w:shd w:val="clear" w:color="auto" w:fill="FFFFFF"/>
            <w:vAlign w:val="center"/>
          </w:tcPr>
          <w:p w14:paraId="501BBF9B" w14:textId="77777777" w:rsidR="00104EA5" w:rsidRPr="00B57B36" w:rsidRDefault="00104EA5" w:rsidP="00104EA5">
            <w:pPr>
              <w:pStyle w:val="CETBodytext"/>
              <w:ind w:right="-1"/>
              <w:rPr>
                <w:rFonts w:cs="Arial"/>
                <w:szCs w:val="18"/>
                <w:lang w:val="en-GB"/>
              </w:rPr>
            </w:pPr>
          </w:p>
        </w:tc>
        <w:tc>
          <w:tcPr>
            <w:tcW w:w="936" w:type="dxa"/>
            <w:shd w:val="clear" w:color="auto" w:fill="FFFFFF"/>
            <w:vAlign w:val="center"/>
          </w:tcPr>
          <w:p w14:paraId="539280BD" w14:textId="3A0E0A38" w:rsidR="00104EA5" w:rsidRPr="00B57B36" w:rsidRDefault="00104EA5" w:rsidP="00104EA5">
            <w:pPr>
              <w:pStyle w:val="CETBodytext"/>
              <w:ind w:right="-1"/>
              <w:jc w:val="center"/>
              <w:rPr>
                <w:rFonts w:cs="Arial"/>
                <w:szCs w:val="18"/>
                <w:lang w:val="en-GB"/>
              </w:rPr>
            </w:pPr>
            <w:r w:rsidRPr="007B6734">
              <w:rPr>
                <w:snapToGrid w:val="0"/>
                <w:color w:val="000000"/>
                <w:szCs w:val="24"/>
                <w:lang w:eastAsia="de-DE" w:bidi="en-US"/>
              </w:rPr>
              <w:t>0.99</w:t>
            </w:r>
          </w:p>
        </w:tc>
      </w:tr>
      <w:tr w:rsidR="00104EA5" w:rsidRPr="00B57B36" w14:paraId="15790DAA" w14:textId="77777777" w:rsidTr="00490EB8">
        <w:tc>
          <w:tcPr>
            <w:tcW w:w="4950" w:type="dxa"/>
            <w:shd w:val="clear" w:color="auto" w:fill="FFFFFF"/>
            <w:vAlign w:val="center"/>
          </w:tcPr>
          <w:p w14:paraId="5B6C8170" w14:textId="6F7A674D" w:rsidR="00104EA5" w:rsidRPr="00B57B36" w:rsidRDefault="00104EA5" w:rsidP="00104EA5">
            <w:pPr>
              <w:pStyle w:val="CETBodytext"/>
              <w:rPr>
                <w:lang w:val="en-GB"/>
              </w:rPr>
            </w:pPr>
            <w:r w:rsidRPr="00250503">
              <w:rPr>
                <w:rFonts w:eastAsia="SimSun"/>
                <w:i/>
                <w:noProof/>
                <w:color w:val="000000"/>
                <w:szCs w:val="24"/>
                <w:lang w:eastAsia="zh-CN"/>
              </w:rPr>
              <w:t>B. thuringiensis serovar finitimus strain BGSC 4B2 16S</w:t>
            </w:r>
          </w:p>
        </w:tc>
        <w:tc>
          <w:tcPr>
            <w:tcW w:w="360" w:type="dxa"/>
            <w:shd w:val="clear" w:color="auto" w:fill="FFFFFF"/>
            <w:vAlign w:val="center"/>
          </w:tcPr>
          <w:p w14:paraId="6CAE8EF6" w14:textId="77777777" w:rsidR="00104EA5" w:rsidRPr="00B57B36" w:rsidRDefault="00104EA5" w:rsidP="00104EA5">
            <w:pPr>
              <w:pStyle w:val="CETBodytext"/>
              <w:rPr>
                <w:lang w:val="en-GB"/>
              </w:rPr>
            </w:pPr>
          </w:p>
        </w:tc>
        <w:tc>
          <w:tcPr>
            <w:tcW w:w="360" w:type="dxa"/>
            <w:shd w:val="clear" w:color="auto" w:fill="FFFFFF"/>
            <w:vAlign w:val="center"/>
          </w:tcPr>
          <w:p w14:paraId="7FAF5512" w14:textId="77777777" w:rsidR="00104EA5" w:rsidRPr="00B57B36" w:rsidRDefault="00104EA5" w:rsidP="00104EA5">
            <w:pPr>
              <w:pStyle w:val="CETBodytext"/>
              <w:rPr>
                <w:lang w:val="en-GB"/>
              </w:rPr>
            </w:pPr>
          </w:p>
        </w:tc>
        <w:tc>
          <w:tcPr>
            <w:tcW w:w="360" w:type="dxa"/>
            <w:shd w:val="clear" w:color="auto" w:fill="FFFFFF"/>
            <w:vAlign w:val="center"/>
          </w:tcPr>
          <w:p w14:paraId="045F8E5A" w14:textId="1FF24955" w:rsidR="00104EA5" w:rsidRPr="00B57B36" w:rsidRDefault="00104EA5" w:rsidP="00104EA5">
            <w:pPr>
              <w:pStyle w:val="CETBodytext"/>
              <w:ind w:right="-1"/>
              <w:rPr>
                <w:rFonts w:cs="Arial"/>
                <w:szCs w:val="18"/>
                <w:lang w:val="en-GB"/>
              </w:rPr>
            </w:pPr>
          </w:p>
        </w:tc>
        <w:tc>
          <w:tcPr>
            <w:tcW w:w="360" w:type="dxa"/>
            <w:shd w:val="clear" w:color="auto" w:fill="FFFFFF"/>
            <w:vAlign w:val="center"/>
          </w:tcPr>
          <w:p w14:paraId="60E4BB14" w14:textId="59E93018" w:rsidR="00104EA5" w:rsidRPr="00B57B36" w:rsidRDefault="00104EA5" w:rsidP="00104EA5">
            <w:pPr>
              <w:pStyle w:val="CETBodytext"/>
              <w:ind w:right="-1"/>
              <w:rPr>
                <w:rFonts w:cs="Arial"/>
                <w:szCs w:val="18"/>
                <w:lang w:val="en-GB"/>
              </w:rPr>
            </w:pPr>
            <w:r w:rsidRPr="007B6734">
              <w:rPr>
                <w:snapToGrid w:val="0"/>
                <w:color w:val="000000"/>
                <w:szCs w:val="24"/>
                <w:lang w:eastAsia="de-DE" w:bidi="en-US"/>
              </w:rPr>
              <w:t>√</w:t>
            </w:r>
          </w:p>
        </w:tc>
        <w:tc>
          <w:tcPr>
            <w:tcW w:w="360" w:type="dxa"/>
            <w:shd w:val="clear" w:color="auto" w:fill="FFFFFF"/>
            <w:vAlign w:val="center"/>
          </w:tcPr>
          <w:p w14:paraId="41E9EACC" w14:textId="61E6F823" w:rsidR="00104EA5" w:rsidRPr="00B57B36" w:rsidRDefault="00104EA5" w:rsidP="00104EA5">
            <w:pPr>
              <w:pStyle w:val="CETBodytext"/>
              <w:ind w:right="-1"/>
              <w:rPr>
                <w:rFonts w:cs="Arial"/>
                <w:szCs w:val="18"/>
                <w:lang w:val="en-GB"/>
              </w:rPr>
            </w:pPr>
            <w:r w:rsidRPr="007B6734">
              <w:rPr>
                <w:snapToGrid w:val="0"/>
                <w:color w:val="000000"/>
                <w:szCs w:val="24"/>
                <w:lang w:eastAsia="de-DE" w:bidi="en-US"/>
              </w:rPr>
              <w:t>√</w:t>
            </w:r>
          </w:p>
        </w:tc>
        <w:tc>
          <w:tcPr>
            <w:tcW w:w="360" w:type="dxa"/>
            <w:shd w:val="clear" w:color="auto" w:fill="FFFFFF"/>
            <w:vAlign w:val="center"/>
          </w:tcPr>
          <w:p w14:paraId="45E1699A" w14:textId="74CA345F" w:rsidR="00104EA5" w:rsidRPr="00B57B36" w:rsidRDefault="00104EA5" w:rsidP="00104EA5">
            <w:pPr>
              <w:pStyle w:val="CETBodytext"/>
              <w:ind w:right="-1"/>
              <w:rPr>
                <w:rFonts w:cs="Arial"/>
                <w:szCs w:val="18"/>
                <w:lang w:val="en-GB"/>
              </w:rPr>
            </w:pPr>
            <w:r w:rsidRPr="007B6734">
              <w:rPr>
                <w:snapToGrid w:val="0"/>
                <w:color w:val="000000"/>
                <w:szCs w:val="24"/>
                <w:lang w:eastAsia="de-DE" w:bidi="en-US"/>
              </w:rPr>
              <w:t>√</w:t>
            </w:r>
          </w:p>
        </w:tc>
        <w:tc>
          <w:tcPr>
            <w:tcW w:w="360" w:type="dxa"/>
            <w:shd w:val="clear" w:color="auto" w:fill="FFFFFF"/>
            <w:vAlign w:val="center"/>
          </w:tcPr>
          <w:p w14:paraId="739D1C72" w14:textId="77777777" w:rsidR="00104EA5" w:rsidRPr="00B57B36" w:rsidRDefault="00104EA5" w:rsidP="00104EA5">
            <w:pPr>
              <w:pStyle w:val="CETBodytext"/>
              <w:ind w:right="-1"/>
              <w:rPr>
                <w:rFonts w:cs="Arial"/>
                <w:szCs w:val="18"/>
                <w:lang w:val="en-GB"/>
              </w:rPr>
            </w:pPr>
          </w:p>
        </w:tc>
        <w:tc>
          <w:tcPr>
            <w:tcW w:w="936" w:type="dxa"/>
            <w:shd w:val="clear" w:color="auto" w:fill="FFFFFF"/>
            <w:vAlign w:val="center"/>
          </w:tcPr>
          <w:p w14:paraId="6D594A02" w14:textId="47AAC848" w:rsidR="00104EA5" w:rsidRPr="00B57B36" w:rsidRDefault="00104EA5" w:rsidP="00104EA5">
            <w:pPr>
              <w:pStyle w:val="CETBodytext"/>
              <w:ind w:right="-1"/>
              <w:jc w:val="center"/>
              <w:rPr>
                <w:rFonts w:cs="Arial"/>
                <w:szCs w:val="18"/>
                <w:lang w:val="en-GB"/>
              </w:rPr>
            </w:pPr>
            <w:r w:rsidRPr="007B6734">
              <w:rPr>
                <w:snapToGrid w:val="0"/>
                <w:color w:val="000000"/>
                <w:szCs w:val="24"/>
                <w:lang w:eastAsia="de-DE" w:bidi="en-US"/>
              </w:rPr>
              <w:t>0.99</w:t>
            </w:r>
          </w:p>
        </w:tc>
      </w:tr>
      <w:tr w:rsidR="00104EA5" w:rsidRPr="00B57B36" w14:paraId="5FF07D15" w14:textId="77777777" w:rsidTr="00490EB8">
        <w:tc>
          <w:tcPr>
            <w:tcW w:w="4950" w:type="dxa"/>
            <w:shd w:val="clear" w:color="auto" w:fill="FFFFFF"/>
            <w:vAlign w:val="center"/>
          </w:tcPr>
          <w:p w14:paraId="3E9AA85D" w14:textId="45D9E01F" w:rsidR="00104EA5" w:rsidRPr="00B57B36" w:rsidRDefault="00104EA5" w:rsidP="00104EA5">
            <w:pPr>
              <w:pStyle w:val="CETBodytext"/>
              <w:rPr>
                <w:lang w:val="en-GB"/>
              </w:rPr>
            </w:pPr>
            <w:r w:rsidRPr="00250503">
              <w:rPr>
                <w:rFonts w:eastAsia="SimSun"/>
                <w:i/>
                <w:noProof/>
                <w:color w:val="000000"/>
                <w:szCs w:val="24"/>
                <w:lang w:eastAsia="zh-CN"/>
              </w:rPr>
              <w:t>B. thuringiensis str. Al Hakam</w:t>
            </w:r>
          </w:p>
        </w:tc>
        <w:tc>
          <w:tcPr>
            <w:tcW w:w="360" w:type="dxa"/>
            <w:shd w:val="clear" w:color="auto" w:fill="FFFFFF"/>
            <w:vAlign w:val="center"/>
          </w:tcPr>
          <w:p w14:paraId="4E39BBBF" w14:textId="297F6E8C" w:rsidR="00104EA5" w:rsidRPr="00B57B36" w:rsidRDefault="00104EA5" w:rsidP="00104EA5">
            <w:pPr>
              <w:pStyle w:val="CETBodytext"/>
              <w:rPr>
                <w:lang w:val="en-GB"/>
              </w:rPr>
            </w:pPr>
          </w:p>
        </w:tc>
        <w:tc>
          <w:tcPr>
            <w:tcW w:w="360" w:type="dxa"/>
            <w:shd w:val="clear" w:color="auto" w:fill="FFFFFF"/>
            <w:vAlign w:val="center"/>
          </w:tcPr>
          <w:p w14:paraId="17E45E90" w14:textId="0C4822AA" w:rsidR="00104EA5" w:rsidRPr="00B57B36" w:rsidRDefault="00104EA5" w:rsidP="00104EA5">
            <w:pPr>
              <w:pStyle w:val="CETBodytext"/>
              <w:rPr>
                <w:lang w:val="en-GB"/>
              </w:rPr>
            </w:pPr>
            <w:r w:rsidRPr="007B6734">
              <w:rPr>
                <w:snapToGrid w:val="0"/>
                <w:color w:val="000000"/>
                <w:szCs w:val="24"/>
                <w:lang w:eastAsia="de-DE" w:bidi="en-US"/>
              </w:rPr>
              <w:t>√</w:t>
            </w:r>
          </w:p>
        </w:tc>
        <w:tc>
          <w:tcPr>
            <w:tcW w:w="360" w:type="dxa"/>
            <w:shd w:val="clear" w:color="auto" w:fill="FFFFFF"/>
            <w:vAlign w:val="center"/>
          </w:tcPr>
          <w:p w14:paraId="2F0C7B6D" w14:textId="46669ADD" w:rsidR="00104EA5" w:rsidRPr="00B57B36" w:rsidRDefault="00104EA5" w:rsidP="00104EA5">
            <w:pPr>
              <w:pStyle w:val="CETBodytext"/>
              <w:ind w:right="-1"/>
              <w:rPr>
                <w:rFonts w:cs="Arial"/>
                <w:szCs w:val="18"/>
                <w:lang w:val="en-GB"/>
              </w:rPr>
            </w:pPr>
            <w:r w:rsidRPr="007B6734">
              <w:rPr>
                <w:snapToGrid w:val="0"/>
                <w:color w:val="000000"/>
                <w:szCs w:val="24"/>
                <w:lang w:eastAsia="de-DE" w:bidi="en-US"/>
              </w:rPr>
              <w:t>√</w:t>
            </w:r>
          </w:p>
        </w:tc>
        <w:tc>
          <w:tcPr>
            <w:tcW w:w="360" w:type="dxa"/>
            <w:shd w:val="clear" w:color="auto" w:fill="FFFFFF"/>
            <w:vAlign w:val="center"/>
          </w:tcPr>
          <w:p w14:paraId="0CE7D885" w14:textId="77777777" w:rsidR="00104EA5" w:rsidRPr="00B57B36" w:rsidRDefault="00104EA5" w:rsidP="00104EA5">
            <w:pPr>
              <w:pStyle w:val="CETBodytext"/>
              <w:ind w:right="-1"/>
              <w:rPr>
                <w:rFonts w:cs="Arial"/>
                <w:szCs w:val="18"/>
                <w:lang w:val="en-GB"/>
              </w:rPr>
            </w:pPr>
          </w:p>
        </w:tc>
        <w:tc>
          <w:tcPr>
            <w:tcW w:w="360" w:type="dxa"/>
            <w:shd w:val="clear" w:color="auto" w:fill="FFFFFF"/>
            <w:vAlign w:val="center"/>
          </w:tcPr>
          <w:p w14:paraId="356A2A94" w14:textId="77777777" w:rsidR="00104EA5" w:rsidRPr="00B57B36" w:rsidRDefault="00104EA5" w:rsidP="00104EA5">
            <w:pPr>
              <w:pStyle w:val="CETBodytext"/>
              <w:ind w:right="-1"/>
              <w:rPr>
                <w:rFonts w:cs="Arial"/>
                <w:szCs w:val="18"/>
                <w:lang w:val="en-GB"/>
              </w:rPr>
            </w:pPr>
          </w:p>
        </w:tc>
        <w:tc>
          <w:tcPr>
            <w:tcW w:w="360" w:type="dxa"/>
            <w:shd w:val="clear" w:color="auto" w:fill="FFFFFF"/>
            <w:vAlign w:val="center"/>
          </w:tcPr>
          <w:p w14:paraId="44F03573" w14:textId="77777777" w:rsidR="00104EA5" w:rsidRPr="00B57B36" w:rsidRDefault="00104EA5" w:rsidP="00104EA5">
            <w:pPr>
              <w:pStyle w:val="CETBodytext"/>
              <w:ind w:right="-1"/>
              <w:rPr>
                <w:rFonts w:cs="Arial"/>
                <w:szCs w:val="18"/>
                <w:lang w:val="en-GB"/>
              </w:rPr>
            </w:pPr>
          </w:p>
        </w:tc>
        <w:tc>
          <w:tcPr>
            <w:tcW w:w="360" w:type="dxa"/>
            <w:shd w:val="clear" w:color="auto" w:fill="FFFFFF"/>
            <w:vAlign w:val="center"/>
          </w:tcPr>
          <w:p w14:paraId="4E3F53C5" w14:textId="77777777" w:rsidR="00104EA5" w:rsidRPr="00B57B36" w:rsidRDefault="00104EA5" w:rsidP="00104EA5">
            <w:pPr>
              <w:pStyle w:val="CETBodytext"/>
              <w:ind w:right="-1"/>
              <w:rPr>
                <w:rFonts w:cs="Arial"/>
                <w:szCs w:val="18"/>
                <w:lang w:val="en-GB"/>
              </w:rPr>
            </w:pPr>
          </w:p>
        </w:tc>
        <w:tc>
          <w:tcPr>
            <w:tcW w:w="936" w:type="dxa"/>
            <w:shd w:val="clear" w:color="auto" w:fill="FFFFFF"/>
            <w:vAlign w:val="center"/>
          </w:tcPr>
          <w:p w14:paraId="6E7D81FB" w14:textId="7DD245FF" w:rsidR="00104EA5" w:rsidRPr="00B57B36" w:rsidRDefault="00104EA5" w:rsidP="00104EA5">
            <w:pPr>
              <w:pStyle w:val="CETBodytext"/>
              <w:ind w:right="-1"/>
              <w:jc w:val="center"/>
              <w:rPr>
                <w:rFonts w:cs="Arial"/>
                <w:szCs w:val="18"/>
                <w:lang w:val="en-GB"/>
              </w:rPr>
            </w:pPr>
            <w:r w:rsidRPr="007B6734">
              <w:rPr>
                <w:snapToGrid w:val="0"/>
                <w:color w:val="000000"/>
                <w:szCs w:val="24"/>
                <w:lang w:eastAsia="de-DE" w:bidi="en-US"/>
              </w:rPr>
              <w:t>0.99</w:t>
            </w:r>
          </w:p>
        </w:tc>
      </w:tr>
      <w:tr w:rsidR="00104EA5" w:rsidRPr="00B57B36" w14:paraId="04963C01" w14:textId="77777777" w:rsidTr="00490EB8">
        <w:tc>
          <w:tcPr>
            <w:tcW w:w="4950" w:type="dxa"/>
            <w:shd w:val="clear" w:color="auto" w:fill="FFFFFF"/>
            <w:vAlign w:val="center"/>
          </w:tcPr>
          <w:p w14:paraId="0B1965EE" w14:textId="5277D582" w:rsidR="00104EA5" w:rsidRPr="00B57B36" w:rsidRDefault="00104EA5" w:rsidP="00104EA5">
            <w:pPr>
              <w:pStyle w:val="CETBodytext"/>
              <w:rPr>
                <w:lang w:val="en-GB"/>
              </w:rPr>
            </w:pPr>
            <w:r w:rsidRPr="00250503">
              <w:rPr>
                <w:rFonts w:eastAsia="SimSun"/>
                <w:i/>
                <w:noProof/>
                <w:color w:val="000000"/>
                <w:szCs w:val="24"/>
                <w:lang w:eastAsia="zh-CN"/>
              </w:rPr>
              <w:t>Bacillus cereus strain 213 16S</w:t>
            </w:r>
          </w:p>
        </w:tc>
        <w:tc>
          <w:tcPr>
            <w:tcW w:w="360" w:type="dxa"/>
            <w:shd w:val="clear" w:color="auto" w:fill="FFFFFF"/>
            <w:vAlign w:val="center"/>
          </w:tcPr>
          <w:p w14:paraId="6867FFE0" w14:textId="694FF895" w:rsidR="00104EA5" w:rsidRPr="00B57B36" w:rsidRDefault="00104EA5" w:rsidP="00104EA5">
            <w:pPr>
              <w:pStyle w:val="CETBodytext"/>
              <w:rPr>
                <w:lang w:val="en-GB"/>
              </w:rPr>
            </w:pPr>
            <w:r w:rsidRPr="007B6734">
              <w:rPr>
                <w:snapToGrid w:val="0"/>
                <w:color w:val="000000"/>
                <w:szCs w:val="24"/>
                <w:lang w:eastAsia="de-DE" w:bidi="en-US"/>
              </w:rPr>
              <w:t>√</w:t>
            </w:r>
          </w:p>
        </w:tc>
        <w:tc>
          <w:tcPr>
            <w:tcW w:w="360" w:type="dxa"/>
            <w:shd w:val="clear" w:color="auto" w:fill="FFFFFF"/>
            <w:vAlign w:val="center"/>
          </w:tcPr>
          <w:p w14:paraId="78D018DA" w14:textId="77777777" w:rsidR="00104EA5" w:rsidRPr="00B57B36" w:rsidRDefault="00104EA5" w:rsidP="00104EA5">
            <w:pPr>
              <w:pStyle w:val="CETBodytext"/>
              <w:rPr>
                <w:lang w:val="en-GB"/>
              </w:rPr>
            </w:pPr>
          </w:p>
        </w:tc>
        <w:tc>
          <w:tcPr>
            <w:tcW w:w="360" w:type="dxa"/>
            <w:shd w:val="clear" w:color="auto" w:fill="FFFFFF"/>
            <w:vAlign w:val="center"/>
          </w:tcPr>
          <w:p w14:paraId="62565349" w14:textId="77777777" w:rsidR="00104EA5" w:rsidRPr="00B57B36" w:rsidRDefault="00104EA5" w:rsidP="00104EA5">
            <w:pPr>
              <w:pStyle w:val="CETBodytext"/>
              <w:ind w:right="-1"/>
              <w:rPr>
                <w:rFonts w:cs="Arial"/>
                <w:szCs w:val="18"/>
                <w:lang w:val="en-GB"/>
              </w:rPr>
            </w:pPr>
          </w:p>
        </w:tc>
        <w:tc>
          <w:tcPr>
            <w:tcW w:w="360" w:type="dxa"/>
            <w:shd w:val="clear" w:color="auto" w:fill="FFFFFF"/>
            <w:vAlign w:val="center"/>
          </w:tcPr>
          <w:p w14:paraId="24C60D89" w14:textId="77777777" w:rsidR="00104EA5" w:rsidRPr="00B57B36" w:rsidRDefault="00104EA5" w:rsidP="00104EA5">
            <w:pPr>
              <w:pStyle w:val="CETBodytext"/>
              <w:ind w:right="-1"/>
              <w:rPr>
                <w:rFonts w:cs="Arial"/>
                <w:szCs w:val="18"/>
                <w:lang w:val="en-GB"/>
              </w:rPr>
            </w:pPr>
          </w:p>
        </w:tc>
        <w:tc>
          <w:tcPr>
            <w:tcW w:w="360" w:type="dxa"/>
            <w:shd w:val="clear" w:color="auto" w:fill="FFFFFF"/>
            <w:vAlign w:val="center"/>
          </w:tcPr>
          <w:p w14:paraId="5D01F777" w14:textId="77777777" w:rsidR="00104EA5" w:rsidRPr="00B57B36" w:rsidRDefault="00104EA5" w:rsidP="00104EA5">
            <w:pPr>
              <w:pStyle w:val="CETBodytext"/>
              <w:ind w:right="-1"/>
              <w:rPr>
                <w:rFonts w:cs="Arial"/>
                <w:szCs w:val="18"/>
                <w:lang w:val="en-GB"/>
              </w:rPr>
            </w:pPr>
          </w:p>
        </w:tc>
        <w:tc>
          <w:tcPr>
            <w:tcW w:w="360" w:type="dxa"/>
            <w:shd w:val="clear" w:color="auto" w:fill="FFFFFF"/>
            <w:vAlign w:val="center"/>
          </w:tcPr>
          <w:p w14:paraId="2F7F8100" w14:textId="77777777" w:rsidR="00104EA5" w:rsidRPr="00B57B36" w:rsidRDefault="00104EA5" w:rsidP="00104EA5">
            <w:pPr>
              <w:pStyle w:val="CETBodytext"/>
              <w:ind w:right="-1"/>
              <w:rPr>
                <w:rFonts w:cs="Arial"/>
                <w:szCs w:val="18"/>
                <w:lang w:val="en-GB"/>
              </w:rPr>
            </w:pPr>
          </w:p>
        </w:tc>
        <w:tc>
          <w:tcPr>
            <w:tcW w:w="360" w:type="dxa"/>
            <w:shd w:val="clear" w:color="auto" w:fill="FFFFFF"/>
            <w:vAlign w:val="center"/>
          </w:tcPr>
          <w:p w14:paraId="49849EA3" w14:textId="77777777" w:rsidR="00104EA5" w:rsidRPr="00B57B36" w:rsidRDefault="00104EA5" w:rsidP="00104EA5">
            <w:pPr>
              <w:pStyle w:val="CETBodytext"/>
              <w:ind w:right="-1"/>
              <w:rPr>
                <w:rFonts w:cs="Arial"/>
                <w:szCs w:val="18"/>
                <w:lang w:val="en-GB"/>
              </w:rPr>
            </w:pPr>
          </w:p>
        </w:tc>
        <w:tc>
          <w:tcPr>
            <w:tcW w:w="936" w:type="dxa"/>
            <w:shd w:val="clear" w:color="auto" w:fill="FFFFFF"/>
            <w:vAlign w:val="center"/>
          </w:tcPr>
          <w:p w14:paraId="7FC6B18C" w14:textId="06D451A9" w:rsidR="00104EA5" w:rsidRPr="00B57B36" w:rsidRDefault="00104EA5" w:rsidP="00104EA5">
            <w:pPr>
              <w:pStyle w:val="CETBodytext"/>
              <w:ind w:right="-1"/>
              <w:jc w:val="center"/>
              <w:rPr>
                <w:rFonts w:cs="Arial"/>
                <w:szCs w:val="18"/>
                <w:lang w:val="en-GB"/>
              </w:rPr>
            </w:pPr>
            <w:r w:rsidRPr="007B6734">
              <w:rPr>
                <w:snapToGrid w:val="0"/>
                <w:color w:val="000000"/>
                <w:szCs w:val="24"/>
                <w:lang w:eastAsia="de-DE" w:bidi="en-US"/>
              </w:rPr>
              <w:t>0.99</w:t>
            </w:r>
          </w:p>
        </w:tc>
      </w:tr>
      <w:tr w:rsidR="00104EA5" w:rsidRPr="00B57B36" w14:paraId="06271546" w14:textId="77777777" w:rsidTr="00490EB8">
        <w:tc>
          <w:tcPr>
            <w:tcW w:w="4950" w:type="dxa"/>
            <w:shd w:val="clear" w:color="auto" w:fill="FFFFFF"/>
            <w:vAlign w:val="center"/>
          </w:tcPr>
          <w:p w14:paraId="633B26F2" w14:textId="5A46CAAB" w:rsidR="00104EA5" w:rsidRPr="00B57B36" w:rsidRDefault="00104EA5" w:rsidP="00104EA5">
            <w:pPr>
              <w:pStyle w:val="CETBodytext"/>
              <w:rPr>
                <w:lang w:val="en-GB"/>
              </w:rPr>
            </w:pPr>
            <w:r w:rsidRPr="00250503">
              <w:rPr>
                <w:rFonts w:eastAsia="SimSun"/>
                <w:i/>
                <w:noProof/>
                <w:color w:val="000000"/>
                <w:szCs w:val="24"/>
                <w:lang w:eastAsia="zh-CN"/>
              </w:rPr>
              <w:t>Bacillus mycoides strain BGSC 6A13 16S</w:t>
            </w:r>
          </w:p>
        </w:tc>
        <w:tc>
          <w:tcPr>
            <w:tcW w:w="360" w:type="dxa"/>
            <w:shd w:val="clear" w:color="auto" w:fill="FFFFFF"/>
            <w:vAlign w:val="center"/>
          </w:tcPr>
          <w:p w14:paraId="6F5201EE" w14:textId="77777777" w:rsidR="00104EA5" w:rsidRPr="00B57B36" w:rsidRDefault="00104EA5" w:rsidP="00104EA5">
            <w:pPr>
              <w:pStyle w:val="CETBodytext"/>
              <w:rPr>
                <w:lang w:val="en-GB"/>
              </w:rPr>
            </w:pPr>
          </w:p>
        </w:tc>
        <w:tc>
          <w:tcPr>
            <w:tcW w:w="360" w:type="dxa"/>
            <w:shd w:val="clear" w:color="auto" w:fill="FFFFFF"/>
            <w:vAlign w:val="center"/>
          </w:tcPr>
          <w:p w14:paraId="3820F681" w14:textId="77777777" w:rsidR="00104EA5" w:rsidRPr="00B57B36" w:rsidRDefault="00104EA5" w:rsidP="00104EA5">
            <w:pPr>
              <w:pStyle w:val="CETBodytext"/>
              <w:rPr>
                <w:lang w:val="en-GB"/>
              </w:rPr>
            </w:pPr>
          </w:p>
        </w:tc>
        <w:tc>
          <w:tcPr>
            <w:tcW w:w="360" w:type="dxa"/>
            <w:shd w:val="clear" w:color="auto" w:fill="FFFFFF"/>
            <w:vAlign w:val="center"/>
          </w:tcPr>
          <w:p w14:paraId="639D9431" w14:textId="347623CC" w:rsidR="00104EA5" w:rsidRPr="00B57B36" w:rsidRDefault="00104EA5" w:rsidP="00104EA5">
            <w:pPr>
              <w:pStyle w:val="CETBodytext"/>
              <w:ind w:right="-1"/>
              <w:rPr>
                <w:rFonts w:cs="Arial"/>
                <w:szCs w:val="18"/>
                <w:lang w:val="en-GB"/>
              </w:rPr>
            </w:pPr>
          </w:p>
        </w:tc>
        <w:tc>
          <w:tcPr>
            <w:tcW w:w="360" w:type="dxa"/>
            <w:shd w:val="clear" w:color="auto" w:fill="FFFFFF"/>
            <w:vAlign w:val="center"/>
          </w:tcPr>
          <w:p w14:paraId="2F4B1A22" w14:textId="3C006656" w:rsidR="00104EA5" w:rsidRPr="00B57B36" w:rsidRDefault="00104EA5" w:rsidP="00104EA5">
            <w:pPr>
              <w:pStyle w:val="CETBodytext"/>
              <w:ind w:right="-1"/>
              <w:rPr>
                <w:rFonts w:cs="Arial"/>
                <w:szCs w:val="18"/>
                <w:lang w:val="en-GB"/>
              </w:rPr>
            </w:pPr>
            <w:r w:rsidRPr="007B6734">
              <w:rPr>
                <w:snapToGrid w:val="0"/>
                <w:color w:val="000000"/>
                <w:szCs w:val="24"/>
                <w:lang w:eastAsia="de-DE" w:bidi="en-US"/>
              </w:rPr>
              <w:t>√</w:t>
            </w:r>
          </w:p>
        </w:tc>
        <w:tc>
          <w:tcPr>
            <w:tcW w:w="360" w:type="dxa"/>
            <w:shd w:val="clear" w:color="auto" w:fill="FFFFFF"/>
            <w:vAlign w:val="center"/>
          </w:tcPr>
          <w:p w14:paraId="6F364744" w14:textId="7662D4E5" w:rsidR="00104EA5" w:rsidRPr="00B57B36" w:rsidRDefault="00104EA5" w:rsidP="00104EA5">
            <w:pPr>
              <w:pStyle w:val="CETBodytext"/>
              <w:ind w:right="-1"/>
              <w:rPr>
                <w:rFonts w:cs="Arial"/>
                <w:szCs w:val="18"/>
                <w:lang w:val="en-GB"/>
              </w:rPr>
            </w:pPr>
            <w:r w:rsidRPr="007B6734">
              <w:rPr>
                <w:snapToGrid w:val="0"/>
                <w:color w:val="000000"/>
                <w:szCs w:val="24"/>
                <w:lang w:eastAsia="de-DE" w:bidi="en-US"/>
              </w:rPr>
              <w:t>√</w:t>
            </w:r>
          </w:p>
        </w:tc>
        <w:tc>
          <w:tcPr>
            <w:tcW w:w="360" w:type="dxa"/>
            <w:shd w:val="clear" w:color="auto" w:fill="FFFFFF"/>
            <w:vAlign w:val="center"/>
          </w:tcPr>
          <w:p w14:paraId="1058EF65" w14:textId="488E455C" w:rsidR="00104EA5" w:rsidRPr="00B57B36" w:rsidRDefault="00104EA5" w:rsidP="00104EA5">
            <w:pPr>
              <w:pStyle w:val="CETBodytext"/>
              <w:ind w:right="-1"/>
              <w:rPr>
                <w:rFonts w:cs="Arial"/>
                <w:szCs w:val="18"/>
                <w:lang w:val="en-GB"/>
              </w:rPr>
            </w:pPr>
            <w:r w:rsidRPr="007B6734">
              <w:rPr>
                <w:snapToGrid w:val="0"/>
                <w:color w:val="000000"/>
                <w:szCs w:val="24"/>
                <w:lang w:eastAsia="de-DE" w:bidi="en-US"/>
              </w:rPr>
              <w:t>√</w:t>
            </w:r>
          </w:p>
        </w:tc>
        <w:tc>
          <w:tcPr>
            <w:tcW w:w="360" w:type="dxa"/>
            <w:shd w:val="clear" w:color="auto" w:fill="FFFFFF"/>
            <w:vAlign w:val="center"/>
          </w:tcPr>
          <w:p w14:paraId="3EE4BA8D" w14:textId="77777777" w:rsidR="00104EA5" w:rsidRPr="00B57B36" w:rsidRDefault="00104EA5" w:rsidP="00104EA5">
            <w:pPr>
              <w:pStyle w:val="CETBodytext"/>
              <w:ind w:right="-1"/>
              <w:rPr>
                <w:rFonts w:cs="Arial"/>
                <w:szCs w:val="18"/>
                <w:lang w:val="en-GB"/>
              </w:rPr>
            </w:pPr>
          </w:p>
        </w:tc>
        <w:tc>
          <w:tcPr>
            <w:tcW w:w="936" w:type="dxa"/>
            <w:shd w:val="clear" w:color="auto" w:fill="FFFFFF"/>
            <w:vAlign w:val="center"/>
          </w:tcPr>
          <w:p w14:paraId="67D58A4A" w14:textId="1A4D63FD" w:rsidR="00104EA5" w:rsidRPr="00B57B36" w:rsidRDefault="00104EA5" w:rsidP="00104EA5">
            <w:pPr>
              <w:pStyle w:val="CETBodytext"/>
              <w:ind w:right="-1"/>
              <w:jc w:val="center"/>
              <w:rPr>
                <w:rFonts w:cs="Arial"/>
                <w:szCs w:val="18"/>
                <w:lang w:val="en-GB"/>
              </w:rPr>
            </w:pPr>
            <w:r w:rsidRPr="007B6734">
              <w:rPr>
                <w:snapToGrid w:val="0"/>
                <w:color w:val="000000"/>
                <w:szCs w:val="24"/>
                <w:lang w:eastAsia="de-DE" w:bidi="en-US"/>
              </w:rPr>
              <w:t>0.99</w:t>
            </w:r>
          </w:p>
        </w:tc>
      </w:tr>
      <w:tr w:rsidR="00104EA5" w:rsidRPr="00B57B36" w14:paraId="5BFE7B55" w14:textId="77777777" w:rsidTr="00490EB8">
        <w:tc>
          <w:tcPr>
            <w:tcW w:w="4950" w:type="dxa"/>
            <w:shd w:val="clear" w:color="auto" w:fill="FFFFFF"/>
            <w:vAlign w:val="center"/>
          </w:tcPr>
          <w:p w14:paraId="10714E5F" w14:textId="68D9F848" w:rsidR="00104EA5" w:rsidRPr="00B57B36" w:rsidRDefault="00104EA5" w:rsidP="00104EA5">
            <w:pPr>
              <w:pStyle w:val="CETBodytext"/>
              <w:rPr>
                <w:lang w:val="en-GB"/>
              </w:rPr>
            </w:pPr>
            <w:r w:rsidRPr="00250503">
              <w:rPr>
                <w:rFonts w:eastAsia="SimSun"/>
                <w:i/>
                <w:noProof/>
                <w:color w:val="000000"/>
                <w:szCs w:val="24"/>
                <w:lang w:eastAsia="zh-CN"/>
              </w:rPr>
              <w:t>Bacillus sp. ZZ2 16S</w:t>
            </w:r>
          </w:p>
        </w:tc>
        <w:tc>
          <w:tcPr>
            <w:tcW w:w="360" w:type="dxa"/>
            <w:shd w:val="clear" w:color="auto" w:fill="FFFFFF"/>
            <w:vAlign w:val="center"/>
          </w:tcPr>
          <w:p w14:paraId="65D84982" w14:textId="70D65CEE" w:rsidR="00104EA5" w:rsidRPr="00B57B36" w:rsidRDefault="00104EA5" w:rsidP="00104EA5">
            <w:pPr>
              <w:pStyle w:val="CETBodytext"/>
              <w:rPr>
                <w:lang w:val="en-GB"/>
              </w:rPr>
            </w:pPr>
          </w:p>
        </w:tc>
        <w:tc>
          <w:tcPr>
            <w:tcW w:w="360" w:type="dxa"/>
            <w:shd w:val="clear" w:color="auto" w:fill="FFFFFF"/>
            <w:vAlign w:val="center"/>
          </w:tcPr>
          <w:p w14:paraId="3588E681" w14:textId="1507B11E" w:rsidR="00104EA5" w:rsidRPr="00B57B36" w:rsidRDefault="00104EA5" w:rsidP="00104EA5">
            <w:pPr>
              <w:pStyle w:val="CETBodytext"/>
              <w:rPr>
                <w:lang w:val="en-GB"/>
              </w:rPr>
            </w:pPr>
            <w:r w:rsidRPr="007B6734">
              <w:rPr>
                <w:snapToGrid w:val="0"/>
                <w:color w:val="000000"/>
                <w:szCs w:val="24"/>
                <w:lang w:eastAsia="de-DE" w:bidi="en-US"/>
              </w:rPr>
              <w:t>√</w:t>
            </w:r>
          </w:p>
        </w:tc>
        <w:tc>
          <w:tcPr>
            <w:tcW w:w="360" w:type="dxa"/>
            <w:shd w:val="clear" w:color="auto" w:fill="FFFFFF"/>
            <w:vAlign w:val="center"/>
          </w:tcPr>
          <w:p w14:paraId="5FFFBA61" w14:textId="63228571" w:rsidR="00104EA5" w:rsidRPr="00B57B36" w:rsidRDefault="00104EA5" w:rsidP="00104EA5">
            <w:pPr>
              <w:pStyle w:val="CETBodytext"/>
              <w:ind w:right="-1"/>
              <w:rPr>
                <w:rFonts w:cs="Arial"/>
                <w:szCs w:val="18"/>
                <w:lang w:val="en-GB"/>
              </w:rPr>
            </w:pPr>
            <w:r w:rsidRPr="007B6734">
              <w:rPr>
                <w:snapToGrid w:val="0"/>
                <w:color w:val="000000"/>
                <w:szCs w:val="24"/>
                <w:lang w:eastAsia="de-DE" w:bidi="en-US"/>
              </w:rPr>
              <w:t>√</w:t>
            </w:r>
          </w:p>
        </w:tc>
        <w:tc>
          <w:tcPr>
            <w:tcW w:w="360" w:type="dxa"/>
            <w:shd w:val="clear" w:color="auto" w:fill="FFFFFF"/>
            <w:vAlign w:val="center"/>
          </w:tcPr>
          <w:p w14:paraId="709DFB12" w14:textId="77777777" w:rsidR="00104EA5" w:rsidRPr="00B57B36" w:rsidRDefault="00104EA5" w:rsidP="00104EA5">
            <w:pPr>
              <w:pStyle w:val="CETBodytext"/>
              <w:ind w:right="-1"/>
              <w:rPr>
                <w:rFonts w:cs="Arial"/>
                <w:szCs w:val="18"/>
                <w:lang w:val="en-GB"/>
              </w:rPr>
            </w:pPr>
          </w:p>
        </w:tc>
        <w:tc>
          <w:tcPr>
            <w:tcW w:w="360" w:type="dxa"/>
            <w:shd w:val="clear" w:color="auto" w:fill="FFFFFF"/>
            <w:vAlign w:val="center"/>
          </w:tcPr>
          <w:p w14:paraId="77B5C797" w14:textId="77777777" w:rsidR="00104EA5" w:rsidRPr="00B57B36" w:rsidRDefault="00104EA5" w:rsidP="00104EA5">
            <w:pPr>
              <w:pStyle w:val="CETBodytext"/>
              <w:ind w:right="-1"/>
              <w:rPr>
                <w:rFonts w:cs="Arial"/>
                <w:szCs w:val="18"/>
                <w:lang w:val="en-GB"/>
              </w:rPr>
            </w:pPr>
          </w:p>
        </w:tc>
        <w:tc>
          <w:tcPr>
            <w:tcW w:w="360" w:type="dxa"/>
            <w:shd w:val="clear" w:color="auto" w:fill="FFFFFF"/>
            <w:vAlign w:val="center"/>
          </w:tcPr>
          <w:p w14:paraId="13B6D4FC" w14:textId="77777777" w:rsidR="00104EA5" w:rsidRPr="00B57B36" w:rsidRDefault="00104EA5" w:rsidP="00104EA5">
            <w:pPr>
              <w:pStyle w:val="CETBodytext"/>
              <w:ind w:right="-1"/>
              <w:rPr>
                <w:rFonts w:cs="Arial"/>
                <w:szCs w:val="18"/>
                <w:lang w:val="en-GB"/>
              </w:rPr>
            </w:pPr>
          </w:p>
        </w:tc>
        <w:tc>
          <w:tcPr>
            <w:tcW w:w="360" w:type="dxa"/>
            <w:shd w:val="clear" w:color="auto" w:fill="FFFFFF"/>
            <w:vAlign w:val="center"/>
          </w:tcPr>
          <w:p w14:paraId="68157507" w14:textId="77777777" w:rsidR="00104EA5" w:rsidRPr="00B57B36" w:rsidRDefault="00104EA5" w:rsidP="00104EA5">
            <w:pPr>
              <w:pStyle w:val="CETBodytext"/>
              <w:ind w:right="-1"/>
              <w:rPr>
                <w:rFonts w:cs="Arial"/>
                <w:szCs w:val="18"/>
                <w:lang w:val="en-GB"/>
              </w:rPr>
            </w:pPr>
          </w:p>
        </w:tc>
        <w:tc>
          <w:tcPr>
            <w:tcW w:w="936" w:type="dxa"/>
            <w:shd w:val="clear" w:color="auto" w:fill="FFFFFF"/>
            <w:vAlign w:val="center"/>
          </w:tcPr>
          <w:p w14:paraId="1A377133" w14:textId="26019F1A" w:rsidR="00104EA5" w:rsidRPr="00B57B36" w:rsidRDefault="00104EA5" w:rsidP="00104EA5">
            <w:pPr>
              <w:pStyle w:val="CETBodytext"/>
              <w:ind w:right="-1"/>
              <w:jc w:val="center"/>
              <w:rPr>
                <w:rFonts w:cs="Arial"/>
                <w:szCs w:val="18"/>
                <w:lang w:val="en-GB"/>
              </w:rPr>
            </w:pPr>
            <w:r w:rsidRPr="007B6734">
              <w:rPr>
                <w:snapToGrid w:val="0"/>
                <w:color w:val="000000"/>
                <w:szCs w:val="24"/>
                <w:lang w:eastAsia="de-DE" w:bidi="en-US"/>
              </w:rPr>
              <w:t>0.99</w:t>
            </w:r>
          </w:p>
        </w:tc>
      </w:tr>
      <w:tr w:rsidR="00104EA5" w:rsidRPr="00B57B36" w14:paraId="5E56215A" w14:textId="77777777" w:rsidTr="00490EB8">
        <w:tc>
          <w:tcPr>
            <w:tcW w:w="4950" w:type="dxa"/>
            <w:shd w:val="clear" w:color="auto" w:fill="FFFFFF"/>
            <w:vAlign w:val="center"/>
          </w:tcPr>
          <w:p w14:paraId="2A8D5ACD" w14:textId="0D16CD28" w:rsidR="00104EA5" w:rsidRPr="00B57B36" w:rsidRDefault="00104EA5" w:rsidP="00104EA5">
            <w:pPr>
              <w:pStyle w:val="CETBodytext"/>
              <w:rPr>
                <w:lang w:val="en-GB"/>
              </w:rPr>
            </w:pPr>
            <w:r w:rsidRPr="00250503">
              <w:rPr>
                <w:rFonts w:eastAsia="SimSun"/>
                <w:i/>
                <w:noProof/>
                <w:color w:val="000000"/>
                <w:szCs w:val="24"/>
                <w:lang w:eastAsia="zh-CN"/>
              </w:rPr>
              <w:t>Bacillus thuringiensis 16S</w:t>
            </w:r>
          </w:p>
        </w:tc>
        <w:tc>
          <w:tcPr>
            <w:tcW w:w="360" w:type="dxa"/>
            <w:shd w:val="clear" w:color="auto" w:fill="FFFFFF"/>
            <w:vAlign w:val="center"/>
          </w:tcPr>
          <w:p w14:paraId="0BE12140" w14:textId="3E662D12" w:rsidR="00104EA5" w:rsidRPr="00B57B36" w:rsidRDefault="00104EA5" w:rsidP="00104EA5">
            <w:pPr>
              <w:pStyle w:val="CETBodytext"/>
              <w:rPr>
                <w:lang w:val="en-GB"/>
              </w:rPr>
            </w:pPr>
            <w:r w:rsidRPr="007B6734">
              <w:rPr>
                <w:snapToGrid w:val="0"/>
                <w:color w:val="000000"/>
                <w:szCs w:val="24"/>
                <w:lang w:eastAsia="de-DE" w:bidi="en-US"/>
              </w:rPr>
              <w:t>√</w:t>
            </w:r>
          </w:p>
        </w:tc>
        <w:tc>
          <w:tcPr>
            <w:tcW w:w="360" w:type="dxa"/>
            <w:shd w:val="clear" w:color="auto" w:fill="FFFFFF"/>
            <w:vAlign w:val="center"/>
          </w:tcPr>
          <w:p w14:paraId="56C53F42" w14:textId="77777777" w:rsidR="00104EA5" w:rsidRPr="00B57B36" w:rsidRDefault="00104EA5" w:rsidP="00104EA5">
            <w:pPr>
              <w:pStyle w:val="CETBodytext"/>
              <w:rPr>
                <w:lang w:val="en-GB"/>
              </w:rPr>
            </w:pPr>
          </w:p>
        </w:tc>
        <w:tc>
          <w:tcPr>
            <w:tcW w:w="360" w:type="dxa"/>
            <w:shd w:val="clear" w:color="auto" w:fill="FFFFFF"/>
            <w:vAlign w:val="center"/>
          </w:tcPr>
          <w:p w14:paraId="6818AADB" w14:textId="77777777" w:rsidR="00104EA5" w:rsidRPr="00B57B36" w:rsidRDefault="00104EA5" w:rsidP="00104EA5">
            <w:pPr>
              <w:pStyle w:val="CETBodytext"/>
              <w:ind w:right="-1"/>
              <w:rPr>
                <w:rFonts w:cs="Arial"/>
                <w:szCs w:val="18"/>
                <w:lang w:val="en-GB"/>
              </w:rPr>
            </w:pPr>
          </w:p>
        </w:tc>
        <w:tc>
          <w:tcPr>
            <w:tcW w:w="360" w:type="dxa"/>
            <w:shd w:val="clear" w:color="auto" w:fill="FFFFFF"/>
            <w:vAlign w:val="center"/>
          </w:tcPr>
          <w:p w14:paraId="155F7245" w14:textId="77777777" w:rsidR="00104EA5" w:rsidRPr="00B57B36" w:rsidRDefault="00104EA5" w:rsidP="00104EA5">
            <w:pPr>
              <w:pStyle w:val="CETBodytext"/>
              <w:ind w:right="-1"/>
              <w:rPr>
                <w:rFonts w:cs="Arial"/>
                <w:szCs w:val="18"/>
                <w:lang w:val="en-GB"/>
              </w:rPr>
            </w:pPr>
          </w:p>
        </w:tc>
        <w:tc>
          <w:tcPr>
            <w:tcW w:w="360" w:type="dxa"/>
            <w:shd w:val="clear" w:color="auto" w:fill="FFFFFF"/>
            <w:vAlign w:val="center"/>
          </w:tcPr>
          <w:p w14:paraId="09AF8B53" w14:textId="77777777" w:rsidR="00104EA5" w:rsidRPr="00B57B36" w:rsidRDefault="00104EA5" w:rsidP="00104EA5">
            <w:pPr>
              <w:pStyle w:val="CETBodytext"/>
              <w:ind w:right="-1"/>
              <w:rPr>
                <w:rFonts w:cs="Arial"/>
                <w:szCs w:val="18"/>
                <w:lang w:val="en-GB"/>
              </w:rPr>
            </w:pPr>
          </w:p>
        </w:tc>
        <w:tc>
          <w:tcPr>
            <w:tcW w:w="360" w:type="dxa"/>
            <w:shd w:val="clear" w:color="auto" w:fill="FFFFFF"/>
            <w:vAlign w:val="center"/>
          </w:tcPr>
          <w:p w14:paraId="2E80A2DB" w14:textId="77777777" w:rsidR="00104EA5" w:rsidRPr="00B57B36" w:rsidRDefault="00104EA5" w:rsidP="00104EA5">
            <w:pPr>
              <w:pStyle w:val="CETBodytext"/>
              <w:ind w:right="-1"/>
              <w:rPr>
                <w:rFonts w:cs="Arial"/>
                <w:szCs w:val="18"/>
                <w:lang w:val="en-GB"/>
              </w:rPr>
            </w:pPr>
          </w:p>
        </w:tc>
        <w:tc>
          <w:tcPr>
            <w:tcW w:w="360" w:type="dxa"/>
            <w:shd w:val="clear" w:color="auto" w:fill="FFFFFF"/>
            <w:vAlign w:val="center"/>
          </w:tcPr>
          <w:p w14:paraId="17F46BC6" w14:textId="77777777" w:rsidR="00104EA5" w:rsidRPr="00B57B36" w:rsidRDefault="00104EA5" w:rsidP="00104EA5">
            <w:pPr>
              <w:pStyle w:val="CETBodytext"/>
              <w:ind w:right="-1"/>
              <w:rPr>
                <w:rFonts w:cs="Arial"/>
                <w:szCs w:val="18"/>
                <w:lang w:val="en-GB"/>
              </w:rPr>
            </w:pPr>
          </w:p>
        </w:tc>
        <w:tc>
          <w:tcPr>
            <w:tcW w:w="936" w:type="dxa"/>
            <w:shd w:val="clear" w:color="auto" w:fill="FFFFFF"/>
            <w:vAlign w:val="center"/>
          </w:tcPr>
          <w:p w14:paraId="16D757F5" w14:textId="27417925" w:rsidR="00104EA5" w:rsidRPr="00B57B36" w:rsidRDefault="00104EA5" w:rsidP="00104EA5">
            <w:pPr>
              <w:pStyle w:val="CETBodytext"/>
              <w:ind w:right="-1"/>
              <w:jc w:val="center"/>
              <w:rPr>
                <w:rFonts w:cs="Arial"/>
                <w:szCs w:val="18"/>
                <w:lang w:val="en-GB"/>
              </w:rPr>
            </w:pPr>
            <w:r w:rsidRPr="007B6734">
              <w:rPr>
                <w:snapToGrid w:val="0"/>
                <w:color w:val="000000"/>
                <w:szCs w:val="24"/>
                <w:lang w:eastAsia="de-DE" w:bidi="en-US"/>
              </w:rPr>
              <w:t>0.99</w:t>
            </w:r>
          </w:p>
        </w:tc>
      </w:tr>
      <w:tr w:rsidR="00104EA5" w:rsidRPr="00B57B36" w14:paraId="40F5FAEB" w14:textId="77777777" w:rsidTr="00490EB8">
        <w:tc>
          <w:tcPr>
            <w:tcW w:w="4950" w:type="dxa"/>
            <w:shd w:val="clear" w:color="auto" w:fill="FFFFFF"/>
            <w:vAlign w:val="center"/>
          </w:tcPr>
          <w:p w14:paraId="622CA91F" w14:textId="3EC939B1" w:rsidR="00104EA5" w:rsidRPr="00B57B36" w:rsidRDefault="00104EA5" w:rsidP="00104EA5">
            <w:pPr>
              <w:pStyle w:val="CETBodytext"/>
              <w:rPr>
                <w:lang w:val="en-GB"/>
              </w:rPr>
            </w:pPr>
            <w:r w:rsidRPr="00250503">
              <w:rPr>
                <w:rFonts w:eastAsia="SimSun"/>
                <w:i/>
                <w:noProof/>
                <w:color w:val="000000"/>
                <w:szCs w:val="24"/>
                <w:lang w:eastAsia="zh-CN"/>
              </w:rPr>
              <w:t>Microbacterium foliorum</w:t>
            </w:r>
          </w:p>
        </w:tc>
        <w:tc>
          <w:tcPr>
            <w:tcW w:w="360" w:type="dxa"/>
            <w:shd w:val="clear" w:color="auto" w:fill="FFFFFF"/>
            <w:vAlign w:val="center"/>
          </w:tcPr>
          <w:p w14:paraId="6660EAB1" w14:textId="77777777" w:rsidR="00104EA5" w:rsidRPr="00B57B36" w:rsidRDefault="00104EA5" w:rsidP="00104EA5">
            <w:pPr>
              <w:pStyle w:val="CETBodytext"/>
              <w:rPr>
                <w:lang w:val="en-GB"/>
              </w:rPr>
            </w:pPr>
          </w:p>
        </w:tc>
        <w:tc>
          <w:tcPr>
            <w:tcW w:w="360" w:type="dxa"/>
            <w:shd w:val="clear" w:color="auto" w:fill="FFFFFF"/>
            <w:vAlign w:val="center"/>
          </w:tcPr>
          <w:p w14:paraId="2F187FBD" w14:textId="77777777" w:rsidR="00104EA5" w:rsidRPr="00B57B36" w:rsidRDefault="00104EA5" w:rsidP="00104EA5">
            <w:pPr>
              <w:pStyle w:val="CETBodytext"/>
              <w:rPr>
                <w:lang w:val="en-GB"/>
              </w:rPr>
            </w:pPr>
          </w:p>
        </w:tc>
        <w:tc>
          <w:tcPr>
            <w:tcW w:w="360" w:type="dxa"/>
            <w:shd w:val="clear" w:color="auto" w:fill="FFFFFF"/>
            <w:vAlign w:val="center"/>
          </w:tcPr>
          <w:p w14:paraId="59E93DAA" w14:textId="77777777" w:rsidR="00104EA5" w:rsidRPr="00B57B36" w:rsidRDefault="00104EA5" w:rsidP="00104EA5">
            <w:pPr>
              <w:pStyle w:val="CETBodytext"/>
              <w:ind w:right="-1"/>
              <w:rPr>
                <w:rFonts w:cs="Arial"/>
                <w:szCs w:val="18"/>
                <w:lang w:val="en-GB"/>
              </w:rPr>
            </w:pPr>
          </w:p>
        </w:tc>
        <w:tc>
          <w:tcPr>
            <w:tcW w:w="360" w:type="dxa"/>
            <w:shd w:val="clear" w:color="auto" w:fill="FFFFFF"/>
            <w:vAlign w:val="center"/>
          </w:tcPr>
          <w:p w14:paraId="63EF91F3" w14:textId="77777777" w:rsidR="00104EA5" w:rsidRPr="00B57B36" w:rsidRDefault="00104EA5" w:rsidP="00104EA5">
            <w:pPr>
              <w:pStyle w:val="CETBodytext"/>
              <w:ind w:right="-1"/>
              <w:rPr>
                <w:rFonts w:cs="Arial"/>
                <w:szCs w:val="18"/>
                <w:lang w:val="en-GB"/>
              </w:rPr>
            </w:pPr>
          </w:p>
        </w:tc>
        <w:tc>
          <w:tcPr>
            <w:tcW w:w="360" w:type="dxa"/>
            <w:shd w:val="clear" w:color="auto" w:fill="FFFFFF"/>
            <w:vAlign w:val="center"/>
          </w:tcPr>
          <w:p w14:paraId="78BF0665" w14:textId="77777777" w:rsidR="00104EA5" w:rsidRPr="00B57B36" w:rsidRDefault="00104EA5" w:rsidP="00104EA5">
            <w:pPr>
              <w:pStyle w:val="CETBodytext"/>
              <w:ind w:right="-1"/>
              <w:rPr>
                <w:rFonts w:cs="Arial"/>
                <w:szCs w:val="18"/>
                <w:lang w:val="en-GB"/>
              </w:rPr>
            </w:pPr>
          </w:p>
        </w:tc>
        <w:tc>
          <w:tcPr>
            <w:tcW w:w="360" w:type="dxa"/>
            <w:shd w:val="clear" w:color="auto" w:fill="FFFFFF"/>
            <w:vAlign w:val="center"/>
          </w:tcPr>
          <w:p w14:paraId="536538D7" w14:textId="6AB80E92" w:rsidR="00104EA5" w:rsidRPr="00B57B36" w:rsidRDefault="00104EA5" w:rsidP="00104EA5">
            <w:pPr>
              <w:pStyle w:val="CETBodytext"/>
              <w:ind w:right="-1"/>
              <w:rPr>
                <w:rFonts w:cs="Arial"/>
                <w:szCs w:val="18"/>
                <w:lang w:val="en-GB"/>
              </w:rPr>
            </w:pPr>
          </w:p>
        </w:tc>
        <w:tc>
          <w:tcPr>
            <w:tcW w:w="360" w:type="dxa"/>
            <w:shd w:val="clear" w:color="auto" w:fill="FFFFFF"/>
            <w:vAlign w:val="center"/>
          </w:tcPr>
          <w:p w14:paraId="6D427C86" w14:textId="70DBF064" w:rsidR="00104EA5" w:rsidRPr="00B57B36" w:rsidRDefault="00104EA5" w:rsidP="00104EA5">
            <w:pPr>
              <w:pStyle w:val="CETBodytext"/>
              <w:ind w:right="-1"/>
              <w:rPr>
                <w:rFonts w:cs="Arial"/>
                <w:szCs w:val="18"/>
                <w:lang w:val="en-GB"/>
              </w:rPr>
            </w:pPr>
            <w:r w:rsidRPr="007B6734">
              <w:rPr>
                <w:snapToGrid w:val="0"/>
                <w:color w:val="000000"/>
                <w:szCs w:val="24"/>
                <w:lang w:eastAsia="de-DE" w:bidi="en-US"/>
              </w:rPr>
              <w:t>√</w:t>
            </w:r>
          </w:p>
        </w:tc>
        <w:tc>
          <w:tcPr>
            <w:tcW w:w="936" w:type="dxa"/>
            <w:shd w:val="clear" w:color="auto" w:fill="FFFFFF"/>
            <w:vAlign w:val="center"/>
          </w:tcPr>
          <w:p w14:paraId="2AB01A84" w14:textId="15D14BF9" w:rsidR="00104EA5" w:rsidRPr="00B57B36" w:rsidRDefault="00104EA5" w:rsidP="00104EA5">
            <w:pPr>
              <w:pStyle w:val="CETBodytext"/>
              <w:ind w:right="-1"/>
              <w:jc w:val="center"/>
              <w:rPr>
                <w:rFonts w:cs="Arial"/>
                <w:szCs w:val="18"/>
                <w:lang w:val="en-GB"/>
              </w:rPr>
            </w:pPr>
            <w:r w:rsidRPr="007B6734">
              <w:rPr>
                <w:snapToGrid w:val="0"/>
                <w:color w:val="000000"/>
                <w:szCs w:val="24"/>
                <w:lang w:eastAsia="de-DE" w:bidi="en-US"/>
              </w:rPr>
              <w:t>0.99</w:t>
            </w:r>
          </w:p>
        </w:tc>
      </w:tr>
      <w:tr w:rsidR="00104EA5" w:rsidRPr="00B57B36" w14:paraId="474A14EC" w14:textId="77777777" w:rsidTr="00490EB8">
        <w:tc>
          <w:tcPr>
            <w:tcW w:w="4950" w:type="dxa"/>
            <w:shd w:val="clear" w:color="auto" w:fill="FFFFFF"/>
            <w:vAlign w:val="center"/>
          </w:tcPr>
          <w:p w14:paraId="19F9F29C" w14:textId="48B7240D" w:rsidR="00104EA5" w:rsidRPr="00B57B36" w:rsidRDefault="00104EA5" w:rsidP="00104EA5">
            <w:pPr>
              <w:pStyle w:val="CETBodytext"/>
              <w:rPr>
                <w:lang w:val="en-GB"/>
              </w:rPr>
            </w:pPr>
            <w:r w:rsidRPr="00250503">
              <w:rPr>
                <w:rFonts w:eastAsia="SimSun"/>
                <w:i/>
                <w:noProof/>
                <w:color w:val="000000"/>
                <w:szCs w:val="24"/>
                <w:lang w:eastAsia="zh-CN"/>
              </w:rPr>
              <w:t>Microbacterium sp. S15-M4</w:t>
            </w:r>
          </w:p>
        </w:tc>
        <w:tc>
          <w:tcPr>
            <w:tcW w:w="360" w:type="dxa"/>
            <w:shd w:val="clear" w:color="auto" w:fill="FFFFFF"/>
            <w:vAlign w:val="center"/>
          </w:tcPr>
          <w:p w14:paraId="24DCF742" w14:textId="77777777" w:rsidR="00104EA5" w:rsidRPr="00B57B36" w:rsidRDefault="00104EA5" w:rsidP="00104EA5">
            <w:pPr>
              <w:pStyle w:val="CETBodytext"/>
              <w:rPr>
                <w:lang w:val="en-GB"/>
              </w:rPr>
            </w:pPr>
          </w:p>
        </w:tc>
        <w:tc>
          <w:tcPr>
            <w:tcW w:w="360" w:type="dxa"/>
            <w:shd w:val="clear" w:color="auto" w:fill="FFFFFF"/>
            <w:vAlign w:val="center"/>
          </w:tcPr>
          <w:p w14:paraId="4C065560" w14:textId="77777777" w:rsidR="00104EA5" w:rsidRPr="00B57B36" w:rsidRDefault="00104EA5" w:rsidP="00104EA5">
            <w:pPr>
              <w:pStyle w:val="CETBodytext"/>
              <w:rPr>
                <w:lang w:val="en-GB"/>
              </w:rPr>
            </w:pPr>
          </w:p>
        </w:tc>
        <w:tc>
          <w:tcPr>
            <w:tcW w:w="360" w:type="dxa"/>
            <w:shd w:val="clear" w:color="auto" w:fill="FFFFFF"/>
            <w:vAlign w:val="center"/>
          </w:tcPr>
          <w:p w14:paraId="2A0618C5" w14:textId="77777777" w:rsidR="00104EA5" w:rsidRPr="00B57B36" w:rsidRDefault="00104EA5" w:rsidP="00104EA5">
            <w:pPr>
              <w:pStyle w:val="CETBodytext"/>
              <w:ind w:right="-1"/>
              <w:rPr>
                <w:rFonts w:cs="Arial"/>
                <w:szCs w:val="18"/>
                <w:lang w:val="en-GB"/>
              </w:rPr>
            </w:pPr>
          </w:p>
        </w:tc>
        <w:tc>
          <w:tcPr>
            <w:tcW w:w="360" w:type="dxa"/>
            <w:shd w:val="clear" w:color="auto" w:fill="FFFFFF"/>
            <w:vAlign w:val="center"/>
          </w:tcPr>
          <w:p w14:paraId="46F10FB0" w14:textId="77777777" w:rsidR="00104EA5" w:rsidRPr="00B57B36" w:rsidRDefault="00104EA5" w:rsidP="00104EA5">
            <w:pPr>
              <w:pStyle w:val="CETBodytext"/>
              <w:ind w:right="-1"/>
              <w:rPr>
                <w:rFonts w:cs="Arial"/>
                <w:szCs w:val="18"/>
                <w:lang w:val="en-GB"/>
              </w:rPr>
            </w:pPr>
          </w:p>
        </w:tc>
        <w:tc>
          <w:tcPr>
            <w:tcW w:w="360" w:type="dxa"/>
            <w:shd w:val="clear" w:color="auto" w:fill="FFFFFF"/>
            <w:vAlign w:val="center"/>
          </w:tcPr>
          <w:p w14:paraId="28F3AFC6" w14:textId="77777777" w:rsidR="00104EA5" w:rsidRPr="00B57B36" w:rsidRDefault="00104EA5" w:rsidP="00104EA5">
            <w:pPr>
              <w:pStyle w:val="CETBodytext"/>
              <w:ind w:right="-1"/>
              <w:rPr>
                <w:rFonts w:cs="Arial"/>
                <w:szCs w:val="18"/>
                <w:lang w:val="en-GB"/>
              </w:rPr>
            </w:pPr>
          </w:p>
        </w:tc>
        <w:tc>
          <w:tcPr>
            <w:tcW w:w="360" w:type="dxa"/>
            <w:shd w:val="clear" w:color="auto" w:fill="FFFFFF"/>
            <w:vAlign w:val="center"/>
          </w:tcPr>
          <w:p w14:paraId="27AB1ACB" w14:textId="3213D779" w:rsidR="00104EA5" w:rsidRPr="00B57B36" w:rsidRDefault="00104EA5" w:rsidP="00104EA5">
            <w:pPr>
              <w:pStyle w:val="CETBodytext"/>
              <w:ind w:right="-1"/>
              <w:rPr>
                <w:rFonts w:cs="Arial"/>
                <w:szCs w:val="18"/>
                <w:lang w:val="en-GB"/>
              </w:rPr>
            </w:pPr>
          </w:p>
        </w:tc>
        <w:tc>
          <w:tcPr>
            <w:tcW w:w="360" w:type="dxa"/>
            <w:shd w:val="clear" w:color="auto" w:fill="FFFFFF"/>
            <w:vAlign w:val="center"/>
          </w:tcPr>
          <w:p w14:paraId="6A2FABBF" w14:textId="40A218E6" w:rsidR="00104EA5" w:rsidRPr="00B57B36" w:rsidRDefault="00104EA5" w:rsidP="00104EA5">
            <w:pPr>
              <w:pStyle w:val="CETBodytext"/>
              <w:ind w:right="-1"/>
              <w:rPr>
                <w:rFonts w:cs="Arial"/>
                <w:szCs w:val="18"/>
                <w:lang w:val="en-GB"/>
              </w:rPr>
            </w:pPr>
            <w:r w:rsidRPr="007B6734">
              <w:rPr>
                <w:snapToGrid w:val="0"/>
                <w:color w:val="000000"/>
                <w:szCs w:val="24"/>
                <w:lang w:eastAsia="de-DE" w:bidi="en-US"/>
              </w:rPr>
              <w:t>√</w:t>
            </w:r>
          </w:p>
        </w:tc>
        <w:tc>
          <w:tcPr>
            <w:tcW w:w="936" w:type="dxa"/>
            <w:shd w:val="clear" w:color="auto" w:fill="FFFFFF"/>
            <w:vAlign w:val="center"/>
          </w:tcPr>
          <w:p w14:paraId="41DC9B99" w14:textId="195C4688" w:rsidR="00104EA5" w:rsidRPr="00B57B36" w:rsidRDefault="00104EA5" w:rsidP="00104EA5">
            <w:pPr>
              <w:pStyle w:val="CETBodytext"/>
              <w:ind w:right="-1"/>
              <w:jc w:val="center"/>
              <w:rPr>
                <w:rFonts w:cs="Arial"/>
                <w:szCs w:val="18"/>
                <w:lang w:val="en-GB"/>
              </w:rPr>
            </w:pPr>
            <w:r w:rsidRPr="007B6734">
              <w:rPr>
                <w:snapToGrid w:val="0"/>
                <w:color w:val="000000"/>
                <w:szCs w:val="24"/>
                <w:lang w:eastAsia="de-DE" w:bidi="en-US"/>
              </w:rPr>
              <w:t>0.99</w:t>
            </w:r>
          </w:p>
        </w:tc>
      </w:tr>
      <w:tr w:rsidR="00104EA5" w:rsidRPr="00104EA5" w14:paraId="75553C93" w14:textId="2C5827DE" w:rsidTr="00104EA5">
        <w:tc>
          <w:tcPr>
            <w:tcW w:w="4950" w:type="dxa"/>
            <w:shd w:val="clear" w:color="auto" w:fill="FFFFFF"/>
          </w:tcPr>
          <w:p w14:paraId="7721A2F7" w14:textId="77777777" w:rsidR="00104EA5" w:rsidRPr="00104EA5" w:rsidRDefault="00104EA5" w:rsidP="00104EA5">
            <w:pPr>
              <w:pStyle w:val="CETBodytext"/>
              <w:ind w:right="-1"/>
              <w:rPr>
                <w:rFonts w:cs="Arial"/>
                <w:sz w:val="8"/>
                <w:szCs w:val="8"/>
                <w:lang w:val="en-GB"/>
              </w:rPr>
            </w:pPr>
          </w:p>
        </w:tc>
        <w:tc>
          <w:tcPr>
            <w:tcW w:w="360" w:type="dxa"/>
            <w:shd w:val="clear" w:color="auto" w:fill="FFFFFF"/>
          </w:tcPr>
          <w:p w14:paraId="6075D3E4" w14:textId="77777777" w:rsidR="00104EA5" w:rsidRPr="00104EA5" w:rsidRDefault="00104EA5" w:rsidP="00104EA5">
            <w:pPr>
              <w:pStyle w:val="CETBodytext"/>
              <w:ind w:right="-1"/>
              <w:rPr>
                <w:rFonts w:cs="Arial"/>
                <w:sz w:val="8"/>
                <w:szCs w:val="8"/>
                <w:lang w:val="en-GB"/>
              </w:rPr>
            </w:pPr>
          </w:p>
        </w:tc>
        <w:tc>
          <w:tcPr>
            <w:tcW w:w="360" w:type="dxa"/>
            <w:shd w:val="clear" w:color="auto" w:fill="FFFFFF"/>
          </w:tcPr>
          <w:p w14:paraId="234EBCE7" w14:textId="77777777" w:rsidR="00104EA5" w:rsidRPr="00104EA5" w:rsidRDefault="00104EA5" w:rsidP="00104EA5">
            <w:pPr>
              <w:pStyle w:val="CETBodytext"/>
              <w:ind w:right="-1"/>
              <w:rPr>
                <w:rFonts w:cs="Arial"/>
                <w:sz w:val="8"/>
                <w:szCs w:val="8"/>
                <w:lang w:val="en-GB"/>
              </w:rPr>
            </w:pPr>
          </w:p>
        </w:tc>
        <w:tc>
          <w:tcPr>
            <w:tcW w:w="360" w:type="dxa"/>
            <w:shd w:val="clear" w:color="auto" w:fill="FFFFFF"/>
          </w:tcPr>
          <w:p w14:paraId="1EB1B30D" w14:textId="77777777" w:rsidR="00104EA5" w:rsidRPr="00104EA5" w:rsidRDefault="00104EA5" w:rsidP="00104EA5">
            <w:pPr>
              <w:pStyle w:val="CETBodytext"/>
              <w:ind w:right="-1"/>
              <w:rPr>
                <w:rFonts w:cs="Arial"/>
                <w:sz w:val="8"/>
                <w:szCs w:val="8"/>
                <w:lang w:val="en-GB"/>
              </w:rPr>
            </w:pPr>
          </w:p>
        </w:tc>
        <w:tc>
          <w:tcPr>
            <w:tcW w:w="360" w:type="dxa"/>
            <w:shd w:val="clear" w:color="auto" w:fill="FFFFFF"/>
          </w:tcPr>
          <w:p w14:paraId="222EB7FD" w14:textId="77777777" w:rsidR="00104EA5" w:rsidRPr="00104EA5" w:rsidRDefault="00104EA5" w:rsidP="00104EA5">
            <w:pPr>
              <w:pStyle w:val="CETBodytext"/>
              <w:ind w:right="-1"/>
              <w:rPr>
                <w:rFonts w:cs="Arial"/>
                <w:sz w:val="8"/>
                <w:szCs w:val="8"/>
                <w:lang w:val="en-GB"/>
              </w:rPr>
            </w:pPr>
          </w:p>
        </w:tc>
        <w:tc>
          <w:tcPr>
            <w:tcW w:w="360" w:type="dxa"/>
            <w:shd w:val="clear" w:color="auto" w:fill="FFFFFF"/>
          </w:tcPr>
          <w:p w14:paraId="46E1CBFE" w14:textId="77777777" w:rsidR="00104EA5" w:rsidRPr="00104EA5" w:rsidRDefault="00104EA5" w:rsidP="00104EA5">
            <w:pPr>
              <w:pStyle w:val="CETBodytext"/>
              <w:ind w:right="-1"/>
              <w:rPr>
                <w:rFonts w:cs="Arial"/>
                <w:sz w:val="8"/>
                <w:szCs w:val="8"/>
                <w:lang w:val="en-GB"/>
              </w:rPr>
            </w:pPr>
          </w:p>
        </w:tc>
        <w:tc>
          <w:tcPr>
            <w:tcW w:w="360" w:type="dxa"/>
            <w:shd w:val="clear" w:color="auto" w:fill="FFFFFF"/>
          </w:tcPr>
          <w:p w14:paraId="6E494B90" w14:textId="77777777" w:rsidR="00104EA5" w:rsidRPr="00104EA5" w:rsidRDefault="00104EA5" w:rsidP="00104EA5">
            <w:pPr>
              <w:pStyle w:val="CETBodytext"/>
              <w:ind w:right="-1"/>
              <w:rPr>
                <w:rFonts w:cs="Arial"/>
                <w:sz w:val="8"/>
                <w:szCs w:val="8"/>
                <w:lang w:val="en-GB"/>
              </w:rPr>
            </w:pPr>
          </w:p>
        </w:tc>
        <w:tc>
          <w:tcPr>
            <w:tcW w:w="360" w:type="dxa"/>
            <w:shd w:val="clear" w:color="auto" w:fill="FFFFFF"/>
          </w:tcPr>
          <w:p w14:paraId="71807B61" w14:textId="77777777" w:rsidR="00104EA5" w:rsidRPr="00104EA5" w:rsidRDefault="00104EA5" w:rsidP="00104EA5">
            <w:pPr>
              <w:pStyle w:val="CETBodytext"/>
              <w:ind w:right="-1"/>
              <w:rPr>
                <w:rFonts w:cs="Arial"/>
                <w:sz w:val="8"/>
                <w:szCs w:val="8"/>
                <w:lang w:val="en-GB"/>
              </w:rPr>
            </w:pPr>
          </w:p>
        </w:tc>
        <w:tc>
          <w:tcPr>
            <w:tcW w:w="936" w:type="dxa"/>
            <w:shd w:val="clear" w:color="auto" w:fill="FFFFFF"/>
          </w:tcPr>
          <w:p w14:paraId="4CFE3A80" w14:textId="77777777" w:rsidR="00104EA5" w:rsidRPr="00104EA5" w:rsidRDefault="00104EA5" w:rsidP="00104EA5">
            <w:pPr>
              <w:pStyle w:val="CETBodytext"/>
              <w:ind w:right="-1"/>
              <w:rPr>
                <w:rFonts w:cs="Arial"/>
                <w:sz w:val="8"/>
                <w:szCs w:val="8"/>
                <w:lang w:val="en-GB"/>
              </w:rPr>
            </w:pPr>
          </w:p>
        </w:tc>
      </w:tr>
    </w:tbl>
    <w:p w14:paraId="6E7D9B75" w14:textId="63C1D8AE" w:rsidR="00573A96" w:rsidRDefault="00573A96" w:rsidP="00600535">
      <w:pPr>
        <w:pStyle w:val="CETBodytext"/>
        <w:rPr>
          <w:lang w:val="en-GB"/>
        </w:rPr>
      </w:pPr>
    </w:p>
    <w:p w14:paraId="1EA26ABF" w14:textId="77777777" w:rsidR="00573A96" w:rsidRPr="00B57B36" w:rsidRDefault="00573A96" w:rsidP="00600535">
      <w:pPr>
        <w:pStyle w:val="CETBodytext"/>
        <w:rPr>
          <w:lang w:val="en-GB"/>
        </w:rPr>
      </w:pPr>
    </w:p>
    <w:p w14:paraId="1F96CA21" w14:textId="2B9822EE" w:rsidR="00600535" w:rsidRPr="00B57B36" w:rsidRDefault="00532FD6" w:rsidP="00F60F52">
      <w:pPr>
        <w:pStyle w:val="CETheadingx"/>
      </w:pPr>
      <w:r>
        <w:t>Reactor Performance</w:t>
      </w:r>
    </w:p>
    <w:p w14:paraId="3C4AE14A" w14:textId="778AC208" w:rsidR="00FE7593" w:rsidRDefault="00FE7593" w:rsidP="00532FD6">
      <w:pPr>
        <w:pStyle w:val="CETListbullets"/>
        <w:ind w:left="0" w:firstLine="0"/>
      </w:pPr>
      <w:r>
        <w:t>Two</w:t>
      </w:r>
      <w:r w:rsidR="00532FD6" w:rsidRPr="00532FD6">
        <w:t xml:space="preserve"> reactors </w:t>
      </w:r>
      <w:r>
        <w:t xml:space="preserve">were </w:t>
      </w:r>
      <w:r w:rsidR="00532FD6" w:rsidRPr="00532FD6">
        <w:t>operated at hydraulic loading of 200 mL</w:t>
      </w:r>
      <w:r>
        <w:sym w:font="Symbol" w:char="F0D7"/>
      </w:r>
      <w:r w:rsidR="00532FD6" w:rsidRPr="00532FD6">
        <w:t>h</w:t>
      </w:r>
      <w:r w:rsidRPr="00FE7593">
        <w:rPr>
          <w:vertAlign w:val="superscript"/>
        </w:rPr>
        <w:t>-1</w:t>
      </w:r>
      <w:r w:rsidR="00532FD6" w:rsidRPr="00532FD6">
        <w:t xml:space="preserve"> and were fed with distilled water for 14 days to saturate the reactors, remove air space between the pores and acclimatize the bacteria</w:t>
      </w:r>
      <w:r>
        <w:t>. The data is presented in Figure 3</w:t>
      </w:r>
      <w:r w:rsidR="00532FD6" w:rsidRPr="00532FD6">
        <w:t xml:space="preserve">. The control reactor compartments were packed with </w:t>
      </w:r>
      <w:r>
        <w:t>treated soil</w:t>
      </w:r>
      <w:r w:rsidR="00532FD6" w:rsidRPr="00532FD6">
        <w:t xml:space="preserve"> </w:t>
      </w:r>
      <w:r>
        <w:t>in order to</w:t>
      </w:r>
      <w:r w:rsidR="00532FD6" w:rsidRPr="00532FD6">
        <w:t xml:space="preserve"> study the abiotic effect on the </w:t>
      </w:r>
      <w:proofErr w:type="gramStart"/>
      <w:r w:rsidR="00532FD6" w:rsidRPr="00532FD6">
        <w:t>Cr(</w:t>
      </w:r>
      <w:proofErr w:type="gramEnd"/>
      <w:r w:rsidR="00532FD6" w:rsidRPr="00532FD6">
        <w:t>VI) removal and was fed with a Cr(VI) concentration of 40 mg</w:t>
      </w:r>
      <w:r>
        <w:sym w:font="Symbol" w:char="F0D7"/>
      </w:r>
      <w:r w:rsidR="00532FD6" w:rsidRPr="00532FD6">
        <w:t>L</w:t>
      </w:r>
      <w:r>
        <w:rPr>
          <w:vertAlign w:val="superscript"/>
        </w:rPr>
        <w:t>-1</w:t>
      </w:r>
      <w:r w:rsidR="00532FD6" w:rsidRPr="00532FD6">
        <w:t xml:space="preserve"> as shown in </w:t>
      </w:r>
      <w:r>
        <w:t>Figure 3</w:t>
      </w:r>
      <w:r w:rsidR="00532FD6" w:rsidRPr="00532FD6">
        <w:t xml:space="preserve">(a). It can be seen that effluent </w:t>
      </w:r>
      <w:proofErr w:type="gramStart"/>
      <w:r w:rsidR="00532FD6" w:rsidRPr="00532FD6">
        <w:t>Cr(</w:t>
      </w:r>
      <w:proofErr w:type="gramEnd"/>
      <w:r w:rsidR="00532FD6" w:rsidRPr="00532FD6">
        <w:t xml:space="preserve">VI) concentration in the control reactor gradually increased until day 6. After day 6, the reactor reached a steady state as the influent </w:t>
      </w:r>
      <w:proofErr w:type="gramStart"/>
      <w:r w:rsidR="00532FD6" w:rsidRPr="00532FD6">
        <w:t>Cr(</w:t>
      </w:r>
      <w:proofErr w:type="gramEnd"/>
      <w:r w:rsidR="00532FD6" w:rsidRPr="00532FD6">
        <w:t xml:space="preserve">VI) concentration was the same as effluent. </w:t>
      </w:r>
      <w:r>
        <w:t>This run took into consideration the</w:t>
      </w:r>
      <w:r w:rsidR="00532FD6" w:rsidRPr="00532FD6">
        <w:t xml:space="preserve"> </w:t>
      </w:r>
      <w:r>
        <w:t>effects of</w:t>
      </w:r>
      <w:r w:rsidR="00532FD6" w:rsidRPr="00532FD6">
        <w:t xml:space="preserve"> sorption regardless of the solution chemistry</w:t>
      </w:r>
      <w:r>
        <w:t xml:space="preserve"> </w:t>
      </w:r>
      <w:r w:rsidRPr="00FE7593">
        <w:t>(</w:t>
      </w:r>
      <w:proofErr w:type="spellStart"/>
      <w:r w:rsidRPr="00FE7593">
        <w:t>Tadeo-jalife</w:t>
      </w:r>
      <w:proofErr w:type="spellEnd"/>
      <w:r w:rsidRPr="00FE7593">
        <w:t xml:space="preserve"> et al., 2021).</w:t>
      </w:r>
      <w:r w:rsidR="00532FD6" w:rsidRPr="00532FD6">
        <w:t xml:space="preserve"> </w:t>
      </w:r>
    </w:p>
    <w:p w14:paraId="79F5A4A0" w14:textId="68AF5EF6" w:rsidR="00134991" w:rsidRDefault="00FE7593" w:rsidP="00532FD6">
      <w:pPr>
        <w:pStyle w:val="CETListbullets"/>
        <w:ind w:left="0" w:firstLine="0"/>
      </w:pPr>
      <w:r w:rsidRPr="00FE7593">
        <w:t>In the BPR</w:t>
      </w:r>
      <w:r>
        <w:t>B</w:t>
      </w:r>
      <w:r w:rsidRPr="00FE7593">
        <w:t xml:space="preserve"> reactor, compartments 2 and 4 were packed with </w:t>
      </w:r>
      <w:r>
        <w:t>clean soil</w:t>
      </w:r>
      <w:r w:rsidRPr="00FE7593">
        <w:t xml:space="preserve"> while compartment 3 was packed with 70% and 30% </w:t>
      </w:r>
      <w:r>
        <w:t>soil</w:t>
      </w:r>
      <w:r w:rsidRPr="00FE7593">
        <w:t xml:space="preserve">-sludge mixture. After the saturation phase which lasted 14 days, the BPRB reactor was fed with distilled water containing </w:t>
      </w:r>
      <w:proofErr w:type="gramStart"/>
      <w:r w:rsidRPr="00FE7593">
        <w:t>Cr(</w:t>
      </w:r>
      <w:proofErr w:type="gramEnd"/>
      <w:r w:rsidRPr="00FE7593">
        <w:t>VI) concentration of 40 mg</w:t>
      </w:r>
      <w:r>
        <w:sym w:font="Symbol" w:char="F0D7"/>
      </w:r>
      <w:r w:rsidRPr="00FE7593">
        <w:t>L</w:t>
      </w:r>
      <w:r>
        <w:rPr>
          <w:vertAlign w:val="superscript"/>
        </w:rPr>
        <w:t>-1</w:t>
      </w:r>
      <w:r w:rsidRPr="00FE7593">
        <w:t xml:space="preserve"> and the results are shown in </w:t>
      </w:r>
      <w:r>
        <w:t>Figure 3</w:t>
      </w:r>
      <w:r w:rsidRPr="00FE7593">
        <w:t xml:space="preserve">(b).  The </w:t>
      </w:r>
      <w:r w:rsidRPr="00FE7593">
        <w:lastRenderedPageBreak/>
        <w:t xml:space="preserve">20 cm barrier had a hydraulic retention time of 8 h. After feeding the reactor with </w:t>
      </w:r>
      <w:proofErr w:type="gramStart"/>
      <w:r w:rsidRPr="00FE7593">
        <w:t>Cr(</w:t>
      </w:r>
      <w:proofErr w:type="gramEnd"/>
      <w:r w:rsidRPr="00FE7593">
        <w:t xml:space="preserve">VI) for 30 days, no Cr(VI) was detected in the effluent for this period. This indicated that the </w:t>
      </w:r>
      <w:proofErr w:type="gramStart"/>
      <w:r w:rsidRPr="00FE7593">
        <w:t>Cr(</w:t>
      </w:r>
      <w:proofErr w:type="gramEnd"/>
      <w:r w:rsidRPr="00FE7593">
        <w:t xml:space="preserve">VI) removal was 100% in the BPRB. </w:t>
      </w:r>
      <w:proofErr w:type="gramStart"/>
      <w:r w:rsidRPr="00FE7593">
        <w:t>Cr(</w:t>
      </w:r>
      <w:proofErr w:type="gramEnd"/>
      <w:r w:rsidRPr="00FE7593">
        <w:t xml:space="preserve">VI) concentration was then increased by 20 mg/L and continued to operate at 60 mg/L Cr(VI) concentration for another 30 days. </w:t>
      </w:r>
      <w:proofErr w:type="gramStart"/>
      <w:r w:rsidRPr="00FE7593">
        <w:t>Cr(</w:t>
      </w:r>
      <w:proofErr w:type="gramEnd"/>
      <w:r w:rsidRPr="00FE7593">
        <w:t>VI) concentration was not detected in the effluent, showing 100% efficiency. On day 47, 4.11 mg</w:t>
      </w:r>
      <w:r w:rsidR="00134991">
        <w:sym w:font="Symbol" w:char="F0D7"/>
      </w:r>
      <w:r w:rsidRPr="00FE7593">
        <w:t>L</w:t>
      </w:r>
      <w:r w:rsidR="00134991">
        <w:rPr>
          <w:vertAlign w:val="superscript"/>
        </w:rPr>
        <w:t>-1</w:t>
      </w:r>
      <w:r w:rsidRPr="00FE7593">
        <w:t xml:space="preserve"> of </w:t>
      </w:r>
      <w:proofErr w:type="gramStart"/>
      <w:r w:rsidRPr="00FE7593">
        <w:t>Cr(</w:t>
      </w:r>
      <w:proofErr w:type="gramEnd"/>
      <w:r w:rsidRPr="00FE7593">
        <w:t xml:space="preserve">VI)  concentration was first detected and the following day (48) Cr(VI) was 100% removed. From day 52, a </w:t>
      </w:r>
      <w:proofErr w:type="gramStart"/>
      <w:r w:rsidRPr="00FE7593">
        <w:t>Cr(</w:t>
      </w:r>
      <w:proofErr w:type="gramEnd"/>
      <w:r w:rsidRPr="00FE7593">
        <w:t>VI) concentration of 2.2 mg</w:t>
      </w:r>
      <w:r w:rsidR="00134991">
        <w:sym w:font="Symbol" w:char="F0D7"/>
      </w:r>
      <w:r w:rsidRPr="00FE7593">
        <w:t>L</w:t>
      </w:r>
      <w:r w:rsidR="00134991">
        <w:rPr>
          <w:vertAlign w:val="superscript"/>
        </w:rPr>
        <w:t>-1</w:t>
      </w:r>
      <w:r w:rsidRPr="00FE7593">
        <w:t xml:space="preserve"> was noticed and a sharp increase in Cr(VI) concentration from 2.7 </w:t>
      </w:r>
      <w:r w:rsidR="00134991" w:rsidRPr="00FE7593">
        <w:t>mg</w:t>
      </w:r>
      <w:r w:rsidR="00134991">
        <w:sym w:font="Symbol" w:char="F0D7"/>
      </w:r>
      <w:r w:rsidR="00134991" w:rsidRPr="00FE7593">
        <w:t>L</w:t>
      </w:r>
      <w:r w:rsidR="00134991">
        <w:rPr>
          <w:vertAlign w:val="superscript"/>
        </w:rPr>
        <w:t>-1</w:t>
      </w:r>
      <w:r w:rsidR="00134991">
        <w:t xml:space="preserve"> t</w:t>
      </w:r>
      <w:r w:rsidRPr="00FE7593">
        <w:t xml:space="preserve">o 20.9 </w:t>
      </w:r>
      <w:r w:rsidR="00134991" w:rsidRPr="00FE7593">
        <w:t>mg</w:t>
      </w:r>
      <w:r w:rsidR="00134991">
        <w:sym w:font="Symbol" w:char="F0D7"/>
      </w:r>
      <w:r w:rsidR="00134991" w:rsidRPr="00FE7593">
        <w:t>L</w:t>
      </w:r>
      <w:r w:rsidR="00134991">
        <w:rPr>
          <w:vertAlign w:val="superscript"/>
        </w:rPr>
        <w:t>-1</w:t>
      </w:r>
      <w:r w:rsidRPr="00FE7593">
        <w:t xml:space="preserve"> in the effluent from day 54 to day 57. </w:t>
      </w:r>
    </w:p>
    <w:p w14:paraId="6D18C86A" w14:textId="57D5B0E6" w:rsidR="00134991" w:rsidRDefault="00FE7593" w:rsidP="00532FD6">
      <w:pPr>
        <w:pStyle w:val="CETListbullets"/>
        <w:ind w:left="0" w:firstLine="0"/>
      </w:pPr>
      <w:proofErr w:type="gramStart"/>
      <w:r w:rsidRPr="00FE7593">
        <w:t>Cr(</w:t>
      </w:r>
      <w:proofErr w:type="gramEnd"/>
      <w:r w:rsidRPr="00FE7593">
        <w:t xml:space="preserve">VI) concentration in the effluent continued to increase up to 23.1 </w:t>
      </w:r>
      <w:r w:rsidR="00134991" w:rsidRPr="00FE7593">
        <w:t>mg</w:t>
      </w:r>
      <w:r w:rsidR="00134991">
        <w:sym w:font="Symbol" w:char="F0D7"/>
      </w:r>
      <w:r w:rsidR="00134991" w:rsidRPr="00FE7593">
        <w:t>L</w:t>
      </w:r>
      <w:r w:rsidR="00134991">
        <w:rPr>
          <w:vertAlign w:val="superscript"/>
        </w:rPr>
        <w:t>-1</w:t>
      </w:r>
      <w:r w:rsidRPr="00FE7593">
        <w:t xml:space="preserve"> in day 61 which is equivalent to 38% Cr(VI) removal. This increase in </w:t>
      </w:r>
      <w:proofErr w:type="gramStart"/>
      <w:r w:rsidRPr="00FE7593">
        <w:t>Cr(</w:t>
      </w:r>
      <w:proofErr w:type="gramEnd"/>
      <w:r w:rsidRPr="00FE7593">
        <w:t xml:space="preserve">VI) concentration in the effluent was attributed to the depletion of the carbon source from the sludge. Microorganisms utilize a variety of organic carbon sources, either as an energy source or as an electron donor to facilitate </w:t>
      </w:r>
      <w:proofErr w:type="gramStart"/>
      <w:r w:rsidRPr="00FE7593">
        <w:t>Cr(</w:t>
      </w:r>
      <w:proofErr w:type="gramEnd"/>
      <w:r w:rsidRPr="00FE7593">
        <w:t xml:space="preserve">VI) </w:t>
      </w:r>
      <w:proofErr w:type="spellStart"/>
      <w:r w:rsidRPr="00FE7593">
        <w:t>bioreduction</w:t>
      </w:r>
      <w:proofErr w:type="spellEnd"/>
      <w:r w:rsidR="00134991">
        <w:t xml:space="preserve"> </w:t>
      </w:r>
      <w:r w:rsidR="00134991" w:rsidRPr="00134991">
        <w:t>(Han et al., 2021).</w:t>
      </w:r>
      <w:r w:rsidRPr="00FE7593">
        <w:t xml:space="preserve"> </w:t>
      </w:r>
      <w:r w:rsidR="00134991" w:rsidRPr="00134991">
        <w:t xml:space="preserve">Han et al. </w:t>
      </w:r>
      <w:r w:rsidR="00134991">
        <w:t>(</w:t>
      </w:r>
      <w:r w:rsidR="00134991" w:rsidRPr="00134991">
        <w:t>2021)</w:t>
      </w:r>
      <w:r w:rsidR="00134991">
        <w:t xml:space="preserve"> </w:t>
      </w:r>
      <w:r w:rsidRPr="00FE7593">
        <w:t xml:space="preserve">further explained that organic carbon sources play an important role in enhancing </w:t>
      </w:r>
      <w:proofErr w:type="gramStart"/>
      <w:r w:rsidRPr="00FE7593">
        <w:t>Cr(</w:t>
      </w:r>
      <w:proofErr w:type="gramEnd"/>
      <w:r w:rsidRPr="00FE7593">
        <w:t xml:space="preserve">VI) </w:t>
      </w:r>
      <w:proofErr w:type="spellStart"/>
      <w:r w:rsidRPr="00FE7593">
        <w:t>bioreduction</w:t>
      </w:r>
      <w:proofErr w:type="spellEnd"/>
      <w:r w:rsidRPr="00FE7593">
        <w:t xml:space="preserve"> by the stimulation of microorganisms for providing more electron donors.</w:t>
      </w:r>
    </w:p>
    <w:p w14:paraId="05DA2382" w14:textId="5FB991BC" w:rsidR="00600535" w:rsidRPr="00B57B36" w:rsidRDefault="00532FD6" w:rsidP="00532FD6">
      <w:pPr>
        <w:pStyle w:val="CETListbullets"/>
        <w:ind w:left="0" w:firstLine="0"/>
      </w:pPr>
      <w:r w:rsidRPr="00532FD6">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gridCol w:w="4389"/>
      </w:tblGrid>
      <w:tr w:rsidR="00A60ADF" w14:paraId="5B6DE1AE" w14:textId="77777777" w:rsidTr="00A60ADF">
        <w:tc>
          <w:tcPr>
            <w:tcW w:w="4388" w:type="dxa"/>
          </w:tcPr>
          <w:p w14:paraId="403D085B" w14:textId="2D8F583E" w:rsidR="00743AD1" w:rsidRDefault="00743AD1" w:rsidP="00743AD1">
            <w:pPr>
              <w:pStyle w:val="CETCaption"/>
              <w:spacing w:before="0" w:after="0"/>
              <w:rPr>
                <w:rStyle w:val="CETCaptionCarattere"/>
                <w:i/>
              </w:rPr>
            </w:pPr>
            <w:r w:rsidRPr="00E7189F">
              <w:rPr>
                <w:noProof/>
                <w:snapToGrid w:val="0"/>
                <w:lang w:val="en-US" w:eastAsia="de-DE" w:bidi="en-US"/>
              </w:rPr>
              <w:drawing>
                <wp:inline distT="0" distB="0" distL="0" distR="0" wp14:anchorId="6F38FE17" wp14:editId="7878A1B4">
                  <wp:extent cx="2529840" cy="2420376"/>
                  <wp:effectExtent l="0" t="0" r="381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98471" cy="2486038"/>
                          </a:xfrm>
                          <a:prstGeom prst="rect">
                            <a:avLst/>
                          </a:prstGeom>
                          <a:noFill/>
                          <a:ln>
                            <a:noFill/>
                          </a:ln>
                        </pic:spPr>
                      </pic:pic>
                    </a:graphicData>
                  </a:graphic>
                </wp:inline>
              </w:drawing>
            </w:r>
          </w:p>
        </w:tc>
        <w:tc>
          <w:tcPr>
            <w:tcW w:w="4389" w:type="dxa"/>
          </w:tcPr>
          <w:p w14:paraId="007674DD" w14:textId="2D0926E4" w:rsidR="00743AD1" w:rsidRDefault="00743AD1" w:rsidP="00743AD1">
            <w:pPr>
              <w:pStyle w:val="CETCaption"/>
              <w:spacing w:before="0" w:after="0"/>
              <w:rPr>
                <w:rStyle w:val="CETCaptionCarattere"/>
                <w:i/>
              </w:rPr>
            </w:pPr>
          </w:p>
        </w:tc>
      </w:tr>
    </w:tbl>
    <w:p w14:paraId="7127210E" w14:textId="77777777" w:rsidR="005453E8" w:rsidRDefault="00600535" w:rsidP="00BD077D">
      <w:pPr>
        <w:pStyle w:val="CETCaption"/>
      </w:pPr>
      <w:r w:rsidRPr="00BD077D">
        <w:rPr>
          <w:rStyle w:val="CETCaptionCarattere"/>
          <w:i/>
        </w:rPr>
        <w:t xml:space="preserve">Figure </w:t>
      </w:r>
      <w:r w:rsidR="00A60ADF">
        <w:rPr>
          <w:rStyle w:val="CETCaptionCarattere"/>
          <w:i/>
        </w:rPr>
        <w:t>2</w:t>
      </w:r>
      <w:r w:rsidRPr="00BD077D">
        <w:rPr>
          <w:rStyle w:val="CETCaptionCarattere"/>
          <w:i/>
        </w:rPr>
        <w:t xml:space="preserve">: </w:t>
      </w:r>
      <w:r w:rsidR="00A60ADF" w:rsidRPr="00A60ADF">
        <w:t xml:space="preserve">Phylogenetic tree constructed by neighbour-joining algorithm based on the partial 16S rRNA gene sequences and 1000 bootstrap replicates, showing the microbial diversity of </w:t>
      </w:r>
      <w:proofErr w:type="gramStart"/>
      <w:r w:rsidR="00A60ADF" w:rsidRPr="00A60ADF">
        <w:t>Cr(</w:t>
      </w:r>
      <w:proofErr w:type="gramEnd"/>
      <w:r w:rsidR="00A60ADF" w:rsidRPr="00A60ADF">
        <w:t>VI) reducing consortium from Sludge C under aerobic conditions</w:t>
      </w:r>
    </w:p>
    <w:p w14:paraId="6C970D89" w14:textId="77279C27" w:rsidR="005453E8" w:rsidRDefault="005453E8" w:rsidP="005453E8">
      <w:pPr>
        <w:pStyle w:val="CETBodytext"/>
      </w:pPr>
      <w:r>
        <w:rPr>
          <w:noProof/>
        </w:rPr>
        <mc:AlternateContent>
          <mc:Choice Requires="wps">
            <w:drawing>
              <wp:anchor distT="0" distB="0" distL="114300" distR="114300" simplePos="0" relativeHeight="251659264" behindDoc="0" locked="0" layoutInCell="1" allowOverlap="1" wp14:anchorId="7B5B8819" wp14:editId="20105DDC">
                <wp:simplePos x="0" y="0"/>
                <wp:positionH relativeFrom="column">
                  <wp:posOffset>314071</wp:posOffset>
                </wp:positionH>
                <wp:positionV relativeFrom="paragraph">
                  <wp:posOffset>354965</wp:posOffset>
                </wp:positionV>
                <wp:extent cx="347345" cy="2190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347345" cy="219075"/>
                        </a:xfrm>
                        <a:prstGeom prst="rect">
                          <a:avLst/>
                        </a:prstGeom>
                        <a:noFill/>
                        <a:ln w="6350">
                          <a:noFill/>
                        </a:ln>
                      </wps:spPr>
                      <wps:txbx>
                        <w:txbxContent>
                          <w:p w14:paraId="6ACB2C59" w14:textId="7C76DDFF" w:rsidR="00490EB8" w:rsidRDefault="00490EB8">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B5B8819" id="_x0000_t202" coordsize="21600,21600" o:spt="202" path="m,l,21600r21600,l21600,xe">
                <v:stroke joinstyle="miter"/>
                <v:path gradientshapeok="t" o:connecttype="rect"/>
              </v:shapetype>
              <v:shape id="Text Box 11" o:spid="_x0000_s1026" type="#_x0000_t202" style="position:absolute;left:0;text-align:left;margin-left:24.75pt;margin-top:27.95pt;width:27.35pt;height:17.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" filled="f" stroked="f" strokeweight=".5pt">
                <v:textbox>
                  <w:txbxContent>
                    <w:p w14:paraId="6ACB2C59" w14:textId="7C76DDFF" w:rsidR="00490EB8" w:rsidRDefault="00490EB8">
                      <w:r>
                        <w:t>(a)</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5A5BA210" wp14:editId="459E7456">
                <wp:simplePos x="0" y="0"/>
                <wp:positionH relativeFrom="column">
                  <wp:posOffset>3041269</wp:posOffset>
                </wp:positionH>
                <wp:positionV relativeFrom="paragraph">
                  <wp:posOffset>321945</wp:posOffset>
                </wp:positionV>
                <wp:extent cx="347472" cy="219456"/>
                <wp:effectExtent l="0" t="0" r="0" b="0"/>
                <wp:wrapNone/>
                <wp:docPr id="12" name="Text Box 12"/>
                <wp:cNvGraphicFramePr/>
                <a:graphic xmlns:a="http://schemas.openxmlformats.org/drawingml/2006/main">
                  <a:graphicData uri="http://schemas.microsoft.com/office/word/2010/wordprocessingShape">
                    <wps:wsp>
                      <wps:cNvSpPr txBox="1"/>
                      <wps:spPr>
                        <a:xfrm>
                          <a:off x="0" y="0"/>
                          <a:ext cx="347472" cy="219456"/>
                        </a:xfrm>
                        <a:prstGeom prst="rect">
                          <a:avLst/>
                        </a:prstGeom>
                        <a:noFill/>
                        <a:ln w="6350">
                          <a:noFill/>
                        </a:ln>
                      </wps:spPr>
                      <wps:txbx>
                        <w:txbxContent>
                          <w:p w14:paraId="5CE117DB" w14:textId="07D75ECA" w:rsidR="00490EB8" w:rsidRDefault="00490EB8" w:rsidP="005453E8">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5BA210" id="Text Box 12" o:spid="_x0000_s1027" type="#_x0000_t202" style="position:absolute;left:0;text-align:left;margin-left:239.45pt;margin-top:25.35pt;width:27.35pt;height:17.3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" filled="f" stroked="f" strokeweight=".5pt">
                <v:textbox>
                  <w:txbxContent>
                    <w:p w14:paraId="5CE117DB" w14:textId="07D75ECA" w:rsidR="00490EB8" w:rsidRDefault="00490EB8" w:rsidP="005453E8">
                      <w:r>
                        <w:t>(b)</w:t>
                      </w:r>
                    </w:p>
                  </w:txbxContent>
                </v:textbox>
              </v:shape>
            </w:pict>
          </mc:Fallback>
        </mc:AlternateContent>
      </w:r>
      <w:r w:rsidRPr="003D7031">
        <w:rPr>
          <w:noProof/>
        </w:rPr>
        <w:drawing>
          <wp:inline distT="0" distB="0" distL="0" distR="0" wp14:anchorId="79EF32E2" wp14:editId="687FFA84">
            <wp:extent cx="2606040" cy="2203704"/>
            <wp:effectExtent l="0" t="0" r="3810" b="6350"/>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a:extLst>
                        <a:ext uri="{28A0092B-C50C-407E-A947-70E740481C1C}">
                          <a14:useLocalDpi xmlns:a14="http://schemas.microsoft.com/office/drawing/2010/main" val="0"/>
                        </a:ext>
                      </a:extLst>
                    </a:blip>
                    <a:srcRect l="3196" t="1549" r="23936" b="2729"/>
                    <a:stretch/>
                  </pic:blipFill>
                  <pic:spPr bwMode="auto">
                    <a:xfrm>
                      <a:off x="0" y="0"/>
                      <a:ext cx="2606040" cy="2203704"/>
                    </a:xfrm>
                    <a:prstGeom prst="rect">
                      <a:avLst/>
                    </a:prstGeom>
                    <a:noFill/>
                    <a:ln>
                      <a:noFill/>
                    </a:ln>
                    <a:extLst>
                      <a:ext uri="{53640926-AAD7-44D8-BBD7-CCE9431645EC}">
                        <a14:shadowObscured xmlns:a14="http://schemas.microsoft.com/office/drawing/2010/main"/>
                      </a:ext>
                    </a:extLst>
                  </pic:spPr>
                </pic:pic>
              </a:graphicData>
            </a:graphic>
          </wp:inline>
        </w:drawing>
      </w:r>
      <w:r w:rsidRPr="003D7031">
        <w:rPr>
          <w:noProof/>
        </w:rPr>
        <w:drawing>
          <wp:inline distT="0" distB="0" distL="0" distR="0" wp14:anchorId="10BA81E2" wp14:editId="5E156C1A">
            <wp:extent cx="2880028" cy="2231136"/>
            <wp:effectExtent l="0" t="0" r="0" b="0"/>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a:extLst>
                        <a:ext uri="{28A0092B-C50C-407E-A947-70E740481C1C}">
                          <a14:useLocalDpi xmlns:a14="http://schemas.microsoft.com/office/drawing/2010/main" val="0"/>
                        </a:ext>
                      </a:extLst>
                    </a:blip>
                    <a:srcRect l="2439" t="1956" r="21371" b="4460"/>
                    <a:stretch/>
                  </pic:blipFill>
                  <pic:spPr bwMode="auto">
                    <a:xfrm>
                      <a:off x="0" y="0"/>
                      <a:ext cx="2888645" cy="2237811"/>
                    </a:xfrm>
                    <a:prstGeom prst="rect">
                      <a:avLst/>
                    </a:prstGeom>
                    <a:noFill/>
                    <a:ln>
                      <a:noFill/>
                    </a:ln>
                    <a:extLst>
                      <a:ext uri="{53640926-AAD7-44D8-BBD7-CCE9431645EC}">
                        <a14:shadowObscured xmlns:a14="http://schemas.microsoft.com/office/drawing/2010/main"/>
                      </a:ext>
                    </a:extLst>
                  </pic:spPr>
                </pic:pic>
              </a:graphicData>
            </a:graphic>
          </wp:inline>
        </w:drawing>
      </w:r>
    </w:p>
    <w:p w14:paraId="6DB0171E" w14:textId="623422EC" w:rsidR="005453E8" w:rsidRDefault="005453E8" w:rsidP="005453E8">
      <w:pPr>
        <w:pStyle w:val="CETCaption"/>
      </w:pPr>
      <w:r w:rsidRPr="00BD077D">
        <w:rPr>
          <w:rStyle w:val="CETCaptionCarattere"/>
          <w:i/>
        </w:rPr>
        <w:t xml:space="preserve">Figure </w:t>
      </w:r>
      <w:r>
        <w:rPr>
          <w:rStyle w:val="CETCaptionCarattere"/>
          <w:i/>
        </w:rPr>
        <w:t>3</w:t>
      </w:r>
      <w:r w:rsidRPr="00BD077D">
        <w:rPr>
          <w:rStyle w:val="CETCaptionCarattere"/>
          <w:i/>
        </w:rPr>
        <w:t xml:space="preserve">: </w:t>
      </w:r>
      <w:r w:rsidRPr="00A60ADF">
        <w:t xml:space="preserve">Phylogenetic tree constructed by neighbour-joining algorithm based on the partial 16S rRNA gene sequences and 1000 bootstrap replicates, showing the microbial diversity of </w:t>
      </w:r>
      <w:proofErr w:type="gramStart"/>
      <w:r w:rsidRPr="00A60ADF">
        <w:t>Cr(</w:t>
      </w:r>
      <w:proofErr w:type="gramEnd"/>
      <w:r w:rsidRPr="00A60ADF">
        <w:t>VI) reducing consortium from Sludge C under aerobic conditions</w:t>
      </w:r>
      <w:r w:rsidR="004A1304">
        <w:t>. The values reported were averages from (n = 2) each sample port and each sampling event. The standard error &lt;0.1% for the spectrometric method was too small to appear on the plots.</w:t>
      </w:r>
    </w:p>
    <w:p w14:paraId="7FCCA115" w14:textId="77777777" w:rsidR="005453E8" w:rsidRPr="003D7031" w:rsidRDefault="005453E8" w:rsidP="005453E8">
      <w:pPr>
        <w:pStyle w:val="CETBodytext"/>
      </w:pPr>
    </w:p>
    <w:p w14:paraId="65E73FAD" w14:textId="460962FB" w:rsidR="00600535" w:rsidRPr="00BD077D" w:rsidRDefault="00F7534E" w:rsidP="005453E8">
      <w:pPr>
        <w:pStyle w:val="CETCaption"/>
        <w:spacing w:before="0" w:after="0"/>
      </w:pPr>
      <w:r w:rsidRPr="00BD077D">
        <w:lastRenderedPageBreak/>
        <w:t xml:space="preserve"> </w:t>
      </w:r>
    </w:p>
    <w:p w14:paraId="11CED9AC" w14:textId="77777777" w:rsidR="00134991" w:rsidRDefault="00134991" w:rsidP="00134991">
      <w:pPr>
        <w:pStyle w:val="CETheadingx"/>
        <w:numPr>
          <w:ilvl w:val="0"/>
          <w:numId w:val="0"/>
        </w:numPr>
      </w:pPr>
    </w:p>
    <w:p w14:paraId="7382C781" w14:textId="6FE80699" w:rsidR="00600535" w:rsidRDefault="005453E8" w:rsidP="00F60F52">
      <w:pPr>
        <w:pStyle w:val="CETheadingx"/>
      </w:pPr>
      <w:r>
        <w:t>Mass Transport Advection-Reaction Model</w:t>
      </w:r>
    </w:p>
    <w:p w14:paraId="22E1EA90" w14:textId="753A7682" w:rsidR="005453E8" w:rsidRDefault="000B64FC" w:rsidP="005453E8">
      <w:pPr>
        <w:pStyle w:val="CETBodytext"/>
        <w:rPr>
          <w:bCs/>
          <w:lang w:val="en-GB"/>
        </w:rPr>
      </w:pPr>
      <w:r w:rsidRPr="000B64FC">
        <w:rPr>
          <w:bCs/>
          <w:lang w:val="en-GB"/>
        </w:rPr>
        <w:t>The mass transport of all dissolved species across the boundary layer (</w:t>
      </w:r>
      <w:proofErr w:type="spellStart"/>
      <w:r w:rsidRPr="000B64FC">
        <w:rPr>
          <w:bCs/>
          <w:i/>
          <w:lang w:val="en-GB"/>
        </w:rPr>
        <w:t>L</w:t>
      </w:r>
      <w:r w:rsidRPr="000B64FC">
        <w:rPr>
          <w:bCs/>
          <w:i/>
          <w:vertAlign w:val="subscript"/>
          <w:lang w:val="en-GB"/>
        </w:rPr>
        <w:t>w</w:t>
      </w:r>
      <w:proofErr w:type="spellEnd"/>
      <w:r w:rsidRPr="000B64FC">
        <w:rPr>
          <w:bCs/>
          <w:lang w:val="en-GB"/>
        </w:rPr>
        <w:t xml:space="preserve">) into </w:t>
      </w:r>
      <w:r w:rsidR="00CF2B75">
        <w:rPr>
          <w:bCs/>
          <w:lang w:val="en-GB"/>
        </w:rPr>
        <w:t xml:space="preserve">a soil particle </w:t>
      </w:r>
      <w:r w:rsidRPr="000B64FC">
        <w:rPr>
          <w:bCs/>
          <w:lang w:val="en-GB"/>
        </w:rPr>
        <w:t xml:space="preserve">is due to the random thermal motion of molecules at temperatures above absolute zero. </w:t>
      </w:r>
      <w:r w:rsidRPr="000B64FC">
        <w:rPr>
          <w:bCs/>
          <w:lang w:val="en-ZA"/>
        </w:rPr>
        <w:t xml:space="preserve">Mass transfer within the attached cell layer </w:t>
      </w:r>
      <w:r w:rsidRPr="000B64FC">
        <w:rPr>
          <w:bCs/>
          <w:lang w:val="en-GB"/>
        </w:rPr>
        <w:t xml:space="preserve">follows </w:t>
      </w:r>
      <w:r w:rsidRPr="00CF2B75">
        <w:rPr>
          <w:bCs/>
          <w:i/>
          <w:lang w:val="en-GB"/>
        </w:rPr>
        <w:t>Fick’s law</w:t>
      </w:r>
      <w:r w:rsidRPr="000B64FC">
        <w:rPr>
          <w:bCs/>
          <w:lang w:val="en-GB"/>
        </w:rPr>
        <w:t xml:space="preserve"> of diffusion. The mass transfer is a function of external mass transfer resistance (</w:t>
      </w:r>
      <w:proofErr w:type="spellStart"/>
      <w:r w:rsidRPr="000B64FC">
        <w:rPr>
          <w:bCs/>
          <w:i/>
          <w:lang w:val="en-GB"/>
        </w:rPr>
        <w:t>k</w:t>
      </w:r>
      <w:r w:rsidRPr="000B64FC">
        <w:rPr>
          <w:bCs/>
          <w:i/>
          <w:vertAlign w:val="subscript"/>
          <w:lang w:val="en-GB"/>
        </w:rPr>
        <w:t>L</w:t>
      </w:r>
      <w:proofErr w:type="spellEnd"/>
      <w:r w:rsidRPr="000B64FC">
        <w:rPr>
          <w:bCs/>
          <w:lang w:val="en-GB"/>
        </w:rPr>
        <w:t>) across the</w:t>
      </w:r>
      <w:r w:rsidR="00CF2B75">
        <w:rPr>
          <w:bCs/>
          <w:lang w:val="en-GB"/>
        </w:rPr>
        <w:t xml:space="preserve"> heterogeneous-film</w:t>
      </w:r>
      <w:r w:rsidRPr="000B64FC">
        <w:rPr>
          <w:bCs/>
          <w:lang w:val="en-GB"/>
        </w:rPr>
        <w:t xml:space="preserve"> </w:t>
      </w:r>
      <w:r w:rsidR="00CF2B75">
        <w:rPr>
          <w:bCs/>
          <w:lang w:val="en-GB"/>
        </w:rPr>
        <w:t>inter</w:t>
      </w:r>
      <w:r w:rsidRPr="000B64FC">
        <w:rPr>
          <w:bCs/>
          <w:lang w:val="en-GB"/>
        </w:rPr>
        <w:t xml:space="preserve">face area </w:t>
      </w:r>
      <w:r w:rsidR="00CF2B75">
        <w:rPr>
          <w:bCs/>
          <w:lang w:val="en-GB"/>
        </w:rPr>
        <w:t>into the</w:t>
      </w:r>
      <w:r w:rsidRPr="000B64FC">
        <w:rPr>
          <w:bCs/>
          <w:lang w:val="en-GB"/>
        </w:rPr>
        <w:t xml:space="preserve"> bulk </w:t>
      </w:r>
      <w:r w:rsidR="00CF2B75">
        <w:rPr>
          <w:bCs/>
          <w:lang w:val="en-GB"/>
        </w:rPr>
        <w:t>liquid</w:t>
      </w:r>
      <w:r w:rsidRPr="000B64FC">
        <w:rPr>
          <w:bCs/>
          <w:lang w:val="en-GB"/>
        </w:rPr>
        <w:t xml:space="preserve"> </w:t>
      </w:r>
      <w:r w:rsidR="00CF2B75">
        <w:rPr>
          <w:bCs/>
          <w:lang w:val="en-GB"/>
        </w:rPr>
        <w:t>a</w:t>
      </w:r>
      <w:r w:rsidRPr="000B64FC">
        <w:rPr>
          <w:bCs/>
          <w:lang w:val="en-GB"/>
        </w:rPr>
        <w:t>s described by Equation</w:t>
      </w:r>
      <w:r w:rsidR="00CF2B75">
        <w:rPr>
          <w:bCs/>
          <w:lang w:val="en-GB"/>
        </w:rPr>
        <w:t xml:space="preserve"> 1.</w:t>
      </w:r>
    </w:p>
    <w:tbl>
      <w:tblPr>
        <w:tblW w:w="5000" w:type="pct"/>
        <w:tblLook w:val="04A0" w:firstRow="1" w:lastRow="0" w:firstColumn="1" w:lastColumn="0" w:noHBand="0" w:noVBand="1"/>
      </w:tblPr>
      <w:tblGrid>
        <w:gridCol w:w="7994"/>
        <w:gridCol w:w="802"/>
      </w:tblGrid>
      <w:tr w:rsidR="00CF2B75" w:rsidRPr="00B57B36" w14:paraId="073B6648" w14:textId="77777777" w:rsidTr="00CF2B75">
        <w:tc>
          <w:tcPr>
            <w:tcW w:w="7986" w:type="dxa"/>
            <w:shd w:val="clear" w:color="auto" w:fill="auto"/>
            <w:vAlign w:val="center"/>
          </w:tcPr>
          <w:p w14:paraId="396C9B7C" w14:textId="21D00045" w:rsidR="00CF2B75" w:rsidRPr="00B57B36" w:rsidRDefault="00CF2B75" w:rsidP="00490EB8">
            <w:pPr>
              <w:pStyle w:val="CETEquation"/>
            </w:pPr>
            <w:r w:rsidRPr="00CF2B75">
              <w:rPr>
                <w:position w:val="-28"/>
              </w:rPr>
              <w:object w:dxaOrig="3879" w:dyaOrig="620" w14:anchorId="0CAA32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1pt;height:31.3pt" o:ole="">
                  <v:imagedata r:id="rId14" o:title=""/>
                </v:shape>
                <o:OLEObject Type="Embed" ProgID="Equation.DSMT4" ShapeID="_x0000_i1025" DrawAspect="Content" ObjectID="_1748178896" r:id="rId15"/>
              </w:object>
            </w:r>
          </w:p>
        </w:tc>
        <w:tc>
          <w:tcPr>
            <w:tcW w:w="801" w:type="dxa"/>
            <w:shd w:val="clear" w:color="auto" w:fill="auto"/>
            <w:vAlign w:val="center"/>
          </w:tcPr>
          <w:p w14:paraId="1695ADDB" w14:textId="77777777" w:rsidR="00CF2B75" w:rsidRPr="00B57B36" w:rsidRDefault="00CF2B75" w:rsidP="00490EB8">
            <w:pPr>
              <w:pStyle w:val="CETEquation"/>
              <w:jc w:val="right"/>
            </w:pPr>
            <w:r w:rsidRPr="00B57B36">
              <w:t>(1)</w:t>
            </w:r>
          </w:p>
        </w:tc>
      </w:tr>
    </w:tbl>
    <w:p w14:paraId="7A73A7E9" w14:textId="66752D9B" w:rsidR="00CF2B75" w:rsidRDefault="00CF2B75" w:rsidP="00B63AC4">
      <w:pPr>
        <w:pStyle w:val="CETBodytext"/>
        <w:rPr>
          <w:bCs/>
          <w:lang w:val="en-GB"/>
        </w:rPr>
      </w:pPr>
      <w:r w:rsidRPr="00CF2B75">
        <w:rPr>
          <w:bCs/>
          <w:lang w:val="en-ZA"/>
        </w:rPr>
        <w:t xml:space="preserve">where: </w:t>
      </w:r>
      <w:proofErr w:type="spellStart"/>
      <w:r w:rsidRPr="00CF2B75">
        <w:rPr>
          <w:bCs/>
          <w:i/>
          <w:iCs/>
          <w:lang w:val="en-ZA"/>
        </w:rPr>
        <w:t>k</w:t>
      </w:r>
      <w:r w:rsidRPr="00CF2B75">
        <w:rPr>
          <w:bCs/>
          <w:i/>
          <w:iCs/>
          <w:vertAlign w:val="subscript"/>
          <w:lang w:val="en-ZA"/>
        </w:rPr>
        <w:t>L</w:t>
      </w:r>
      <w:proofErr w:type="spellEnd"/>
      <w:r w:rsidRPr="00CF2B75">
        <w:rPr>
          <w:bCs/>
          <w:lang w:val="en-ZA"/>
        </w:rPr>
        <w:t xml:space="preserve"> is the dispersion coefficient of </w:t>
      </w:r>
      <w:proofErr w:type="gramStart"/>
      <w:r w:rsidRPr="00CF2B75">
        <w:rPr>
          <w:bCs/>
          <w:lang w:val="en-ZA"/>
        </w:rPr>
        <w:t>Cr(</w:t>
      </w:r>
      <w:proofErr w:type="gramEnd"/>
      <w:r w:rsidRPr="00CF2B75">
        <w:rPr>
          <w:bCs/>
          <w:lang w:val="en-ZA"/>
        </w:rPr>
        <w:t>VI) in water (</w:t>
      </w:r>
      <w:r w:rsidRPr="00CF2B75">
        <w:rPr>
          <w:bCs/>
          <w:i/>
          <w:iCs/>
          <w:lang w:val="en-ZA"/>
        </w:rPr>
        <w:t>L</w:t>
      </w:r>
      <w:r w:rsidRPr="00CF2B75">
        <w:rPr>
          <w:bCs/>
          <w:i/>
          <w:iCs/>
          <w:vertAlign w:val="superscript"/>
          <w:lang w:val="en-ZA"/>
        </w:rPr>
        <w:t>2</w:t>
      </w:r>
      <w:r w:rsidRPr="00CF2B75">
        <w:rPr>
          <w:bCs/>
          <w:i/>
          <w:iCs/>
          <w:lang w:val="en-ZA"/>
        </w:rPr>
        <w:t>T</w:t>
      </w:r>
      <w:r w:rsidRPr="00CF2B75">
        <w:rPr>
          <w:bCs/>
          <w:i/>
          <w:iCs/>
          <w:vertAlign w:val="superscript"/>
          <w:lang w:val="en-ZA"/>
        </w:rPr>
        <w:t>-</w:t>
      </w:r>
      <w:r w:rsidRPr="00CF2B75">
        <w:rPr>
          <w:bCs/>
          <w:i/>
          <w:vertAlign w:val="superscript"/>
          <w:lang w:val="en-ZA"/>
        </w:rPr>
        <w:t>1</w:t>
      </w:r>
      <w:r w:rsidRPr="00CF2B75">
        <w:rPr>
          <w:bCs/>
          <w:lang w:val="en-ZA"/>
        </w:rPr>
        <w:t xml:space="preserve">);  </w:t>
      </w:r>
      <w:proofErr w:type="spellStart"/>
      <w:r w:rsidRPr="00CF2B75">
        <w:rPr>
          <w:bCs/>
          <w:i/>
          <w:iCs/>
          <w:lang w:val="en-ZA"/>
        </w:rPr>
        <w:t>L</w:t>
      </w:r>
      <w:r w:rsidRPr="00CF2B75">
        <w:rPr>
          <w:bCs/>
          <w:i/>
          <w:iCs/>
          <w:vertAlign w:val="subscript"/>
          <w:lang w:val="en-ZA"/>
        </w:rPr>
        <w:t>w</w:t>
      </w:r>
      <w:proofErr w:type="spellEnd"/>
      <w:r w:rsidRPr="00CF2B75">
        <w:rPr>
          <w:bCs/>
          <w:i/>
          <w:iCs/>
          <w:lang w:val="en-ZA"/>
        </w:rPr>
        <w:t xml:space="preserve"> </w:t>
      </w:r>
      <w:r w:rsidRPr="00CF2B75">
        <w:rPr>
          <w:bCs/>
          <w:lang w:val="en-ZA"/>
        </w:rPr>
        <w:t xml:space="preserve">is the </w:t>
      </w:r>
      <w:r>
        <w:rPr>
          <w:bCs/>
          <w:lang w:val="en-ZA"/>
        </w:rPr>
        <w:t>heterogeneous film thickness</w:t>
      </w:r>
      <w:r w:rsidRPr="00CF2B75">
        <w:rPr>
          <w:bCs/>
          <w:lang w:val="en-ZA"/>
        </w:rPr>
        <w:t xml:space="preserve"> (</w:t>
      </w:r>
      <w:r w:rsidRPr="00CF2B75">
        <w:rPr>
          <w:bCs/>
          <w:i/>
          <w:iCs/>
          <w:lang w:val="en-ZA"/>
        </w:rPr>
        <w:t>L</w:t>
      </w:r>
      <w:r w:rsidRPr="00CF2B75">
        <w:rPr>
          <w:bCs/>
          <w:lang w:val="en-ZA"/>
        </w:rPr>
        <w:t xml:space="preserve">); </w:t>
      </w:r>
      <w:proofErr w:type="spellStart"/>
      <w:r w:rsidRPr="00CF2B75">
        <w:rPr>
          <w:bCs/>
          <w:i/>
          <w:lang w:val="en-ZA"/>
        </w:rPr>
        <w:t>A</w:t>
      </w:r>
      <w:r w:rsidRPr="00CF2B75">
        <w:rPr>
          <w:bCs/>
          <w:i/>
          <w:vertAlign w:val="subscript"/>
          <w:lang w:val="en-ZA"/>
        </w:rPr>
        <w:t>f</w:t>
      </w:r>
      <w:proofErr w:type="spellEnd"/>
      <w:r w:rsidRPr="00CF2B75">
        <w:rPr>
          <w:bCs/>
          <w:lang w:val="en-ZA"/>
        </w:rPr>
        <w:t xml:space="preserve"> is the biofilm surface area (L</w:t>
      </w:r>
      <w:r w:rsidRPr="00CF2B75">
        <w:rPr>
          <w:bCs/>
          <w:vertAlign w:val="superscript"/>
          <w:lang w:val="en-ZA"/>
        </w:rPr>
        <w:t>2</w:t>
      </w:r>
      <w:r w:rsidRPr="00CF2B75">
        <w:rPr>
          <w:bCs/>
          <w:lang w:val="en-ZA"/>
        </w:rPr>
        <w:t xml:space="preserve">); </w:t>
      </w:r>
      <w:bookmarkStart w:id="11" w:name="_Hlk96896410"/>
      <w:bookmarkStart w:id="12" w:name="_Hlk96895569"/>
      <w:proofErr w:type="spellStart"/>
      <w:r w:rsidRPr="00CF2B75">
        <w:rPr>
          <w:bCs/>
          <w:i/>
          <w:iCs/>
          <w:lang w:val="en-ZA"/>
        </w:rPr>
        <w:t>C</w:t>
      </w:r>
      <w:r w:rsidRPr="00CF2B75">
        <w:rPr>
          <w:bCs/>
          <w:i/>
          <w:iCs/>
          <w:vertAlign w:val="subscript"/>
          <w:lang w:val="en-ZA"/>
        </w:rPr>
        <w:t>b</w:t>
      </w:r>
      <w:bookmarkEnd w:id="11"/>
      <w:proofErr w:type="spellEnd"/>
      <w:r w:rsidRPr="00CF2B75">
        <w:rPr>
          <w:bCs/>
          <w:i/>
          <w:iCs/>
          <w:lang w:val="en-ZA"/>
        </w:rPr>
        <w:t xml:space="preserve"> </w:t>
      </w:r>
      <w:r w:rsidRPr="00CF2B75">
        <w:rPr>
          <w:bCs/>
          <w:lang w:val="en-ZA"/>
        </w:rPr>
        <w:t xml:space="preserve">is the </w:t>
      </w:r>
      <w:bookmarkEnd w:id="12"/>
      <w:r w:rsidRPr="00CF2B75">
        <w:rPr>
          <w:bCs/>
          <w:lang w:val="en-ZA"/>
        </w:rPr>
        <w:t xml:space="preserve">bulk liquid Cr(VI) concentration </w:t>
      </w:r>
      <w:r w:rsidRPr="00CF2B75">
        <w:rPr>
          <w:bCs/>
          <w:lang w:val="en-GB"/>
        </w:rPr>
        <w:t xml:space="preserve">at time, </w:t>
      </w:r>
      <w:r w:rsidRPr="00CF2B75">
        <w:rPr>
          <w:bCs/>
          <w:i/>
          <w:lang w:val="en-GB"/>
        </w:rPr>
        <w:t xml:space="preserve">t </w:t>
      </w:r>
      <w:r w:rsidRPr="00CF2B75">
        <w:rPr>
          <w:bCs/>
          <w:lang w:val="en-GB"/>
        </w:rPr>
        <w:t>(</w:t>
      </w:r>
      <w:r w:rsidRPr="00CF2B75">
        <w:rPr>
          <w:bCs/>
          <w:lang w:val="en-ZA"/>
        </w:rPr>
        <w:t xml:space="preserve"> (</w:t>
      </w:r>
      <w:r w:rsidRPr="00CF2B75">
        <w:rPr>
          <w:bCs/>
          <w:i/>
          <w:lang w:val="en-ZA"/>
        </w:rPr>
        <w:t>ML</w:t>
      </w:r>
      <w:r w:rsidRPr="00CF2B75">
        <w:rPr>
          <w:bCs/>
          <w:vertAlign w:val="superscript"/>
          <w:lang w:val="en-ZA"/>
        </w:rPr>
        <w:t>-3</w:t>
      </w:r>
      <w:r w:rsidRPr="00CF2B75">
        <w:rPr>
          <w:bCs/>
          <w:lang w:val="en-ZA"/>
        </w:rPr>
        <w:t>)</w:t>
      </w:r>
      <w:r w:rsidRPr="00CF2B75">
        <w:rPr>
          <w:bCs/>
          <w:lang w:val="en-GB"/>
        </w:rPr>
        <w:t>;</w:t>
      </w:r>
      <w:bookmarkStart w:id="13" w:name="_Hlk96896431"/>
      <w:r w:rsidRPr="00CF2B75">
        <w:rPr>
          <w:bCs/>
          <w:i/>
          <w:iCs/>
          <w:lang w:val="en-ZA"/>
        </w:rPr>
        <w:t xml:space="preserve"> C</w:t>
      </w:r>
      <w:r w:rsidRPr="00CF2B75">
        <w:rPr>
          <w:bCs/>
          <w:i/>
          <w:iCs/>
          <w:vertAlign w:val="subscript"/>
          <w:lang w:val="en-ZA"/>
        </w:rPr>
        <w:t>s</w:t>
      </w:r>
      <w:r w:rsidRPr="00CF2B75">
        <w:rPr>
          <w:bCs/>
          <w:i/>
          <w:iCs/>
          <w:lang w:val="en-ZA"/>
        </w:rPr>
        <w:t xml:space="preserve"> </w:t>
      </w:r>
      <w:bookmarkEnd w:id="13"/>
      <w:r w:rsidRPr="00CF2B75">
        <w:rPr>
          <w:bCs/>
          <w:lang w:val="en-ZA"/>
        </w:rPr>
        <w:t>is the</w:t>
      </w:r>
      <w:r w:rsidRPr="00CF2B75">
        <w:rPr>
          <w:bCs/>
          <w:i/>
          <w:lang w:val="en-GB"/>
        </w:rPr>
        <w:t xml:space="preserve"> </w:t>
      </w:r>
      <w:r w:rsidRPr="00CF2B75">
        <w:rPr>
          <w:bCs/>
          <w:lang w:val="en-GB"/>
        </w:rPr>
        <w:t>liquid-biofilm interface Cr(VI) concentration (</w:t>
      </w:r>
      <w:r w:rsidRPr="00CF2B75">
        <w:rPr>
          <w:bCs/>
          <w:i/>
          <w:lang w:val="en-GB"/>
        </w:rPr>
        <w:t>ML</w:t>
      </w:r>
      <w:r w:rsidRPr="00CF2B75">
        <w:rPr>
          <w:bCs/>
          <w:i/>
          <w:vertAlign w:val="superscript"/>
          <w:lang w:val="en-GB"/>
        </w:rPr>
        <w:t>-3</w:t>
      </w:r>
      <w:r w:rsidRPr="00CF2B75">
        <w:rPr>
          <w:bCs/>
          <w:lang w:val="en-GB"/>
        </w:rPr>
        <w:t>)</w:t>
      </w:r>
      <w:r w:rsidR="005217BE">
        <w:rPr>
          <w:bCs/>
          <w:lang w:val="en-GB"/>
        </w:rPr>
        <w:t xml:space="preserve">. The full derivation of the model is based on the PhD thesis of </w:t>
      </w:r>
      <w:proofErr w:type="spellStart"/>
      <w:r w:rsidR="005217BE">
        <w:rPr>
          <w:bCs/>
          <w:lang w:val="en-GB"/>
        </w:rPr>
        <w:t>Molowane</w:t>
      </w:r>
      <w:proofErr w:type="spellEnd"/>
      <w:r w:rsidR="005217BE">
        <w:rPr>
          <w:bCs/>
          <w:lang w:val="en-GB"/>
        </w:rPr>
        <w:t xml:space="preserve"> (2010). The Advection-Reaction model combined with non-competitive inhibited </w:t>
      </w:r>
      <w:proofErr w:type="gramStart"/>
      <w:r w:rsidR="005217BE">
        <w:rPr>
          <w:bCs/>
          <w:lang w:val="en-GB"/>
        </w:rPr>
        <w:t>Cr(</w:t>
      </w:r>
      <w:proofErr w:type="gramEnd"/>
      <w:r w:rsidR="005217BE">
        <w:rPr>
          <w:bCs/>
          <w:lang w:val="en-GB"/>
        </w:rPr>
        <w:t>VI) reduction rate kinetics fitted well to the experimental data as shown in Figure 4. The model was fitted using the numerical software AQUASIM 2.3 (EAWAG</w:t>
      </w:r>
      <w:r w:rsidR="00B63AC4" w:rsidRPr="00B63AC4">
        <w:t xml:space="preserve"> </w:t>
      </w:r>
      <w:proofErr w:type="spellStart"/>
      <w:r w:rsidR="00B63AC4" w:rsidRPr="00B63AC4">
        <w:rPr>
          <w:bCs/>
          <w:lang w:val="en-GB"/>
        </w:rPr>
        <w:t>D</w:t>
      </w:r>
      <w:r w:rsidR="00B63AC4">
        <w:rPr>
          <w:rFonts w:cs="Arial"/>
          <w:bCs/>
          <w:lang w:val="en-GB"/>
        </w:rPr>
        <w:t>ü</w:t>
      </w:r>
      <w:r w:rsidR="00B63AC4" w:rsidRPr="00B63AC4">
        <w:rPr>
          <w:bCs/>
          <w:lang w:val="en-GB"/>
        </w:rPr>
        <w:t>bbendorf</w:t>
      </w:r>
      <w:proofErr w:type="spellEnd"/>
      <w:r w:rsidR="00EF6D7E">
        <w:rPr>
          <w:bCs/>
          <w:lang w:val="en-GB"/>
        </w:rPr>
        <w:t xml:space="preserve">, </w:t>
      </w:r>
      <w:r w:rsidR="00B63AC4" w:rsidRPr="00B63AC4">
        <w:rPr>
          <w:bCs/>
          <w:lang w:val="en-GB"/>
        </w:rPr>
        <w:t>Switzerland</w:t>
      </w:r>
      <w:r w:rsidR="005217BE">
        <w:rPr>
          <w:bCs/>
          <w:lang w:val="en-GB"/>
        </w:rPr>
        <w:t xml:space="preserve">). </w:t>
      </w:r>
    </w:p>
    <w:p w14:paraId="002527C9" w14:textId="62A1A0D2" w:rsidR="005217BE" w:rsidRDefault="00ED2C12" w:rsidP="005453E8">
      <w:pPr>
        <w:pStyle w:val="CETBodytext"/>
        <w:rPr>
          <w:bCs/>
          <w:lang w:val="en-GB"/>
        </w:rPr>
      </w:pPr>
      <w:r>
        <w:rPr>
          <w:bCs/>
          <w:lang w:val="en-GB"/>
        </w:rPr>
        <w:t xml:space="preserve">The advection term is linked to the non-competitive reaction rate kinetic term derived earlier by Molokwane (2010). In the reaction term, the rate of change is linked to Michaelis-Menten kinetic model with a non-competitive inhibition on the maximum </w:t>
      </w:r>
      <w:proofErr w:type="gramStart"/>
      <w:r>
        <w:rPr>
          <w:bCs/>
          <w:lang w:val="en-GB"/>
        </w:rPr>
        <w:t>Cr(</w:t>
      </w:r>
      <w:proofErr w:type="gramEnd"/>
      <w:r>
        <w:rPr>
          <w:bCs/>
          <w:lang w:val="en-GB"/>
        </w:rPr>
        <w:t>VI) reduction rate kinetic (</w:t>
      </w:r>
      <w:r w:rsidRPr="007809AD">
        <w:rPr>
          <w:bCs/>
          <w:i/>
          <w:lang w:val="en-GB"/>
        </w:rPr>
        <w:t>k</w:t>
      </w:r>
      <w:r w:rsidRPr="007809AD">
        <w:rPr>
          <w:bCs/>
          <w:i/>
          <w:vertAlign w:val="subscript"/>
          <w:lang w:val="en-GB"/>
        </w:rPr>
        <w:t>m</w:t>
      </w:r>
      <w:r>
        <w:rPr>
          <w:bCs/>
          <w:lang w:val="en-GB"/>
        </w:rPr>
        <w:t>) and cell deacti</w:t>
      </w:r>
      <w:r w:rsidR="007809AD">
        <w:rPr>
          <w:bCs/>
          <w:lang w:val="en-GB"/>
        </w:rPr>
        <w:t>vation at high Cr(VI) concentration above the Cr(VI) reduction capacity of cells (</w:t>
      </w:r>
      <w:proofErr w:type="spellStart"/>
      <w:r w:rsidR="007809AD" w:rsidRPr="007809AD">
        <w:rPr>
          <w:bCs/>
          <w:i/>
          <w:lang w:val="en-GB"/>
        </w:rPr>
        <w:t>R</w:t>
      </w:r>
      <w:r w:rsidR="007809AD" w:rsidRPr="007809AD">
        <w:rPr>
          <w:bCs/>
          <w:i/>
          <w:vertAlign w:val="subscript"/>
          <w:lang w:val="en-GB"/>
        </w:rPr>
        <w:t>c</w:t>
      </w:r>
      <w:proofErr w:type="spellEnd"/>
      <w:r w:rsidR="007809AD">
        <w:rPr>
          <w:bCs/>
          <w:lang w:val="en-GB"/>
        </w:rPr>
        <w:t xml:space="preserve">). The </w:t>
      </w:r>
      <w:proofErr w:type="gramStart"/>
      <w:r w:rsidR="007809AD">
        <w:rPr>
          <w:bCs/>
          <w:lang w:val="en-GB"/>
        </w:rPr>
        <w:t>Cr(</w:t>
      </w:r>
      <w:proofErr w:type="gramEnd"/>
      <w:r w:rsidR="007809AD">
        <w:rPr>
          <w:bCs/>
          <w:lang w:val="en-GB"/>
        </w:rPr>
        <w:t>VI) reduction rate term is therefore introduced as shown in Equation 2:</w:t>
      </w:r>
    </w:p>
    <w:p w14:paraId="73E5D83E" w14:textId="77777777" w:rsidR="007809AD" w:rsidRDefault="007809AD" w:rsidP="005453E8">
      <w:pPr>
        <w:pStyle w:val="CETBodytext"/>
        <w:rPr>
          <w:bCs/>
          <w:lang w:val="en-GB"/>
        </w:rPr>
      </w:pPr>
    </w:p>
    <w:tbl>
      <w:tblPr>
        <w:tblW w:w="5000" w:type="pct"/>
        <w:tblLook w:val="04A0" w:firstRow="1" w:lastRow="0" w:firstColumn="1" w:lastColumn="0" w:noHBand="0" w:noVBand="1"/>
      </w:tblPr>
      <w:tblGrid>
        <w:gridCol w:w="7994"/>
        <w:gridCol w:w="802"/>
      </w:tblGrid>
      <w:tr w:rsidR="007809AD" w:rsidRPr="00B57B36" w14:paraId="5B8A8825" w14:textId="77777777" w:rsidTr="00490EB8">
        <w:tc>
          <w:tcPr>
            <w:tcW w:w="7986" w:type="dxa"/>
            <w:shd w:val="clear" w:color="auto" w:fill="auto"/>
            <w:vAlign w:val="center"/>
          </w:tcPr>
          <w:p w14:paraId="2EC459C6" w14:textId="4A340F1F" w:rsidR="007809AD" w:rsidRPr="00B57B36" w:rsidRDefault="007809AD" w:rsidP="00490EB8">
            <w:pPr>
              <w:pStyle w:val="CETEquation"/>
            </w:pPr>
            <w:r w:rsidRPr="00072AFA">
              <w:rPr>
                <w:position w:val="-32"/>
                <w:sz w:val="24"/>
                <w:szCs w:val="24"/>
              </w:rPr>
              <w:object w:dxaOrig="4580" w:dyaOrig="760" w14:anchorId="74D282D4">
                <v:shape id="_x0000_i1026" type="#_x0000_t75" style="width:221.75pt;height:36.5pt" o:ole="">
                  <v:imagedata r:id="rId16" o:title=""/>
                </v:shape>
                <o:OLEObject Type="Embed" ProgID="Equation.3" ShapeID="_x0000_i1026" DrawAspect="Content" ObjectID="_1748178897" r:id="rId17"/>
              </w:object>
            </w:r>
          </w:p>
        </w:tc>
        <w:tc>
          <w:tcPr>
            <w:tcW w:w="801" w:type="dxa"/>
            <w:shd w:val="clear" w:color="auto" w:fill="auto"/>
            <w:vAlign w:val="center"/>
          </w:tcPr>
          <w:p w14:paraId="3DB4C8DC" w14:textId="0663F1E6" w:rsidR="007809AD" w:rsidRPr="00B57B36" w:rsidRDefault="007809AD" w:rsidP="00490EB8">
            <w:pPr>
              <w:pStyle w:val="CETEquation"/>
              <w:jc w:val="right"/>
            </w:pPr>
            <w:r w:rsidRPr="00B57B36">
              <w:t>(</w:t>
            </w:r>
            <w:r>
              <w:t>2</w:t>
            </w:r>
            <w:r w:rsidRPr="00B57B36">
              <w:t>)</w:t>
            </w:r>
          </w:p>
        </w:tc>
      </w:tr>
    </w:tbl>
    <w:p w14:paraId="1967CC07" w14:textId="63E5EC24" w:rsidR="007809AD" w:rsidRDefault="007809AD" w:rsidP="005453E8">
      <w:pPr>
        <w:pStyle w:val="CETBodytext"/>
      </w:pPr>
      <w:r>
        <w:t xml:space="preserve">where: </w:t>
      </w:r>
      <w:r w:rsidRPr="00264F30">
        <w:rPr>
          <w:i/>
        </w:rPr>
        <w:t>k</w:t>
      </w:r>
      <w:r w:rsidRPr="00264F30">
        <w:rPr>
          <w:i/>
          <w:vertAlign w:val="subscript"/>
        </w:rPr>
        <w:t>m</w:t>
      </w:r>
      <w:r>
        <w:t xml:space="preserve"> = maximum </w:t>
      </w:r>
      <w:proofErr w:type="gramStart"/>
      <w:r>
        <w:t>Cr(</w:t>
      </w:r>
      <w:proofErr w:type="gramEnd"/>
      <w:r>
        <w:t>VI) reduction rate coefficient, d</w:t>
      </w:r>
      <w:r w:rsidRPr="00264F30">
        <w:rPr>
          <w:vertAlign w:val="superscript"/>
        </w:rPr>
        <w:t>-1</w:t>
      </w:r>
      <w:r>
        <w:t xml:space="preserve">, </w:t>
      </w:r>
      <w:r w:rsidRPr="00264F30">
        <w:rPr>
          <w:i/>
        </w:rPr>
        <w:t>X</w:t>
      </w:r>
      <w:r w:rsidRPr="00264F30">
        <w:rPr>
          <w:i/>
          <w:vertAlign w:val="subscript"/>
        </w:rPr>
        <w:t>0</w:t>
      </w:r>
      <w:r>
        <w:t xml:space="preserve"> = initial viable cell concentration, mg</w:t>
      </w:r>
      <w:r w:rsidR="00264F30">
        <w:sym w:font="Symbol" w:char="F0D7"/>
      </w:r>
      <w:r>
        <w:t>L</w:t>
      </w:r>
      <w:r w:rsidRPr="00264F30">
        <w:rPr>
          <w:vertAlign w:val="superscript"/>
        </w:rPr>
        <w:t>-1</w:t>
      </w:r>
      <w:r>
        <w:t xml:space="preserve">, </w:t>
      </w:r>
      <w:proofErr w:type="spellStart"/>
      <w:r w:rsidRPr="00264F30">
        <w:rPr>
          <w:i/>
        </w:rPr>
        <w:t>R</w:t>
      </w:r>
      <w:r w:rsidRPr="00264F30">
        <w:rPr>
          <w:i/>
          <w:vertAlign w:val="subscript"/>
        </w:rPr>
        <w:t>c</w:t>
      </w:r>
      <w:proofErr w:type="spellEnd"/>
      <w:r>
        <w:t xml:space="preserve"> = Cr(VI) reducing capacity of cells, mg</w:t>
      </w:r>
      <w:r w:rsidR="00264F30">
        <w:sym w:font="Symbol" w:char="F0D7"/>
      </w:r>
      <w:r>
        <w:t>mg</w:t>
      </w:r>
      <w:r w:rsidRPr="00264F30">
        <w:rPr>
          <w:vertAlign w:val="superscript"/>
        </w:rPr>
        <w:t>-1</w:t>
      </w:r>
      <w:r>
        <w:t xml:space="preserve">, </w:t>
      </w:r>
      <w:r w:rsidRPr="00264F30">
        <w:rPr>
          <w:i/>
        </w:rPr>
        <w:t>K</w:t>
      </w:r>
      <w:r>
        <w:t xml:space="preserve"> = non-competitive </w:t>
      </w:r>
      <w:r w:rsidR="00264F30">
        <w:t xml:space="preserve">Cr(VI) reduction coefficient (dimensionless), and </w:t>
      </w:r>
      <w:r w:rsidR="00264F30" w:rsidRPr="00264F30">
        <w:rPr>
          <w:i/>
        </w:rPr>
        <w:t>K</w:t>
      </w:r>
      <w:r w:rsidR="00264F30" w:rsidRPr="00264F30">
        <w:rPr>
          <w:i/>
          <w:vertAlign w:val="subscript"/>
        </w:rPr>
        <w:t>c</w:t>
      </w:r>
      <w:r w:rsidR="00264F30">
        <w:t xml:space="preserve"> = half-velocity coefficient, mg</w:t>
      </w:r>
      <w:r w:rsidR="00264F30">
        <w:sym w:font="Symbol" w:char="F0D7"/>
      </w:r>
      <w:r w:rsidR="00264F30">
        <w:t>L</w:t>
      </w:r>
      <w:r w:rsidR="00264F30" w:rsidRPr="00264F30">
        <w:rPr>
          <w:vertAlign w:val="superscript"/>
        </w:rPr>
        <w:t>-1</w:t>
      </w:r>
      <w:r w:rsidR="00264F30">
        <w:t>.</w:t>
      </w:r>
      <w:r>
        <w:t xml:space="preserve"> </w:t>
      </w:r>
    </w:p>
    <w:p w14:paraId="43062DB6" w14:textId="77777777" w:rsidR="007809AD" w:rsidRDefault="007809AD" w:rsidP="005453E8">
      <w:pPr>
        <w:pStyle w:val="CETBodytext"/>
      </w:pPr>
    </w:p>
    <w:p w14:paraId="68E018FC" w14:textId="4343C19F" w:rsidR="00CF2B75" w:rsidRDefault="00B63AC4" w:rsidP="005453E8">
      <w:pPr>
        <w:pStyle w:val="CETBodytext"/>
      </w:pPr>
      <w:r w:rsidRPr="00B63AC4">
        <w:rPr>
          <w:noProof/>
        </w:rPr>
        <w:drawing>
          <wp:inline distT="0" distB="0" distL="0" distR="0" wp14:anchorId="764CA2BB" wp14:editId="453CF9AB">
            <wp:extent cx="4626356" cy="2612886"/>
            <wp:effectExtent l="0" t="0" r="317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8">
                      <a:extLst>
                        <a:ext uri="{28A0092B-C50C-407E-A947-70E740481C1C}">
                          <a14:useLocalDpi xmlns:a14="http://schemas.microsoft.com/office/drawing/2010/main" val="0"/>
                        </a:ext>
                      </a:extLst>
                    </a:blip>
                    <a:srcRect l="1811"/>
                    <a:stretch/>
                  </pic:blipFill>
                  <pic:spPr bwMode="auto">
                    <a:xfrm>
                      <a:off x="0" y="0"/>
                      <a:ext cx="4655658" cy="2629436"/>
                    </a:xfrm>
                    <a:prstGeom prst="rect">
                      <a:avLst/>
                    </a:prstGeom>
                    <a:noFill/>
                    <a:ln>
                      <a:noFill/>
                    </a:ln>
                    <a:extLst>
                      <a:ext uri="{53640926-AAD7-44D8-BBD7-CCE9431645EC}">
                        <a14:shadowObscured xmlns:a14="http://schemas.microsoft.com/office/drawing/2010/main"/>
                      </a:ext>
                    </a:extLst>
                  </pic:spPr>
                </pic:pic>
              </a:graphicData>
            </a:graphic>
          </wp:inline>
        </w:drawing>
      </w:r>
    </w:p>
    <w:p w14:paraId="346E667F" w14:textId="6C2A50C7" w:rsidR="00CF2B75" w:rsidRDefault="00B63AC4" w:rsidP="005453E8">
      <w:pPr>
        <w:pStyle w:val="CETBodytext"/>
        <w:rPr>
          <w:i/>
        </w:rPr>
      </w:pPr>
      <w:r>
        <w:rPr>
          <w:i/>
        </w:rPr>
        <w:t xml:space="preserve">Figure 4: </w:t>
      </w:r>
      <w:r w:rsidRPr="00B63AC4">
        <w:rPr>
          <w:i/>
        </w:rPr>
        <w:t xml:space="preserve">Simulation and optimization of influent and effluent </w:t>
      </w:r>
      <w:proofErr w:type="gramStart"/>
      <w:r w:rsidRPr="00B63AC4">
        <w:rPr>
          <w:i/>
        </w:rPr>
        <w:t>Cr(</w:t>
      </w:r>
      <w:proofErr w:type="gramEnd"/>
      <w:r w:rsidRPr="00B63AC4">
        <w:rPr>
          <w:i/>
        </w:rPr>
        <w:t>VI) in the biological barrier</w:t>
      </w:r>
    </w:p>
    <w:p w14:paraId="2E69E1B6" w14:textId="2F04C548" w:rsidR="00EF6D7E" w:rsidRDefault="00EF6D7E" w:rsidP="005453E8">
      <w:pPr>
        <w:pStyle w:val="CETBodytext"/>
        <w:rPr>
          <w:i/>
        </w:rPr>
      </w:pPr>
    </w:p>
    <w:p w14:paraId="65111D8A" w14:textId="1B0D0508" w:rsidR="00EF6D7E" w:rsidRPr="00EF6D7E" w:rsidRDefault="00EF6D7E" w:rsidP="005453E8">
      <w:pPr>
        <w:pStyle w:val="CETBodytext"/>
      </w:pPr>
      <w:r w:rsidRPr="00EF6D7E">
        <w:rPr>
          <w:lang w:val="en-ZA"/>
        </w:rPr>
        <w:t xml:space="preserve">The developed model predicted the </w:t>
      </w:r>
      <w:proofErr w:type="gramStart"/>
      <w:r w:rsidRPr="00EF6D7E">
        <w:rPr>
          <w:lang w:val="en-ZA"/>
        </w:rPr>
        <w:t>Cr(</w:t>
      </w:r>
      <w:proofErr w:type="gramEnd"/>
      <w:r w:rsidRPr="00EF6D7E">
        <w:rPr>
          <w:lang w:val="en-ZA"/>
        </w:rPr>
        <w:t>VI) effluent well under various Cr(VI) influent concentration loadings (40–60 mg</w:t>
      </w:r>
      <w:r>
        <w:rPr>
          <w:lang w:val="en-ZA"/>
        </w:rPr>
        <w:sym w:font="Symbol" w:char="F0D7"/>
      </w:r>
      <w:r w:rsidRPr="00EF6D7E">
        <w:rPr>
          <w:lang w:val="en-ZA"/>
        </w:rPr>
        <w:t>L</w:t>
      </w:r>
      <w:r>
        <w:rPr>
          <w:vertAlign w:val="superscript"/>
          <w:lang w:val="en-ZA"/>
        </w:rPr>
        <w:t>-1</w:t>
      </w:r>
      <w:r w:rsidRPr="00EF6D7E">
        <w:rPr>
          <w:lang w:val="en-ZA"/>
        </w:rPr>
        <w:t xml:space="preserve">) with 99.6% confidence. Despite the fact, that the effluent </w:t>
      </w:r>
      <w:proofErr w:type="gramStart"/>
      <w:r w:rsidRPr="00EF6D7E">
        <w:rPr>
          <w:lang w:val="en-ZA"/>
        </w:rPr>
        <w:t>Cr(</w:t>
      </w:r>
      <w:proofErr w:type="gramEnd"/>
      <w:r w:rsidRPr="00EF6D7E">
        <w:rPr>
          <w:lang w:val="en-ZA"/>
        </w:rPr>
        <w:t>VI)</w:t>
      </w:r>
      <w:r>
        <w:rPr>
          <w:lang w:val="en-ZA"/>
        </w:rPr>
        <w:t xml:space="preserve"> </w:t>
      </w:r>
      <w:r w:rsidRPr="00EF6D7E">
        <w:rPr>
          <w:lang w:val="en-ZA"/>
        </w:rPr>
        <w:t xml:space="preserve">concentration trend in the reactor was successfully traced by the model, adjustments would be needed to take into account the loss of working volume and decreasing flow rate due to the growth of biomass in the reactor. The model modification may result in a proper application in engineered biological systems for the treatment of groundwater with higher </w:t>
      </w:r>
      <w:proofErr w:type="gramStart"/>
      <w:r w:rsidRPr="00EF6D7E">
        <w:rPr>
          <w:lang w:val="en-ZA"/>
        </w:rPr>
        <w:t>Cr(</w:t>
      </w:r>
      <w:proofErr w:type="gramEnd"/>
      <w:r w:rsidRPr="00EF6D7E">
        <w:rPr>
          <w:lang w:val="en-ZA"/>
        </w:rPr>
        <w:t>VI) concentrations and multiple toxic contaminants.</w:t>
      </w:r>
    </w:p>
    <w:p w14:paraId="68D26B83" w14:textId="77777777" w:rsidR="00600535" w:rsidRPr="00B57B36" w:rsidRDefault="00600535" w:rsidP="00600535">
      <w:pPr>
        <w:pStyle w:val="CETHeading1"/>
        <w:rPr>
          <w:lang w:val="en-GB"/>
        </w:rPr>
      </w:pPr>
      <w:r w:rsidRPr="00B57B36">
        <w:rPr>
          <w:lang w:val="en-GB"/>
        </w:rPr>
        <w:lastRenderedPageBreak/>
        <w:t>Conclusions</w:t>
      </w:r>
    </w:p>
    <w:p w14:paraId="23FF4C40" w14:textId="05D89DAF" w:rsidR="00B63AC4" w:rsidRPr="00E377D0" w:rsidRDefault="00EF6D7E" w:rsidP="00B63AC4">
      <w:pPr>
        <w:pStyle w:val="CETBodytext"/>
        <w:rPr>
          <w:rFonts w:eastAsia="SimSun"/>
        </w:rPr>
      </w:pPr>
      <w:r>
        <w:rPr>
          <w:lang w:val="en-GB"/>
        </w:rPr>
        <w:t xml:space="preserve">The study demonstrated that continuous self-replenishing </w:t>
      </w:r>
      <w:proofErr w:type="gramStart"/>
      <w:r>
        <w:rPr>
          <w:lang w:val="en-GB"/>
        </w:rPr>
        <w:t>Cr(</w:t>
      </w:r>
      <w:proofErr w:type="gramEnd"/>
      <w:r>
        <w:rPr>
          <w:lang w:val="en-GB"/>
        </w:rPr>
        <w:t xml:space="preserve">VI) reduction can be achieved to prevent contamination from flow groundwater in pristine surrounding aquatic ecosystems. A consortium culture containing mainly </w:t>
      </w:r>
      <w:r w:rsidRPr="00057089">
        <w:rPr>
          <w:i/>
          <w:lang w:val="en-GB"/>
        </w:rPr>
        <w:t>Bacilli</w:t>
      </w:r>
      <w:r>
        <w:rPr>
          <w:lang w:val="en-GB"/>
        </w:rPr>
        <w:t xml:space="preserve">, i.e., </w:t>
      </w:r>
      <w:r w:rsidRPr="00EF6D7E">
        <w:rPr>
          <w:i/>
          <w:lang w:val="en-GB"/>
        </w:rPr>
        <w:t xml:space="preserve">B. </w:t>
      </w:r>
      <w:proofErr w:type="spellStart"/>
      <w:r w:rsidRPr="00EF6D7E">
        <w:rPr>
          <w:i/>
          <w:lang w:val="en-GB"/>
        </w:rPr>
        <w:t>thirungiensis</w:t>
      </w:r>
      <w:proofErr w:type="spellEnd"/>
      <w:r>
        <w:rPr>
          <w:lang w:val="en-GB"/>
        </w:rPr>
        <w:t xml:space="preserve">, </w:t>
      </w:r>
      <w:r w:rsidRPr="00EF6D7E">
        <w:rPr>
          <w:i/>
          <w:lang w:val="en-GB"/>
        </w:rPr>
        <w:t>B. Cereus</w:t>
      </w:r>
      <w:r>
        <w:rPr>
          <w:lang w:val="en-GB"/>
        </w:rPr>
        <w:t xml:space="preserve">, and </w:t>
      </w:r>
      <w:r w:rsidRPr="00EF6D7E">
        <w:rPr>
          <w:i/>
          <w:lang w:val="en-GB"/>
        </w:rPr>
        <w:t xml:space="preserve">L. </w:t>
      </w:r>
      <w:proofErr w:type="spellStart"/>
      <w:r w:rsidRPr="00EF6D7E">
        <w:rPr>
          <w:i/>
          <w:lang w:val="en-GB"/>
        </w:rPr>
        <w:t>sphaerococcus</w:t>
      </w:r>
      <w:proofErr w:type="spellEnd"/>
      <w:r>
        <w:rPr>
          <w:lang w:val="en-GB"/>
        </w:rPr>
        <w:t xml:space="preserve"> was optimised in the laboratory and used to inoculate a </w:t>
      </w:r>
      <w:proofErr w:type="gramStart"/>
      <w:r>
        <w:rPr>
          <w:lang w:val="en-GB"/>
        </w:rPr>
        <w:t>Cr(</w:t>
      </w:r>
      <w:proofErr w:type="gramEnd"/>
      <w:r>
        <w:rPr>
          <w:lang w:val="en-GB"/>
        </w:rPr>
        <w:t xml:space="preserve">VI) reducing permeable reactive barrier. </w:t>
      </w:r>
      <w:bookmarkStart w:id="14" w:name="_Hlk98795378"/>
      <w:r>
        <w:rPr>
          <w:lang w:val="en-GB"/>
        </w:rPr>
        <w:t>The tested microbial barrier reduced up</w:t>
      </w:r>
      <w:r w:rsidRPr="00EF6D7E">
        <w:rPr>
          <w:lang w:val="en-GB"/>
        </w:rPr>
        <w:t xml:space="preserve"> 95.9% </w:t>
      </w:r>
      <w:r>
        <w:rPr>
          <w:lang w:val="en-GB"/>
        </w:rPr>
        <w:t xml:space="preserve">of </w:t>
      </w:r>
      <w:r w:rsidR="00057089">
        <w:rPr>
          <w:lang w:val="en-GB"/>
        </w:rPr>
        <w:t>80 mg</w:t>
      </w:r>
      <w:r w:rsidR="00057089">
        <w:rPr>
          <w:lang w:val="en-GB"/>
        </w:rPr>
        <w:sym w:font="Symbol" w:char="F0D7"/>
      </w:r>
      <w:r w:rsidR="00057089">
        <w:rPr>
          <w:lang w:val="en-GB"/>
        </w:rPr>
        <w:t>L</w:t>
      </w:r>
      <w:r w:rsidR="00057089">
        <w:rPr>
          <w:vertAlign w:val="superscript"/>
          <w:lang w:val="en-GB"/>
        </w:rPr>
        <w:t>-1</w:t>
      </w:r>
      <w:r w:rsidRPr="00EF6D7E">
        <w:rPr>
          <w:lang w:val="en-GB"/>
        </w:rPr>
        <w:t xml:space="preserve"> </w:t>
      </w:r>
      <w:proofErr w:type="gramStart"/>
      <w:r w:rsidR="00057089">
        <w:rPr>
          <w:lang w:val="en-GB"/>
        </w:rPr>
        <w:t>Cr(</w:t>
      </w:r>
      <w:proofErr w:type="gramEnd"/>
      <w:r w:rsidR="00057089">
        <w:rPr>
          <w:lang w:val="en-GB"/>
        </w:rPr>
        <w:t>VI) concentration over a 1 day HRT for</w:t>
      </w:r>
      <w:r w:rsidRPr="00EF6D7E">
        <w:rPr>
          <w:lang w:val="en-GB"/>
        </w:rPr>
        <w:t xml:space="preserve"> 90 day operational period. </w:t>
      </w:r>
      <w:bookmarkEnd w:id="14"/>
      <w:r w:rsidRPr="00EF6D7E">
        <w:rPr>
          <w:lang w:val="en-GB"/>
        </w:rPr>
        <w:t xml:space="preserve">The results suggest that the biological permeable reactive barrier technology using indigenous bacterial strains has potential application for </w:t>
      </w:r>
      <w:proofErr w:type="gramStart"/>
      <w:r w:rsidRPr="00EF6D7E">
        <w:rPr>
          <w:lang w:val="en-GB"/>
        </w:rPr>
        <w:t>Cr(</w:t>
      </w:r>
      <w:proofErr w:type="gramEnd"/>
      <w:r w:rsidRPr="00EF6D7E">
        <w:rPr>
          <w:lang w:val="en-GB"/>
        </w:rPr>
        <w:t>VI) remediation in contaminated environments</w:t>
      </w:r>
      <w:r w:rsidR="00057089">
        <w:rPr>
          <w:lang w:val="en-GB"/>
        </w:rPr>
        <w:t xml:space="preserve">. The study demonstrated the potential of using this technology to passively treated contaminated groundwater and avoiding high operation costs as is typically with pump-and-treat schemes. </w:t>
      </w:r>
      <w:bookmarkStart w:id="15" w:name="_Hlk137465526"/>
      <w:r w:rsidR="00775D0B">
        <w:rPr>
          <w:lang w:val="en-GB"/>
        </w:rPr>
        <w:t xml:space="preserve">In an extended study from the current study, </w:t>
      </w:r>
      <w:proofErr w:type="gramStart"/>
      <w:r w:rsidR="00775D0B">
        <w:rPr>
          <w:lang w:val="en-GB"/>
        </w:rPr>
        <w:t>The</w:t>
      </w:r>
      <w:proofErr w:type="gramEnd"/>
      <w:r w:rsidR="00775D0B">
        <w:rPr>
          <w:lang w:val="en-GB"/>
        </w:rPr>
        <w:t xml:space="preserve"> effect of trying to enhance the performance by using a degradable</w:t>
      </w:r>
      <w:r w:rsidR="00775D0B">
        <w:rPr>
          <w:lang w:val="en-GB"/>
        </w:rPr>
        <w:t xml:space="preserve"> carbon source (</w:t>
      </w:r>
      <w:r w:rsidR="00775D0B" w:rsidRPr="00EF6D7E">
        <w:rPr>
          <w:lang w:val="en-GB"/>
        </w:rPr>
        <w:t>glucose</w:t>
      </w:r>
      <w:r w:rsidR="00775D0B">
        <w:rPr>
          <w:lang w:val="en-GB"/>
        </w:rPr>
        <w:t>)</w:t>
      </w:r>
      <w:r w:rsidR="00775D0B" w:rsidRPr="00EF6D7E">
        <w:rPr>
          <w:lang w:val="en-GB"/>
        </w:rPr>
        <w:t xml:space="preserve"> </w:t>
      </w:r>
      <w:r w:rsidR="00775D0B">
        <w:rPr>
          <w:lang w:val="en-GB"/>
        </w:rPr>
        <w:t>only resulted in increased acidic conditions</w:t>
      </w:r>
      <w:r w:rsidR="00775D0B" w:rsidRPr="00EF6D7E">
        <w:rPr>
          <w:lang w:val="en-GB"/>
        </w:rPr>
        <w:t xml:space="preserve"> </w:t>
      </w:r>
      <w:r w:rsidR="00775D0B">
        <w:rPr>
          <w:lang w:val="en-GB"/>
        </w:rPr>
        <w:t>from pH</w:t>
      </w:r>
      <w:r w:rsidR="00775D0B" w:rsidRPr="00EF6D7E">
        <w:rPr>
          <w:lang w:val="en-GB"/>
        </w:rPr>
        <w:t xml:space="preserve"> 6.91 to below 5.5. </w:t>
      </w:r>
      <w:r w:rsidR="00775D0B">
        <w:rPr>
          <w:lang w:val="en-GB"/>
        </w:rPr>
        <w:t xml:space="preserve">The findings show that </w:t>
      </w:r>
      <w:proofErr w:type="gramStart"/>
      <w:r w:rsidR="00775D0B">
        <w:rPr>
          <w:lang w:val="en-GB"/>
        </w:rPr>
        <w:t>Cr(</w:t>
      </w:r>
      <w:proofErr w:type="gramEnd"/>
      <w:r w:rsidR="00775D0B">
        <w:rPr>
          <w:lang w:val="en-GB"/>
        </w:rPr>
        <w:t>VI) remediation can be achieved with natural organic materials (NOMs) found in soil and sludge without the need of adding an expensive purified carbon source</w:t>
      </w:r>
      <w:r w:rsidR="00775D0B" w:rsidRPr="00EF6D7E">
        <w:rPr>
          <w:lang w:val="en-GB"/>
        </w:rPr>
        <w:t>.</w:t>
      </w:r>
      <w:bookmarkEnd w:id="15"/>
    </w:p>
    <w:p w14:paraId="459D05E6" w14:textId="77777777" w:rsidR="00600535" w:rsidRPr="00B57B36" w:rsidRDefault="00600535" w:rsidP="00600535">
      <w:pPr>
        <w:pStyle w:val="CETAcknowledgementstitle"/>
      </w:pPr>
      <w:r w:rsidRPr="00B57B36">
        <w:t>Acknowledgments</w:t>
      </w:r>
    </w:p>
    <w:p w14:paraId="33F8138F" w14:textId="33274607" w:rsidR="00600535" w:rsidRPr="00B57B36" w:rsidRDefault="00AD6690" w:rsidP="00AD6690">
      <w:pPr>
        <w:pStyle w:val="CETBodytext"/>
        <w:rPr>
          <w:lang w:val="en-GB"/>
        </w:rPr>
      </w:pPr>
      <w:r w:rsidRPr="00AD6690">
        <w:rPr>
          <w:lang w:val="en-ZA"/>
        </w:rPr>
        <w:t>The research was funded through the National Research Foundation (NRF)</w:t>
      </w:r>
      <w:r w:rsidR="00057089">
        <w:rPr>
          <w:lang w:val="en-ZA"/>
        </w:rPr>
        <w:t xml:space="preserve"> –</w:t>
      </w:r>
      <w:r w:rsidRPr="00AD6690">
        <w:rPr>
          <w:lang w:val="en-ZA"/>
        </w:rPr>
        <w:t xml:space="preserve"> Grant</w:t>
      </w:r>
      <w:r w:rsidR="00057089">
        <w:rPr>
          <w:lang w:val="en-ZA"/>
        </w:rPr>
        <w:t>s</w:t>
      </w:r>
      <w:r w:rsidRPr="00AD6690">
        <w:rPr>
          <w:lang w:val="en-ZA"/>
        </w:rPr>
        <w:t xml:space="preserve"> No. </w:t>
      </w:r>
      <w:r w:rsidR="00A436DA" w:rsidRPr="00A436DA">
        <w:rPr>
          <w:lang w:val="en-ZA"/>
        </w:rPr>
        <w:t>SRUG2204072544</w:t>
      </w:r>
      <w:r w:rsidR="00057089">
        <w:rPr>
          <w:lang w:val="en-ZA"/>
        </w:rPr>
        <w:t xml:space="preserve">; </w:t>
      </w:r>
      <w:r w:rsidR="00057089" w:rsidRPr="00057089">
        <w:rPr>
          <w:lang w:val="en-ZA"/>
        </w:rPr>
        <w:t>IFR170214222643</w:t>
      </w:r>
      <w:r w:rsidR="00057089">
        <w:rPr>
          <w:lang w:val="en-ZA"/>
        </w:rPr>
        <w:t xml:space="preserve">; </w:t>
      </w:r>
      <w:r w:rsidR="00ED2C12" w:rsidRPr="00ED2C12">
        <w:rPr>
          <w:lang w:val="en-ZA"/>
        </w:rPr>
        <w:t>CSUR210111581519 and EQP210111581520</w:t>
      </w:r>
      <w:r w:rsidR="00ED2C12">
        <w:rPr>
          <w:lang w:val="en-ZA"/>
        </w:rPr>
        <w:t>,</w:t>
      </w:r>
      <w:r w:rsidRPr="00AD6690">
        <w:rPr>
          <w:lang w:val="en-ZA"/>
        </w:rPr>
        <w:t xml:space="preserve"> awarded to Prof Evans MN Chirwa of the University of</w:t>
      </w:r>
      <w:r>
        <w:rPr>
          <w:lang w:val="en-ZA"/>
        </w:rPr>
        <w:t xml:space="preserve"> </w:t>
      </w:r>
      <w:r w:rsidRPr="00AD6690">
        <w:rPr>
          <w:lang w:val="en-ZA"/>
        </w:rPr>
        <w:t xml:space="preserve">Pretoria, </w:t>
      </w:r>
      <w:r w:rsidR="00A436DA">
        <w:rPr>
          <w:lang w:val="en-ZA"/>
        </w:rPr>
        <w:t xml:space="preserve">and Rand Water Company (South Africa) through the Rand Water Chair </w:t>
      </w:r>
      <w:r w:rsidR="00197762">
        <w:rPr>
          <w:lang w:val="en-ZA"/>
        </w:rPr>
        <w:t xml:space="preserve">in Water Utilisation </w:t>
      </w:r>
      <w:r w:rsidR="00A436DA">
        <w:rPr>
          <w:lang w:val="en-ZA"/>
        </w:rPr>
        <w:t>Fund.</w:t>
      </w:r>
    </w:p>
    <w:p w14:paraId="4F1327F8" w14:textId="77777777" w:rsidR="00600535" w:rsidRPr="00B57B36" w:rsidRDefault="00600535" w:rsidP="00600535">
      <w:pPr>
        <w:pStyle w:val="CETReference"/>
      </w:pPr>
      <w:r w:rsidRPr="00B57B36">
        <w:t>References</w:t>
      </w:r>
    </w:p>
    <w:p w14:paraId="22E0D6F4" w14:textId="587935B4" w:rsidR="00A436DA" w:rsidRPr="00490EB8" w:rsidRDefault="00A436DA" w:rsidP="00A436DA">
      <w:pPr>
        <w:pStyle w:val="CETReferencetext"/>
        <w:ind w:left="360" w:hanging="360"/>
      </w:pPr>
      <w:r w:rsidRPr="00490EB8">
        <w:rPr>
          <w:lang w:val="en-US"/>
        </w:rPr>
        <w:t>APHA/AWWA/WEF, 2023</w:t>
      </w:r>
      <w:r w:rsidR="00A07090">
        <w:rPr>
          <w:lang w:val="en-US"/>
        </w:rPr>
        <w:t>,</w:t>
      </w:r>
      <w:r w:rsidRPr="00490EB8">
        <w:rPr>
          <w:lang w:val="en-US"/>
        </w:rPr>
        <w:t xml:space="preserve"> </w:t>
      </w:r>
      <w:r w:rsidRPr="00490EB8">
        <w:rPr>
          <w:iCs/>
        </w:rPr>
        <w:t>Standard Methods for the Examination of Water and Wastewater</w:t>
      </w:r>
      <w:r w:rsidRPr="00490EB8">
        <w:t xml:space="preserve">. In </w:t>
      </w:r>
      <w:proofErr w:type="spellStart"/>
      <w:r w:rsidRPr="00490EB8">
        <w:t>Lipps</w:t>
      </w:r>
      <w:proofErr w:type="spellEnd"/>
      <w:r w:rsidRPr="00490EB8">
        <w:t xml:space="preserve"> WC, Braun-Howland EB, Baxter TE, eds 24th ed., American Public Health Association, American Water Works Association, Water Environment Federation (APHA, AWWA, WEF). Washington DC.</w:t>
      </w:r>
    </w:p>
    <w:p w14:paraId="0842A26B" w14:textId="1A207E10" w:rsidR="00C02A95" w:rsidRDefault="00C02A95" w:rsidP="00A436DA">
      <w:pPr>
        <w:pStyle w:val="CETReferencetext"/>
        <w:ind w:left="360" w:hanging="360"/>
        <w:rPr>
          <w:lang w:val="en-US"/>
        </w:rPr>
      </w:pPr>
      <w:proofErr w:type="spellStart"/>
      <w:r w:rsidRPr="00C02A95">
        <w:rPr>
          <w:lang w:val="en-US"/>
        </w:rPr>
        <w:t>Bedemo</w:t>
      </w:r>
      <w:proofErr w:type="spellEnd"/>
      <w:r>
        <w:rPr>
          <w:lang w:val="en-US"/>
        </w:rPr>
        <w:t>,</w:t>
      </w:r>
      <w:r w:rsidRPr="00C02A95">
        <w:rPr>
          <w:lang w:val="en-US"/>
        </w:rPr>
        <w:t xml:space="preserve"> A</w:t>
      </w:r>
      <w:r>
        <w:rPr>
          <w:lang w:val="en-US"/>
        </w:rPr>
        <w:t>.</w:t>
      </w:r>
      <w:r w:rsidRPr="00C02A95">
        <w:rPr>
          <w:lang w:val="en-US"/>
        </w:rPr>
        <w:t xml:space="preserve">, </w:t>
      </w:r>
      <w:proofErr w:type="spellStart"/>
      <w:r w:rsidRPr="00C02A95">
        <w:rPr>
          <w:lang w:val="en-US"/>
        </w:rPr>
        <w:t>Chandravanshi</w:t>
      </w:r>
      <w:proofErr w:type="spellEnd"/>
      <w:r>
        <w:rPr>
          <w:lang w:val="en-US"/>
        </w:rPr>
        <w:t>,</w:t>
      </w:r>
      <w:r w:rsidRPr="00C02A95">
        <w:rPr>
          <w:lang w:val="en-US"/>
        </w:rPr>
        <w:t xml:space="preserve"> B</w:t>
      </w:r>
      <w:r>
        <w:rPr>
          <w:lang w:val="en-US"/>
        </w:rPr>
        <w:t>.</w:t>
      </w:r>
      <w:r w:rsidRPr="00C02A95">
        <w:rPr>
          <w:lang w:val="en-US"/>
        </w:rPr>
        <w:t>S</w:t>
      </w:r>
      <w:r>
        <w:rPr>
          <w:lang w:val="en-US"/>
        </w:rPr>
        <w:t>.</w:t>
      </w:r>
      <w:r w:rsidRPr="00C02A95">
        <w:rPr>
          <w:lang w:val="en-US"/>
        </w:rPr>
        <w:t xml:space="preserve">, </w:t>
      </w:r>
      <w:proofErr w:type="spellStart"/>
      <w:r w:rsidRPr="00C02A95">
        <w:rPr>
          <w:lang w:val="en-US"/>
        </w:rPr>
        <w:t>Zewge</w:t>
      </w:r>
      <w:proofErr w:type="spellEnd"/>
      <w:r>
        <w:rPr>
          <w:lang w:val="en-US"/>
        </w:rPr>
        <w:t>,</w:t>
      </w:r>
      <w:r w:rsidRPr="00C02A95">
        <w:rPr>
          <w:lang w:val="en-US"/>
        </w:rPr>
        <w:t xml:space="preserve"> F.</w:t>
      </w:r>
      <w:r>
        <w:rPr>
          <w:lang w:val="en-US"/>
        </w:rPr>
        <w:t>, 2016,</w:t>
      </w:r>
      <w:r w:rsidRPr="00C02A95">
        <w:rPr>
          <w:lang w:val="en-US"/>
        </w:rPr>
        <w:t xml:space="preserve"> Removal of trivalent Cr from aqueous solution using aluminum oxide hydroxide. </w:t>
      </w:r>
      <w:proofErr w:type="spellStart"/>
      <w:r w:rsidRPr="00C02A95">
        <w:rPr>
          <w:lang w:val="en-US"/>
        </w:rPr>
        <w:t>SpringerPlus</w:t>
      </w:r>
      <w:proofErr w:type="spellEnd"/>
      <w:r>
        <w:rPr>
          <w:lang w:val="en-US"/>
        </w:rPr>
        <w:t xml:space="preserve">, </w:t>
      </w:r>
      <w:r w:rsidRPr="00C02A95">
        <w:rPr>
          <w:lang w:val="en-US"/>
        </w:rPr>
        <w:t>5</w:t>
      </w:r>
      <w:r>
        <w:rPr>
          <w:lang w:val="en-US"/>
        </w:rPr>
        <w:t xml:space="preserve">, </w:t>
      </w:r>
      <w:r w:rsidRPr="00C02A95">
        <w:rPr>
          <w:lang w:val="en-US"/>
        </w:rPr>
        <w:t>1288</w:t>
      </w:r>
      <w:r>
        <w:rPr>
          <w:lang w:val="en-US"/>
        </w:rPr>
        <w:t>.</w:t>
      </w:r>
    </w:p>
    <w:p w14:paraId="26A306D7" w14:textId="72BE43F9" w:rsidR="00A436DA" w:rsidRPr="00490EB8" w:rsidRDefault="00A436DA" w:rsidP="00A436DA">
      <w:pPr>
        <w:pStyle w:val="CETReferencetext"/>
        <w:ind w:left="360" w:hanging="360"/>
        <w:rPr>
          <w:lang w:val="en-US"/>
        </w:rPr>
      </w:pPr>
      <w:r w:rsidRPr="00490EB8">
        <w:rPr>
          <w:lang w:val="en-US"/>
        </w:rPr>
        <w:t>Chen, Y.; Gu, G.</w:t>
      </w:r>
      <w:r w:rsidR="00490EB8">
        <w:rPr>
          <w:lang w:val="en-US"/>
        </w:rPr>
        <w:t>, 2005,</w:t>
      </w:r>
      <w:r w:rsidRPr="00490EB8">
        <w:rPr>
          <w:lang w:val="en-US"/>
        </w:rPr>
        <w:t xml:space="preserve"> Preliminary studies on continuous </w:t>
      </w:r>
      <w:proofErr w:type="gramStart"/>
      <w:r w:rsidRPr="00490EB8">
        <w:rPr>
          <w:lang w:val="en-US"/>
        </w:rPr>
        <w:t>chromium(</w:t>
      </w:r>
      <w:proofErr w:type="gramEnd"/>
      <w:r w:rsidRPr="00490EB8">
        <w:rPr>
          <w:lang w:val="en-US"/>
        </w:rPr>
        <w:t xml:space="preserve">VI) biological removal from wastewater by anaerobic-aerobic </w:t>
      </w:r>
      <w:bookmarkStart w:id="16" w:name="_bookmark9"/>
      <w:bookmarkEnd w:id="16"/>
      <w:r w:rsidRPr="00490EB8">
        <w:rPr>
          <w:lang w:val="en-US"/>
        </w:rPr>
        <w:t>activated sludge process. Bioresource Technology, 96, 1713–1721.</w:t>
      </w:r>
    </w:p>
    <w:p w14:paraId="574A226C" w14:textId="48D38FC6" w:rsidR="00A436DA" w:rsidRPr="00490EB8" w:rsidRDefault="00A436DA" w:rsidP="00A436DA">
      <w:pPr>
        <w:pStyle w:val="CETReferencetext"/>
        <w:ind w:left="360" w:hanging="360"/>
        <w:rPr>
          <w:lang w:val="en-US"/>
        </w:rPr>
      </w:pPr>
      <w:r w:rsidRPr="00490EB8">
        <w:rPr>
          <w:lang w:val="en-US"/>
        </w:rPr>
        <w:t xml:space="preserve">EPA </w:t>
      </w:r>
      <w:r w:rsidR="00C748F5">
        <w:rPr>
          <w:lang w:val="en-US"/>
        </w:rPr>
        <w:t xml:space="preserve">2023, </w:t>
      </w:r>
      <w:r w:rsidRPr="00490EB8">
        <w:rPr>
          <w:lang w:val="en-US"/>
        </w:rPr>
        <w:t xml:space="preserve">The drinking water criteria document on chromium. </w:t>
      </w:r>
      <w:r w:rsidR="00C748F5" w:rsidRPr="00C748F5">
        <w:rPr>
          <w:lang w:val="en-US"/>
        </w:rPr>
        <w:t>Safe Drinking Water Act (SDWA</w:t>
      </w:r>
      <w:r w:rsidR="00C748F5">
        <w:rPr>
          <w:lang w:val="en-US"/>
        </w:rPr>
        <w:t xml:space="preserve">, </w:t>
      </w:r>
      <w:r w:rsidRPr="00490EB8">
        <w:rPr>
          <w:lang w:val="en-US"/>
        </w:rPr>
        <w:t>440</w:t>
      </w:r>
      <w:r w:rsidR="00490EB8" w:rsidRPr="00490EB8">
        <w:rPr>
          <w:lang w:val="en-US"/>
        </w:rPr>
        <w:t>–</w:t>
      </w:r>
      <w:r w:rsidRPr="00490EB8">
        <w:rPr>
          <w:lang w:val="en-US"/>
        </w:rPr>
        <w:t>.</w:t>
      </w:r>
    </w:p>
    <w:p w14:paraId="3CE5E406" w14:textId="3CB7E338" w:rsidR="00197762" w:rsidRPr="00490EB8" w:rsidRDefault="00197762" w:rsidP="00A436DA">
      <w:pPr>
        <w:pStyle w:val="CETReferencetext"/>
        <w:ind w:left="360" w:hanging="360"/>
        <w:jc w:val="left"/>
      </w:pPr>
      <w:r w:rsidRPr="00490EB8">
        <w:t>Han, H., Hou, J., Zhang, D., Zhong, Y., Chen, C.</w:t>
      </w:r>
      <w:r w:rsidR="00C02A95">
        <w:t>,</w:t>
      </w:r>
      <w:r w:rsidRPr="00490EB8">
        <w:t xml:space="preserve"> Zhang, Q. 2021. External Carbon Source Facilitates Indirect Cr </w:t>
      </w:r>
      <w:proofErr w:type="gramStart"/>
      <w:r w:rsidRPr="00490EB8">
        <w:t>( VI</w:t>
      </w:r>
      <w:proofErr w:type="gramEnd"/>
      <w:r w:rsidRPr="00490EB8">
        <w:t xml:space="preserve"> ) </w:t>
      </w:r>
      <w:proofErr w:type="spellStart"/>
      <w:r w:rsidRPr="00490EB8">
        <w:t>Bioreduction</w:t>
      </w:r>
      <w:proofErr w:type="spellEnd"/>
      <w:r w:rsidRPr="00490EB8">
        <w:t xml:space="preserve"> Process by Anaerobic Sludge Produced from Kitchen Waste. Sustainability, 2021 (13), 4806.</w:t>
      </w:r>
    </w:p>
    <w:p w14:paraId="160B78F7" w14:textId="13715BC4" w:rsidR="00A07090" w:rsidRDefault="00A07090" w:rsidP="00A436DA">
      <w:pPr>
        <w:pStyle w:val="CETReferencetext"/>
        <w:ind w:left="360" w:hanging="360"/>
        <w:rPr>
          <w:szCs w:val="18"/>
          <w:lang w:val="en-US"/>
        </w:rPr>
      </w:pPr>
      <w:bookmarkStart w:id="17" w:name="_bookmark10"/>
      <w:bookmarkEnd w:id="17"/>
      <w:proofErr w:type="spellStart"/>
      <w:r w:rsidRPr="00A07090">
        <w:rPr>
          <w:szCs w:val="18"/>
          <w:lang w:val="en-US"/>
        </w:rPr>
        <w:t>Kholisa</w:t>
      </w:r>
      <w:proofErr w:type="spellEnd"/>
      <w:r w:rsidRPr="00A07090">
        <w:rPr>
          <w:szCs w:val="18"/>
          <w:lang w:val="en-US"/>
        </w:rPr>
        <w:t>, B.; Chirwa, E.M.</w:t>
      </w:r>
      <w:r>
        <w:rPr>
          <w:szCs w:val="18"/>
          <w:lang w:val="en-US"/>
        </w:rPr>
        <w:t xml:space="preserve">, 2021, </w:t>
      </w:r>
      <w:proofErr w:type="spellStart"/>
      <w:r w:rsidRPr="00A07090">
        <w:rPr>
          <w:szCs w:val="18"/>
          <w:lang w:val="en-US"/>
        </w:rPr>
        <w:t>Bioreduction</w:t>
      </w:r>
      <w:proofErr w:type="spellEnd"/>
      <w:r w:rsidRPr="00A07090">
        <w:rPr>
          <w:szCs w:val="18"/>
          <w:lang w:val="en-US"/>
        </w:rPr>
        <w:t xml:space="preserve"> of </w:t>
      </w:r>
      <w:proofErr w:type="gramStart"/>
      <w:r w:rsidRPr="00A07090">
        <w:rPr>
          <w:szCs w:val="18"/>
          <w:lang w:val="en-US"/>
        </w:rPr>
        <w:t>Cr(</w:t>
      </w:r>
      <w:proofErr w:type="gramEnd"/>
      <w:r w:rsidRPr="00A07090">
        <w:rPr>
          <w:szCs w:val="18"/>
          <w:lang w:val="en-US"/>
        </w:rPr>
        <w:t>VI) Using Bacterial Consortia Isolated from a Municipal Wastewater Sludge Experiencing Cr(VI) Loading from an Abandoned Chrome Foundry. Chemical Engineering Transactions, 88, 115–120.</w:t>
      </w:r>
    </w:p>
    <w:p w14:paraId="05981B71" w14:textId="164A7834" w:rsidR="00A436DA" w:rsidRPr="00C748F5" w:rsidRDefault="00A436DA" w:rsidP="00A436DA">
      <w:pPr>
        <w:pStyle w:val="CETReferencetext"/>
        <w:ind w:left="360" w:hanging="360"/>
        <w:rPr>
          <w:szCs w:val="18"/>
          <w:lang w:val="en-US"/>
        </w:rPr>
      </w:pPr>
      <w:r w:rsidRPr="00C748F5">
        <w:rPr>
          <w:szCs w:val="18"/>
          <w:lang w:val="en-US"/>
        </w:rPr>
        <w:t>Lee, S.E.; Lee, J.U.; Lee, J.S.; Chon, H.T.</w:t>
      </w:r>
      <w:r w:rsidR="00A07090">
        <w:rPr>
          <w:szCs w:val="18"/>
          <w:lang w:val="en-US"/>
        </w:rPr>
        <w:t>, 2006,</w:t>
      </w:r>
      <w:r w:rsidRPr="00C748F5">
        <w:rPr>
          <w:szCs w:val="18"/>
          <w:lang w:val="en-US"/>
        </w:rPr>
        <w:t xml:space="preserve"> Effects of indigenous bacteria on </w:t>
      </w:r>
      <w:proofErr w:type="gramStart"/>
      <w:r w:rsidRPr="00C748F5">
        <w:rPr>
          <w:szCs w:val="18"/>
          <w:lang w:val="en-US"/>
        </w:rPr>
        <w:t>Cr(</w:t>
      </w:r>
      <w:proofErr w:type="gramEnd"/>
      <w:r w:rsidRPr="00C748F5">
        <w:rPr>
          <w:szCs w:val="18"/>
          <w:lang w:val="en-US"/>
        </w:rPr>
        <w:t xml:space="preserve">VI) reduction in Cr-contaminated sediment with </w:t>
      </w:r>
      <w:bookmarkStart w:id="18" w:name="_bookmark12"/>
      <w:bookmarkEnd w:id="18"/>
      <w:r w:rsidRPr="00C748F5">
        <w:rPr>
          <w:szCs w:val="18"/>
          <w:lang w:val="en-US"/>
        </w:rPr>
        <w:t>industrial wastes. Journal of Geochemical Exploration, 88, 41–44.</w:t>
      </w:r>
    </w:p>
    <w:p w14:paraId="376169E2" w14:textId="78B4B682" w:rsidR="00A436DA" w:rsidRPr="00C748F5" w:rsidRDefault="00A436DA" w:rsidP="00A436DA">
      <w:pPr>
        <w:pStyle w:val="CETReferencetext"/>
        <w:ind w:left="360" w:hanging="360"/>
        <w:rPr>
          <w:szCs w:val="18"/>
          <w:lang w:val="en-US"/>
        </w:rPr>
      </w:pPr>
      <w:r w:rsidRPr="00C748F5">
        <w:rPr>
          <w:szCs w:val="18"/>
          <w:lang w:val="en-US"/>
        </w:rPr>
        <w:t>Ma, L.</w:t>
      </w:r>
      <w:r w:rsidR="00A07090">
        <w:rPr>
          <w:szCs w:val="18"/>
          <w:lang w:val="en-US"/>
        </w:rPr>
        <w:t>,</w:t>
      </w:r>
      <w:r w:rsidRPr="00C748F5">
        <w:rPr>
          <w:szCs w:val="18"/>
          <w:lang w:val="en-US"/>
        </w:rPr>
        <w:t xml:space="preserve"> Chen, N.</w:t>
      </w:r>
      <w:r w:rsidR="00A07090">
        <w:rPr>
          <w:szCs w:val="18"/>
          <w:lang w:val="en-US"/>
        </w:rPr>
        <w:t>,</w:t>
      </w:r>
      <w:r w:rsidRPr="00C748F5">
        <w:rPr>
          <w:szCs w:val="18"/>
          <w:lang w:val="en-US"/>
        </w:rPr>
        <w:t xml:space="preserve"> Feng, C.</w:t>
      </w:r>
      <w:r w:rsidR="00A07090">
        <w:rPr>
          <w:szCs w:val="18"/>
          <w:lang w:val="en-US"/>
        </w:rPr>
        <w:t>,</w:t>
      </w:r>
      <w:r w:rsidRPr="00C748F5">
        <w:rPr>
          <w:szCs w:val="18"/>
          <w:lang w:val="en-US"/>
        </w:rPr>
        <w:t xml:space="preserve"> Yao, Y.</w:t>
      </w:r>
      <w:r w:rsidR="00A07090">
        <w:rPr>
          <w:szCs w:val="18"/>
          <w:lang w:val="en-US"/>
        </w:rPr>
        <w:t>,</w:t>
      </w:r>
      <w:r w:rsidRPr="00C748F5">
        <w:rPr>
          <w:szCs w:val="18"/>
          <w:lang w:val="en-US"/>
        </w:rPr>
        <w:t xml:space="preserve"> Wang, S.</w:t>
      </w:r>
      <w:r w:rsidR="00A07090">
        <w:rPr>
          <w:szCs w:val="18"/>
          <w:lang w:val="en-US"/>
        </w:rPr>
        <w:t>,</w:t>
      </w:r>
      <w:r w:rsidRPr="00C748F5">
        <w:rPr>
          <w:szCs w:val="18"/>
          <w:lang w:val="en-US"/>
        </w:rPr>
        <w:t xml:space="preserve"> Wang, G.</w:t>
      </w:r>
      <w:r w:rsidR="00A07090">
        <w:rPr>
          <w:szCs w:val="18"/>
          <w:lang w:val="en-US"/>
        </w:rPr>
        <w:t>,</w:t>
      </w:r>
      <w:r w:rsidRPr="00C748F5">
        <w:rPr>
          <w:szCs w:val="18"/>
          <w:lang w:val="en-US"/>
        </w:rPr>
        <w:t xml:space="preserve"> </w:t>
      </w:r>
      <w:proofErr w:type="spellStart"/>
      <w:r w:rsidRPr="00C748F5">
        <w:rPr>
          <w:szCs w:val="18"/>
          <w:lang w:val="en-US"/>
        </w:rPr>
        <w:t>Su</w:t>
      </w:r>
      <w:proofErr w:type="spellEnd"/>
      <w:r w:rsidRPr="00C748F5">
        <w:rPr>
          <w:szCs w:val="18"/>
          <w:lang w:val="en-US"/>
        </w:rPr>
        <w:t>, Y.</w:t>
      </w:r>
      <w:r w:rsidR="00A07090">
        <w:rPr>
          <w:szCs w:val="18"/>
          <w:lang w:val="en-US"/>
        </w:rPr>
        <w:t>,</w:t>
      </w:r>
      <w:r w:rsidRPr="00C748F5">
        <w:rPr>
          <w:szCs w:val="18"/>
          <w:lang w:val="en-US"/>
        </w:rPr>
        <w:t xml:space="preserve"> Zhang, Y.</w:t>
      </w:r>
      <w:r w:rsidR="00854FB6" w:rsidRPr="00C748F5">
        <w:rPr>
          <w:szCs w:val="18"/>
          <w:lang w:val="en-US"/>
        </w:rPr>
        <w:t>, 2022,</w:t>
      </w:r>
      <w:r w:rsidRPr="00C748F5">
        <w:rPr>
          <w:szCs w:val="18"/>
          <w:lang w:val="en-US"/>
        </w:rPr>
        <w:t xml:space="preserve"> Enhanced </w:t>
      </w:r>
      <w:proofErr w:type="gramStart"/>
      <w:r w:rsidRPr="00C748F5">
        <w:rPr>
          <w:szCs w:val="18"/>
          <w:lang w:val="en-US"/>
        </w:rPr>
        <w:t>Cr(</w:t>
      </w:r>
      <w:proofErr w:type="gramEnd"/>
      <w:r w:rsidRPr="00C748F5">
        <w:rPr>
          <w:szCs w:val="18"/>
          <w:lang w:val="en-US"/>
        </w:rPr>
        <w:t xml:space="preserve">VI) reduction in biocathode microbial </w:t>
      </w:r>
      <w:bookmarkStart w:id="19" w:name="_bookmark11"/>
      <w:bookmarkEnd w:id="19"/>
      <w:r w:rsidRPr="00C748F5">
        <w:rPr>
          <w:szCs w:val="18"/>
          <w:lang w:val="en-US"/>
        </w:rPr>
        <w:t>electrolysis cell using Fenton-derived ferric sludge. Water Research, 212, 118144.</w:t>
      </w:r>
    </w:p>
    <w:p w14:paraId="5437CE4C" w14:textId="7372C36F" w:rsidR="00ED2C12" w:rsidRPr="00C748F5" w:rsidRDefault="00ED2C12" w:rsidP="00A436DA">
      <w:pPr>
        <w:pStyle w:val="CETReferencetext"/>
        <w:ind w:left="360" w:hanging="360"/>
        <w:rPr>
          <w:szCs w:val="18"/>
          <w:lang w:val="en-US"/>
        </w:rPr>
      </w:pPr>
      <w:r w:rsidRPr="00C748F5">
        <w:rPr>
          <w:szCs w:val="18"/>
          <w:lang w:val="en-US"/>
        </w:rPr>
        <w:t>Molokwane, P.E., Chirwa, E.M.N., 2009, Microbial culture dynamics and chromium (VI) removal in packed-column microcosm reactors. Water Science and Technology, 60, 381-388.</w:t>
      </w:r>
    </w:p>
    <w:p w14:paraId="60DE9023" w14:textId="2130CA20" w:rsidR="00ED2C12" w:rsidRPr="00490EB8" w:rsidRDefault="00ED2C12" w:rsidP="00A436DA">
      <w:pPr>
        <w:pStyle w:val="CETReferencetext"/>
        <w:ind w:left="360" w:hanging="360"/>
        <w:rPr>
          <w:lang w:val="en-US"/>
        </w:rPr>
      </w:pPr>
      <w:r w:rsidRPr="00490EB8">
        <w:rPr>
          <w:lang w:val="en-US"/>
        </w:rPr>
        <w:t xml:space="preserve">Molokwane, P.E., 2010, Simulation of In Situ Bioremediation of </w:t>
      </w:r>
      <w:proofErr w:type="gramStart"/>
      <w:r w:rsidRPr="00490EB8">
        <w:rPr>
          <w:lang w:val="en-US"/>
        </w:rPr>
        <w:t>Cr(</w:t>
      </w:r>
      <w:proofErr w:type="gramEnd"/>
      <w:r w:rsidRPr="00490EB8">
        <w:rPr>
          <w:lang w:val="en-US"/>
        </w:rPr>
        <w:t>VI) on Groundwater Aquifer Environments Using a Microbial Culture Barrier, PhD Thesis, University of Pretoria, Pretoria, South Africa.</w:t>
      </w:r>
    </w:p>
    <w:p w14:paraId="2F27E6E8" w14:textId="38D6A67F" w:rsidR="00A436DA" w:rsidRPr="00490EB8" w:rsidRDefault="00A436DA" w:rsidP="00A436DA">
      <w:pPr>
        <w:pStyle w:val="CETReferencetext"/>
        <w:ind w:left="360" w:hanging="360"/>
        <w:rPr>
          <w:lang w:val="en-US"/>
        </w:rPr>
      </w:pPr>
      <w:r w:rsidRPr="00490EB8">
        <w:rPr>
          <w:lang w:val="en-US"/>
        </w:rPr>
        <w:t xml:space="preserve">Molokwane P.E., Chirwa E.M.N., 2013, Modelling Biological </w:t>
      </w:r>
      <w:proofErr w:type="gramStart"/>
      <w:r w:rsidRPr="00490EB8">
        <w:rPr>
          <w:lang w:val="en-US"/>
        </w:rPr>
        <w:t>Cr(</w:t>
      </w:r>
      <w:proofErr w:type="gramEnd"/>
      <w:r w:rsidRPr="00490EB8">
        <w:rPr>
          <w:lang w:val="en-US"/>
        </w:rPr>
        <w:t>VI) Reduction in Aquifer Microcosm Column Systems, Water Sci</w:t>
      </w:r>
      <w:r w:rsidR="00854FB6">
        <w:rPr>
          <w:lang w:val="en-US"/>
        </w:rPr>
        <w:t>ence and</w:t>
      </w:r>
      <w:r w:rsidRPr="00490EB8">
        <w:rPr>
          <w:lang w:val="en-US"/>
        </w:rPr>
        <w:t xml:space="preserve"> Technol</w:t>
      </w:r>
      <w:r w:rsidR="00854FB6">
        <w:rPr>
          <w:lang w:val="en-US"/>
        </w:rPr>
        <w:t>ogy</w:t>
      </w:r>
      <w:r w:rsidRPr="00490EB8">
        <w:rPr>
          <w:lang w:val="en-US"/>
        </w:rPr>
        <w:t>, 67, 2733-2738.</w:t>
      </w:r>
    </w:p>
    <w:p w14:paraId="28D22A06" w14:textId="21429B81" w:rsidR="00A436DA" w:rsidRPr="00490EB8" w:rsidRDefault="00A436DA" w:rsidP="00A436DA">
      <w:pPr>
        <w:pStyle w:val="CETReferencetext"/>
        <w:ind w:left="360" w:hanging="360"/>
      </w:pPr>
      <w:proofErr w:type="spellStart"/>
      <w:r w:rsidRPr="00490EB8">
        <w:t>Puls</w:t>
      </w:r>
      <w:proofErr w:type="spellEnd"/>
      <w:r w:rsidRPr="00490EB8">
        <w:rPr>
          <w:spacing w:val="-2"/>
        </w:rPr>
        <w:t xml:space="preserve"> </w:t>
      </w:r>
      <w:r w:rsidRPr="00490EB8">
        <w:t>R.W.,</w:t>
      </w:r>
      <w:r w:rsidRPr="00490EB8">
        <w:rPr>
          <w:spacing w:val="-3"/>
        </w:rPr>
        <w:t xml:space="preserve"> </w:t>
      </w:r>
      <w:r w:rsidRPr="00490EB8">
        <w:t>Powell</w:t>
      </w:r>
      <w:r w:rsidRPr="00490EB8">
        <w:rPr>
          <w:spacing w:val="-1"/>
        </w:rPr>
        <w:t xml:space="preserve"> </w:t>
      </w:r>
      <w:r w:rsidRPr="00490EB8">
        <w:t>R.W.,</w:t>
      </w:r>
      <w:r w:rsidRPr="00490EB8">
        <w:rPr>
          <w:spacing w:val="-3"/>
        </w:rPr>
        <w:t xml:space="preserve"> </w:t>
      </w:r>
      <w:r w:rsidRPr="00490EB8">
        <w:t>1997,</w:t>
      </w:r>
      <w:r w:rsidRPr="00490EB8">
        <w:rPr>
          <w:spacing w:val="-5"/>
        </w:rPr>
        <w:t xml:space="preserve"> </w:t>
      </w:r>
      <w:r w:rsidRPr="00490EB8">
        <w:t>Permeable</w:t>
      </w:r>
      <w:r w:rsidRPr="00490EB8">
        <w:rPr>
          <w:spacing w:val="-3"/>
        </w:rPr>
        <w:t xml:space="preserve"> </w:t>
      </w:r>
      <w:r w:rsidRPr="00490EB8">
        <w:t>reactive</w:t>
      </w:r>
      <w:r w:rsidRPr="00490EB8">
        <w:rPr>
          <w:spacing w:val="-5"/>
        </w:rPr>
        <w:t xml:space="preserve"> </w:t>
      </w:r>
      <w:r w:rsidRPr="00490EB8">
        <w:t>subsurface</w:t>
      </w:r>
      <w:r w:rsidRPr="00490EB8">
        <w:rPr>
          <w:spacing w:val="-3"/>
        </w:rPr>
        <w:t xml:space="preserve"> </w:t>
      </w:r>
      <w:r w:rsidRPr="00490EB8">
        <w:t>barriers</w:t>
      </w:r>
      <w:r w:rsidRPr="00490EB8">
        <w:rPr>
          <w:spacing w:val="-4"/>
        </w:rPr>
        <w:t xml:space="preserve"> </w:t>
      </w:r>
      <w:r w:rsidRPr="00490EB8">
        <w:t>for</w:t>
      </w:r>
      <w:r w:rsidRPr="00490EB8">
        <w:rPr>
          <w:spacing w:val="-3"/>
        </w:rPr>
        <w:t xml:space="preserve"> </w:t>
      </w:r>
      <w:r w:rsidRPr="00490EB8">
        <w:t>the</w:t>
      </w:r>
      <w:r w:rsidRPr="00490EB8">
        <w:rPr>
          <w:spacing w:val="-3"/>
        </w:rPr>
        <w:t xml:space="preserve"> </w:t>
      </w:r>
      <w:r w:rsidRPr="00490EB8">
        <w:t>interception</w:t>
      </w:r>
      <w:r w:rsidRPr="00490EB8">
        <w:rPr>
          <w:spacing w:val="-5"/>
        </w:rPr>
        <w:t xml:space="preserve"> </w:t>
      </w:r>
      <w:r w:rsidRPr="00490EB8">
        <w:t>and</w:t>
      </w:r>
      <w:r w:rsidRPr="00490EB8">
        <w:rPr>
          <w:spacing w:val="-3"/>
        </w:rPr>
        <w:t xml:space="preserve"> </w:t>
      </w:r>
      <w:r w:rsidRPr="00490EB8">
        <w:t xml:space="preserve">remediation of chlorinated hydrocarbon and </w:t>
      </w:r>
      <w:proofErr w:type="gramStart"/>
      <w:r w:rsidRPr="00490EB8">
        <w:t>chromium(</w:t>
      </w:r>
      <w:proofErr w:type="gramEnd"/>
      <w:r w:rsidRPr="00490EB8">
        <w:t>VI) plumes in ground water, 4 pp. US EPA Remedial Technology Fact Sheet, EPA/600/F-97/008, US EPA, Washington DC, USA.</w:t>
      </w:r>
    </w:p>
    <w:p w14:paraId="7D2CE675" w14:textId="0A032AF5" w:rsidR="00FE7593" w:rsidRPr="00490EB8" w:rsidRDefault="00FE7593" w:rsidP="00FE7593">
      <w:pPr>
        <w:pStyle w:val="CETReferencetext"/>
        <w:ind w:left="360" w:hanging="360"/>
      </w:pPr>
      <w:proofErr w:type="spellStart"/>
      <w:r w:rsidRPr="00490EB8">
        <w:t>Tadeo-</w:t>
      </w:r>
      <w:r w:rsidR="00134991" w:rsidRPr="00490EB8">
        <w:t>J</w:t>
      </w:r>
      <w:r w:rsidRPr="00490EB8">
        <w:t>alife</w:t>
      </w:r>
      <w:proofErr w:type="spellEnd"/>
      <w:r w:rsidRPr="00490EB8">
        <w:t>, N.R., Vasquez-</w:t>
      </w:r>
      <w:proofErr w:type="spellStart"/>
      <w:r w:rsidRPr="00490EB8">
        <w:t>medrano</w:t>
      </w:r>
      <w:proofErr w:type="spellEnd"/>
      <w:r w:rsidRPr="00490EB8">
        <w:t>, R.</w:t>
      </w:r>
      <w:r w:rsidR="00A07090">
        <w:t>,</w:t>
      </w:r>
      <w:r w:rsidRPr="00490EB8">
        <w:t xml:space="preserve"> Quevedo, I.R.</w:t>
      </w:r>
      <w:r w:rsidR="00A07090">
        <w:t>,</w:t>
      </w:r>
      <w:r w:rsidRPr="00490EB8">
        <w:t xml:space="preserve"> 2021</w:t>
      </w:r>
      <w:r w:rsidR="00A07090">
        <w:t>,</w:t>
      </w:r>
      <w:r w:rsidRPr="00490EB8">
        <w:t xml:space="preserve"> Assessing the Adsorption of Bipyridinium Herbicides on Model Soil Granular Media. </w:t>
      </w:r>
      <w:r w:rsidR="00134991" w:rsidRPr="00490EB8">
        <w:t>Frontiers in Water</w:t>
      </w:r>
      <w:r w:rsidRPr="00490EB8">
        <w:t xml:space="preserve">, </w:t>
      </w:r>
      <w:r w:rsidR="00134991" w:rsidRPr="00490EB8">
        <w:t>2, 612742</w:t>
      </w:r>
      <w:r w:rsidRPr="00490EB8">
        <w:t>.</w:t>
      </w:r>
    </w:p>
    <w:p w14:paraId="21A2F68F" w14:textId="4650F267" w:rsidR="00A436DA" w:rsidRPr="00490EB8" w:rsidRDefault="00A436DA" w:rsidP="00A436DA">
      <w:pPr>
        <w:pStyle w:val="CETReferencetext"/>
        <w:ind w:left="360" w:hanging="360"/>
        <w:rPr>
          <w:lang w:val="en-US"/>
        </w:rPr>
      </w:pPr>
      <w:r w:rsidRPr="00490EB8">
        <w:rPr>
          <w:lang w:val="en-US"/>
        </w:rPr>
        <w:t>Yang, X.</w:t>
      </w:r>
      <w:r w:rsidR="00C748F5">
        <w:rPr>
          <w:lang w:val="en-US"/>
        </w:rPr>
        <w:t>,</w:t>
      </w:r>
      <w:r w:rsidRPr="00490EB8">
        <w:rPr>
          <w:lang w:val="en-US"/>
        </w:rPr>
        <w:t xml:space="preserve"> Zhao, Z.</w:t>
      </w:r>
      <w:r w:rsidR="00C748F5">
        <w:rPr>
          <w:lang w:val="en-US"/>
        </w:rPr>
        <w:t>,</w:t>
      </w:r>
      <w:r w:rsidRPr="00490EB8">
        <w:rPr>
          <w:lang w:val="en-US"/>
        </w:rPr>
        <w:t xml:space="preserve"> Yu, Y.; Shimizu, K.</w:t>
      </w:r>
      <w:r w:rsidR="00C748F5">
        <w:rPr>
          <w:lang w:val="en-US"/>
        </w:rPr>
        <w:t>,</w:t>
      </w:r>
      <w:r w:rsidRPr="00490EB8">
        <w:rPr>
          <w:lang w:val="en-US"/>
        </w:rPr>
        <w:t xml:space="preserve"> Zhang, Z.</w:t>
      </w:r>
      <w:r w:rsidR="00C748F5">
        <w:rPr>
          <w:lang w:val="en-US"/>
        </w:rPr>
        <w:t>,</w:t>
      </w:r>
      <w:r w:rsidRPr="00490EB8">
        <w:rPr>
          <w:lang w:val="en-US"/>
        </w:rPr>
        <w:t xml:space="preserve"> Lei, Z.</w:t>
      </w:r>
      <w:r w:rsidR="00C748F5">
        <w:rPr>
          <w:lang w:val="en-US"/>
        </w:rPr>
        <w:t>,</w:t>
      </w:r>
      <w:r w:rsidRPr="00490EB8">
        <w:rPr>
          <w:lang w:val="en-US"/>
        </w:rPr>
        <w:t xml:space="preserve"> Lee, D.J.</w:t>
      </w:r>
      <w:r w:rsidR="00854FB6">
        <w:rPr>
          <w:lang w:val="en-US"/>
        </w:rPr>
        <w:t>, 2020,</w:t>
      </w:r>
      <w:r w:rsidRPr="00490EB8">
        <w:rPr>
          <w:lang w:val="en-US"/>
        </w:rPr>
        <w:t xml:space="preserve"> Enhanced biosorption of </w:t>
      </w:r>
      <w:proofErr w:type="gramStart"/>
      <w:r w:rsidRPr="00490EB8">
        <w:rPr>
          <w:lang w:val="en-US"/>
        </w:rPr>
        <w:t>Cr(</w:t>
      </w:r>
      <w:proofErr w:type="gramEnd"/>
      <w:r w:rsidRPr="00490EB8">
        <w:rPr>
          <w:lang w:val="en-US"/>
        </w:rPr>
        <w:t>VI) from synthetic wastewater using algal-bacterial aerobic granular sludge: Batch experiments, kinetics and mechanisms. Separation and Purification Technology</w:t>
      </w:r>
      <w:bookmarkStart w:id="20" w:name="_bookmark13"/>
      <w:bookmarkEnd w:id="20"/>
      <w:r w:rsidRPr="00490EB8">
        <w:rPr>
          <w:lang w:val="en-US"/>
        </w:rPr>
        <w:t>, 251</w:t>
      </w:r>
      <w:r w:rsidR="00854FB6">
        <w:rPr>
          <w:lang w:val="en-US"/>
        </w:rPr>
        <w:t xml:space="preserve">, </w:t>
      </w:r>
      <w:r w:rsidR="00854FB6" w:rsidRPr="00854FB6">
        <w:rPr>
          <w:lang w:val="en-US"/>
        </w:rPr>
        <w:t>117323</w:t>
      </w:r>
      <w:r w:rsidRPr="00490EB8">
        <w:rPr>
          <w:lang w:val="en-US"/>
        </w:rPr>
        <w:t>.</w:t>
      </w:r>
    </w:p>
    <w:p w14:paraId="1A792F7B" w14:textId="72D3A549" w:rsidR="00C82620" w:rsidRPr="005453E8" w:rsidRDefault="00A436DA" w:rsidP="005453E8">
      <w:pPr>
        <w:pStyle w:val="CETReferencetext"/>
        <w:ind w:left="360" w:hanging="360"/>
        <w:rPr>
          <w:lang w:val="en-US"/>
        </w:rPr>
      </w:pPr>
      <w:r w:rsidRPr="00490EB8">
        <w:rPr>
          <w:lang w:val="en-US"/>
        </w:rPr>
        <w:t>Yang, X.</w:t>
      </w:r>
      <w:r w:rsidR="00A07090">
        <w:rPr>
          <w:lang w:val="en-US"/>
        </w:rPr>
        <w:t>,</w:t>
      </w:r>
      <w:r w:rsidRPr="00490EB8">
        <w:rPr>
          <w:lang w:val="en-US"/>
        </w:rPr>
        <w:t xml:space="preserve"> Zhao, Z.</w:t>
      </w:r>
      <w:r w:rsidR="00A07090">
        <w:rPr>
          <w:lang w:val="en-US"/>
        </w:rPr>
        <w:t>,</w:t>
      </w:r>
      <w:r w:rsidRPr="00490EB8">
        <w:rPr>
          <w:lang w:val="en-US"/>
        </w:rPr>
        <w:t xml:space="preserve"> Zhang, G.</w:t>
      </w:r>
      <w:r w:rsidR="00A07090">
        <w:rPr>
          <w:lang w:val="en-US"/>
        </w:rPr>
        <w:t>,</w:t>
      </w:r>
      <w:r w:rsidRPr="00490EB8">
        <w:rPr>
          <w:lang w:val="en-US"/>
        </w:rPr>
        <w:t xml:space="preserve"> Hirayama, S.</w:t>
      </w:r>
      <w:r w:rsidR="00A07090">
        <w:rPr>
          <w:lang w:val="en-US"/>
        </w:rPr>
        <w:t>,</w:t>
      </w:r>
      <w:r w:rsidRPr="00490EB8">
        <w:rPr>
          <w:lang w:val="en-US"/>
        </w:rPr>
        <w:t xml:space="preserve"> Nguyen, B.V.</w:t>
      </w:r>
      <w:r w:rsidR="00A07090">
        <w:rPr>
          <w:lang w:val="en-US"/>
        </w:rPr>
        <w:t>,</w:t>
      </w:r>
      <w:r w:rsidRPr="00490EB8">
        <w:rPr>
          <w:lang w:val="en-US"/>
        </w:rPr>
        <w:t xml:space="preserve"> Lei, Z.</w:t>
      </w:r>
      <w:r w:rsidR="00A07090">
        <w:rPr>
          <w:lang w:val="en-US"/>
        </w:rPr>
        <w:t>,</w:t>
      </w:r>
      <w:r w:rsidRPr="00490EB8">
        <w:rPr>
          <w:lang w:val="en-US"/>
        </w:rPr>
        <w:t xml:space="preserve"> Shimizu, K.</w:t>
      </w:r>
      <w:r w:rsidR="00A07090">
        <w:rPr>
          <w:lang w:val="en-US"/>
        </w:rPr>
        <w:t>,</w:t>
      </w:r>
      <w:r w:rsidRPr="00490EB8">
        <w:rPr>
          <w:lang w:val="en-US"/>
        </w:rPr>
        <w:t xml:space="preserve"> Zhang, Z.</w:t>
      </w:r>
      <w:r w:rsidR="00854FB6">
        <w:rPr>
          <w:lang w:val="en-US"/>
        </w:rPr>
        <w:t>, 2021,</w:t>
      </w:r>
      <w:r w:rsidRPr="00490EB8">
        <w:rPr>
          <w:lang w:val="en-US"/>
        </w:rPr>
        <w:t xml:space="preserve"> Insight into </w:t>
      </w:r>
      <w:proofErr w:type="gramStart"/>
      <w:r w:rsidRPr="00490EB8">
        <w:rPr>
          <w:lang w:val="en-US"/>
        </w:rPr>
        <w:t>Cr(</w:t>
      </w:r>
      <w:proofErr w:type="gramEnd"/>
      <w:r w:rsidRPr="00490EB8">
        <w:rPr>
          <w:lang w:val="en-US"/>
        </w:rPr>
        <w:t xml:space="preserve">VI) biosorption onto algal-bacterial granular sludge: Cr(VI) </w:t>
      </w:r>
      <w:proofErr w:type="spellStart"/>
      <w:r w:rsidRPr="00490EB8">
        <w:rPr>
          <w:lang w:val="en-US"/>
        </w:rPr>
        <w:t>bioreduction</w:t>
      </w:r>
      <w:proofErr w:type="spellEnd"/>
      <w:r w:rsidRPr="00490EB8">
        <w:rPr>
          <w:lang w:val="en-US"/>
        </w:rPr>
        <w:t xml:space="preserve"> and its intracellular accumulation in addition to the effects of environmental </w:t>
      </w:r>
      <w:bookmarkStart w:id="21" w:name="_bookmark8"/>
      <w:bookmarkEnd w:id="21"/>
      <w:r w:rsidRPr="00490EB8">
        <w:rPr>
          <w:lang w:val="en-US"/>
        </w:rPr>
        <w:t>factors. Journal of Hazardous Materials, 414</w:t>
      </w:r>
      <w:bookmarkStart w:id="22" w:name="_bookmark15"/>
      <w:bookmarkEnd w:id="22"/>
      <w:r w:rsidR="00854FB6">
        <w:rPr>
          <w:lang w:val="en-US"/>
        </w:rPr>
        <w:t xml:space="preserve">, </w:t>
      </w:r>
      <w:r w:rsidR="00854FB6" w:rsidRPr="00854FB6">
        <w:rPr>
          <w:lang w:val="en-US"/>
        </w:rPr>
        <w:t>125479</w:t>
      </w:r>
      <w:r w:rsidR="00854FB6">
        <w:rPr>
          <w:lang w:val="en-US"/>
        </w:rPr>
        <w:t>.</w:t>
      </w:r>
    </w:p>
    <w:sectPr w:rsidR="00C82620" w:rsidRPr="005453E8" w:rsidSect="00B63AC4">
      <w:pgSz w:w="11906" w:h="16838" w:code="9"/>
      <w:pgMar w:top="1699" w:right="1411" w:bottom="1699" w:left="1699" w:header="1699"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DAA7F7" w14:textId="77777777" w:rsidR="00A51FCF" w:rsidRDefault="00A51FCF" w:rsidP="004F5E36">
      <w:r>
        <w:separator/>
      </w:r>
    </w:p>
  </w:endnote>
  <w:endnote w:type="continuationSeparator" w:id="0">
    <w:p w14:paraId="6A02E3D1" w14:textId="77777777" w:rsidR="00A51FCF" w:rsidRDefault="00A51FCF"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78F26C" w14:textId="77777777" w:rsidR="00A51FCF" w:rsidRDefault="00A51FCF" w:rsidP="004F5E36">
      <w:r>
        <w:separator/>
      </w:r>
    </w:p>
  </w:footnote>
  <w:footnote w:type="continuationSeparator" w:id="0">
    <w:p w14:paraId="1C4D7736" w14:textId="77777777" w:rsidR="00A51FCF" w:rsidRDefault="00A51FCF"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C55E1C9E"/>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28C3B7C"/>
    <w:multiLevelType w:val="hybridMultilevel"/>
    <w:tmpl w:val="A3267066"/>
    <w:lvl w:ilvl="0" w:tplc="53123B94">
      <w:start w:val="1"/>
      <w:numFmt w:val="decimal"/>
      <w:lvlText w:val="%1."/>
      <w:lvlJc w:val="left"/>
      <w:pPr>
        <w:ind w:left="550" w:hanging="431"/>
      </w:pPr>
      <w:rPr>
        <w:rFonts w:ascii="Book Antiqua" w:eastAsia="Book Antiqua" w:hAnsi="Book Antiqua" w:cs="Book Antiqua" w:hint="default"/>
        <w:b w:val="0"/>
        <w:bCs w:val="0"/>
        <w:i w:val="0"/>
        <w:iCs w:val="0"/>
        <w:w w:val="99"/>
        <w:sz w:val="18"/>
        <w:szCs w:val="18"/>
        <w:lang w:val="en-US" w:eastAsia="en-US" w:bidi="ar-SA"/>
      </w:rPr>
    </w:lvl>
    <w:lvl w:ilvl="1" w:tplc="1D965152">
      <w:numFmt w:val="bullet"/>
      <w:lvlText w:val="•"/>
      <w:lvlJc w:val="left"/>
      <w:pPr>
        <w:ind w:left="1576" w:hanging="431"/>
      </w:pPr>
      <w:rPr>
        <w:rFonts w:hint="default"/>
        <w:lang w:val="en-US" w:eastAsia="en-US" w:bidi="ar-SA"/>
      </w:rPr>
    </w:lvl>
    <w:lvl w:ilvl="2" w:tplc="45DECFE8">
      <w:numFmt w:val="bullet"/>
      <w:lvlText w:val="•"/>
      <w:lvlJc w:val="left"/>
      <w:pPr>
        <w:ind w:left="2593" w:hanging="431"/>
      </w:pPr>
      <w:rPr>
        <w:rFonts w:hint="default"/>
        <w:lang w:val="en-US" w:eastAsia="en-US" w:bidi="ar-SA"/>
      </w:rPr>
    </w:lvl>
    <w:lvl w:ilvl="3" w:tplc="77B615C8">
      <w:numFmt w:val="bullet"/>
      <w:lvlText w:val="•"/>
      <w:lvlJc w:val="left"/>
      <w:pPr>
        <w:ind w:left="3609" w:hanging="431"/>
      </w:pPr>
      <w:rPr>
        <w:rFonts w:hint="default"/>
        <w:lang w:val="en-US" w:eastAsia="en-US" w:bidi="ar-SA"/>
      </w:rPr>
    </w:lvl>
    <w:lvl w:ilvl="4" w:tplc="EBD84C76">
      <w:numFmt w:val="bullet"/>
      <w:lvlText w:val="•"/>
      <w:lvlJc w:val="left"/>
      <w:pPr>
        <w:ind w:left="4626" w:hanging="431"/>
      </w:pPr>
      <w:rPr>
        <w:rFonts w:hint="default"/>
        <w:lang w:val="en-US" w:eastAsia="en-US" w:bidi="ar-SA"/>
      </w:rPr>
    </w:lvl>
    <w:lvl w:ilvl="5" w:tplc="A06CCACC">
      <w:numFmt w:val="bullet"/>
      <w:lvlText w:val="•"/>
      <w:lvlJc w:val="left"/>
      <w:pPr>
        <w:ind w:left="5642" w:hanging="431"/>
      </w:pPr>
      <w:rPr>
        <w:rFonts w:hint="default"/>
        <w:lang w:val="en-US" w:eastAsia="en-US" w:bidi="ar-SA"/>
      </w:rPr>
    </w:lvl>
    <w:lvl w:ilvl="6" w:tplc="AC1896E4">
      <w:numFmt w:val="bullet"/>
      <w:lvlText w:val="•"/>
      <w:lvlJc w:val="left"/>
      <w:pPr>
        <w:ind w:left="6659" w:hanging="431"/>
      </w:pPr>
      <w:rPr>
        <w:rFonts w:hint="default"/>
        <w:lang w:val="en-US" w:eastAsia="en-US" w:bidi="ar-SA"/>
      </w:rPr>
    </w:lvl>
    <w:lvl w:ilvl="7" w:tplc="506CBBC8">
      <w:numFmt w:val="bullet"/>
      <w:lvlText w:val="•"/>
      <w:lvlJc w:val="left"/>
      <w:pPr>
        <w:ind w:left="7675" w:hanging="431"/>
      </w:pPr>
      <w:rPr>
        <w:rFonts w:hint="default"/>
        <w:lang w:val="en-US" w:eastAsia="en-US" w:bidi="ar-SA"/>
      </w:rPr>
    </w:lvl>
    <w:lvl w:ilvl="8" w:tplc="90605148">
      <w:numFmt w:val="bullet"/>
      <w:lvlText w:val="•"/>
      <w:lvlJc w:val="left"/>
      <w:pPr>
        <w:ind w:left="8692" w:hanging="431"/>
      </w:pPr>
      <w:rPr>
        <w:rFonts w:hint="default"/>
        <w:lang w:val="en-US" w:eastAsia="en-US" w:bidi="ar-SA"/>
      </w:rPr>
    </w:lvl>
  </w:abstractNum>
  <w:abstractNum w:abstractNumId="22" w15:restartNumberingAfterBreak="0">
    <w:nsid w:val="7F7A3870"/>
    <w:multiLevelType w:val="hybridMultilevel"/>
    <w:tmpl w:val="CF241F6E"/>
    <w:lvl w:ilvl="0" w:tplc="131C5F6E">
      <w:start w:val="1"/>
      <w:numFmt w:val="decimal"/>
      <w:lvlText w:val="%1."/>
      <w:lvlJc w:val="left"/>
      <w:pPr>
        <w:ind w:left="550" w:hanging="431"/>
      </w:pPr>
      <w:rPr>
        <w:rFonts w:ascii="Book Antiqua" w:eastAsia="Book Antiqua" w:hAnsi="Book Antiqua" w:cs="Book Antiqua" w:hint="default"/>
        <w:b w:val="0"/>
        <w:bCs w:val="0"/>
        <w:i w:val="0"/>
        <w:iCs w:val="0"/>
        <w:w w:val="99"/>
        <w:sz w:val="18"/>
        <w:szCs w:val="18"/>
        <w:lang w:val="en-US" w:eastAsia="en-US" w:bidi="ar-SA"/>
      </w:rPr>
    </w:lvl>
    <w:lvl w:ilvl="1" w:tplc="741269A0">
      <w:numFmt w:val="bullet"/>
      <w:lvlText w:val="•"/>
      <w:lvlJc w:val="left"/>
      <w:pPr>
        <w:ind w:left="1576" w:hanging="431"/>
      </w:pPr>
      <w:rPr>
        <w:rFonts w:hint="default"/>
        <w:lang w:val="en-US" w:eastAsia="en-US" w:bidi="ar-SA"/>
      </w:rPr>
    </w:lvl>
    <w:lvl w:ilvl="2" w:tplc="97E0111E">
      <w:numFmt w:val="bullet"/>
      <w:lvlText w:val="•"/>
      <w:lvlJc w:val="left"/>
      <w:pPr>
        <w:ind w:left="2593" w:hanging="431"/>
      </w:pPr>
      <w:rPr>
        <w:rFonts w:hint="default"/>
        <w:lang w:val="en-US" w:eastAsia="en-US" w:bidi="ar-SA"/>
      </w:rPr>
    </w:lvl>
    <w:lvl w:ilvl="3" w:tplc="27A65E34">
      <w:numFmt w:val="bullet"/>
      <w:lvlText w:val="•"/>
      <w:lvlJc w:val="left"/>
      <w:pPr>
        <w:ind w:left="3609" w:hanging="431"/>
      </w:pPr>
      <w:rPr>
        <w:rFonts w:hint="default"/>
        <w:lang w:val="en-US" w:eastAsia="en-US" w:bidi="ar-SA"/>
      </w:rPr>
    </w:lvl>
    <w:lvl w:ilvl="4" w:tplc="5DFAC144">
      <w:numFmt w:val="bullet"/>
      <w:lvlText w:val="•"/>
      <w:lvlJc w:val="left"/>
      <w:pPr>
        <w:ind w:left="4626" w:hanging="431"/>
      </w:pPr>
      <w:rPr>
        <w:rFonts w:hint="default"/>
        <w:lang w:val="en-US" w:eastAsia="en-US" w:bidi="ar-SA"/>
      </w:rPr>
    </w:lvl>
    <w:lvl w:ilvl="5" w:tplc="D92C1B6C">
      <w:numFmt w:val="bullet"/>
      <w:lvlText w:val="•"/>
      <w:lvlJc w:val="left"/>
      <w:pPr>
        <w:ind w:left="5642" w:hanging="431"/>
      </w:pPr>
      <w:rPr>
        <w:rFonts w:hint="default"/>
        <w:lang w:val="en-US" w:eastAsia="en-US" w:bidi="ar-SA"/>
      </w:rPr>
    </w:lvl>
    <w:lvl w:ilvl="6" w:tplc="573E3DF0">
      <w:numFmt w:val="bullet"/>
      <w:lvlText w:val="•"/>
      <w:lvlJc w:val="left"/>
      <w:pPr>
        <w:ind w:left="6659" w:hanging="431"/>
      </w:pPr>
      <w:rPr>
        <w:rFonts w:hint="default"/>
        <w:lang w:val="en-US" w:eastAsia="en-US" w:bidi="ar-SA"/>
      </w:rPr>
    </w:lvl>
    <w:lvl w:ilvl="7" w:tplc="AA34FEBA">
      <w:numFmt w:val="bullet"/>
      <w:lvlText w:val="•"/>
      <w:lvlJc w:val="left"/>
      <w:pPr>
        <w:ind w:left="7675" w:hanging="431"/>
      </w:pPr>
      <w:rPr>
        <w:rFonts w:hint="default"/>
        <w:lang w:val="en-US" w:eastAsia="en-US" w:bidi="ar-SA"/>
      </w:rPr>
    </w:lvl>
    <w:lvl w:ilvl="8" w:tplc="B050795C">
      <w:numFmt w:val="bullet"/>
      <w:lvlText w:val="•"/>
      <w:lvlJc w:val="left"/>
      <w:pPr>
        <w:ind w:left="8692" w:hanging="431"/>
      </w:pPr>
      <w:rPr>
        <w:rFonts w:hint="default"/>
        <w:lang w:val="en-US" w:eastAsia="en-US" w:bidi="ar-SA"/>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2"/>
  </w:num>
  <w:num w:numId="14">
    <w:abstractNumId w:val="18"/>
  </w:num>
  <w:num w:numId="15">
    <w:abstractNumId w:val="20"/>
  </w:num>
  <w:num w:numId="16">
    <w:abstractNumId w:val="19"/>
  </w:num>
  <w:num w:numId="17">
    <w:abstractNumId w:val="11"/>
  </w:num>
  <w:num w:numId="18">
    <w:abstractNumId w:val="12"/>
    <w:lvlOverride w:ilvl="0">
      <w:startOverride w:val="1"/>
    </w:lvlOverride>
  </w:num>
  <w:num w:numId="19">
    <w:abstractNumId w:val="16"/>
  </w:num>
  <w:num w:numId="20">
    <w:abstractNumId w:val="15"/>
  </w:num>
  <w:num w:numId="21">
    <w:abstractNumId w:val="14"/>
  </w:num>
  <w:num w:numId="22">
    <w:abstractNumId w:val="13"/>
  </w:num>
  <w:num w:numId="23">
    <w:abstractNumId w:val="22"/>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3148D"/>
    <w:rsid w:val="00031EEC"/>
    <w:rsid w:val="00051566"/>
    <w:rsid w:val="000562A9"/>
    <w:rsid w:val="00057089"/>
    <w:rsid w:val="00062A9A"/>
    <w:rsid w:val="00065058"/>
    <w:rsid w:val="00086C39"/>
    <w:rsid w:val="000A03B2"/>
    <w:rsid w:val="000A2E77"/>
    <w:rsid w:val="000B64FC"/>
    <w:rsid w:val="000D0268"/>
    <w:rsid w:val="000D34BE"/>
    <w:rsid w:val="000E102F"/>
    <w:rsid w:val="000E36F1"/>
    <w:rsid w:val="000E3A73"/>
    <w:rsid w:val="000E414A"/>
    <w:rsid w:val="000F093C"/>
    <w:rsid w:val="000F787B"/>
    <w:rsid w:val="00104EA5"/>
    <w:rsid w:val="0012091F"/>
    <w:rsid w:val="00126BC2"/>
    <w:rsid w:val="001308B6"/>
    <w:rsid w:val="0013121F"/>
    <w:rsid w:val="00131FE6"/>
    <w:rsid w:val="0013263F"/>
    <w:rsid w:val="001331DF"/>
    <w:rsid w:val="00134991"/>
    <w:rsid w:val="00134DE4"/>
    <w:rsid w:val="0014034D"/>
    <w:rsid w:val="00144D16"/>
    <w:rsid w:val="00150E59"/>
    <w:rsid w:val="00152DE3"/>
    <w:rsid w:val="00164CF9"/>
    <w:rsid w:val="001667A6"/>
    <w:rsid w:val="00184AD6"/>
    <w:rsid w:val="00197762"/>
    <w:rsid w:val="001A4AF7"/>
    <w:rsid w:val="001B0349"/>
    <w:rsid w:val="001B1E93"/>
    <w:rsid w:val="001B65C1"/>
    <w:rsid w:val="001C684B"/>
    <w:rsid w:val="001D0CFB"/>
    <w:rsid w:val="001D21AF"/>
    <w:rsid w:val="001D53FC"/>
    <w:rsid w:val="001F42A5"/>
    <w:rsid w:val="001F7B9D"/>
    <w:rsid w:val="00201C93"/>
    <w:rsid w:val="002224B4"/>
    <w:rsid w:val="002447EF"/>
    <w:rsid w:val="00251550"/>
    <w:rsid w:val="00263B05"/>
    <w:rsid w:val="00264F30"/>
    <w:rsid w:val="0027221A"/>
    <w:rsid w:val="00275B61"/>
    <w:rsid w:val="00280FAF"/>
    <w:rsid w:val="00282656"/>
    <w:rsid w:val="00296B83"/>
    <w:rsid w:val="002B4015"/>
    <w:rsid w:val="002B78CE"/>
    <w:rsid w:val="002C2FB6"/>
    <w:rsid w:val="002E5FA7"/>
    <w:rsid w:val="002F3309"/>
    <w:rsid w:val="003008CE"/>
    <w:rsid w:val="003009B7"/>
    <w:rsid w:val="00300E56"/>
    <w:rsid w:val="0030152C"/>
    <w:rsid w:val="0030469C"/>
    <w:rsid w:val="00321CA6"/>
    <w:rsid w:val="00323763"/>
    <w:rsid w:val="00323C5F"/>
    <w:rsid w:val="00334C09"/>
    <w:rsid w:val="003723D4"/>
    <w:rsid w:val="00381905"/>
    <w:rsid w:val="00384CC8"/>
    <w:rsid w:val="003871FD"/>
    <w:rsid w:val="003A1E30"/>
    <w:rsid w:val="003A2829"/>
    <w:rsid w:val="003A6FC6"/>
    <w:rsid w:val="003A7D1C"/>
    <w:rsid w:val="003B304B"/>
    <w:rsid w:val="003B3146"/>
    <w:rsid w:val="003D7031"/>
    <w:rsid w:val="003F015E"/>
    <w:rsid w:val="00400414"/>
    <w:rsid w:val="004125BF"/>
    <w:rsid w:val="0041446B"/>
    <w:rsid w:val="0044071E"/>
    <w:rsid w:val="0044329C"/>
    <w:rsid w:val="00453E24"/>
    <w:rsid w:val="00457456"/>
    <w:rsid w:val="004577FE"/>
    <w:rsid w:val="00457B9C"/>
    <w:rsid w:val="0046164A"/>
    <w:rsid w:val="004628D2"/>
    <w:rsid w:val="00462DCD"/>
    <w:rsid w:val="004648AD"/>
    <w:rsid w:val="004703A9"/>
    <w:rsid w:val="004760DE"/>
    <w:rsid w:val="004763D7"/>
    <w:rsid w:val="00485A18"/>
    <w:rsid w:val="00490EB8"/>
    <w:rsid w:val="004A004E"/>
    <w:rsid w:val="004A1304"/>
    <w:rsid w:val="004A24CF"/>
    <w:rsid w:val="004C3D1D"/>
    <w:rsid w:val="004C3D84"/>
    <w:rsid w:val="004C7913"/>
    <w:rsid w:val="004D4CB6"/>
    <w:rsid w:val="004E4DD6"/>
    <w:rsid w:val="004F5E36"/>
    <w:rsid w:val="00507B47"/>
    <w:rsid w:val="00507BEF"/>
    <w:rsid w:val="00507CC9"/>
    <w:rsid w:val="005119A5"/>
    <w:rsid w:val="0051253D"/>
    <w:rsid w:val="00516AAC"/>
    <w:rsid w:val="005217BE"/>
    <w:rsid w:val="005278B7"/>
    <w:rsid w:val="00532016"/>
    <w:rsid w:val="00532FD6"/>
    <w:rsid w:val="005346C8"/>
    <w:rsid w:val="00541E53"/>
    <w:rsid w:val="00543E7D"/>
    <w:rsid w:val="005453E8"/>
    <w:rsid w:val="00547A68"/>
    <w:rsid w:val="005531C9"/>
    <w:rsid w:val="00570C43"/>
    <w:rsid w:val="00573A96"/>
    <w:rsid w:val="005B2110"/>
    <w:rsid w:val="005B61E6"/>
    <w:rsid w:val="005C77E1"/>
    <w:rsid w:val="005D668A"/>
    <w:rsid w:val="005D6A2F"/>
    <w:rsid w:val="005E1A82"/>
    <w:rsid w:val="005E794C"/>
    <w:rsid w:val="005E7C48"/>
    <w:rsid w:val="005F0A28"/>
    <w:rsid w:val="005F0E5E"/>
    <w:rsid w:val="00600535"/>
    <w:rsid w:val="00610CD6"/>
    <w:rsid w:val="00620DEE"/>
    <w:rsid w:val="00621F92"/>
    <w:rsid w:val="0062280A"/>
    <w:rsid w:val="00625639"/>
    <w:rsid w:val="00631B33"/>
    <w:rsid w:val="0064184D"/>
    <w:rsid w:val="006422CC"/>
    <w:rsid w:val="00660E3E"/>
    <w:rsid w:val="00662E74"/>
    <w:rsid w:val="00680C23"/>
    <w:rsid w:val="00693766"/>
    <w:rsid w:val="006A3281"/>
    <w:rsid w:val="006B4888"/>
    <w:rsid w:val="006C2E45"/>
    <w:rsid w:val="006C359C"/>
    <w:rsid w:val="006C5579"/>
    <w:rsid w:val="006D6E8B"/>
    <w:rsid w:val="006E737D"/>
    <w:rsid w:val="00712875"/>
    <w:rsid w:val="00713973"/>
    <w:rsid w:val="00720A24"/>
    <w:rsid w:val="00732386"/>
    <w:rsid w:val="0073514D"/>
    <w:rsid w:val="00742E76"/>
    <w:rsid w:val="00743AD1"/>
    <w:rsid w:val="007447F3"/>
    <w:rsid w:val="0075499F"/>
    <w:rsid w:val="007661C8"/>
    <w:rsid w:val="0077098D"/>
    <w:rsid w:val="00775D0B"/>
    <w:rsid w:val="007809AD"/>
    <w:rsid w:val="007931FA"/>
    <w:rsid w:val="007964E2"/>
    <w:rsid w:val="007A4861"/>
    <w:rsid w:val="007A7BBA"/>
    <w:rsid w:val="007B0C50"/>
    <w:rsid w:val="007B48F9"/>
    <w:rsid w:val="007C1A43"/>
    <w:rsid w:val="007D0951"/>
    <w:rsid w:val="0080013E"/>
    <w:rsid w:val="00813288"/>
    <w:rsid w:val="008168FC"/>
    <w:rsid w:val="00830996"/>
    <w:rsid w:val="008345F1"/>
    <w:rsid w:val="0085103D"/>
    <w:rsid w:val="00852295"/>
    <w:rsid w:val="00854FB6"/>
    <w:rsid w:val="00865B07"/>
    <w:rsid w:val="008667EA"/>
    <w:rsid w:val="0087637F"/>
    <w:rsid w:val="00892AD5"/>
    <w:rsid w:val="008A1512"/>
    <w:rsid w:val="008B7C03"/>
    <w:rsid w:val="008D32B9"/>
    <w:rsid w:val="008D433B"/>
    <w:rsid w:val="008D4A16"/>
    <w:rsid w:val="008E566E"/>
    <w:rsid w:val="0090161A"/>
    <w:rsid w:val="00901EB6"/>
    <w:rsid w:val="00904C62"/>
    <w:rsid w:val="00922BA8"/>
    <w:rsid w:val="00924DAC"/>
    <w:rsid w:val="00927058"/>
    <w:rsid w:val="00942750"/>
    <w:rsid w:val="009450CE"/>
    <w:rsid w:val="009459BB"/>
    <w:rsid w:val="00947179"/>
    <w:rsid w:val="0095164B"/>
    <w:rsid w:val="00954090"/>
    <w:rsid w:val="00955726"/>
    <w:rsid w:val="009573E7"/>
    <w:rsid w:val="00963E05"/>
    <w:rsid w:val="00964A45"/>
    <w:rsid w:val="00967843"/>
    <w:rsid w:val="00967D54"/>
    <w:rsid w:val="00971028"/>
    <w:rsid w:val="00993B84"/>
    <w:rsid w:val="00996483"/>
    <w:rsid w:val="00996F5A"/>
    <w:rsid w:val="009B041A"/>
    <w:rsid w:val="009C1395"/>
    <w:rsid w:val="009C37C3"/>
    <w:rsid w:val="009C7C86"/>
    <w:rsid w:val="009D2FF7"/>
    <w:rsid w:val="009E7884"/>
    <w:rsid w:val="009E788A"/>
    <w:rsid w:val="009F0E08"/>
    <w:rsid w:val="00A07090"/>
    <w:rsid w:val="00A1763D"/>
    <w:rsid w:val="00A17CEC"/>
    <w:rsid w:val="00A27EF0"/>
    <w:rsid w:val="00A34738"/>
    <w:rsid w:val="00A42361"/>
    <w:rsid w:val="00A436DA"/>
    <w:rsid w:val="00A50B20"/>
    <w:rsid w:val="00A51390"/>
    <w:rsid w:val="00A514DC"/>
    <w:rsid w:val="00A51FCF"/>
    <w:rsid w:val="00A60ADF"/>
    <w:rsid w:val="00A60D13"/>
    <w:rsid w:val="00A62925"/>
    <w:rsid w:val="00A7223D"/>
    <w:rsid w:val="00A72745"/>
    <w:rsid w:val="00A76EFC"/>
    <w:rsid w:val="00A87D50"/>
    <w:rsid w:val="00A91010"/>
    <w:rsid w:val="00A97F29"/>
    <w:rsid w:val="00AA702E"/>
    <w:rsid w:val="00AA7D26"/>
    <w:rsid w:val="00AB0964"/>
    <w:rsid w:val="00AB5011"/>
    <w:rsid w:val="00AC5D0D"/>
    <w:rsid w:val="00AC7368"/>
    <w:rsid w:val="00AD16B9"/>
    <w:rsid w:val="00AD6690"/>
    <w:rsid w:val="00AE377D"/>
    <w:rsid w:val="00AF0EBA"/>
    <w:rsid w:val="00B02C8A"/>
    <w:rsid w:val="00B17FBD"/>
    <w:rsid w:val="00B315A6"/>
    <w:rsid w:val="00B31813"/>
    <w:rsid w:val="00B33365"/>
    <w:rsid w:val="00B57B36"/>
    <w:rsid w:val="00B57E6F"/>
    <w:rsid w:val="00B63AC4"/>
    <w:rsid w:val="00B8686D"/>
    <w:rsid w:val="00B93F69"/>
    <w:rsid w:val="00BB1DDC"/>
    <w:rsid w:val="00BC30C9"/>
    <w:rsid w:val="00BC3C4F"/>
    <w:rsid w:val="00BD077D"/>
    <w:rsid w:val="00BE3E58"/>
    <w:rsid w:val="00C01616"/>
    <w:rsid w:val="00C0162B"/>
    <w:rsid w:val="00C02A95"/>
    <w:rsid w:val="00C068ED"/>
    <w:rsid w:val="00C22E0C"/>
    <w:rsid w:val="00C345B1"/>
    <w:rsid w:val="00C40142"/>
    <w:rsid w:val="00C52C3C"/>
    <w:rsid w:val="00C57182"/>
    <w:rsid w:val="00C57863"/>
    <w:rsid w:val="00C602F5"/>
    <w:rsid w:val="00C61455"/>
    <w:rsid w:val="00C640AF"/>
    <w:rsid w:val="00C655FD"/>
    <w:rsid w:val="00C748F5"/>
    <w:rsid w:val="00C75407"/>
    <w:rsid w:val="00C82620"/>
    <w:rsid w:val="00C870A8"/>
    <w:rsid w:val="00C94434"/>
    <w:rsid w:val="00CA0D4A"/>
    <w:rsid w:val="00CA0D75"/>
    <w:rsid w:val="00CA1C95"/>
    <w:rsid w:val="00CA5A9C"/>
    <w:rsid w:val="00CB4EE6"/>
    <w:rsid w:val="00CC4C20"/>
    <w:rsid w:val="00CD3517"/>
    <w:rsid w:val="00CD5FE2"/>
    <w:rsid w:val="00CE7C68"/>
    <w:rsid w:val="00CF2B75"/>
    <w:rsid w:val="00D02B4C"/>
    <w:rsid w:val="00D040C4"/>
    <w:rsid w:val="00D17E7B"/>
    <w:rsid w:val="00D20AD1"/>
    <w:rsid w:val="00D46B7E"/>
    <w:rsid w:val="00D57C84"/>
    <w:rsid w:val="00D6057D"/>
    <w:rsid w:val="00D6156D"/>
    <w:rsid w:val="00D648EC"/>
    <w:rsid w:val="00D71640"/>
    <w:rsid w:val="00D836C5"/>
    <w:rsid w:val="00D84576"/>
    <w:rsid w:val="00DA1399"/>
    <w:rsid w:val="00DA24C6"/>
    <w:rsid w:val="00DA4D7B"/>
    <w:rsid w:val="00DC24B5"/>
    <w:rsid w:val="00DD271C"/>
    <w:rsid w:val="00DE264A"/>
    <w:rsid w:val="00DF5072"/>
    <w:rsid w:val="00DF54B0"/>
    <w:rsid w:val="00E02D18"/>
    <w:rsid w:val="00E03D3F"/>
    <w:rsid w:val="00E041E7"/>
    <w:rsid w:val="00E23CA1"/>
    <w:rsid w:val="00E33DD7"/>
    <w:rsid w:val="00E409A8"/>
    <w:rsid w:val="00E50C12"/>
    <w:rsid w:val="00E6314E"/>
    <w:rsid w:val="00E65B91"/>
    <w:rsid w:val="00E7209D"/>
    <w:rsid w:val="00E72EAD"/>
    <w:rsid w:val="00E73DEF"/>
    <w:rsid w:val="00E77223"/>
    <w:rsid w:val="00E8528B"/>
    <w:rsid w:val="00E85B94"/>
    <w:rsid w:val="00E978D0"/>
    <w:rsid w:val="00EA4613"/>
    <w:rsid w:val="00EA7F91"/>
    <w:rsid w:val="00EB1523"/>
    <w:rsid w:val="00EC0E49"/>
    <w:rsid w:val="00EC101F"/>
    <w:rsid w:val="00EC1D9F"/>
    <w:rsid w:val="00ED2C12"/>
    <w:rsid w:val="00EE0131"/>
    <w:rsid w:val="00EE17B0"/>
    <w:rsid w:val="00EF06D9"/>
    <w:rsid w:val="00EF6D7E"/>
    <w:rsid w:val="00F3049E"/>
    <w:rsid w:val="00F30C64"/>
    <w:rsid w:val="00F32BA2"/>
    <w:rsid w:val="00F32CDB"/>
    <w:rsid w:val="00F44A1A"/>
    <w:rsid w:val="00F565FE"/>
    <w:rsid w:val="00F60F52"/>
    <w:rsid w:val="00F63A70"/>
    <w:rsid w:val="00F63D8C"/>
    <w:rsid w:val="00F7534E"/>
    <w:rsid w:val="00F93EDF"/>
    <w:rsid w:val="00FA1802"/>
    <w:rsid w:val="00FA21D0"/>
    <w:rsid w:val="00FA5F5F"/>
    <w:rsid w:val="00FB730C"/>
    <w:rsid w:val="00FC2695"/>
    <w:rsid w:val="00FC3E03"/>
    <w:rsid w:val="00FC3FC1"/>
    <w:rsid w:val="00FE7593"/>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60F52"/>
    <w:pPr>
      <w:keepNext/>
      <w:numPr>
        <w:ilvl w:val="2"/>
        <w:numId w:val="1"/>
      </w:numPr>
      <w:suppressAutoHyphens/>
      <w:spacing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60F52"/>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1"/>
    <w:qFormat/>
    <w:rsid w:val="00280FAF"/>
    <w:pPr>
      <w:ind w:left="720"/>
      <w:contextualSpacing/>
    </w:pPr>
  </w:style>
  <w:style w:type="character" w:styleId="UnresolvedMention">
    <w:name w:val="Unresolved Mention"/>
    <w:basedOn w:val="DefaultParagraphFont"/>
    <w:uiPriority w:val="99"/>
    <w:semiHidden/>
    <w:unhideWhenUsed/>
    <w:rsid w:val="00A514DC"/>
    <w:rPr>
      <w:color w:val="605E5C"/>
      <w:shd w:val="clear" w:color="auto" w:fill="E1DFDD"/>
    </w:rPr>
  </w:style>
  <w:style w:type="character" w:styleId="FollowedHyperlink">
    <w:name w:val="FollowedHyperlink"/>
    <w:basedOn w:val="DefaultParagraphFont"/>
    <w:uiPriority w:val="99"/>
    <w:semiHidden/>
    <w:unhideWhenUsed/>
    <w:rsid w:val="00D6156D"/>
    <w:rPr>
      <w:color w:val="800080" w:themeColor="followedHyperlink"/>
      <w:u w:val="single"/>
    </w:rPr>
  </w:style>
  <w:style w:type="character" w:styleId="Emphasis">
    <w:name w:val="Emphasis"/>
    <w:basedOn w:val="DefaultParagraphFont"/>
    <w:uiPriority w:val="20"/>
    <w:qFormat/>
    <w:rsid w:val="00490E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image" Target="media/image9.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90217-959D-4B53-8681-7A052AFD0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3219</Words>
  <Characters>18349</Characters>
  <Application>Microsoft Office Word</Application>
  <DocSecurity>0</DocSecurity>
  <Lines>152</Lines>
  <Paragraphs>43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21525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Prof. EMN Chirwa</cp:lastModifiedBy>
  <cp:revision>3</cp:revision>
  <cp:lastPrinted>2015-05-12T18:31:00Z</cp:lastPrinted>
  <dcterms:created xsi:type="dcterms:W3CDTF">2023-06-13T14:18:00Z</dcterms:created>
  <dcterms:modified xsi:type="dcterms:W3CDTF">2023-06-13T14:28:00Z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